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72" w:rsidRDefault="00222872" w:rsidP="00222872">
      <w:pPr>
        <w:pStyle w:val="Heading2"/>
      </w:pPr>
      <w:bookmarkStart w:id="0" w:name="_GoBack"/>
      <w:bookmarkEnd w:id="0"/>
      <w:r>
        <w:t>Name of the medicine</w:t>
      </w:r>
    </w:p>
    <w:p w:rsidR="008A7314" w:rsidRDefault="00D619A4">
      <w:pPr>
        <w:pStyle w:val="Heading1"/>
      </w:pPr>
      <w:r>
        <w:t>Avastin</w:t>
      </w:r>
      <w:r w:rsidR="00E776F0" w:rsidRPr="00E776F0">
        <w:rPr>
          <w:rFonts w:cs="Arial"/>
          <w:szCs w:val="34"/>
          <w:vertAlign w:val="superscript"/>
        </w:rPr>
        <w:t>®</w:t>
      </w:r>
    </w:p>
    <w:p w:rsidR="004367FE" w:rsidRPr="00D619A4" w:rsidRDefault="004367FE" w:rsidP="004367FE">
      <w:pPr>
        <w:pStyle w:val="PIexplanation"/>
        <w:rPr>
          <w:color w:val="auto"/>
        </w:rPr>
      </w:pPr>
      <w:proofErr w:type="spellStart"/>
      <w:proofErr w:type="gramStart"/>
      <w:r>
        <w:rPr>
          <w:color w:val="auto"/>
        </w:rPr>
        <w:t>bevacizumab</w:t>
      </w:r>
      <w:proofErr w:type="spellEnd"/>
      <w:proofErr w:type="gramEnd"/>
      <w:r>
        <w:rPr>
          <w:color w:val="auto"/>
        </w:rPr>
        <w:t xml:space="preserve"> (</w:t>
      </w:r>
      <w:proofErr w:type="spellStart"/>
      <w:r>
        <w:rPr>
          <w:color w:val="auto"/>
        </w:rPr>
        <w:t>rch</w:t>
      </w:r>
      <w:proofErr w:type="spellEnd"/>
      <w:r>
        <w:rPr>
          <w:color w:val="auto"/>
        </w:rPr>
        <w:t>)</w:t>
      </w:r>
    </w:p>
    <w:p w:rsidR="008A7314" w:rsidRDefault="008A7314">
      <w:r>
        <w:t>CAS</w:t>
      </w:r>
      <w:r w:rsidR="00C74C3C">
        <w:t xml:space="preserve"> 216974-75-3</w:t>
      </w:r>
    </w:p>
    <w:p w:rsidR="008653F5" w:rsidRDefault="00663662" w:rsidP="008653F5">
      <w:pPr>
        <w:pStyle w:val="TextTi12"/>
      </w:pPr>
      <w:proofErr w:type="spellStart"/>
      <w:r>
        <w:t>Bevacizumab</w:t>
      </w:r>
      <w:proofErr w:type="spellEnd"/>
      <w:r w:rsidR="008653F5" w:rsidRPr="003F64E4">
        <w:t xml:space="preserve"> is an immunoglobulin G (</w:t>
      </w:r>
      <w:proofErr w:type="spellStart"/>
      <w:r w:rsidR="008653F5" w:rsidRPr="003F64E4">
        <w:t>IgG</w:t>
      </w:r>
      <w:proofErr w:type="spellEnd"/>
      <w:r w:rsidR="008653F5" w:rsidRPr="003F64E4">
        <w:t>) composed of two identical light chains, consisting of 214 amino acid residues and two 453 residue heavy chains containing an N-linked oligosaccharide</w:t>
      </w:r>
      <w:r>
        <w:t xml:space="preserve"> and has a m</w:t>
      </w:r>
      <w:r w:rsidR="008653F5" w:rsidRPr="003F64E4">
        <w:t xml:space="preserve">olecular weight of approximately 149,000 </w:t>
      </w:r>
      <w:proofErr w:type="spellStart"/>
      <w:r w:rsidR="008653F5">
        <w:t>d</w:t>
      </w:r>
      <w:r w:rsidR="008653F5" w:rsidRPr="003F64E4">
        <w:t>alton</w:t>
      </w:r>
      <w:r w:rsidR="008653F5">
        <w:t>s</w:t>
      </w:r>
      <w:proofErr w:type="spellEnd"/>
      <w:r w:rsidR="008653F5">
        <w:t xml:space="preserve">. </w:t>
      </w:r>
    </w:p>
    <w:p w:rsidR="008A7314" w:rsidRDefault="008A7314">
      <w:pPr>
        <w:pStyle w:val="Heading2"/>
      </w:pPr>
      <w:r>
        <w:t>Description</w:t>
      </w:r>
    </w:p>
    <w:p w:rsidR="0006090B" w:rsidRPr="00F97AB4" w:rsidRDefault="00F26711" w:rsidP="0006090B">
      <w:pPr>
        <w:pStyle w:val="TextTi12"/>
        <w:spacing w:after="120" w:line="240" w:lineRule="auto"/>
      </w:pPr>
      <w:r>
        <w:t>AVASTIN is a</w:t>
      </w:r>
      <w:r w:rsidR="00D619A4" w:rsidRPr="00D619A4">
        <w:t xml:space="preserve"> clear to slightly opalescent, </w:t>
      </w:r>
      <w:proofErr w:type="spellStart"/>
      <w:r w:rsidR="00D619A4" w:rsidRPr="00D619A4">
        <w:t>colourless</w:t>
      </w:r>
      <w:proofErr w:type="spellEnd"/>
      <w:r w:rsidR="00D619A4" w:rsidRPr="00D619A4">
        <w:t xml:space="preserve"> to pale brown</w:t>
      </w:r>
      <w:r w:rsidR="00D57A79">
        <w:t>,</w:t>
      </w:r>
      <w:r w:rsidR="00D619A4" w:rsidRPr="00D619A4">
        <w:t xml:space="preserve"> </w:t>
      </w:r>
      <w:r w:rsidR="00D7124F" w:rsidRPr="00D619A4">
        <w:t>sterile</w:t>
      </w:r>
      <w:r w:rsidR="00D619A4" w:rsidRPr="00D619A4">
        <w:t xml:space="preserve"> solution for intravenous (IV) infusion.</w:t>
      </w:r>
      <w:r>
        <w:t xml:space="preserve">  </w:t>
      </w:r>
      <w:r w:rsidR="0006090B">
        <w:rPr>
          <w:color w:val="000000"/>
        </w:rPr>
        <w:t>AVASTIN</w:t>
      </w:r>
      <w:r w:rsidR="0006090B" w:rsidRPr="00893AC3">
        <w:rPr>
          <w:color w:val="000000"/>
        </w:rPr>
        <w:t xml:space="preserve"> is not formulated for </w:t>
      </w:r>
      <w:proofErr w:type="spellStart"/>
      <w:r w:rsidR="0006090B" w:rsidRPr="00893AC3">
        <w:rPr>
          <w:color w:val="000000"/>
        </w:rPr>
        <w:t>intravitreal</w:t>
      </w:r>
      <w:proofErr w:type="spellEnd"/>
      <w:r w:rsidR="0006090B" w:rsidRPr="00893AC3">
        <w:rPr>
          <w:color w:val="000000"/>
        </w:rPr>
        <w:t xml:space="preserve"> use </w:t>
      </w:r>
      <w:r w:rsidR="0006090B" w:rsidRPr="00893AC3">
        <w:rPr>
          <w:i/>
          <w:color w:val="000000"/>
        </w:rPr>
        <w:t>(</w:t>
      </w:r>
      <w:r w:rsidR="0006090B" w:rsidRPr="00893AC3">
        <w:rPr>
          <w:color w:val="000000"/>
        </w:rPr>
        <w:t xml:space="preserve">see </w:t>
      </w:r>
      <w:r w:rsidR="0006090B" w:rsidRPr="009F2E6F">
        <w:rPr>
          <w:i/>
          <w:color w:val="000000"/>
        </w:rPr>
        <w:t>PRECAUTIONS;</w:t>
      </w:r>
      <w:r w:rsidR="0006090B" w:rsidRPr="00893AC3">
        <w:rPr>
          <w:color w:val="000000"/>
        </w:rPr>
        <w:t xml:space="preserve"> </w:t>
      </w:r>
      <w:r w:rsidR="0006090B" w:rsidRPr="00893AC3">
        <w:rPr>
          <w:i/>
          <w:lang w:val="en-AU"/>
        </w:rPr>
        <w:t xml:space="preserve">Severe Eye Infections Following Compounding for Unapproved </w:t>
      </w:r>
      <w:proofErr w:type="spellStart"/>
      <w:r w:rsidR="0006090B" w:rsidRPr="00893AC3">
        <w:rPr>
          <w:i/>
          <w:lang w:val="en-AU"/>
        </w:rPr>
        <w:t>Intravitreal</w:t>
      </w:r>
      <w:proofErr w:type="spellEnd"/>
      <w:r w:rsidR="0006090B" w:rsidRPr="00893AC3">
        <w:rPr>
          <w:i/>
          <w:lang w:val="en-AU"/>
        </w:rPr>
        <w:t xml:space="preserve"> Use</w:t>
      </w:r>
      <w:r w:rsidR="0006090B" w:rsidRPr="00893AC3">
        <w:rPr>
          <w:color w:val="000000"/>
        </w:rPr>
        <w:t>).</w:t>
      </w:r>
      <w:r w:rsidR="0006090B" w:rsidRPr="00F97AB4">
        <w:rPr>
          <w:color w:val="000000"/>
        </w:rPr>
        <w:t xml:space="preserve"> </w:t>
      </w:r>
    </w:p>
    <w:p w:rsidR="008A7314" w:rsidRPr="00DC2FA8" w:rsidRDefault="00F26711" w:rsidP="00F5050E">
      <w:pPr>
        <w:pStyle w:val="TextTi12"/>
      </w:pPr>
      <w:r>
        <w:t xml:space="preserve">AVASTIN is available </w:t>
      </w:r>
      <w:r w:rsidR="008653F5">
        <w:t>in</w:t>
      </w:r>
      <w:r w:rsidR="00366F84">
        <w:t xml:space="preserve"> </w:t>
      </w:r>
      <w:r w:rsidR="00663662">
        <w:t xml:space="preserve">100 mg and 400 mg </w:t>
      </w:r>
      <w:r w:rsidR="00366F84">
        <w:t>single dose vials</w:t>
      </w:r>
      <w:r w:rsidR="008653F5">
        <w:t xml:space="preserve"> </w:t>
      </w:r>
      <w:r w:rsidR="00273B45">
        <w:t>containing</w:t>
      </w:r>
      <w:r w:rsidR="00DC2FA8">
        <w:t xml:space="preserve"> </w:t>
      </w:r>
      <w:r w:rsidR="00663662">
        <w:t>4 mL and 16 mL, respectively</w:t>
      </w:r>
      <w:r w:rsidR="00D57A79">
        <w:t>,</w:t>
      </w:r>
      <w:r w:rsidR="00663662">
        <w:t xml:space="preserve"> of </w:t>
      </w:r>
      <w:proofErr w:type="spellStart"/>
      <w:r w:rsidR="00D619A4" w:rsidRPr="00DC2FA8">
        <w:t>bevacizumab</w:t>
      </w:r>
      <w:proofErr w:type="spellEnd"/>
      <w:r w:rsidR="00663662">
        <w:t xml:space="preserve"> (25 mg/mL). </w:t>
      </w:r>
      <w:r w:rsidR="009C55FA">
        <w:t xml:space="preserve"> </w:t>
      </w:r>
      <w:r w:rsidR="00663662">
        <w:t xml:space="preserve">AVASTIN also </w:t>
      </w:r>
      <w:proofErr w:type="gramStart"/>
      <w:r w:rsidR="009D67FE">
        <w:t>contains</w:t>
      </w:r>
      <w:r w:rsidR="00347B8C">
        <w:t xml:space="preserve"> </w:t>
      </w:r>
      <w:proofErr w:type="gramEnd"/>
      <w:r w:rsidR="00663662">
        <w:sym w:font="Symbol" w:char="F061"/>
      </w:r>
      <w:r w:rsidR="00663662">
        <w:t>,</w:t>
      </w:r>
      <w:r w:rsidR="00663662">
        <w:sym w:font="Symbol" w:char="F061"/>
      </w:r>
      <w:r w:rsidR="00663662">
        <w:t>-</w:t>
      </w:r>
      <w:proofErr w:type="spellStart"/>
      <w:r w:rsidR="000938CC">
        <w:t>trehalose</w:t>
      </w:r>
      <w:proofErr w:type="spellEnd"/>
      <w:r w:rsidR="00663662">
        <w:t xml:space="preserve"> </w:t>
      </w:r>
      <w:proofErr w:type="spellStart"/>
      <w:r w:rsidR="000938CC">
        <w:t>d</w:t>
      </w:r>
      <w:r w:rsidR="00663662">
        <w:t>i</w:t>
      </w:r>
      <w:r w:rsidR="000938CC">
        <w:t>hydrate</w:t>
      </w:r>
      <w:proofErr w:type="spellEnd"/>
      <w:r w:rsidR="000938CC">
        <w:t xml:space="preserve">, </w:t>
      </w:r>
      <w:r w:rsidR="0014666F">
        <w:t>monobasic monohydrate sodium phosphate, dibasic sodium phosphate,</w:t>
      </w:r>
      <w:r w:rsidR="000938CC">
        <w:t xml:space="preserve"> </w:t>
      </w:r>
      <w:proofErr w:type="spellStart"/>
      <w:r w:rsidR="000938CC">
        <w:t>polysorbate</w:t>
      </w:r>
      <w:proofErr w:type="spellEnd"/>
      <w:r w:rsidR="000938CC">
        <w:t xml:space="preserve"> 20 and water for injections.</w:t>
      </w:r>
    </w:p>
    <w:p w:rsidR="008A7314" w:rsidRDefault="008A7314">
      <w:pPr>
        <w:pStyle w:val="Heading2"/>
      </w:pPr>
      <w:r>
        <w:t>Pharmacology</w:t>
      </w:r>
    </w:p>
    <w:p w:rsidR="00810904" w:rsidRDefault="00E85563" w:rsidP="00DC2FA8">
      <w:pPr>
        <w:pStyle w:val="Heading3"/>
        <w:rPr>
          <w:i/>
          <w:lang w:val="en-GB"/>
        </w:rPr>
      </w:pPr>
      <w:r>
        <w:rPr>
          <w:i/>
          <w:lang w:val="en-GB"/>
        </w:rPr>
        <w:t>Mechanism of A</w:t>
      </w:r>
      <w:r w:rsidR="00810904" w:rsidRPr="00DC2FA8">
        <w:rPr>
          <w:i/>
          <w:lang w:val="en-GB"/>
        </w:rPr>
        <w:t>ction</w:t>
      </w:r>
    </w:p>
    <w:p w:rsidR="003C1C82" w:rsidRDefault="00663662" w:rsidP="00663662">
      <w:pPr>
        <w:pStyle w:val="TextTi12"/>
        <w:rPr>
          <w:lang w:val="en-GB"/>
        </w:rPr>
      </w:pPr>
      <w:r>
        <w:t>AVASTIN is an anti</w:t>
      </w:r>
      <w:r w:rsidRPr="00D619A4">
        <w:t xml:space="preserve">neoplastic agent containing the active ingredient, </w:t>
      </w:r>
      <w:proofErr w:type="spellStart"/>
      <w:r w:rsidRPr="00D619A4">
        <w:t>bevacizumab</w:t>
      </w:r>
      <w:proofErr w:type="spellEnd"/>
      <w:r w:rsidRPr="00D619A4">
        <w:t xml:space="preserve">.  </w:t>
      </w:r>
      <w:proofErr w:type="spellStart"/>
      <w:r w:rsidR="001C5A82">
        <w:t>Bevacizumab</w:t>
      </w:r>
      <w:proofErr w:type="spellEnd"/>
      <w:r w:rsidR="001C5A82">
        <w:t xml:space="preserve"> </w:t>
      </w:r>
      <w:r w:rsidR="00810904">
        <w:rPr>
          <w:lang w:val="en-GB"/>
        </w:rPr>
        <w:t xml:space="preserve">is a recombinant humanised monoclonal antibody that selectively binds to and neutralises the biologic activity of human </w:t>
      </w:r>
      <w:r w:rsidR="00351182">
        <w:rPr>
          <w:lang w:val="en-GB"/>
        </w:rPr>
        <w:t>vascular endothelial growth factor (</w:t>
      </w:r>
      <w:r w:rsidR="00351182">
        <w:t>VEGF)</w:t>
      </w:r>
      <w:r w:rsidR="00810904">
        <w:rPr>
          <w:lang w:val="en-GB"/>
        </w:rPr>
        <w:t xml:space="preserve">. </w:t>
      </w:r>
      <w:proofErr w:type="spellStart"/>
      <w:r w:rsidR="00810904">
        <w:rPr>
          <w:lang w:val="en-GB"/>
        </w:rPr>
        <w:t>Bevacizumab</w:t>
      </w:r>
      <w:proofErr w:type="spellEnd"/>
      <w:r w:rsidR="00810904">
        <w:rPr>
          <w:lang w:val="en-GB"/>
        </w:rPr>
        <w:t xml:space="preserve"> contains human framework regions with </w:t>
      </w:r>
      <w:r w:rsidR="00840E18">
        <w:rPr>
          <w:lang w:val="en-GB"/>
        </w:rPr>
        <w:t xml:space="preserve">antigen binding </w:t>
      </w:r>
      <w:r w:rsidR="00810904">
        <w:rPr>
          <w:lang w:val="en-GB"/>
        </w:rPr>
        <w:t xml:space="preserve">regions of a humanised murine antibody that binds to VEGF. </w:t>
      </w:r>
      <w:r w:rsidR="00BE7E48">
        <w:rPr>
          <w:lang w:val="en-GB"/>
        </w:rPr>
        <w:t xml:space="preserve"> </w:t>
      </w:r>
      <w:proofErr w:type="spellStart"/>
      <w:r w:rsidR="00810904">
        <w:rPr>
          <w:lang w:val="en-GB"/>
        </w:rPr>
        <w:t>Bevacizumab</w:t>
      </w:r>
      <w:proofErr w:type="spellEnd"/>
      <w:r w:rsidR="00810904">
        <w:rPr>
          <w:lang w:val="en-GB"/>
        </w:rPr>
        <w:t xml:space="preserve"> is produced by recombinant DNA technology in a Chinese </w:t>
      </w:r>
      <w:r w:rsidR="00E776F0">
        <w:rPr>
          <w:lang w:val="en-GB"/>
        </w:rPr>
        <w:t xml:space="preserve">hamster </w:t>
      </w:r>
      <w:r w:rsidR="00810904">
        <w:rPr>
          <w:lang w:val="en-GB"/>
        </w:rPr>
        <w:t xml:space="preserve">ovary mammalian cell expression system in a nutrient medium containing the antibiotic gentamicin and is purified by a process that includes specific viral inactivation and removal steps. </w:t>
      </w:r>
      <w:r w:rsidR="00BE7E48">
        <w:rPr>
          <w:lang w:val="en-GB"/>
        </w:rPr>
        <w:t xml:space="preserve"> </w:t>
      </w:r>
      <w:r w:rsidR="00810904">
        <w:rPr>
          <w:lang w:val="en-GB"/>
        </w:rPr>
        <w:t xml:space="preserve">Gentamicin is detectable in the final product </w:t>
      </w:r>
      <w:proofErr w:type="gramStart"/>
      <w:r w:rsidR="00810904">
        <w:rPr>
          <w:lang w:val="en-GB"/>
        </w:rPr>
        <w:t xml:space="preserve">at </w:t>
      </w:r>
      <w:r w:rsidR="00810904">
        <w:rPr>
          <w:sz w:val="12"/>
          <w:lang w:val="en-GB"/>
        </w:rPr>
        <w:t> </w:t>
      </w:r>
      <w:r w:rsidR="00810904">
        <w:rPr>
          <w:rFonts w:ascii="Symbol" w:hAnsi="Symbol"/>
          <w:lang w:val="en-GB"/>
        </w:rPr>
        <w:t></w:t>
      </w:r>
      <w:proofErr w:type="gramEnd"/>
      <w:r w:rsidR="00810904">
        <w:rPr>
          <w:sz w:val="12"/>
          <w:lang w:val="en-GB"/>
        </w:rPr>
        <w:t> </w:t>
      </w:r>
      <w:r w:rsidR="00BE7E48">
        <w:rPr>
          <w:lang w:val="en-GB"/>
        </w:rPr>
        <w:t> </w:t>
      </w:r>
      <w:r w:rsidR="00810904">
        <w:rPr>
          <w:lang w:val="en-GB"/>
        </w:rPr>
        <w:t xml:space="preserve">0.35 ppm.  </w:t>
      </w:r>
    </w:p>
    <w:p w:rsidR="00810904" w:rsidRDefault="00810904" w:rsidP="00810904">
      <w:pPr>
        <w:pStyle w:val="TextTi12"/>
        <w:rPr>
          <w:lang w:val="en-GB"/>
        </w:rPr>
      </w:pPr>
      <w:r>
        <w:rPr>
          <w:lang w:val="en-GB"/>
        </w:rPr>
        <w:t>AVASTIN inhibits the binding of VEGF to its receptors, Flt</w:t>
      </w:r>
      <w:r>
        <w:rPr>
          <w:lang w:val="en-GB"/>
        </w:rPr>
        <w:noBreakHyphen/>
        <w:t xml:space="preserve">1 and KDR, on the surface of endothelial cells. </w:t>
      </w:r>
      <w:r w:rsidR="00BE7E48">
        <w:rPr>
          <w:lang w:val="en-GB"/>
        </w:rPr>
        <w:t xml:space="preserve"> </w:t>
      </w:r>
      <w:r>
        <w:rPr>
          <w:lang w:val="en-GB"/>
        </w:rPr>
        <w:t xml:space="preserve">Neutralising the biologic activity of VEGF reduces the vascularisation of tumours, thereby inhibiting tumour growth. </w:t>
      </w:r>
      <w:r w:rsidR="00BE7E48">
        <w:rPr>
          <w:lang w:val="en-GB"/>
        </w:rPr>
        <w:t xml:space="preserve"> </w:t>
      </w:r>
      <w:r>
        <w:rPr>
          <w:lang w:val="en-GB"/>
        </w:rPr>
        <w:t xml:space="preserve">Administration of </w:t>
      </w:r>
      <w:proofErr w:type="spellStart"/>
      <w:r>
        <w:rPr>
          <w:lang w:val="en-GB"/>
        </w:rPr>
        <w:t>bevacizumab</w:t>
      </w:r>
      <w:proofErr w:type="spellEnd"/>
      <w:r>
        <w:rPr>
          <w:lang w:val="en-GB"/>
        </w:rPr>
        <w:t xml:space="preserve"> or its parental murine antibody to </w:t>
      </w:r>
      <w:proofErr w:type="spellStart"/>
      <w:r>
        <w:rPr>
          <w:lang w:val="en-GB"/>
        </w:rPr>
        <w:t>xenotransplant</w:t>
      </w:r>
      <w:proofErr w:type="spellEnd"/>
      <w:r>
        <w:rPr>
          <w:lang w:val="en-GB"/>
        </w:rPr>
        <w:t xml:space="preserve"> models of cancer in nude mice resulted in extensive anti-tumour activity in human cancers, including colon, breast, pancreas and prostate. </w:t>
      </w:r>
      <w:r w:rsidR="00BE7E48">
        <w:rPr>
          <w:lang w:val="en-GB"/>
        </w:rPr>
        <w:t xml:space="preserve"> </w:t>
      </w:r>
      <w:r>
        <w:rPr>
          <w:lang w:val="en-GB"/>
        </w:rPr>
        <w:t>Metastatic disease progression was inhibited and microvascular permeability was reduced.</w:t>
      </w:r>
    </w:p>
    <w:p w:rsidR="008A7314" w:rsidRPr="00690D2A" w:rsidRDefault="00690D2A" w:rsidP="00690D2A">
      <w:pPr>
        <w:pStyle w:val="Heading3"/>
      </w:pPr>
      <w:r w:rsidRPr="00690D2A">
        <w:t>PHARMACOKINETICS</w:t>
      </w:r>
    </w:p>
    <w:p w:rsidR="00A214A4" w:rsidRPr="00F5296E" w:rsidRDefault="00A214A4" w:rsidP="00A214A4">
      <w:pPr>
        <w:jc w:val="both"/>
        <w:rPr>
          <w:color w:val="000000"/>
          <w:sz w:val="24"/>
          <w:szCs w:val="24"/>
        </w:rPr>
      </w:pPr>
      <w:r w:rsidRPr="00F5296E">
        <w:rPr>
          <w:color w:val="000000"/>
          <w:sz w:val="24"/>
          <w:szCs w:val="24"/>
        </w:rPr>
        <w:t xml:space="preserve">The pharmacokinetics of </w:t>
      </w:r>
      <w:proofErr w:type="spellStart"/>
      <w:r w:rsidRPr="00F5296E">
        <w:rPr>
          <w:color w:val="000000"/>
          <w:sz w:val="24"/>
          <w:szCs w:val="24"/>
        </w:rPr>
        <w:t>bevacizumab</w:t>
      </w:r>
      <w:proofErr w:type="spellEnd"/>
      <w:r w:rsidRPr="00F5296E">
        <w:rPr>
          <w:color w:val="000000"/>
          <w:sz w:val="24"/>
          <w:szCs w:val="24"/>
        </w:rPr>
        <w:t xml:space="preserve"> were characterised in patients with various types of solid tumours. </w:t>
      </w:r>
      <w:r>
        <w:rPr>
          <w:color w:val="000000"/>
          <w:sz w:val="24"/>
          <w:szCs w:val="24"/>
        </w:rPr>
        <w:t xml:space="preserve"> </w:t>
      </w:r>
      <w:r w:rsidRPr="00F5296E">
        <w:rPr>
          <w:color w:val="000000"/>
          <w:sz w:val="24"/>
          <w:szCs w:val="24"/>
        </w:rPr>
        <w:t>The doses tested were 0.1-10</w:t>
      </w:r>
      <w:r w:rsidRPr="00F5296E">
        <w:rPr>
          <w:sz w:val="24"/>
          <w:szCs w:val="24"/>
        </w:rPr>
        <w:t> </w:t>
      </w:r>
      <w:r w:rsidRPr="00F5296E">
        <w:rPr>
          <w:color w:val="000000"/>
          <w:sz w:val="24"/>
          <w:szCs w:val="24"/>
        </w:rPr>
        <w:t>mg/kg weekly in phase I; 3-20</w:t>
      </w:r>
      <w:r w:rsidRPr="00F5296E">
        <w:rPr>
          <w:sz w:val="24"/>
          <w:szCs w:val="24"/>
        </w:rPr>
        <w:t> </w:t>
      </w:r>
      <w:r w:rsidRPr="00F5296E">
        <w:rPr>
          <w:color w:val="000000"/>
          <w:sz w:val="24"/>
          <w:szCs w:val="24"/>
        </w:rPr>
        <w:t>mg/kg every two weeks (q2w) or every three weeks (q3w) in phase II; 5</w:t>
      </w:r>
      <w:r w:rsidRPr="00F5050E">
        <w:t> </w:t>
      </w:r>
      <w:r w:rsidRPr="00F5296E">
        <w:rPr>
          <w:color w:val="000000"/>
          <w:sz w:val="24"/>
          <w:szCs w:val="24"/>
        </w:rPr>
        <w:t>mg/kg (q2w) or 15</w:t>
      </w:r>
      <w:r w:rsidRPr="00F5050E">
        <w:t> </w:t>
      </w:r>
      <w:r w:rsidRPr="00F5296E">
        <w:rPr>
          <w:color w:val="000000"/>
          <w:sz w:val="24"/>
          <w:szCs w:val="24"/>
        </w:rPr>
        <w:t xml:space="preserve">mg/kg q3w in phase III. </w:t>
      </w:r>
      <w:r>
        <w:rPr>
          <w:color w:val="000000"/>
          <w:sz w:val="24"/>
          <w:szCs w:val="24"/>
        </w:rPr>
        <w:t xml:space="preserve"> </w:t>
      </w:r>
      <w:r w:rsidRPr="00F5296E">
        <w:rPr>
          <w:color w:val="000000"/>
          <w:sz w:val="24"/>
          <w:szCs w:val="24"/>
        </w:rPr>
        <w:t xml:space="preserve">In all clinical trials, </w:t>
      </w:r>
      <w:proofErr w:type="spellStart"/>
      <w:r w:rsidRPr="00F5296E">
        <w:rPr>
          <w:color w:val="000000"/>
          <w:sz w:val="24"/>
          <w:szCs w:val="24"/>
        </w:rPr>
        <w:t>bevacizumab</w:t>
      </w:r>
      <w:proofErr w:type="spellEnd"/>
      <w:r w:rsidRPr="00F5296E">
        <w:rPr>
          <w:color w:val="000000"/>
          <w:sz w:val="24"/>
          <w:szCs w:val="24"/>
        </w:rPr>
        <w:t xml:space="preserve"> was administered as an </w:t>
      </w:r>
      <w:r>
        <w:rPr>
          <w:color w:val="000000"/>
          <w:sz w:val="24"/>
          <w:szCs w:val="24"/>
        </w:rPr>
        <w:t>IV</w:t>
      </w:r>
      <w:r w:rsidRPr="00F5296E">
        <w:rPr>
          <w:color w:val="000000"/>
          <w:sz w:val="24"/>
          <w:szCs w:val="24"/>
        </w:rPr>
        <w:t xml:space="preserve"> infusion.</w:t>
      </w:r>
    </w:p>
    <w:p w:rsidR="00A214A4" w:rsidRPr="00F5296E" w:rsidRDefault="00A214A4" w:rsidP="00A214A4">
      <w:pPr>
        <w:jc w:val="both"/>
        <w:rPr>
          <w:color w:val="000000"/>
          <w:sz w:val="24"/>
          <w:szCs w:val="24"/>
        </w:rPr>
      </w:pPr>
      <w:r w:rsidRPr="00F5296E">
        <w:rPr>
          <w:color w:val="000000"/>
          <w:sz w:val="24"/>
          <w:szCs w:val="24"/>
        </w:rPr>
        <w:t xml:space="preserve">As observed with other antibodies, the pharmacokinetics of </w:t>
      </w:r>
      <w:proofErr w:type="spellStart"/>
      <w:r w:rsidRPr="00F5296E">
        <w:rPr>
          <w:color w:val="000000"/>
          <w:sz w:val="24"/>
          <w:szCs w:val="24"/>
        </w:rPr>
        <w:t>bevacizumab</w:t>
      </w:r>
      <w:proofErr w:type="spellEnd"/>
      <w:r w:rsidRPr="00F5296E">
        <w:rPr>
          <w:color w:val="000000"/>
          <w:sz w:val="24"/>
          <w:szCs w:val="24"/>
        </w:rPr>
        <w:t xml:space="preserve"> </w:t>
      </w:r>
      <w:proofErr w:type="gramStart"/>
      <w:r w:rsidRPr="00F5296E">
        <w:rPr>
          <w:color w:val="000000"/>
          <w:sz w:val="24"/>
          <w:szCs w:val="24"/>
        </w:rPr>
        <w:t>are</w:t>
      </w:r>
      <w:proofErr w:type="gramEnd"/>
      <w:r w:rsidRPr="00F5296E">
        <w:rPr>
          <w:color w:val="000000"/>
          <w:sz w:val="24"/>
          <w:szCs w:val="24"/>
        </w:rPr>
        <w:t xml:space="preserve"> well described by a two-compartment model. </w:t>
      </w:r>
      <w:r>
        <w:rPr>
          <w:color w:val="000000"/>
          <w:sz w:val="24"/>
          <w:szCs w:val="24"/>
        </w:rPr>
        <w:t xml:space="preserve"> </w:t>
      </w:r>
      <w:r w:rsidRPr="00F5296E">
        <w:rPr>
          <w:color w:val="000000"/>
          <w:sz w:val="24"/>
          <w:szCs w:val="24"/>
        </w:rPr>
        <w:t xml:space="preserve">Overall, in all clinical trials, </w:t>
      </w:r>
      <w:proofErr w:type="spellStart"/>
      <w:r w:rsidRPr="00F5296E">
        <w:rPr>
          <w:color w:val="000000"/>
          <w:sz w:val="24"/>
          <w:szCs w:val="24"/>
        </w:rPr>
        <w:t>bevacizumab</w:t>
      </w:r>
      <w:proofErr w:type="spellEnd"/>
      <w:r w:rsidRPr="00F5296E">
        <w:rPr>
          <w:color w:val="000000"/>
          <w:sz w:val="24"/>
          <w:szCs w:val="24"/>
        </w:rPr>
        <w:t xml:space="preserve"> disposition was characteri</w:t>
      </w:r>
      <w:r>
        <w:rPr>
          <w:color w:val="000000"/>
          <w:sz w:val="24"/>
          <w:szCs w:val="24"/>
        </w:rPr>
        <w:t>s</w:t>
      </w:r>
      <w:r w:rsidRPr="00F5296E">
        <w:rPr>
          <w:color w:val="000000"/>
          <w:sz w:val="24"/>
          <w:szCs w:val="24"/>
        </w:rPr>
        <w:t>ed by a low clearance, a limited volume of the central compartment (</w:t>
      </w:r>
      <w:proofErr w:type="spellStart"/>
      <w:proofErr w:type="gramStart"/>
      <w:r w:rsidRPr="00F5296E">
        <w:rPr>
          <w:color w:val="000000"/>
          <w:sz w:val="24"/>
          <w:szCs w:val="24"/>
        </w:rPr>
        <w:t>V</w:t>
      </w:r>
      <w:r w:rsidRPr="00F5296E">
        <w:rPr>
          <w:color w:val="000000"/>
          <w:sz w:val="24"/>
          <w:szCs w:val="24"/>
          <w:vertAlign w:val="subscript"/>
        </w:rPr>
        <w:t>c</w:t>
      </w:r>
      <w:proofErr w:type="spellEnd"/>
      <w:proofErr w:type="gramEnd"/>
      <w:r w:rsidRPr="00F5296E">
        <w:rPr>
          <w:color w:val="000000"/>
          <w:sz w:val="24"/>
          <w:szCs w:val="24"/>
        </w:rPr>
        <w:t xml:space="preserve">), and a long </w:t>
      </w:r>
      <w:r w:rsidRPr="00F5296E">
        <w:rPr>
          <w:color w:val="000000"/>
          <w:sz w:val="24"/>
          <w:szCs w:val="24"/>
        </w:rPr>
        <w:lastRenderedPageBreak/>
        <w:t xml:space="preserve">elimination half-life. </w:t>
      </w:r>
      <w:r>
        <w:rPr>
          <w:color w:val="000000"/>
          <w:sz w:val="24"/>
          <w:szCs w:val="24"/>
        </w:rPr>
        <w:t xml:space="preserve"> </w:t>
      </w:r>
      <w:r w:rsidRPr="00F5296E">
        <w:rPr>
          <w:color w:val="000000"/>
          <w:sz w:val="24"/>
          <w:szCs w:val="24"/>
        </w:rPr>
        <w:t xml:space="preserve">This enables target therapeutic </w:t>
      </w:r>
      <w:proofErr w:type="spellStart"/>
      <w:r w:rsidRPr="00F5296E">
        <w:rPr>
          <w:color w:val="000000"/>
          <w:sz w:val="24"/>
          <w:szCs w:val="24"/>
        </w:rPr>
        <w:t>bevacizumab</w:t>
      </w:r>
      <w:proofErr w:type="spellEnd"/>
      <w:r w:rsidRPr="00F5296E">
        <w:rPr>
          <w:color w:val="000000"/>
          <w:sz w:val="24"/>
          <w:szCs w:val="24"/>
        </w:rPr>
        <w:t xml:space="preserve"> plasma levels to be maintained with a range of administration schedules (such as one administration every 2 or 3 weeks).</w:t>
      </w:r>
    </w:p>
    <w:p w:rsidR="00A214A4" w:rsidRPr="00F5296E" w:rsidRDefault="00A214A4" w:rsidP="00A214A4">
      <w:pPr>
        <w:jc w:val="both"/>
        <w:rPr>
          <w:sz w:val="24"/>
          <w:szCs w:val="24"/>
        </w:rPr>
      </w:pPr>
      <w:r w:rsidRPr="00F5296E">
        <w:rPr>
          <w:sz w:val="24"/>
          <w:szCs w:val="24"/>
        </w:rPr>
        <w:t xml:space="preserve">In the population pharmacokinetics analysis there was no significant difference in the pharmacokinetics of </w:t>
      </w:r>
      <w:proofErr w:type="spellStart"/>
      <w:r w:rsidRPr="00F5296E">
        <w:rPr>
          <w:sz w:val="24"/>
          <w:szCs w:val="24"/>
        </w:rPr>
        <w:t>bevacizumab</w:t>
      </w:r>
      <w:proofErr w:type="spellEnd"/>
      <w:r w:rsidRPr="00F5296E">
        <w:rPr>
          <w:sz w:val="24"/>
          <w:szCs w:val="24"/>
        </w:rPr>
        <w:t xml:space="preserve"> in relation to age</w:t>
      </w:r>
      <w:r w:rsidRPr="00F5296E">
        <w:rPr>
          <w:color w:val="000000"/>
          <w:sz w:val="24"/>
          <w:szCs w:val="24"/>
        </w:rPr>
        <w:t xml:space="preserve"> (no correlation between </w:t>
      </w:r>
      <w:proofErr w:type="spellStart"/>
      <w:r w:rsidRPr="00F5296E">
        <w:rPr>
          <w:color w:val="000000"/>
          <w:sz w:val="24"/>
          <w:szCs w:val="24"/>
        </w:rPr>
        <w:t>bevacizumab</w:t>
      </w:r>
      <w:proofErr w:type="spellEnd"/>
      <w:r w:rsidRPr="00F5296E">
        <w:rPr>
          <w:color w:val="000000"/>
          <w:sz w:val="24"/>
          <w:szCs w:val="24"/>
        </w:rPr>
        <w:t xml:space="preserve"> clearance and </w:t>
      </w:r>
      <w:r w:rsidR="00F32996">
        <w:rPr>
          <w:color w:val="000000"/>
          <w:sz w:val="24"/>
          <w:szCs w:val="24"/>
        </w:rPr>
        <w:t>patient</w:t>
      </w:r>
      <w:r w:rsidR="00F32996" w:rsidRPr="00F5296E">
        <w:rPr>
          <w:color w:val="000000"/>
          <w:sz w:val="24"/>
          <w:szCs w:val="24"/>
        </w:rPr>
        <w:t xml:space="preserve"> </w:t>
      </w:r>
      <w:r w:rsidRPr="00F5296E">
        <w:rPr>
          <w:color w:val="000000"/>
          <w:sz w:val="24"/>
          <w:szCs w:val="24"/>
        </w:rPr>
        <w:t>age [the median age was 59 year</w:t>
      </w:r>
      <w:r w:rsidR="00771E30">
        <w:rPr>
          <w:color w:val="000000"/>
          <w:sz w:val="24"/>
          <w:szCs w:val="24"/>
        </w:rPr>
        <w:t>s</w:t>
      </w:r>
      <w:r w:rsidRPr="00F5296E">
        <w:rPr>
          <w:color w:val="000000"/>
          <w:sz w:val="24"/>
          <w:szCs w:val="24"/>
        </w:rPr>
        <w:t xml:space="preserve"> with 5</w:t>
      </w:r>
      <w:r w:rsidRPr="00F5296E">
        <w:rPr>
          <w:color w:val="000000"/>
          <w:sz w:val="24"/>
          <w:szCs w:val="24"/>
          <w:vertAlign w:val="superscript"/>
        </w:rPr>
        <w:t>th</w:t>
      </w:r>
      <w:r w:rsidRPr="00F5296E">
        <w:rPr>
          <w:color w:val="000000"/>
          <w:sz w:val="24"/>
          <w:szCs w:val="24"/>
        </w:rPr>
        <w:t xml:space="preserve"> and 95</w:t>
      </w:r>
      <w:r w:rsidRPr="00F5296E">
        <w:rPr>
          <w:color w:val="000000"/>
          <w:sz w:val="24"/>
          <w:szCs w:val="24"/>
          <w:vertAlign w:val="superscript"/>
        </w:rPr>
        <w:t>th</w:t>
      </w:r>
      <w:r w:rsidRPr="00F5296E">
        <w:rPr>
          <w:color w:val="000000"/>
          <w:sz w:val="24"/>
          <w:szCs w:val="24"/>
        </w:rPr>
        <w:t xml:space="preserve"> percentiles of 37 and 76 year</w:t>
      </w:r>
      <w:r w:rsidR="00771E30">
        <w:rPr>
          <w:color w:val="000000"/>
          <w:sz w:val="24"/>
          <w:szCs w:val="24"/>
        </w:rPr>
        <w:t>s</w:t>
      </w:r>
      <w:r>
        <w:rPr>
          <w:color w:val="000000"/>
          <w:sz w:val="24"/>
          <w:szCs w:val="24"/>
        </w:rPr>
        <w:t>]).</w:t>
      </w:r>
    </w:p>
    <w:p w:rsidR="00A214A4" w:rsidRPr="00A71179" w:rsidRDefault="00A214A4" w:rsidP="00A214A4">
      <w:pPr>
        <w:jc w:val="both"/>
        <w:rPr>
          <w:color w:val="000000"/>
          <w:sz w:val="24"/>
          <w:szCs w:val="24"/>
        </w:rPr>
      </w:pPr>
      <w:r w:rsidRPr="00A71179">
        <w:rPr>
          <w:sz w:val="24"/>
          <w:szCs w:val="24"/>
        </w:rPr>
        <w:t xml:space="preserve">Low albumin and high </w:t>
      </w:r>
      <w:r w:rsidR="00F53D06" w:rsidRPr="00A71179">
        <w:rPr>
          <w:color w:val="000000"/>
          <w:sz w:val="24"/>
          <w:szCs w:val="24"/>
        </w:rPr>
        <w:t>tumour burden</w:t>
      </w:r>
      <w:r w:rsidRPr="00A71179">
        <w:rPr>
          <w:sz w:val="24"/>
          <w:szCs w:val="24"/>
        </w:rPr>
        <w:t xml:space="preserve"> are generally indicative of disease severity.  </w:t>
      </w:r>
      <w:proofErr w:type="spellStart"/>
      <w:r w:rsidRPr="00A71179">
        <w:rPr>
          <w:sz w:val="24"/>
          <w:szCs w:val="24"/>
        </w:rPr>
        <w:t>Bevacizumab</w:t>
      </w:r>
      <w:proofErr w:type="spellEnd"/>
      <w:r w:rsidRPr="00A71179">
        <w:rPr>
          <w:sz w:val="24"/>
          <w:szCs w:val="24"/>
        </w:rPr>
        <w:t xml:space="preserve"> clearance was approximately </w:t>
      </w:r>
      <w:r w:rsidR="00F53D06" w:rsidRPr="00A71179">
        <w:rPr>
          <w:sz w:val="24"/>
          <w:szCs w:val="24"/>
        </w:rPr>
        <w:t>30</w:t>
      </w:r>
      <w:r w:rsidRPr="00A71179">
        <w:rPr>
          <w:sz w:val="24"/>
          <w:szCs w:val="24"/>
        </w:rPr>
        <w:t xml:space="preserve">% </w:t>
      </w:r>
      <w:r w:rsidR="00F53D06" w:rsidRPr="00A71179">
        <w:rPr>
          <w:sz w:val="24"/>
          <w:szCs w:val="24"/>
        </w:rPr>
        <w:t>faster</w:t>
      </w:r>
      <w:r w:rsidRPr="00A71179">
        <w:rPr>
          <w:sz w:val="24"/>
          <w:szCs w:val="24"/>
        </w:rPr>
        <w:t xml:space="preserve"> in </w:t>
      </w:r>
      <w:r w:rsidR="00F53D06" w:rsidRPr="00A71179">
        <w:rPr>
          <w:sz w:val="24"/>
          <w:szCs w:val="24"/>
        </w:rPr>
        <w:t xml:space="preserve">patients </w:t>
      </w:r>
      <w:r w:rsidRPr="00A71179">
        <w:rPr>
          <w:sz w:val="24"/>
          <w:szCs w:val="24"/>
        </w:rPr>
        <w:t xml:space="preserve">with low levels of serum albumin </w:t>
      </w:r>
      <w:r w:rsidR="00F53D06" w:rsidRPr="00A71179">
        <w:rPr>
          <w:color w:val="000000"/>
          <w:sz w:val="24"/>
          <w:szCs w:val="24"/>
        </w:rPr>
        <w:t>and 7% faster in subjects with higher tumour burden</w:t>
      </w:r>
      <w:r w:rsidRPr="00A71179">
        <w:rPr>
          <w:sz w:val="24"/>
          <w:szCs w:val="24"/>
        </w:rPr>
        <w:t xml:space="preserve"> when compared with the typical </w:t>
      </w:r>
      <w:r w:rsidR="00F53D06" w:rsidRPr="00A71179">
        <w:rPr>
          <w:sz w:val="24"/>
          <w:szCs w:val="24"/>
        </w:rPr>
        <w:t xml:space="preserve">patient </w:t>
      </w:r>
      <w:r w:rsidRPr="00A71179">
        <w:rPr>
          <w:sz w:val="24"/>
          <w:szCs w:val="24"/>
        </w:rPr>
        <w:t>with median values of albumin and</w:t>
      </w:r>
      <w:r w:rsidR="00F53D06" w:rsidRPr="00A71179">
        <w:rPr>
          <w:color w:val="000000"/>
          <w:sz w:val="24"/>
          <w:szCs w:val="24"/>
        </w:rPr>
        <w:t xml:space="preserve"> tumour burden</w:t>
      </w:r>
      <w:r w:rsidRPr="00A71179">
        <w:rPr>
          <w:sz w:val="24"/>
          <w:szCs w:val="24"/>
        </w:rPr>
        <w:t>.</w:t>
      </w:r>
    </w:p>
    <w:p w:rsidR="008A7314" w:rsidRDefault="008A7314" w:rsidP="00DC2FA8">
      <w:pPr>
        <w:pStyle w:val="Heading4"/>
        <w:ind w:left="0"/>
      </w:pPr>
      <w:r>
        <w:t>Absorption and Bioavailability</w:t>
      </w:r>
    </w:p>
    <w:p w:rsidR="00810904" w:rsidRDefault="00810904" w:rsidP="00810904">
      <w:pPr>
        <w:pStyle w:val="TextTi12"/>
      </w:pPr>
      <w:r>
        <w:t>Not applicable.</w:t>
      </w:r>
    </w:p>
    <w:p w:rsidR="008A7314" w:rsidRDefault="008A7314" w:rsidP="00DC2FA8">
      <w:pPr>
        <w:pStyle w:val="Heading4"/>
        <w:ind w:left="0"/>
      </w:pPr>
      <w:r>
        <w:t>Distribution</w:t>
      </w:r>
    </w:p>
    <w:p w:rsidR="00A214A4" w:rsidRPr="005A2FE0" w:rsidRDefault="00A214A4" w:rsidP="00A214A4">
      <w:pPr>
        <w:pStyle w:val="TextTi12"/>
        <w:rPr>
          <w:szCs w:val="24"/>
        </w:rPr>
      </w:pPr>
      <w:r w:rsidRPr="005A2FE0">
        <w:rPr>
          <w:szCs w:val="24"/>
        </w:rPr>
        <w:t>The typical value for</w:t>
      </w:r>
      <w:r w:rsidR="00DC07F5" w:rsidRPr="005A2FE0">
        <w:rPr>
          <w:szCs w:val="24"/>
        </w:rPr>
        <w:t xml:space="preserve"> central volume</w:t>
      </w:r>
      <w:r w:rsidRPr="005A2FE0">
        <w:rPr>
          <w:szCs w:val="24"/>
        </w:rPr>
        <w:t xml:space="preserve"> </w:t>
      </w:r>
      <w:r w:rsidR="004B5E8F">
        <w:rPr>
          <w:szCs w:val="24"/>
        </w:rPr>
        <w:t>(</w:t>
      </w:r>
      <w:proofErr w:type="spellStart"/>
      <w:proofErr w:type="gramStart"/>
      <w:r w:rsidRPr="005A2FE0">
        <w:rPr>
          <w:szCs w:val="24"/>
        </w:rPr>
        <w:t>V</w:t>
      </w:r>
      <w:r w:rsidRPr="005A2FE0">
        <w:rPr>
          <w:szCs w:val="24"/>
          <w:vertAlign w:val="subscript"/>
        </w:rPr>
        <w:t>c</w:t>
      </w:r>
      <w:proofErr w:type="spellEnd"/>
      <w:proofErr w:type="gramEnd"/>
      <w:r w:rsidR="004B5E8F">
        <w:rPr>
          <w:szCs w:val="24"/>
        </w:rPr>
        <w:t xml:space="preserve">) </w:t>
      </w:r>
      <w:r w:rsidRPr="005A2FE0">
        <w:rPr>
          <w:szCs w:val="24"/>
        </w:rPr>
        <w:t xml:space="preserve">was </w:t>
      </w:r>
      <w:r w:rsidR="00DC07F5" w:rsidRPr="005A2FE0">
        <w:rPr>
          <w:szCs w:val="24"/>
        </w:rPr>
        <w:t>2.73</w:t>
      </w:r>
      <w:r w:rsidRPr="005A2FE0">
        <w:rPr>
          <w:szCs w:val="24"/>
        </w:rPr>
        <w:t xml:space="preserve"> L and </w:t>
      </w:r>
      <w:r w:rsidR="00DC07F5" w:rsidRPr="005A2FE0">
        <w:rPr>
          <w:szCs w:val="24"/>
        </w:rPr>
        <w:t>3.28</w:t>
      </w:r>
      <w:r w:rsidRPr="005A2FE0">
        <w:rPr>
          <w:szCs w:val="24"/>
        </w:rPr>
        <w:t xml:space="preserve"> L for female and male </w:t>
      </w:r>
      <w:r w:rsidR="00DC07F5" w:rsidRPr="005A2FE0">
        <w:rPr>
          <w:szCs w:val="24"/>
        </w:rPr>
        <w:t>patients</w:t>
      </w:r>
      <w:r w:rsidR="00395FA3" w:rsidRPr="005A2FE0">
        <w:rPr>
          <w:szCs w:val="24"/>
        </w:rPr>
        <w:t>,</w:t>
      </w:r>
      <w:r w:rsidRPr="005A2FE0">
        <w:rPr>
          <w:szCs w:val="24"/>
        </w:rPr>
        <w:t xml:space="preserve"> respectively, which is in the range that has been described for </w:t>
      </w:r>
      <w:proofErr w:type="spellStart"/>
      <w:r w:rsidRPr="005A2FE0">
        <w:rPr>
          <w:szCs w:val="24"/>
        </w:rPr>
        <w:t>IgGs</w:t>
      </w:r>
      <w:proofErr w:type="spellEnd"/>
      <w:r w:rsidRPr="005A2FE0">
        <w:rPr>
          <w:szCs w:val="24"/>
        </w:rPr>
        <w:t xml:space="preserve"> and other monoclonal antibodies.  After correcting for body weight, male </w:t>
      </w:r>
      <w:r w:rsidR="00377CA0" w:rsidRPr="005A2FE0">
        <w:rPr>
          <w:szCs w:val="24"/>
        </w:rPr>
        <w:t xml:space="preserve">patients </w:t>
      </w:r>
      <w:r w:rsidRPr="005A2FE0">
        <w:rPr>
          <w:szCs w:val="24"/>
        </w:rPr>
        <w:t xml:space="preserve">had a larger </w:t>
      </w:r>
      <w:proofErr w:type="spellStart"/>
      <w:proofErr w:type="gramStart"/>
      <w:r w:rsidRPr="005A2FE0">
        <w:rPr>
          <w:szCs w:val="24"/>
        </w:rPr>
        <w:t>V</w:t>
      </w:r>
      <w:r w:rsidRPr="005A2FE0">
        <w:rPr>
          <w:szCs w:val="24"/>
          <w:vertAlign w:val="subscript"/>
        </w:rPr>
        <w:t>c</w:t>
      </w:r>
      <w:proofErr w:type="spellEnd"/>
      <w:proofErr w:type="gramEnd"/>
      <w:r w:rsidRPr="005A2FE0">
        <w:rPr>
          <w:szCs w:val="24"/>
        </w:rPr>
        <w:t xml:space="preserve"> (</w:t>
      </w:r>
      <w:r w:rsidR="00620BAB" w:rsidRPr="005A2FE0">
        <w:rPr>
          <w:szCs w:val="24"/>
        </w:rPr>
        <w:t>+</w:t>
      </w:r>
      <w:r w:rsidR="00DC07F5" w:rsidRPr="005A2FE0">
        <w:rPr>
          <w:szCs w:val="24"/>
        </w:rPr>
        <w:t>20</w:t>
      </w:r>
      <w:r w:rsidRPr="005A2FE0">
        <w:rPr>
          <w:szCs w:val="24"/>
        </w:rPr>
        <w:t>%) than female</w:t>
      </w:r>
      <w:r w:rsidR="00DC07F5" w:rsidRPr="005A2FE0">
        <w:rPr>
          <w:szCs w:val="24"/>
        </w:rPr>
        <w:t xml:space="preserve"> patients</w:t>
      </w:r>
      <w:r w:rsidRPr="005A2FE0">
        <w:rPr>
          <w:szCs w:val="24"/>
        </w:rPr>
        <w:t>.</w:t>
      </w:r>
    </w:p>
    <w:p w:rsidR="008A7314" w:rsidRDefault="008A7314" w:rsidP="00DC2FA8">
      <w:pPr>
        <w:pStyle w:val="Heading4"/>
        <w:ind w:left="0"/>
      </w:pPr>
      <w:r>
        <w:t>Metabolism</w:t>
      </w:r>
    </w:p>
    <w:p w:rsidR="006F2684" w:rsidRDefault="00810904" w:rsidP="00810904">
      <w:pPr>
        <w:pStyle w:val="TextTi12"/>
      </w:pPr>
      <w:r>
        <w:t xml:space="preserve">Assessment of </w:t>
      </w:r>
      <w:proofErr w:type="spellStart"/>
      <w:r>
        <w:t>bevacizumab</w:t>
      </w:r>
      <w:proofErr w:type="spellEnd"/>
      <w:r>
        <w:t xml:space="preserve"> metabolism in rabbits following a single IV dose of </w:t>
      </w:r>
      <w:r>
        <w:rPr>
          <w:vertAlign w:val="superscript"/>
        </w:rPr>
        <w:t>125</w:t>
      </w:r>
      <w:r>
        <w:t xml:space="preserve">I-bevacizumab </w:t>
      </w:r>
      <w:r w:rsidR="00347B8C" w:rsidRPr="007B1CE9">
        <w:t>suggested</w:t>
      </w:r>
      <w:r w:rsidR="00347B8C">
        <w:t xml:space="preserve"> </w:t>
      </w:r>
      <w:r>
        <w:t xml:space="preserve">that its metabolic profile was similar to that expected for a native </w:t>
      </w:r>
      <w:proofErr w:type="spellStart"/>
      <w:r>
        <w:t>IgG</w:t>
      </w:r>
      <w:proofErr w:type="spellEnd"/>
      <w:r>
        <w:t xml:space="preserve"> molecule which does not bind VEGF.</w:t>
      </w:r>
      <w:r w:rsidR="00EA16CC">
        <w:t xml:space="preserve"> </w:t>
      </w:r>
    </w:p>
    <w:p w:rsidR="008A7314" w:rsidRDefault="008A7314" w:rsidP="00690D2A">
      <w:pPr>
        <w:pStyle w:val="Heading4"/>
        <w:ind w:left="0"/>
      </w:pPr>
      <w:r>
        <w:t>Elimination</w:t>
      </w:r>
    </w:p>
    <w:p w:rsidR="00A214A4" w:rsidRDefault="00A214A4" w:rsidP="00A214A4">
      <w:pPr>
        <w:pStyle w:val="TextTi12"/>
        <w:rPr>
          <w:color w:val="000000"/>
        </w:rPr>
      </w:pPr>
      <w:r>
        <w:rPr>
          <w:color w:val="000000"/>
        </w:rPr>
        <w:t xml:space="preserve">The pharmacokinetics of </w:t>
      </w:r>
      <w:proofErr w:type="spellStart"/>
      <w:r>
        <w:rPr>
          <w:color w:val="000000"/>
        </w:rPr>
        <w:t>bevacizumab</w:t>
      </w:r>
      <w:proofErr w:type="spellEnd"/>
      <w:r>
        <w:rPr>
          <w:color w:val="000000"/>
        </w:rPr>
        <w:t xml:space="preserve"> </w:t>
      </w:r>
      <w:proofErr w:type="gramStart"/>
      <w:r>
        <w:rPr>
          <w:color w:val="000000"/>
        </w:rPr>
        <w:t>are</w:t>
      </w:r>
      <w:proofErr w:type="gramEnd"/>
      <w:r>
        <w:rPr>
          <w:color w:val="000000"/>
        </w:rPr>
        <w:t xml:space="preserve"> linear at doses ranging from 1.5 to 10</w:t>
      </w:r>
      <w:r w:rsidRPr="00F5296E">
        <w:rPr>
          <w:szCs w:val="24"/>
        </w:rPr>
        <w:t> </w:t>
      </w:r>
      <w:r>
        <w:rPr>
          <w:color w:val="000000"/>
        </w:rPr>
        <w:t>mg/kg/wk.</w:t>
      </w:r>
    </w:p>
    <w:p w:rsidR="006942A0" w:rsidRPr="005A2FE0" w:rsidRDefault="00A214A4" w:rsidP="00A214A4">
      <w:pPr>
        <w:pStyle w:val="TextTi12"/>
        <w:rPr>
          <w:szCs w:val="24"/>
        </w:rPr>
      </w:pPr>
      <w:r w:rsidRPr="005A2FE0">
        <w:rPr>
          <w:color w:val="000000"/>
          <w:szCs w:val="24"/>
        </w:rPr>
        <w:t xml:space="preserve">The value for clearance is, on average, equal to </w:t>
      </w:r>
      <w:r w:rsidR="006942A0" w:rsidRPr="005A2FE0">
        <w:rPr>
          <w:color w:val="000000"/>
          <w:szCs w:val="24"/>
        </w:rPr>
        <w:t>0.188</w:t>
      </w:r>
      <w:r w:rsidRPr="005A2FE0">
        <w:rPr>
          <w:color w:val="000000"/>
          <w:szCs w:val="24"/>
        </w:rPr>
        <w:t xml:space="preserve"> and 0.</w:t>
      </w:r>
      <w:r w:rsidR="006942A0" w:rsidRPr="005A2FE0">
        <w:rPr>
          <w:color w:val="000000"/>
          <w:szCs w:val="24"/>
        </w:rPr>
        <w:t>220</w:t>
      </w:r>
      <w:r w:rsidR="006942A0" w:rsidRPr="005A2FE0">
        <w:rPr>
          <w:szCs w:val="24"/>
        </w:rPr>
        <w:t> </w:t>
      </w:r>
      <w:r w:rsidRPr="005A2FE0">
        <w:rPr>
          <w:color w:val="000000"/>
          <w:szCs w:val="24"/>
        </w:rPr>
        <w:t xml:space="preserve">L/day for female and male </w:t>
      </w:r>
      <w:r w:rsidR="006942A0" w:rsidRPr="005A2FE0">
        <w:rPr>
          <w:color w:val="000000"/>
          <w:szCs w:val="24"/>
        </w:rPr>
        <w:t>patients</w:t>
      </w:r>
      <w:r w:rsidRPr="005A2FE0">
        <w:rPr>
          <w:color w:val="000000"/>
          <w:szCs w:val="24"/>
        </w:rPr>
        <w:t xml:space="preserve">, respectively.  After correcting for body weight, male </w:t>
      </w:r>
      <w:r w:rsidR="006942A0" w:rsidRPr="005A2FE0">
        <w:rPr>
          <w:color w:val="000000"/>
          <w:szCs w:val="24"/>
        </w:rPr>
        <w:t xml:space="preserve">patients </w:t>
      </w:r>
      <w:r w:rsidRPr="005A2FE0">
        <w:rPr>
          <w:color w:val="000000"/>
          <w:szCs w:val="24"/>
        </w:rPr>
        <w:t xml:space="preserve">had a higher </w:t>
      </w:r>
      <w:proofErr w:type="spellStart"/>
      <w:r w:rsidRPr="005A2FE0">
        <w:rPr>
          <w:color w:val="000000"/>
          <w:szCs w:val="24"/>
        </w:rPr>
        <w:t>bevacizumab</w:t>
      </w:r>
      <w:proofErr w:type="spellEnd"/>
      <w:r w:rsidRPr="005A2FE0">
        <w:rPr>
          <w:color w:val="000000"/>
          <w:szCs w:val="24"/>
        </w:rPr>
        <w:t xml:space="preserve"> clearance (</w:t>
      </w:r>
      <w:r w:rsidR="00620BAB" w:rsidRPr="005A2FE0">
        <w:rPr>
          <w:color w:val="000000"/>
          <w:szCs w:val="24"/>
        </w:rPr>
        <w:t>+</w:t>
      </w:r>
      <w:r w:rsidR="006942A0" w:rsidRPr="005A2FE0">
        <w:rPr>
          <w:color w:val="000000"/>
          <w:szCs w:val="24"/>
        </w:rPr>
        <w:t>17</w:t>
      </w:r>
      <w:r w:rsidRPr="005A2FE0">
        <w:rPr>
          <w:color w:val="000000"/>
          <w:szCs w:val="24"/>
        </w:rPr>
        <w:t xml:space="preserve">%) than females.  According to the </w:t>
      </w:r>
      <w:r w:rsidR="006942A0" w:rsidRPr="005A2FE0">
        <w:rPr>
          <w:color w:val="000000"/>
          <w:szCs w:val="24"/>
        </w:rPr>
        <w:t>two</w:t>
      </w:r>
      <w:r w:rsidRPr="005A2FE0">
        <w:rPr>
          <w:color w:val="000000"/>
          <w:szCs w:val="24"/>
        </w:rPr>
        <w:t xml:space="preserve">-compartmental model, the </w:t>
      </w:r>
      <w:r w:rsidR="006942A0" w:rsidRPr="005A2FE0">
        <w:rPr>
          <w:color w:val="000000"/>
          <w:szCs w:val="24"/>
        </w:rPr>
        <w:t xml:space="preserve">elimination </w:t>
      </w:r>
      <w:r w:rsidRPr="005A2FE0">
        <w:rPr>
          <w:color w:val="000000"/>
          <w:szCs w:val="24"/>
        </w:rPr>
        <w:t xml:space="preserve">half-life is </w:t>
      </w:r>
      <w:r w:rsidR="006942A0" w:rsidRPr="005A2FE0">
        <w:rPr>
          <w:color w:val="000000"/>
          <w:szCs w:val="24"/>
        </w:rPr>
        <w:t>18</w:t>
      </w:r>
      <w:r w:rsidRPr="005A2FE0">
        <w:rPr>
          <w:color w:val="000000"/>
          <w:szCs w:val="24"/>
        </w:rPr>
        <w:t xml:space="preserve"> days for a typical female </w:t>
      </w:r>
      <w:r w:rsidR="006942A0" w:rsidRPr="005A2FE0">
        <w:rPr>
          <w:color w:val="000000"/>
          <w:szCs w:val="24"/>
        </w:rPr>
        <w:t xml:space="preserve">patient </w:t>
      </w:r>
      <w:r w:rsidRPr="005A2FE0">
        <w:rPr>
          <w:color w:val="000000"/>
          <w:szCs w:val="24"/>
        </w:rPr>
        <w:t xml:space="preserve">and </w:t>
      </w:r>
      <w:r w:rsidR="006942A0" w:rsidRPr="005A2FE0">
        <w:rPr>
          <w:color w:val="000000"/>
          <w:szCs w:val="24"/>
        </w:rPr>
        <w:t xml:space="preserve">20 </w:t>
      </w:r>
      <w:r w:rsidRPr="005A2FE0">
        <w:rPr>
          <w:color w:val="000000"/>
          <w:szCs w:val="24"/>
        </w:rPr>
        <w:t>days for a typical male</w:t>
      </w:r>
      <w:r w:rsidR="006942A0" w:rsidRPr="005A2FE0">
        <w:rPr>
          <w:color w:val="000000"/>
          <w:szCs w:val="24"/>
        </w:rPr>
        <w:t xml:space="preserve"> patient</w:t>
      </w:r>
      <w:r w:rsidRPr="005A2FE0">
        <w:rPr>
          <w:color w:val="000000"/>
          <w:szCs w:val="24"/>
        </w:rPr>
        <w:t xml:space="preserve">. </w:t>
      </w:r>
    </w:p>
    <w:p w:rsidR="003D114B" w:rsidRPr="00690D2A" w:rsidRDefault="003D114B" w:rsidP="003D114B">
      <w:pPr>
        <w:pStyle w:val="Heading4"/>
        <w:ind w:left="0"/>
      </w:pPr>
      <w:r w:rsidRPr="00690D2A">
        <w:t>Pharmacokinetics in Special Populations</w:t>
      </w:r>
    </w:p>
    <w:p w:rsidR="003D114B" w:rsidRDefault="003D114B" w:rsidP="003D114B">
      <w:pPr>
        <w:pStyle w:val="TextTi12"/>
        <w:rPr>
          <w:lang w:val="en-GB"/>
        </w:rPr>
      </w:pPr>
      <w:r>
        <w:rPr>
          <w:lang w:val="en-GB"/>
        </w:rPr>
        <w:t xml:space="preserve">The population pharmacokinetics of </w:t>
      </w:r>
      <w:proofErr w:type="spellStart"/>
      <w:r>
        <w:rPr>
          <w:lang w:val="en-GB"/>
        </w:rPr>
        <w:t>bevacizumab</w:t>
      </w:r>
      <w:proofErr w:type="spellEnd"/>
      <w:r>
        <w:rPr>
          <w:lang w:val="en-GB"/>
        </w:rPr>
        <w:t xml:space="preserve"> were analysed to evaluate the effects of demographic characteristics.  The results showed no significant difference in the pharmacokinetics of </w:t>
      </w:r>
      <w:proofErr w:type="spellStart"/>
      <w:r>
        <w:rPr>
          <w:lang w:val="en-GB"/>
        </w:rPr>
        <w:t>bevacizumab</w:t>
      </w:r>
      <w:proofErr w:type="spellEnd"/>
      <w:r>
        <w:rPr>
          <w:lang w:val="en-GB"/>
        </w:rPr>
        <w:t xml:space="preserve"> in relation to age.</w:t>
      </w:r>
    </w:p>
    <w:p w:rsidR="003D114B" w:rsidRDefault="003D114B" w:rsidP="003D114B">
      <w:pPr>
        <w:pStyle w:val="TextTi12"/>
        <w:outlineLvl w:val="0"/>
        <w:rPr>
          <w:lang w:val="en-GB"/>
        </w:rPr>
      </w:pPr>
      <w:r w:rsidRPr="00690D2A">
        <w:rPr>
          <w:i/>
          <w:lang w:val="en-GB"/>
        </w:rPr>
        <w:t xml:space="preserve">Children and </w:t>
      </w:r>
      <w:r w:rsidR="00552350">
        <w:rPr>
          <w:i/>
          <w:lang w:val="en-GB"/>
        </w:rPr>
        <w:t>a</w:t>
      </w:r>
      <w:r w:rsidRPr="00690D2A">
        <w:rPr>
          <w:i/>
          <w:lang w:val="en-GB"/>
        </w:rPr>
        <w:t>dolescents:</w:t>
      </w:r>
      <w:r>
        <w:rPr>
          <w:lang w:val="en-GB"/>
        </w:rPr>
        <w:t xml:space="preserve"> </w:t>
      </w:r>
      <w:r w:rsidR="001655A0" w:rsidRPr="001655A0">
        <w:rPr>
          <w:lang w:val="en-GB"/>
        </w:rPr>
        <w:t xml:space="preserve">The pharmacokinetics of </w:t>
      </w:r>
      <w:proofErr w:type="spellStart"/>
      <w:r w:rsidR="001655A0" w:rsidRPr="001655A0">
        <w:rPr>
          <w:lang w:val="en-GB"/>
        </w:rPr>
        <w:t>bevacizumab</w:t>
      </w:r>
      <w:proofErr w:type="spellEnd"/>
      <w:r w:rsidR="001655A0" w:rsidRPr="001655A0">
        <w:rPr>
          <w:lang w:val="en-GB"/>
        </w:rPr>
        <w:t xml:space="preserve"> </w:t>
      </w:r>
      <w:proofErr w:type="gramStart"/>
      <w:r w:rsidR="001655A0" w:rsidRPr="001655A0">
        <w:rPr>
          <w:lang w:val="en-GB"/>
        </w:rPr>
        <w:t>have</w:t>
      </w:r>
      <w:proofErr w:type="gramEnd"/>
      <w:r w:rsidR="001655A0" w:rsidRPr="001655A0">
        <w:rPr>
          <w:lang w:val="en-GB"/>
        </w:rPr>
        <w:t xml:space="preserve"> been studied in a limited number of paediatric patients. The resulting pharmacokinetic data suggest that the volume of </w:t>
      </w:r>
      <w:proofErr w:type="gramStart"/>
      <w:r w:rsidR="001655A0" w:rsidRPr="001655A0">
        <w:rPr>
          <w:lang w:val="en-GB"/>
        </w:rPr>
        <w:t>distribution</w:t>
      </w:r>
      <w:proofErr w:type="gramEnd"/>
      <w:r w:rsidR="001655A0" w:rsidRPr="001655A0">
        <w:rPr>
          <w:lang w:val="en-GB"/>
        </w:rPr>
        <w:t xml:space="preserve"> and clearance of </w:t>
      </w:r>
      <w:proofErr w:type="spellStart"/>
      <w:r w:rsidR="001655A0" w:rsidRPr="001655A0">
        <w:rPr>
          <w:lang w:val="en-GB"/>
        </w:rPr>
        <w:t>bevacizumab</w:t>
      </w:r>
      <w:proofErr w:type="spellEnd"/>
      <w:r w:rsidR="001655A0" w:rsidRPr="001655A0">
        <w:rPr>
          <w:lang w:val="en-GB"/>
        </w:rPr>
        <w:t xml:space="preserve"> were comparable to that in adults with solid tumours.</w:t>
      </w:r>
    </w:p>
    <w:p w:rsidR="003D114B" w:rsidRDefault="003D114B" w:rsidP="003D114B">
      <w:pPr>
        <w:pStyle w:val="TextTi12"/>
        <w:outlineLvl w:val="0"/>
        <w:rPr>
          <w:lang w:val="en-GB"/>
        </w:rPr>
      </w:pPr>
      <w:r w:rsidRPr="00690D2A">
        <w:rPr>
          <w:i/>
          <w:lang w:val="en-GB"/>
        </w:rPr>
        <w:t>Renal impairment</w:t>
      </w:r>
      <w:r>
        <w:rPr>
          <w:lang w:val="en-GB"/>
        </w:rPr>
        <w:t xml:space="preserve">: </w:t>
      </w:r>
      <w:r w:rsidR="001655A0" w:rsidRPr="001655A0">
        <w:rPr>
          <w:lang w:val="en-GB"/>
        </w:rPr>
        <w:t xml:space="preserve">No studies have been conducted to investigate the pharmacokinetics of </w:t>
      </w:r>
      <w:proofErr w:type="spellStart"/>
      <w:r w:rsidR="001655A0" w:rsidRPr="001655A0">
        <w:rPr>
          <w:lang w:val="en-GB"/>
        </w:rPr>
        <w:t>bevacizumab</w:t>
      </w:r>
      <w:proofErr w:type="spellEnd"/>
      <w:r w:rsidR="001655A0" w:rsidRPr="001655A0">
        <w:rPr>
          <w:lang w:val="en-GB"/>
        </w:rPr>
        <w:t xml:space="preserve"> in </w:t>
      </w:r>
      <w:proofErr w:type="spellStart"/>
      <w:r w:rsidR="001655A0" w:rsidRPr="001655A0">
        <w:rPr>
          <w:lang w:val="en-GB"/>
        </w:rPr>
        <w:t>renally</w:t>
      </w:r>
      <w:proofErr w:type="spellEnd"/>
      <w:r w:rsidR="001655A0" w:rsidRPr="001655A0">
        <w:rPr>
          <w:lang w:val="en-GB"/>
        </w:rPr>
        <w:t xml:space="preserve"> impaired patients since the kidneys are not a major organ for </w:t>
      </w:r>
      <w:proofErr w:type="spellStart"/>
      <w:r w:rsidR="001655A0" w:rsidRPr="001655A0">
        <w:rPr>
          <w:lang w:val="en-GB"/>
        </w:rPr>
        <w:t>bevacizumab</w:t>
      </w:r>
      <w:proofErr w:type="spellEnd"/>
      <w:r w:rsidR="001655A0" w:rsidRPr="001655A0">
        <w:rPr>
          <w:lang w:val="en-GB"/>
        </w:rPr>
        <w:t xml:space="preserve"> metabolism or excretion.</w:t>
      </w:r>
      <w:r>
        <w:rPr>
          <w:lang w:val="en-GB"/>
        </w:rPr>
        <w:t xml:space="preserve"> </w:t>
      </w:r>
    </w:p>
    <w:p w:rsidR="001655A0" w:rsidRDefault="003D114B" w:rsidP="001655A0">
      <w:pPr>
        <w:pStyle w:val="TextTi12"/>
        <w:outlineLvl w:val="0"/>
        <w:rPr>
          <w:lang w:val="en-GB"/>
        </w:rPr>
      </w:pPr>
      <w:r w:rsidRPr="00690D2A">
        <w:rPr>
          <w:i/>
          <w:lang w:val="en-GB"/>
        </w:rPr>
        <w:t>Hepatic impairment</w:t>
      </w:r>
      <w:r>
        <w:rPr>
          <w:lang w:val="en-GB"/>
        </w:rPr>
        <w:t xml:space="preserve">: </w:t>
      </w:r>
      <w:r w:rsidR="001655A0" w:rsidRPr="001655A0">
        <w:rPr>
          <w:lang w:val="en-GB"/>
        </w:rPr>
        <w:t xml:space="preserve">No studies have been conducted to investigate the pharmacokinetics of </w:t>
      </w:r>
      <w:proofErr w:type="spellStart"/>
      <w:r w:rsidR="001655A0" w:rsidRPr="001655A0">
        <w:rPr>
          <w:lang w:val="en-GB"/>
        </w:rPr>
        <w:t>bevacizumab</w:t>
      </w:r>
      <w:proofErr w:type="spellEnd"/>
      <w:r w:rsidR="001655A0" w:rsidRPr="001655A0">
        <w:rPr>
          <w:lang w:val="en-GB"/>
        </w:rPr>
        <w:t xml:space="preserve"> in patients with hepatic impairment since the liver is not a major organ for </w:t>
      </w:r>
      <w:proofErr w:type="spellStart"/>
      <w:r w:rsidR="001655A0" w:rsidRPr="001655A0">
        <w:rPr>
          <w:lang w:val="en-GB"/>
        </w:rPr>
        <w:t>bevacizumab</w:t>
      </w:r>
      <w:proofErr w:type="spellEnd"/>
      <w:r w:rsidR="001655A0" w:rsidRPr="001655A0">
        <w:rPr>
          <w:lang w:val="en-GB"/>
        </w:rPr>
        <w:t xml:space="preserve"> metabolism or excretion.</w:t>
      </w:r>
    </w:p>
    <w:p w:rsidR="00552350" w:rsidRPr="003D114B" w:rsidRDefault="00552350" w:rsidP="001655A0">
      <w:pPr>
        <w:pStyle w:val="TextTi12"/>
        <w:outlineLvl w:val="0"/>
        <w:rPr>
          <w:lang w:val="en-GB"/>
        </w:rPr>
      </w:pPr>
      <w:r>
        <w:rPr>
          <w:i/>
          <w:lang w:val="en-GB"/>
        </w:rPr>
        <w:t>Patients with ascites</w:t>
      </w:r>
      <w:r>
        <w:rPr>
          <w:lang w:val="en-GB"/>
        </w:rPr>
        <w:t xml:space="preserve">: </w:t>
      </w:r>
      <w:r w:rsidRPr="001655A0">
        <w:rPr>
          <w:lang w:val="en-GB"/>
        </w:rPr>
        <w:t xml:space="preserve">No studies have </w:t>
      </w:r>
      <w:r>
        <w:rPr>
          <w:lang w:val="en-GB"/>
        </w:rPr>
        <w:t xml:space="preserve">examined the effect of ascites on the pharmacokinetic parameters of </w:t>
      </w:r>
      <w:proofErr w:type="spellStart"/>
      <w:r>
        <w:rPr>
          <w:lang w:val="en-GB"/>
        </w:rPr>
        <w:t>bevacizumab</w:t>
      </w:r>
      <w:proofErr w:type="spellEnd"/>
      <w:r>
        <w:rPr>
          <w:lang w:val="en-GB"/>
        </w:rPr>
        <w:t>.</w:t>
      </w:r>
    </w:p>
    <w:p w:rsidR="00FC6015" w:rsidRDefault="00FC6015" w:rsidP="00690D2A">
      <w:pPr>
        <w:pStyle w:val="Heading3"/>
        <w:sectPr w:rsidR="00FC6015" w:rsidSect="005678D6">
          <w:headerReference w:type="even" r:id="rId9"/>
          <w:headerReference w:type="default" r:id="rId10"/>
          <w:footerReference w:type="even" r:id="rId11"/>
          <w:footerReference w:type="default" r:id="rId12"/>
          <w:headerReference w:type="first" r:id="rId13"/>
          <w:footerReference w:type="first" r:id="rId14"/>
          <w:pgSz w:w="11907" w:h="16840" w:code="9"/>
          <w:pgMar w:top="454" w:right="1247" w:bottom="284" w:left="1247" w:header="397" w:footer="284" w:gutter="0"/>
          <w:paperSrc w:first="15" w:other="15"/>
          <w:cols w:space="720"/>
        </w:sectPr>
      </w:pPr>
    </w:p>
    <w:p w:rsidR="008A7314" w:rsidRDefault="00690D2A" w:rsidP="00690D2A">
      <w:pPr>
        <w:pStyle w:val="Heading3"/>
      </w:pPr>
      <w:r>
        <w:lastRenderedPageBreak/>
        <w:t>CLINICAL TRIALS</w:t>
      </w:r>
    </w:p>
    <w:p w:rsidR="004E5CB3" w:rsidRPr="003206D2" w:rsidRDefault="004E5CB3" w:rsidP="004E5CB3">
      <w:pPr>
        <w:rPr>
          <w:b/>
          <w:i/>
          <w:sz w:val="24"/>
          <w:szCs w:val="24"/>
        </w:rPr>
      </w:pPr>
      <w:r w:rsidRPr="003206D2">
        <w:rPr>
          <w:b/>
          <w:i/>
          <w:sz w:val="24"/>
          <w:szCs w:val="24"/>
        </w:rPr>
        <w:t xml:space="preserve">Metastatic </w:t>
      </w:r>
      <w:r w:rsidR="003206D2" w:rsidRPr="003206D2">
        <w:rPr>
          <w:b/>
          <w:i/>
          <w:sz w:val="24"/>
          <w:szCs w:val="24"/>
        </w:rPr>
        <w:t>Colorectal Cancer</w:t>
      </w:r>
      <w:r w:rsidR="00816D18">
        <w:rPr>
          <w:b/>
          <w:i/>
          <w:sz w:val="24"/>
          <w:szCs w:val="24"/>
        </w:rPr>
        <w:t xml:space="preserve"> </w:t>
      </w:r>
    </w:p>
    <w:p w:rsidR="00810904" w:rsidRDefault="00810904" w:rsidP="00810904">
      <w:pPr>
        <w:pStyle w:val="TextTi12"/>
        <w:rPr>
          <w:lang w:val="en-GB"/>
        </w:rPr>
      </w:pPr>
      <w:r>
        <w:rPr>
          <w:lang w:val="en-GB"/>
        </w:rPr>
        <w:t xml:space="preserve">The safety and efficacy of AVASTIN in metastatic </w:t>
      </w:r>
      <w:r w:rsidR="00690D2A" w:rsidRPr="003F64E4">
        <w:rPr>
          <w:lang w:val="en-GB"/>
        </w:rPr>
        <w:t>colorectal cancer</w:t>
      </w:r>
      <w:r w:rsidR="003F64E4">
        <w:rPr>
          <w:lang w:val="en-GB"/>
        </w:rPr>
        <w:t xml:space="preserve"> </w:t>
      </w:r>
      <w:r>
        <w:rPr>
          <w:lang w:val="en-GB"/>
        </w:rPr>
        <w:t>were studied in two randomised, ac</w:t>
      </w:r>
      <w:r w:rsidR="00FA4799">
        <w:rPr>
          <w:lang w:val="en-GB"/>
        </w:rPr>
        <w:t>tive-controlled clinical trials</w:t>
      </w:r>
      <w:r>
        <w:rPr>
          <w:lang w:val="en-GB"/>
        </w:rPr>
        <w:t xml:space="preserve">. </w:t>
      </w:r>
      <w:r w:rsidR="00BE7E48">
        <w:rPr>
          <w:lang w:val="en-GB"/>
        </w:rPr>
        <w:t xml:space="preserve"> </w:t>
      </w:r>
      <w:r>
        <w:rPr>
          <w:lang w:val="en-GB"/>
        </w:rPr>
        <w:t>AVASTIN was combined with two chemotherapy regimens:</w:t>
      </w:r>
    </w:p>
    <w:p w:rsidR="00810904" w:rsidRDefault="00810904" w:rsidP="00690D2A">
      <w:pPr>
        <w:pStyle w:val="TextTi12"/>
        <w:numPr>
          <w:ilvl w:val="0"/>
          <w:numId w:val="7"/>
        </w:numPr>
        <w:rPr>
          <w:lang w:val="en-GB"/>
        </w:rPr>
      </w:pPr>
      <w:r>
        <w:rPr>
          <w:b/>
          <w:lang w:val="en-GB"/>
        </w:rPr>
        <w:t>AVF2107g</w:t>
      </w:r>
      <w:r>
        <w:rPr>
          <w:lang w:val="en-GB"/>
        </w:rPr>
        <w:t>:</w:t>
      </w:r>
      <w:r w:rsidR="009260D0">
        <w:rPr>
          <w:lang w:val="en-GB"/>
        </w:rPr>
        <w:t xml:space="preserve">  </w:t>
      </w:r>
      <w:r>
        <w:rPr>
          <w:lang w:val="en-GB"/>
        </w:rPr>
        <w:t xml:space="preserve">A weekly schedule of </w:t>
      </w:r>
      <w:proofErr w:type="spellStart"/>
      <w:r>
        <w:rPr>
          <w:lang w:val="en-GB"/>
        </w:rPr>
        <w:t>irinotecan</w:t>
      </w:r>
      <w:proofErr w:type="spellEnd"/>
      <w:r>
        <w:rPr>
          <w:lang w:val="en-GB"/>
        </w:rPr>
        <w:t>/bolus fluorouracil/</w:t>
      </w:r>
      <w:proofErr w:type="spellStart"/>
      <w:r>
        <w:rPr>
          <w:lang w:val="en-GB"/>
        </w:rPr>
        <w:t>leucovorin</w:t>
      </w:r>
      <w:proofErr w:type="spellEnd"/>
      <w:r w:rsidR="00FD6C18" w:rsidRPr="00FD6C18">
        <w:rPr>
          <w:szCs w:val="24"/>
          <w:vertAlign w:val="superscript"/>
          <w:lang w:val="en-GB"/>
        </w:rPr>
        <w:t>†</w:t>
      </w:r>
      <w:r>
        <w:rPr>
          <w:lang w:val="en-GB"/>
        </w:rPr>
        <w:t xml:space="preserve"> (IFL) for a total of 4 weeks of each 6 week</w:t>
      </w:r>
      <w:r w:rsidR="008541DA">
        <w:rPr>
          <w:lang w:val="en-GB"/>
        </w:rPr>
        <w:t xml:space="preserve"> </w:t>
      </w:r>
      <w:r>
        <w:rPr>
          <w:lang w:val="en-GB"/>
        </w:rPr>
        <w:t>cycle</w:t>
      </w:r>
    </w:p>
    <w:p w:rsidR="00810904" w:rsidRDefault="00810904" w:rsidP="00690D2A">
      <w:pPr>
        <w:pStyle w:val="TextTi12"/>
        <w:numPr>
          <w:ilvl w:val="0"/>
          <w:numId w:val="7"/>
        </w:numPr>
        <w:rPr>
          <w:lang w:val="en-GB"/>
        </w:rPr>
      </w:pPr>
      <w:r>
        <w:rPr>
          <w:b/>
          <w:lang w:val="en-GB"/>
        </w:rPr>
        <w:t>AVF0780g</w:t>
      </w:r>
      <w:r>
        <w:rPr>
          <w:lang w:val="en-GB"/>
        </w:rPr>
        <w:t>:  In combination with bolus fluorouracil/</w:t>
      </w:r>
      <w:proofErr w:type="spellStart"/>
      <w:r>
        <w:rPr>
          <w:lang w:val="en-GB"/>
        </w:rPr>
        <w:t>leucovorin</w:t>
      </w:r>
      <w:proofErr w:type="spellEnd"/>
      <w:r w:rsidR="00FD6C18" w:rsidRPr="00FD6C18">
        <w:rPr>
          <w:szCs w:val="24"/>
          <w:vertAlign w:val="superscript"/>
          <w:lang w:val="en-GB"/>
        </w:rPr>
        <w:t>†</w:t>
      </w:r>
      <w:r>
        <w:rPr>
          <w:lang w:val="en-GB"/>
        </w:rPr>
        <w:t xml:space="preserve"> (FU/LV) for a total of 6 weeks of each 8 week</w:t>
      </w:r>
      <w:r w:rsidR="008541DA">
        <w:rPr>
          <w:lang w:val="en-GB"/>
        </w:rPr>
        <w:t xml:space="preserve"> </w:t>
      </w:r>
      <w:r>
        <w:rPr>
          <w:lang w:val="en-GB"/>
        </w:rPr>
        <w:t>cycle (</w:t>
      </w:r>
      <w:smartTag w:uri="urn:schemas-microsoft-com:office:smarttags" w:element="address">
        <w:smartTag w:uri="urn:schemas-microsoft-com:office:smarttags" w:element="PlaceName">
          <w:r>
            <w:rPr>
              <w:lang w:val="en-GB"/>
            </w:rPr>
            <w:t>Roswell</w:t>
          </w:r>
        </w:smartTag>
        <w:r>
          <w:rPr>
            <w:lang w:val="en-GB"/>
          </w:rPr>
          <w:t xml:space="preserve"> </w:t>
        </w:r>
        <w:smartTag w:uri="urn:schemas-microsoft-com:office:smarttags" w:element="PlaceType">
          <w:r>
            <w:rPr>
              <w:lang w:val="en-GB"/>
            </w:rPr>
            <w:t>Park</w:t>
          </w:r>
        </w:smartTag>
      </w:smartTag>
      <w:r>
        <w:rPr>
          <w:lang w:val="en-GB"/>
        </w:rPr>
        <w:t xml:space="preserve"> regimen) </w:t>
      </w:r>
    </w:p>
    <w:p w:rsidR="00A214A4" w:rsidRPr="003C7577" w:rsidRDefault="00A214A4" w:rsidP="00A214A4">
      <w:pPr>
        <w:pStyle w:val="TextTi12"/>
      </w:pPr>
      <w:r w:rsidRPr="003C7577">
        <w:t xml:space="preserve">Two additional studies were conducted in first (NO16966) and second line (E3200) </w:t>
      </w:r>
      <w:r>
        <w:t>treatment of m</w:t>
      </w:r>
      <w:r w:rsidRPr="003C7577">
        <w:t xml:space="preserve">etastatic carcinoma of the colon or rectum, with </w:t>
      </w:r>
      <w:r>
        <w:t>AVASTIN</w:t>
      </w:r>
      <w:r w:rsidRPr="003C7577">
        <w:t xml:space="preserve"> administered in the following dosing regimens, in combination with FOLFOX-4</w:t>
      </w:r>
      <w:r>
        <w:t xml:space="preserve"> (FU/LV/</w:t>
      </w:r>
      <w:proofErr w:type="spellStart"/>
      <w:r>
        <w:t>Oxaliplatin</w:t>
      </w:r>
      <w:proofErr w:type="spellEnd"/>
      <w:r>
        <w:t>)</w:t>
      </w:r>
      <w:r w:rsidRPr="003C7577">
        <w:t xml:space="preserve"> and XELOX</w:t>
      </w:r>
      <w:r>
        <w:t xml:space="preserve"> (</w:t>
      </w:r>
      <w:proofErr w:type="spellStart"/>
      <w:r>
        <w:t>Capecitabine</w:t>
      </w:r>
      <w:proofErr w:type="spellEnd"/>
      <w:r>
        <w:t>/</w:t>
      </w:r>
      <w:proofErr w:type="spellStart"/>
      <w:r>
        <w:t>Oxaliplatin</w:t>
      </w:r>
      <w:proofErr w:type="spellEnd"/>
      <w:r>
        <w:t>):</w:t>
      </w:r>
      <w:r w:rsidRPr="003C7577">
        <w:t xml:space="preserve"> </w:t>
      </w:r>
    </w:p>
    <w:p w:rsidR="00A214A4" w:rsidRPr="003C7577" w:rsidRDefault="00A214A4" w:rsidP="00A214A4">
      <w:pPr>
        <w:pStyle w:val="TextTi12"/>
        <w:numPr>
          <w:ilvl w:val="0"/>
          <w:numId w:val="6"/>
        </w:numPr>
        <w:tabs>
          <w:tab w:val="clear" w:pos="360"/>
          <w:tab w:val="num" w:pos="720"/>
        </w:tabs>
        <w:ind w:left="720"/>
      </w:pPr>
      <w:r w:rsidRPr="00AE1243">
        <w:rPr>
          <w:b/>
        </w:rPr>
        <w:t>NO16966:</w:t>
      </w:r>
      <w:r w:rsidRPr="003C7577">
        <w:t xml:space="preserve"> </w:t>
      </w:r>
      <w:r>
        <w:t>AVASTIN</w:t>
      </w:r>
      <w:r w:rsidRPr="003C7577">
        <w:t xml:space="preserve"> 7.5</w:t>
      </w:r>
      <w:r w:rsidRPr="00F5296E">
        <w:rPr>
          <w:szCs w:val="24"/>
        </w:rPr>
        <w:t> </w:t>
      </w:r>
      <w:r w:rsidRPr="003C7577">
        <w:t xml:space="preserve">mg/kg </w:t>
      </w:r>
      <w:r>
        <w:t xml:space="preserve">of body weight </w:t>
      </w:r>
      <w:r w:rsidRPr="003C7577">
        <w:t xml:space="preserve">every 3 weeks in combination with oral </w:t>
      </w:r>
      <w:proofErr w:type="spellStart"/>
      <w:r w:rsidRPr="003C7577">
        <w:t>capecitabine</w:t>
      </w:r>
      <w:proofErr w:type="spellEnd"/>
      <w:r w:rsidRPr="003C7577">
        <w:t xml:space="preserve"> and </w:t>
      </w:r>
      <w:r w:rsidR="00723906">
        <w:t>IV</w:t>
      </w:r>
      <w:r w:rsidR="00723906" w:rsidRPr="003C7577">
        <w:t xml:space="preserve"> </w:t>
      </w:r>
      <w:proofErr w:type="spellStart"/>
      <w:r w:rsidRPr="003C7577">
        <w:t>oxaliplatin</w:t>
      </w:r>
      <w:proofErr w:type="spellEnd"/>
      <w:r w:rsidRPr="003C7577">
        <w:t xml:space="preserve"> (XELOX) or </w:t>
      </w:r>
      <w:r>
        <w:t>AVASTIN</w:t>
      </w:r>
      <w:r w:rsidRPr="003C7577">
        <w:t xml:space="preserve"> 5</w:t>
      </w:r>
      <w:r w:rsidRPr="00F5296E">
        <w:rPr>
          <w:szCs w:val="24"/>
        </w:rPr>
        <w:t> </w:t>
      </w:r>
      <w:r w:rsidRPr="003C7577">
        <w:t xml:space="preserve">mg/kg every 2 weeks in combination with </w:t>
      </w:r>
      <w:proofErr w:type="spellStart"/>
      <w:r w:rsidRPr="003C7577">
        <w:t>leucovorin</w:t>
      </w:r>
      <w:proofErr w:type="spellEnd"/>
      <w:r w:rsidRPr="00FD6C18">
        <w:rPr>
          <w:szCs w:val="24"/>
          <w:vertAlign w:val="superscript"/>
          <w:lang w:val="en-GB"/>
        </w:rPr>
        <w:t>†</w:t>
      </w:r>
      <w:r w:rsidRPr="003C7577">
        <w:t xml:space="preserve"> plus fluorouracil bolus, followed by fluorouracil infusion, with </w:t>
      </w:r>
      <w:r w:rsidR="00723906">
        <w:t>IV</w:t>
      </w:r>
      <w:r w:rsidR="00723906" w:rsidRPr="003C7577">
        <w:t xml:space="preserve"> </w:t>
      </w:r>
      <w:proofErr w:type="spellStart"/>
      <w:r w:rsidRPr="003C7577">
        <w:t>oxaliplatin</w:t>
      </w:r>
      <w:proofErr w:type="spellEnd"/>
      <w:r w:rsidRPr="003C7577">
        <w:t xml:space="preserve"> (FOLFOX-4). </w:t>
      </w:r>
    </w:p>
    <w:p w:rsidR="00A214A4" w:rsidRDefault="00A214A4" w:rsidP="008F4FF8">
      <w:pPr>
        <w:pStyle w:val="TextTi12"/>
        <w:numPr>
          <w:ilvl w:val="0"/>
          <w:numId w:val="6"/>
        </w:numPr>
        <w:tabs>
          <w:tab w:val="clear" w:pos="360"/>
          <w:tab w:val="num" w:pos="709"/>
        </w:tabs>
        <w:ind w:left="720"/>
        <w:rPr>
          <w:lang w:val="en-GB"/>
        </w:rPr>
      </w:pPr>
      <w:r w:rsidRPr="00AE1243">
        <w:rPr>
          <w:b/>
        </w:rPr>
        <w:t>E3200:</w:t>
      </w:r>
      <w:r w:rsidRPr="003C7577">
        <w:t xml:space="preserve"> </w:t>
      </w:r>
      <w:r>
        <w:t>AVASTIN</w:t>
      </w:r>
      <w:r w:rsidRPr="003C7577">
        <w:t xml:space="preserve"> 10</w:t>
      </w:r>
      <w:r w:rsidRPr="00F5296E">
        <w:rPr>
          <w:szCs w:val="24"/>
        </w:rPr>
        <w:t> </w:t>
      </w:r>
      <w:r w:rsidRPr="003C7577">
        <w:t xml:space="preserve">mg/kg </w:t>
      </w:r>
      <w:r>
        <w:t xml:space="preserve">of body weight </w:t>
      </w:r>
      <w:r w:rsidRPr="003C7577">
        <w:t xml:space="preserve">every 2 weeks in combination with </w:t>
      </w:r>
      <w:proofErr w:type="spellStart"/>
      <w:r w:rsidRPr="003C7577">
        <w:t>leucovorin</w:t>
      </w:r>
      <w:proofErr w:type="spellEnd"/>
      <w:r w:rsidRPr="00FD6C18">
        <w:rPr>
          <w:szCs w:val="24"/>
          <w:vertAlign w:val="superscript"/>
          <w:lang w:val="en-GB"/>
        </w:rPr>
        <w:t>†</w:t>
      </w:r>
      <w:r w:rsidRPr="003C7577">
        <w:t xml:space="preserve"> and fluorouracil bolus, followed</w:t>
      </w:r>
      <w:r>
        <w:t xml:space="preserve"> by </w:t>
      </w:r>
      <w:r w:rsidRPr="003C7577">
        <w:t xml:space="preserve">fluorouracil infusion, with </w:t>
      </w:r>
      <w:r w:rsidR="00723906">
        <w:t>IV</w:t>
      </w:r>
      <w:r w:rsidR="00723906" w:rsidRPr="003C7577">
        <w:t xml:space="preserve"> </w:t>
      </w:r>
      <w:proofErr w:type="spellStart"/>
      <w:r w:rsidRPr="003C7577">
        <w:t>oxaliplatin</w:t>
      </w:r>
      <w:proofErr w:type="spellEnd"/>
      <w:r w:rsidRPr="003C7577">
        <w:t xml:space="preserve"> (FOLFOX-4)</w:t>
      </w:r>
      <w:r>
        <w:t>.</w:t>
      </w:r>
    </w:p>
    <w:p w:rsidR="00BC3408" w:rsidRPr="00BC3408" w:rsidRDefault="00FD6C18" w:rsidP="00BC3408">
      <w:pPr>
        <w:pStyle w:val="TextTi12"/>
        <w:rPr>
          <w:sz w:val="20"/>
          <w:lang w:val="en-GB"/>
        </w:rPr>
      </w:pPr>
      <w:r w:rsidRPr="00FD6C18">
        <w:rPr>
          <w:szCs w:val="24"/>
          <w:vertAlign w:val="superscript"/>
          <w:lang w:val="en-GB"/>
        </w:rPr>
        <w:t>†</w:t>
      </w:r>
      <w:r w:rsidR="00BC3408" w:rsidRPr="00BC3408">
        <w:rPr>
          <w:sz w:val="20"/>
          <w:lang w:val="en-GB"/>
        </w:rPr>
        <w:t xml:space="preserve"> The Australian Approved Name for </w:t>
      </w:r>
      <w:proofErr w:type="spellStart"/>
      <w:r w:rsidR="00BC3408" w:rsidRPr="00BC3408">
        <w:rPr>
          <w:sz w:val="20"/>
          <w:lang w:val="en-GB"/>
        </w:rPr>
        <w:t>leucovorin</w:t>
      </w:r>
      <w:proofErr w:type="spellEnd"/>
      <w:r w:rsidR="00BC3408" w:rsidRPr="00BC3408">
        <w:rPr>
          <w:sz w:val="20"/>
          <w:lang w:val="en-GB"/>
        </w:rPr>
        <w:t xml:space="preserve"> is </w:t>
      </w:r>
      <w:proofErr w:type="spellStart"/>
      <w:r w:rsidR="00BC3408" w:rsidRPr="00BC3408">
        <w:rPr>
          <w:sz w:val="20"/>
          <w:lang w:val="en-GB"/>
        </w:rPr>
        <w:t>folinic</w:t>
      </w:r>
      <w:proofErr w:type="spellEnd"/>
      <w:r w:rsidR="00BC3408" w:rsidRPr="00BC3408">
        <w:rPr>
          <w:sz w:val="20"/>
          <w:lang w:val="en-GB"/>
        </w:rPr>
        <w:t xml:space="preserve"> acid</w:t>
      </w:r>
    </w:p>
    <w:p w:rsidR="00810904" w:rsidRPr="00533539" w:rsidRDefault="00F65ABC" w:rsidP="00690D2A">
      <w:pPr>
        <w:pStyle w:val="Heading4"/>
        <w:ind w:left="0"/>
        <w:rPr>
          <w:i w:val="0"/>
          <w:lang w:val="en-GB"/>
        </w:rPr>
      </w:pPr>
      <w:r w:rsidRPr="00533539">
        <w:rPr>
          <w:i w:val="0"/>
          <w:lang w:val="en-GB"/>
        </w:rPr>
        <w:t>S</w:t>
      </w:r>
      <w:r w:rsidR="00690D2A" w:rsidRPr="00533539">
        <w:rPr>
          <w:i w:val="0"/>
          <w:lang w:val="en-GB"/>
        </w:rPr>
        <w:t>tudy AVF2107g</w:t>
      </w:r>
    </w:p>
    <w:p w:rsidR="00810904" w:rsidRDefault="00810904" w:rsidP="00AE1E2B">
      <w:pPr>
        <w:pStyle w:val="TextTi12"/>
        <w:rPr>
          <w:lang w:val="en-GB"/>
        </w:rPr>
      </w:pPr>
      <w:r>
        <w:rPr>
          <w:lang w:val="en-GB"/>
        </w:rPr>
        <w:t>This was a phase III randomised, double</w:t>
      </w:r>
      <w:r>
        <w:rPr>
          <w:lang w:val="en-GB"/>
        </w:rPr>
        <w:noBreakHyphen/>
        <w:t>blind, active</w:t>
      </w:r>
      <w:r>
        <w:rPr>
          <w:lang w:val="en-GB"/>
        </w:rPr>
        <w:noBreakHyphen/>
        <w:t>controlled clinical trial evaluating AVASTIN in combination with</w:t>
      </w:r>
      <w:r w:rsidR="00C84FDE">
        <w:rPr>
          <w:lang w:val="en-GB"/>
        </w:rPr>
        <w:t xml:space="preserve"> </w:t>
      </w:r>
      <w:r>
        <w:rPr>
          <w:lang w:val="en-GB"/>
        </w:rPr>
        <w:t>IFL as first</w:t>
      </w:r>
      <w:r>
        <w:rPr>
          <w:lang w:val="en-GB"/>
        </w:rPr>
        <w:noBreakHyphen/>
        <w:t>line treatment for metastatic</w:t>
      </w:r>
      <w:r w:rsidR="00CF5080">
        <w:rPr>
          <w:lang w:val="en-GB"/>
        </w:rPr>
        <w:t xml:space="preserve"> </w:t>
      </w:r>
      <w:r w:rsidRPr="003F64E4">
        <w:rPr>
          <w:lang w:val="en-GB"/>
        </w:rPr>
        <w:t>colorect</w:t>
      </w:r>
      <w:r w:rsidR="00690D2A" w:rsidRPr="003F64E4">
        <w:rPr>
          <w:lang w:val="en-GB"/>
        </w:rPr>
        <w:t>al cancer.</w:t>
      </w:r>
      <w:r w:rsidR="00690D2A">
        <w:rPr>
          <w:lang w:val="en-GB"/>
        </w:rPr>
        <w:t xml:space="preserve"> Eight hundred and </w:t>
      </w:r>
      <w:r>
        <w:rPr>
          <w:lang w:val="en-GB"/>
        </w:rPr>
        <w:t>thirteen patients were randomised to receive IFL</w:t>
      </w:r>
      <w:r w:rsidR="00FD676D">
        <w:rPr>
          <w:lang w:val="en-GB"/>
        </w:rPr>
        <w:t xml:space="preserve"> plus </w:t>
      </w:r>
      <w:r>
        <w:rPr>
          <w:lang w:val="en-GB"/>
        </w:rPr>
        <w:t>placebo (Arm 1) or IFL</w:t>
      </w:r>
      <w:r w:rsidR="00377D29">
        <w:rPr>
          <w:lang w:val="en-GB"/>
        </w:rPr>
        <w:t xml:space="preserve"> plus </w:t>
      </w:r>
      <w:r w:rsidR="00C84FDE">
        <w:rPr>
          <w:lang w:val="en-GB"/>
        </w:rPr>
        <w:t>AVASTIN</w:t>
      </w:r>
      <w:r w:rsidR="00FD676D">
        <w:rPr>
          <w:lang w:val="en-GB"/>
        </w:rPr>
        <w:t xml:space="preserve"> </w:t>
      </w:r>
      <w:r w:rsidR="00483C0B">
        <w:rPr>
          <w:lang w:val="en-GB"/>
        </w:rPr>
        <w:t>(</w:t>
      </w:r>
      <w:r>
        <w:rPr>
          <w:lang w:val="en-GB"/>
        </w:rPr>
        <w:t>Arm 2)</w:t>
      </w:r>
      <w:r w:rsidR="00483C0B">
        <w:rPr>
          <w:lang w:val="en-GB"/>
        </w:rPr>
        <w:t xml:space="preserve">, </w:t>
      </w:r>
      <w:r>
        <w:rPr>
          <w:lang w:val="en-GB"/>
        </w:rPr>
        <w:t>see Table </w:t>
      </w:r>
      <w:r w:rsidR="00786582">
        <w:rPr>
          <w:lang w:val="en-GB"/>
        </w:rPr>
        <w:t>1</w:t>
      </w:r>
      <w:r>
        <w:rPr>
          <w:lang w:val="en-GB"/>
        </w:rPr>
        <w:t xml:space="preserve">. </w:t>
      </w:r>
      <w:r w:rsidR="00BE7E48">
        <w:rPr>
          <w:lang w:val="en-GB"/>
        </w:rPr>
        <w:t xml:space="preserve"> </w:t>
      </w:r>
      <w:r>
        <w:rPr>
          <w:lang w:val="en-GB"/>
        </w:rPr>
        <w:t>A third group of 110 patie</w:t>
      </w:r>
      <w:r w:rsidR="00EF5173">
        <w:rPr>
          <w:lang w:val="en-GB"/>
        </w:rPr>
        <w:t>nts received F</w:t>
      </w:r>
      <w:r>
        <w:rPr>
          <w:lang w:val="en-GB"/>
        </w:rPr>
        <w:t>U/LV</w:t>
      </w:r>
      <w:r w:rsidR="00FD676D">
        <w:rPr>
          <w:lang w:val="en-GB"/>
        </w:rPr>
        <w:t xml:space="preserve"> plus A</w:t>
      </w:r>
      <w:r>
        <w:rPr>
          <w:lang w:val="en-GB"/>
        </w:rPr>
        <w:t xml:space="preserve">VASTIN (Arm 3). </w:t>
      </w:r>
      <w:r w:rsidR="00BE7E48">
        <w:rPr>
          <w:lang w:val="en-GB"/>
        </w:rPr>
        <w:t xml:space="preserve"> </w:t>
      </w:r>
      <w:r w:rsidR="00D7124F">
        <w:rPr>
          <w:lang w:val="en-GB"/>
        </w:rPr>
        <w:t>Enrolment</w:t>
      </w:r>
      <w:r>
        <w:rPr>
          <w:lang w:val="en-GB"/>
        </w:rPr>
        <w:t xml:space="preserve"> in Arm 3 was discontinued, as pre</w:t>
      </w:r>
      <w:r>
        <w:rPr>
          <w:lang w:val="en-GB"/>
        </w:rPr>
        <w:noBreakHyphen/>
        <w:t xml:space="preserve">specified, once safety of AVASTIN with the IFL regimen was established and considered acceptable. </w:t>
      </w:r>
      <w:r w:rsidR="00A85836">
        <w:rPr>
          <w:lang w:val="en-GB"/>
        </w:rPr>
        <w:t xml:space="preserve"> </w:t>
      </w:r>
      <w:r w:rsidR="005C40DE">
        <w:rPr>
          <w:lang w:val="en-GB"/>
        </w:rPr>
        <w:t xml:space="preserve">The median age of </w:t>
      </w:r>
      <w:r w:rsidR="00F45A4D">
        <w:rPr>
          <w:lang w:val="en-GB"/>
        </w:rPr>
        <w:t xml:space="preserve">patients </w:t>
      </w:r>
      <w:r w:rsidR="005C40DE">
        <w:rPr>
          <w:lang w:val="en-GB"/>
        </w:rPr>
        <w:t xml:space="preserve">was </w:t>
      </w:r>
      <w:r w:rsidR="00F45A4D">
        <w:rPr>
          <w:lang w:val="en-GB"/>
        </w:rPr>
        <w:t>60</w:t>
      </w:r>
      <w:r w:rsidR="005C40DE">
        <w:rPr>
          <w:lang w:val="en-GB"/>
        </w:rPr>
        <w:t xml:space="preserve"> years (range 21-88)</w:t>
      </w:r>
      <w:r w:rsidR="00377D29">
        <w:rPr>
          <w:lang w:val="en-GB"/>
        </w:rPr>
        <w:t xml:space="preserve">, </w:t>
      </w:r>
      <w:r w:rsidR="00F45A4D">
        <w:rPr>
          <w:lang w:val="en-GB"/>
        </w:rPr>
        <w:t xml:space="preserve">60% </w:t>
      </w:r>
      <w:r w:rsidR="00377D29">
        <w:rPr>
          <w:lang w:val="en-GB"/>
        </w:rPr>
        <w:t xml:space="preserve">were </w:t>
      </w:r>
      <w:r w:rsidR="00F45A4D">
        <w:rPr>
          <w:lang w:val="en-GB"/>
        </w:rPr>
        <w:t xml:space="preserve">male. </w:t>
      </w:r>
      <w:r w:rsidR="005C40DE">
        <w:rPr>
          <w:lang w:val="en-GB"/>
        </w:rPr>
        <w:t xml:space="preserve"> </w:t>
      </w:r>
    </w:p>
    <w:p w:rsidR="00810904" w:rsidRDefault="00810904" w:rsidP="008F4FF8">
      <w:pPr>
        <w:pStyle w:val="Heading4"/>
        <w:spacing w:before="0" w:after="170" w:line="280" w:lineRule="atLeast"/>
        <w:ind w:left="357"/>
        <w:rPr>
          <w:i w:val="0"/>
          <w:lang w:val="en-GB"/>
        </w:rPr>
      </w:pPr>
      <w:r w:rsidRPr="001269F3">
        <w:rPr>
          <w:i w:val="0"/>
          <w:lang w:val="en-GB"/>
        </w:rPr>
        <w:t xml:space="preserve">Table </w:t>
      </w:r>
      <w:r w:rsidR="00786582">
        <w:rPr>
          <w:i w:val="0"/>
          <w:lang w:val="en-GB"/>
        </w:rPr>
        <w:t>1</w:t>
      </w:r>
      <w:r w:rsidR="00690D2A" w:rsidRPr="001269F3">
        <w:rPr>
          <w:i w:val="0"/>
          <w:lang w:val="en-GB"/>
        </w:rPr>
        <w:t xml:space="preserve">: </w:t>
      </w:r>
      <w:r w:rsidR="009260D0">
        <w:rPr>
          <w:i w:val="0"/>
          <w:lang w:val="en-GB"/>
        </w:rPr>
        <w:t xml:space="preserve"> </w:t>
      </w:r>
      <w:r w:rsidR="00874F80">
        <w:rPr>
          <w:i w:val="0"/>
          <w:lang w:val="en-GB"/>
        </w:rPr>
        <w:t>Treatment regimens in s</w:t>
      </w:r>
      <w:r w:rsidRPr="001269F3">
        <w:rPr>
          <w:i w:val="0"/>
          <w:lang w:val="en-GB"/>
        </w:rPr>
        <w:t>tudy AVF2107g</w:t>
      </w:r>
    </w:p>
    <w:tbl>
      <w:tblPr>
        <w:tblW w:w="0" w:type="auto"/>
        <w:tblInd w:w="43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3"/>
        <w:gridCol w:w="1701"/>
        <w:gridCol w:w="1928"/>
        <w:gridCol w:w="3954"/>
      </w:tblGrid>
      <w:tr w:rsidR="00810904" w:rsidTr="008F4FF8">
        <w:tc>
          <w:tcPr>
            <w:tcW w:w="1023" w:type="dxa"/>
            <w:tcBorders>
              <w:top w:val="single" w:sz="8" w:space="0" w:color="auto"/>
              <w:bottom w:val="single" w:sz="8" w:space="0" w:color="auto"/>
              <w:right w:val="single" w:sz="8" w:space="0" w:color="auto"/>
            </w:tcBorders>
            <w:vAlign w:val="bottom"/>
          </w:tcPr>
          <w:p w:rsidR="00810904" w:rsidRDefault="00810904" w:rsidP="00810904">
            <w:pPr>
              <w:pStyle w:val="TableCellCenter"/>
              <w:rPr>
                <w:b/>
                <w:lang w:val="en-GB"/>
              </w:rPr>
            </w:pPr>
          </w:p>
        </w:tc>
        <w:tc>
          <w:tcPr>
            <w:tcW w:w="1701" w:type="dxa"/>
            <w:tcBorders>
              <w:top w:val="single" w:sz="8" w:space="0" w:color="auto"/>
              <w:left w:val="single" w:sz="8" w:space="0" w:color="auto"/>
              <w:bottom w:val="single" w:sz="8" w:space="0" w:color="auto"/>
              <w:right w:val="single" w:sz="8" w:space="0" w:color="auto"/>
            </w:tcBorders>
            <w:vAlign w:val="bottom"/>
          </w:tcPr>
          <w:p w:rsidR="00810904" w:rsidRDefault="00810904" w:rsidP="00810904">
            <w:pPr>
              <w:pStyle w:val="TableCellCenter"/>
              <w:rPr>
                <w:b/>
                <w:lang w:val="en-GB"/>
              </w:rPr>
            </w:pPr>
            <w:r>
              <w:rPr>
                <w:b/>
                <w:lang w:val="en-GB"/>
              </w:rPr>
              <w:t>Treatment</w:t>
            </w:r>
          </w:p>
        </w:tc>
        <w:tc>
          <w:tcPr>
            <w:tcW w:w="1928" w:type="dxa"/>
            <w:tcBorders>
              <w:top w:val="single" w:sz="8" w:space="0" w:color="auto"/>
              <w:left w:val="single" w:sz="8" w:space="0" w:color="auto"/>
              <w:bottom w:val="single" w:sz="8" w:space="0" w:color="auto"/>
              <w:right w:val="single" w:sz="8" w:space="0" w:color="auto"/>
            </w:tcBorders>
            <w:vAlign w:val="bottom"/>
          </w:tcPr>
          <w:p w:rsidR="00810904" w:rsidRDefault="00810904" w:rsidP="00810904">
            <w:pPr>
              <w:pStyle w:val="TableCellCenter"/>
              <w:rPr>
                <w:b/>
                <w:lang w:val="en-GB"/>
              </w:rPr>
            </w:pPr>
            <w:r>
              <w:rPr>
                <w:b/>
                <w:lang w:val="en-GB"/>
              </w:rPr>
              <w:t>Starting Dose</w:t>
            </w:r>
          </w:p>
        </w:tc>
        <w:tc>
          <w:tcPr>
            <w:tcW w:w="3954" w:type="dxa"/>
            <w:tcBorders>
              <w:top w:val="single" w:sz="8" w:space="0" w:color="auto"/>
              <w:left w:val="single" w:sz="8" w:space="0" w:color="auto"/>
              <w:bottom w:val="single" w:sz="8" w:space="0" w:color="auto"/>
            </w:tcBorders>
            <w:vAlign w:val="bottom"/>
          </w:tcPr>
          <w:p w:rsidR="00810904" w:rsidRDefault="00810904" w:rsidP="00810904">
            <w:pPr>
              <w:pStyle w:val="TableCellCenter"/>
              <w:rPr>
                <w:b/>
                <w:lang w:val="en-GB"/>
              </w:rPr>
            </w:pPr>
            <w:r>
              <w:rPr>
                <w:b/>
                <w:lang w:val="en-GB"/>
              </w:rPr>
              <w:t>Schedule</w:t>
            </w:r>
          </w:p>
        </w:tc>
      </w:tr>
      <w:tr w:rsidR="00810904" w:rsidTr="008F4FF8">
        <w:trPr>
          <w:cantSplit/>
        </w:trPr>
        <w:tc>
          <w:tcPr>
            <w:tcW w:w="1023" w:type="dxa"/>
            <w:vMerge w:val="restart"/>
            <w:tcBorders>
              <w:top w:val="single" w:sz="8" w:space="0" w:color="auto"/>
              <w:bottom w:val="single" w:sz="8" w:space="0" w:color="auto"/>
              <w:right w:val="single" w:sz="8" w:space="0" w:color="auto"/>
            </w:tcBorders>
          </w:tcPr>
          <w:p w:rsidR="00810904" w:rsidRDefault="00810904" w:rsidP="00810904">
            <w:pPr>
              <w:pStyle w:val="TableCellCenter"/>
              <w:rPr>
                <w:lang w:val="en-GB"/>
              </w:rPr>
            </w:pPr>
            <w:r>
              <w:rPr>
                <w:lang w:val="en-GB"/>
              </w:rPr>
              <w:t>Arm 1</w:t>
            </w:r>
          </w:p>
        </w:tc>
        <w:tc>
          <w:tcPr>
            <w:tcW w:w="1701" w:type="dxa"/>
            <w:tcBorders>
              <w:top w:val="single" w:sz="8" w:space="0" w:color="auto"/>
              <w:left w:val="single" w:sz="8" w:space="0" w:color="auto"/>
              <w:bottom w:val="nil"/>
              <w:right w:val="single" w:sz="8" w:space="0" w:color="auto"/>
            </w:tcBorders>
          </w:tcPr>
          <w:p w:rsidR="00810904" w:rsidRDefault="00810904" w:rsidP="008F4FF8">
            <w:pPr>
              <w:pStyle w:val="TableCellLeft"/>
              <w:spacing w:before="0" w:after="0" w:line="240" w:lineRule="auto"/>
              <w:rPr>
                <w:lang w:val="en-GB"/>
              </w:rPr>
            </w:pPr>
            <w:proofErr w:type="spellStart"/>
            <w:r>
              <w:rPr>
                <w:lang w:val="en-GB"/>
              </w:rPr>
              <w:t>Irinotecan</w:t>
            </w:r>
            <w:proofErr w:type="spellEnd"/>
          </w:p>
        </w:tc>
        <w:tc>
          <w:tcPr>
            <w:tcW w:w="1928" w:type="dxa"/>
            <w:tcBorders>
              <w:top w:val="single" w:sz="8" w:space="0" w:color="auto"/>
              <w:left w:val="single" w:sz="8" w:space="0" w:color="auto"/>
              <w:bottom w:val="nil"/>
              <w:right w:val="single" w:sz="8" w:space="0" w:color="auto"/>
            </w:tcBorders>
          </w:tcPr>
          <w:p w:rsidR="00810904" w:rsidRDefault="00810904" w:rsidP="008F4FF8">
            <w:pPr>
              <w:pStyle w:val="TableCellLeft"/>
              <w:spacing w:before="0" w:after="0" w:line="240" w:lineRule="auto"/>
              <w:rPr>
                <w:lang w:val="en-GB"/>
              </w:rPr>
            </w:pPr>
            <w:r>
              <w:rPr>
                <w:lang w:val="en-GB"/>
              </w:rPr>
              <w:t>125 mg/m</w:t>
            </w:r>
            <w:r>
              <w:rPr>
                <w:vertAlign w:val="superscript"/>
                <w:lang w:val="en-GB"/>
              </w:rPr>
              <w:t>2</w:t>
            </w:r>
            <w:r>
              <w:rPr>
                <w:lang w:val="en-GB"/>
              </w:rPr>
              <w:t xml:space="preserve"> IV</w:t>
            </w:r>
          </w:p>
        </w:tc>
        <w:tc>
          <w:tcPr>
            <w:tcW w:w="3954" w:type="dxa"/>
            <w:vMerge w:val="restart"/>
            <w:tcBorders>
              <w:top w:val="single" w:sz="8" w:space="0" w:color="auto"/>
              <w:left w:val="single" w:sz="8" w:space="0" w:color="auto"/>
            </w:tcBorders>
          </w:tcPr>
          <w:p w:rsidR="00810904" w:rsidRDefault="00810904" w:rsidP="008F4FF8">
            <w:pPr>
              <w:pStyle w:val="TableCellLeft"/>
              <w:spacing w:before="0" w:after="0" w:line="240" w:lineRule="auto"/>
              <w:rPr>
                <w:lang w:val="en-GB"/>
              </w:rPr>
            </w:pPr>
            <w:r>
              <w:rPr>
                <w:lang w:val="en-GB"/>
              </w:rPr>
              <w:t>Given once weekly for 4 weeks every 6 weeks</w:t>
            </w: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nil"/>
              <w:right w:val="single" w:sz="8" w:space="0" w:color="auto"/>
            </w:tcBorders>
          </w:tcPr>
          <w:p w:rsidR="00810904" w:rsidRDefault="009B4FC8" w:rsidP="00723906">
            <w:pPr>
              <w:pStyle w:val="TableCellLeft"/>
              <w:spacing w:before="0" w:after="0" w:line="240" w:lineRule="auto"/>
              <w:rPr>
                <w:lang w:val="en-GB"/>
              </w:rPr>
            </w:pPr>
            <w:r>
              <w:rPr>
                <w:lang w:val="en-GB"/>
              </w:rPr>
              <w:t>F</w:t>
            </w:r>
            <w:r w:rsidR="00810904">
              <w:rPr>
                <w:lang w:val="en-GB"/>
              </w:rPr>
              <w:t>luorouracil</w:t>
            </w:r>
          </w:p>
        </w:tc>
        <w:tc>
          <w:tcPr>
            <w:tcW w:w="1928" w:type="dxa"/>
            <w:tcBorders>
              <w:top w:val="nil"/>
              <w:left w:val="single" w:sz="8" w:space="0" w:color="auto"/>
              <w:bottom w:val="nil"/>
              <w:right w:val="single" w:sz="8" w:space="0" w:color="auto"/>
            </w:tcBorders>
          </w:tcPr>
          <w:p w:rsidR="00810904" w:rsidRDefault="00810904" w:rsidP="00723906">
            <w:pPr>
              <w:pStyle w:val="TableCellLeft"/>
              <w:spacing w:before="0" w:after="0" w:line="240" w:lineRule="auto"/>
              <w:rPr>
                <w:lang w:val="en-GB"/>
              </w:rPr>
            </w:pPr>
            <w:r>
              <w:rPr>
                <w:lang w:val="en-GB"/>
              </w:rPr>
              <w:t>500 mg/m</w:t>
            </w:r>
            <w:r>
              <w:rPr>
                <w:vertAlign w:val="superscript"/>
                <w:lang w:val="en-GB"/>
              </w:rPr>
              <w:t>2</w:t>
            </w:r>
            <w:r>
              <w:rPr>
                <w:lang w:val="en-GB"/>
              </w:rPr>
              <w:t xml:space="preserve"> IV</w:t>
            </w:r>
          </w:p>
        </w:tc>
        <w:tc>
          <w:tcPr>
            <w:tcW w:w="3954" w:type="dxa"/>
            <w:vMerge/>
            <w:tcBorders>
              <w:left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single" w:sz="8" w:space="0" w:color="auto"/>
              <w:right w:val="single" w:sz="8" w:space="0" w:color="auto"/>
            </w:tcBorders>
          </w:tcPr>
          <w:p w:rsidR="00810904" w:rsidRDefault="00BC3408" w:rsidP="00723906">
            <w:pPr>
              <w:pStyle w:val="TableCellLeft"/>
              <w:spacing w:before="0" w:after="0" w:line="240" w:lineRule="auto"/>
              <w:rPr>
                <w:lang w:val="en-GB"/>
              </w:rPr>
            </w:pPr>
            <w:proofErr w:type="spellStart"/>
            <w:r>
              <w:rPr>
                <w:lang w:val="en-GB"/>
              </w:rPr>
              <w:t>Folinic</w:t>
            </w:r>
            <w:proofErr w:type="spellEnd"/>
            <w:r>
              <w:rPr>
                <w:lang w:val="en-GB"/>
              </w:rPr>
              <w:t xml:space="preserve"> acid</w:t>
            </w:r>
          </w:p>
        </w:tc>
        <w:tc>
          <w:tcPr>
            <w:tcW w:w="1928" w:type="dxa"/>
            <w:tcBorders>
              <w:top w:val="nil"/>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20 mg/m</w:t>
            </w:r>
            <w:r>
              <w:rPr>
                <w:vertAlign w:val="superscript"/>
                <w:lang w:val="en-GB"/>
              </w:rPr>
              <w:t>2</w:t>
            </w:r>
            <w:r>
              <w:rPr>
                <w:lang w:val="en-GB"/>
              </w:rPr>
              <w:t xml:space="preserve"> IV</w:t>
            </w:r>
          </w:p>
        </w:tc>
        <w:tc>
          <w:tcPr>
            <w:tcW w:w="3954" w:type="dxa"/>
            <w:vMerge/>
            <w:tcBorders>
              <w:left w:val="single" w:sz="8" w:space="0" w:color="auto"/>
              <w:bottom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Height w:val="381"/>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single" w:sz="8" w:space="0" w:color="auto"/>
              <w:left w:val="single" w:sz="8" w:space="0" w:color="auto"/>
              <w:bottom w:val="single" w:sz="8" w:space="0" w:color="auto"/>
              <w:right w:val="single" w:sz="8" w:space="0" w:color="auto"/>
            </w:tcBorders>
          </w:tcPr>
          <w:p w:rsidR="00810904" w:rsidRDefault="00810904" w:rsidP="008F4FF8">
            <w:pPr>
              <w:pStyle w:val="TableCellLeft"/>
              <w:spacing w:before="0" w:after="0" w:line="240" w:lineRule="auto"/>
              <w:rPr>
                <w:lang w:val="en-GB"/>
              </w:rPr>
            </w:pPr>
            <w:r>
              <w:rPr>
                <w:lang w:val="en-GB"/>
              </w:rPr>
              <w:t>Placebo</w:t>
            </w:r>
          </w:p>
        </w:tc>
        <w:tc>
          <w:tcPr>
            <w:tcW w:w="1928" w:type="dxa"/>
            <w:tcBorders>
              <w:top w:val="single" w:sz="8" w:space="0" w:color="auto"/>
              <w:left w:val="single" w:sz="8" w:space="0" w:color="auto"/>
              <w:bottom w:val="single" w:sz="8" w:space="0" w:color="auto"/>
              <w:right w:val="single" w:sz="8" w:space="0" w:color="auto"/>
            </w:tcBorders>
          </w:tcPr>
          <w:p w:rsidR="00810904" w:rsidRDefault="00810904" w:rsidP="008F4FF8">
            <w:pPr>
              <w:pStyle w:val="TableCellLeft"/>
              <w:spacing w:before="0" w:after="0" w:line="240" w:lineRule="auto"/>
              <w:rPr>
                <w:lang w:val="en-GB"/>
              </w:rPr>
            </w:pPr>
            <w:r>
              <w:rPr>
                <w:lang w:val="en-GB"/>
              </w:rPr>
              <w:t>IV</w:t>
            </w:r>
          </w:p>
        </w:tc>
        <w:tc>
          <w:tcPr>
            <w:tcW w:w="3954" w:type="dxa"/>
            <w:tcBorders>
              <w:top w:val="single" w:sz="8" w:space="0" w:color="auto"/>
              <w:left w:val="single" w:sz="8" w:space="0" w:color="auto"/>
              <w:bottom w:val="single" w:sz="8" w:space="0" w:color="auto"/>
            </w:tcBorders>
          </w:tcPr>
          <w:p w:rsidR="00810904" w:rsidRDefault="00810904" w:rsidP="008F4FF8">
            <w:pPr>
              <w:pStyle w:val="TableCellLeft"/>
              <w:spacing w:before="0" w:after="0" w:line="240" w:lineRule="auto"/>
              <w:rPr>
                <w:lang w:val="en-GB"/>
              </w:rPr>
            </w:pPr>
            <w:r>
              <w:rPr>
                <w:lang w:val="en-GB"/>
              </w:rPr>
              <w:t>Every 2 weeks</w:t>
            </w:r>
          </w:p>
        </w:tc>
      </w:tr>
      <w:tr w:rsidR="00810904" w:rsidTr="008F4FF8">
        <w:trPr>
          <w:cantSplit/>
        </w:trPr>
        <w:tc>
          <w:tcPr>
            <w:tcW w:w="1023" w:type="dxa"/>
            <w:vMerge w:val="restart"/>
            <w:tcBorders>
              <w:top w:val="single" w:sz="8" w:space="0" w:color="auto"/>
              <w:bottom w:val="single" w:sz="8" w:space="0" w:color="auto"/>
              <w:right w:val="single" w:sz="8" w:space="0" w:color="auto"/>
            </w:tcBorders>
          </w:tcPr>
          <w:p w:rsidR="00810904" w:rsidRDefault="00810904" w:rsidP="00810904">
            <w:pPr>
              <w:pStyle w:val="TableCellCenter"/>
              <w:rPr>
                <w:lang w:val="en-GB"/>
              </w:rPr>
            </w:pPr>
            <w:r>
              <w:rPr>
                <w:lang w:val="en-GB"/>
              </w:rPr>
              <w:t>Arm 2</w:t>
            </w:r>
          </w:p>
        </w:tc>
        <w:tc>
          <w:tcPr>
            <w:tcW w:w="1701" w:type="dxa"/>
            <w:tcBorders>
              <w:top w:val="single" w:sz="8" w:space="0" w:color="auto"/>
              <w:left w:val="single" w:sz="8" w:space="0" w:color="auto"/>
              <w:bottom w:val="nil"/>
              <w:right w:val="single" w:sz="8" w:space="0" w:color="auto"/>
            </w:tcBorders>
          </w:tcPr>
          <w:p w:rsidR="00810904" w:rsidRDefault="00810904" w:rsidP="00723906">
            <w:pPr>
              <w:pStyle w:val="TableCellLeft"/>
              <w:spacing w:before="0" w:after="0" w:line="240" w:lineRule="auto"/>
              <w:rPr>
                <w:lang w:val="en-GB"/>
              </w:rPr>
            </w:pPr>
            <w:proofErr w:type="spellStart"/>
            <w:r>
              <w:rPr>
                <w:lang w:val="en-GB"/>
              </w:rPr>
              <w:t>Irinotecan</w:t>
            </w:r>
            <w:proofErr w:type="spellEnd"/>
          </w:p>
        </w:tc>
        <w:tc>
          <w:tcPr>
            <w:tcW w:w="1928" w:type="dxa"/>
            <w:tcBorders>
              <w:top w:val="single" w:sz="8" w:space="0" w:color="auto"/>
              <w:left w:val="single" w:sz="8" w:space="0" w:color="auto"/>
              <w:bottom w:val="nil"/>
              <w:right w:val="single" w:sz="8" w:space="0" w:color="auto"/>
            </w:tcBorders>
          </w:tcPr>
          <w:p w:rsidR="00810904" w:rsidRDefault="00810904" w:rsidP="00723906">
            <w:pPr>
              <w:pStyle w:val="TableCellLeft"/>
              <w:spacing w:before="0" w:after="0" w:line="240" w:lineRule="auto"/>
              <w:rPr>
                <w:lang w:val="en-GB"/>
              </w:rPr>
            </w:pPr>
            <w:r>
              <w:rPr>
                <w:lang w:val="en-GB"/>
              </w:rPr>
              <w:t>125 mg/m</w:t>
            </w:r>
            <w:r>
              <w:rPr>
                <w:vertAlign w:val="superscript"/>
                <w:lang w:val="en-GB"/>
              </w:rPr>
              <w:t>2</w:t>
            </w:r>
            <w:r>
              <w:rPr>
                <w:lang w:val="en-GB"/>
              </w:rPr>
              <w:t xml:space="preserve"> IV</w:t>
            </w:r>
          </w:p>
        </w:tc>
        <w:tc>
          <w:tcPr>
            <w:tcW w:w="3954" w:type="dxa"/>
            <w:vMerge w:val="restart"/>
            <w:tcBorders>
              <w:top w:val="single" w:sz="8" w:space="0" w:color="auto"/>
              <w:left w:val="single" w:sz="8" w:space="0" w:color="auto"/>
            </w:tcBorders>
          </w:tcPr>
          <w:p w:rsidR="00810904" w:rsidRDefault="00810904" w:rsidP="00723906">
            <w:pPr>
              <w:pStyle w:val="TableCellLeft"/>
              <w:spacing w:before="0" w:after="0" w:line="240" w:lineRule="auto"/>
              <w:rPr>
                <w:lang w:val="en-GB"/>
              </w:rPr>
            </w:pPr>
            <w:r>
              <w:rPr>
                <w:lang w:val="en-GB"/>
              </w:rPr>
              <w:t>Given once weekly for 4 weeks every 6 weeks</w:t>
            </w: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nil"/>
              <w:right w:val="single" w:sz="8" w:space="0" w:color="auto"/>
            </w:tcBorders>
          </w:tcPr>
          <w:p w:rsidR="00810904" w:rsidRDefault="009B4FC8" w:rsidP="00723906">
            <w:pPr>
              <w:pStyle w:val="TableCellLeft"/>
              <w:spacing w:before="0" w:after="0" w:line="240" w:lineRule="auto"/>
              <w:rPr>
                <w:lang w:val="en-GB"/>
              </w:rPr>
            </w:pPr>
            <w:r>
              <w:rPr>
                <w:lang w:val="en-GB"/>
              </w:rPr>
              <w:t>Fluorouracil</w:t>
            </w:r>
          </w:p>
        </w:tc>
        <w:tc>
          <w:tcPr>
            <w:tcW w:w="1928" w:type="dxa"/>
            <w:tcBorders>
              <w:top w:val="nil"/>
              <w:left w:val="single" w:sz="8" w:space="0" w:color="auto"/>
              <w:bottom w:val="nil"/>
              <w:right w:val="single" w:sz="8" w:space="0" w:color="auto"/>
            </w:tcBorders>
          </w:tcPr>
          <w:p w:rsidR="00810904" w:rsidRDefault="00810904" w:rsidP="00723906">
            <w:pPr>
              <w:pStyle w:val="TableCellLeft"/>
              <w:spacing w:before="0" w:after="0" w:line="240" w:lineRule="auto"/>
              <w:rPr>
                <w:lang w:val="en-GB"/>
              </w:rPr>
            </w:pPr>
            <w:r>
              <w:rPr>
                <w:lang w:val="en-GB"/>
              </w:rPr>
              <w:t>500 mg/m</w:t>
            </w:r>
            <w:r>
              <w:rPr>
                <w:vertAlign w:val="superscript"/>
                <w:lang w:val="en-GB"/>
              </w:rPr>
              <w:t>2</w:t>
            </w:r>
            <w:r>
              <w:rPr>
                <w:lang w:val="en-GB"/>
              </w:rPr>
              <w:t xml:space="preserve"> IV</w:t>
            </w:r>
          </w:p>
        </w:tc>
        <w:tc>
          <w:tcPr>
            <w:tcW w:w="3954" w:type="dxa"/>
            <w:vMerge/>
            <w:tcBorders>
              <w:left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single" w:sz="8" w:space="0" w:color="auto"/>
              <w:right w:val="single" w:sz="8" w:space="0" w:color="auto"/>
            </w:tcBorders>
          </w:tcPr>
          <w:p w:rsidR="00810904" w:rsidRDefault="00BC3408" w:rsidP="00723906">
            <w:pPr>
              <w:pStyle w:val="TableCellLeft"/>
              <w:spacing w:before="0" w:after="0" w:line="240" w:lineRule="auto"/>
              <w:rPr>
                <w:lang w:val="en-GB"/>
              </w:rPr>
            </w:pPr>
            <w:proofErr w:type="spellStart"/>
            <w:r>
              <w:rPr>
                <w:lang w:val="en-GB"/>
              </w:rPr>
              <w:t>Folinic</w:t>
            </w:r>
            <w:proofErr w:type="spellEnd"/>
            <w:r>
              <w:rPr>
                <w:lang w:val="en-GB"/>
              </w:rPr>
              <w:t xml:space="preserve"> acid</w:t>
            </w:r>
          </w:p>
        </w:tc>
        <w:tc>
          <w:tcPr>
            <w:tcW w:w="1928" w:type="dxa"/>
            <w:tcBorders>
              <w:top w:val="nil"/>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20 mg/m</w:t>
            </w:r>
            <w:r>
              <w:rPr>
                <w:vertAlign w:val="superscript"/>
                <w:lang w:val="en-GB"/>
              </w:rPr>
              <w:t>2</w:t>
            </w:r>
            <w:r>
              <w:rPr>
                <w:lang w:val="en-GB"/>
              </w:rPr>
              <w:t xml:space="preserve"> IV</w:t>
            </w:r>
          </w:p>
        </w:tc>
        <w:tc>
          <w:tcPr>
            <w:tcW w:w="3954" w:type="dxa"/>
            <w:vMerge/>
            <w:tcBorders>
              <w:left w:val="single" w:sz="8" w:space="0" w:color="auto"/>
              <w:bottom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single" w:sz="8" w:space="0" w:color="auto"/>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AVASTIN</w:t>
            </w:r>
          </w:p>
        </w:tc>
        <w:tc>
          <w:tcPr>
            <w:tcW w:w="1928" w:type="dxa"/>
            <w:tcBorders>
              <w:top w:val="single" w:sz="8" w:space="0" w:color="auto"/>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5 mg/kg IV</w:t>
            </w:r>
          </w:p>
        </w:tc>
        <w:tc>
          <w:tcPr>
            <w:tcW w:w="3954" w:type="dxa"/>
            <w:tcBorders>
              <w:top w:val="single" w:sz="8" w:space="0" w:color="auto"/>
              <w:left w:val="single" w:sz="8" w:space="0" w:color="auto"/>
              <w:bottom w:val="single" w:sz="8" w:space="0" w:color="auto"/>
            </w:tcBorders>
          </w:tcPr>
          <w:p w:rsidR="00810904" w:rsidRDefault="00810904" w:rsidP="00723906">
            <w:pPr>
              <w:pStyle w:val="TableCellLeft"/>
              <w:spacing w:before="0" w:after="0" w:line="240" w:lineRule="auto"/>
              <w:rPr>
                <w:lang w:val="en-GB"/>
              </w:rPr>
            </w:pPr>
            <w:r>
              <w:rPr>
                <w:lang w:val="en-GB"/>
              </w:rPr>
              <w:t>Every 2 weeks</w:t>
            </w:r>
          </w:p>
        </w:tc>
      </w:tr>
      <w:tr w:rsidR="00810904" w:rsidTr="008F4FF8">
        <w:trPr>
          <w:cantSplit/>
        </w:trPr>
        <w:tc>
          <w:tcPr>
            <w:tcW w:w="1023" w:type="dxa"/>
            <w:vMerge w:val="restart"/>
            <w:tcBorders>
              <w:top w:val="single" w:sz="8" w:space="0" w:color="auto"/>
              <w:bottom w:val="single" w:sz="8" w:space="0" w:color="auto"/>
              <w:right w:val="single" w:sz="8" w:space="0" w:color="auto"/>
            </w:tcBorders>
          </w:tcPr>
          <w:p w:rsidR="00810904" w:rsidRDefault="00810904" w:rsidP="00810904">
            <w:pPr>
              <w:pStyle w:val="TableCellCenter"/>
              <w:rPr>
                <w:lang w:val="en-GB"/>
              </w:rPr>
            </w:pPr>
            <w:r>
              <w:rPr>
                <w:lang w:val="en-GB"/>
              </w:rPr>
              <w:t>Arm 3</w:t>
            </w:r>
          </w:p>
        </w:tc>
        <w:tc>
          <w:tcPr>
            <w:tcW w:w="1701" w:type="dxa"/>
            <w:tcBorders>
              <w:top w:val="single" w:sz="8" w:space="0" w:color="auto"/>
              <w:left w:val="single" w:sz="8" w:space="0" w:color="auto"/>
              <w:bottom w:val="nil"/>
              <w:right w:val="single" w:sz="8" w:space="0" w:color="auto"/>
            </w:tcBorders>
          </w:tcPr>
          <w:p w:rsidR="00810904" w:rsidRDefault="009B4FC8" w:rsidP="008F4FF8">
            <w:pPr>
              <w:pStyle w:val="TableCellLeft"/>
              <w:spacing w:before="0" w:after="0" w:line="240" w:lineRule="auto"/>
              <w:rPr>
                <w:lang w:val="en-GB"/>
              </w:rPr>
            </w:pPr>
            <w:r>
              <w:rPr>
                <w:lang w:val="en-GB"/>
              </w:rPr>
              <w:t>Fluorouracil</w:t>
            </w:r>
          </w:p>
        </w:tc>
        <w:tc>
          <w:tcPr>
            <w:tcW w:w="1928" w:type="dxa"/>
            <w:tcBorders>
              <w:top w:val="single" w:sz="8" w:space="0" w:color="auto"/>
              <w:left w:val="single" w:sz="8" w:space="0" w:color="auto"/>
              <w:bottom w:val="nil"/>
              <w:right w:val="single" w:sz="8" w:space="0" w:color="auto"/>
            </w:tcBorders>
          </w:tcPr>
          <w:p w:rsidR="00810904" w:rsidRDefault="00810904" w:rsidP="008F4FF8">
            <w:pPr>
              <w:pStyle w:val="TableCellLeft"/>
              <w:spacing w:before="0" w:after="0" w:line="240" w:lineRule="auto"/>
              <w:rPr>
                <w:lang w:val="en-GB"/>
              </w:rPr>
            </w:pPr>
            <w:r>
              <w:rPr>
                <w:lang w:val="en-GB"/>
              </w:rPr>
              <w:t>500 mg/m</w:t>
            </w:r>
            <w:r>
              <w:rPr>
                <w:vertAlign w:val="superscript"/>
                <w:lang w:val="en-GB"/>
              </w:rPr>
              <w:t>2</w:t>
            </w:r>
            <w:r>
              <w:rPr>
                <w:lang w:val="en-GB"/>
              </w:rPr>
              <w:t xml:space="preserve"> IV</w:t>
            </w:r>
          </w:p>
        </w:tc>
        <w:tc>
          <w:tcPr>
            <w:tcW w:w="3954" w:type="dxa"/>
            <w:vMerge w:val="restart"/>
            <w:tcBorders>
              <w:top w:val="single" w:sz="8" w:space="0" w:color="auto"/>
              <w:left w:val="single" w:sz="8" w:space="0" w:color="auto"/>
            </w:tcBorders>
          </w:tcPr>
          <w:p w:rsidR="00810904" w:rsidRDefault="00810904" w:rsidP="008F4FF8">
            <w:pPr>
              <w:pStyle w:val="TableCellLeft"/>
              <w:spacing w:before="0" w:after="0" w:line="240" w:lineRule="auto"/>
              <w:rPr>
                <w:lang w:val="en-GB"/>
              </w:rPr>
            </w:pPr>
            <w:r>
              <w:rPr>
                <w:lang w:val="en-GB"/>
              </w:rPr>
              <w:t>Given once weekly for 6 weeks every 8 weeks</w:t>
            </w: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single" w:sz="8" w:space="0" w:color="auto"/>
              <w:right w:val="single" w:sz="8" w:space="0" w:color="auto"/>
            </w:tcBorders>
          </w:tcPr>
          <w:p w:rsidR="00810904" w:rsidRDefault="00BC3408" w:rsidP="00723906">
            <w:pPr>
              <w:pStyle w:val="TableCellLeft"/>
              <w:spacing w:before="0" w:after="0" w:line="240" w:lineRule="auto"/>
              <w:rPr>
                <w:lang w:val="en-GB"/>
              </w:rPr>
            </w:pPr>
            <w:proofErr w:type="spellStart"/>
            <w:r>
              <w:rPr>
                <w:lang w:val="en-GB"/>
              </w:rPr>
              <w:t>Folinic</w:t>
            </w:r>
            <w:proofErr w:type="spellEnd"/>
            <w:r>
              <w:rPr>
                <w:lang w:val="en-GB"/>
              </w:rPr>
              <w:t xml:space="preserve"> acid</w:t>
            </w:r>
          </w:p>
        </w:tc>
        <w:tc>
          <w:tcPr>
            <w:tcW w:w="1928" w:type="dxa"/>
            <w:tcBorders>
              <w:top w:val="nil"/>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500 mg/m</w:t>
            </w:r>
            <w:r>
              <w:rPr>
                <w:vertAlign w:val="superscript"/>
                <w:lang w:val="en-GB"/>
              </w:rPr>
              <w:t>2</w:t>
            </w:r>
            <w:r>
              <w:rPr>
                <w:lang w:val="en-GB"/>
              </w:rPr>
              <w:t xml:space="preserve"> IV</w:t>
            </w:r>
          </w:p>
        </w:tc>
        <w:tc>
          <w:tcPr>
            <w:tcW w:w="3954" w:type="dxa"/>
            <w:vMerge/>
            <w:tcBorders>
              <w:left w:val="single" w:sz="8" w:space="0" w:color="auto"/>
              <w:bottom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single" w:sz="8" w:space="0" w:color="auto"/>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AVASTIN</w:t>
            </w:r>
          </w:p>
        </w:tc>
        <w:tc>
          <w:tcPr>
            <w:tcW w:w="1928" w:type="dxa"/>
            <w:tcBorders>
              <w:top w:val="single" w:sz="8" w:space="0" w:color="auto"/>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5 mg/kg IV</w:t>
            </w:r>
          </w:p>
        </w:tc>
        <w:tc>
          <w:tcPr>
            <w:tcW w:w="3954" w:type="dxa"/>
            <w:tcBorders>
              <w:top w:val="single" w:sz="8" w:space="0" w:color="auto"/>
              <w:left w:val="single" w:sz="8" w:space="0" w:color="auto"/>
              <w:bottom w:val="single" w:sz="8" w:space="0" w:color="auto"/>
            </w:tcBorders>
          </w:tcPr>
          <w:p w:rsidR="00810904" w:rsidRDefault="00810904" w:rsidP="00723906">
            <w:pPr>
              <w:pStyle w:val="TableCellLeft"/>
              <w:spacing w:before="0" w:after="0" w:line="240" w:lineRule="auto"/>
              <w:rPr>
                <w:lang w:val="en-GB"/>
              </w:rPr>
            </w:pPr>
            <w:r>
              <w:rPr>
                <w:lang w:val="en-GB"/>
              </w:rPr>
              <w:t>Every 2 weeks</w:t>
            </w:r>
          </w:p>
        </w:tc>
      </w:tr>
    </w:tbl>
    <w:p w:rsidR="00820A51" w:rsidRPr="00820A51" w:rsidRDefault="00820A51" w:rsidP="00820A51">
      <w:pPr>
        <w:pStyle w:val="TableFooter"/>
        <w:tabs>
          <w:tab w:val="clear" w:pos="144"/>
          <w:tab w:val="left" w:pos="851"/>
          <w:tab w:val="left" w:pos="1294"/>
        </w:tabs>
        <w:ind w:left="1294" w:hanging="1294"/>
        <w:rPr>
          <w:i/>
          <w:lang w:val="en-GB"/>
        </w:rPr>
      </w:pPr>
      <w:r>
        <w:rPr>
          <w:i/>
          <w:lang w:val="en-GB"/>
        </w:rPr>
        <w:tab/>
      </w:r>
      <w:r w:rsidR="009B4FC8">
        <w:rPr>
          <w:i/>
          <w:lang w:val="en-GB"/>
        </w:rPr>
        <w:t>F</w:t>
      </w:r>
      <w:r w:rsidR="009B4FC8" w:rsidRPr="00820A51">
        <w:rPr>
          <w:i/>
          <w:lang w:val="en-GB"/>
        </w:rPr>
        <w:t>luorouracil</w:t>
      </w:r>
      <w:r w:rsidRPr="00820A51">
        <w:rPr>
          <w:i/>
          <w:lang w:val="en-GB"/>
        </w:rPr>
        <w:t xml:space="preserve">: IV bolus injection immediately </w:t>
      </w:r>
      <w:r w:rsidRPr="00BC3408">
        <w:rPr>
          <w:i/>
          <w:lang w:val="en-GB"/>
        </w:rPr>
        <w:t xml:space="preserve">after </w:t>
      </w:r>
      <w:proofErr w:type="spellStart"/>
      <w:r w:rsidR="00BC3408">
        <w:rPr>
          <w:i/>
          <w:lang w:val="en-GB"/>
        </w:rPr>
        <w:t>f</w:t>
      </w:r>
      <w:r w:rsidR="00BC3408" w:rsidRPr="00BC3408">
        <w:rPr>
          <w:i/>
          <w:lang w:val="en-GB"/>
        </w:rPr>
        <w:t>olinic</w:t>
      </w:r>
      <w:proofErr w:type="spellEnd"/>
      <w:r w:rsidR="00BC3408" w:rsidRPr="00BC3408">
        <w:rPr>
          <w:i/>
          <w:lang w:val="en-GB"/>
        </w:rPr>
        <w:t xml:space="preserve"> acid</w:t>
      </w:r>
    </w:p>
    <w:p w:rsidR="00820A51" w:rsidRDefault="00820A51" w:rsidP="00820A51">
      <w:pPr>
        <w:tabs>
          <w:tab w:val="left" w:pos="851"/>
        </w:tabs>
      </w:pPr>
      <w:r w:rsidRPr="00820A51">
        <w:rPr>
          <w:i/>
          <w:sz w:val="20"/>
          <w:lang w:val="en-GB"/>
        </w:rPr>
        <w:tab/>
      </w:r>
      <w:proofErr w:type="spellStart"/>
      <w:r w:rsidR="00BC3408" w:rsidRPr="00BC3408">
        <w:rPr>
          <w:i/>
          <w:sz w:val="20"/>
          <w:lang w:val="en-GB"/>
        </w:rPr>
        <w:t>Folinic</w:t>
      </w:r>
      <w:proofErr w:type="spellEnd"/>
      <w:r w:rsidR="00BC3408" w:rsidRPr="00BC3408">
        <w:rPr>
          <w:i/>
          <w:sz w:val="20"/>
          <w:lang w:val="en-GB"/>
        </w:rPr>
        <w:t xml:space="preserve"> acid</w:t>
      </w:r>
      <w:r w:rsidRPr="00820A51">
        <w:rPr>
          <w:i/>
          <w:sz w:val="20"/>
          <w:lang w:val="en-GB"/>
        </w:rPr>
        <w:t>: IV bolus injection (over 1</w:t>
      </w:r>
      <w:r w:rsidR="009179C6">
        <w:rPr>
          <w:i/>
          <w:sz w:val="20"/>
          <w:lang w:val="en-GB"/>
        </w:rPr>
        <w:t>-</w:t>
      </w:r>
      <w:r w:rsidRPr="00820A51">
        <w:rPr>
          <w:i/>
          <w:sz w:val="20"/>
          <w:lang w:val="en-GB"/>
        </w:rPr>
        <w:t xml:space="preserve"> 2 minutes) immediately after each </w:t>
      </w:r>
      <w:proofErr w:type="spellStart"/>
      <w:r w:rsidRPr="00820A51">
        <w:rPr>
          <w:i/>
          <w:sz w:val="20"/>
          <w:lang w:val="en-GB"/>
        </w:rPr>
        <w:t>irinotecan</w:t>
      </w:r>
      <w:proofErr w:type="spellEnd"/>
      <w:r w:rsidRPr="00820A51">
        <w:rPr>
          <w:i/>
          <w:sz w:val="20"/>
          <w:lang w:val="en-GB"/>
        </w:rPr>
        <w:t xml:space="preserve"> dose</w:t>
      </w:r>
    </w:p>
    <w:p w:rsidR="00713967" w:rsidRDefault="00713967" w:rsidP="00AE1E2B">
      <w:pPr>
        <w:pStyle w:val="TextTi12"/>
      </w:pPr>
    </w:p>
    <w:p w:rsidR="00723906" w:rsidRDefault="00810904" w:rsidP="00AE1E2B">
      <w:pPr>
        <w:pStyle w:val="TextTi12"/>
        <w:rPr>
          <w:lang w:val="en-GB"/>
        </w:rPr>
      </w:pPr>
      <w:r>
        <w:t xml:space="preserve">The primary efficacy </w:t>
      </w:r>
      <w:r w:rsidR="00014E4F">
        <w:t>endpoint</w:t>
      </w:r>
      <w:r>
        <w:t xml:space="preserve"> of the trial was </w:t>
      </w:r>
      <w:r w:rsidR="00840E18">
        <w:t>overall</w:t>
      </w:r>
      <w:r>
        <w:t xml:space="preserve"> survival. </w:t>
      </w:r>
      <w:r w:rsidR="00BE7E48">
        <w:t xml:space="preserve"> </w:t>
      </w:r>
      <w:r>
        <w:t>At the time of data cut</w:t>
      </w:r>
      <w:r w:rsidR="00F45A4D">
        <w:t>-</w:t>
      </w:r>
      <w:r>
        <w:t xml:space="preserve">off, 399 deaths had occurred in patients </w:t>
      </w:r>
      <w:proofErr w:type="spellStart"/>
      <w:r>
        <w:t>randomised</w:t>
      </w:r>
      <w:proofErr w:type="spellEnd"/>
      <w:r>
        <w:t xml:space="preserve"> to Arm 1 (</w:t>
      </w:r>
      <w:r w:rsidR="00402F1B" w:rsidRPr="00402F1B">
        <w:rPr>
          <w:i/>
        </w:rPr>
        <w:t>n</w:t>
      </w:r>
      <w:r>
        <w:t xml:space="preserve"> = 225) and Arm 2 (</w:t>
      </w:r>
      <w:r w:rsidR="00402F1B" w:rsidRPr="00402F1B">
        <w:rPr>
          <w:i/>
        </w:rPr>
        <w:t>n</w:t>
      </w:r>
      <w:r>
        <w:t xml:space="preserve"> = 174). </w:t>
      </w:r>
      <w:r w:rsidR="00BE7E48">
        <w:t xml:space="preserve"> </w:t>
      </w:r>
      <w:r>
        <w:rPr>
          <w:lang w:val="en-GB"/>
        </w:rPr>
        <w:t>The addition of AVASTIN to IFL resulted in a statistically significant increase in overall survival</w:t>
      </w:r>
      <w:r w:rsidR="00690D2A">
        <w:rPr>
          <w:lang w:val="en-GB"/>
        </w:rPr>
        <w:t>.</w:t>
      </w:r>
      <w:r>
        <w:rPr>
          <w:lang w:val="en-GB"/>
        </w:rPr>
        <w:t xml:space="preserve"> </w:t>
      </w:r>
      <w:r w:rsidR="00377D29">
        <w:rPr>
          <w:lang w:val="en-GB"/>
        </w:rPr>
        <w:t xml:space="preserve">Results are presented in Table 2 and Figure 1. </w:t>
      </w:r>
      <w:r w:rsidR="00BE7E48">
        <w:rPr>
          <w:lang w:val="en-GB"/>
        </w:rPr>
        <w:t xml:space="preserve"> </w:t>
      </w:r>
      <w:r>
        <w:rPr>
          <w:lang w:val="en-GB"/>
        </w:rPr>
        <w:t>The clinical benefit of AVASTIN, as measured by survival, progression</w:t>
      </w:r>
      <w:r>
        <w:rPr>
          <w:lang w:val="en-GB"/>
        </w:rPr>
        <w:noBreakHyphen/>
        <w:t>free survival and objective response, was seen in all pre</w:t>
      </w:r>
      <w:r>
        <w:rPr>
          <w:lang w:val="en-GB"/>
        </w:rPr>
        <w:noBreakHyphen/>
        <w:t xml:space="preserve">specified patient subgroups, see Figure 2. </w:t>
      </w:r>
    </w:p>
    <w:p w:rsidR="00810904" w:rsidRPr="001269F3" w:rsidRDefault="00810904" w:rsidP="008F4FF8">
      <w:pPr>
        <w:pStyle w:val="Heading4"/>
        <w:spacing w:after="100" w:afterAutospacing="1"/>
        <w:ind w:left="284"/>
        <w:rPr>
          <w:i w:val="0"/>
          <w:lang w:val="en-GB"/>
        </w:rPr>
      </w:pPr>
      <w:r w:rsidRPr="001269F3">
        <w:rPr>
          <w:i w:val="0"/>
          <w:lang w:val="en-GB"/>
        </w:rPr>
        <w:t xml:space="preserve">Table </w:t>
      </w:r>
      <w:r w:rsidR="00786582">
        <w:rPr>
          <w:i w:val="0"/>
          <w:lang w:val="en-GB"/>
        </w:rPr>
        <w:t>2</w:t>
      </w:r>
      <w:r w:rsidR="00690D2A" w:rsidRPr="001269F3">
        <w:rPr>
          <w:i w:val="0"/>
          <w:lang w:val="en-GB"/>
        </w:rPr>
        <w:t xml:space="preserve">:  </w:t>
      </w:r>
      <w:r w:rsidRPr="001269F3">
        <w:rPr>
          <w:i w:val="0"/>
          <w:lang w:val="en-GB"/>
        </w:rPr>
        <w:t xml:space="preserve">Efficacy </w:t>
      </w:r>
      <w:r w:rsidR="00874F80">
        <w:rPr>
          <w:i w:val="0"/>
          <w:lang w:val="en-GB"/>
        </w:rPr>
        <w:t>r</w:t>
      </w:r>
      <w:r w:rsidRPr="001269F3">
        <w:rPr>
          <w:i w:val="0"/>
          <w:lang w:val="en-GB"/>
        </w:rPr>
        <w:t xml:space="preserve">esults for </w:t>
      </w:r>
      <w:r w:rsidR="00874F80">
        <w:rPr>
          <w:i w:val="0"/>
          <w:lang w:val="en-GB"/>
        </w:rPr>
        <w:t>s</w:t>
      </w:r>
      <w:r w:rsidRPr="001269F3">
        <w:rPr>
          <w:i w:val="0"/>
          <w:lang w:val="en-GB"/>
        </w:rPr>
        <w:t>tudy AVF2107g</w:t>
      </w:r>
    </w:p>
    <w:tbl>
      <w:tblPr>
        <w:tblW w:w="0" w:type="auto"/>
        <w:jc w:val="center"/>
        <w:tblInd w:w="-460" w:type="dxa"/>
        <w:tblLayout w:type="fixed"/>
        <w:tblLook w:val="0000" w:firstRow="0" w:lastRow="0" w:firstColumn="0" w:lastColumn="0" w:noHBand="0" w:noVBand="0"/>
      </w:tblPr>
      <w:tblGrid>
        <w:gridCol w:w="2905"/>
        <w:gridCol w:w="1843"/>
        <w:gridCol w:w="1984"/>
        <w:gridCol w:w="2252"/>
      </w:tblGrid>
      <w:tr w:rsidR="00810904" w:rsidRPr="00E776F0" w:rsidTr="008F4FF8">
        <w:trPr>
          <w:cantSplit/>
          <w:jc w:val="center"/>
        </w:trPr>
        <w:tc>
          <w:tcPr>
            <w:tcW w:w="2905" w:type="dxa"/>
            <w:tcBorders>
              <w:top w:val="single" w:sz="4" w:space="0" w:color="auto"/>
              <w:left w:val="single" w:sz="8" w:space="0" w:color="auto"/>
              <w:bottom w:val="single" w:sz="8" w:space="0" w:color="auto"/>
              <w:right w:val="single" w:sz="8" w:space="0" w:color="auto"/>
            </w:tcBorders>
            <w:vAlign w:val="bottom"/>
          </w:tcPr>
          <w:p w:rsidR="00810904" w:rsidRPr="00690D2A" w:rsidRDefault="00810904" w:rsidP="00810904">
            <w:pPr>
              <w:pStyle w:val="TableCellCenter"/>
              <w:rPr>
                <w:b/>
                <w:lang w:val="en-GB"/>
              </w:rPr>
            </w:pPr>
          </w:p>
        </w:tc>
        <w:tc>
          <w:tcPr>
            <w:tcW w:w="1843" w:type="dxa"/>
            <w:tcBorders>
              <w:top w:val="single" w:sz="4" w:space="0" w:color="auto"/>
              <w:left w:val="single" w:sz="8" w:space="0" w:color="auto"/>
              <w:bottom w:val="single" w:sz="8" w:space="0" w:color="auto"/>
            </w:tcBorders>
            <w:vAlign w:val="bottom"/>
          </w:tcPr>
          <w:p w:rsidR="00FE4210" w:rsidRDefault="00A613F2" w:rsidP="008F4FF8">
            <w:pPr>
              <w:pStyle w:val="TableCellCenter"/>
              <w:spacing w:before="0" w:after="0" w:line="240" w:lineRule="auto"/>
              <w:rPr>
                <w:b/>
                <w:lang w:val="en-GB"/>
              </w:rPr>
            </w:pPr>
            <w:r w:rsidRPr="008F4FF8">
              <w:rPr>
                <w:b/>
                <w:lang w:val="en-GB"/>
              </w:rPr>
              <w:t>Arm 1</w:t>
            </w:r>
            <w:r w:rsidR="00723906">
              <w:rPr>
                <w:b/>
                <w:lang w:val="en-GB"/>
              </w:rPr>
              <w:t xml:space="preserve"> </w:t>
            </w:r>
          </w:p>
          <w:p w:rsidR="00810904" w:rsidRPr="008F4FF8" w:rsidRDefault="00810904" w:rsidP="008F4FF8">
            <w:pPr>
              <w:pStyle w:val="TableCellCenter"/>
              <w:spacing w:before="0" w:after="0" w:line="240" w:lineRule="auto"/>
              <w:rPr>
                <w:b/>
                <w:lang w:val="en-GB"/>
              </w:rPr>
            </w:pPr>
            <w:r w:rsidRPr="008F4FF8">
              <w:rPr>
                <w:b/>
                <w:lang w:val="en-GB"/>
              </w:rPr>
              <w:t>IFL</w:t>
            </w:r>
            <w:r w:rsidR="00FD676D" w:rsidRPr="008F4FF8">
              <w:rPr>
                <w:b/>
                <w:lang w:val="en-GB"/>
              </w:rPr>
              <w:t xml:space="preserve"> plus</w:t>
            </w:r>
            <w:r w:rsidR="00FE4210">
              <w:rPr>
                <w:b/>
                <w:lang w:val="en-GB"/>
              </w:rPr>
              <w:t xml:space="preserve"> </w:t>
            </w:r>
            <w:r w:rsidR="00FD676D" w:rsidRPr="00723906">
              <w:rPr>
                <w:b/>
                <w:lang w:val="en-GB"/>
              </w:rPr>
              <w:t>p</w:t>
            </w:r>
            <w:r w:rsidRPr="008F4FF8">
              <w:rPr>
                <w:b/>
                <w:lang w:val="en-GB"/>
              </w:rPr>
              <w:t>lacebo</w:t>
            </w:r>
          </w:p>
          <w:p w:rsidR="00690D2A" w:rsidRPr="008F4FF8" w:rsidRDefault="00E85563" w:rsidP="008F4FF8">
            <w:pPr>
              <w:pStyle w:val="TableCellCenter"/>
              <w:spacing w:before="0" w:after="0" w:line="240" w:lineRule="auto"/>
              <w:rPr>
                <w:b/>
                <w:lang w:val="en-GB"/>
              </w:rPr>
            </w:pPr>
            <w:r w:rsidRPr="008F4FF8">
              <w:rPr>
                <w:b/>
                <w:lang w:val="en-GB"/>
              </w:rPr>
              <w:t>(</w:t>
            </w:r>
            <w:r w:rsidR="00402F1B" w:rsidRPr="008F4FF8">
              <w:rPr>
                <w:b/>
                <w:i/>
                <w:lang w:val="en-GB"/>
              </w:rPr>
              <w:t>n</w:t>
            </w:r>
            <w:r w:rsidR="00D301EE" w:rsidRPr="008F4FF8">
              <w:rPr>
                <w:b/>
                <w:lang w:val="en-GB"/>
              </w:rPr>
              <w:t xml:space="preserve"> </w:t>
            </w:r>
            <w:r w:rsidRPr="008F4FF8">
              <w:rPr>
                <w:b/>
                <w:lang w:val="en-GB"/>
              </w:rPr>
              <w:t>=</w:t>
            </w:r>
            <w:r w:rsidR="00D301EE" w:rsidRPr="008F4FF8">
              <w:rPr>
                <w:b/>
                <w:lang w:val="en-GB"/>
              </w:rPr>
              <w:t xml:space="preserve"> </w:t>
            </w:r>
            <w:r w:rsidRPr="008F4FF8">
              <w:rPr>
                <w:b/>
                <w:lang w:val="en-GB"/>
              </w:rPr>
              <w:t>411)</w:t>
            </w:r>
          </w:p>
        </w:tc>
        <w:tc>
          <w:tcPr>
            <w:tcW w:w="1984" w:type="dxa"/>
            <w:tcBorders>
              <w:top w:val="single" w:sz="4" w:space="0" w:color="auto"/>
              <w:bottom w:val="single" w:sz="8" w:space="0" w:color="auto"/>
              <w:right w:val="single" w:sz="8" w:space="0" w:color="auto"/>
            </w:tcBorders>
            <w:vAlign w:val="bottom"/>
          </w:tcPr>
          <w:p w:rsidR="00A613F2" w:rsidRPr="008F4FF8" w:rsidRDefault="00A613F2" w:rsidP="008F4FF8">
            <w:pPr>
              <w:pStyle w:val="TableCellCenter"/>
              <w:spacing w:before="0" w:after="0" w:line="240" w:lineRule="auto"/>
              <w:rPr>
                <w:b/>
                <w:lang w:val="fr-FR"/>
              </w:rPr>
            </w:pPr>
            <w:r w:rsidRPr="008F4FF8">
              <w:rPr>
                <w:b/>
                <w:lang w:val="fr-FR"/>
              </w:rPr>
              <w:t>Arm 2</w:t>
            </w:r>
          </w:p>
          <w:p w:rsidR="00690D2A" w:rsidRPr="008F4FF8" w:rsidRDefault="00810904" w:rsidP="008F4FF8">
            <w:pPr>
              <w:pStyle w:val="TableCellCenter"/>
              <w:spacing w:before="0" w:after="0" w:line="240" w:lineRule="auto"/>
              <w:rPr>
                <w:b/>
                <w:vertAlign w:val="superscript"/>
                <w:lang w:val="fr-FR"/>
              </w:rPr>
            </w:pPr>
            <w:r w:rsidRPr="008F4FF8">
              <w:rPr>
                <w:b/>
                <w:lang w:val="fr-FR"/>
              </w:rPr>
              <w:t>IFL</w:t>
            </w:r>
            <w:r w:rsidR="00FD676D" w:rsidRPr="008F4FF8">
              <w:rPr>
                <w:b/>
                <w:lang w:val="fr-FR"/>
              </w:rPr>
              <w:t xml:space="preserve"> plus</w:t>
            </w:r>
            <w:r w:rsidR="00723906">
              <w:rPr>
                <w:b/>
                <w:lang w:val="fr-FR"/>
              </w:rPr>
              <w:t xml:space="preserve"> </w:t>
            </w:r>
            <w:proofErr w:type="spellStart"/>
            <w:r w:rsidRPr="008F4FF8">
              <w:rPr>
                <w:b/>
                <w:lang w:val="fr-FR"/>
              </w:rPr>
              <w:t>AVASTIN</w:t>
            </w:r>
            <w:r w:rsidR="00A613F2" w:rsidRPr="008F4FF8">
              <w:rPr>
                <w:b/>
                <w:vertAlign w:val="superscript"/>
                <w:lang w:val="fr-FR"/>
              </w:rPr>
              <w:t>a</w:t>
            </w:r>
            <w:proofErr w:type="spellEnd"/>
          </w:p>
          <w:p w:rsidR="00690D2A" w:rsidRPr="00723906" w:rsidRDefault="00E85563" w:rsidP="008F4FF8">
            <w:pPr>
              <w:pStyle w:val="TableCellCenter"/>
              <w:spacing w:before="0" w:after="0" w:line="240" w:lineRule="auto"/>
              <w:rPr>
                <w:b/>
                <w:lang w:val="fr-FR"/>
              </w:rPr>
            </w:pPr>
            <w:r w:rsidRPr="008F4FF8">
              <w:rPr>
                <w:b/>
                <w:lang w:val="fr-FR"/>
              </w:rPr>
              <w:t>(</w:t>
            </w:r>
            <w:r w:rsidR="00402F1B" w:rsidRPr="008F4FF8">
              <w:rPr>
                <w:b/>
                <w:i/>
                <w:lang w:val="fr-FR"/>
              </w:rPr>
              <w:t>n</w:t>
            </w:r>
            <w:r w:rsidR="00D301EE" w:rsidRPr="008F4FF8">
              <w:rPr>
                <w:b/>
                <w:lang w:val="fr-FR"/>
              </w:rPr>
              <w:t xml:space="preserve"> </w:t>
            </w:r>
            <w:r w:rsidRPr="008F4FF8">
              <w:rPr>
                <w:b/>
                <w:lang w:val="fr-FR"/>
              </w:rPr>
              <w:t>=</w:t>
            </w:r>
            <w:r w:rsidR="00D301EE" w:rsidRPr="008F4FF8">
              <w:rPr>
                <w:b/>
                <w:lang w:val="fr-FR"/>
              </w:rPr>
              <w:t xml:space="preserve"> </w:t>
            </w:r>
            <w:r w:rsidRPr="008F4FF8">
              <w:rPr>
                <w:b/>
                <w:lang w:val="fr-FR"/>
              </w:rPr>
              <w:t>402)</w:t>
            </w:r>
          </w:p>
        </w:tc>
        <w:tc>
          <w:tcPr>
            <w:tcW w:w="2252" w:type="dxa"/>
            <w:tcBorders>
              <w:top w:val="single" w:sz="4" w:space="0" w:color="auto"/>
              <w:left w:val="single" w:sz="8" w:space="0" w:color="auto"/>
              <w:bottom w:val="single" w:sz="8" w:space="0" w:color="auto"/>
              <w:right w:val="single" w:sz="8" w:space="0" w:color="auto"/>
            </w:tcBorders>
            <w:vAlign w:val="bottom"/>
          </w:tcPr>
          <w:p w:rsidR="00A613F2" w:rsidRPr="008F4FF8" w:rsidRDefault="00A613F2" w:rsidP="008F4FF8">
            <w:pPr>
              <w:pStyle w:val="TableCellCenter"/>
              <w:spacing w:before="0" w:after="0" w:line="240" w:lineRule="auto"/>
              <w:rPr>
                <w:b/>
                <w:lang w:val="fr-FR"/>
              </w:rPr>
            </w:pPr>
            <w:r w:rsidRPr="008F4FF8">
              <w:rPr>
                <w:b/>
                <w:lang w:val="fr-FR"/>
              </w:rPr>
              <w:t>Arm 3</w:t>
            </w:r>
          </w:p>
          <w:p w:rsidR="00810904" w:rsidRPr="008F4FF8" w:rsidRDefault="00810904" w:rsidP="008F4FF8">
            <w:pPr>
              <w:pStyle w:val="TableCellCenter"/>
              <w:spacing w:before="0" w:after="0" w:line="240" w:lineRule="auto"/>
              <w:rPr>
                <w:b/>
                <w:vertAlign w:val="superscript"/>
                <w:lang w:val="fr-FR"/>
              </w:rPr>
            </w:pPr>
            <w:r w:rsidRPr="008F4FF8">
              <w:rPr>
                <w:b/>
                <w:lang w:val="fr-FR"/>
              </w:rPr>
              <w:t>FU/LV</w:t>
            </w:r>
            <w:r w:rsidR="00FD676D" w:rsidRPr="008F4FF8">
              <w:rPr>
                <w:b/>
                <w:lang w:val="fr-FR"/>
              </w:rPr>
              <w:t xml:space="preserve"> plus</w:t>
            </w:r>
            <w:r w:rsidRPr="008F4FF8">
              <w:rPr>
                <w:b/>
                <w:lang w:val="fr-FR"/>
              </w:rPr>
              <w:t> </w:t>
            </w:r>
            <w:proofErr w:type="spellStart"/>
            <w:r w:rsidRPr="008F4FF8">
              <w:rPr>
                <w:b/>
                <w:lang w:val="fr-FR"/>
              </w:rPr>
              <w:t>AVASTIN</w:t>
            </w:r>
            <w:r w:rsidR="00A613F2" w:rsidRPr="008F4FF8">
              <w:rPr>
                <w:b/>
                <w:vertAlign w:val="superscript"/>
                <w:lang w:val="fr-FR"/>
              </w:rPr>
              <w:t>a</w:t>
            </w:r>
            <w:proofErr w:type="spellEnd"/>
          </w:p>
          <w:p w:rsidR="00690D2A" w:rsidRPr="00723906" w:rsidRDefault="00E85563" w:rsidP="008F4FF8">
            <w:pPr>
              <w:pStyle w:val="TableCellCenter"/>
              <w:spacing w:before="0" w:after="0" w:line="240" w:lineRule="auto"/>
              <w:rPr>
                <w:b/>
                <w:lang w:val="fr-FR"/>
              </w:rPr>
            </w:pPr>
            <w:r w:rsidRPr="008F4FF8">
              <w:rPr>
                <w:b/>
                <w:lang w:val="fr-FR"/>
              </w:rPr>
              <w:t>(</w:t>
            </w:r>
            <w:r w:rsidR="00402F1B" w:rsidRPr="008F4FF8">
              <w:rPr>
                <w:b/>
                <w:i/>
                <w:lang w:val="fr-FR"/>
              </w:rPr>
              <w:t>n</w:t>
            </w:r>
            <w:r w:rsidR="00D301EE" w:rsidRPr="008F4FF8">
              <w:rPr>
                <w:b/>
                <w:lang w:val="fr-FR"/>
              </w:rPr>
              <w:t xml:space="preserve"> </w:t>
            </w:r>
            <w:r w:rsidRPr="008F4FF8">
              <w:rPr>
                <w:b/>
                <w:lang w:val="fr-FR"/>
              </w:rPr>
              <w:t>=</w:t>
            </w:r>
            <w:r w:rsidR="00D301EE" w:rsidRPr="008F4FF8">
              <w:rPr>
                <w:b/>
                <w:lang w:val="fr-FR"/>
              </w:rPr>
              <w:t xml:space="preserve"> </w:t>
            </w:r>
            <w:r w:rsidRPr="008F4FF8">
              <w:rPr>
                <w:b/>
                <w:lang w:val="fr-FR"/>
              </w:rPr>
              <w:t>110</w:t>
            </w:r>
            <w:r w:rsidRPr="008F4FF8">
              <w:rPr>
                <w:b/>
                <w:vertAlign w:val="superscript"/>
                <w:lang w:val="fr-FR"/>
              </w:rPr>
              <w:t>b</w:t>
            </w:r>
            <w:r w:rsidRPr="008F4FF8">
              <w:rPr>
                <w:b/>
                <w:lang w:val="fr-FR"/>
              </w:rPr>
              <w:t>)</w:t>
            </w:r>
          </w:p>
        </w:tc>
      </w:tr>
      <w:tr w:rsidR="00810904" w:rsidTr="008F4FF8">
        <w:trPr>
          <w:cantSplit/>
          <w:jc w:val="center"/>
        </w:trPr>
        <w:tc>
          <w:tcPr>
            <w:tcW w:w="2905" w:type="dxa"/>
            <w:tcBorders>
              <w:left w:val="single" w:sz="8" w:space="0" w:color="auto"/>
              <w:right w:val="single" w:sz="8" w:space="0" w:color="auto"/>
            </w:tcBorders>
          </w:tcPr>
          <w:p w:rsidR="00810904" w:rsidRPr="00820A51" w:rsidRDefault="00810904" w:rsidP="008F4FF8">
            <w:pPr>
              <w:pStyle w:val="TableCellHead"/>
              <w:spacing w:before="0" w:line="240" w:lineRule="auto"/>
              <w:rPr>
                <w:b/>
                <w:u w:val="none"/>
                <w:lang w:val="en-GB"/>
              </w:rPr>
            </w:pPr>
            <w:r w:rsidRPr="00820A51">
              <w:rPr>
                <w:b/>
                <w:u w:val="none"/>
                <w:lang w:val="en-GB"/>
              </w:rPr>
              <w:t>Overall Survival</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p>
        </w:tc>
        <w:tc>
          <w:tcPr>
            <w:tcW w:w="1984" w:type="dxa"/>
            <w:tcBorders>
              <w:right w:val="single" w:sz="8" w:space="0" w:color="auto"/>
            </w:tcBorders>
          </w:tcPr>
          <w:p w:rsidR="00810904" w:rsidRDefault="00810904" w:rsidP="008F4FF8">
            <w:pPr>
              <w:pStyle w:val="TableCellCenter"/>
              <w:spacing w:before="0" w:after="0" w:line="240" w:lineRule="auto"/>
              <w:rPr>
                <w:lang w:val="en-GB"/>
              </w:rPr>
            </w:pP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Median (months)</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r>
              <w:rPr>
                <w:lang w:val="en-GB"/>
              </w:rPr>
              <w:t>15.6</w:t>
            </w:r>
          </w:p>
        </w:tc>
        <w:tc>
          <w:tcPr>
            <w:tcW w:w="1984" w:type="dxa"/>
            <w:tcBorders>
              <w:right w:val="single" w:sz="8" w:space="0" w:color="auto"/>
            </w:tcBorders>
          </w:tcPr>
          <w:p w:rsidR="00810904" w:rsidRDefault="00810904" w:rsidP="008F4FF8">
            <w:pPr>
              <w:pStyle w:val="TableCellCenter"/>
              <w:spacing w:before="0" w:after="0" w:line="240" w:lineRule="auto"/>
              <w:rPr>
                <w:lang w:val="en-GB"/>
              </w:rPr>
            </w:pPr>
            <w:r>
              <w:rPr>
                <w:lang w:val="en-GB"/>
              </w:rPr>
              <w:t>20.3</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18.3</w:t>
            </w:r>
          </w:p>
        </w:tc>
      </w:tr>
      <w:tr w:rsidR="00810904" w:rsidTr="008F4FF8">
        <w:trPr>
          <w:cantSplit/>
          <w:jc w:val="center"/>
        </w:trPr>
        <w:tc>
          <w:tcPr>
            <w:tcW w:w="2905" w:type="dxa"/>
            <w:tcBorders>
              <w:left w:val="single" w:sz="8" w:space="0" w:color="auto"/>
              <w:right w:val="single" w:sz="8" w:space="0" w:color="auto"/>
            </w:tcBorders>
          </w:tcPr>
          <w:p w:rsidR="003F6936" w:rsidRPr="003F6936" w:rsidRDefault="00810904" w:rsidP="008F4FF8">
            <w:pPr>
              <w:pStyle w:val="TableCellLeft"/>
              <w:spacing w:before="0" w:after="0" w:line="240" w:lineRule="auto"/>
              <w:ind w:left="360"/>
              <w:rPr>
                <w:lang w:val="en-GB"/>
              </w:rPr>
            </w:pPr>
            <w:r>
              <w:rPr>
                <w:lang w:val="en-GB"/>
              </w:rPr>
              <w:t xml:space="preserve">Hazard </w:t>
            </w:r>
            <w:proofErr w:type="spellStart"/>
            <w:r>
              <w:rPr>
                <w:lang w:val="en-GB"/>
              </w:rPr>
              <w:t>ratio</w:t>
            </w:r>
            <w:r w:rsidR="00FD676D" w:rsidRPr="00FD676D">
              <w:rPr>
                <w:vertAlign w:val="superscript"/>
                <w:lang w:val="en-GB"/>
              </w:rPr>
              <w:t>c</w:t>
            </w:r>
            <w:proofErr w:type="spellEnd"/>
            <w:r w:rsidR="007953DC">
              <w:rPr>
                <w:vertAlign w:val="superscript"/>
                <w:lang w:val="en-GB"/>
              </w:rPr>
              <w:t xml:space="preserve">  </w:t>
            </w:r>
            <w:r w:rsidR="007953DC">
              <w:rPr>
                <w:lang w:val="en-GB"/>
              </w:rPr>
              <w:t xml:space="preserve">(95% CI) </w:t>
            </w:r>
          </w:p>
        </w:tc>
        <w:tc>
          <w:tcPr>
            <w:tcW w:w="3827" w:type="dxa"/>
            <w:gridSpan w:val="2"/>
            <w:tcBorders>
              <w:left w:val="single" w:sz="8" w:space="0" w:color="auto"/>
              <w:right w:val="single" w:sz="8" w:space="0" w:color="auto"/>
            </w:tcBorders>
          </w:tcPr>
          <w:p w:rsidR="003F6936" w:rsidRDefault="00810904" w:rsidP="008F4FF8">
            <w:pPr>
              <w:pStyle w:val="TableCellCenter"/>
              <w:spacing w:before="0" w:after="0" w:line="240" w:lineRule="auto"/>
              <w:rPr>
                <w:lang w:val="en-GB"/>
              </w:rPr>
            </w:pPr>
            <w:r>
              <w:rPr>
                <w:lang w:val="en-GB"/>
              </w:rPr>
              <w:t>0.660</w:t>
            </w:r>
            <w:r w:rsidR="007953DC">
              <w:rPr>
                <w:lang w:val="en-GB"/>
              </w:rPr>
              <w:t xml:space="preserve">  </w:t>
            </w:r>
            <w:r w:rsidR="003F6936">
              <w:rPr>
                <w:lang w:val="en-GB"/>
              </w:rPr>
              <w:t>(0.54, 0.81)</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bottom w:val="single" w:sz="4" w:space="0" w:color="auto"/>
              <w:right w:val="single" w:sz="8" w:space="0" w:color="auto"/>
            </w:tcBorders>
          </w:tcPr>
          <w:p w:rsidR="00810904" w:rsidRDefault="00402F1B" w:rsidP="008F4FF8">
            <w:pPr>
              <w:pStyle w:val="TableCellLeft"/>
              <w:spacing w:before="0" w:after="0" w:line="240" w:lineRule="auto"/>
              <w:ind w:left="360"/>
              <w:rPr>
                <w:lang w:val="en-GB"/>
              </w:rPr>
            </w:pPr>
            <w:r w:rsidRPr="00402F1B">
              <w:rPr>
                <w:i/>
                <w:lang w:val="en-GB"/>
              </w:rPr>
              <w:t>p</w:t>
            </w:r>
            <w:r w:rsidR="00810904">
              <w:rPr>
                <w:lang w:val="en-GB"/>
              </w:rPr>
              <w:t>-value</w:t>
            </w:r>
            <w:r w:rsidR="00B00D7A">
              <w:rPr>
                <w:lang w:val="en-GB"/>
              </w:rPr>
              <w:t xml:space="preserve"> (log rank)</w:t>
            </w:r>
          </w:p>
        </w:tc>
        <w:tc>
          <w:tcPr>
            <w:tcW w:w="3827" w:type="dxa"/>
            <w:gridSpan w:val="2"/>
            <w:tcBorders>
              <w:left w:val="single" w:sz="8" w:space="0" w:color="auto"/>
              <w:bottom w:val="single" w:sz="4" w:space="0" w:color="auto"/>
              <w:right w:val="single" w:sz="8" w:space="0" w:color="auto"/>
            </w:tcBorders>
          </w:tcPr>
          <w:p w:rsidR="00810904" w:rsidRDefault="00810904" w:rsidP="008F4FF8">
            <w:pPr>
              <w:pStyle w:val="TableCellCenter"/>
              <w:spacing w:before="0" w:after="0" w:line="240" w:lineRule="auto"/>
              <w:rPr>
                <w:lang w:val="en-GB"/>
              </w:rPr>
            </w:pPr>
            <w:r w:rsidRPr="00E85563">
              <w:rPr>
                <w:lang w:val="en-GB"/>
              </w:rPr>
              <w:t>0.00004</w:t>
            </w:r>
          </w:p>
        </w:tc>
        <w:tc>
          <w:tcPr>
            <w:tcW w:w="2252" w:type="dxa"/>
            <w:tcBorders>
              <w:left w:val="single" w:sz="8" w:space="0" w:color="auto"/>
              <w:bottom w:val="single" w:sz="4" w:space="0" w:color="auto"/>
              <w:right w:val="single" w:sz="8" w:space="0" w:color="auto"/>
            </w:tcBorders>
          </w:tcPr>
          <w:p w:rsidR="00810904" w:rsidRDefault="00750FEE" w:rsidP="008F4FF8">
            <w:pPr>
              <w:pStyle w:val="TableCellCenter"/>
              <w:spacing w:before="0" w:after="0" w:line="240" w:lineRule="auto"/>
              <w:rPr>
                <w:lang w:val="en-GB"/>
              </w:rPr>
            </w:pPr>
            <w:r>
              <w:rPr>
                <w:rFonts w:ascii="Symbol" w:hAnsi="Symbol"/>
                <w:lang w:val="en-GB"/>
              </w:rPr>
              <w:t></w:t>
            </w:r>
          </w:p>
        </w:tc>
      </w:tr>
      <w:tr w:rsidR="00810904" w:rsidTr="008F4FF8">
        <w:trPr>
          <w:cantSplit/>
          <w:jc w:val="center"/>
        </w:trPr>
        <w:tc>
          <w:tcPr>
            <w:tcW w:w="2905" w:type="dxa"/>
            <w:tcBorders>
              <w:top w:val="single" w:sz="4" w:space="0" w:color="auto"/>
              <w:left w:val="single" w:sz="8" w:space="0" w:color="auto"/>
              <w:right w:val="single" w:sz="8" w:space="0" w:color="auto"/>
            </w:tcBorders>
          </w:tcPr>
          <w:p w:rsidR="00810904" w:rsidRPr="00820A51" w:rsidRDefault="00810904" w:rsidP="008F4FF8">
            <w:pPr>
              <w:pStyle w:val="TableCellHead"/>
              <w:spacing w:before="0" w:line="240" w:lineRule="auto"/>
              <w:rPr>
                <w:b/>
                <w:u w:val="none"/>
                <w:lang w:val="en-GB"/>
              </w:rPr>
            </w:pPr>
            <w:r w:rsidRPr="00820A51">
              <w:rPr>
                <w:b/>
                <w:u w:val="none"/>
                <w:lang w:val="en-GB"/>
              </w:rPr>
              <w:t>Progression-Free Survival</w:t>
            </w:r>
          </w:p>
        </w:tc>
        <w:tc>
          <w:tcPr>
            <w:tcW w:w="1843" w:type="dxa"/>
            <w:tcBorders>
              <w:top w:val="single" w:sz="4" w:space="0" w:color="auto"/>
              <w:left w:val="single" w:sz="8" w:space="0" w:color="auto"/>
            </w:tcBorders>
          </w:tcPr>
          <w:p w:rsidR="00810904" w:rsidRDefault="00810904" w:rsidP="008F4FF8">
            <w:pPr>
              <w:pStyle w:val="TableCellCenter"/>
              <w:spacing w:before="0" w:after="0" w:line="240" w:lineRule="auto"/>
              <w:rPr>
                <w:lang w:val="en-GB"/>
              </w:rPr>
            </w:pPr>
          </w:p>
        </w:tc>
        <w:tc>
          <w:tcPr>
            <w:tcW w:w="1984" w:type="dxa"/>
            <w:tcBorders>
              <w:top w:val="single" w:sz="4" w:space="0" w:color="auto"/>
              <w:right w:val="single" w:sz="8" w:space="0" w:color="auto"/>
            </w:tcBorders>
          </w:tcPr>
          <w:p w:rsidR="00810904" w:rsidRDefault="00810904" w:rsidP="008F4FF8">
            <w:pPr>
              <w:pStyle w:val="TableCellCenter"/>
              <w:spacing w:before="0" w:after="0" w:line="240" w:lineRule="auto"/>
              <w:rPr>
                <w:lang w:val="en-GB"/>
              </w:rPr>
            </w:pPr>
          </w:p>
        </w:tc>
        <w:tc>
          <w:tcPr>
            <w:tcW w:w="2252" w:type="dxa"/>
            <w:tcBorders>
              <w:top w:val="single" w:sz="4" w:space="0" w:color="auto"/>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Median (months)</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r>
              <w:rPr>
                <w:lang w:val="en-GB"/>
              </w:rPr>
              <w:t>6.2</w:t>
            </w:r>
          </w:p>
        </w:tc>
        <w:tc>
          <w:tcPr>
            <w:tcW w:w="1984" w:type="dxa"/>
            <w:tcBorders>
              <w:right w:val="single" w:sz="8" w:space="0" w:color="auto"/>
            </w:tcBorders>
          </w:tcPr>
          <w:p w:rsidR="00810904" w:rsidRDefault="00810904" w:rsidP="008F4FF8">
            <w:pPr>
              <w:pStyle w:val="TableCellCenter"/>
              <w:spacing w:before="0" w:after="0" w:line="240" w:lineRule="auto"/>
              <w:rPr>
                <w:lang w:val="en-GB"/>
              </w:rPr>
            </w:pPr>
            <w:r>
              <w:rPr>
                <w:lang w:val="en-GB"/>
              </w:rPr>
              <w:t>10.6</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8.8</w:t>
            </w:r>
          </w:p>
        </w:tc>
      </w:tr>
      <w:tr w:rsidR="00810904" w:rsidTr="008F4FF8">
        <w:trPr>
          <w:cantSplit/>
          <w:jc w:val="center"/>
        </w:trPr>
        <w:tc>
          <w:tcPr>
            <w:tcW w:w="2905" w:type="dxa"/>
            <w:tcBorders>
              <w:left w:val="single" w:sz="8" w:space="0" w:color="auto"/>
              <w:right w:val="single" w:sz="8" w:space="0" w:color="auto"/>
            </w:tcBorders>
          </w:tcPr>
          <w:p w:rsidR="003F6936" w:rsidRDefault="00810904" w:rsidP="008F4FF8">
            <w:pPr>
              <w:pStyle w:val="TableCellLeft"/>
              <w:spacing w:before="0" w:after="0" w:line="240" w:lineRule="auto"/>
              <w:ind w:left="360"/>
              <w:rPr>
                <w:lang w:val="en-GB"/>
              </w:rPr>
            </w:pPr>
            <w:r>
              <w:rPr>
                <w:lang w:val="en-GB"/>
              </w:rPr>
              <w:t>Hazard ratio</w:t>
            </w:r>
            <w:r w:rsidR="007953DC">
              <w:rPr>
                <w:lang w:val="en-GB"/>
              </w:rPr>
              <w:t xml:space="preserve"> (</w:t>
            </w:r>
            <w:r w:rsidR="003F6936">
              <w:rPr>
                <w:lang w:val="en-GB"/>
              </w:rPr>
              <w:t xml:space="preserve">95% </w:t>
            </w:r>
            <w:r w:rsidR="007953DC">
              <w:rPr>
                <w:lang w:val="en-GB"/>
              </w:rPr>
              <w:t xml:space="preserve"> CI) </w:t>
            </w:r>
          </w:p>
        </w:tc>
        <w:tc>
          <w:tcPr>
            <w:tcW w:w="3827" w:type="dxa"/>
            <w:gridSpan w:val="2"/>
            <w:tcBorders>
              <w:left w:val="single" w:sz="8" w:space="0" w:color="auto"/>
              <w:right w:val="single" w:sz="8" w:space="0" w:color="auto"/>
            </w:tcBorders>
          </w:tcPr>
          <w:p w:rsidR="003F6936" w:rsidRDefault="00810904" w:rsidP="008F4FF8">
            <w:pPr>
              <w:pStyle w:val="TableCellCenter"/>
              <w:spacing w:before="0" w:after="0" w:line="240" w:lineRule="auto"/>
              <w:rPr>
                <w:lang w:val="en-GB"/>
              </w:rPr>
            </w:pPr>
            <w:r>
              <w:rPr>
                <w:lang w:val="en-GB"/>
              </w:rPr>
              <w:t>0.54</w:t>
            </w:r>
            <w:r w:rsidR="007953DC">
              <w:rPr>
                <w:lang w:val="en-GB"/>
              </w:rPr>
              <w:t xml:space="preserve">  </w:t>
            </w:r>
            <w:r w:rsidR="003F6936">
              <w:rPr>
                <w:lang w:val="en-GB"/>
              </w:rPr>
              <w:t>(0.45, 0.66)</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bottom w:val="single" w:sz="4" w:space="0" w:color="auto"/>
              <w:right w:val="single" w:sz="8" w:space="0" w:color="auto"/>
            </w:tcBorders>
          </w:tcPr>
          <w:p w:rsidR="00810904" w:rsidRDefault="00402F1B" w:rsidP="008F4FF8">
            <w:pPr>
              <w:pStyle w:val="TableCellLeft"/>
              <w:spacing w:before="0" w:after="0" w:line="240" w:lineRule="auto"/>
              <w:ind w:left="360"/>
              <w:rPr>
                <w:lang w:val="en-GB"/>
              </w:rPr>
            </w:pPr>
            <w:r w:rsidRPr="00402F1B">
              <w:rPr>
                <w:i/>
                <w:lang w:val="en-GB"/>
              </w:rPr>
              <w:t>p</w:t>
            </w:r>
            <w:r w:rsidR="00810904">
              <w:rPr>
                <w:lang w:val="en-GB"/>
              </w:rPr>
              <w:t>-value</w:t>
            </w:r>
            <w:r w:rsidR="00B00D7A">
              <w:rPr>
                <w:lang w:val="en-GB"/>
              </w:rPr>
              <w:t xml:space="preserve"> (log rank)</w:t>
            </w:r>
          </w:p>
        </w:tc>
        <w:tc>
          <w:tcPr>
            <w:tcW w:w="3827" w:type="dxa"/>
            <w:gridSpan w:val="2"/>
            <w:tcBorders>
              <w:left w:val="single" w:sz="8" w:space="0" w:color="auto"/>
              <w:bottom w:val="single" w:sz="4" w:space="0" w:color="auto"/>
              <w:right w:val="single" w:sz="8" w:space="0" w:color="auto"/>
            </w:tcBorders>
          </w:tcPr>
          <w:p w:rsidR="00810904" w:rsidRDefault="00D45DC6" w:rsidP="008F4FF8">
            <w:pPr>
              <w:pStyle w:val="TableCellCenter"/>
              <w:spacing w:before="0" w:after="0" w:line="240" w:lineRule="auto"/>
              <w:rPr>
                <w:lang w:val="en-GB"/>
              </w:rPr>
            </w:pPr>
            <w:r>
              <w:rPr>
                <w:lang w:val="en-GB"/>
              </w:rPr>
              <w:t>&lt;0.0</w:t>
            </w:r>
            <w:r w:rsidR="00810904" w:rsidRPr="00E85563">
              <w:rPr>
                <w:lang w:val="en-GB"/>
              </w:rPr>
              <w:t>001</w:t>
            </w:r>
          </w:p>
        </w:tc>
        <w:tc>
          <w:tcPr>
            <w:tcW w:w="2252" w:type="dxa"/>
            <w:tcBorders>
              <w:left w:val="single" w:sz="8" w:space="0" w:color="auto"/>
              <w:bottom w:val="single" w:sz="4" w:space="0" w:color="auto"/>
              <w:right w:val="single" w:sz="8" w:space="0" w:color="auto"/>
            </w:tcBorders>
          </w:tcPr>
          <w:p w:rsidR="00810904" w:rsidRDefault="00750FEE" w:rsidP="008F4FF8">
            <w:pPr>
              <w:pStyle w:val="TableCellCenter"/>
              <w:spacing w:before="0" w:after="0" w:line="240" w:lineRule="auto"/>
              <w:rPr>
                <w:lang w:val="en-GB"/>
              </w:rPr>
            </w:pPr>
            <w:r>
              <w:rPr>
                <w:rFonts w:ascii="Symbol" w:hAnsi="Symbol"/>
                <w:lang w:val="en-GB"/>
              </w:rPr>
              <w:t></w:t>
            </w:r>
          </w:p>
        </w:tc>
      </w:tr>
      <w:tr w:rsidR="00810904" w:rsidTr="008F4FF8">
        <w:trPr>
          <w:cantSplit/>
          <w:jc w:val="center"/>
        </w:trPr>
        <w:tc>
          <w:tcPr>
            <w:tcW w:w="2905" w:type="dxa"/>
            <w:tcBorders>
              <w:top w:val="single" w:sz="4" w:space="0" w:color="auto"/>
              <w:left w:val="single" w:sz="8" w:space="0" w:color="auto"/>
              <w:right w:val="single" w:sz="8" w:space="0" w:color="auto"/>
            </w:tcBorders>
          </w:tcPr>
          <w:p w:rsidR="00810904" w:rsidRPr="00820A51" w:rsidRDefault="00810904" w:rsidP="008F4FF8">
            <w:pPr>
              <w:pStyle w:val="TableCellHead"/>
              <w:spacing w:before="0" w:line="240" w:lineRule="auto"/>
              <w:rPr>
                <w:b/>
                <w:u w:val="none"/>
                <w:lang w:val="en-GB"/>
              </w:rPr>
            </w:pPr>
            <w:r w:rsidRPr="00820A51">
              <w:rPr>
                <w:b/>
                <w:u w:val="none"/>
                <w:lang w:val="en-GB"/>
              </w:rPr>
              <w:t>Overall Response Rate</w:t>
            </w:r>
          </w:p>
        </w:tc>
        <w:tc>
          <w:tcPr>
            <w:tcW w:w="1843" w:type="dxa"/>
            <w:tcBorders>
              <w:top w:val="single" w:sz="4" w:space="0" w:color="auto"/>
              <w:left w:val="single" w:sz="8" w:space="0" w:color="auto"/>
            </w:tcBorders>
          </w:tcPr>
          <w:p w:rsidR="00810904" w:rsidRDefault="00810904" w:rsidP="008F4FF8">
            <w:pPr>
              <w:pStyle w:val="TableCellCenter"/>
              <w:spacing w:before="0" w:after="0" w:line="240" w:lineRule="auto"/>
              <w:rPr>
                <w:lang w:val="en-GB"/>
              </w:rPr>
            </w:pPr>
          </w:p>
        </w:tc>
        <w:tc>
          <w:tcPr>
            <w:tcW w:w="1984" w:type="dxa"/>
            <w:tcBorders>
              <w:top w:val="single" w:sz="4" w:space="0" w:color="auto"/>
              <w:right w:val="single" w:sz="8" w:space="0" w:color="auto"/>
            </w:tcBorders>
          </w:tcPr>
          <w:p w:rsidR="00810904" w:rsidRDefault="00810904" w:rsidP="008F4FF8">
            <w:pPr>
              <w:pStyle w:val="TableCellCenter"/>
              <w:spacing w:before="0" w:after="0" w:line="240" w:lineRule="auto"/>
              <w:rPr>
                <w:lang w:val="en-GB"/>
              </w:rPr>
            </w:pPr>
          </w:p>
        </w:tc>
        <w:tc>
          <w:tcPr>
            <w:tcW w:w="2252" w:type="dxa"/>
            <w:tcBorders>
              <w:top w:val="single" w:sz="4" w:space="0" w:color="auto"/>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Rate (percent)</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r>
              <w:rPr>
                <w:lang w:val="en-GB"/>
              </w:rPr>
              <w:t>34.8</w:t>
            </w:r>
          </w:p>
        </w:tc>
        <w:tc>
          <w:tcPr>
            <w:tcW w:w="1984" w:type="dxa"/>
            <w:tcBorders>
              <w:right w:val="single" w:sz="8" w:space="0" w:color="auto"/>
            </w:tcBorders>
          </w:tcPr>
          <w:p w:rsidR="00810904" w:rsidRDefault="00810904" w:rsidP="008F4FF8">
            <w:pPr>
              <w:pStyle w:val="TableCellCenter"/>
              <w:spacing w:before="0" w:after="0" w:line="240" w:lineRule="auto"/>
              <w:rPr>
                <w:lang w:val="en-GB"/>
              </w:rPr>
            </w:pPr>
            <w:r>
              <w:rPr>
                <w:lang w:val="en-GB"/>
              </w:rPr>
              <w:t>44.8</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40.0</w:t>
            </w:r>
          </w:p>
        </w:tc>
      </w:tr>
      <w:tr w:rsidR="00750FEE" w:rsidTr="008F4FF8">
        <w:trPr>
          <w:cantSplit/>
          <w:jc w:val="center"/>
        </w:trPr>
        <w:tc>
          <w:tcPr>
            <w:tcW w:w="2905" w:type="dxa"/>
            <w:tcBorders>
              <w:left w:val="single" w:sz="8" w:space="0" w:color="auto"/>
              <w:right w:val="single" w:sz="8" w:space="0" w:color="auto"/>
            </w:tcBorders>
          </w:tcPr>
          <w:p w:rsidR="00750FEE" w:rsidRDefault="00750FEE" w:rsidP="008F4FF8">
            <w:pPr>
              <w:pStyle w:val="TableCellLeft"/>
              <w:spacing w:before="0" w:after="0" w:line="240" w:lineRule="auto"/>
              <w:ind w:left="360"/>
              <w:rPr>
                <w:lang w:val="en-GB"/>
              </w:rPr>
            </w:pPr>
            <w:r>
              <w:rPr>
                <w:lang w:val="en-GB"/>
              </w:rPr>
              <w:t>Between-arm difference (%)</w:t>
            </w:r>
            <w:r w:rsidR="007953DC">
              <w:rPr>
                <w:lang w:val="en-GB"/>
              </w:rPr>
              <w:t xml:space="preserve"> (</w:t>
            </w:r>
            <w:r>
              <w:rPr>
                <w:lang w:val="en-GB"/>
              </w:rPr>
              <w:t xml:space="preserve">95% </w:t>
            </w:r>
            <w:r w:rsidR="007953DC">
              <w:rPr>
                <w:lang w:val="en-GB"/>
              </w:rPr>
              <w:t xml:space="preserve">CI) </w:t>
            </w:r>
          </w:p>
        </w:tc>
        <w:tc>
          <w:tcPr>
            <w:tcW w:w="3827" w:type="dxa"/>
            <w:gridSpan w:val="2"/>
            <w:tcBorders>
              <w:left w:val="single" w:sz="8" w:space="0" w:color="auto"/>
              <w:right w:val="single" w:sz="8" w:space="0" w:color="auto"/>
            </w:tcBorders>
          </w:tcPr>
          <w:p w:rsidR="00750FEE" w:rsidRDefault="00750FEE" w:rsidP="008F4FF8">
            <w:pPr>
              <w:pStyle w:val="TableCellCenter"/>
              <w:spacing w:before="0" w:after="0" w:line="240" w:lineRule="auto"/>
              <w:rPr>
                <w:lang w:val="en-GB"/>
              </w:rPr>
            </w:pPr>
            <w:r>
              <w:rPr>
                <w:lang w:val="en-GB"/>
              </w:rPr>
              <w:t>10</w:t>
            </w:r>
            <w:r w:rsidR="007953DC">
              <w:rPr>
                <w:lang w:val="en-GB"/>
              </w:rPr>
              <w:t xml:space="preserve">  </w:t>
            </w:r>
            <w:r>
              <w:rPr>
                <w:lang w:val="en-GB"/>
              </w:rPr>
              <w:t>(3.3, 16.7)</w:t>
            </w:r>
          </w:p>
        </w:tc>
        <w:tc>
          <w:tcPr>
            <w:tcW w:w="2252" w:type="dxa"/>
            <w:tcBorders>
              <w:left w:val="single" w:sz="8" w:space="0" w:color="auto"/>
              <w:right w:val="single" w:sz="8" w:space="0" w:color="auto"/>
            </w:tcBorders>
          </w:tcPr>
          <w:p w:rsidR="00750FEE" w:rsidRDefault="00750FEE" w:rsidP="008F4FF8">
            <w:pPr>
              <w:pStyle w:val="TableCellCenter"/>
              <w:spacing w:before="0" w:after="0" w:line="240" w:lineRule="auto"/>
              <w:rPr>
                <w:lang w:val="en-GB"/>
              </w:rPr>
            </w:pPr>
            <w:r>
              <w:rPr>
                <w:lang w:val="en-GB"/>
              </w:rPr>
              <w:t>_</w:t>
            </w:r>
          </w:p>
        </w:tc>
      </w:tr>
      <w:tr w:rsidR="00810904" w:rsidTr="008F4FF8">
        <w:trPr>
          <w:cantSplit/>
          <w:jc w:val="center"/>
        </w:trPr>
        <w:tc>
          <w:tcPr>
            <w:tcW w:w="2905" w:type="dxa"/>
            <w:tcBorders>
              <w:left w:val="single" w:sz="8" w:space="0" w:color="auto"/>
              <w:bottom w:val="single" w:sz="4" w:space="0" w:color="auto"/>
              <w:right w:val="single" w:sz="8" w:space="0" w:color="auto"/>
            </w:tcBorders>
          </w:tcPr>
          <w:p w:rsidR="00810904" w:rsidRDefault="00402F1B" w:rsidP="008F4FF8">
            <w:pPr>
              <w:pStyle w:val="TableCellLeft"/>
              <w:spacing w:before="0" w:after="0" w:line="240" w:lineRule="auto"/>
              <w:ind w:left="360"/>
              <w:rPr>
                <w:lang w:val="en-GB"/>
              </w:rPr>
            </w:pPr>
            <w:r w:rsidRPr="00402F1B">
              <w:rPr>
                <w:i/>
                <w:lang w:val="en-GB"/>
              </w:rPr>
              <w:t>p</w:t>
            </w:r>
            <w:r w:rsidR="00810904">
              <w:rPr>
                <w:lang w:val="en-GB"/>
              </w:rPr>
              <w:t>-value</w:t>
            </w:r>
            <w:r w:rsidR="00B00D7A">
              <w:rPr>
                <w:lang w:val="en-GB"/>
              </w:rPr>
              <w:t xml:space="preserve"> (log rank)</w:t>
            </w:r>
          </w:p>
        </w:tc>
        <w:tc>
          <w:tcPr>
            <w:tcW w:w="3827" w:type="dxa"/>
            <w:gridSpan w:val="2"/>
            <w:tcBorders>
              <w:left w:val="single" w:sz="8" w:space="0" w:color="auto"/>
              <w:bottom w:val="single" w:sz="4" w:space="0" w:color="auto"/>
              <w:right w:val="single" w:sz="8" w:space="0" w:color="auto"/>
            </w:tcBorders>
          </w:tcPr>
          <w:p w:rsidR="00810904" w:rsidRDefault="00810904" w:rsidP="008F4FF8">
            <w:pPr>
              <w:pStyle w:val="TableCellCenter"/>
              <w:spacing w:before="0" w:after="0" w:line="240" w:lineRule="auto"/>
              <w:rPr>
                <w:lang w:val="en-GB"/>
              </w:rPr>
            </w:pPr>
            <w:r>
              <w:rPr>
                <w:lang w:val="en-GB"/>
              </w:rPr>
              <w:t>0.0036</w:t>
            </w:r>
          </w:p>
        </w:tc>
        <w:tc>
          <w:tcPr>
            <w:tcW w:w="2252" w:type="dxa"/>
            <w:tcBorders>
              <w:left w:val="single" w:sz="8" w:space="0" w:color="auto"/>
              <w:bottom w:val="single" w:sz="4" w:space="0" w:color="auto"/>
              <w:right w:val="single" w:sz="8" w:space="0" w:color="auto"/>
            </w:tcBorders>
          </w:tcPr>
          <w:p w:rsidR="00810904" w:rsidRDefault="00750FEE" w:rsidP="008F4FF8">
            <w:pPr>
              <w:pStyle w:val="TableCellCenter"/>
              <w:spacing w:before="0" w:after="0" w:line="240" w:lineRule="auto"/>
              <w:rPr>
                <w:lang w:val="en-GB"/>
              </w:rPr>
            </w:pPr>
            <w:r>
              <w:rPr>
                <w:rFonts w:ascii="Symbol" w:hAnsi="Symbol"/>
                <w:lang w:val="en-GB"/>
              </w:rPr>
              <w:t></w:t>
            </w:r>
          </w:p>
        </w:tc>
      </w:tr>
      <w:tr w:rsidR="00810904" w:rsidTr="008F4FF8">
        <w:trPr>
          <w:cantSplit/>
          <w:jc w:val="center"/>
        </w:trPr>
        <w:tc>
          <w:tcPr>
            <w:tcW w:w="2905" w:type="dxa"/>
            <w:tcBorders>
              <w:top w:val="single" w:sz="4" w:space="0" w:color="auto"/>
              <w:left w:val="single" w:sz="8" w:space="0" w:color="auto"/>
              <w:right w:val="single" w:sz="8" w:space="0" w:color="auto"/>
            </w:tcBorders>
          </w:tcPr>
          <w:p w:rsidR="00810904" w:rsidRPr="00820A51" w:rsidRDefault="00810904" w:rsidP="008F4FF8">
            <w:pPr>
              <w:pStyle w:val="TableCellHead"/>
              <w:spacing w:before="0" w:line="240" w:lineRule="auto"/>
              <w:rPr>
                <w:b/>
                <w:u w:val="none"/>
                <w:lang w:val="en-GB"/>
              </w:rPr>
            </w:pPr>
            <w:r w:rsidRPr="00820A51">
              <w:rPr>
                <w:b/>
                <w:u w:val="none"/>
                <w:lang w:val="en-GB"/>
              </w:rPr>
              <w:t>Duration of Response</w:t>
            </w:r>
          </w:p>
        </w:tc>
        <w:tc>
          <w:tcPr>
            <w:tcW w:w="1843" w:type="dxa"/>
            <w:tcBorders>
              <w:top w:val="single" w:sz="4" w:space="0" w:color="auto"/>
              <w:left w:val="single" w:sz="8" w:space="0" w:color="auto"/>
            </w:tcBorders>
          </w:tcPr>
          <w:p w:rsidR="00810904" w:rsidRDefault="00810904" w:rsidP="008F4FF8">
            <w:pPr>
              <w:pStyle w:val="TableCellCenter"/>
              <w:spacing w:before="0" w:after="0" w:line="240" w:lineRule="auto"/>
              <w:rPr>
                <w:lang w:val="en-GB"/>
              </w:rPr>
            </w:pPr>
          </w:p>
        </w:tc>
        <w:tc>
          <w:tcPr>
            <w:tcW w:w="1984" w:type="dxa"/>
            <w:tcBorders>
              <w:top w:val="single" w:sz="4" w:space="0" w:color="auto"/>
              <w:right w:val="single" w:sz="8" w:space="0" w:color="auto"/>
            </w:tcBorders>
          </w:tcPr>
          <w:p w:rsidR="00810904" w:rsidRDefault="00810904" w:rsidP="008F4FF8">
            <w:pPr>
              <w:pStyle w:val="TableCellCenter"/>
              <w:spacing w:before="0" w:after="0" w:line="240" w:lineRule="auto"/>
              <w:rPr>
                <w:lang w:val="en-GB"/>
              </w:rPr>
            </w:pPr>
          </w:p>
        </w:tc>
        <w:tc>
          <w:tcPr>
            <w:tcW w:w="2252" w:type="dxa"/>
            <w:tcBorders>
              <w:top w:val="single" w:sz="4" w:space="0" w:color="auto"/>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Median (months)</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r>
              <w:rPr>
                <w:lang w:val="en-GB"/>
              </w:rPr>
              <w:t>7.1</w:t>
            </w:r>
          </w:p>
        </w:tc>
        <w:tc>
          <w:tcPr>
            <w:tcW w:w="1984" w:type="dxa"/>
            <w:tcBorders>
              <w:right w:val="single" w:sz="8" w:space="0" w:color="auto"/>
            </w:tcBorders>
          </w:tcPr>
          <w:p w:rsidR="00810904" w:rsidRDefault="00810904" w:rsidP="008F4FF8">
            <w:pPr>
              <w:pStyle w:val="TableCellCenter"/>
              <w:spacing w:before="0" w:after="0" w:line="240" w:lineRule="auto"/>
              <w:rPr>
                <w:lang w:val="en-GB"/>
              </w:rPr>
            </w:pPr>
            <w:r>
              <w:rPr>
                <w:lang w:val="en-GB"/>
              </w:rPr>
              <w:t>10.4</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8.5</w:t>
            </w:r>
          </w:p>
        </w:tc>
      </w:tr>
      <w:tr w:rsidR="00810904" w:rsidTr="008F4FF8">
        <w:trPr>
          <w:cantSplit/>
          <w:jc w:val="center"/>
        </w:trPr>
        <w:tc>
          <w:tcPr>
            <w:tcW w:w="2905" w:type="dxa"/>
            <w:tcBorders>
              <w:left w:val="single" w:sz="8" w:space="0" w:color="auto"/>
              <w:bottom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25–75 percentile (months)</w:t>
            </w:r>
          </w:p>
        </w:tc>
        <w:tc>
          <w:tcPr>
            <w:tcW w:w="1843" w:type="dxa"/>
            <w:tcBorders>
              <w:left w:val="single" w:sz="8" w:space="0" w:color="auto"/>
              <w:bottom w:val="single" w:sz="8" w:space="0" w:color="auto"/>
            </w:tcBorders>
          </w:tcPr>
          <w:p w:rsidR="00810904" w:rsidRDefault="00810904" w:rsidP="008F4FF8">
            <w:pPr>
              <w:pStyle w:val="TableCellCenter"/>
              <w:spacing w:before="0" w:after="0" w:line="240" w:lineRule="auto"/>
              <w:rPr>
                <w:lang w:val="en-GB"/>
              </w:rPr>
            </w:pPr>
            <w:r>
              <w:rPr>
                <w:lang w:val="en-GB"/>
              </w:rPr>
              <w:t>4.7</w:t>
            </w:r>
            <w:r w:rsidR="00131C7D">
              <w:rPr>
                <w:lang w:val="en-GB"/>
              </w:rPr>
              <w:t>-</w:t>
            </w:r>
            <w:r>
              <w:rPr>
                <w:lang w:val="en-GB"/>
              </w:rPr>
              <w:t>11.8</w:t>
            </w:r>
          </w:p>
        </w:tc>
        <w:tc>
          <w:tcPr>
            <w:tcW w:w="1984" w:type="dxa"/>
            <w:tcBorders>
              <w:bottom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6.7</w:t>
            </w:r>
            <w:r w:rsidR="00131C7D">
              <w:rPr>
                <w:lang w:val="en-GB"/>
              </w:rPr>
              <w:t>-</w:t>
            </w:r>
            <w:r>
              <w:rPr>
                <w:lang w:val="en-GB"/>
              </w:rPr>
              <w:t>15.0</w:t>
            </w:r>
          </w:p>
        </w:tc>
        <w:tc>
          <w:tcPr>
            <w:tcW w:w="2252" w:type="dxa"/>
            <w:tcBorders>
              <w:left w:val="single" w:sz="8" w:space="0" w:color="auto"/>
              <w:bottom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5.5</w:t>
            </w:r>
            <w:r w:rsidR="00131C7D">
              <w:rPr>
                <w:lang w:val="en-GB"/>
              </w:rPr>
              <w:t>-</w:t>
            </w:r>
            <w:r>
              <w:rPr>
                <w:lang w:val="en-GB"/>
              </w:rPr>
              <w:t>11.9</w:t>
            </w:r>
          </w:p>
        </w:tc>
      </w:tr>
    </w:tbl>
    <w:p w:rsidR="007953DC" w:rsidRDefault="007953DC" w:rsidP="007953DC">
      <w:pPr>
        <w:pStyle w:val="TableFooter"/>
        <w:tabs>
          <w:tab w:val="left" w:pos="851"/>
        </w:tabs>
        <w:rPr>
          <w:i/>
        </w:rPr>
      </w:pPr>
      <w:r>
        <w:t xml:space="preserve">   </w:t>
      </w:r>
      <w:r>
        <w:tab/>
      </w:r>
      <w:r w:rsidRPr="00A85836">
        <w:rPr>
          <w:i/>
          <w:vertAlign w:val="superscript"/>
          <w:lang w:val="en-GB"/>
        </w:rPr>
        <w:t>a</w:t>
      </w:r>
      <w:r>
        <w:rPr>
          <w:i/>
          <w:lang w:val="en-GB"/>
        </w:rPr>
        <w:t xml:space="preserve"> </w:t>
      </w:r>
      <w:r w:rsidRPr="00A85836">
        <w:rPr>
          <w:i/>
          <w:lang w:val="en-GB"/>
        </w:rPr>
        <w:t>5 mg/kg every 2 weeks</w:t>
      </w:r>
      <w:r w:rsidR="00D301EE">
        <w:rPr>
          <w:i/>
          <w:lang w:val="en-GB"/>
        </w:rPr>
        <w:t>;</w:t>
      </w:r>
      <w:r w:rsidR="005C4E9C">
        <w:rPr>
          <w:i/>
          <w:lang w:val="en-GB"/>
        </w:rPr>
        <w:t xml:space="preserve">  </w:t>
      </w:r>
      <w:r w:rsidRPr="00A85836">
        <w:rPr>
          <w:i/>
          <w:vertAlign w:val="superscript"/>
          <w:lang w:val="en-GB"/>
        </w:rPr>
        <w:t xml:space="preserve">b </w:t>
      </w:r>
      <w:r w:rsidRPr="00A85836">
        <w:rPr>
          <w:i/>
        </w:rPr>
        <w:t>Recruitment stopped as per protocol</w:t>
      </w:r>
      <w:r w:rsidR="00D301EE">
        <w:rPr>
          <w:i/>
        </w:rPr>
        <w:t>;</w:t>
      </w:r>
      <w:r w:rsidR="005C4E9C">
        <w:rPr>
          <w:i/>
        </w:rPr>
        <w:t xml:space="preserve"> </w:t>
      </w:r>
      <w:r>
        <w:rPr>
          <w:i/>
          <w:vertAlign w:val="superscript"/>
        </w:rPr>
        <w:t xml:space="preserve">  </w:t>
      </w:r>
      <w:r w:rsidRPr="00FD676D">
        <w:rPr>
          <w:i/>
          <w:vertAlign w:val="superscript"/>
        </w:rPr>
        <w:t>c</w:t>
      </w:r>
      <w:r>
        <w:rPr>
          <w:i/>
        </w:rPr>
        <w:t xml:space="preserve"> Relative to control arm</w:t>
      </w:r>
    </w:p>
    <w:p w:rsidR="009260D0" w:rsidRDefault="009260D0" w:rsidP="006724DB">
      <w:pPr>
        <w:pStyle w:val="Heading4"/>
        <w:tabs>
          <w:tab w:val="left" w:pos="5805"/>
        </w:tabs>
      </w:pPr>
    </w:p>
    <w:p w:rsidR="00170507" w:rsidRDefault="00170507" w:rsidP="006806AF"/>
    <w:p w:rsidR="006806AF" w:rsidRPr="006806AF" w:rsidRDefault="006806AF" w:rsidP="006806AF"/>
    <w:p w:rsidR="00810904" w:rsidRPr="007953DC" w:rsidRDefault="00810904" w:rsidP="009260D0">
      <w:pPr>
        <w:pStyle w:val="Heading4"/>
        <w:tabs>
          <w:tab w:val="left" w:pos="5805"/>
        </w:tabs>
        <w:ind w:left="709"/>
        <w:rPr>
          <w:i w:val="0"/>
          <w:lang w:val="en-GB"/>
        </w:rPr>
      </w:pPr>
      <w:r w:rsidRPr="007953DC">
        <w:rPr>
          <w:i w:val="0"/>
          <w:lang w:val="en-GB"/>
        </w:rPr>
        <w:t>Figure 1</w:t>
      </w:r>
      <w:r w:rsidR="009260D0">
        <w:rPr>
          <w:i w:val="0"/>
          <w:lang w:val="en-GB"/>
        </w:rPr>
        <w:t xml:space="preserve">:  </w:t>
      </w:r>
      <w:r w:rsidRPr="007953DC">
        <w:rPr>
          <w:i w:val="0"/>
          <w:lang w:val="en-GB"/>
        </w:rPr>
        <w:t xml:space="preserve">Plot of </w:t>
      </w:r>
      <w:r w:rsidR="00874F80" w:rsidRPr="007953DC">
        <w:rPr>
          <w:i w:val="0"/>
          <w:lang w:val="en-GB"/>
        </w:rPr>
        <w:t>K</w:t>
      </w:r>
      <w:r w:rsidRPr="007953DC">
        <w:rPr>
          <w:i w:val="0"/>
          <w:lang w:val="en-GB"/>
        </w:rPr>
        <w:t xml:space="preserve">aplan </w:t>
      </w:r>
      <w:r w:rsidR="00874F80" w:rsidRPr="007953DC">
        <w:rPr>
          <w:i w:val="0"/>
          <w:lang w:val="en-GB"/>
        </w:rPr>
        <w:t>M</w:t>
      </w:r>
      <w:r w:rsidRPr="007953DC">
        <w:rPr>
          <w:i w:val="0"/>
          <w:lang w:val="en-GB"/>
        </w:rPr>
        <w:t xml:space="preserve">eier </w:t>
      </w:r>
      <w:r w:rsidR="00874F80" w:rsidRPr="007953DC">
        <w:rPr>
          <w:i w:val="0"/>
          <w:lang w:val="en-GB"/>
        </w:rPr>
        <w:t>e</w:t>
      </w:r>
      <w:r w:rsidRPr="007953DC">
        <w:rPr>
          <w:i w:val="0"/>
          <w:lang w:val="en-GB"/>
        </w:rPr>
        <w:t xml:space="preserve">stimates for </w:t>
      </w:r>
      <w:r w:rsidR="00874F80" w:rsidRPr="007953DC">
        <w:rPr>
          <w:i w:val="0"/>
          <w:lang w:val="en-GB"/>
        </w:rPr>
        <w:t>s</w:t>
      </w:r>
      <w:r w:rsidRPr="007953DC">
        <w:rPr>
          <w:i w:val="0"/>
          <w:lang w:val="en-GB"/>
        </w:rPr>
        <w:t xml:space="preserve">urvival in </w:t>
      </w:r>
      <w:r w:rsidR="00874F80" w:rsidRPr="007953DC">
        <w:rPr>
          <w:i w:val="0"/>
          <w:lang w:val="en-GB"/>
        </w:rPr>
        <w:t>s</w:t>
      </w:r>
      <w:r w:rsidRPr="007953DC">
        <w:rPr>
          <w:i w:val="0"/>
          <w:lang w:val="en-GB"/>
        </w:rPr>
        <w:t>tudy AVF2107g</w:t>
      </w:r>
      <w:r w:rsidR="005025C3" w:rsidRPr="007953DC">
        <w:rPr>
          <w:i w:val="0"/>
          <w:lang w:val="en-GB"/>
        </w:rPr>
        <w:t xml:space="preserve"> </w:t>
      </w:r>
    </w:p>
    <w:p w:rsidR="00472AE7" w:rsidRDefault="00472AE7" w:rsidP="00E45F19">
      <w:pPr>
        <w:rPr>
          <w:highlight w:val="yellow"/>
          <w:lang w:val="en-GB"/>
        </w:rPr>
      </w:pPr>
      <w:r>
        <w:rPr>
          <w:lang w:val="en-GB"/>
        </w:rPr>
        <w:t xml:space="preserve">    </w:t>
      </w:r>
      <w:r w:rsidR="005B2370">
        <w:rPr>
          <w:lang w:val="en-GB"/>
        </w:rPr>
        <w:t xml:space="preserve">            </w:t>
      </w:r>
      <w:r>
        <w:rPr>
          <w:lang w:val="en-GB"/>
        </w:rPr>
        <w:t xml:space="preserve">     </w:t>
      </w:r>
      <w:r w:rsidR="0087418D">
        <w:rPr>
          <w:noProof/>
          <w:lang w:eastAsia="en-AU"/>
        </w:rPr>
        <w:drawing>
          <wp:inline distT="0" distB="0" distL="0" distR="0">
            <wp:extent cx="3990975" cy="2362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975" cy="2362200"/>
                    </a:xfrm>
                    <a:prstGeom prst="rect">
                      <a:avLst/>
                    </a:prstGeom>
                    <a:noFill/>
                    <a:ln>
                      <a:noFill/>
                    </a:ln>
                  </pic:spPr>
                </pic:pic>
              </a:graphicData>
            </a:graphic>
          </wp:inline>
        </w:drawing>
      </w:r>
    </w:p>
    <w:p w:rsidR="000E4872" w:rsidRPr="00A85836" w:rsidRDefault="000E4872" w:rsidP="000E4872">
      <w:pPr>
        <w:pStyle w:val="FigureCaption"/>
        <w:tabs>
          <w:tab w:val="left" w:pos="851"/>
          <w:tab w:val="left" w:pos="1418"/>
        </w:tabs>
        <w:outlineLvl w:val="0"/>
        <w:rPr>
          <w:i/>
          <w:lang w:val="en-GB"/>
        </w:rPr>
      </w:pPr>
      <w:r w:rsidRPr="00820A51">
        <w:rPr>
          <w:lang w:val="en-GB"/>
        </w:rPr>
        <w:tab/>
      </w:r>
      <w:r>
        <w:rPr>
          <w:lang w:val="en-GB"/>
        </w:rPr>
        <w:tab/>
      </w:r>
      <w:r w:rsidR="005B2370">
        <w:rPr>
          <w:lang w:val="en-GB"/>
        </w:rPr>
        <w:t xml:space="preserve">               </w:t>
      </w:r>
      <w:r w:rsidR="007B4FAF">
        <w:rPr>
          <w:i/>
          <w:lang w:val="en-GB"/>
        </w:rPr>
        <w:t>IFL =</w:t>
      </w:r>
      <w:proofErr w:type="spellStart"/>
      <w:r w:rsidR="007B4FAF">
        <w:rPr>
          <w:i/>
          <w:lang w:val="en-GB"/>
        </w:rPr>
        <w:t>i</w:t>
      </w:r>
      <w:r w:rsidRPr="00A85836">
        <w:rPr>
          <w:i/>
          <w:lang w:val="en-GB"/>
        </w:rPr>
        <w:t>rinotecan</w:t>
      </w:r>
      <w:proofErr w:type="spellEnd"/>
      <w:r w:rsidR="00FF6097">
        <w:rPr>
          <w:i/>
          <w:lang w:val="en-GB"/>
        </w:rPr>
        <w:t>/</w:t>
      </w:r>
      <w:r w:rsidRPr="00A85836">
        <w:rPr>
          <w:i/>
          <w:lang w:val="en-GB"/>
        </w:rPr>
        <w:t xml:space="preserve"> </w:t>
      </w:r>
      <w:r w:rsidR="00FF6097">
        <w:rPr>
          <w:i/>
          <w:lang w:val="en-GB"/>
        </w:rPr>
        <w:t>fluorouracil/</w:t>
      </w:r>
      <w:r w:rsidR="009179C6">
        <w:rPr>
          <w:i/>
          <w:lang w:val="en-GB"/>
        </w:rPr>
        <w:t xml:space="preserve"> </w:t>
      </w:r>
      <w:proofErr w:type="spellStart"/>
      <w:r w:rsidR="009179C6">
        <w:rPr>
          <w:i/>
          <w:lang w:val="en-GB"/>
        </w:rPr>
        <w:t>l</w:t>
      </w:r>
      <w:r w:rsidRPr="00A85836">
        <w:rPr>
          <w:i/>
          <w:lang w:val="en-GB"/>
        </w:rPr>
        <w:t>eucovorin</w:t>
      </w:r>
      <w:proofErr w:type="spellEnd"/>
      <w:r w:rsidR="00BC3408">
        <w:rPr>
          <w:i/>
          <w:lang w:val="en-GB"/>
        </w:rPr>
        <w:t xml:space="preserve"> (</w:t>
      </w:r>
      <w:proofErr w:type="spellStart"/>
      <w:r w:rsidR="00BC3408">
        <w:rPr>
          <w:i/>
          <w:lang w:val="en-GB"/>
        </w:rPr>
        <w:t>folinic</w:t>
      </w:r>
      <w:proofErr w:type="spellEnd"/>
      <w:r w:rsidR="00BC3408">
        <w:rPr>
          <w:i/>
          <w:lang w:val="en-GB"/>
        </w:rPr>
        <w:t xml:space="preserve"> acid)</w:t>
      </w:r>
      <w:r>
        <w:rPr>
          <w:i/>
          <w:lang w:val="en-GB"/>
        </w:rPr>
        <w:t>; AVF = AVASTIN</w:t>
      </w:r>
    </w:p>
    <w:p w:rsidR="00DF7B4A" w:rsidRDefault="00DF7B4A" w:rsidP="00CE7BA1">
      <w:pPr>
        <w:pStyle w:val="Heading4"/>
        <w:spacing w:after="100" w:afterAutospacing="1"/>
        <w:rPr>
          <w:i w:val="0"/>
          <w:lang w:val="en-GB"/>
        </w:rPr>
      </w:pPr>
    </w:p>
    <w:p w:rsidR="006267E5" w:rsidRDefault="006267E5" w:rsidP="006267E5">
      <w:pPr>
        <w:rPr>
          <w:lang w:val="en-GB"/>
        </w:rPr>
      </w:pPr>
    </w:p>
    <w:p w:rsidR="006267E5" w:rsidRDefault="006267E5" w:rsidP="006267E5">
      <w:pPr>
        <w:rPr>
          <w:lang w:val="en-GB"/>
        </w:rPr>
      </w:pPr>
    </w:p>
    <w:p w:rsidR="006267E5" w:rsidRDefault="006267E5" w:rsidP="006267E5">
      <w:pPr>
        <w:rPr>
          <w:lang w:val="en-GB"/>
        </w:rPr>
      </w:pPr>
    </w:p>
    <w:p w:rsidR="003F032C" w:rsidRDefault="003F032C" w:rsidP="006267E5">
      <w:pPr>
        <w:rPr>
          <w:lang w:val="en-GB"/>
        </w:rPr>
      </w:pPr>
    </w:p>
    <w:p w:rsidR="00810904" w:rsidRDefault="00690D2A" w:rsidP="009260D0">
      <w:pPr>
        <w:pStyle w:val="Heading4"/>
        <w:spacing w:after="100" w:afterAutospacing="1"/>
        <w:ind w:left="709"/>
        <w:rPr>
          <w:i w:val="0"/>
          <w:lang w:val="en-GB"/>
        </w:rPr>
      </w:pPr>
      <w:r w:rsidRPr="001269F3">
        <w:rPr>
          <w:i w:val="0"/>
          <w:lang w:val="en-GB"/>
        </w:rPr>
        <w:t xml:space="preserve">Figure 2:  </w:t>
      </w:r>
      <w:r w:rsidR="00810904" w:rsidRPr="001269F3">
        <w:rPr>
          <w:i w:val="0"/>
          <w:lang w:val="en-GB"/>
        </w:rPr>
        <w:t xml:space="preserve">Duration of </w:t>
      </w:r>
      <w:r w:rsidR="00874F80">
        <w:rPr>
          <w:i w:val="0"/>
          <w:lang w:val="en-GB"/>
        </w:rPr>
        <w:t>s</w:t>
      </w:r>
      <w:r w:rsidR="00810904" w:rsidRPr="001269F3">
        <w:rPr>
          <w:i w:val="0"/>
          <w:lang w:val="en-GB"/>
        </w:rPr>
        <w:t xml:space="preserve">urvival by </w:t>
      </w:r>
      <w:r w:rsidR="00874F80">
        <w:rPr>
          <w:i w:val="0"/>
          <w:lang w:val="en-GB"/>
        </w:rPr>
        <w:t>b</w:t>
      </w:r>
      <w:r w:rsidR="00810904" w:rsidRPr="001269F3">
        <w:rPr>
          <w:i w:val="0"/>
          <w:lang w:val="en-GB"/>
        </w:rPr>
        <w:t xml:space="preserve">aseline </w:t>
      </w:r>
      <w:r w:rsidR="00874F80">
        <w:rPr>
          <w:i w:val="0"/>
          <w:lang w:val="en-GB"/>
        </w:rPr>
        <w:t>r</w:t>
      </w:r>
      <w:r w:rsidR="00810904" w:rsidRPr="001269F3">
        <w:rPr>
          <w:i w:val="0"/>
          <w:lang w:val="en-GB"/>
        </w:rPr>
        <w:t xml:space="preserve">isk </w:t>
      </w:r>
      <w:r w:rsidR="00874F80">
        <w:rPr>
          <w:i w:val="0"/>
          <w:lang w:val="en-GB"/>
        </w:rPr>
        <w:t>f</w:t>
      </w:r>
      <w:r w:rsidR="00810904" w:rsidRPr="001269F3">
        <w:rPr>
          <w:i w:val="0"/>
          <w:lang w:val="en-GB"/>
        </w:rPr>
        <w:t xml:space="preserve">actor in </w:t>
      </w:r>
      <w:r w:rsidR="00874F80">
        <w:rPr>
          <w:i w:val="0"/>
          <w:lang w:val="en-GB"/>
        </w:rPr>
        <w:t>s</w:t>
      </w:r>
      <w:r w:rsidR="00810904" w:rsidRPr="001269F3">
        <w:rPr>
          <w:i w:val="0"/>
          <w:lang w:val="en-GB"/>
        </w:rPr>
        <w:t>tudy AVF2107g</w:t>
      </w:r>
    </w:p>
    <w:p w:rsidR="00810904" w:rsidRDefault="0087418D" w:rsidP="00810904">
      <w:pPr>
        <w:pStyle w:val="FigureHolder"/>
        <w:rPr>
          <w:lang w:val="en-GB"/>
        </w:rPr>
      </w:pPr>
      <w:r>
        <w:rPr>
          <w:noProof/>
          <w:lang w:val="en-AU" w:eastAsia="en-AU"/>
        </w:rPr>
        <w:drawing>
          <wp:inline distT="0" distB="0" distL="0" distR="0">
            <wp:extent cx="4238625" cy="3429000"/>
            <wp:effectExtent l="0" t="0" r="9525" b="0"/>
            <wp:docPr id="3" name="Picture 3" descr="AVF2107g_PI Blobgms g_newppend E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F2107g_PI Blobgms g_newppend EH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8625" cy="3429000"/>
                    </a:xfrm>
                    <a:prstGeom prst="rect">
                      <a:avLst/>
                    </a:prstGeom>
                    <a:noFill/>
                    <a:ln>
                      <a:noFill/>
                    </a:ln>
                  </pic:spPr>
                </pic:pic>
              </a:graphicData>
            </a:graphic>
          </wp:inline>
        </w:drawing>
      </w:r>
    </w:p>
    <w:p w:rsidR="00810904" w:rsidRPr="00A85836" w:rsidRDefault="000E4872" w:rsidP="00CE7BA1">
      <w:pPr>
        <w:pStyle w:val="FigureCaption"/>
        <w:tabs>
          <w:tab w:val="left" w:pos="709"/>
          <w:tab w:val="left" w:pos="1134"/>
        </w:tabs>
        <w:ind w:firstLine="720"/>
        <w:rPr>
          <w:i/>
          <w:lang w:val="en-GB"/>
        </w:rPr>
      </w:pPr>
      <w:r>
        <w:rPr>
          <w:i/>
          <w:lang w:val="en-GB"/>
        </w:rPr>
        <w:tab/>
      </w:r>
      <w:r w:rsidR="00810904" w:rsidRPr="00A85836">
        <w:rPr>
          <w:i/>
          <w:lang w:val="en-GB"/>
        </w:rPr>
        <w:t>CI</w:t>
      </w:r>
      <w:r w:rsidR="00F5050E" w:rsidRPr="00A85836">
        <w:rPr>
          <w:i/>
          <w:lang w:val="en-GB"/>
        </w:rPr>
        <w:t>=</w:t>
      </w:r>
      <w:r w:rsidR="00810904" w:rsidRPr="00A85836">
        <w:rPr>
          <w:i/>
          <w:sz w:val="10"/>
          <w:lang w:val="en-GB"/>
        </w:rPr>
        <w:t> </w:t>
      </w:r>
      <w:r w:rsidR="00810904" w:rsidRPr="00A85836">
        <w:rPr>
          <w:i/>
          <w:lang w:val="en-GB"/>
        </w:rPr>
        <w:t>interval; IFL</w:t>
      </w:r>
      <w:r w:rsidR="00F5050E" w:rsidRPr="00A85836">
        <w:rPr>
          <w:i/>
          <w:lang w:val="en-GB"/>
        </w:rPr>
        <w:t>=</w:t>
      </w:r>
      <w:r w:rsidR="00810904" w:rsidRPr="00A85836">
        <w:rPr>
          <w:i/>
          <w:sz w:val="10"/>
          <w:lang w:val="en-GB"/>
        </w:rPr>
        <w:t> </w:t>
      </w:r>
      <w:proofErr w:type="spellStart"/>
      <w:r w:rsidR="00810904" w:rsidRPr="00A85836">
        <w:rPr>
          <w:i/>
          <w:lang w:val="en-GB"/>
        </w:rPr>
        <w:t>irinotecan</w:t>
      </w:r>
      <w:proofErr w:type="spellEnd"/>
      <w:r w:rsidR="00810904" w:rsidRPr="00A85836">
        <w:rPr>
          <w:i/>
          <w:lang w:val="en-GB"/>
        </w:rPr>
        <w:t>/fluorouracil/</w:t>
      </w:r>
      <w:r w:rsidR="00BC3408" w:rsidRPr="00BC3408">
        <w:rPr>
          <w:i/>
          <w:lang w:val="en-GB"/>
        </w:rPr>
        <w:t xml:space="preserve"> </w:t>
      </w:r>
      <w:proofErr w:type="spellStart"/>
      <w:r w:rsidR="00BC3408">
        <w:rPr>
          <w:i/>
          <w:lang w:val="en-GB"/>
        </w:rPr>
        <w:t>l</w:t>
      </w:r>
      <w:r w:rsidR="00BC3408" w:rsidRPr="00A85836">
        <w:rPr>
          <w:i/>
          <w:lang w:val="en-GB"/>
        </w:rPr>
        <w:t>eucovorin</w:t>
      </w:r>
      <w:proofErr w:type="spellEnd"/>
      <w:r w:rsidR="00BC3408">
        <w:rPr>
          <w:i/>
          <w:lang w:val="en-GB"/>
        </w:rPr>
        <w:t xml:space="preserve"> (</w:t>
      </w:r>
      <w:proofErr w:type="spellStart"/>
      <w:r w:rsidR="00BC3408">
        <w:rPr>
          <w:i/>
          <w:lang w:val="en-GB"/>
        </w:rPr>
        <w:t>folinic</w:t>
      </w:r>
      <w:proofErr w:type="spellEnd"/>
      <w:r w:rsidR="00BC3408">
        <w:rPr>
          <w:i/>
          <w:lang w:val="en-GB"/>
        </w:rPr>
        <w:t xml:space="preserve"> acid);</w:t>
      </w:r>
      <w:r w:rsidR="00810904" w:rsidRPr="00A85836">
        <w:rPr>
          <w:i/>
          <w:lang w:val="en-GB"/>
        </w:rPr>
        <w:t>.</w:t>
      </w:r>
    </w:p>
    <w:p w:rsidR="00810904" w:rsidRDefault="00820A51" w:rsidP="00CE7BA1">
      <w:pPr>
        <w:pStyle w:val="FigureCaption"/>
        <w:tabs>
          <w:tab w:val="left" w:pos="709"/>
          <w:tab w:val="left" w:pos="1134"/>
        </w:tabs>
        <w:ind w:left="720"/>
        <w:rPr>
          <w:i/>
          <w:lang w:val="en-GB"/>
        </w:rPr>
      </w:pPr>
      <w:r w:rsidRPr="00A85836">
        <w:rPr>
          <w:i/>
          <w:lang w:val="en-GB"/>
        </w:rPr>
        <w:tab/>
      </w:r>
      <w:r w:rsidR="00F5050E" w:rsidRPr="00A85836">
        <w:rPr>
          <w:i/>
          <w:lang w:val="en-GB"/>
        </w:rPr>
        <w:t>Hazard ratio &lt;1 in</w:t>
      </w:r>
      <w:r w:rsidR="00810904" w:rsidRPr="00A85836">
        <w:rPr>
          <w:i/>
          <w:lang w:val="en-GB"/>
        </w:rPr>
        <w:t>dicates a lower hazard of death in the IFL</w:t>
      </w:r>
      <w:r w:rsidR="00FD676D">
        <w:rPr>
          <w:i/>
          <w:lang w:val="en-GB"/>
        </w:rPr>
        <w:t xml:space="preserve"> plus </w:t>
      </w:r>
      <w:r w:rsidR="00810904" w:rsidRPr="00A85836">
        <w:rPr>
          <w:i/>
          <w:lang w:val="en-GB"/>
        </w:rPr>
        <w:t xml:space="preserve">AVASTIN arm compared with the </w:t>
      </w:r>
      <w:r w:rsidRPr="00A85836">
        <w:rPr>
          <w:i/>
          <w:lang w:val="en-GB"/>
        </w:rPr>
        <w:tab/>
      </w:r>
      <w:r w:rsidR="00F5050E" w:rsidRPr="00A85836">
        <w:rPr>
          <w:i/>
          <w:lang w:val="en-GB"/>
        </w:rPr>
        <w:t>IFL</w:t>
      </w:r>
      <w:r w:rsidR="00FD676D">
        <w:rPr>
          <w:i/>
          <w:lang w:val="en-GB"/>
        </w:rPr>
        <w:t xml:space="preserve"> plus</w:t>
      </w:r>
      <w:r w:rsidR="00F5050E" w:rsidRPr="00A85836">
        <w:rPr>
          <w:i/>
          <w:lang w:val="en-GB"/>
        </w:rPr>
        <w:t xml:space="preserve"> </w:t>
      </w:r>
      <w:r w:rsidR="00810904" w:rsidRPr="00A85836">
        <w:rPr>
          <w:i/>
          <w:lang w:val="en-GB"/>
        </w:rPr>
        <w:t xml:space="preserve">placebo arm.  Size of circle is proportional to the number of patients in the subgroup.  </w:t>
      </w:r>
      <w:r w:rsidRPr="00A85836">
        <w:rPr>
          <w:i/>
          <w:lang w:val="en-GB"/>
        </w:rPr>
        <w:tab/>
      </w:r>
      <w:r w:rsidR="00810904" w:rsidRPr="00A85836">
        <w:rPr>
          <w:i/>
          <w:lang w:val="en-GB"/>
        </w:rPr>
        <w:t>Confidence interval is indicated by the horizontal line.</w:t>
      </w:r>
    </w:p>
    <w:p w:rsidR="004A11E8" w:rsidRDefault="004A11E8" w:rsidP="0096447B">
      <w:pPr>
        <w:pStyle w:val="TextTi12"/>
      </w:pPr>
    </w:p>
    <w:p w:rsidR="0096447B" w:rsidRDefault="005D2B5E" w:rsidP="00AE1E2B">
      <w:pPr>
        <w:pStyle w:val="TextTi12"/>
      </w:pPr>
      <w:r>
        <w:t xml:space="preserve">Results for the 110 patients in </w:t>
      </w:r>
      <w:r w:rsidR="0096447B">
        <w:t>Arm 3 were compared to the first 100 patients enrolled in Arm 1</w:t>
      </w:r>
      <w:r w:rsidR="009270E1">
        <w:t xml:space="preserve"> and Arm 2</w:t>
      </w:r>
      <w:r w:rsidR="0096447B">
        <w:t xml:space="preserve">. </w:t>
      </w:r>
      <w:r w:rsidR="00BE7E48">
        <w:t xml:space="preserve"> </w:t>
      </w:r>
      <w:r w:rsidR="0096447B">
        <w:t xml:space="preserve">There was a trend towards prolonged survival in the AVASTIN </w:t>
      </w:r>
      <w:r w:rsidR="00FD676D">
        <w:t>plus</w:t>
      </w:r>
      <w:r w:rsidR="0096447B">
        <w:t xml:space="preserve"> FU/LV arm as compared to the IFL </w:t>
      </w:r>
      <w:r w:rsidR="00FD676D">
        <w:t>plus</w:t>
      </w:r>
      <w:r w:rsidR="0096447B">
        <w:t xml:space="preserve"> placebo arm in this subset of patients, see Figure </w:t>
      </w:r>
      <w:r w:rsidR="004B5C2F">
        <w:t>3</w:t>
      </w:r>
      <w:r w:rsidR="0096447B">
        <w:t xml:space="preserve">.  Although the results did not show a statistical difference, the results were consistently better for </w:t>
      </w:r>
      <w:r>
        <w:t xml:space="preserve">the AVASTIN </w:t>
      </w:r>
      <w:r w:rsidR="00FD676D">
        <w:t>plus</w:t>
      </w:r>
      <w:r w:rsidR="009B4FC8">
        <w:t xml:space="preserve"> </w:t>
      </w:r>
      <w:r>
        <w:t>FU/LV arm</w:t>
      </w:r>
      <w:r w:rsidR="0096447B">
        <w:t xml:space="preserve"> than for </w:t>
      </w:r>
      <w:r>
        <w:t xml:space="preserve">IFL </w:t>
      </w:r>
      <w:r w:rsidR="00FD676D">
        <w:t>plus</w:t>
      </w:r>
      <w:r>
        <w:t xml:space="preserve"> placebo arm</w:t>
      </w:r>
      <w:r w:rsidR="0096447B">
        <w:t xml:space="preserve"> for all efficacy parameters measured.</w:t>
      </w:r>
    </w:p>
    <w:p w:rsidR="00FC6015" w:rsidRDefault="00FC6015" w:rsidP="00AE1E2B">
      <w:pPr>
        <w:pStyle w:val="TextTi12"/>
      </w:pPr>
    </w:p>
    <w:p w:rsidR="0096447B" w:rsidRDefault="0096447B" w:rsidP="009260D0">
      <w:pPr>
        <w:pStyle w:val="Heading4"/>
        <w:spacing w:after="100" w:afterAutospacing="1"/>
        <w:ind w:left="709"/>
        <w:rPr>
          <w:i w:val="0"/>
          <w:lang w:val="en-GB"/>
        </w:rPr>
      </w:pPr>
      <w:r w:rsidRPr="00A276CF">
        <w:rPr>
          <w:i w:val="0"/>
          <w:lang w:val="en-GB"/>
        </w:rPr>
        <w:t xml:space="preserve">Figure </w:t>
      </w:r>
      <w:r>
        <w:rPr>
          <w:i w:val="0"/>
          <w:lang w:val="en-GB"/>
        </w:rPr>
        <w:t>3</w:t>
      </w:r>
      <w:r w:rsidRPr="00A276CF">
        <w:rPr>
          <w:i w:val="0"/>
          <w:lang w:val="en-GB"/>
        </w:rPr>
        <w:t xml:space="preserve">: </w:t>
      </w:r>
      <w:r w:rsidR="009260D0">
        <w:rPr>
          <w:i w:val="0"/>
          <w:lang w:val="en-GB"/>
        </w:rPr>
        <w:t xml:space="preserve"> </w:t>
      </w:r>
      <w:r w:rsidRPr="00A276CF">
        <w:rPr>
          <w:i w:val="0"/>
          <w:lang w:val="en-GB"/>
        </w:rPr>
        <w:t xml:space="preserve">Plot of Kaplan Meier Estimates for </w:t>
      </w:r>
      <w:r w:rsidR="00874F80">
        <w:rPr>
          <w:i w:val="0"/>
          <w:lang w:val="en-GB"/>
        </w:rPr>
        <w:t>s</w:t>
      </w:r>
      <w:r w:rsidRPr="00A276CF">
        <w:rPr>
          <w:i w:val="0"/>
          <w:lang w:val="en-GB"/>
        </w:rPr>
        <w:t xml:space="preserve">urvival in </w:t>
      </w:r>
      <w:r w:rsidR="00874F80">
        <w:rPr>
          <w:i w:val="0"/>
          <w:lang w:val="en-GB"/>
        </w:rPr>
        <w:t>s</w:t>
      </w:r>
      <w:r w:rsidRPr="00A276CF">
        <w:rPr>
          <w:i w:val="0"/>
          <w:lang w:val="en-GB"/>
        </w:rPr>
        <w:t>tudy AVF2107g</w:t>
      </w:r>
      <w:r>
        <w:rPr>
          <w:i w:val="0"/>
          <w:lang w:val="en-GB"/>
        </w:rPr>
        <w:t>: Patients enrolled in Arm 3 and concurrently enrolled patients in Arms 1 and 2</w:t>
      </w:r>
    </w:p>
    <w:p w:rsidR="0096447B" w:rsidRPr="003778E2" w:rsidRDefault="0087418D" w:rsidP="0096447B">
      <w:pPr>
        <w:pStyle w:val="Heading4"/>
        <w:spacing w:after="100" w:afterAutospacing="1"/>
        <w:ind w:left="0"/>
        <w:rPr>
          <w:lang w:val="en-GB"/>
        </w:rPr>
      </w:pPr>
      <w:r>
        <w:rPr>
          <w:noProof/>
          <w:lang w:eastAsia="en-AU"/>
        </w:rPr>
        <w:lastRenderedPageBreak/>
        <mc:AlternateContent>
          <mc:Choice Requires="wps">
            <w:drawing>
              <wp:anchor distT="0" distB="0" distL="114300" distR="114300" simplePos="0" relativeHeight="251657728" behindDoc="0" locked="0" layoutInCell="1" allowOverlap="1">
                <wp:simplePos x="0" y="0"/>
                <wp:positionH relativeFrom="column">
                  <wp:posOffset>3717290</wp:posOffset>
                </wp:positionH>
                <wp:positionV relativeFrom="paragraph">
                  <wp:posOffset>1622425</wp:posOffset>
                </wp:positionV>
                <wp:extent cx="800100" cy="228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824" w:rsidRPr="00813DD2" w:rsidRDefault="00E26824">
                            <w:pPr>
                              <w:rPr>
                                <w:rFonts w:ascii="Arial" w:hAnsi="Arial" w:cs="Arial"/>
                                <w:sz w:val="12"/>
                                <w:szCs w:val="12"/>
                              </w:rPr>
                            </w:pPr>
                            <w:proofErr w:type="gramStart"/>
                            <w:r w:rsidRPr="00813DD2">
                              <w:rPr>
                                <w:rFonts w:ascii="Arial" w:hAnsi="Arial" w:cs="Arial"/>
                                <w:sz w:val="12"/>
                                <w:szCs w:val="12"/>
                              </w:rPr>
                              <w:t>b-IFL</w:t>
                            </w:r>
                            <w:proofErr w:type="gramEnd"/>
                            <w:r w:rsidRPr="00813DD2">
                              <w:rPr>
                                <w:rFonts w:ascii="Arial" w:hAnsi="Arial" w:cs="Arial"/>
                                <w:sz w:val="12"/>
                                <w:szCs w:val="12"/>
                              </w:rPr>
                              <w:t xml:space="preserve"> + Placebo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7pt;margin-top:127.7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U/fgIAAA4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" stroked="f">
                <v:textbox>
                  <w:txbxContent>
                    <w:p w:rsidR="00E26824" w:rsidRPr="00813DD2" w:rsidRDefault="00E26824">
                      <w:pPr>
                        <w:rPr>
                          <w:rFonts w:ascii="Arial" w:hAnsi="Arial" w:cs="Arial"/>
                          <w:sz w:val="12"/>
                          <w:szCs w:val="12"/>
                        </w:rPr>
                      </w:pPr>
                      <w:r w:rsidRPr="00813DD2">
                        <w:rPr>
                          <w:rFonts w:ascii="Arial" w:hAnsi="Arial" w:cs="Arial"/>
                          <w:sz w:val="12"/>
                          <w:szCs w:val="12"/>
                        </w:rPr>
                        <w:t>b-IFL + Placebo</w:t>
                      </w:r>
                    </w:p>
                  </w:txbxContent>
                </v:textbox>
              </v:shape>
            </w:pict>
          </mc:Fallback>
        </mc:AlternateContent>
      </w:r>
      <w:r w:rsidR="0096447B">
        <w:rPr>
          <w:lang w:val="en-GB"/>
        </w:rPr>
        <w:t xml:space="preserve">        </w:t>
      </w:r>
      <w:r w:rsidR="005B2370">
        <w:rPr>
          <w:lang w:val="en-GB"/>
        </w:rPr>
        <w:t xml:space="preserve">       </w:t>
      </w:r>
      <w:r w:rsidR="0096447B">
        <w:rPr>
          <w:lang w:val="en-GB"/>
        </w:rPr>
        <w:t xml:space="preserve">   </w:t>
      </w:r>
      <w:r>
        <w:rPr>
          <w:noProof/>
          <w:lang w:eastAsia="en-AU"/>
        </w:rPr>
        <w:drawing>
          <wp:inline distT="0" distB="0" distL="0" distR="0">
            <wp:extent cx="3971925" cy="2314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1925" cy="2314575"/>
                    </a:xfrm>
                    <a:prstGeom prst="rect">
                      <a:avLst/>
                    </a:prstGeom>
                    <a:noFill/>
                    <a:ln>
                      <a:noFill/>
                    </a:ln>
                  </pic:spPr>
                </pic:pic>
              </a:graphicData>
            </a:graphic>
          </wp:inline>
        </w:drawing>
      </w:r>
    </w:p>
    <w:p w:rsidR="0096447B" w:rsidRPr="00A85836" w:rsidRDefault="0096447B" w:rsidP="0096447B">
      <w:pPr>
        <w:pStyle w:val="FigureCaption"/>
        <w:tabs>
          <w:tab w:val="left" w:pos="851"/>
          <w:tab w:val="left" w:pos="1418"/>
        </w:tabs>
        <w:outlineLvl w:val="0"/>
        <w:rPr>
          <w:i/>
          <w:lang w:val="en-GB"/>
        </w:rPr>
      </w:pPr>
      <w:r>
        <w:rPr>
          <w:lang w:val="en-GB"/>
        </w:rPr>
        <w:tab/>
      </w:r>
      <w:r>
        <w:rPr>
          <w:lang w:val="en-GB"/>
        </w:rPr>
        <w:tab/>
      </w:r>
      <w:r w:rsidR="005B2370">
        <w:rPr>
          <w:lang w:val="en-GB"/>
        </w:rPr>
        <w:t xml:space="preserve">                </w:t>
      </w:r>
      <w:r w:rsidRPr="00A85836">
        <w:rPr>
          <w:i/>
          <w:lang w:val="en-GB"/>
        </w:rPr>
        <w:t xml:space="preserve">IFL = </w:t>
      </w:r>
      <w:proofErr w:type="spellStart"/>
      <w:r w:rsidR="007B4FAF">
        <w:rPr>
          <w:i/>
          <w:lang w:val="en-GB"/>
        </w:rPr>
        <w:t>i</w:t>
      </w:r>
      <w:r w:rsidRPr="00A85836">
        <w:rPr>
          <w:i/>
          <w:lang w:val="en-GB"/>
        </w:rPr>
        <w:t>rinotecan</w:t>
      </w:r>
      <w:proofErr w:type="spellEnd"/>
      <w:r w:rsidR="00BC3408">
        <w:rPr>
          <w:i/>
          <w:lang w:val="en-GB"/>
        </w:rPr>
        <w:t>/</w:t>
      </w:r>
      <w:r w:rsidRPr="00A85836">
        <w:rPr>
          <w:i/>
          <w:lang w:val="en-GB"/>
        </w:rPr>
        <w:t xml:space="preserve"> </w:t>
      </w:r>
      <w:r w:rsidR="00BC3408">
        <w:rPr>
          <w:i/>
          <w:lang w:val="en-GB"/>
        </w:rPr>
        <w:t>fluorouracil/</w:t>
      </w:r>
      <w:r w:rsidRPr="00A85836">
        <w:rPr>
          <w:i/>
          <w:lang w:val="en-GB"/>
        </w:rPr>
        <w:t xml:space="preserve"> </w:t>
      </w:r>
      <w:proofErr w:type="spellStart"/>
      <w:r w:rsidR="00BC3408">
        <w:rPr>
          <w:i/>
          <w:lang w:val="en-GB"/>
        </w:rPr>
        <w:t>l</w:t>
      </w:r>
      <w:r w:rsidR="00BC3408" w:rsidRPr="00A85836">
        <w:rPr>
          <w:i/>
          <w:lang w:val="en-GB"/>
        </w:rPr>
        <w:t>eucovorin</w:t>
      </w:r>
      <w:proofErr w:type="spellEnd"/>
      <w:r w:rsidR="00BC3408">
        <w:rPr>
          <w:i/>
          <w:lang w:val="en-GB"/>
        </w:rPr>
        <w:t xml:space="preserve"> (</w:t>
      </w:r>
      <w:proofErr w:type="spellStart"/>
      <w:r w:rsidR="00BC3408">
        <w:rPr>
          <w:i/>
          <w:lang w:val="en-GB"/>
        </w:rPr>
        <w:t>folinic</w:t>
      </w:r>
      <w:proofErr w:type="spellEnd"/>
      <w:r w:rsidR="00BC3408">
        <w:rPr>
          <w:i/>
          <w:lang w:val="en-GB"/>
        </w:rPr>
        <w:t xml:space="preserve"> acid)</w:t>
      </w:r>
      <w:r>
        <w:rPr>
          <w:i/>
          <w:lang w:val="en-GB"/>
        </w:rPr>
        <w:t>; AVF = AVASTIN</w:t>
      </w:r>
    </w:p>
    <w:p w:rsidR="00BE7E48" w:rsidRDefault="00BE7E48" w:rsidP="003F7AF4">
      <w:pPr>
        <w:pStyle w:val="Heading4"/>
        <w:ind w:left="0"/>
        <w:rPr>
          <w:lang w:val="en-GB"/>
        </w:rPr>
      </w:pPr>
    </w:p>
    <w:p w:rsidR="003F7AF4" w:rsidRPr="00533539" w:rsidRDefault="00F65ABC" w:rsidP="003F7AF4">
      <w:pPr>
        <w:pStyle w:val="Heading4"/>
        <w:ind w:left="0"/>
        <w:rPr>
          <w:i w:val="0"/>
          <w:lang w:val="en-GB"/>
        </w:rPr>
      </w:pPr>
      <w:r w:rsidRPr="00533539">
        <w:rPr>
          <w:i w:val="0"/>
          <w:lang w:val="en-GB"/>
        </w:rPr>
        <w:t>S</w:t>
      </w:r>
      <w:r w:rsidR="003F7AF4" w:rsidRPr="00533539">
        <w:rPr>
          <w:i w:val="0"/>
          <w:lang w:val="en-GB"/>
        </w:rPr>
        <w:t>tudy AVF0780g</w:t>
      </w:r>
    </w:p>
    <w:p w:rsidR="00810904" w:rsidRDefault="00810904" w:rsidP="00AE1E2B">
      <w:pPr>
        <w:pStyle w:val="TextTi12"/>
        <w:rPr>
          <w:lang w:val="en-GB"/>
        </w:rPr>
      </w:pPr>
      <w:r>
        <w:rPr>
          <w:lang w:val="en-GB"/>
        </w:rPr>
        <w:t>This was a phase II randomised, active-controlled, open-labelled clinical trial investigati</w:t>
      </w:r>
      <w:r w:rsidR="009B4FC8">
        <w:rPr>
          <w:lang w:val="en-GB"/>
        </w:rPr>
        <w:t xml:space="preserve">ng AVASTIN in combination with </w:t>
      </w:r>
      <w:r>
        <w:rPr>
          <w:lang w:val="en-GB"/>
        </w:rPr>
        <w:t>FU/LV as first-line treatment of metastatic colorectal cancer</w:t>
      </w:r>
      <w:r w:rsidR="00771E30">
        <w:rPr>
          <w:lang w:val="en-GB"/>
        </w:rPr>
        <w:t>.</w:t>
      </w:r>
      <w:r w:rsidR="00CE7BA1">
        <w:rPr>
          <w:lang w:val="en-GB"/>
        </w:rPr>
        <w:t xml:space="preserve"> </w:t>
      </w:r>
      <w:r>
        <w:rPr>
          <w:lang w:val="en-GB"/>
        </w:rPr>
        <w:t xml:space="preserve"> Seventy</w:t>
      </w:r>
      <w:r w:rsidR="00820A51">
        <w:rPr>
          <w:lang w:val="en-GB"/>
        </w:rPr>
        <w:t xml:space="preserve"> </w:t>
      </w:r>
      <w:r>
        <w:rPr>
          <w:lang w:val="en-GB"/>
        </w:rPr>
        <w:t>one patients were randomised to receive bolus FU/LV or FU/LV</w:t>
      </w:r>
      <w:r w:rsidR="007274AB">
        <w:rPr>
          <w:lang w:val="en-GB"/>
        </w:rPr>
        <w:t xml:space="preserve"> plus </w:t>
      </w:r>
      <w:r>
        <w:rPr>
          <w:lang w:val="en-GB"/>
        </w:rPr>
        <w:t>AVASTIN (5 mg/kg every 2 weeks).</w:t>
      </w:r>
      <w:r w:rsidR="00F45A4D">
        <w:rPr>
          <w:lang w:val="en-GB"/>
        </w:rPr>
        <w:t xml:space="preserve"> </w:t>
      </w:r>
      <w:r w:rsidR="00BE7E48">
        <w:rPr>
          <w:lang w:val="en-GB"/>
        </w:rPr>
        <w:t xml:space="preserve"> </w:t>
      </w:r>
      <w:r>
        <w:rPr>
          <w:lang w:val="en-GB"/>
        </w:rPr>
        <w:t xml:space="preserve">A third group of 33 patients received </w:t>
      </w:r>
      <w:r w:rsidR="00A613F2">
        <w:rPr>
          <w:lang w:val="en-GB"/>
        </w:rPr>
        <w:t xml:space="preserve">bolus </w:t>
      </w:r>
      <w:r>
        <w:rPr>
          <w:lang w:val="en-GB"/>
        </w:rPr>
        <w:t>FU/LV</w:t>
      </w:r>
      <w:r w:rsidR="007274AB">
        <w:rPr>
          <w:lang w:val="en-GB"/>
        </w:rPr>
        <w:t xml:space="preserve"> plus </w:t>
      </w:r>
      <w:r>
        <w:rPr>
          <w:lang w:val="en-GB"/>
        </w:rPr>
        <w:t xml:space="preserve">AVASTIN (10 mg/kg every 2 weeks). </w:t>
      </w:r>
      <w:r w:rsidR="00BE7E48">
        <w:rPr>
          <w:lang w:val="en-GB"/>
        </w:rPr>
        <w:t xml:space="preserve"> </w:t>
      </w:r>
      <w:r>
        <w:rPr>
          <w:lang w:val="en-GB"/>
        </w:rPr>
        <w:t xml:space="preserve">Patients were treated until disease progression. </w:t>
      </w:r>
      <w:r w:rsidR="00BE7E48">
        <w:rPr>
          <w:lang w:val="en-GB"/>
        </w:rPr>
        <w:t xml:space="preserve"> </w:t>
      </w:r>
      <w:r w:rsidR="00091E76">
        <w:rPr>
          <w:lang w:val="en-GB"/>
        </w:rPr>
        <w:t>The median age was 64 years (range 23</w:t>
      </w:r>
      <w:r w:rsidR="00F45A4D">
        <w:rPr>
          <w:lang w:val="en-GB"/>
        </w:rPr>
        <w:t>-</w:t>
      </w:r>
      <w:r w:rsidR="00091E76">
        <w:rPr>
          <w:lang w:val="en-GB"/>
        </w:rPr>
        <w:t>85</w:t>
      </w:r>
      <w:r w:rsidR="00F45A4D">
        <w:rPr>
          <w:lang w:val="en-GB"/>
        </w:rPr>
        <w:t>)</w:t>
      </w:r>
      <w:r w:rsidR="007274AB">
        <w:rPr>
          <w:lang w:val="en-GB"/>
        </w:rPr>
        <w:t xml:space="preserve">, </w:t>
      </w:r>
      <w:r w:rsidR="00F45A4D">
        <w:rPr>
          <w:lang w:val="en-GB"/>
        </w:rPr>
        <w:t xml:space="preserve">57% </w:t>
      </w:r>
      <w:r w:rsidR="007274AB">
        <w:rPr>
          <w:lang w:val="en-GB"/>
        </w:rPr>
        <w:t xml:space="preserve">were </w:t>
      </w:r>
      <w:r w:rsidR="00F45A4D">
        <w:rPr>
          <w:lang w:val="en-GB"/>
        </w:rPr>
        <w:t>male</w:t>
      </w:r>
      <w:r w:rsidR="00091E76">
        <w:rPr>
          <w:lang w:val="en-GB"/>
        </w:rPr>
        <w:t>.</w:t>
      </w:r>
      <w:r w:rsidR="00F45A4D">
        <w:rPr>
          <w:lang w:val="en-GB"/>
        </w:rPr>
        <w:t xml:space="preserve"> </w:t>
      </w:r>
      <w:r w:rsidR="00BE7E48">
        <w:rPr>
          <w:lang w:val="en-GB"/>
        </w:rPr>
        <w:t xml:space="preserve"> </w:t>
      </w:r>
      <w:r>
        <w:rPr>
          <w:lang w:val="en-GB"/>
        </w:rPr>
        <w:t>The</w:t>
      </w:r>
      <w:r w:rsidR="007274AB">
        <w:rPr>
          <w:lang w:val="en-GB"/>
        </w:rPr>
        <w:t xml:space="preserve"> </w:t>
      </w:r>
      <w:r>
        <w:rPr>
          <w:lang w:val="en-GB"/>
        </w:rPr>
        <w:t xml:space="preserve">primary </w:t>
      </w:r>
      <w:r w:rsidR="00014E4F">
        <w:rPr>
          <w:lang w:val="en-GB"/>
        </w:rPr>
        <w:t xml:space="preserve">efficacy </w:t>
      </w:r>
      <w:r>
        <w:rPr>
          <w:lang w:val="en-GB"/>
        </w:rPr>
        <w:t>endpoints of the trial were objective response rate and progression</w:t>
      </w:r>
      <w:r>
        <w:rPr>
          <w:lang w:val="en-GB"/>
        </w:rPr>
        <w:noBreakHyphen/>
        <w:t xml:space="preserve">free survival. </w:t>
      </w:r>
      <w:r w:rsidR="00470BA7">
        <w:rPr>
          <w:lang w:val="en-GB"/>
        </w:rPr>
        <w:t xml:space="preserve"> </w:t>
      </w:r>
      <w:r>
        <w:rPr>
          <w:lang w:val="en-GB"/>
        </w:rPr>
        <w:t xml:space="preserve">The addition of AVASTIN </w:t>
      </w:r>
      <w:r w:rsidR="004B31D8">
        <w:rPr>
          <w:lang w:val="en-GB"/>
        </w:rPr>
        <w:t xml:space="preserve">(5 mg/kg every two weeks) </w:t>
      </w:r>
      <w:r>
        <w:rPr>
          <w:lang w:val="en-GB"/>
        </w:rPr>
        <w:t>to FU/LV resulted in higher objective response rates, longer progression</w:t>
      </w:r>
      <w:r>
        <w:rPr>
          <w:lang w:val="en-GB"/>
        </w:rPr>
        <w:noBreakHyphen/>
        <w:t>free survival and a trend in lon</w:t>
      </w:r>
      <w:r w:rsidR="009B4FC8">
        <w:rPr>
          <w:lang w:val="en-GB"/>
        </w:rPr>
        <w:t xml:space="preserve">ger survival, compared with </w:t>
      </w:r>
      <w:r>
        <w:rPr>
          <w:lang w:val="en-GB"/>
        </w:rPr>
        <w:t>FU/LV chemotherapy alone</w:t>
      </w:r>
      <w:r w:rsidR="004B31D8">
        <w:rPr>
          <w:lang w:val="en-GB"/>
        </w:rPr>
        <w:t xml:space="preserve">, </w:t>
      </w:r>
      <w:r>
        <w:rPr>
          <w:lang w:val="en-GB"/>
        </w:rPr>
        <w:t xml:space="preserve">see Table </w:t>
      </w:r>
      <w:r w:rsidR="00786582">
        <w:rPr>
          <w:lang w:val="en-GB"/>
        </w:rPr>
        <w:t>3</w:t>
      </w:r>
      <w:r>
        <w:rPr>
          <w:lang w:val="en-GB"/>
        </w:rPr>
        <w:t xml:space="preserve">. </w:t>
      </w:r>
      <w:r w:rsidR="00BE7E48">
        <w:rPr>
          <w:lang w:val="en-GB"/>
        </w:rPr>
        <w:t xml:space="preserve"> </w:t>
      </w:r>
      <w:r>
        <w:rPr>
          <w:lang w:val="en-GB"/>
        </w:rPr>
        <w:t>This efficacy data is consistent with the results from study AVF2107g.</w:t>
      </w:r>
    </w:p>
    <w:p w:rsidR="008A241A" w:rsidRDefault="008A241A" w:rsidP="008F4FF8">
      <w:pPr>
        <w:pStyle w:val="Heading4"/>
        <w:spacing w:after="100" w:afterAutospacing="1"/>
        <w:ind w:left="79"/>
        <w:rPr>
          <w:bCs/>
          <w:i w:val="0"/>
          <w:lang w:val="en-GB"/>
        </w:rPr>
      </w:pPr>
      <w:r w:rsidRPr="008A241A">
        <w:rPr>
          <w:bCs/>
          <w:i w:val="0"/>
          <w:lang w:val="en-GB"/>
        </w:rPr>
        <w:tab/>
        <w:t xml:space="preserve">Table 3: </w:t>
      </w:r>
      <w:r w:rsidR="009260D0">
        <w:rPr>
          <w:bCs/>
          <w:i w:val="0"/>
          <w:lang w:val="en-GB"/>
        </w:rPr>
        <w:t xml:space="preserve"> </w:t>
      </w:r>
      <w:r w:rsidRPr="008A241A">
        <w:rPr>
          <w:bCs/>
          <w:i w:val="0"/>
          <w:lang w:val="en-GB"/>
        </w:rPr>
        <w:t>Efficacy results for study AVF</w:t>
      </w:r>
      <w:r>
        <w:rPr>
          <w:bCs/>
          <w:i w:val="0"/>
          <w:lang w:val="en-GB"/>
        </w:rPr>
        <w:t>0780g</w:t>
      </w:r>
    </w:p>
    <w:tbl>
      <w:tblPr>
        <w:tblW w:w="0" w:type="auto"/>
        <w:jc w:val="center"/>
        <w:tblLayout w:type="fixed"/>
        <w:tblLook w:val="0000" w:firstRow="0" w:lastRow="0" w:firstColumn="0" w:lastColumn="0" w:noHBand="0" w:noVBand="0"/>
      </w:tblPr>
      <w:tblGrid>
        <w:gridCol w:w="2800"/>
        <w:gridCol w:w="1759"/>
        <w:gridCol w:w="1759"/>
        <w:gridCol w:w="1890"/>
      </w:tblGrid>
      <w:tr w:rsidR="008A241A" w:rsidRPr="00E776F0">
        <w:trPr>
          <w:cantSplit/>
          <w:jc w:val="center"/>
        </w:trPr>
        <w:tc>
          <w:tcPr>
            <w:tcW w:w="2800" w:type="dxa"/>
            <w:tcBorders>
              <w:top w:val="single" w:sz="4" w:space="0" w:color="auto"/>
              <w:left w:val="single" w:sz="8" w:space="0" w:color="auto"/>
              <w:bottom w:val="single" w:sz="4" w:space="0" w:color="auto"/>
              <w:right w:val="single" w:sz="8" w:space="0" w:color="auto"/>
            </w:tcBorders>
          </w:tcPr>
          <w:p w:rsidR="008A241A" w:rsidRPr="00596FA4" w:rsidRDefault="008A241A" w:rsidP="008F4FF8">
            <w:pPr>
              <w:pStyle w:val="TableCellCenter"/>
              <w:spacing w:before="0" w:after="0"/>
              <w:jc w:val="left"/>
              <w:rPr>
                <w:b/>
                <w:bCs/>
                <w:lang w:val="en-GB"/>
              </w:rPr>
            </w:pPr>
          </w:p>
        </w:tc>
        <w:tc>
          <w:tcPr>
            <w:tcW w:w="1759" w:type="dxa"/>
            <w:tcBorders>
              <w:top w:val="single" w:sz="4" w:space="0" w:color="auto"/>
              <w:left w:val="single" w:sz="8" w:space="0" w:color="auto"/>
              <w:bottom w:val="single" w:sz="4" w:space="0" w:color="auto"/>
            </w:tcBorders>
          </w:tcPr>
          <w:p w:rsidR="008A241A" w:rsidRDefault="008A241A" w:rsidP="008F4FF8">
            <w:pPr>
              <w:pStyle w:val="TableCellCenter"/>
              <w:spacing w:before="0" w:after="0"/>
              <w:rPr>
                <w:b/>
                <w:bCs/>
                <w:lang w:val="en-GB"/>
              </w:rPr>
            </w:pPr>
            <w:r>
              <w:rPr>
                <w:b/>
                <w:bCs/>
                <w:lang w:val="en-GB"/>
              </w:rPr>
              <w:t>FU/LV</w:t>
            </w:r>
          </w:p>
          <w:p w:rsidR="008A241A" w:rsidRPr="00596FA4" w:rsidRDefault="008A241A" w:rsidP="008F4FF8">
            <w:pPr>
              <w:pStyle w:val="TableCellCenter"/>
              <w:spacing w:before="0" w:after="0"/>
              <w:rPr>
                <w:b/>
                <w:bCs/>
                <w:lang w:val="en-GB"/>
              </w:rPr>
            </w:pPr>
            <w:r>
              <w:rPr>
                <w:b/>
                <w:bCs/>
                <w:lang w:val="en-GB"/>
              </w:rPr>
              <w:t>(</w:t>
            </w:r>
            <w:r w:rsidR="00402F1B" w:rsidRPr="00402F1B">
              <w:rPr>
                <w:b/>
                <w:i/>
                <w:lang w:val="en-GB"/>
              </w:rPr>
              <w:t>n</w:t>
            </w:r>
            <w:r w:rsidR="00D301EE">
              <w:rPr>
                <w:b/>
                <w:bCs/>
                <w:lang w:val="en-GB"/>
              </w:rPr>
              <w:t xml:space="preserve"> </w:t>
            </w:r>
            <w:r>
              <w:rPr>
                <w:b/>
                <w:bCs/>
                <w:lang w:val="en-GB"/>
              </w:rPr>
              <w:t>=</w:t>
            </w:r>
            <w:r w:rsidR="00D301EE">
              <w:rPr>
                <w:b/>
                <w:bCs/>
                <w:lang w:val="en-GB"/>
              </w:rPr>
              <w:t xml:space="preserve"> </w:t>
            </w:r>
            <w:r>
              <w:rPr>
                <w:b/>
                <w:bCs/>
                <w:lang w:val="en-GB"/>
              </w:rPr>
              <w:t>36)</w:t>
            </w:r>
          </w:p>
        </w:tc>
        <w:tc>
          <w:tcPr>
            <w:tcW w:w="1759" w:type="dxa"/>
            <w:tcBorders>
              <w:top w:val="single" w:sz="4" w:space="0" w:color="auto"/>
              <w:bottom w:val="single" w:sz="4" w:space="0" w:color="auto"/>
            </w:tcBorders>
          </w:tcPr>
          <w:p w:rsidR="008A241A" w:rsidRPr="00E776F0" w:rsidRDefault="008A241A" w:rsidP="008F4FF8">
            <w:pPr>
              <w:pStyle w:val="TableCellCenter"/>
              <w:spacing w:before="0" w:after="0"/>
              <w:rPr>
                <w:b/>
                <w:bCs/>
                <w:lang w:val="fr-FR"/>
              </w:rPr>
            </w:pPr>
            <w:r w:rsidRPr="00E776F0">
              <w:rPr>
                <w:b/>
                <w:bCs/>
                <w:lang w:val="fr-FR"/>
              </w:rPr>
              <w:t xml:space="preserve">FU/LV plus </w:t>
            </w:r>
            <w:proofErr w:type="spellStart"/>
            <w:r w:rsidRPr="00E776F0">
              <w:rPr>
                <w:b/>
                <w:bCs/>
                <w:lang w:val="fr-FR"/>
              </w:rPr>
              <w:t>AVASTIN</w:t>
            </w:r>
            <w:r w:rsidRPr="00E776F0">
              <w:rPr>
                <w:b/>
                <w:bCs/>
                <w:vertAlign w:val="superscript"/>
                <w:lang w:val="fr-FR"/>
              </w:rPr>
              <w:t>a</w:t>
            </w:r>
            <w:proofErr w:type="spellEnd"/>
          </w:p>
          <w:p w:rsidR="008A241A" w:rsidRPr="00E776F0" w:rsidRDefault="008A241A" w:rsidP="008F4FF8">
            <w:pPr>
              <w:pStyle w:val="TableCellCenter"/>
              <w:spacing w:before="0" w:after="0"/>
              <w:rPr>
                <w:b/>
                <w:bCs/>
                <w:lang w:val="fr-FR"/>
              </w:rPr>
            </w:pPr>
            <w:r w:rsidRPr="00E776F0">
              <w:rPr>
                <w:b/>
                <w:bCs/>
                <w:lang w:val="fr-FR"/>
              </w:rPr>
              <w:t>(</w:t>
            </w:r>
            <w:r w:rsidR="00402F1B" w:rsidRPr="00402F1B">
              <w:rPr>
                <w:b/>
                <w:i/>
                <w:lang w:val="fr-FR"/>
              </w:rPr>
              <w:t>n</w:t>
            </w:r>
            <w:r w:rsidR="00D301EE">
              <w:rPr>
                <w:b/>
                <w:bCs/>
                <w:lang w:val="fr-FR"/>
              </w:rPr>
              <w:t xml:space="preserve"> </w:t>
            </w:r>
            <w:r w:rsidRPr="00E776F0">
              <w:rPr>
                <w:b/>
                <w:bCs/>
                <w:lang w:val="fr-FR"/>
              </w:rPr>
              <w:t>=</w:t>
            </w:r>
            <w:r w:rsidR="00D301EE">
              <w:rPr>
                <w:b/>
                <w:bCs/>
                <w:lang w:val="fr-FR"/>
              </w:rPr>
              <w:t xml:space="preserve"> </w:t>
            </w:r>
            <w:r w:rsidRPr="00E776F0">
              <w:rPr>
                <w:b/>
                <w:bCs/>
                <w:lang w:val="fr-FR"/>
              </w:rPr>
              <w:t>35)</w:t>
            </w:r>
          </w:p>
        </w:tc>
        <w:tc>
          <w:tcPr>
            <w:tcW w:w="1890" w:type="dxa"/>
            <w:tcBorders>
              <w:top w:val="single" w:sz="4" w:space="0" w:color="auto"/>
              <w:bottom w:val="single" w:sz="4" w:space="0" w:color="auto"/>
              <w:right w:val="single" w:sz="8" w:space="0" w:color="auto"/>
            </w:tcBorders>
          </w:tcPr>
          <w:p w:rsidR="008A241A" w:rsidRPr="00E776F0" w:rsidRDefault="008A241A" w:rsidP="008F4FF8">
            <w:pPr>
              <w:pStyle w:val="TableCellCenter"/>
              <w:spacing w:before="0" w:after="0"/>
              <w:rPr>
                <w:b/>
                <w:bCs/>
                <w:lang w:val="fr-FR"/>
              </w:rPr>
            </w:pPr>
            <w:r w:rsidRPr="00E776F0">
              <w:rPr>
                <w:b/>
                <w:bCs/>
                <w:lang w:val="fr-FR"/>
              </w:rPr>
              <w:t xml:space="preserve">FU/LV plus </w:t>
            </w:r>
            <w:proofErr w:type="spellStart"/>
            <w:r w:rsidRPr="00E776F0">
              <w:rPr>
                <w:b/>
                <w:bCs/>
                <w:lang w:val="fr-FR"/>
              </w:rPr>
              <w:t>AVASTIN</w:t>
            </w:r>
            <w:r w:rsidRPr="00E776F0">
              <w:rPr>
                <w:b/>
                <w:bCs/>
                <w:vertAlign w:val="superscript"/>
                <w:lang w:val="fr-FR"/>
              </w:rPr>
              <w:t>b</w:t>
            </w:r>
            <w:proofErr w:type="spellEnd"/>
          </w:p>
          <w:p w:rsidR="008A241A" w:rsidRPr="00E776F0" w:rsidRDefault="008A241A" w:rsidP="008F4FF8">
            <w:pPr>
              <w:pStyle w:val="TableCellCenter"/>
              <w:spacing w:before="0" w:after="0"/>
              <w:rPr>
                <w:b/>
                <w:bCs/>
                <w:lang w:val="fr-FR"/>
              </w:rPr>
            </w:pPr>
            <w:r w:rsidRPr="00E776F0">
              <w:rPr>
                <w:b/>
                <w:bCs/>
                <w:lang w:val="fr-FR"/>
              </w:rPr>
              <w:t>(</w:t>
            </w:r>
            <w:r w:rsidR="00402F1B" w:rsidRPr="00402F1B">
              <w:rPr>
                <w:b/>
                <w:i/>
                <w:lang w:val="fr-FR"/>
              </w:rPr>
              <w:t>n</w:t>
            </w:r>
            <w:r w:rsidR="00D301EE">
              <w:rPr>
                <w:b/>
                <w:bCs/>
                <w:lang w:val="fr-FR"/>
              </w:rPr>
              <w:t xml:space="preserve"> </w:t>
            </w:r>
            <w:r w:rsidRPr="00E776F0">
              <w:rPr>
                <w:b/>
                <w:bCs/>
                <w:lang w:val="fr-FR"/>
              </w:rPr>
              <w:t>=</w:t>
            </w:r>
            <w:r w:rsidR="00D301EE">
              <w:rPr>
                <w:b/>
                <w:bCs/>
                <w:lang w:val="fr-FR"/>
              </w:rPr>
              <w:t xml:space="preserve"> </w:t>
            </w:r>
            <w:r w:rsidRPr="00E776F0">
              <w:rPr>
                <w:b/>
                <w:bCs/>
                <w:lang w:val="fr-FR"/>
              </w:rPr>
              <w:t>33)</w:t>
            </w:r>
          </w:p>
        </w:tc>
      </w:tr>
      <w:tr w:rsidR="00810904" w:rsidRPr="00596FA4">
        <w:trPr>
          <w:cantSplit/>
          <w:jc w:val="center"/>
        </w:trPr>
        <w:tc>
          <w:tcPr>
            <w:tcW w:w="2800" w:type="dxa"/>
            <w:tcBorders>
              <w:top w:val="single" w:sz="4" w:space="0" w:color="auto"/>
              <w:left w:val="single" w:sz="8" w:space="0" w:color="auto"/>
              <w:right w:val="single" w:sz="8" w:space="0" w:color="auto"/>
            </w:tcBorders>
          </w:tcPr>
          <w:p w:rsidR="00810904" w:rsidRPr="00596FA4" w:rsidRDefault="00810904" w:rsidP="008F4FF8">
            <w:pPr>
              <w:pStyle w:val="TableCellCenter"/>
              <w:spacing w:before="0" w:after="0"/>
              <w:jc w:val="left"/>
              <w:rPr>
                <w:b/>
                <w:bCs/>
                <w:lang w:val="en-GB"/>
              </w:rPr>
            </w:pPr>
            <w:r w:rsidRPr="00596FA4">
              <w:rPr>
                <w:b/>
                <w:bCs/>
                <w:lang w:val="en-GB"/>
              </w:rPr>
              <w:t>Overall Survival</w:t>
            </w:r>
          </w:p>
        </w:tc>
        <w:tc>
          <w:tcPr>
            <w:tcW w:w="1759" w:type="dxa"/>
            <w:tcBorders>
              <w:top w:val="single" w:sz="4" w:space="0" w:color="auto"/>
              <w:left w:val="single" w:sz="8" w:space="0" w:color="auto"/>
            </w:tcBorders>
          </w:tcPr>
          <w:p w:rsidR="00810904" w:rsidRPr="00596FA4" w:rsidRDefault="00810904" w:rsidP="008F4FF8">
            <w:pPr>
              <w:pStyle w:val="TableCellCenter"/>
              <w:spacing w:before="0" w:after="0"/>
              <w:rPr>
                <w:b/>
                <w:bCs/>
                <w:lang w:val="en-GB"/>
              </w:rPr>
            </w:pPr>
          </w:p>
        </w:tc>
        <w:tc>
          <w:tcPr>
            <w:tcW w:w="1759" w:type="dxa"/>
            <w:tcBorders>
              <w:top w:val="single" w:sz="4" w:space="0" w:color="auto"/>
            </w:tcBorders>
          </w:tcPr>
          <w:p w:rsidR="00810904" w:rsidRPr="00596FA4" w:rsidRDefault="00810904" w:rsidP="008F4FF8">
            <w:pPr>
              <w:pStyle w:val="TableCellCenter"/>
              <w:spacing w:before="0" w:after="0"/>
              <w:rPr>
                <w:b/>
                <w:bCs/>
                <w:lang w:val="en-GB"/>
              </w:rPr>
            </w:pPr>
          </w:p>
        </w:tc>
        <w:tc>
          <w:tcPr>
            <w:tcW w:w="1890" w:type="dxa"/>
            <w:tcBorders>
              <w:top w:val="single" w:sz="4" w:space="0" w:color="auto"/>
              <w:right w:val="single" w:sz="8" w:space="0" w:color="auto"/>
            </w:tcBorders>
          </w:tcPr>
          <w:p w:rsidR="00810904" w:rsidRPr="00596FA4" w:rsidRDefault="00810904" w:rsidP="008F4FF8">
            <w:pPr>
              <w:pStyle w:val="TableCellCenter"/>
              <w:spacing w:before="0" w:after="0"/>
              <w:rPr>
                <w:b/>
                <w:bCs/>
                <w:lang w:val="en-GB"/>
              </w:rPr>
            </w:pPr>
          </w:p>
        </w:tc>
      </w:tr>
      <w:tr w:rsidR="00810904" w:rsidRPr="00596FA4">
        <w:trPr>
          <w:cantSplit/>
          <w:jc w:val="center"/>
        </w:trPr>
        <w:tc>
          <w:tcPr>
            <w:tcW w:w="2800" w:type="dxa"/>
            <w:tcBorders>
              <w:left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Median (months)</w:t>
            </w:r>
          </w:p>
        </w:tc>
        <w:tc>
          <w:tcPr>
            <w:tcW w:w="1759" w:type="dxa"/>
            <w:tcBorders>
              <w:left w:val="single" w:sz="8" w:space="0" w:color="auto"/>
            </w:tcBorders>
          </w:tcPr>
          <w:p w:rsidR="00810904" w:rsidRPr="00596FA4" w:rsidRDefault="00810904" w:rsidP="008F4FF8">
            <w:pPr>
              <w:pStyle w:val="TableCellCenter"/>
              <w:spacing w:before="0" w:after="0"/>
              <w:rPr>
                <w:bCs/>
                <w:lang w:val="en-GB"/>
              </w:rPr>
            </w:pPr>
            <w:r w:rsidRPr="00596FA4">
              <w:rPr>
                <w:bCs/>
                <w:lang w:val="en-GB"/>
              </w:rPr>
              <w:t>13.6</w:t>
            </w:r>
          </w:p>
        </w:tc>
        <w:tc>
          <w:tcPr>
            <w:tcW w:w="1759" w:type="dxa"/>
          </w:tcPr>
          <w:p w:rsidR="00810904" w:rsidRPr="00596FA4" w:rsidRDefault="00810904" w:rsidP="008F4FF8">
            <w:pPr>
              <w:pStyle w:val="TableCellCenter"/>
              <w:spacing w:before="0" w:after="0"/>
              <w:rPr>
                <w:bCs/>
                <w:lang w:val="en-GB"/>
              </w:rPr>
            </w:pPr>
            <w:r w:rsidRPr="00596FA4">
              <w:rPr>
                <w:bCs/>
                <w:lang w:val="en-GB"/>
              </w:rPr>
              <w:t>17.7</w:t>
            </w:r>
          </w:p>
        </w:tc>
        <w:tc>
          <w:tcPr>
            <w:tcW w:w="1890" w:type="dxa"/>
            <w:tcBorders>
              <w:right w:val="single" w:sz="8" w:space="0" w:color="auto"/>
            </w:tcBorders>
          </w:tcPr>
          <w:p w:rsidR="00810904" w:rsidRPr="00596FA4" w:rsidRDefault="00810904" w:rsidP="008F4FF8">
            <w:pPr>
              <w:pStyle w:val="TableCellCenter"/>
              <w:spacing w:before="0" w:after="0"/>
              <w:rPr>
                <w:bCs/>
                <w:lang w:val="en-GB"/>
              </w:rPr>
            </w:pPr>
            <w:r w:rsidRPr="00596FA4">
              <w:rPr>
                <w:bCs/>
                <w:lang w:val="en-GB"/>
              </w:rPr>
              <w:t>15.2</w:t>
            </w:r>
          </w:p>
        </w:tc>
      </w:tr>
      <w:tr w:rsidR="00B021D3" w:rsidRPr="00596FA4">
        <w:trPr>
          <w:cantSplit/>
          <w:jc w:val="center"/>
        </w:trPr>
        <w:tc>
          <w:tcPr>
            <w:tcW w:w="2800" w:type="dxa"/>
            <w:tcBorders>
              <w:left w:val="single" w:sz="8" w:space="0" w:color="auto"/>
              <w:right w:val="single" w:sz="8"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B021D3" w:rsidRPr="00596FA4">
              <w:rPr>
                <w:bCs/>
                <w:lang w:val="en-GB"/>
              </w:rPr>
              <w:t xml:space="preserve">Hazard </w:t>
            </w:r>
            <w:proofErr w:type="spellStart"/>
            <w:r w:rsidR="00B021D3" w:rsidRPr="00596FA4">
              <w:rPr>
                <w:bCs/>
                <w:lang w:val="en-GB"/>
              </w:rPr>
              <w:t>ratio</w:t>
            </w:r>
            <w:r w:rsidR="00B021D3" w:rsidRPr="00596FA4">
              <w:rPr>
                <w:bCs/>
                <w:vertAlign w:val="superscript"/>
                <w:lang w:val="en-GB"/>
              </w:rPr>
              <w:t>c</w:t>
            </w:r>
            <w:proofErr w:type="spellEnd"/>
            <w:r w:rsidR="00B021D3" w:rsidRPr="00596FA4">
              <w:rPr>
                <w:bCs/>
                <w:vertAlign w:val="superscript"/>
                <w:lang w:val="en-GB"/>
              </w:rPr>
              <w:t xml:space="preserve">  </w:t>
            </w:r>
          </w:p>
        </w:tc>
        <w:tc>
          <w:tcPr>
            <w:tcW w:w="1759" w:type="dxa"/>
            <w:tcBorders>
              <w:left w:val="single" w:sz="8"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Pr>
          <w:p w:rsidR="00B021D3" w:rsidRPr="00596FA4" w:rsidRDefault="00B021D3" w:rsidP="008F4FF8">
            <w:pPr>
              <w:pStyle w:val="TableCellCenter"/>
              <w:spacing w:before="0" w:after="0"/>
              <w:rPr>
                <w:bCs/>
                <w:lang w:val="en-GB"/>
              </w:rPr>
            </w:pPr>
            <w:r w:rsidRPr="00596FA4">
              <w:rPr>
                <w:bCs/>
                <w:lang w:val="en-GB"/>
              </w:rPr>
              <w:t>0.52</w:t>
            </w:r>
          </w:p>
        </w:tc>
        <w:tc>
          <w:tcPr>
            <w:tcW w:w="1890" w:type="dxa"/>
            <w:tcBorders>
              <w:right w:val="single" w:sz="8" w:space="0" w:color="auto"/>
            </w:tcBorders>
          </w:tcPr>
          <w:p w:rsidR="00B021D3" w:rsidRPr="00596FA4" w:rsidRDefault="00B021D3" w:rsidP="008F4FF8">
            <w:pPr>
              <w:pStyle w:val="TableCellCenter"/>
              <w:spacing w:before="0" w:after="0"/>
              <w:rPr>
                <w:bCs/>
                <w:lang w:val="en-GB"/>
              </w:rPr>
            </w:pPr>
            <w:r w:rsidRPr="00596FA4">
              <w:rPr>
                <w:bCs/>
                <w:lang w:val="en-GB"/>
              </w:rPr>
              <w:t>1.01</w:t>
            </w:r>
          </w:p>
        </w:tc>
      </w:tr>
      <w:tr w:rsidR="00B021D3" w:rsidRPr="00596FA4">
        <w:trPr>
          <w:cantSplit/>
          <w:jc w:val="center"/>
        </w:trPr>
        <w:tc>
          <w:tcPr>
            <w:tcW w:w="2800" w:type="dxa"/>
            <w:tcBorders>
              <w:left w:val="single" w:sz="8" w:space="0" w:color="auto"/>
              <w:bottom w:val="single" w:sz="4" w:space="0" w:color="auto"/>
              <w:right w:val="single" w:sz="4"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402F1B" w:rsidRPr="00402F1B">
              <w:rPr>
                <w:i/>
                <w:lang w:val="en-GB"/>
              </w:rPr>
              <w:t>p</w:t>
            </w:r>
            <w:r w:rsidR="00B021D3" w:rsidRPr="00596FA4">
              <w:rPr>
                <w:bCs/>
                <w:lang w:val="en-GB"/>
              </w:rPr>
              <w:t>-value (log-rank)</w:t>
            </w:r>
          </w:p>
        </w:tc>
        <w:tc>
          <w:tcPr>
            <w:tcW w:w="1759" w:type="dxa"/>
            <w:tcBorders>
              <w:left w:val="single" w:sz="4" w:space="0" w:color="auto"/>
              <w:bottom w:val="single" w:sz="4"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Borders>
              <w:bottom w:val="single" w:sz="4" w:space="0" w:color="auto"/>
            </w:tcBorders>
          </w:tcPr>
          <w:p w:rsidR="00B021D3" w:rsidRPr="00596FA4" w:rsidRDefault="00B021D3" w:rsidP="008F4FF8">
            <w:pPr>
              <w:pStyle w:val="TableCellCenter"/>
              <w:spacing w:before="0" w:after="0"/>
              <w:rPr>
                <w:bCs/>
                <w:lang w:val="en-GB"/>
              </w:rPr>
            </w:pPr>
            <w:r w:rsidRPr="00596FA4">
              <w:rPr>
                <w:bCs/>
                <w:lang w:val="en-GB"/>
              </w:rPr>
              <w:t>0.073</w:t>
            </w:r>
          </w:p>
        </w:tc>
        <w:tc>
          <w:tcPr>
            <w:tcW w:w="1890" w:type="dxa"/>
            <w:tcBorders>
              <w:left w:val="nil"/>
              <w:bottom w:val="single" w:sz="4" w:space="0" w:color="auto"/>
              <w:right w:val="single" w:sz="8" w:space="0" w:color="auto"/>
            </w:tcBorders>
          </w:tcPr>
          <w:p w:rsidR="00B021D3" w:rsidRPr="00596FA4" w:rsidRDefault="00B021D3" w:rsidP="008F4FF8">
            <w:pPr>
              <w:pStyle w:val="TableCellCenter"/>
              <w:spacing w:before="0" w:after="0"/>
              <w:rPr>
                <w:bCs/>
                <w:lang w:val="en-GB"/>
              </w:rPr>
            </w:pPr>
            <w:r w:rsidRPr="00596FA4">
              <w:rPr>
                <w:bCs/>
                <w:lang w:val="en-GB"/>
              </w:rPr>
              <w:t>0.978</w:t>
            </w:r>
          </w:p>
        </w:tc>
      </w:tr>
      <w:tr w:rsidR="00810904" w:rsidRPr="00596FA4">
        <w:trPr>
          <w:cantSplit/>
          <w:jc w:val="center"/>
        </w:trPr>
        <w:tc>
          <w:tcPr>
            <w:tcW w:w="2800" w:type="dxa"/>
            <w:tcBorders>
              <w:top w:val="single" w:sz="4" w:space="0" w:color="auto"/>
              <w:left w:val="single" w:sz="8" w:space="0" w:color="auto"/>
              <w:right w:val="single" w:sz="8" w:space="0" w:color="auto"/>
            </w:tcBorders>
          </w:tcPr>
          <w:p w:rsidR="00810904" w:rsidRPr="00596FA4" w:rsidRDefault="00810904" w:rsidP="008F4FF8">
            <w:pPr>
              <w:pStyle w:val="TableCellCenter"/>
              <w:spacing w:before="0" w:after="0"/>
              <w:jc w:val="left"/>
              <w:rPr>
                <w:b/>
                <w:bCs/>
                <w:lang w:val="en-GB"/>
              </w:rPr>
            </w:pPr>
            <w:r w:rsidRPr="00596FA4">
              <w:rPr>
                <w:b/>
                <w:bCs/>
                <w:lang w:val="en-GB"/>
              </w:rPr>
              <w:t>Progression-Free Survival</w:t>
            </w:r>
          </w:p>
        </w:tc>
        <w:tc>
          <w:tcPr>
            <w:tcW w:w="1759" w:type="dxa"/>
            <w:tcBorders>
              <w:top w:val="single" w:sz="4" w:space="0" w:color="auto"/>
              <w:left w:val="single" w:sz="8" w:space="0" w:color="auto"/>
            </w:tcBorders>
          </w:tcPr>
          <w:p w:rsidR="00810904" w:rsidRPr="00596FA4" w:rsidRDefault="00810904" w:rsidP="008F4FF8">
            <w:pPr>
              <w:pStyle w:val="TableCellCenter"/>
              <w:spacing w:before="0" w:after="0"/>
              <w:rPr>
                <w:b/>
                <w:bCs/>
                <w:lang w:val="en-GB"/>
              </w:rPr>
            </w:pPr>
          </w:p>
        </w:tc>
        <w:tc>
          <w:tcPr>
            <w:tcW w:w="1759" w:type="dxa"/>
            <w:tcBorders>
              <w:top w:val="single" w:sz="4" w:space="0" w:color="auto"/>
            </w:tcBorders>
          </w:tcPr>
          <w:p w:rsidR="00810904" w:rsidRPr="00596FA4" w:rsidRDefault="00810904" w:rsidP="008F4FF8">
            <w:pPr>
              <w:pStyle w:val="TableCellCenter"/>
              <w:spacing w:before="0" w:after="0"/>
              <w:rPr>
                <w:b/>
                <w:bCs/>
                <w:lang w:val="en-GB"/>
              </w:rPr>
            </w:pPr>
          </w:p>
        </w:tc>
        <w:tc>
          <w:tcPr>
            <w:tcW w:w="1890" w:type="dxa"/>
            <w:tcBorders>
              <w:top w:val="single" w:sz="4" w:space="0" w:color="auto"/>
              <w:right w:val="single" w:sz="8" w:space="0" w:color="auto"/>
            </w:tcBorders>
          </w:tcPr>
          <w:p w:rsidR="00810904" w:rsidRPr="00596FA4" w:rsidRDefault="00810904" w:rsidP="008F4FF8">
            <w:pPr>
              <w:pStyle w:val="TableCellCenter"/>
              <w:spacing w:before="0" w:after="0"/>
              <w:rPr>
                <w:b/>
                <w:bCs/>
                <w:lang w:val="en-GB"/>
              </w:rPr>
            </w:pPr>
          </w:p>
        </w:tc>
      </w:tr>
      <w:tr w:rsidR="00810904" w:rsidRPr="00596FA4">
        <w:trPr>
          <w:cantSplit/>
          <w:jc w:val="center"/>
        </w:trPr>
        <w:tc>
          <w:tcPr>
            <w:tcW w:w="2800" w:type="dxa"/>
            <w:tcBorders>
              <w:left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Median (months)</w:t>
            </w:r>
          </w:p>
        </w:tc>
        <w:tc>
          <w:tcPr>
            <w:tcW w:w="1759" w:type="dxa"/>
            <w:tcBorders>
              <w:left w:val="single" w:sz="8" w:space="0" w:color="auto"/>
            </w:tcBorders>
          </w:tcPr>
          <w:p w:rsidR="00810904" w:rsidRPr="00596FA4" w:rsidRDefault="00810904" w:rsidP="008F4FF8">
            <w:pPr>
              <w:pStyle w:val="TableCellCenter"/>
              <w:spacing w:before="0" w:after="0"/>
              <w:rPr>
                <w:bCs/>
                <w:lang w:val="en-GB"/>
              </w:rPr>
            </w:pPr>
            <w:r w:rsidRPr="00596FA4">
              <w:rPr>
                <w:bCs/>
                <w:lang w:val="en-GB"/>
              </w:rPr>
              <w:t>5.2</w:t>
            </w:r>
          </w:p>
        </w:tc>
        <w:tc>
          <w:tcPr>
            <w:tcW w:w="1759" w:type="dxa"/>
          </w:tcPr>
          <w:p w:rsidR="00810904" w:rsidRPr="00596FA4" w:rsidRDefault="00810904" w:rsidP="008F4FF8">
            <w:pPr>
              <w:pStyle w:val="TableCellCenter"/>
              <w:spacing w:before="0" w:after="0"/>
              <w:rPr>
                <w:bCs/>
                <w:lang w:val="en-GB"/>
              </w:rPr>
            </w:pPr>
            <w:r w:rsidRPr="00596FA4">
              <w:rPr>
                <w:bCs/>
                <w:lang w:val="en-GB"/>
              </w:rPr>
              <w:t>9.0</w:t>
            </w:r>
          </w:p>
        </w:tc>
        <w:tc>
          <w:tcPr>
            <w:tcW w:w="1890" w:type="dxa"/>
            <w:tcBorders>
              <w:right w:val="single" w:sz="8" w:space="0" w:color="auto"/>
            </w:tcBorders>
          </w:tcPr>
          <w:p w:rsidR="00810904" w:rsidRPr="00596FA4" w:rsidRDefault="00810904" w:rsidP="008F4FF8">
            <w:pPr>
              <w:pStyle w:val="TableCellCenter"/>
              <w:spacing w:before="0" w:after="0"/>
              <w:rPr>
                <w:bCs/>
                <w:lang w:val="en-GB"/>
              </w:rPr>
            </w:pPr>
            <w:r w:rsidRPr="00596FA4">
              <w:rPr>
                <w:bCs/>
                <w:lang w:val="en-GB"/>
              </w:rPr>
              <w:t>7.2</w:t>
            </w:r>
          </w:p>
        </w:tc>
      </w:tr>
      <w:tr w:rsidR="00B021D3" w:rsidRPr="00596FA4">
        <w:trPr>
          <w:cantSplit/>
          <w:jc w:val="center"/>
        </w:trPr>
        <w:tc>
          <w:tcPr>
            <w:tcW w:w="2800" w:type="dxa"/>
            <w:tcBorders>
              <w:left w:val="single" w:sz="8" w:space="0" w:color="auto"/>
              <w:right w:val="single" w:sz="8"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B021D3" w:rsidRPr="00596FA4">
              <w:rPr>
                <w:bCs/>
                <w:lang w:val="en-GB"/>
              </w:rPr>
              <w:t xml:space="preserve">Hazard </w:t>
            </w:r>
            <w:proofErr w:type="spellStart"/>
            <w:r w:rsidR="00B021D3" w:rsidRPr="00596FA4">
              <w:rPr>
                <w:bCs/>
                <w:lang w:val="en-GB"/>
              </w:rPr>
              <w:t>ratio</w:t>
            </w:r>
            <w:r w:rsidR="00B021D3" w:rsidRPr="00596FA4">
              <w:rPr>
                <w:bCs/>
                <w:vertAlign w:val="superscript"/>
                <w:lang w:val="en-GB"/>
              </w:rPr>
              <w:t>c</w:t>
            </w:r>
            <w:proofErr w:type="spellEnd"/>
            <w:r w:rsidR="00B021D3" w:rsidRPr="00596FA4">
              <w:rPr>
                <w:bCs/>
                <w:vertAlign w:val="superscript"/>
                <w:lang w:val="en-GB"/>
              </w:rPr>
              <w:t xml:space="preserve">  </w:t>
            </w:r>
          </w:p>
        </w:tc>
        <w:tc>
          <w:tcPr>
            <w:tcW w:w="1759" w:type="dxa"/>
            <w:tcBorders>
              <w:left w:val="single" w:sz="8"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Pr>
          <w:p w:rsidR="00B021D3" w:rsidRPr="00596FA4" w:rsidRDefault="00B021D3" w:rsidP="008F4FF8">
            <w:pPr>
              <w:pStyle w:val="TableCellCenter"/>
              <w:spacing w:before="0" w:after="0"/>
              <w:rPr>
                <w:bCs/>
                <w:lang w:val="en-GB"/>
              </w:rPr>
            </w:pPr>
            <w:r w:rsidRPr="00596FA4">
              <w:rPr>
                <w:bCs/>
                <w:lang w:val="en-GB"/>
              </w:rPr>
              <w:t>0.44</w:t>
            </w:r>
          </w:p>
        </w:tc>
        <w:tc>
          <w:tcPr>
            <w:tcW w:w="1890" w:type="dxa"/>
            <w:tcBorders>
              <w:right w:val="single" w:sz="8" w:space="0" w:color="auto"/>
            </w:tcBorders>
          </w:tcPr>
          <w:p w:rsidR="00B021D3" w:rsidRPr="00596FA4" w:rsidRDefault="00B021D3" w:rsidP="008F4FF8">
            <w:pPr>
              <w:pStyle w:val="TableCellCenter"/>
              <w:spacing w:before="0" w:after="0"/>
              <w:rPr>
                <w:bCs/>
                <w:lang w:val="en-GB"/>
              </w:rPr>
            </w:pPr>
            <w:r w:rsidRPr="00596FA4">
              <w:rPr>
                <w:bCs/>
                <w:lang w:val="en-GB"/>
              </w:rPr>
              <w:t>0.69</w:t>
            </w:r>
          </w:p>
        </w:tc>
      </w:tr>
      <w:tr w:rsidR="00B021D3" w:rsidRPr="00596FA4">
        <w:trPr>
          <w:cantSplit/>
          <w:jc w:val="center"/>
        </w:trPr>
        <w:tc>
          <w:tcPr>
            <w:tcW w:w="2800" w:type="dxa"/>
            <w:tcBorders>
              <w:left w:val="single" w:sz="8" w:space="0" w:color="auto"/>
              <w:bottom w:val="single" w:sz="4" w:space="0" w:color="auto"/>
              <w:right w:val="single" w:sz="8"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402F1B" w:rsidRPr="00402F1B">
              <w:rPr>
                <w:i/>
                <w:lang w:val="en-GB"/>
              </w:rPr>
              <w:t>p</w:t>
            </w:r>
            <w:r w:rsidR="00B021D3" w:rsidRPr="00596FA4">
              <w:rPr>
                <w:bCs/>
                <w:lang w:val="en-GB"/>
              </w:rPr>
              <w:t>-value (log-rank)</w:t>
            </w:r>
          </w:p>
        </w:tc>
        <w:tc>
          <w:tcPr>
            <w:tcW w:w="1759" w:type="dxa"/>
            <w:tcBorders>
              <w:left w:val="single" w:sz="8" w:space="0" w:color="auto"/>
              <w:bottom w:val="single" w:sz="4"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Borders>
              <w:bottom w:val="single" w:sz="4" w:space="0" w:color="auto"/>
            </w:tcBorders>
          </w:tcPr>
          <w:p w:rsidR="00B021D3" w:rsidRPr="00596FA4" w:rsidRDefault="00B021D3" w:rsidP="008F4FF8">
            <w:pPr>
              <w:pStyle w:val="TableCellCenter"/>
              <w:spacing w:before="0" w:after="0"/>
              <w:rPr>
                <w:bCs/>
                <w:lang w:val="en-GB"/>
              </w:rPr>
            </w:pPr>
            <w:r w:rsidRPr="00596FA4">
              <w:rPr>
                <w:bCs/>
                <w:lang w:val="en-GB"/>
              </w:rPr>
              <w:t>0.005</w:t>
            </w:r>
          </w:p>
        </w:tc>
        <w:tc>
          <w:tcPr>
            <w:tcW w:w="1890" w:type="dxa"/>
            <w:tcBorders>
              <w:bottom w:val="single" w:sz="4" w:space="0" w:color="auto"/>
              <w:right w:val="single" w:sz="8" w:space="0" w:color="auto"/>
            </w:tcBorders>
          </w:tcPr>
          <w:p w:rsidR="00B021D3" w:rsidRPr="00596FA4" w:rsidRDefault="00B021D3" w:rsidP="008F4FF8">
            <w:pPr>
              <w:pStyle w:val="TableCellCenter"/>
              <w:spacing w:before="0" w:after="0"/>
              <w:rPr>
                <w:bCs/>
                <w:lang w:val="en-GB"/>
              </w:rPr>
            </w:pPr>
            <w:r w:rsidRPr="00596FA4">
              <w:rPr>
                <w:bCs/>
                <w:lang w:val="en-GB"/>
              </w:rPr>
              <w:t>0.217</w:t>
            </w:r>
          </w:p>
        </w:tc>
      </w:tr>
      <w:tr w:rsidR="00810904" w:rsidRPr="00596FA4">
        <w:trPr>
          <w:cantSplit/>
          <w:jc w:val="center"/>
        </w:trPr>
        <w:tc>
          <w:tcPr>
            <w:tcW w:w="2800" w:type="dxa"/>
            <w:tcBorders>
              <w:top w:val="single" w:sz="4" w:space="0" w:color="auto"/>
              <w:left w:val="single" w:sz="8" w:space="0" w:color="auto"/>
              <w:right w:val="single" w:sz="8" w:space="0" w:color="auto"/>
            </w:tcBorders>
          </w:tcPr>
          <w:p w:rsidR="00810904" w:rsidRPr="00596FA4" w:rsidRDefault="00810904" w:rsidP="008F4FF8">
            <w:pPr>
              <w:pStyle w:val="TableCellCenter"/>
              <w:spacing w:before="0" w:after="0"/>
              <w:jc w:val="left"/>
              <w:rPr>
                <w:b/>
                <w:bCs/>
                <w:lang w:val="en-GB"/>
              </w:rPr>
            </w:pPr>
            <w:r w:rsidRPr="00596FA4">
              <w:rPr>
                <w:b/>
                <w:bCs/>
                <w:lang w:val="en-GB"/>
              </w:rPr>
              <w:t>Overall Response Rate</w:t>
            </w:r>
          </w:p>
        </w:tc>
        <w:tc>
          <w:tcPr>
            <w:tcW w:w="1759" w:type="dxa"/>
            <w:tcBorders>
              <w:top w:val="single" w:sz="4" w:space="0" w:color="auto"/>
              <w:left w:val="single" w:sz="8" w:space="0" w:color="auto"/>
            </w:tcBorders>
          </w:tcPr>
          <w:p w:rsidR="00810904" w:rsidRPr="00596FA4" w:rsidRDefault="00810904" w:rsidP="008F4FF8">
            <w:pPr>
              <w:pStyle w:val="TableCellCenter"/>
              <w:spacing w:before="0" w:after="0"/>
              <w:rPr>
                <w:b/>
                <w:bCs/>
                <w:lang w:val="en-GB"/>
              </w:rPr>
            </w:pPr>
          </w:p>
        </w:tc>
        <w:tc>
          <w:tcPr>
            <w:tcW w:w="1759" w:type="dxa"/>
            <w:tcBorders>
              <w:top w:val="single" w:sz="4" w:space="0" w:color="auto"/>
            </w:tcBorders>
          </w:tcPr>
          <w:p w:rsidR="00810904" w:rsidRPr="00596FA4" w:rsidRDefault="00810904" w:rsidP="008F4FF8">
            <w:pPr>
              <w:pStyle w:val="TableCellCenter"/>
              <w:spacing w:before="0" w:after="0"/>
              <w:rPr>
                <w:b/>
                <w:bCs/>
                <w:lang w:val="en-GB"/>
              </w:rPr>
            </w:pPr>
          </w:p>
        </w:tc>
        <w:tc>
          <w:tcPr>
            <w:tcW w:w="1890" w:type="dxa"/>
            <w:tcBorders>
              <w:top w:val="single" w:sz="4" w:space="0" w:color="auto"/>
              <w:right w:val="single" w:sz="8" w:space="0" w:color="auto"/>
            </w:tcBorders>
          </w:tcPr>
          <w:p w:rsidR="00810904" w:rsidRPr="00596FA4" w:rsidRDefault="00810904" w:rsidP="008F4FF8">
            <w:pPr>
              <w:pStyle w:val="TableCellCenter"/>
              <w:spacing w:before="0" w:after="0"/>
              <w:rPr>
                <w:b/>
                <w:bCs/>
                <w:lang w:val="en-GB"/>
              </w:rPr>
            </w:pPr>
          </w:p>
        </w:tc>
      </w:tr>
      <w:tr w:rsidR="00810904" w:rsidRPr="00596FA4">
        <w:trPr>
          <w:cantSplit/>
          <w:jc w:val="center"/>
        </w:trPr>
        <w:tc>
          <w:tcPr>
            <w:tcW w:w="2800" w:type="dxa"/>
            <w:tcBorders>
              <w:left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Rate</w:t>
            </w:r>
            <w:r w:rsidR="00B021D3" w:rsidRPr="00596FA4">
              <w:rPr>
                <w:bCs/>
                <w:vertAlign w:val="superscript"/>
                <w:lang w:val="en-GB"/>
              </w:rPr>
              <w:t>d</w:t>
            </w:r>
            <w:r w:rsidR="00810904" w:rsidRPr="00596FA4">
              <w:rPr>
                <w:bCs/>
                <w:lang w:val="en-GB"/>
              </w:rPr>
              <w:t xml:space="preserve"> (percent)</w:t>
            </w:r>
            <w:r w:rsidR="00A52332" w:rsidRPr="00596FA4">
              <w:rPr>
                <w:bCs/>
                <w:lang w:val="en-GB"/>
              </w:rPr>
              <w:t xml:space="preserve"> (95% CI)</w:t>
            </w:r>
          </w:p>
        </w:tc>
        <w:tc>
          <w:tcPr>
            <w:tcW w:w="1759" w:type="dxa"/>
            <w:tcBorders>
              <w:left w:val="single" w:sz="8" w:space="0" w:color="auto"/>
            </w:tcBorders>
          </w:tcPr>
          <w:p w:rsidR="00810904" w:rsidRPr="00596FA4" w:rsidRDefault="00810904" w:rsidP="008F4FF8">
            <w:pPr>
              <w:pStyle w:val="TableCellCenter"/>
              <w:spacing w:before="0" w:after="0"/>
              <w:rPr>
                <w:bCs/>
                <w:lang w:val="en-GB"/>
              </w:rPr>
            </w:pPr>
            <w:r w:rsidRPr="00596FA4">
              <w:rPr>
                <w:bCs/>
                <w:lang w:val="en-GB"/>
              </w:rPr>
              <w:t>16.7</w:t>
            </w:r>
            <w:r w:rsidR="00A52332" w:rsidRPr="00596FA4">
              <w:rPr>
                <w:bCs/>
                <w:lang w:val="en-GB"/>
              </w:rPr>
              <w:t xml:space="preserve"> (7.0-33.5)</w:t>
            </w:r>
          </w:p>
        </w:tc>
        <w:tc>
          <w:tcPr>
            <w:tcW w:w="1759" w:type="dxa"/>
          </w:tcPr>
          <w:p w:rsidR="00810904" w:rsidRPr="00596FA4" w:rsidRDefault="00810904" w:rsidP="008F4FF8">
            <w:pPr>
              <w:pStyle w:val="TableCellCenter"/>
              <w:spacing w:before="0" w:after="0"/>
              <w:rPr>
                <w:bCs/>
                <w:lang w:val="en-GB"/>
              </w:rPr>
            </w:pPr>
            <w:r w:rsidRPr="00596FA4">
              <w:rPr>
                <w:bCs/>
                <w:lang w:val="en-GB"/>
              </w:rPr>
              <w:t>40.0</w:t>
            </w:r>
            <w:r w:rsidR="00A52332" w:rsidRPr="00596FA4">
              <w:rPr>
                <w:bCs/>
                <w:lang w:val="en-GB"/>
              </w:rPr>
              <w:t xml:space="preserve"> (24.4-57.8)</w:t>
            </w:r>
          </w:p>
        </w:tc>
        <w:tc>
          <w:tcPr>
            <w:tcW w:w="1890" w:type="dxa"/>
            <w:tcBorders>
              <w:right w:val="single" w:sz="8" w:space="0" w:color="auto"/>
            </w:tcBorders>
          </w:tcPr>
          <w:p w:rsidR="00810904" w:rsidRPr="00596FA4" w:rsidRDefault="00810904" w:rsidP="008F4FF8">
            <w:pPr>
              <w:pStyle w:val="TableCellCenter"/>
              <w:spacing w:before="0" w:after="0"/>
              <w:rPr>
                <w:bCs/>
                <w:lang w:val="en-GB"/>
              </w:rPr>
            </w:pPr>
            <w:r w:rsidRPr="00596FA4">
              <w:rPr>
                <w:bCs/>
                <w:lang w:val="en-GB"/>
              </w:rPr>
              <w:t>24.2</w:t>
            </w:r>
            <w:r w:rsidR="00A52332" w:rsidRPr="00596FA4">
              <w:rPr>
                <w:bCs/>
                <w:lang w:val="en-GB"/>
              </w:rPr>
              <w:t xml:space="preserve"> (11.7-42.6)</w:t>
            </w:r>
          </w:p>
        </w:tc>
      </w:tr>
      <w:tr w:rsidR="00B021D3" w:rsidRPr="00596FA4">
        <w:trPr>
          <w:cantSplit/>
          <w:jc w:val="center"/>
        </w:trPr>
        <w:tc>
          <w:tcPr>
            <w:tcW w:w="2800" w:type="dxa"/>
            <w:tcBorders>
              <w:left w:val="single" w:sz="8" w:space="0" w:color="auto"/>
              <w:bottom w:val="single" w:sz="4" w:space="0" w:color="auto"/>
              <w:right w:val="single" w:sz="8"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402F1B" w:rsidRPr="00402F1B">
              <w:rPr>
                <w:i/>
                <w:lang w:val="en-GB"/>
              </w:rPr>
              <w:t>p</w:t>
            </w:r>
            <w:r w:rsidR="00B021D3" w:rsidRPr="00596FA4">
              <w:rPr>
                <w:bCs/>
                <w:lang w:val="en-GB"/>
              </w:rPr>
              <w:t>-value (log-rank)</w:t>
            </w:r>
          </w:p>
        </w:tc>
        <w:tc>
          <w:tcPr>
            <w:tcW w:w="1759" w:type="dxa"/>
            <w:tcBorders>
              <w:left w:val="single" w:sz="8" w:space="0" w:color="auto"/>
              <w:bottom w:val="single" w:sz="4"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Borders>
              <w:bottom w:val="single" w:sz="4" w:space="0" w:color="auto"/>
            </w:tcBorders>
          </w:tcPr>
          <w:p w:rsidR="00B021D3" w:rsidRPr="00596FA4" w:rsidRDefault="00B021D3" w:rsidP="008F4FF8">
            <w:pPr>
              <w:pStyle w:val="TableCellCenter"/>
              <w:spacing w:before="0" w:after="0"/>
              <w:rPr>
                <w:bCs/>
                <w:lang w:val="en-GB"/>
              </w:rPr>
            </w:pPr>
            <w:r w:rsidRPr="00596FA4">
              <w:rPr>
                <w:bCs/>
                <w:lang w:val="en-GB"/>
              </w:rPr>
              <w:t>0.03</w:t>
            </w:r>
          </w:p>
        </w:tc>
        <w:tc>
          <w:tcPr>
            <w:tcW w:w="1890" w:type="dxa"/>
            <w:tcBorders>
              <w:bottom w:val="single" w:sz="4" w:space="0" w:color="auto"/>
              <w:right w:val="single" w:sz="8" w:space="0" w:color="auto"/>
            </w:tcBorders>
          </w:tcPr>
          <w:p w:rsidR="00B021D3" w:rsidRPr="00596FA4" w:rsidRDefault="00B021D3" w:rsidP="008F4FF8">
            <w:pPr>
              <w:pStyle w:val="TableCellCenter"/>
              <w:spacing w:before="0" w:after="0"/>
              <w:rPr>
                <w:bCs/>
                <w:lang w:val="en-GB"/>
              </w:rPr>
            </w:pPr>
            <w:r w:rsidRPr="00596FA4">
              <w:rPr>
                <w:bCs/>
                <w:lang w:val="en-GB"/>
              </w:rPr>
              <w:t>0.43</w:t>
            </w:r>
          </w:p>
        </w:tc>
      </w:tr>
      <w:tr w:rsidR="00810904" w:rsidRPr="00596FA4">
        <w:trPr>
          <w:cantSplit/>
          <w:jc w:val="center"/>
        </w:trPr>
        <w:tc>
          <w:tcPr>
            <w:tcW w:w="2800" w:type="dxa"/>
            <w:tcBorders>
              <w:top w:val="single" w:sz="4" w:space="0" w:color="auto"/>
              <w:left w:val="single" w:sz="8" w:space="0" w:color="auto"/>
              <w:right w:val="single" w:sz="8" w:space="0" w:color="auto"/>
            </w:tcBorders>
          </w:tcPr>
          <w:p w:rsidR="00810904" w:rsidRPr="00596FA4" w:rsidRDefault="00810904" w:rsidP="008F4FF8">
            <w:pPr>
              <w:pStyle w:val="TableCellCenter"/>
              <w:spacing w:before="0" w:after="0"/>
              <w:jc w:val="left"/>
              <w:rPr>
                <w:b/>
                <w:bCs/>
                <w:lang w:val="en-GB"/>
              </w:rPr>
            </w:pPr>
            <w:r w:rsidRPr="00596FA4">
              <w:rPr>
                <w:b/>
                <w:bCs/>
                <w:lang w:val="en-GB"/>
              </w:rPr>
              <w:t>Duration of Response</w:t>
            </w:r>
          </w:p>
        </w:tc>
        <w:tc>
          <w:tcPr>
            <w:tcW w:w="1759" w:type="dxa"/>
            <w:tcBorders>
              <w:top w:val="single" w:sz="4" w:space="0" w:color="auto"/>
              <w:left w:val="single" w:sz="8" w:space="0" w:color="auto"/>
            </w:tcBorders>
          </w:tcPr>
          <w:p w:rsidR="00810904" w:rsidRPr="00596FA4" w:rsidRDefault="00810904" w:rsidP="008F4FF8">
            <w:pPr>
              <w:pStyle w:val="TableCellCenter"/>
              <w:spacing w:before="0" w:after="0"/>
              <w:rPr>
                <w:b/>
                <w:bCs/>
                <w:lang w:val="en-GB"/>
              </w:rPr>
            </w:pPr>
          </w:p>
        </w:tc>
        <w:tc>
          <w:tcPr>
            <w:tcW w:w="1759" w:type="dxa"/>
            <w:tcBorders>
              <w:top w:val="single" w:sz="4" w:space="0" w:color="auto"/>
            </w:tcBorders>
          </w:tcPr>
          <w:p w:rsidR="00810904" w:rsidRPr="00596FA4" w:rsidRDefault="00810904" w:rsidP="008F4FF8">
            <w:pPr>
              <w:pStyle w:val="TableCellCenter"/>
              <w:spacing w:before="0" w:after="0"/>
              <w:rPr>
                <w:b/>
                <w:bCs/>
                <w:lang w:val="en-GB"/>
              </w:rPr>
            </w:pPr>
          </w:p>
        </w:tc>
        <w:tc>
          <w:tcPr>
            <w:tcW w:w="1890" w:type="dxa"/>
            <w:tcBorders>
              <w:top w:val="single" w:sz="4" w:space="0" w:color="auto"/>
              <w:right w:val="single" w:sz="8" w:space="0" w:color="auto"/>
            </w:tcBorders>
          </w:tcPr>
          <w:p w:rsidR="00810904" w:rsidRPr="00596FA4" w:rsidRDefault="00810904" w:rsidP="008F4FF8">
            <w:pPr>
              <w:pStyle w:val="TableCellCenter"/>
              <w:spacing w:before="0" w:after="0"/>
              <w:rPr>
                <w:b/>
                <w:bCs/>
                <w:lang w:val="en-GB"/>
              </w:rPr>
            </w:pPr>
          </w:p>
        </w:tc>
      </w:tr>
      <w:tr w:rsidR="00810904" w:rsidRPr="00596FA4">
        <w:trPr>
          <w:cantSplit/>
          <w:jc w:val="center"/>
        </w:trPr>
        <w:tc>
          <w:tcPr>
            <w:tcW w:w="2800" w:type="dxa"/>
            <w:tcBorders>
              <w:left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Median (months)</w:t>
            </w:r>
          </w:p>
        </w:tc>
        <w:tc>
          <w:tcPr>
            <w:tcW w:w="1759" w:type="dxa"/>
            <w:tcBorders>
              <w:left w:val="single" w:sz="8" w:space="0" w:color="auto"/>
            </w:tcBorders>
          </w:tcPr>
          <w:p w:rsidR="00810904" w:rsidRPr="00596FA4" w:rsidRDefault="00810904" w:rsidP="008F4FF8">
            <w:pPr>
              <w:pStyle w:val="TableCellCenter"/>
              <w:spacing w:before="0" w:after="0"/>
              <w:rPr>
                <w:bCs/>
                <w:lang w:val="en-GB"/>
              </w:rPr>
            </w:pPr>
            <w:r w:rsidRPr="00596FA4">
              <w:rPr>
                <w:bCs/>
                <w:lang w:val="en-GB"/>
              </w:rPr>
              <w:t>NR</w:t>
            </w:r>
          </w:p>
        </w:tc>
        <w:tc>
          <w:tcPr>
            <w:tcW w:w="1759" w:type="dxa"/>
          </w:tcPr>
          <w:p w:rsidR="00810904" w:rsidRPr="00596FA4" w:rsidRDefault="00810904" w:rsidP="008F4FF8">
            <w:pPr>
              <w:pStyle w:val="TableCellCenter"/>
              <w:spacing w:before="0" w:after="0"/>
              <w:rPr>
                <w:bCs/>
                <w:lang w:val="en-GB"/>
              </w:rPr>
            </w:pPr>
            <w:r w:rsidRPr="00596FA4">
              <w:rPr>
                <w:bCs/>
                <w:lang w:val="en-GB"/>
              </w:rPr>
              <w:t>9.3</w:t>
            </w:r>
          </w:p>
        </w:tc>
        <w:tc>
          <w:tcPr>
            <w:tcW w:w="1890" w:type="dxa"/>
            <w:tcBorders>
              <w:right w:val="single" w:sz="8" w:space="0" w:color="auto"/>
            </w:tcBorders>
          </w:tcPr>
          <w:p w:rsidR="00810904" w:rsidRPr="00596FA4" w:rsidRDefault="00810904" w:rsidP="008F4FF8">
            <w:pPr>
              <w:pStyle w:val="TableCellCenter"/>
              <w:spacing w:before="0" w:after="0"/>
              <w:rPr>
                <w:bCs/>
                <w:lang w:val="en-GB"/>
              </w:rPr>
            </w:pPr>
            <w:r w:rsidRPr="00596FA4">
              <w:rPr>
                <w:bCs/>
                <w:lang w:val="en-GB"/>
              </w:rPr>
              <w:t>5.0</w:t>
            </w:r>
          </w:p>
        </w:tc>
      </w:tr>
      <w:tr w:rsidR="00810904" w:rsidRPr="00596FA4">
        <w:trPr>
          <w:cantSplit/>
          <w:jc w:val="center"/>
        </w:trPr>
        <w:tc>
          <w:tcPr>
            <w:tcW w:w="2800" w:type="dxa"/>
            <w:tcBorders>
              <w:left w:val="single" w:sz="8" w:space="0" w:color="auto"/>
              <w:bottom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25–75 percentile (months)</w:t>
            </w:r>
          </w:p>
        </w:tc>
        <w:tc>
          <w:tcPr>
            <w:tcW w:w="1759" w:type="dxa"/>
            <w:tcBorders>
              <w:left w:val="single" w:sz="8" w:space="0" w:color="auto"/>
              <w:bottom w:val="single" w:sz="8" w:space="0" w:color="auto"/>
            </w:tcBorders>
          </w:tcPr>
          <w:p w:rsidR="00810904" w:rsidRPr="00596FA4" w:rsidRDefault="00B36A3B" w:rsidP="008F4FF8">
            <w:pPr>
              <w:pStyle w:val="TableCellCenter"/>
              <w:spacing w:before="0" w:after="0"/>
              <w:rPr>
                <w:bCs/>
                <w:lang w:val="en-GB"/>
              </w:rPr>
            </w:pPr>
            <w:r>
              <w:rPr>
                <w:bCs/>
                <w:lang w:val="en-GB"/>
              </w:rPr>
              <w:t>5.5 - NR</w:t>
            </w:r>
          </w:p>
        </w:tc>
        <w:tc>
          <w:tcPr>
            <w:tcW w:w="1759" w:type="dxa"/>
            <w:tcBorders>
              <w:bottom w:val="single" w:sz="8" w:space="0" w:color="auto"/>
            </w:tcBorders>
          </w:tcPr>
          <w:p w:rsidR="00810904" w:rsidRPr="00596FA4" w:rsidRDefault="00B36A3B" w:rsidP="008F4FF8">
            <w:pPr>
              <w:pStyle w:val="TableCellCenter"/>
              <w:spacing w:before="0" w:after="0"/>
              <w:rPr>
                <w:bCs/>
                <w:lang w:val="en-GB"/>
              </w:rPr>
            </w:pPr>
            <w:r>
              <w:rPr>
                <w:bCs/>
                <w:lang w:val="en-GB"/>
              </w:rPr>
              <w:t>6.1 - NR</w:t>
            </w:r>
          </w:p>
        </w:tc>
        <w:tc>
          <w:tcPr>
            <w:tcW w:w="1890" w:type="dxa"/>
            <w:tcBorders>
              <w:bottom w:val="single" w:sz="8" w:space="0" w:color="auto"/>
              <w:right w:val="single" w:sz="8" w:space="0" w:color="auto"/>
            </w:tcBorders>
          </w:tcPr>
          <w:p w:rsidR="00810904" w:rsidRPr="00596FA4" w:rsidRDefault="00810904" w:rsidP="008F4FF8">
            <w:pPr>
              <w:pStyle w:val="TableCellCenter"/>
              <w:spacing w:before="0" w:after="0"/>
              <w:rPr>
                <w:bCs/>
                <w:lang w:val="en-GB"/>
              </w:rPr>
            </w:pPr>
            <w:r w:rsidRPr="00596FA4">
              <w:rPr>
                <w:bCs/>
                <w:lang w:val="en-GB"/>
              </w:rPr>
              <w:t>3.8–7.8</w:t>
            </w:r>
          </w:p>
        </w:tc>
      </w:tr>
    </w:tbl>
    <w:p w:rsidR="00596FA4" w:rsidRPr="006D0849" w:rsidRDefault="00596FA4" w:rsidP="00596FA4">
      <w:pPr>
        <w:pStyle w:val="TableFooter"/>
        <w:rPr>
          <w:i/>
          <w:iCs/>
          <w:lang w:val="en-GB"/>
        </w:rPr>
      </w:pPr>
      <w:r>
        <w:tab/>
      </w:r>
      <w:r>
        <w:tab/>
      </w:r>
      <w:r>
        <w:tab/>
      </w:r>
      <w:r w:rsidRPr="00CE7BA1">
        <w:rPr>
          <w:i/>
          <w:vertAlign w:val="superscript"/>
          <w:lang w:val="en-GB"/>
        </w:rPr>
        <w:t>a</w:t>
      </w:r>
      <w:r w:rsidRPr="00CE7BA1">
        <w:rPr>
          <w:i/>
          <w:lang w:val="en-GB"/>
        </w:rPr>
        <w:t xml:space="preserve"> 5 mg/kg every 2 weeks</w:t>
      </w:r>
      <w:r w:rsidR="00D301EE">
        <w:rPr>
          <w:i/>
          <w:lang w:val="en-GB"/>
        </w:rPr>
        <w:t>;</w:t>
      </w:r>
      <w:r>
        <w:rPr>
          <w:i/>
          <w:lang w:val="en-GB"/>
        </w:rPr>
        <w:t xml:space="preserve"> </w:t>
      </w:r>
      <w:r w:rsidRPr="00CE7BA1">
        <w:rPr>
          <w:i/>
          <w:vertAlign w:val="superscript"/>
          <w:lang w:val="en-GB"/>
        </w:rPr>
        <w:t>b</w:t>
      </w:r>
      <w:r w:rsidRPr="00CE7BA1">
        <w:rPr>
          <w:i/>
          <w:lang w:val="en-GB"/>
        </w:rPr>
        <w:tab/>
        <w:t>10 mg/kg every 2 weeks</w:t>
      </w:r>
      <w:r w:rsidR="00D301EE">
        <w:rPr>
          <w:i/>
          <w:lang w:val="en-GB"/>
        </w:rPr>
        <w:t>;</w:t>
      </w:r>
      <w:r>
        <w:rPr>
          <w:i/>
          <w:lang w:val="en-GB"/>
        </w:rPr>
        <w:t xml:space="preserve"> </w:t>
      </w:r>
      <w:r w:rsidRPr="00D34552">
        <w:rPr>
          <w:i/>
          <w:vertAlign w:val="superscript"/>
          <w:lang w:val="en-GB"/>
        </w:rPr>
        <w:t>c</w:t>
      </w:r>
      <w:r>
        <w:rPr>
          <w:i/>
          <w:lang w:val="en-GB"/>
        </w:rPr>
        <w:t xml:space="preserve"> Relative to control arm</w:t>
      </w:r>
      <w:r w:rsidR="00D301EE">
        <w:rPr>
          <w:i/>
          <w:lang w:val="en-GB"/>
        </w:rPr>
        <w:t>;</w:t>
      </w:r>
      <w:r>
        <w:rPr>
          <w:i/>
          <w:lang w:val="en-GB"/>
        </w:rPr>
        <w:t xml:space="preserve"> </w:t>
      </w:r>
      <w:r w:rsidRPr="006D0849">
        <w:rPr>
          <w:i/>
          <w:iCs/>
          <w:vertAlign w:val="superscript"/>
          <w:lang w:val="en-GB"/>
        </w:rPr>
        <w:t xml:space="preserve">d </w:t>
      </w:r>
      <w:r w:rsidRPr="006D0849">
        <w:rPr>
          <w:i/>
          <w:iCs/>
          <w:lang w:val="en-GB"/>
        </w:rPr>
        <w:t>independent review</w:t>
      </w:r>
      <w:r w:rsidR="00D301EE">
        <w:rPr>
          <w:i/>
          <w:iCs/>
          <w:lang w:val="en-GB"/>
        </w:rPr>
        <w:t>;</w:t>
      </w:r>
    </w:p>
    <w:p w:rsidR="006267E5" w:rsidRDefault="00596FA4" w:rsidP="00004DEE">
      <w:r w:rsidRPr="008A241A">
        <w:rPr>
          <w:rStyle w:val="TableFooterChar"/>
          <w:i/>
          <w:iCs/>
          <w:sz w:val="20"/>
        </w:rPr>
        <w:tab/>
        <w:t>NR = Not reached</w:t>
      </w:r>
      <w:r>
        <w:t xml:space="preserve"> </w:t>
      </w:r>
    </w:p>
    <w:p w:rsidR="00833E5D" w:rsidRDefault="00833E5D" w:rsidP="00004DEE"/>
    <w:p w:rsidR="00533539" w:rsidRPr="008F4FF8" w:rsidRDefault="00533539" w:rsidP="00BD3577">
      <w:pPr>
        <w:pStyle w:val="Heading4"/>
        <w:spacing w:before="0"/>
        <w:ind w:left="0"/>
        <w:rPr>
          <w:i w:val="0"/>
        </w:rPr>
      </w:pPr>
      <w:r w:rsidRPr="008F4FF8">
        <w:rPr>
          <w:i w:val="0"/>
        </w:rPr>
        <w:t xml:space="preserve">Study NO16966 </w:t>
      </w:r>
    </w:p>
    <w:p w:rsidR="00533539" w:rsidRDefault="00533539" w:rsidP="00533539">
      <w:pPr>
        <w:pStyle w:val="TextTi12"/>
      </w:pPr>
      <w:r>
        <w:lastRenderedPageBreak/>
        <w:t>This was a</w:t>
      </w:r>
      <w:r w:rsidRPr="00A56D8D">
        <w:t xml:space="preserve"> </w:t>
      </w:r>
      <w:r>
        <w:t xml:space="preserve">phase III </w:t>
      </w:r>
      <w:proofErr w:type="spellStart"/>
      <w:r>
        <w:t>randomised</w:t>
      </w:r>
      <w:proofErr w:type="spellEnd"/>
      <w:r w:rsidRPr="00A56D8D">
        <w:t xml:space="preserve">, </w:t>
      </w:r>
      <w:r>
        <w:t xml:space="preserve">double-blind (for </w:t>
      </w:r>
      <w:proofErr w:type="spellStart"/>
      <w:r>
        <w:t>bevacizumab</w:t>
      </w:r>
      <w:proofErr w:type="spellEnd"/>
      <w:r>
        <w:t>),</w:t>
      </w:r>
      <w:r w:rsidRPr="00A56D8D">
        <w:t xml:space="preserve"> clinical trial investigating </w:t>
      </w:r>
      <w:r>
        <w:t>AVASTIN</w:t>
      </w:r>
      <w:r w:rsidRPr="00A56D8D">
        <w:t xml:space="preserve"> </w:t>
      </w:r>
      <w:r>
        <w:t>7.5</w:t>
      </w:r>
      <w:r w:rsidRPr="00F5296E">
        <w:rPr>
          <w:szCs w:val="24"/>
        </w:rPr>
        <w:t> </w:t>
      </w:r>
      <w:r>
        <w:t xml:space="preserve">mg/kg in combination with oral </w:t>
      </w:r>
      <w:proofErr w:type="spellStart"/>
      <w:r>
        <w:t>capecitabine</w:t>
      </w:r>
      <w:proofErr w:type="spellEnd"/>
      <w:r>
        <w:t xml:space="preserve"> and IV </w:t>
      </w:r>
      <w:proofErr w:type="spellStart"/>
      <w:r>
        <w:t>oxaliplatin</w:t>
      </w:r>
      <w:proofErr w:type="spellEnd"/>
      <w:r>
        <w:t xml:space="preserve"> (XELOX), administered on a 3</w:t>
      </w:r>
      <w:r w:rsidR="008541DA">
        <w:t xml:space="preserve"> </w:t>
      </w:r>
      <w:r>
        <w:t>weekly schedule; or AVASTIN 5</w:t>
      </w:r>
      <w:r w:rsidRPr="00F5296E">
        <w:rPr>
          <w:szCs w:val="24"/>
        </w:rPr>
        <w:t> </w:t>
      </w:r>
      <w:r>
        <w:t xml:space="preserve">mg/kg in combination with </w:t>
      </w:r>
      <w:proofErr w:type="spellStart"/>
      <w:r>
        <w:t>leucovorin</w:t>
      </w:r>
      <w:proofErr w:type="spellEnd"/>
      <w:r>
        <w:t xml:space="preserve"> with </w:t>
      </w:r>
      <w:r w:rsidRPr="00A56D8D">
        <w:t xml:space="preserve">fluorouracil </w:t>
      </w:r>
      <w:r>
        <w:t xml:space="preserve">bolus, followed by </w:t>
      </w:r>
      <w:r w:rsidRPr="00A56D8D">
        <w:t>fluorouracil</w:t>
      </w:r>
      <w:r>
        <w:t xml:space="preserve"> </w:t>
      </w:r>
      <w:proofErr w:type="spellStart"/>
      <w:r>
        <w:t>infusional</w:t>
      </w:r>
      <w:proofErr w:type="spellEnd"/>
      <w:r>
        <w:t xml:space="preserve">, with IV </w:t>
      </w:r>
      <w:proofErr w:type="spellStart"/>
      <w:r>
        <w:t>oxaliplatin</w:t>
      </w:r>
      <w:proofErr w:type="spellEnd"/>
      <w:r>
        <w:t xml:space="preserve"> (FOLFOX-4), administered on a 2</w:t>
      </w:r>
      <w:r w:rsidR="008541DA">
        <w:t xml:space="preserve"> </w:t>
      </w:r>
      <w:r>
        <w:t xml:space="preserve">weekly schedule.  </w:t>
      </w:r>
      <w:r w:rsidRPr="004A7E02">
        <w:t>The study contained two parts</w:t>
      </w:r>
      <w:r w:rsidR="001915FD">
        <w:t xml:space="preserve"> (see Table 4)</w:t>
      </w:r>
      <w:r w:rsidRPr="004A7E02">
        <w:t xml:space="preserve">: an initial </w:t>
      </w:r>
      <w:proofErr w:type="spellStart"/>
      <w:r w:rsidRPr="004A7E02">
        <w:t>unblinded</w:t>
      </w:r>
      <w:proofErr w:type="spellEnd"/>
      <w:r w:rsidRPr="004A7E02">
        <w:t xml:space="preserve"> 2-arm part (Part I) in which patients were </w:t>
      </w:r>
      <w:proofErr w:type="spellStart"/>
      <w:r w:rsidRPr="004A7E02">
        <w:t>randomi</w:t>
      </w:r>
      <w:r>
        <w:t>s</w:t>
      </w:r>
      <w:r w:rsidRPr="004A7E02">
        <w:t>ed</w:t>
      </w:r>
      <w:proofErr w:type="spellEnd"/>
      <w:r w:rsidRPr="004A7E02">
        <w:t xml:space="preserve"> to two different treatment groups (XELOX and FOLFOX-4) and a subsequent 2 x 2 factorial 4-arm part (Part II) in which patients were </w:t>
      </w:r>
      <w:proofErr w:type="spellStart"/>
      <w:r w:rsidRPr="004A7E02">
        <w:t>randomi</w:t>
      </w:r>
      <w:r>
        <w:t>s</w:t>
      </w:r>
      <w:r w:rsidRPr="004A7E02">
        <w:t>ed</w:t>
      </w:r>
      <w:proofErr w:type="spellEnd"/>
      <w:r w:rsidRPr="004A7E02">
        <w:t xml:space="preserve"> to four treatment groups (XELOX + placebo, FOLFOX</w:t>
      </w:r>
      <w:r w:rsidRPr="004A7E02">
        <w:noBreakHyphen/>
        <w:t>4 + placebo, XELOX + </w:t>
      </w:r>
      <w:r>
        <w:t>AVASTIN</w:t>
      </w:r>
      <w:r w:rsidR="00395FA3">
        <w:t>,</w:t>
      </w:r>
      <w:r w:rsidRPr="004A7E02">
        <w:t xml:space="preserve"> FOLFOX</w:t>
      </w:r>
      <w:r w:rsidRPr="004A7E02">
        <w:noBreakHyphen/>
        <w:t>4 + </w:t>
      </w:r>
      <w:r>
        <w:t>AVASTIN</w:t>
      </w:r>
      <w:r w:rsidRPr="004A7E02">
        <w:t>).</w:t>
      </w:r>
      <w:r w:rsidRPr="00D92402">
        <w:t xml:space="preserve"> </w:t>
      </w:r>
      <w:r>
        <w:t xml:space="preserve"> </w:t>
      </w:r>
      <w:r w:rsidRPr="00D92402">
        <w:t>In Part II, treatment assignment was double-bl</w:t>
      </w:r>
      <w:r>
        <w:t xml:space="preserve">ind with respect to AVASTIN. </w:t>
      </w:r>
    </w:p>
    <w:p w:rsidR="00533539" w:rsidRPr="00A56D8D" w:rsidRDefault="00533539" w:rsidP="00533539">
      <w:pPr>
        <w:pStyle w:val="TextTi12"/>
      </w:pPr>
      <w:r>
        <w:t xml:space="preserve">Approximately 350 patients were </w:t>
      </w:r>
      <w:proofErr w:type="spellStart"/>
      <w:r>
        <w:t>randomised</w:t>
      </w:r>
      <w:proofErr w:type="spellEnd"/>
      <w:r>
        <w:t xml:space="preserve"> into each of the four study arms in Part II of the trial. </w:t>
      </w:r>
    </w:p>
    <w:p w:rsidR="006806AF" w:rsidRDefault="006806AF" w:rsidP="00533539">
      <w:pPr>
        <w:pStyle w:val="HdTab1"/>
        <w:ind w:left="567" w:hanging="567"/>
        <w:rPr>
          <w:rFonts w:ascii="Times New Roman" w:hAnsi="Times New Roman"/>
        </w:rPr>
      </w:pPr>
    </w:p>
    <w:p w:rsidR="00483DFD" w:rsidRPr="00483DFD" w:rsidRDefault="00483DFD" w:rsidP="00483DFD">
      <w:pPr>
        <w:pStyle w:val="TextTi12"/>
      </w:pPr>
    </w:p>
    <w:p w:rsidR="00533539" w:rsidRPr="00813D7F" w:rsidRDefault="00533539" w:rsidP="008F4FF8">
      <w:pPr>
        <w:pStyle w:val="HdTab1"/>
        <w:spacing w:before="0" w:after="0" w:line="240" w:lineRule="auto"/>
        <w:ind w:left="567" w:hanging="567"/>
        <w:rPr>
          <w:rFonts w:ascii="Times New Roman" w:hAnsi="Times New Roman"/>
        </w:rPr>
      </w:pPr>
      <w:r>
        <w:rPr>
          <w:rFonts w:ascii="Times New Roman" w:hAnsi="Times New Roman"/>
        </w:rPr>
        <w:tab/>
      </w:r>
      <w:r w:rsidRPr="00813D7F">
        <w:rPr>
          <w:rFonts w:ascii="Times New Roman" w:hAnsi="Times New Roman"/>
        </w:rPr>
        <w:t xml:space="preserve">Table </w:t>
      </w:r>
      <w:r>
        <w:rPr>
          <w:rFonts w:ascii="Times New Roman" w:hAnsi="Times New Roman"/>
        </w:rPr>
        <w:t xml:space="preserve">4:  </w:t>
      </w:r>
      <w:r w:rsidRPr="00813D7F">
        <w:rPr>
          <w:rFonts w:ascii="Times New Roman" w:hAnsi="Times New Roman"/>
        </w:rPr>
        <w:t xml:space="preserve">Treatment Regimens in Study N016966 </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445"/>
        <w:gridCol w:w="1440"/>
        <w:gridCol w:w="2040"/>
        <w:gridCol w:w="3244"/>
      </w:tblGrid>
      <w:tr w:rsidR="00533539" w:rsidRPr="00A56D8D" w:rsidTr="007A7E0D">
        <w:trPr>
          <w:jc w:val="center"/>
        </w:trPr>
        <w:tc>
          <w:tcPr>
            <w:tcW w:w="1445" w:type="dxa"/>
            <w:tcBorders>
              <w:top w:val="single" w:sz="8" w:space="0" w:color="auto"/>
              <w:bottom w:val="single" w:sz="8" w:space="0" w:color="auto"/>
              <w:right w:val="single" w:sz="8" w:space="0" w:color="auto"/>
            </w:tcBorders>
            <w:vAlign w:val="bottom"/>
          </w:tcPr>
          <w:p w:rsidR="00533539" w:rsidRPr="00A56D8D" w:rsidRDefault="00533539" w:rsidP="007A7E0D">
            <w:pPr>
              <w:pStyle w:val="TableCellCenter"/>
              <w:rPr>
                <w:b/>
              </w:rPr>
            </w:pPr>
          </w:p>
        </w:tc>
        <w:tc>
          <w:tcPr>
            <w:tcW w:w="1440" w:type="dxa"/>
            <w:tcBorders>
              <w:top w:val="single" w:sz="8" w:space="0" w:color="auto"/>
              <w:left w:val="single" w:sz="8" w:space="0" w:color="auto"/>
              <w:bottom w:val="single" w:sz="8" w:space="0" w:color="auto"/>
              <w:right w:val="single" w:sz="8" w:space="0" w:color="auto"/>
            </w:tcBorders>
            <w:vAlign w:val="bottom"/>
          </w:tcPr>
          <w:p w:rsidR="00533539" w:rsidRPr="00A56D8D" w:rsidRDefault="00533539" w:rsidP="007A7E0D">
            <w:pPr>
              <w:pStyle w:val="TableCellCenter"/>
              <w:rPr>
                <w:b/>
              </w:rPr>
            </w:pPr>
            <w:r w:rsidRPr="00A56D8D">
              <w:rPr>
                <w:b/>
              </w:rPr>
              <w:t>Treatment</w:t>
            </w:r>
          </w:p>
        </w:tc>
        <w:tc>
          <w:tcPr>
            <w:tcW w:w="2040" w:type="dxa"/>
            <w:tcBorders>
              <w:top w:val="single" w:sz="8" w:space="0" w:color="auto"/>
              <w:left w:val="single" w:sz="8" w:space="0" w:color="auto"/>
              <w:bottom w:val="single" w:sz="8" w:space="0" w:color="auto"/>
              <w:right w:val="single" w:sz="8" w:space="0" w:color="auto"/>
            </w:tcBorders>
            <w:vAlign w:val="bottom"/>
          </w:tcPr>
          <w:p w:rsidR="00533539" w:rsidRPr="00A56D8D" w:rsidRDefault="00533539" w:rsidP="007A7E0D">
            <w:pPr>
              <w:pStyle w:val="TableCellCenter"/>
              <w:rPr>
                <w:b/>
              </w:rPr>
            </w:pPr>
            <w:r w:rsidRPr="00A56D8D">
              <w:rPr>
                <w:b/>
              </w:rPr>
              <w:t>Starting Dose</w:t>
            </w:r>
          </w:p>
        </w:tc>
        <w:tc>
          <w:tcPr>
            <w:tcW w:w="3244" w:type="dxa"/>
            <w:tcBorders>
              <w:top w:val="single" w:sz="8" w:space="0" w:color="auto"/>
              <w:left w:val="single" w:sz="8" w:space="0" w:color="auto"/>
              <w:bottom w:val="single" w:sz="8" w:space="0" w:color="auto"/>
            </w:tcBorders>
            <w:vAlign w:val="bottom"/>
          </w:tcPr>
          <w:p w:rsidR="00533539" w:rsidRPr="00A56D8D" w:rsidRDefault="00533539" w:rsidP="007A7E0D">
            <w:pPr>
              <w:pStyle w:val="TableCellCenter"/>
              <w:rPr>
                <w:b/>
              </w:rPr>
            </w:pPr>
            <w:r w:rsidRPr="00A56D8D">
              <w:rPr>
                <w:b/>
              </w:rPr>
              <w:t>Schedule</w:t>
            </w:r>
          </w:p>
        </w:tc>
      </w:tr>
      <w:tr w:rsidR="00533539" w:rsidRPr="00A56D8D" w:rsidTr="007A7E0D">
        <w:trPr>
          <w:cantSplit/>
          <w:jc w:val="center"/>
        </w:trPr>
        <w:tc>
          <w:tcPr>
            <w:tcW w:w="1445" w:type="dxa"/>
            <w:vMerge w:val="restart"/>
            <w:tcBorders>
              <w:top w:val="single" w:sz="8" w:space="0" w:color="auto"/>
              <w:bottom w:val="single" w:sz="8" w:space="0" w:color="auto"/>
              <w:right w:val="single" w:sz="8" w:space="0" w:color="auto"/>
            </w:tcBorders>
          </w:tcPr>
          <w:p w:rsidR="00533539" w:rsidRDefault="00533539" w:rsidP="008F4FF8">
            <w:pPr>
              <w:pStyle w:val="TableCellCenter"/>
              <w:spacing w:before="0" w:after="0" w:line="240" w:lineRule="auto"/>
            </w:pPr>
            <w:r>
              <w:t xml:space="preserve">FOLFOX-4 </w:t>
            </w:r>
          </w:p>
          <w:p w:rsidR="00533539" w:rsidRDefault="00533539" w:rsidP="008F4FF8">
            <w:pPr>
              <w:pStyle w:val="TableCellCenter"/>
              <w:spacing w:before="0" w:after="0" w:line="240" w:lineRule="auto"/>
            </w:pPr>
            <w:r>
              <w:t xml:space="preserve">or </w:t>
            </w:r>
          </w:p>
          <w:p w:rsidR="00533539" w:rsidRPr="00A56D8D" w:rsidRDefault="00533539" w:rsidP="008F4FF8">
            <w:pPr>
              <w:pStyle w:val="TableCellCenter"/>
              <w:spacing w:before="0" w:after="0" w:line="240" w:lineRule="auto"/>
            </w:pPr>
            <w:r>
              <w:t>FOLFOX-4 + AVASTIN</w:t>
            </w:r>
          </w:p>
        </w:tc>
        <w:tc>
          <w:tcPr>
            <w:tcW w:w="1440" w:type="dxa"/>
            <w:tcBorders>
              <w:top w:val="single" w:sz="8" w:space="0" w:color="auto"/>
              <w:left w:val="single" w:sz="8" w:space="0" w:color="auto"/>
              <w:bottom w:val="nil"/>
              <w:right w:val="single" w:sz="8" w:space="0" w:color="auto"/>
            </w:tcBorders>
          </w:tcPr>
          <w:p w:rsidR="00533539" w:rsidRPr="00A56D8D" w:rsidRDefault="00533539" w:rsidP="008F4FF8">
            <w:pPr>
              <w:pStyle w:val="TableCellLeft"/>
              <w:spacing w:before="0" w:after="0" w:line="240" w:lineRule="auto"/>
            </w:pPr>
            <w:proofErr w:type="spellStart"/>
            <w:r>
              <w:t>Oxaliplatin</w:t>
            </w:r>
            <w:proofErr w:type="spellEnd"/>
          </w:p>
        </w:tc>
        <w:tc>
          <w:tcPr>
            <w:tcW w:w="2040" w:type="dxa"/>
            <w:tcBorders>
              <w:top w:val="single" w:sz="8" w:space="0" w:color="auto"/>
              <w:left w:val="single" w:sz="8" w:space="0" w:color="auto"/>
              <w:bottom w:val="nil"/>
              <w:right w:val="single" w:sz="8" w:space="0" w:color="auto"/>
            </w:tcBorders>
          </w:tcPr>
          <w:p w:rsidR="00533539" w:rsidRPr="00A56D8D" w:rsidRDefault="00533539" w:rsidP="008F4FF8">
            <w:pPr>
              <w:pStyle w:val="TableCellLeft"/>
              <w:spacing w:before="0" w:after="0" w:line="240" w:lineRule="auto"/>
            </w:pPr>
            <w:r>
              <w:t>85</w:t>
            </w:r>
            <w:r w:rsidRPr="00A56D8D">
              <w:t xml:space="preserve"> mg/m</w:t>
            </w:r>
            <w:r w:rsidRPr="00A56D8D">
              <w:rPr>
                <w:vertAlign w:val="superscript"/>
              </w:rPr>
              <w:t>2</w:t>
            </w:r>
            <w:r w:rsidRPr="00A56D8D">
              <w:t xml:space="preserve"> IV</w:t>
            </w:r>
            <w:r>
              <w:t xml:space="preserve"> 2 h</w:t>
            </w:r>
          </w:p>
        </w:tc>
        <w:tc>
          <w:tcPr>
            <w:tcW w:w="3244" w:type="dxa"/>
            <w:vMerge w:val="restart"/>
            <w:tcBorders>
              <w:top w:val="single" w:sz="8" w:space="0" w:color="auto"/>
              <w:left w:val="single" w:sz="8" w:space="0" w:color="auto"/>
            </w:tcBorders>
          </w:tcPr>
          <w:p w:rsidR="00533539" w:rsidRDefault="00533539" w:rsidP="008F4FF8">
            <w:pPr>
              <w:pStyle w:val="TableCellLeft"/>
              <w:spacing w:before="0" w:after="0" w:line="240" w:lineRule="auto"/>
            </w:pPr>
            <w:proofErr w:type="spellStart"/>
            <w:r>
              <w:t>Oxaliplatin</w:t>
            </w:r>
            <w:proofErr w:type="spellEnd"/>
            <w:r>
              <w:t xml:space="preserve"> on Day 1</w:t>
            </w:r>
          </w:p>
          <w:p w:rsidR="00533539" w:rsidRDefault="00533539" w:rsidP="008F4FF8">
            <w:pPr>
              <w:pStyle w:val="TableCellLeft"/>
              <w:spacing w:before="0" w:after="0" w:line="240" w:lineRule="auto"/>
            </w:pPr>
            <w:proofErr w:type="spellStart"/>
            <w:r>
              <w:t>Leucovorin</w:t>
            </w:r>
            <w:proofErr w:type="spellEnd"/>
            <w:r w:rsidRPr="00FD6C18">
              <w:rPr>
                <w:szCs w:val="24"/>
                <w:vertAlign w:val="superscript"/>
                <w:lang w:val="en-GB"/>
              </w:rPr>
              <w:t>†</w:t>
            </w:r>
            <w:r>
              <w:t xml:space="preserve"> on Day 1 and 2</w:t>
            </w:r>
          </w:p>
          <w:p w:rsidR="00533539" w:rsidRPr="00A56D8D" w:rsidRDefault="00533539" w:rsidP="008F4FF8">
            <w:pPr>
              <w:pStyle w:val="TableCellLeft"/>
              <w:spacing w:before="0" w:after="0" w:line="240" w:lineRule="auto"/>
            </w:pPr>
            <w:r>
              <w:t xml:space="preserve">Fluorouracil IV bolus/infusion, each on Days 1 and 2 </w:t>
            </w:r>
          </w:p>
        </w:tc>
      </w:tr>
      <w:tr w:rsidR="00533539" w:rsidRPr="00A56D8D" w:rsidTr="007A7E0D">
        <w:trPr>
          <w:cantSplit/>
          <w:jc w:val="center"/>
        </w:trPr>
        <w:tc>
          <w:tcPr>
            <w:tcW w:w="1445" w:type="dxa"/>
            <w:vMerge/>
            <w:tcBorders>
              <w:top w:val="nil"/>
              <w:bottom w:val="single" w:sz="8" w:space="0" w:color="auto"/>
              <w:right w:val="single" w:sz="8" w:space="0" w:color="auto"/>
            </w:tcBorders>
          </w:tcPr>
          <w:p w:rsidR="00533539" w:rsidRPr="00A56D8D" w:rsidRDefault="00533539" w:rsidP="00AE1243">
            <w:pPr>
              <w:pStyle w:val="TableCellCenter"/>
              <w:spacing w:before="0" w:after="0" w:line="240" w:lineRule="auto"/>
            </w:pPr>
          </w:p>
        </w:tc>
        <w:tc>
          <w:tcPr>
            <w:tcW w:w="1440" w:type="dxa"/>
            <w:tcBorders>
              <w:top w:val="nil"/>
              <w:left w:val="single" w:sz="8" w:space="0" w:color="auto"/>
              <w:bottom w:val="nil"/>
              <w:right w:val="single" w:sz="8" w:space="0" w:color="auto"/>
            </w:tcBorders>
          </w:tcPr>
          <w:p w:rsidR="00533539" w:rsidRPr="00A56D8D" w:rsidRDefault="00533539" w:rsidP="00AE1243">
            <w:pPr>
              <w:pStyle w:val="TableCellLeft"/>
              <w:spacing w:before="0" w:after="0" w:line="240" w:lineRule="auto"/>
            </w:pPr>
            <w:proofErr w:type="spellStart"/>
            <w:r w:rsidRPr="00A56D8D">
              <w:t>Leucovorin</w:t>
            </w:r>
            <w:proofErr w:type="spellEnd"/>
            <w:r w:rsidRPr="00FD6C18">
              <w:rPr>
                <w:szCs w:val="24"/>
                <w:vertAlign w:val="superscript"/>
                <w:lang w:val="en-GB"/>
              </w:rPr>
              <w:t>†</w:t>
            </w:r>
          </w:p>
        </w:tc>
        <w:tc>
          <w:tcPr>
            <w:tcW w:w="2040" w:type="dxa"/>
            <w:tcBorders>
              <w:top w:val="nil"/>
              <w:left w:val="single" w:sz="8" w:space="0" w:color="auto"/>
              <w:bottom w:val="nil"/>
              <w:right w:val="single" w:sz="8" w:space="0" w:color="auto"/>
            </w:tcBorders>
          </w:tcPr>
          <w:p w:rsidR="00533539" w:rsidRPr="00A56D8D" w:rsidRDefault="00533539" w:rsidP="00AE1243">
            <w:pPr>
              <w:pStyle w:val="TableCellLeft"/>
              <w:spacing w:before="0" w:after="0" w:line="240" w:lineRule="auto"/>
            </w:pPr>
            <w:r w:rsidRPr="00A56D8D">
              <w:t>20</w:t>
            </w:r>
            <w:r>
              <w:t>0</w:t>
            </w:r>
            <w:r w:rsidRPr="00A56D8D">
              <w:t xml:space="preserve"> mg/m</w:t>
            </w:r>
            <w:r w:rsidRPr="00A56D8D">
              <w:rPr>
                <w:vertAlign w:val="superscript"/>
              </w:rPr>
              <w:t>2</w:t>
            </w:r>
            <w:r w:rsidRPr="00A56D8D">
              <w:t xml:space="preserve"> IV</w:t>
            </w:r>
            <w:r>
              <w:t xml:space="preserve"> 2 h</w:t>
            </w:r>
          </w:p>
        </w:tc>
        <w:tc>
          <w:tcPr>
            <w:tcW w:w="3244" w:type="dxa"/>
            <w:vMerge/>
            <w:tcBorders>
              <w:left w:val="single" w:sz="8" w:space="0" w:color="auto"/>
            </w:tcBorders>
          </w:tcPr>
          <w:p w:rsidR="00533539" w:rsidRPr="00A56D8D" w:rsidRDefault="00533539" w:rsidP="00AE1243">
            <w:pPr>
              <w:pStyle w:val="TableCellLeft"/>
              <w:spacing w:before="0" w:after="0" w:line="240" w:lineRule="auto"/>
            </w:pPr>
          </w:p>
        </w:tc>
      </w:tr>
      <w:tr w:rsidR="00533539" w:rsidRPr="00533539" w:rsidTr="007A7E0D">
        <w:trPr>
          <w:cantSplit/>
          <w:jc w:val="center"/>
        </w:trPr>
        <w:tc>
          <w:tcPr>
            <w:tcW w:w="1445" w:type="dxa"/>
            <w:vMerge/>
            <w:tcBorders>
              <w:top w:val="nil"/>
              <w:bottom w:val="single" w:sz="8" w:space="0" w:color="auto"/>
              <w:right w:val="single" w:sz="8" w:space="0" w:color="auto"/>
            </w:tcBorders>
          </w:tcPr>
          <w:p w:rsidR="00533539" w:rsidRPr="00A56D8D" w:rsidRDefault="00533539" w:rsidP="00AE1243">
            <w:pPr>
              <w:pStyle w:val="TableCellCenter"/>
              <w:spacing w:before="0" w:after="0" w:line="240" w:lineRule="auto"/>
            </w:pPr>
          </w:p>
        </w:tc>
        <w:tc>
          <w:tcPr>
            <w:tcW w:w="1440" w:type="dxa"/>
            <w:tcBorders>
              <w:top w:val="nil"/>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rsidRPr="00A56D8D">
              <w:t>Fluorouracil</w:t>
            </w:r>
          </w:p>
        </w:tc>
        <w:tc>
          <w:tcPr>
            <w:tcW w:w="2040" w:type="dxa"/>
            <w:tcBorders>
              <w:top w:val="nil"/>
              <w:left w:val="single" w:sz="8" w:space="0" w:color="auto"/>
              <w:bottom w:val="single" w:sz="8" w:space="0" w:color="auto"/>
              <w:right w:val="single" w:sz="8" w:space="0" w:color="auto"/>
            </w:tcBorders>
          </w:tcPr>
          <w:p w:rsidR="00533539" w:rsidRPr="00533539" w:rsidRDefault="00533539" w:rsidP="00AE1243">
            <w:pPr>
              <w:pStyle w:val="TableCellLeft"/>
              <w:spacing w:before="0" w:after="0" w:line="240" w:lineRule="auto"/>
              <w:rPr>
                <w:lang w:val="pt-BR"/>
              </w:rPr>
            </w:pPr>
            <w:r w:rsidRPr="00533539">
              <w:rPr>
                <w:lang w:val="pt-BR"/>
              </w:rPr>
              <w:t>400 mg/m</w:t>
            </w:r>
            <w:r w:rsidRPr="00533539">
              <w:rPr>
                <w:vertAlign w:val="superscript"/>
                <w:lang w:val="pt-BR"/>
              </w:rPr>
              <w:t>2</w:t>
            </w:r>
            <w:r w:rsidRPr="00533539">
              <w:rPr>
                <w:lang w:val="pt-BR"/>
              </w:rPr>
              <w:t xml:space="preserve"> IV bolus, 600 mg/ m</w:t>
            </w:r>
            <w:r w:rsidRPr="00533539">
              <w:rPr>
                <w:vertAlign w:val="superscript"/>
                <w:lang w:val="pt-BR"/>
              </w:rPr>
              <w:t>2</w:t>
            </w:r>
            <w:r w:rsidRPr="00533539">
              <w:rPr>
                <w:lang w:val="pt-BR"/>
              </w:rPr>
              <w:t xml:space="preserve"> IV 22 h</w:t>
            </w:r>
          </w:p>
        </w:tc>
        <w:tc>
          <w:tcPr>
            <w:tcW w:w="3244" w:type="dxa"/>
            <w:vMerge/>
            <w:tcBorders>
              <w:left w:val="single" w:sz="8" w:space="0" w:color="auto"/>
              <w:bottom w:val="single" w:sz="8" w:space="0" w:color="auto"/>
            </w:tcBorders>
          </w:tcPr>
          <w:p w:rsidR="00533539" w:rsidRPr="00533539" w:rsidRDefault="00533539" w:rsidP="00AE1243">
            <w:pPr>
              <w:pStyle w:val="TableCellLeft"/>
              <w:spacing w:before="0" w:after="0" w:line="240" w:lineRule="auto"/>
              <w:rPr>
                <w:lang w:val="pt-BR"/>
              </w:rPr>
            </w:pPr>
          </w:p>
        </w:tc>
      </w:tr>
      <w:tr w:rsidR="00533539" w:rsidRPr="00A56D8D" w:rsidTr="007A7E0D">
        <w:trPr>
          <w:cantSplit/>
          <w:jc w:val="center"/>
        </w:trPr>
        <w:tc>
          <w:tcPr>
            <w:tcW w:w="1445" w:type="dxa"/>
            <w:vMerge/>
            <w:tcBorders>
              <w:top w:val="nil"/>
              <w:bottom w:val="single" w:sz="8" w:space="0" w:color="auto"/>
              <w:right w:val="single" w:sz="8" w:space="0" w:color="auto"/>
            </w:tcBorders>
          </w:tcPr>
          <w:p w:rsidR="00533539" w:rsidRPr="00533539" w:rsidRDefault="00533539" w:rsidP="00AE1243">
            <w:pPr>
              <w:pStyle w:val="TableCellCenter"/>
              <w:spacing w:before="0" w:after="0" w:line="240" w:lineRule="auto"/>
              <w:rPr>
                <w:lang w:val="pt-BR"/>
              </w:rPr>
            </w:pPr>
          </w:p>
        </w:tc>
        <w:tc>
          <w:tcPr>
            <w:tcW w:w="1440" w:type="dxa"/>
            <w:tcBorders>
              <w:top w:val="single" w:sz="8" w:space="0" w:color="auto"/>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rsidRPr="00A56D8D">
              <w:t>Placebo</w:t>
            </w:r>
            <w:r>
              <w:t xml:space="preserve"> or A</w:t>
            </w:r>
            <w:r w:rsidR="009D24AE">
              <w:t>VASTIN</w:t>
            </w:r>
          </w:p>
        </w:tc>
        <w:tc>
          <w:tcPr>
            <w:tcW w:w="2040" w:type="dxa"/>
            <w:tcBorders>
              <w:top w:val="single" w:sz="8" w:space="0" w:color="auto"/>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t xml:space="preserve">5 mg/kg </w:t>
            </w:r>
            <w:r w:rsidRPr="00A56D8D">
              <w:t>IV</w:t>
            </w:r>
            <w:r>
              <w:t xml:space="preserve"> 30-90 min</w:t>
            </w:r>
          </w:p>
        </w:tc>
        <w:tc>
          <w:tcPr>
            <w:tcW w:w="3244" w:type="dxa"/>
            <w:tcBorders>
              <w:top w:val="single" w:sz="8" w:space="0" w:color="auto"/>
              <w:left w:val="single" w:sz="8" w:space="0" w:color="auto"/>
              <w:bottom w:val="single" w:sz="8" w:space="0" w:color="auto"/>
            </w:tcBorders>
          </w:tcPr>
          <w:p w:rsidR="00533539" w:rsidRPr="00A56D8D" w:rsidRDefault="00533539" w:rsidP="00AE1243">
            <w:pPr>
              <w:pStyle w:val="TableCellLeft"/>
              <w:spacing w:before="0" w:after="0" w:line="240" w:lineRule="auto"/>
            </w:pPr>
            <w:r>
              <w:t>Day 1, prior to FOLFOX-4, every</w:t>
            </w:r>
            <w:r w:rsidRPr="00A56D8D">
              <w:t xml:space="preserve"> 2 weeks</w:t>
            </w:r>
          </w:p>
        </w:tc>
      </w:tr>
      <w:tr w:rsidR="00533539" w:rsidRPr="00A56D8D" w:rsidTr="007A7E0D">
        <w:trPr>
          <w:cantSplit/>
          <w:jc w:val="center"/>
        </w:trPr>
        <w:tc>
          <w:tcPr>
            <w:tcW w:w="1445" w:type="dxa"/>
            <w:vMerge w:val="restart"/>
            <w:tcBorders>
              <w:top w:val="single" w:sz="8" w:space="0" w:color="auto"/>
              <w:bottom w:val="single" w:sz="8" w:space="0" w:color="auto"/>
              <w:right w:val="single" w:sz="8" w:space="0" w:color="auto"/>
            </w:tcBorders>
          </w:tcPr>
          <w:p w:rsidR="00533539" w:rsidRDefault="00533539" w:rsidP="008F4FF8">
            <w:pPr>
              <w:pStyle w:val="TableCellCenter"/>
              <w:spacing w:before="0" w:after="0" w:line="240" w:lineRule="auto"/>
            </w:pPr>
            <w:r>
              <w:t xml:space="preserve">XELOX </w:t>
            </w:r>
          </w:p>
          <w:p w:rsidR="00533539" w:rsidRDefault="00533539" w:rsidP="008F4FF8">
            <w:pPr>
              <w:pStyle w:val="TableCellCenter"/>
              <w:spacing w:before="0" w:after="0" w:line="240" w:lineRule="auto"/>
            </w:pPr>
            <w:r>
              <w:t>or</w:t>
            </w:r>
          </w:p>
          <w:p w:rsidR="00533539" w:rsidRPr="00A56D8D" w:rsidRDefault="00533539" w:rsidP="008F4FF8">
            <w:pPr>
              <w:pStyle w:val="TableCellCenter"/>
              <w:spacing w:before="0" w:after="0" w:line="240" w:lineRule="auto"/>
            </w:pPr>
            <w:r>
              <w:t>XELOX+ AVASTIN</w:t>
            </w:r>
          </w:p>
        </w:tc>
        <w:tc>
          <w:tcPr>
            <w:tcW w:w="1440" w:type="dxa"/>
            <w:tcBorders>
              <w:top w:val="single" w:sz="8" w:space="0" w:color="auto"/>
              <w:left w:val="single" w:sz="8" w:space="0" w:color="auto"/>
              <w:bottom w:val="nil"/>
              <w:right w:val="single" w:sz="8" w:space="0" w:color="auto"/>
            </w:tcBorders>
          </w:tcPr>
          <w:p w:rsidR="00533539" w:rsidRPr="007D0861" w:rsidRDefault="00533539" w:rsidP="008F4FF8">
            <w:pPr>
              <w:pStyle w:val="TableCellLeft"/>
              <w:spacing w:before="0" w:after="0" w:line="240" w:lineRule="auto"/>
            </w:pPr>
            <w:proofErr w:type="spellStart"/>
            <w:r w:rsidRPr="007D0861">
              <w:t>Oxaliplatin</w:t>
            </w:r>
            <w:proofErr w:type="spellEnd"/>
          </w:p>
        </w:tc>
        <w:tc>
          <w:tcPr>
            <w:tcW w:w="2040" w:type="dxa"/>
            <w:tcBorders>
              <w:top w:val="single" w:sz="8" w:space="0" w:color="auto"/>
              <w:left w:val="single" w:sz="8" w:space="0" w:color="auto"/>
              <w:bottom w:val="nil"/>
              <w:right w:val="single" w:sz="8" w:space="0" w:color="auto"/>
            </w:tcBorders>
          </w:tcPr>
          <w:p w:rsidR="00533539" w:rsidRPr="007D0861" w:rsidRDefault="00533539" w:rsidP="008F4FF8">
            <w:pPr>
              <w:pStyle w:val="TableCellLeft"/>
              <w:spacing w:before="0" w:after="0" w:line="240" w:lineRule="auto"/>
            </w:pPr>
            <w:r>
              <w:t xml:space="preserve">130 </w:t>
            </w:r>
            <w:r w:rsidRPr="007D0861">
              <w:t>mg/m</w:t>
            </w:r>
            <w:r w:rsidRPr="007D0861">
              <w:rPr>
                <w:vertAlign w:val="superscript"/>
              </w:rPr>
              <w:t>2</w:t>
            </w:r>
            <w:r w:rsidRPr="007D0861">
              <w:t xml:space="preserve"> IV 2 h</w:t>
            </w:r>
          </w:p>
        </w:tc>
        <w:tc>
          <w:tcPr>
            <w:tcW w:w="3244" w:type="dxa"/>
            <w:vMerge w:val="restart"/>
            <w:tcBorders>
              <w:top w:val="single" w:sz="8" w:space="0" w:color="auto"/>
              <w:left w:val="single" w:sz="8" w:space="0" w:color="auto"/>
            </w:tcBorders>
          </w:tcPr>
          <w:p w:rsidR="00533539" w:rsidRPr="007D0861" w:rsidRDefault="00533539" w:rsidP="008F4FF8">
            <w:pPr>
              <w:pStyle w:val="TableCellLeft"/>
              <w:spacing w:before="0" w:after="0" w:line="240" w:lineRule="auto"/>
            </w:pPr>
            <w:proofErr w:type="spellStart"/>
            <w:r w:rsidRPr="007D0861">
              <w:t>Oxaliplatin</w:t>
            </w:r>
            <w:proofErr w:type="spellEnd"/>
            <w:r w:rsidRPr="007D0861">
              <w:t xml:space="preserve"> on Day 1</w:t>
            </w:r>
          </w:p>
          <w:p w:rsidR="00533539" w:rsidRPr="003A2A56" w:rsidRDefault="00533539" w:rsidP="008F4FF8">
            <w:pPr>
              <w:pStyle w:val="TableCellLeft"/>
              <w:spacing w:before="0" w:after="0" w:line="240" w:lineRule="auto"/>
              <w:rPr>
                <w:highlight w:val="yellow"/>
              </w:rPr>
            </w:pPr>
            <w:proofErr w:type="spellStart"/>
            <w:r w:rsidRPr="007D0861">
              <w:t>Capecitabine</w:t>
            </w:r>
            <w:proofErr w:type="spellEnd"/>
            <w:r w:rsidRPr="007D0861">
              <w:t xml:space="preserve"> oral bid </w:t>
            </w:r>
            <w:r>
              <w:t>for 2 weeks (followed by 1 week off treatment)</w:t>
            </w:r>
          </w:p>
        </w:tc>
      </w:tr>
      <w:tr w:rsidR="00533539" w:rsidRPr="00A56D8D" w:rsidDel="007D0861" w:rsidTr="007A7E0D">
        <w:trPr>
          <w:cantSplit/>
          <w:jc w:val="center"/>
        </w:trPr>
        <w:tc>
          <w:tcPr>
            <w:tcW w:w="1445" w:type="dxa"/>
            <w:vMerge/>
            <w:tcBorders>
              <w:top w:val="nil"/>
              <w:bottom w:val="single" w:sz="8" w:space="0" w:color="auto"/>
              <w:right w:val="single" w:sz="8" w:space="0" w:color="auto"/>
            </w:tcBorders>
          </w:tcPr>
          <w:p w:rsidR="00533539" w:rsidRPr="00A56D8D" w:rsidDel="007D0861" w:rsidRDefault="00533539" w:rsidP="00AE1243">
            <w:pPr>
              <w:pStyle w:val="TableCellCenter"/>
              <w:spacing w:before="0" w:after="0" w:line="240" w:lineRule="auto"/>
            </w:pPr>
          </w:p>
        </w:tc>
        <w:tc>
          <w:tcPr>
            <w:tcW w:w="1440" w:type="dxa"/>
            <w:tcBorders>
              <w:top w:val="nil"/>
              <w:left w:val="single" w:sz="8" w:space="0" w:color="auto"/>
              <w:bottom w:val="nil"/>
              <w:right w:val="single" w:sz="8" w:space="0" w:color="auto"/>
            </w:tcBorders>
          </w:tcPr>
          <w:p w:rsidR="00533539" w:rsidRPr="007D0861" w:rsidDel="007D0861" w:rsidRDefault="00533539" w:rsidP="00AE1243">
            <w:pPr>
              <w:pStyle w:val="TableCellLeft"/>
              <w:spacing w:before="0" w:after="0" w:line="240" w:lineRule="auto"/>
            </w:pPr>
            <w:proofErr w:type="spellStart"/>
            <w:r w:rsidRPr="007D0861">
              <w:t>Capecitabine</w:t>
            </w:r>
            <w:proofErr w:type="spellEnd"/>
          </w:p>
        </w:tc>
        <w:tc>
          <w:tcPr>
            <w:tcW w:w="2040" w:type="dxa"/>
            <w:tcBorders>
              <w:top w:val="nil"/>
              <w:left w:val="single" w:sz="8" w:space="0" w:color="auto"/>
              <w:bottom w:val="nil"/>
              <w:right w:val="single" w:sz="8" w:space="0" w:color="auto"/>
            </w:tcBorders>
          </w:tcPr>
          <w:p w:rsidR="00533539" w:rsidRPr="007D0861" w:rsidDel="007D0861" w:rsidRDefault="00533539" w:rsidP="00AE1243">
            <w:pPr>
              <w:pStyle w:val="TableCellLeft"/>
              <w:spacing w:before="0" w:after="0" w:line="240" w:lineRule="auto"/>
            </w:pPr>
            <w:r w:rsidRPr="007D0861">
              <w:rPr>
                <w:lang w:val="sv-SE"/>
              </w:rPr>
              <w:t>1000 mg/m</w:t>
            </w:r>
            <w:r w:rsidRPr="007D0861">
              <w:rPr>
                <w:vertAlign w:val="superscript"/>
                <w:lang w:val="sv-SE"/>
              </w:rPr>
              <w:t>2</w:t>
            </w:r>
            <w:r w:rsidRPr="007D0861">
              <w:rPr>
                <w:lang w:val="sv-SE"/>
              </w:rPr>
              <w:t xml:space="preserve"> oral bid</w:t>
            </w:r>
          </w:p>
        </w:tc>
        <w:tc>
          <w:tcPr>
            <w:tcW w:w="3244" w:type="dxa"/>
            <w:vMerge/>
            <w:tcBorders>
              <w:left w:val="single" w:sz="8" w:space="0" w:color="auto"/>
            </w:tcBorders>
          </w:tcPr>
          <w:p w:rsidR="00533539" w:rsidRPr="003A2A56" w:rsidDel="007D0861" w:rsidRDefault="00533539" w:rsidP="00AE1243">
            <w:pPr>
              <w:pStyle w:val="TableCellLeft"/>
              <w:spacing w:before="0" w:after="0" w:line="240" w:lineRule="auto"/>
              <w:rPr>
                <w:highlight w:val="yellow"/>
              </w:rPr>
            </w:pPr>
          </w:p>
        </w:tc>
      </w:tr>
      <w:tr w:rsidR="00533539" w:rsidRPr="00485BD8" w:rsidTr="007A7E0D">
        <w:trPr>
          <w:cantSplit/>
          <w:jc w:val="center"/>
        </w:trPr>
        <w:tc>
          <w:tcPr>
            <w:tcW w:w="1445" w:type="dxa"/>
            <w:vMerge/>
            <w:tcBorders>
              <w:top w:val="nil"/>
              <w:bottom w:val="single" w:sz="8" w:space="0" w:color="auto"/>
              <w:right w:val="single" w:sz="8" w:space="0" w:color="auto"/>
            </w:tcBorders>
          </w:tcPr>
          <w:p w:rsidR="00533539" w:rsidRPr="00A56D8D" w:rsidRDefault="00533539" w:rsidP="00AE1243">
            <w:pPr>
              <w:pStyle w:val="TableCellCenter"/>
              <w:spacing w:before="0" w:after="0" w:line="240" w:lineRule="auto"/>
            </w:pPr>
          </w:p>
        </w:tc>
        <w:tc>
          <w:tcPr>
            <w:tcW w:w="1440" w:type="dxa"/>
            <w:tcBorders>
              <w:top w:val="nil"/>
              <w:left w:val="single" w:sz="8" w:space="0" w:color="auto"/>
              <w:bottom w:val="single" w:sz="8" w:space="0" w:color="auto"/>
              <w:right w:val="single" w:sz="8" w:space="0" w:color="auto"/>
            </w:tcBorders>
          </w:tcPr>
          <w:p w:rsidR="00533539" w:rsidRPr="007D0861" w:rsidRDefault="00533539" w:rsidP="00AE1243">
            <w:pPr>
              <w:pStyle w:val="TableCellLeft"/>
              <w:spacing w:before="0" w:after="0" w:line="240" w:lineRule="auto"/>
            </w:pPr>
          </w:p>
        </w:tc>
        <w:tc>
          <w:tcPr>
            <w:tcW w:w="2040" w:type="dxa"/>
            <w:tcBorders>
              <w:top w:val="nil"/>
              <w:left w:val="single" w:sz="8" w:space="0" w:color="auto"/>
              <w:bottom w:val="single" w:sz="8" w:space="0" w:color="auto"/>
              <w:right w:val="single" w:sz="8" w:space="0" w:color="auto"/>
            </w:tcBorders>
          </w:tcPr>
          <w:p w:rsidR="00533539" w:rsidRPr="007D0861" w:rsidRDefault="00533539" w:rsidP="00AE1243">
            <w:pPr>
              <w:pStyle w:val="TableCellLeft"/>
              <w:spacing w:before="0" w:after="0" w:line="240" w:lineRule="auto"/>
              <w:rPr>
                <w:lang w:val="sv-SE"/>
              </w:rPr>
            </w:pPr>
          </w:p>
        </w:tc>
        <w:tc>
          <w:tcPr>
            <w:tcW w:w="3244" w:type="dxa"/>
            <w:vMerge/>
            <w:tcBorders>
              <w:left w:val="single" w:sz="8" w:space="0" w:color="auto"/>
              <w:bottom w:val="single" w:sz="8" w:space="0" w:color="auto"/>
            </w:tcBorders>
          </w:tcPr>
          <w:p w:rsidR="00533539" w:rsidRPr="003A2A56" w:rsidRDefault="00533539" w:rsidP="00AE1243">
            <w:pPr>
              <w:pStyle w:val="TableCellLeft"/>
              <w:spacing w:before="0" w:after="0" w:line="240" w:lineRule="auto"/>
              <w:rPr>
                <w:highlight w:val="yellow"/>
                <w:lang w:val="sv-SE"/>
              </w:rPr>
            </w:pPr>
          </w:p>
        </w:tc>
      </w:tr>
      <w:tr w:rsidR="00533539" w:rsidRPr="00A56D8D" w:rsidTr="007A7E0D">
        <w:trPr>
          <w:cantSplit/>
          <w:jc w:val="center"/>
        </w:trPr>
        <w:tc>
          <w:tcPr>
            <w:tcW w:w="1445" w:type="dxa"/>
            <w:vMerge/>
            <w:tcBorders>
              <w:top w:val="nil"/>
              <w:bottom w:val="single" w:sz="8" w:space="0" w:color="auto"/>
              <w:right w:val="single" w:sz="8" w:space="0" w:color="auto"/>
            </w:tcBorders>
          </w:tcPr>
          <w:p w:rsidR="00533539" w:rsidRPr="00485BD8" w:rsidRDefault="00533539" w:rsidP="00AE1243">
            <w:pPr>
              <w:pStyle w:val="TableCellCenter"/>
              <w:spacing w:before="0" w:after="0" w:line="240" w:lineRule="auto"/>
              <w:rPr>
                <w:lang w:val="sv-SE"/>
              </w:rPr>
            </w:pPr>
          </w:p>
        </w:tc>
        <w:tc>
          <w:tcPr>
            <w:tcW w:w="1440" w:type="dxa"/>
            <w:tcBorders>
              <w:top w:val="single" w:sz="8" w:space="0" w:color="auto"/>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t xml:space="preserve">Placebo or </w:t>
            </w:r>
            <w:r w:rsidR="009D24AE">
              <w:t>AVASTIN</w:t>
            </w:r>
          </w:p>
        </w:tc>
        <w:tc>
          <w:tcPr>
            <w:tcW w:w="2040" w:type="dxa"/>
            <w:tcBorders>
              <w:top w:val="single" w:sz="8" w:space="0" w:color="auto"/>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t xml:space="preserve">7.5 mg/kg </w:t>
            </w:r>
            <w:r w:rsidRPr="00A56D8D">
              <w:t>IV</w:t>
            </w:r>
            <w:r>
              <w:t xml:space="preserve"> 30-90 min</w:t>
            </w:r>
          </w:p>
        </w:tc>
        <w:tc>
          <w:tcPr>
            <w:tcW w:w="3244" w:type="dxa"/>
            <w:tcBorders>
              <w:top w:val="single" w:sz="8" w:space="0" w:color="auto"/>
              <w:left w:val="single" w:sz="8" w:space="0" w:color="auto"/>
              <w:bottom w:val="single" w:sz="8" w:space="0" w:color="auto"/>
            </w:tcBorders>
          </w:tcPr>
          <w:p w:rsidR="00533539" w:rsidRPr="00A56D8D" w:rsidRDefault="00533539" w:rsidP="00AE1243">
            <w:pPr>
              <w:pStyle w:val="TableCellLeft"/>
              <w:spacing w:before="0" w:after="0" w:line="240" w:lineRule="auto"/>
            </w:pPr>
            <w:r>
              <w:t>Day 1, prior to XELOX, q</w:t>
            </w:r>
            <w:r w:rsidRPr="00A56D8D">
              <w:t xml:space="preserve"> </w:t>
            </w:r>
            <w:r>
              <w:t>3</w:t>
            </w:r>
            <w:r w:rsidRPr="00A56D8D">
              <w:t> weeks</w:t>
            </w:r>
          </w:p>
        </w:tc>
      </w:tr>
      <w:tr w:rsidR="00533539" w:rsidRPr="00A56D8D" w:rsidTr="007A7E0D">
        <w:trPr>
          <w:cantSplit/>
          <w:jc w:val="center"/>
        </w:trPr>
        <w:tc>
          <w:tcPr>
            <w:tcW w:w="8169" w:type="dxa"/>
            <w:gridSpan w:val="4"/>
            <w:tcBorders>
              <w:top w:val="single" w:sz="8" w:space="0" w:color="auto"/>
              <w:bottom w:val="single" w:sz="8" w:space="0" w:color="auto"/>
            </w:tcBorders>
          </w:tcPr>
          <w:p w:rsidR="00533539" w:rsidRPr="00A56D8D" w:rsidRDefault="00533539" w:rsidP="008F4FF8">
            <w:pPr>
              <w:pStyle w:val="TableFooter"/>
              <w:spacing w:before="0" w:line="240" w:lineRule="auto"/>
            </w:pPr>
            <w:r w:rsidRPr="005B11FA">
              <w:t xml:space="preserve">Fluorouracil: </w:t>
            </w:r>
            <w:r w:rsidRPr="005B11FA">
              <w:tab/>
              <w:t xml:space="preserve">IV bolus injection immediately after </w:t>
            </w:r>
            <w:proofErr w:type="spellStart"/>
            <w:r w:rsidRPr="005B11FA">
              <w:t>leucovorin</w:t>
            </w:r>
            <w:proofErr w:type="spellEnd"/>
          </w:p>
        </w:tc>
      </w:tr>
    </w:tbl>
    <w:p w:rsidR="00533539" w:rsidRPr="00AE1243" w:rsidRDefault="00533539" w:rsidP="00AE1243">
      <w:pPr>
        <w:pStyle w:val="TextTi12"/>
        <w:ind w:left="720"/>
        <w:rPr>
          <w:i/>
          <w:sz w:val="20"/>
          <w:lang w:val="en-GB"/>
        </w:rPr>
      </w:pPr>
      <w:r w:rsidRPr="00AE1243">
        <w:rPr>
          <w:i/>
          <w:szCs w:val="24"/>
          <w:vertAlign w:val="superscript"/>
          <w:lang w:val="en-GB"/>
        </w:rPr>
        <w:t>†</w:t>
      </w:r>
      <w:r w:rsidRPr="00AE1243">
        <w:rPr>
          <w:i/>
          <w:sz w:val="20"/>
          <w:lang w:val="en-GB"/>
        </w:rPr>
        <w:t xml:space="preserve"> The Australian Approved Name for </w:t>
      </w:r>
      <w:proofErr w:type="spellStart"/>
      <w:r w:rsidRPr="00AE1243">
        <w:rPr>
          <w:i/>
          <w:sz w:val="20"/>
          <w:lang w:val="en-GB"/>
        </w:rPr>
        <w:t>leucovorin</w:t>
      </w:r>
      <w:proofErr w:type="spellEnd"/>
      <w:r w:rsidRPr="00AE1243">
        <w:rPr>
          <w:i/>
          <w:sz w:val="20"/>
          <w:lang w:val="en-GB"/>
        </w:rPr>
        <w:t xml:space="preserve"> is </w:t>
      </w:r>
      <w:proofErr w:type="spellStart"/>
      <w:r w:rsidRPr="00AE1243">
        <w:rPr>
          <w:i/>
          <w:sz w:val="20"/>
          <w:lang w:val="en-GB"/>
        </w:rPr>
        <w:t>folinic</w:t>
      </w:r>
      <w:proofErr w:type="spellEnd"/>
      <w:r w:rsidRPr="00AE1243">
        <w:rPr>
          <w:i/>
          <w:sz w:val="20"/>
          <w:lang w:val="en-GB"/>
        </w:rPr>
        <w:t xml:space="preserve"> acid</w:t>
      </w:r>
    </w:p>
    <w:p w:rsidR="009D24AE" w:rsidRPr="00255B60" w:rsidRDefault="00533539" w:rsidP="009D24AE">
      <w:pPr>
        <w:pStyle w:val="TextTi12"/>
        <w:rPr>
          <w:color w:val="000000"/>
        </w:rPr>
      </w:pPr>
      <w:r w:rsidRPr="00255B60">
        <w:rPr>
          <w:color w:val="000000"/>
        </w:rPr>
        <w:t>The primary efficacy parameter of the trial was the duration of progression-free survival (PFS).  In this study</w:t>
      </w:r>
      <w:r w:rsidRPr="00255B60" w:rsidDel="00CE3DC7">
        <w:rPr>
          <w:color w:val="000000"/>
        </w:rPr>
        <w:t>,</w:t>
      </w:r>
      <w:r w:rsidRPr="00255B60">
        <w:rPr>
          <w:color w:val="000000"/>
        </w:rPr>
        <w:t xml:space="preserve"> there were two primary objectives: to show that XELOX was non-inferior to FOLFOX-4 and to show that AVASTIN in combination with FOLFOX-4 or XELOX chemotherapy was superior to chemotherapy alone.  Both </w:t>
      </w:r>
      <w:r w:rsidR="009D24AE" w:rsidRPr="00255B60">
        <w:rPr>
          <w:color w:val="000000"/>
        </w:rPr>
        <w:t>co-primary objectives were met</w:t>
      </w:r>
      <w:r w:rsidR="00395FA3">
        <w:rPr>
          <w:color w:val="000000"/>
        </w:rPr>
        <w:t>.</w:t>
      </w:r>
    </w:p>
    <w:p w:rsidR="00533539" w:rsidRPr="00255B60" w:rsidRDefault="00533539" w:rsidP="009D24AE">
      <w:pPr>
        <w:pStyle w:val="TextTi12"/>
        <w:rPr>
          <w:color w:val="000000"/>
        </w:rPr>
      </w:pPr>
      <w:r w:rsidRPr="00255B60">
        <w:rPr>
          <w:color w:val="000000"/>
        </w:rPr>
        <w:t>Superiority of the AVASTIN containing arms versus the chemotherapy alone arms in the overall comparison was demonstrated in terms of progression-free survival in the ITT population (</w:t>
      </w:r>
      <w:r w:rsidR="00D301EE">
        <w:rPr>
          <w:color w:val="000000"/>
        </w:rPr>
        <w:t xml:space="preserve">see </w:t>
      </w:r>
      <w:r w:rsidRPr="00255B60">
        <w:rPr>
          <w:color w:val="000000"/>
        </w:rPr>
        <w:t xml:space="preserve">Table 5). </w:t>
      </w:r>
    </w:p>
    <w:p w:rsidR="00533539" w:rsidRPr="00255B60" w:rsidRDefault="00533539" w:rsidP="00533539">
      <w:pPr>
        <w:pStyle w:val="TextTi12"/>
        <w:rPr>
          <w:color w:val="000000"/>
        </w:rPr>
      </w:pPr>
      <w:bookmarkStart w:id="1" w:name="OLE_LINK15"/>
      <w:bookmarkStart w:id="2" w:name="OLE_LINK18"/>
      <w:r w:rsidRPr="00255B60">
        <w:rPr>
          <w:color w:val="000000"/>
        </w:rPr>
        <w:t xml:space="preserve">Secondary PFS analyses, based </w:t>
      </w:r>
      <w:r w:rsidR="003F556A" w:rsidRPr="00255B60">
        <w:rPr>
          <w:color w:val="000000"/>
        </w:rPr>
        <w:t>on Independent Review Committee</w:t>
      </w:r>
      <w:r w:rsidRPr="00255B60">
        <w:rPr>
          <w:color w:val="000000"/>
        </w:rPr>
        <w:t xml:space="preserve"> and ‘on-treatment’-based response assessments, confirmed the significantly superior clinical benefit for patients treated with AVASTIN.</w:t>
      </w:r>
    </w:p>
    <w:bookmarkEnd w:id="1"/>
    <w:bookmarkEnd w:id="2"/>
    <w:p w:rsidR="001300B4" w:rsidRPr="001300B4" w:rsidRDefault="00533539" w:rsidP="008F4FF8">
      <w:pPr>
        <w:pStyle w:val="HdTab1"/>
        <w:ind w:left="567" w:hanging="567"/>
      </w:pPr>
      <w:r w:rsidRPr="00255B60">
        <w:rPr>
          <w:rFonts w:ascii="Times New Roman" w:hAnsi="Times New Roman"/>
          <w:color w:val="000000"/>
        </w:rPr>
        <w:lastRenderedPageBreak/>
        <w:t>Table 5:  Key efficacy results for the superiority analysis (ITT population, Study NO16966)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280"/>
        <w:gridCol w:w="2160"/>
        <w:gridCol w:w="1619"/>
      </w:tblGrid>
      <w:tr w:rsidR="008C4F74" w:rsidRPr="00EF0B36" w:rsidTr="00EF0B36">
        <w:trPr>
          <w:tblHeader/>
        </w:trPr>
        <w:tc>
          <w:tcPr>
            <w:tcW w:w="3228" w:type="dxa"/>
            <w:shd w:val="clear" w:color="auto" w:fill="auto"/>
          </w:tcPr>
          <w:p w:rsidR="008C4F74" w:rsidRPr="00EF0B36" w:rsidRDefault="008C4F74" w:rsidP="00EF0B36">
            <w:pPr>
              <w:keepNext/>
              <w:keepLines/>
              <w:spacing w:after="0"/>
              <w:rPr>
                <w:b/>
                <w:bCs/>
                <w:sz w:val="20"/>
                <w:lang w:eastAsia="da-DK"/>
              </w:rPr>
            </w:pPr>
            <w:r w:rsidRPr="00EF0B36">
              <w:rPr>
                <w:b/>
                <w:bCs/>
                <w:sz w:val="20"/>
                <w:lang w:eastAsia="da-DK"/>
              </w:rPr>
              <w:t>Endpoint (months)</w:t>
            </w:r>
          </w:p>
        </w:tc>
        <w:tc>
          <w:tcPr>
            <w:tcW w:w="2280" w:type="dxa"/>
            <w:shd w:val="clear" w:color="auto" w:fill="auto"/>
          </w:tcPr>
          <w:p w:rsidR="008C4F74" w:rsidRPr="00EF0B36" w:rsidRDefault="008C4F74" w:rsidP="00EF0B36">
            <w:pPr>
              <w:keepNext/>
              <w:keepLines/>
              <w:spacing w:after="0"/>
              <w:jc w:val="center"/>
              <w:rPr>
                <w:b/>
                <w:bCs/>
                <w:sz w:val="20"/>
                <w:lang w:eastAsia="da-DK"/>
              </w:rPr>
            </w:pPr>
            <w:r w:rsidRPr="00EF0B36">
              <w:rPr>
                <w:b/>
                <w:bCs/>
                <w:sz w:val="20"/>
                <w:lang w:eastAsia="da-DK"/>
              </w:rPr>
              <w:t>FOLFOX-4 or XELOX</w:t>
            </w:r>
          </w:p>
          <w:p w:rsidR="008C4F74" w:rsidRPr="00EF0B36" w:rsidRDefault="008C4F74" w:rsidP="00EF0B36">
            <w:pPr>
              <w:keepNext/>
              <w:keepLines/>
              <w:spacing w:after="0"/>
              <w:jc w:val="center"/>
              <w:rPr>
                <w:b/>
                <w:bCs/>
                <w:sz w:val="20"/>
                <w:lang w:eastAsia="da-DK"/>
              </w:rPr>
            </w:pPr>
            <w:r w:rsidRPr="00EF0B36">
              <w:rPr>
                <w:b/>
                <w:bCs/>
                <w:sz w:val="20"/>
                <w:lang w:eastAsia="da-DK"/>
              </w:rPr>
              <w:t>+ Placebo</w:t>
            </w:r>
          </w:p>
          <w:p w:rsidR="008C4F74" w:rsidRPr="00EF0B36" w:rsidRDefault="008C4F74" w:rsidP="00EF0B36">
            <w:pPr>
              <w:keepNext/>
              <w:keepLines/>
              <w:spacing w:after="0"/>
              <w:jc w:val="center"/>
              <w:rPr>
                <w:b/>
                <w:bCs/>
                <w:sz w:val="20"/>
                <w:lang w:eastAsia="da-DK"/>
              </w:rPr>
            </w:pPr>
            <w:r w:rsidRPr="00EF0B36">
              <w:rPr>
                <w:b/>
                <w:bCs/>
                <w:sz w:val="20"/>
                <w:lang w:eastAsia="da-DK"/>
              </w:rPr>
              <w:t>(</w:t>
            </w:r>
            <w:r w:rsidR="00402F1B" w:rsidRPr="00EF0B36">
              <w:rPr>
                <w:b/>
                <w:i/>
                <w:sz w:val="20"/>
                <w:lang w:val="pt-BR" w:eastAsia="da-DK"/>
              </w:rPr>
              <w:t>n</w:t>
            </w:r>
            <w:r w:rsidR="00D301EE" w:rsidRPr="00EF0B36">
              <w:rPr>
                <w:b/>
                <w:bCs/>
                <w:sz w:val="20"/>
                <w:lang w:eastAsia="da-DK"/>
              </w:rPr>
              <w:t xml:space="preserve"> </w:t>
            </w:r>
            <w:r w:rsidRPr="00EF0B36">
              <w:rPr>
                <w:b/>
                <w:bCs/>
                <w:sz w:val="20"/>
                <w:lang w:eastAsia="da-DK"/>
              </w:rPr>
              <w:t>=</w:t>
            </w:r>
            <w:r w:rsidR="00D301EE" w:rsidRPr="00EF0B36">
              <w:rPr>
                <w:b/>
                <w:bCs/>
                <w:sz w:val="20"/>
                <w:lang w:eastAsia="da-DK"/>
              </w:rPr>
              <w:t xml:space="preserve"> </w:t>
            </w:r>
            <w:r w:rsidRPr="00EF0B36">
              <w:rPr>
                <w:b/>
                <w:bCs/>
                <w:sz w:val="20"/>
                <w:lang w:eastAsia="da-DK"/>
              </w:rPr>
              <w:t>701)</w:t>
            </w:r>
          </w:p>
        </w:tc>
        <w:tc>
          <w:tcPr>
            <w:tcW w:w="2160" w:type="dxa"/>
            <w:shd w:val="clear" w:color="auto" w:fill="auto"/>
          </w:tcPr>
          <w:p w:rsidR="008C4F74" w:rsidRPr="00EF0B36" w:rsidRDefault="008C4F74" w:rsidP="00EF0B36">
            <w:pPr>
              <w:keepNext/>
              <w:keepLines/>
              <w:spacing w:after="0"/>
              <w:jc w:val="center"/>
              <w:rPr>
                <w:b/>
                <w:bCs/>
                <w:sz w:val="20"/>
                <w:lang w:eastAsia="da-DK"/>
              </w:rPr>
            </w:pPr>
            <w:r w:rsidRPr="00EF0B36">
              <w:rPr>
                <w:b/>
                <w:bCs/>
                <w:sz w:val="20"/>
                <w:lang w:eastAsia="da-DK"/>
              </w:rPr>
              <w:t>FOLFOX-4 or XELOX</w:t>
            </w:r>
          </w:p>
          <w:p w:rsidR="008C4F74" w:rsidRPr="00EF0B36" w:rsidRDefault="008C4F74" w:rsidP="00EF0B36">
            <w:pPr>
              <w:keepNext/>
              <w:keepLines/>
              <w:spacing w:after="0"/>
              <w:jc w:val="center"/>
              <w:rPr>
                <w:b/>
                <w:bCs/>
                <w:sz w:val="20"/>
                <w:lang w:eastAsia="da-DK"/>
              </w:rPr>
            </w:pPr>
            <w:r w:rsidRPr="00EF0B36">
              <w:rPr>
                <w:b/>
                <w:bCs/>
                <w:sz w:val="20"/>
                <w:lang w:eastAsia="da-DK"/>
              </w:rPr>
              <w:t xml:space="preserve">+ </w:t>
            </w:r>
            <w:r w:rsidR="00FE4210" w:rsidRPr="00EF0B36">
              <w:rPr>
                <w:b/>
                <w:bCs/>
                <w:sz w:val="20"/>
                <w:lang w:eastAsia="da-DK"/>
              </w:rPr>
              <w:t>AVASTIN</w:t>
            </w:r>
          </w:p>
          <w:p w:rsidR="008C4F74" w:rsidRPr="00EF0B36" w:rsidRDefault="008C4F74" w:rsidP="00EF0B36">
            <w:pPr>
              <w:keepNext/>
              <w:keepLines/>
              <w:spacing w:after="0"/>
              <w:jc w:val="center"/>
              <w:rPr>
                <w:b/>
                <w:bCs/>
                <w:sz w:val="20"/>
                <w:lang w:eastAsia="da-DK"/>
              </w:rPr>
            </w:pPr>
            <w:r w:rsidRPr="00EF0B36">
              <w:rPr>
                <w:b/>
                <w:bCs/>
                <w:sz w:val="20"/>
                <w:lang w:eastAsia="da-DK"/>
              </w:rPr>
              <w:t>(</w:t>
            </w:r>
            <w:r w:rsidR="00402F1B" w:rsidRPr="00EF0B36">
              <w:rPr>
                <w:b/>
                <w:i/>
                <w:sz w:val="20"/>
                <w:lang w:eastAsia="da-DK"/>
              </w:rPr>
              <w:t>n</w:t>
            </w:r>
            <w:r w:rsidR="00D301EE" w:rsidRPr="00EF0B36">
              <w:rPr>
                <w:b/>
                <w:bCs/>
                <w:sz w:val="20"/>
                <w:lang w:eastAsia="da-DK"/>
              </w:rPr>
              <w:t xml:space="preserve"> </w:t>
            </w:r>
            <w:r w:rsidRPr="00EF0B36">
              <w:rPr>
                <w:b/>
                <w:bCs/>
                <w:sz w:val="20"/>
                <w:lang w:eastAsia="da-DK"/>
              </w:rPr>
              <w:t>=</w:t>
            </w:r>
            <w:r w:rsidR="00D301EE" w:rsidRPr="00EF0B36">
              <w:rPr>
                <w:b/>
                <w:bCs/>
                <w:sz w:val="20"/>
                <w:lang w:eastAsia="da-DK"/>
              </w:rPr>
              <w:t xml:space="preserve"> </w:t>
            </w:r>
            <w:r w:rsidRPr="00EF0B36">
              <w:rPr>
                <w:b/>
                <w:bCs/>
                <w:sz w:val="20"/>
                <w:lang w:eastAsia="da-DK"/>
              </w:rPr>
              <w:t>699)</w:t>
            </w:r>
          </w:p>
        </w:tc>
        <w:tc>
          <w:tcPr>
            <w:tcW w:w="1619" w:type="dxa"/>
            <w:shd w:val="clear" w:color="auto" w:fill="auto"/>
          </w:tcPr>
          <w:p w:rsidR="008C4F74" w:rsidRPr="00EF0B36" w:rsidRDefault="00954804" w:rsidP="00EF0B36">
            <w:pPr>
              <w:keepNext/>
              <w:keepLines/>
              <w:spacing w:after="0"/>
              <w:jc w:val="center"/>
              <w:rPr>
                <w:b/>
                <w:bCs/>
                <w:sz w:val="20"/>
                <w:lang w:eastAsia="da-DK"/>
              </w:rPr>
            </w:pPr>
            <w:r w:rsidRPr="00EF0B36">
              <w:rPr>
                <w:b/>
                <w:bCs/>
                <w:i/>
                <w:sz w:val="20"/>
                <w:lang w:eastAsia="da-DK"/>
              </w:rPr>
              <w:t>p</w:t>
            </w:r>
            <w:r w:rsidR="008C4F74" w:rsidRPr="00EF0B36">
              <w:rPr>
                <w:b/>
                <w:bCs/>
                <w:sz w:val="20"/>
                <w:lang w:eastAsia="da-DK"/>
              </w:rPr>
              <w:t xml:space="preserve"> </w:t>
            </w:r>
            <w:r w:rsidRPr="00EF0B36">
              <w:rPr>
                <w:b/>
                <w:bCs/>
                <w:sz w:val="20"/>
                <w:lang w:eastAsia="da-DK"/>
              </w:rPr>
              <w:t>v</w:t>
            </w:r>
            <w:r w:rsidR="008C4F74" w:rsidRPr="00EF0B36">
              <w:rPr>
                <w:b/>
                <w:bCs/>
                <w:sz w:val="20"/>
                <w:lang w:eastAsia="da-DK"/>
              </w:rPr>
              <w:t>alue</w:t>
            </w:r>
          </w:p>
        </w:tc>
      </w:tr>
      <w:tr w:rsidR="008C4F74" w:rsidRPr="00EF0B36" w:rsidTr="00EF0B36">
        <w:tc>
          <w:tcPr>
            <w:tcW w:w="9287" w:type="dxa"/>
            <w:gridSpan w:val="4"/>
            <w:shd w:val="clear" w:color="auto" w:fill="auto"/>
          </w:tcPr>
          <w:p w:rsidR="008C4F74" w:rsidRPr="00883287" w:rsidRDefault="008C4F74" w:rsidP="00EF0B36">
            <w:pPr>
              <w:keepNext/>
              <w:keepLines/>
              <w:spacing w:after="0"/>
              <w:rPr>
                <w:b/>
                <w:sz w:val="20"/>
                <w:lang w:eastAsia="da-DK"/>
              </w:rPr>
            </w:pPr>
            <w:r w:rsidRPr="00883287">
              <w:rPr>
                <w:b/>
                <w:sz w:val="20"/>
                <w:lang w:eastAsia="da-DK"/>
              </w:rPr>
              <w:t>Primary endpoint</w:t>
            </w:r>
          </w:p>
        </w:tc>
      </w:tr>
      <w:tr w:rsidR="008C4F74" w:rsidRPr="00EF0B36" w:rsidTr="00EF0B36">
        <w:tc>
          <w:tcPr>
            <w:tcW w:w="3228" w:type="dxa"/>
            <w:shd w:val="clear" w:color="auto" w:fill="auto"/>
          </w:tcPr>
          <w:p w:rsidR="008C4F74" w:rsidRPr="00EF0B36" w:rsidRDefault="008C4F74" w:rsidP="00EF0B36">
            <w:pPr>
              <w:keepNext/>
              <w:keepLines/>
              <w:spacing w:after="0"/>
              <w:ind w:left="357"/>
              <w:rPr>
                <w:sz w:val="20"/>
                <w:lang w:eastAsia="da-DK"/>
              </w:rPr>
            </w:pPr>
            <w:r w:rsidRPr="00EF0B36">
              <w:rPr>
                <w:sz w:val="20"/>
                <w:lang w:eastAsia="da-DK"/>
              </w:rPr>
              <w:t>Median PFS</w:t>
            </w:r>
            <w:r w:rsidR="00834C1B" w:rsidRPr="00EF0B36">
              <w:rPr>
                <w:sz w:val="20"/>
                <w:lang w:eastAsia="da-DK"/>
              </w:rPr>
              <w:t>^^</w:t>
            </w:r>
          </w:p>
        </w:tc>
        <w:tc>
          <w:tcPr>
            <w:tcW w:w="2280" w:type="dxa"/>
            <w:shd w:val="clear" w:color="auto" w:fill="auto"/>
          </w:tcPr>
          <w:p w:rsidR="008C4F74" w:rsidRPr="00EF0B36" w:rsidRDefault="008C4F74" w:rsidP="00EF0B36">
            <w:pPr>
              <w:keepNext/>
              <w:keepLines/>
              <w:spacing w:after="0"/>
              <w:jc w:val="center"/>
              <w:rPr>
                <w:sz w:val="20"/>
                <w:lang w:eastAsia="da-DK"/>
              </w:rPr>
            </w:pPr>
            <w:r w:rsidRPr="00EF0B36">
              <w:rPr>
                <w:sz w:val="20"/>
                <w:lang w:eastAsia="da-DK"/>
              </w:rPr>
              <w:t>8.0</w:t>
            </w:r>
          </w:p>
        </w:tc>
        <w:tc>
          <w:tcPr>
            <w:tcW w:w="2160" w:type="dxa"/>
            <w:shd w:val="clear" w:color="auto" w:fill="auto"/>
          </w:tcPr>
          <w:p w:rsidR="008C4F74" w:rsidRPr="00EF0B36" w:rsidRDefault="008C4F74" w:rsidP="00EF0B36">
            <w:pPr>
              <w:keepNext/>
              <w:keepLines/>
              <w:spacing w:after="0"/>
              <w:jc w:val="center"/>
              <w:rPr>
                <w:sz w:val="20"/>
                <w:lang w:eastAsia="da-DK"/>
              </w:rPr>
            </w:pPr>
            <w:r w:rsidRPr="00EF0B36">
              <w:rPr>
                <w:sz w:val="20"/>
                <w:lang w:eastAsia="da-DK"/>
              </w:rPr>
              <w:t>9.4</w:t>
            </w:r>
          </w:p>
        </w:tc>
        <w:tc>
          <w:tcPr>
            <w:tcW w:w="1619" w:type="dxa"/>
            <w:shd w:val="clear" w:color="auto" w:fill="auto"/>
          </w:tcPr>
          <w:p w:rsidR="008C4F74" w:rsidRPr="00EF0B36" w:rsidRDefault="008C4F74" w:rsidP="00EF0B36">
            <w:pPr>
              <w:keepNext/>
              <w:keepLines/>
              <w:spacing w:after="0"/>
              <w:jc w:val="center"/>
              <w:rPr>
                <w:sz w:val="20"/>
                <w:lang w:eastAsia="da-DK"/>
              </w:rPr>
            </w:pPr>
            <w:r w:rsidRPr="00EF0B36">
              <w:rPr>
                <w:sz w:val="20"/>
                <w:lang w:eastAsia="da-DK"/>
              </w:rPr>
              <w:t>0.0023</w:t>
            </w:r>
          </w:p>
        </w:tc>
      </w:tr>
      <w:tr w:rsidR="008C4F74" w:rsidRPr="00EF0B36" w:rsidTr="00EF0B36">
        <w:tc>
          <w:tcPr>
            <w:tcW w:w="3228" w:type="dxa"/>
            <w:shd w:val="clear" w:color="auto" w:fill="auto"/>
          </w:tcPr>
          <w:p w:rsidR="008C4F74" w:rsidRPr="00EF0B36" w:rsidRDefault="008C4F74" w:rsidP="00EF0B36">
            <w:pPr>
              <w:keepNext/>
              <w:keepLines/>
              <w:spacing w:after="0"/>
              <w:ind w:left="357"/>
              <w:rPr>
                <w:sz w:val="20"/>
                <w:lang w:eastAsia="da-DK"/>
              </w:rPr>
            </w:pPr>
            <w:r w:rsidRPr="00EF0B36">
              <w:rPr>
                <w:sz w:val="20"/>
                <w:lang w:eastAsia="da-DK"/>
              </w:rPr>
              <w:t>Hazard ratio (97.5% CI)</w:t>
            </w:r>
            <w:r w:rsidRPr="00EF0B36">
              <w:rPr>
                <w:sz w:val="20"/>
                <w:vertAlign w:val="superscript"/>
                <w:lang w:eastAsia="da-DK"/>
              </w:rPr>
              <w:t>a</w:t>
            </w:r>
          </w:p>
        </w:tc>
        <w:tc>
          <w:tcPr>
            <w:tcW w:w="4440" w:type="dxa"/>
            <w:gridSpan w:val="2"/>
            <w:shd w:val="clear" w:color="auto" w:fill="auto"/>
          </w:tcPr>
          <w:p w:rsidR="008C4F74" w:rsidRPr="00EF0B36" w:rsidRDefault="008C4F74" w:rsidP="00EF0B36">
            <w:pPr>
              <w:keepNext/>
              <w:keepLines/>
              <w:spacing w:after="0"/>
              <w:jc w:val="center"/>
              <w:rPr>
                <w:sz w:val="20"/>
                <w:lang w:eastAsia="da-DK"/>
              </w:rPr>
            </w:pPr>
            <w:r w:rsidRPr="00EF0B36">
              <w:rPr>
                <w:sz w:val="20"/>
                <w:lang w:eastAsia="da-DK"/>
              </w:rPr>
              <w:t>0.83 (0.72 - 0.95)</w:t>
            </w:r>
          </w:p>
        </w:tc>
        <w:tc>
          <w:tcPr>
            <w:tcW w:w="1619" w:type="dxa"/>
            <w:shd w:val="clear" w:color="auto" w:fill="auto"/>
          </w:tcPr>
          <w:p w:rsidR="008C4F74" w:rsidRPr="00EF0B36" w:rsidRDefault="008C4F74" w:rsidP="00EF0B36">
            <w:pPr>
              <w:keepNext/>
              <w:keepLines/>
              <w:spacing w:after="0"/>
              <w:rPr>
                <w:sz w:val="20"/>
                <w:lang w:eastAsia="da-DK"/>
              </w:rPr>
            </w:pPr>
          </w:p>
        </w:tc>
      </w:tr>
      <w:tr w:rsidR="008C4F74" w:rsidRPr="00EF0B36" w:rsidTr="00EF0B36">
        <w:tc>
          <w:tcPr>
            <w:tcW w:w="9287" w:type="dxa"/>
            <w:gridSpan w:val="4"/>
            <w:shd w:val="clear" w:color="auto" w:fill="auto"/>
          </w:tcPr>
          <w:p w:rsidR="008C4F74" w:rsidRPr="00883287" w:rsidRDefault="008C4F74" w:rsidP="00EF0B36">
            <w:pPr>
              <w:keepNext/>
              <w:keepLines/>
              <w:spacing w:after="0"/>
              <w:rPr>
                <w:b/>
                <w:sz w:val="20"/>
                <w:lang w:eastAsia="da-DK"/>
              </w:rPr>
            </w:pPr>
            <w:r w:rsidRPr="00883287">
              <w:rPr>
                <w:b/>
                <w:sz w:val="20"/>
                <w:lang w:eastAsia="da-DK"/>
              </w:rPr>
              <w:t>Secondary endpoints</w:t>
            </w:r>
          </w:p>
        </w:tc>
      </w:tr>
      <w:tr w:rsidR="008C4F74" w:rsidRPr="00EF0B36" w:rsidTr="00EF0B36">
        <w:tc>
          <w:tcPr>
            <w:tcW w:w="3228" w:type="dxa"/>
            <w:shd w:val="clear" w:color="auto" w:fill="auto"/>
          </w:tcPr>
          <w:p w:rsidR="008C4F74" w:rsidRPr="00EF0B36" w:rsidRDefault="008C4F74" w:rsidP="00EF0B36">
            <w:pPr>
              <w:spacing w:after="0"/>
              <w:ind w:left="360"/>
              <w:rPr>
                <w:sz w:val="20"/>
                <w:lang w:eastAsia="da-DK"/>
              </w:rPr>
            </w:pPr>
            <w:r w:rsidRPr="00EF0B36">
              <w:rPr>
                <w:sz w:val="20"/>
                <w:lang w:eastAsia="da-DK"/>
              </w:rPr>
              <w:t>Median PFS (on treatment)</w:t>
            </w:r>
            <w:r w:rsidR="00834C1B" w:rsidRPr="00EF0B36">
              <w:rPr>
                <w:sz w:val="20"/>
                <w:lang w:eastAsia="da-DK"/>
              </w:rPr>
              <w:t>^^</w:t>
            </w:r>
            <w:r w:rsidR="002657A6" w:rsidRPr="00EF0B36">
              <w:rPr>
                <w:sz w:val="20"/>
                <w:vertAlign w:val="superscript"/>
                <w:lang w:eastAsia="da-DK"/>
              </w:rPr>
              <w:t>b</w:t>
            </w:r>
          </w:p>
        </w:tc>
        <w:tc>
          <w:tcPr>
            <w:tcW w:w="2280" w:type="dxa"/>
            <w:shd w:val="clear" w:color="auto" w:fill="auto"/>
          </w:tcPr>
          <w:p w:rsidR="008C4F74" w:rsidRPr="00EF0B36" w:rsidRDefault="008C4F74" w:rsidP="00EF0B36">
            <w:pPr>
              <w:spacing w:after="0"/>
              <w:jc w:val="center"/>
              <w:rPr>
                <w:sz w:val="20"/>
                <w:lang w:eastAsia="da-DK"/>
              </w:rPr>
            </w:pPr>
            <w:r w:rsidRPr="00EF0B36">
              <w:rPr>
                <w:sz w:val="20"/>
                <w:lang w:eastAsia="da-DK"/>
              </w:rPr>
              <w:t>7.9</w:t>
            </w:r>
          </w:p>
        </w:tc>
        <w:tc>
          <w:tcPr>
            <w:tcW w:w="2160" w:type="dxa"/>
            <w:shd w:val="clear" w:color="auto" w:fill="auto"/>
          </w:tcPr>
          <w:p w:rsidR="008C4F74" w:rsidRPr="00EF0B36" w:rsidRDefault="008C4F74" w:rsidP="00EF0B36">
            <w:pPr>
              <w:spacing w:after="0"/>
              <w:jc w:val="center"/>
              <w:rPr>
                <w:sz w:val="20"/>
                <w:lang w:eastAsia="da-DK"/>
              </w:rPr>
            </w:pPr>
            <w:r w:rsidRPr="00EF0B36">
              <w:rPr>
                <w:sz w:val="20"/>
                <w:lang w:eastAsia="da-DK"/>
              </w:rPr>
              <w:t>10.4</w:t>
            </w:r>
          </w:p>
        </w:tc>
        <w:tc>
          <w:tcPr>
            <w:tcW w:w="1619" w:type="dxa"/>
            <w:shd w:val="clear" w:color="auto" w:fill="auto"/>
          </w:tcPr>
          <w:p w:rsidR="008C4F74" w:rsidRPr="00EF0B36" w:rsidRDefault="008C4F74" w:rsidP="00EF0B36">
            <w:pPr>
              <w:spacing w:after="0"/>
              <w:jc w:val="center"/>
              <w:rPr>
                <w:sz w:val="20"/>
                <w:lang w:eastAsia="da-DK"/>
              </w:rPr>
            </w:pPr>
            <w:r w:rsidRPr="00EF0B36">
              <w:rPr>
                <w:sz w:val="20"/>
                <w:lang w:eastAsia="da-DK"/>
              </w:rPr>
              <w:t>&lt;0.0001</w:t>
            </w:r>
          </w:p>
        </w:tc>
      </w:tr>
      <w:tr w:rsidR="008C4F74" w:rsidRPr="00EF0B36" w:rsidTr="00EF0B36">
        <w:tc>
          <w:tcPr>
            <w:tcW w:w="3228" w:type="dxa"/>
            <w:shd w:val="clear" w:color="auto" w:fill="auto"/>
          </w:tcPr>
          <w:p w:rsidR="008C4F74" w:rsidRPr="00EF0B36" w:rsidRDefault="008C4F74" w:rsidP="00EF0B36">
            <w:pPr>
              <w:spacing w:after="0"/>
              <w:ind w:left="357"/>
              <w:rPr>
                <w:sz w:val="20"/>
                <w:lang w:eastAsia="da-DK"/>
              </w:rPr>
            </w:pPr>
            <w:r w:rsidRPr="00EF0B36">
              <w:rPr>
                <w:sz w:val="20"/>
                <w:lang w:eastAsia="da-DK"/>
              </w:rPr>
              <w:t>Hazard ratio (97.5% CI)</w:t>
            </w:r>
          </w:p>
        </w:tc>
        <w:tc>
          <w:tcPr>
            <w:tcW w:w="4440" w:type="dxa"/>
            <w:gridSpan w:val="2"/>
            <w:shd w:val="clear" w:color="auto" w:fill="auto"/>
          </w:tcPr>
          <w:p w:rsidR="008C4F74" w:rsidRPr="00EF0B36" w:rsidRDefault="008C4F74" w:rsidP="00EF0B36">
            <w:pPr>
              <w:spacing w:after="0"/>
              <w:jc w:val="center"/>
              <w:rPr>
                <w:sz w:val="20"/>
                <w:lang w:eastAsia="da-DK"/>
              </w:rPr>
            </w:pPr>
            <w:r w:rsidRPr="00EF0B36">
              <w:rPr>
                <w:sz w:val="20"/>
                <w:lang w:eastAsia="da-DK"/>
              </w:rPr>
              <w:t>0.63 (0.52 - 0.75)</w:t>
            </w:r>
          </w:p>
        </w:tc>
        <w:tc>
          <w:tcPr>
            <w:tcW w:w="1619" w:type="dxa"/>
            <w:shd w:val="clear" w:color="auto" w:fill="auto"/>
          </w:tcPr>
          <w:p w:rsidR="008C4F74" w:rsidRPr="00EF0B36" w:rsidRDefault="008C4F74" w:rsidP="00EF0B36">
            <w:pPr>
              <w:spacing w:after="0"/>
              <w:rPr>
                <w:sz w:val="20"/>
                <w:lang w:eastAsia="da-DK"/>
              </w:rPr>
            </w:pPr>
          </w:p>
        </w:tc>
      </w:tr>
      <w:tr w:rsidR="008C4F74" w:rsidRPr="00EF0B36" w:rsidTr="00EF0B36">
        <w:tc>
          <w:tcPr>
            <w:tcW w:w="3228" w:type="dxa"/>
            <w:shd w:val="clear" w:color="auto" w:fill="auto"/>
          </w:tcPr>
          <w:p w:rsidR="008C4F74" w:rsidRPr="00EF0B36" w:rsidRDefault="00F9411C" w:rsidP="00EF0B36">
            <w:pPr>
              <w:spacing w:after="0"/>
              <w:ind w:left="357"/>
              <w:rPr>
                <w:sz w:val="20"/>
                <w:lang w:eastAsia="da-DK"/>
              </w:rPr>
            </w:pPr>
            <w:r w:rsidRPr="00EF0B36">
              <w:rPr>
                <w:sz w:val="20"/>
                <w:lang w:eastAsia="da-DK"/>
              </w:rPr>
              <w:t xml:space="preserve">Overall response rate </w:t>
            </w:r>
            <w:r w:rsidRPr="00EF0B36">
              <w:rPr>
                <w:sz w:val="20"/>
                <w:lang w:eastAsia="da-DK"/>
              </w:rPr>
              <w:br/>
              <w:t>(Investigator</w:t>
            </w:r>
            <w:r w:rsidR="008C4F74" w:rsidRPr="00EF0B36">
              <w:rPr>
                <w:sz w:val="20"/>
                <w:lang w:eastAsia="da-DK"/>
              </w:rPr>
              <w:t xml:space="preserve"> Assessment</w:t>
            </w:r>
            <w:r w:rsidR="00834C1B" w:rsidRPr="00EF0B36">
              <w:rPr>
                <w:sz w:val="20"/>
                <w:lang w:eastAsia="da-DK"/>
              </w:rPr>
              <w:t>)^^</w:t>
            </w:r>
          </w:p>
        </w:tc>
        <w:tc>
          <w:tcPr>
            <w:tcW w:w="2280" w:type="dxa"/>
            <w:shd w:val="clear" w:color="auto" w:fill="auto"/>
          </w:tcPr>
          <w:p w:rsidR="008C4F74" w:rsidRPr="00EF0B36" w:rsidRDefault="008C4F74" w:rsidP="00EF0B36">
            <w:pPr>
              <w:spacing w:after="0"/>
              <w:jc w:val="center"/>
              <w:rPr>
                <w:sz w:val="20"/>
                <w:lang w:eastAsia="da-DK"/>
              </w:rPr>
            </w:pPr>
            <w:r w:rsidRPr="00EF0B36">
              <w:rPr>
                <w:sz w:val="20"/>
                <w:lang w:eastAsia="da-DK"/>
              </w:rPr>
              <w:t>49.2%</w:t>
            </w:r>
          </w:p>
        </w:tc>
        <w:tc>
          <w:tcPr>
            <w:tcW w:w="2160" w:type="dxa"/>
            <w:shd w:val="clear" w:color="auto" w:fill="auto"/>
          </w:tcPr>
          <w:p w:rsidR="008C4F74" w:rsidRPr="00EF0B36" w:rsidRDefault="008C4F74" w:rsidP="00EF0B36">
            <w:pPr>
              <w:spacing w:after="0"/>
              <w:jc w:val="center"/>
              <w:rPr>
                <w:sz w:val="20"/>
                <w:lang w:eastAsia="da-DK"/>
              </w:rPr>
            </w:pPr>
            <w:r w:rsidRPr="00EF0B36">
              <w:rPr>
                <w:sz w:val="20"/>
                <w:lang w:eastAsia="da-DK"/>
              </w:rPr>
              <w:t>46.5%</w:t>
            </w:r>
          </w:p>
        </w:tc>
        <w:tc>
          <w:tcPr>
            <w:tcW w:w="1619" w:type="dxa"/>
            <w:shd w:val="clear" w:color="auto" w:fill="auto"/>
          </w:tcPr>
          <w:p w:rsidR="008C4F74" w:rsidRPr="00EF0B36" w:rsidRDefault="008C4F74" w:rsidP="00EF0B36">
            <w:pPr>
              <w:spacing w:after="0"/>
              <w:jc w:val="center"/>
              <w:rPr>
                <w:sz w:val="20"/>
                <w:lang w:eastAsia="da-DK"/>
              </w:rPr>
            </w:pPr>
          </w:p>
        </w:tc>
      </w:tr>
      <w:tr w:rsidR="008C4F74" w:rsidRPr="00EF0B36" w:rsidTr="00EF0B36">
        <w:tc>
          <w:tcPr>
            <w:tcW w:w="3228" w:type="dxa"/>
            <w:shd w:val="clear" w:color="auto" w:fill="auto"/>
          </w:tcPr>
          <w:p w:rsidR="008C4F74" w:rsidRPr="00EF0B36" w:rsidRDefault="008C4F74" w:rsidP="00EF0B36">
            <w:pPr>
              <w:spacing w:after="0"/>
              <w:ind w:left="360"/>
              <w:rPr>
                <w:sz w:val="20"/>
                <w:lang w:eastAsia="da-DK"/>
              </w:rPr>
            </w:pPr>
            <w:r w:rsidRPr="00EF0B36">
              <w:rPr>
                <w:sz w:val="20"/>
                <w:lang w:eastAsia="da-DK"/>
              </w:rPr>
              <w:t>Median overall survival</w:t>
            </w:r>
            <w:r w:rsidR="00834C1B" w:rsidRPr="00EF0B36">
              <w:rPr>
                <w:sz w:val="20"/>
                <w:lang w:eastAsia="da-DK"/>
              </w:rPr>
              <w:t>^</w:t>
            </w:r>
          </w:p>
        </w:tc>
        <w:tc>
          <w:tcPr>
            <w:tcW w:w="2280" w:type="dxa"/>
            <w:shd w:val="clear" w:color="auto" w:fill="auto"/>
          </w:tcPr>
          <w:p w:rsidR="008C4F74" w:rsidRPr="00EF0B36" w:rsidRDefault="008C4F74" w:rsidP="00EF0B36">
            <w:pPr>
              <w:spacing w:after="0"/>
              <w:jc w:val="center"/>
              <w:rPr>
                <w:sz w:val="20"/>
                <w:lang w:eastAsia="da-DK"/>
              </w:rPr>
            </w:pPr>
            <w:r w:rsidRPr="00EF0B36">
              <w:rPr>
                <w:sz w:val="20"/>
                <w:lang w:eastAsia="da-DK"/>
              </w:rPr>
              <w:t>19.9</w:t>
            </w:r>
          </w:p>
        </w:tc>
        <w:tc>
          <w:tcPr>
            <w:tcW w:w="2160" w:type="dxa"/>
            <w:shd w:val="clear" w:color="auto" w:fill="auto"/>
          </w:tcPr>
          <w:p w:rsidR="008C4F74" w:rsidRPr="00EF0B36" w:rsidRDefault="008C4F74" w:rsidP="00EF0B36">
            <w:pPr>
              <w:spacing w:after="0"/>
              <w:jc w:val="center"/>
              <w:rPr>
                <w:sz w:val="20"/>
                <w:lang w:eastAsia="da-DK"/>
              </w:rPr>
            </w:pPr>
            <w:r w:rsidRPr="00EF0B36">
              <w:rPr>
                <w:sz w:val="20"/>
                <w:lang w:eastAsia="da-DK"/>
              </w:rPr>
              <w:t>21.2</w:t>
            </w:r>
          </w:p>
        </w:tc>
        <w:tc>
          <w:tcPr>
            <w:tcW w:w="1619" w:type="dxa"/>
            <w:shd w:val="clear" w:color="auto" w:fill="auto"/>
          </w:tcPr>
          <w:p w:rsidR="008C4F74" w:rsidRPr="00EF0B36" w:rsidRDefault="008C4F74" w:rsidP="00EF0B36">
            <w:pPr>
              <w:spacing w:after="0"/>
              <w:jc w:val="center"/>
              <w:rPr>
                <w:sz w:val="20"/>
                <w:lang w:eastAsia="da-DK"/>
              </w:rPr>
            </w:pPr>
            <w:r w:rsidRPr="00EF0B36">
              <w:rPr>
                <w:sz w:val="20"/>
                <w:lang w:eastAsia="da-DK"/>
              </w:rPr>
              <w:t>0.0769</w:t>
            </w:r>
          </w:p>
        </w:tc>
      </w:tr>
      <w:tr w:rsidR="008C4F74" w:rsidRPr="00EF0B36" w:rsidTr="00EF0B36">
        <w:tc>
          <w:tcPr>
            <w:tcW w:w="3228" w:type="dxa"/>
            <w:shd w:val="clear" w:color="auto" w:fill="auto"/>
          </w:tcPr>
          <w:p w:rsidR="008C4F74" w:rsidRPr="00EF0B36" w:rsidRDefault="008C4F74" w:rsidP="00EF0B36">
            <w:pPr>
              <w:spacing w:after="0"/>
              <w:ind w:left="357"/>
              <w:rPr>
                <w:sz w:val="20"/>
                <w:lang w:eastAsia="da-DK"/>
              </w:rPr>
            </w:pPr>
            <w:r w:rsidRPr="00EF0B36">
              <w:rPr>
                <w:sz w:val="20"/>
                <w:lang w:eastAsia="da-DK"/>
              </w:rPr>
              <w:t>Hazard ratio (97.5% CI)</w:t>
            </w:r>
          </w:p>
        </w:tc>
        <w:tc>
          <w:tcPr>
            <w:tcW w:w="4440" w:type="dxa"/>
            <w:gridSpan w:val="2"/>
            <w:shd w:val="clear" w:color="auto" w:fill="auto"/>
          </w:tcPr>
          <w:p w:rsidR="008C4F74" w:rsidRPr="00EF0B36" w:rsidRDefault="008C4F74" w:rsidP="00EF0B36">
            <w:pPr>
              <w:spacing w:after="0"/>
              <w:jc w:val="center"/>
              <w:rPr>
                <w:sz w:val="20"/>
                <w:lang w:eastAsia="da-DK"/>
              </w:rPr>
            </w:pPr>
            <w:r w:rsidRPr="00EF0B36">
              <w:rPr>
                <w:sz w:val="20"/>
                <w:lang w:eastAsia="da-DK"/>
              </w:rPr>
              <w:t>0.89 (0.76 - 1.03)</w:t>
            </w:r>
          </w:p>
        </w:tc>
        <w:tc>
          <w:tcPr>
            <w:tcW w:w="1619" w:type="dxa"/>
            <w:shd w:val="clear" w:color="auto" w:fill="auto"/>
          </w:tcPr>
          <w:p w:rsidR="008C4F74" w:rsidRPr="00EF0B36" w:rsidRDefault="008C4F74" w:rsidP="00EF0B36">
            <w:pPr>
              <w:spacing w:after="0"/>
              <w:rPr>
                <w:sz w:val="20"/>
                <w:lang w:eastAsia="da-DK"/>
              </w:rPr>
            </w:pPr>
          </w:p>
        </w:tc>
      </w:tr>
    </w:tbl>
    <w:p w:rsidR="008C4F74" w:rsidRPr="00AE1243" w:rsidRDefault="00834C1B" w:rsidP="008F4FF8">
      <w:pPr>
        <w:spacing w:after="0"/>
        <w:rPr>
          <w:i/>
          <w:sz w:val="20"/>
        </w:rPr>
      </w:pPr>
      <w:r w:rsidRPr="00AE1243">
        <w:rPr>
          <w:i/>
          <w:sz w:val="20"/>
        </w:rPr>
        <w:t>^</w:t>
      </w:r>
      <w:r w:rsidR="008C4F74" w:rsidRPr="00AE1243">
        <w:rPr>
          <w:i/>
          <w:sz w:val="20"/>
        </w:rPr>
        <w:t xml:space="preserve"> Overall survival analysis at clinical cut-off 31 January 2007</w:t>
      </w:r>
    </w:p>
    <w:p w:rsidR="008C4F74" w:rsidRPr="00AE1243" w:rsidRDefault="00834C1B" w:rsidP="008F4FF8">
      <w:pPr>
        <w:spacing w:after="0"/>
        <w:rPr>
          <w:i/>
          <w:sz w:val="20"/>
        </w:rPr>
      </w:pPr>
      <w:r w:rsidRPr="00AE1243">
        <w:rPr>
          <w:i/>
          <w:sz w:val="20"/>
        </w:rPr>
        <w:t xml:space="preserve">^^ </w:t>
      </w:r>
      <w:r w:rsidR="008C4F74" w:rsidRPr="00AE1243">
        <w:rPr>
          <w:i/>
          <w:sz w:val="20"/>
        </w:rPr>
        <w:t>Primary analysis at clinical cut-off 31 January 2006</w:t>
      </w:r>
    </w:p>
    <w:p w:rsidR="008C4F74" w:rsidRPr="00AE1243" w:rsidRDefault="008C4F74" w:rsidP="008F4FF8">
      <w:pPr>
        <w:spacing w:after="0"/>
        <w:rPr>
          <w:i/>
          <w:sz w:val="20"/>
        </w:rPr>
      </w:pPr>
      <w:r w:rsidRPr="00AE1243">
        <w:rPr>
          <w:i/>
          <w:sz w:val="20"/>
          <w:vertAlign w:val="superscript"/>
        </w:rPr>
        <w:t>a</w:t>
      </w:r>
      <w:r w:rsidRPr="00AE1243">
        <w:rPr>
          <w:i/>
          <w:sz w:val="20"/>
        </w:rPr>
        <w:t xml:space="preserve"> relative to control arm</w:t>
      </w:r>
      <w:r w:rsidR="00834C1B">
        <w:rPr>
          <w:i/>
          <w:sz w:val="20"/>
        </w:rPr>
        <w:t>:</w:t>
      </w:r>
      <w:r w:rsidR="00834C1B">
        <w:rPr>
          <w:i/>
          <w:sz w:val="20"/>
          <w:vertAlign w:val="superscript"/>
        </w:rPr>
        <w:t xml:space="preserve"> </w:t>
      </w:r>
      <w:r w:rsidR="002657A6" w:rsidRPr="00AE1243">
        <w:rPr>
          <w:i/>
          <w:sz w:val="20"/>
          <w:vertAlign w:val="superscript"/>
        </w:rPr>
        <w:t>b</w:t>
      </w:r>
      <w:r w:rsidR="002657A6" w:rsidRPr="00AE1243">
        <w:rPr>
          <w:i/>
          <w:sz w:val="20"/>
        </w:rPr>
        <w:t xml:space="preserve"> PFS on-treatment: based on investigator tumour assessments and death events that occurred no later than 28 days after the last confirmed intake of any study medication in the primary study treatment phase (5-FU, </w:t>
      </w:r>
      <w:proofErr w:type="spellStart"/>
      <w:r w:rsidR="002657A6" w:rsidRPr="00AE1243">
        <w:rPr>
          <w:i/>
          <w:sz w:val="20"/>
        </w:rPr>
        <w:t>oxaliplatin</w:t>
      </w:r>
      <w:proofErr w:type="spellEnd"/>
      <w:r w:rsidR="002657A6" w:rsidRPr="00AE1243">
        <w:rPr>
          <w:i/>
          <w:sz w:val="20"/>
        </w:rPr>
        <w:t xml:space="preserve">, </w:t>
      </w:r>
      <w:proofErr w:type="spellStart"/>
      <w:r w:rsidR="002657A6" w:rsidRPr="00AE1243">
        <w:rPr>
          <w:i/>
          <w:sz w:val="20"/>
        </w:rPr>
        <w:t>capecitabine</w:t>
      </w:r>
      <w:proofErr w:type="spellEnd"/>
      <w:r w:rsidR="002657A6" w:rsidRPr="00AE1243">
        <w:rPr>
          <w:i/>
          <w:sz w:val="20"/>
        </w:rPr>
        <w:t xml:space="preserve">, or </w:t>
      </w:r>
      <w:r w:rsidR="00834C1B">
        <w:rPr>
          <w:i/>
          <w:sz w:val="20"/>
        </w:rPr>
        <w:t>AVASTIN</w:t>
      </w:r>
      <w:r w:rsidR="002657A6" w:rsidRPr="00AE1243">
        <w:rPr>
          <w:i/>
          <w:sz w:val="20"/>
        </w:rPr>
        <w:t>/placebo, which ever was taken last)</w:t>
      </w:r>
    </w:p>
    <w:p w:rsidR="00592234" w:rsidRPr="00255B60" w:rsidRDefault="00592234" w:rsidP="00533539">
      <w:pPr>
        <w:rPr>
          <w:color w:val="000000"/>
          <w:sz w:val="20"/>
        </w:rPr>
      </w:pPr>
    </w:p>
    <w:p w:rsidR="00533539" w:rsidRPr="00255B60" w:rsidRDefault="00533539" w:rsidP="00533539">
      <w:pPr>
        <w:autoSpaceDE w:val="0"/>
        <w:autoSpaceDN w:val="0"/>
        <w:adjustRightInd w:val="0"/>
        <w:jc w:val="both"/>
        <w:rPr>
          <w:rFonts w:eastAsia="MS Mincho"/>
          <w:color w:val="000000"/>
          <w:sz w:val="24"/>
          <w:szCs w:val="24"/>
          <w:lang w:val="en-US"/>
        </w:rPr>
      </w:pPr>
      <w:r w:rsidRPr="00395FA3">
        <w:rPr>
          <w:rFonts w:eastAsia="MS Mincho"/>
          <w:color w:val="000000"/>
          <w:sz w:val="24"/>
          <w:szCs w:val="24"/>
          <w:lang w:val="en-US"/>
        </w:rPr>
        <w:t xml:space="preserve">Overall response rate was similar in the chemotherapy plus </w:t>
      </w:r>
      <w:r w:rsidRPr="00395FA3">
        <w:rPr>
          <w:color w:val="000000"/>
        </w:rPr>
        <w:t>AVASTIN</w:t>
      </w:r>
      <w:r w:rsidRPr="00395FA3">
        <w:rPr>
          <w:rFonts w:eastAsia="MS Mincho"/>
          <w:color w:val="000000"/>
          <w:sz w:val="24"/>
          <w:szCs w:val="24"/>
          <w:lang w:val="en-US"/>
        </w:rPr>
        <w:t xml:space="preserve"> arm (46.5%) and in chemotherapy alone arm (49.2%).</w:t>
      </w:r>
    </w:p>
    <w:p w:rsidR="00533539" w:rsidRPr="00255B60" w:rsidRDefault="00533539" w:rsidP="00533539">
      <w:pPr>
        <w:autoSpaceDE w:val="0"/>
        <w:autoSpaceDN w:val="0"/>
        <w:adjustRightInd w:val="0"/>
        <w:rPr>
          <w:b/>
          <w:color w:val="000000"/>
          <w:lang w:val="en-US"/>
        </w:rPr>
      </w:pPr>
    </w:p>
    <w:p w:rsidR="00533539" w:rsidRPr="00255B60" w:rsidRDefault="00533539" w:rsidP="00533539">
      <w:pPr>
        <w:pStyle w:val="TextTi12"/>
        <w:rPr>
          <w:color w:val="000000"/>
        </w:rPr>
      </w:pPr>
      <w:r w:rsidRPr="00255B60">
        <w:rPr>
          <w:b/>
          <w:color w:val="000000"/>
        </w:rPr>
        <w:t>Study ECOG E3200</w:t>
      </w:r>
      <w:r w:rsidRPr="00255B60">
        <w:rPr>
          <w:color w:val="000000"/>
        </w:rPr>
        <w:t xml:space="preserve"> </w:t>
      </w:r>
    </w:p>
    <w:p w:rsidR="00533539" w:rsidRDefault="00533539" w:rsidP="00533539">
      <w:pPr>
        <w:pStyle w:val="TextTi12"/>
      </w:pPr>
      <w:r w:rsidRPr="00255B60">
        <w:rPr>
          <w:color w:val="000000"/>
        </w:rPr>
        <w:t xml:space="preserve">This was a phase III </w:t>
      </w:r>
      <w:proofErr w:type="spellStart"/>
      <w:r w:rsidRPr="00255B60">
        <w:rPr>
          <w:color w:val="000000"/>
        </w:rPr>
        <w:t>randomised</w:t>
      </w:r>
      <w:proofErr w:type="spellEnd"/>
      <w:r w:rsidRPr="00255B60">
        <w:rPr>
          <w:color w:val="000000"/>
        </w:rPr>
        <w:t xml:space="preserve">, active-controlled, open-label study investigating AVASTIN 10 mg/kg in combination with </w:t>
      </w:r>
      <w:proofErr w:type="spellStart"/>
      <w:r w:rsidRPr="00255B60">
        <w:rPr>
          <w:color w:val="000000"/>
        </w:rPr>
        <w:t>leucovorin</w:t>
      </w:r>
      <w:proofErr w:type="spellEnd"/>
      <w:r w:rsidRPr="00255B60">
        <w:rPr>
          <w:color w:val="000000"/>
        </w:rPr>
        <w:t xml:space="preserve"> with fluorouracil bolus and then fluorouracil </w:t>
      </w:r>
      <w:proofErr w:type="spellStart"/>
      <w:r w:rsidRPr="00255B60">
        <w:rPr>
          <w:color w:val="000000"/>
        </w:rPr>
        <w:t>infusional</w:t>
      </w:r>
      <w:proofErr w:type="spellEnd"/>
      <w:r w:rsidRPr="00255B60">
        <w:rPr>
          <w:color w:val="000000"/>
        </w:rPr>
        <w:t xml:space="preserve">, with </w:t>
      </w:r>
      <w:r w:rsidR="00834C1B">
        <w:rPr>
          <w:color w:val="000000"/>
        </w:rPr>
        <w:t>IV</w:t>
      </w:r>
      <w:r w:rsidR="00834C1B">
        <w:t xml:space="preserve"> </w:t>
      </w:r>
      <w:proofErr w:type="spellStart"/>
      <w:r>
        <w:t>oxaliplatin</w:t>
      </w:r>
      <w:proofErr w:type="spellEnd"/>
      <w:r>
        <w:t xml:space="preserve"> (FOLFOX-4), administered on a 2</w:t>
      </w:r>
      <w:r w:rsidR="008541DA">
        <w:t xml:space="preserve"> </w:t>
      </w:r>
      <w:r>
        <w:t xml:space="preserve">weekly schedule in previously-treated patients (second line) with advanced colorectal cancer.  In the chemotherapy arms, the FOLFOX-4 regimen used the same doses and schedule as shown in Table 4 for Study NO16966. </w:t>
      </w:r>
    </w:p>
    <w:p w:rsidR="00533539" w:rsidRDefault="00533539" w:rsidP="00533539">
      <w:pPr>
        <w:pStyle w:val="TextTi12"/>
      </w:pPr>
      <w:r>
        <w:t xml:space="preserve">The primary efficacy parameter of the trial was overall survival, defined as the time from </w:t>
      </w:r>
      <w:proofErr w:type="spellStart"/>
      <w:r>
        <w:t>randomisation</w:t>
      </w:r>
      <w:proofErr w:type="spellEnd"/>
      <w:r>
        <w:t xml:space="preserve"> to death from any cause.  </w:t>
      </w:r>
      <w:r w:rsidDel="00B75A41">
        <w:t xml:space="preserve">Eight hundred and twenty-nine patients were </w:t>
      </w:r>
      <w:proofErr w:type="spellStart"/>
      <w:r w:rsidDel="00B75A41">
        <w:t>randomi</w:t>
      </w:r>
      <w:r>
        <w:t>s</w:t>
      </w:r>
      <w:r w:rsidDel="00B75A41">
        <w:t>ed</w:t>
      </w:r>
      <w:proofErr w:type="spellEnd"/>
      <w:r w:rsidDel="00B75A41">
        <w:t xml:space="preserve"> (292 FOLFOX-4, 293 </w:t>
      </w:r>
      <w:r>
        <w:t>AVASTIN</w:t>
      </w:r>
      <w:r w:rsidDel="00B75A41">
        <w:t xml:space="preserve"> +_FOLFOX-4 and 244 </w:t>
      </w:r>
      <w:r>
        <w:t>AVASTIN</w:t>
      </w:r>
      <w:r w:rsidDel="00B75A41">
        <w:t xml:space="preserve"> monotherapy). </w:t>
      </w:r>
      <w:r>
        <w:t xml:space="preserve"> </w:t>
      </w:r>
      <w:r w:rsidRPr="00A56D8D">
        <w:t xml:space="preserve">The addition of </w:t>
      </w:r>
      <w:r>
        <w:t>AVASTIN</w:t>
      </w:r>
      <w:r w:rsidRPr="00A56D8D">
        <w:t xml:space="preserve"> to </w:t>
      </w:r>
      <w:r>
        <w:t xml:space="preserve">FOLFOX-4 resulted in a </w:t>
      </w:r>
      <w:r w:rsidRPr="00A56D8D">
        <w:t xml:space="preserve">statistically significant </w:t>
      </w:r>
      <w:r>
        <w:t>prolongation of survival</w:t>
      </w:r>
      <w:r w:rsidRPr="00A56D8D">
        <w:t>.</w:t>
      </w:r>
      <w:r>
        <w:t xml:space="preserve">  Statistically significant improvements in progression-free survival and objective response rate were also observed (see Table 6). </w:t>
      </w:r>
    </w:p>
    <w:p w:rsidR="00533539" w:rsidRPr="008F5113" w:rsidRDefault="00533539" w:rsidP="00533539">
      <w:pPr>
        <w:pStyle w:val="HdTab1"/>
        <w:ind w:left="567" w:hanging="567"/>
        <w:rPr>
          <w:rFonts w:ascii="Times New Roman" w:hAnsi="Times New Roman"/>
        </w:rPr>
      </w:pPr>
      <w:r>
        <w:rPr>
          <w:rFonts w:ascii="Times New Roman" w:hAnsi="Times New Roman"/>
        </w:rPr>
        <w:lastRenderedPageBreak/>
        <w:tab/>
      </w:r>
      <w:r w:rsidRPr="008F5113">
        <w:rPr>
          <w:rFonts w:ascii="Times New Roman" w:hAnsi="Times New Roman"/>
        </w:rPr>
        <w:t>Table 6</w:t>
      </w:r>
      <w:r>
        <w:rPr>
          <w:rFonts w:ascii="Times New Roman" w:hAnsi="Times New Roman"/>
        </w:rPr>
        <w:t xml:space="preserve">:  </w:t>
      </w:r>
      <w:r w:rsidRPr="008F5113">
        <w:rPr>
          <w:rFonts w:ascii="Times New Roman" w:hAnsi="Times New Roman"/>
        </w:rPr>
        <w:t>Efficacy Results for Study E3200</w:t>
      </w:r>
    </w:p>
    <w:tbl>
      <w:tblPr>
        <w:tblW w:w="0" w:type="auto"/>
        <w:jc w:val="center"/>
        <w:tblInd w:w="-2168" w:type="dxa"/>
        <w:tblLayout w:type="fixed"/>
        <w:tblLook w:val="0000" w:firstRow="0" w:lastRow="0" w:firstColumn="0" w:lastColumn="0" w:noHBand="0" w:noVBand="0"/>
      </w:tblPr>
      <w:tblGrid>
        <w:gridCol w:w="4385"/>
        <w:gridCol w:w="1980"/>
        <w:gridCol w:w="2091"/>
      </w:tblGrid>
      <w:tr w:rsidR="00533539" w:rsidRPr="00A56D8D" w:rsidTr="007A7E0D">
        <w:trPr>
          <w:cantSplit/>
          <w:trHeight w:val="457"/>
          <w:jc w:val="center"/>
        </w:trPr>
        <w:tc>
          <w:tcPr>
            <w:tcW w:w="4385" w:type="dxa"/>
            <w:tcBorders>
              <w:left w:val="single" w:sz="8" w:space="0" w:color="auto"/>
              <w:bottom w:val="single" w:sz="8" w:space="0" w:color="auto"/>
              <w:right w:val="single" w:sz="8" w:space="0" w:color="auto"/>
            </w:tcBorders>
            <w:vAlign w:val="bottom"/>
          </w:tcPr>
          <w:p w:rsidR="00533539" w:rsidRPr="00A56D8D" w:rsidRDefault="00533539" w:rsidP="007A7E0D">
            <w:pPr>
              <w:pStyle w:val="TableCellCenter"/>
              <w:rPr>
                <w:sz w:val="18"/>
                <w:szCs w:val="18"/>
              </w:rPr>
            </w:pPr>
          </w:p>
        </w:tc>
        <w:tc>
          <w:tcPr>
            <w:tcW w:w="1980" w:type="dxa"/>
            <w:tcBorders>
              <w:top w:val="single" w:sz="4" w:space="0" w:color="auto"/>
              <w:left w:val="single" w:sz="8" w:space="0" w:color="auto"/>
              <w:bottom w:val="single" w:sz="8" w:space="0" w:color="auto"/>
            </w:tcBorders>
            <w:vAlign w:val="bottom"/>
          </w:tcPr>
          <w:p w:rsidR="00533539" w:rsidRPr="008F4FF8" w:rsidRDefault="00533539" w:rsidP="008F4FF8">
            <w:pPr>
              <w:pStyle w:val="TableCellCenter"/>
              <w:spacing w:before="0" w:after="0" w:line="240" w:lineRule="auto"/>
              <w:rPr>
                <w:b/>
              </w:rPr>
            </w:pPr>
            <w:r w:rsidRPr="008F4FF8">
              <w:rPr>
                <w:b/>
              </w:rPr>
              <w:t>FOLFOX-4</w:t>
            </w:r>
          </w:p>
        </w:tc>
        <w:tc>
          <w:tcPr>
            <w:tcW w:w="2091" w:type="dxa"/>
            <w:tcBorders>
              <w:top w:val="single" w:sz="4" w:space="0" w:color="auto"/>
              <w:bottom w:val="single" w:sz="8" w:space="0" w:color="auto"/>
              <w:right w:val="single" w:sz="8" w:space="0" w:color="auto"/>
            </w:tcBorders>
            <w:shd w:val="clear" w:color="auto" w:fill="auto"/>
            <w:vAlign w:val="bottom"/>
          </w:tcPr>
          <w:p w:rsidR="00533539" w:rsidRPr="008F4FF8" w:rsidRDefault="00533539" w:rsidP="008F4FF8">
            <w:pPr>
              <w:pStyle w:val="TableCellCenter"/>
              <w:spacing w:before="0" w:after="0" w:line="240" w:lineRule="auto"/>
              <w:rPr>
                <w:b/>
              </w:rPr>
            </w:pPr>
            <w:r w:rsidRPr="008F4FF8">
              <w:rPr>
                <w:b/>
              </w:rPr>
              <w:t>FOLFOX-4 </w:t>
            </w:r>
            <w:r w:rsidRPr="008F4FF8">
              <w:rPr>
                <w:rFonts w:ascii="Symbol" w:hAnsi="Symbol"/>
                <w:b/>
              </w:rPr>
              <w:t></w:t>
            </w:r>
            <w:r w:rsidRPr="008F4FF8">
              <w:rPr>
                <w:b/>
              </w:rPr>
              <w:t xml:space="preserve">  </w:t>
            </w:r>
            <w:proofErr w:type="spellStart"/>
            <w:r w:rsidRPr="008F4FF8">
              <w:rPr>
                <w:b/>
              </w:rPr>
              <w:t>Avastin</w:t>
            </w:r>
            <w:r w:rsidRPr="008F4FF8">
              <w:rPr>
                <w:b/>
                <w:vertAlign w:val="superscript"/>
              </w:rPr>
              <w:t>a</w:t>
            </w:r>
            <w:proofErr w:type="spellEnd"/>
          </w:p>
        </w:tc>
      </w:tr>
      <w:tr w:rsidR="00533539" w:rsidRPr="00A56D8D" w:rsidTr="007A7E0D">
        <w:trPr>
          <w:cantSplit/>
          <w:jc w:val="center"/>
        </w:trPr>
        <w:tc>
          <w:tcPr>
            <w:tcW w:w="4385" w:type="dxa"/>
            <w:tcBorders>
              <w:top w:val="single" w:sz="8" w:space="0" w:color="auto"/>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rPr>
                <w:i/>
              </w:rPr>
            </w:pPr>
            <w:r w:rsidRPr="008F4FF8">
              <w:rPr>
                <w:i/>
              </w:rPr>
              <w:t>Number of Patients</w:t>
            </w:r>
          </w:p>
        </w:tc>
        <w:tc>
          <w:tcPr>
            <w:tcW w:w="1980" w:type="dxa"/>
            <w:tcBorders>
              <w:top w:val="single" w:sz="8" w:space="0" w:color="auto"/>
              <w:left w:val="single" w:sz="8" w:space="0" w:color="auto"/>
              <w:bottom w:val="single" w:sz="4" w:space="0" w:color="auto"/>
            </w:tcBorders>
          </w:tcPr>
          <w:p w:rsidR="00533539" w:rsidRPr="008F4FF8" w:rsidRDefault="00533539" w:rsidP="008F4FF8">
            <w:pPr>
              <w:pStyle w:val="TableCellCenter"/>
              <w:spacing w:before="0" w:after="0" w:line="240" w:lineRule="auto"/>
              <w:rPr>
                <w:i/>
              </w:rPr>
            </w:pPr>
            <w:r w:rsidRPr="008F4FF8">
              <w:rPr>
                <w:i/>
              </w:rPr>
              <w:t>292</w:t>
            </w:r>
          </w:p>
        </w:tc>
        <w:tc>
          <w:tcPr>
            <w:tcW w:w="2091" w:type="dxa"/>
            <w:tcBorders>
              <w:top w:val="single" w:sz="8" w:space="0" w:color="auto"/>
              <w:bottom w:val="single" w:sz="4" w:space="0" w:color="auto"/>
              <w:right w:val="single" w:sz="8" w:space="0" w:color="auto"/>
            </w:tcBorders>
          </w:tcPr>
          <w:p w:rsidR="00533539" w:rsidRPr="00AE1243" w:rsidRDefault="00533539" w:rsidP="008F4FF8">
            <w:pPr>
              <w:pStyle w:val="TableCellCenter"/>
              <w:spacing w:before="0" w:after="0" w:line="240" w:lineRule="auto"/>
              <w:rPr>
                <w:i/>
                <w:sz w:val="18"/>
                <w:szCs w:val="18"/>
              </w:rPr>
            </w:pPr>
            <w:r w:rsidRPr="00AE1243">
              <w:rPr>
                <w:i/>
                <w:sz w:val="18"/>
                <w:szCs w:val="18"/>
              </w:rPr>
              <w:t>293</w:t>
            </w:r>
          </w:p>
        </w:tc>
      </w:tr>
      <w:tr w:rsidR="00533539" w:rsidRPr="00A56D8D" w:rsidTr="007A7E0D">
        <w:trPr>
          <w:cantSplit/>
          <w:jc w:val="center"/>
        </w:trPr>
        <w:tc>
          <w:tcPr>
            <w:tcW w:w="4385" w:type="dxa"/>
            <w:tcBorders>
              <w:top w:val="single" w:sz="4" w:space="0" w:color="auto"/>
              <w:left w:val="single" w:sz="8" w:space="0" w:color="auto"/>
              <w:bottom w:val="single" w:sz="4" w:space="0" w:color="auto"/>
              <w:right w:val="single" w:sz="8" w:space="0" w:color="auto"/>
            </w:tcBorders>
          </w:tcPr>
          <w:p w:rsidR="00533539" w:rsidRPr="008F4FF8" w:rsidRDefault="00533539" w:rsidP="008F4FF8">
            <w:pPr>
              <w:pStyle w:val="TableCellHead"/>
              <w:spacing w:before="0" w:line="240" w:lineRule="auto"/>
              <w:rPr>
                <w:b/>
                <w:u w:val="none"/>
              </w:rPr>
            </w:pPr>
            <w:r w:rsidRPr="008F4FF8">
              <w:rPr>
                <w:b/>
                <w:u w:val="none"/>
              </w:rPr>
              <w:t>Overall Survival</w:t>
            </w:r>
          </w:p>
        </w:tc>
        <w:tc>
          <w:tcPr>
            <w:tcW w:w="1980" w:type="dxa"/>
            <w:tcBorders>
              <w:top w:val="single" w:sz="4" w:space="0" w:color="auto"/>
              <w:left w:val="single" w:sz="8" w:space="0" w:color="auto"/>
              <w:bottom w:val="single" w:sz="4" w:space="0" w:color="auto"/>
            </w:tcBorders>
          </w:tcPr>
          <w:p w:rsidR="00533539" w:rsidRPr="008F4FF8" w:rsidRDefault="00533539" w:rsidP="008F4FF8">
            <w:pPr>
              <w:pStyle w:val="TableCellCenter"/>
              <w:spacing w:before="0" w:after="0" w:line="240" w:lineRule="auto"/>
            </w:pPr>
          </w:p>
        </w:tc>
        <w:tc>
          <w:tcPr>
            <w:tcW w:w="2091" w:type="dxa"/>
            <w:tcBorders>
              <w:top w:val="single" w:sz="4" w:space="0" w:color="auto"/>
              <w:bottom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p>
        </w:tc>
      </w:tr>
      <w:tr w:rsidR="00533539" w:rsidRPr="00A56D8D" w:rsidTr="007A7E0D">
        <w:trPr>
          <w:cantSplit/>
          <w:jc w:val="center"/>
        </w:trPr>
        <w:tc>
          <w:tcPr>
            <w:tcW w:w="4385" w:type="dxa"/>
            <w:tcBorders>
              <w:top w:val="single" w:sz="4" w:space="0" w:color="auto"/>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r w:rsidRPr="008F4FF8">
              <w:t>Median (months)</w:t>
            </w:r>
          </w:p>
        </w:tc>
        <w:tc>
          <w:tcPr>
            <w:tcW w:w="1980" w:type="dxa"/>
            <w:tcBorders>
              <w:top w:val="single" w:sz="4" w:space="0" w:color="auto"/>
              <w:left w:val="single" w:sz="8" w:space="0" w:color="auto"/>
              <w:bottom w:val="single" w:sz="4" w:space="0" w:color="auto"/>
            </w:tcBorders>
          </w:tcPr>
          <w:p w:rsidR="00533539" w:rsidRPr="008F4FF8" w:rsidRDefault="00533539" w:rsidP="008F4FF8">
            <w:pPr>
              <w:pStyle w:val="TableCellCenter"/>
              <w:spacing w:before="0" w:after="0" w:line="240" w:lineRule="auto"/>
            </w:pPr>
            <w:r w:rsidRPr="008F4FF8">
              <w:t>10.8</w:t>
            </w:r>
          </w:p>
        </w:tc>
        <w:tc>
          <w:tcPr>
            <w:tcW w:w="2091" w:type="dxa"/>
            <w:tcBorders>
              <w:top w:val="single" w:sz="4" w:space="0" w:color="auto"/>
              <w:bottom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r>
              <w:rPr>
                <w:sz w:val="18"/>
                <w:szCs w:val="18"/>
              </w:rPr>
              <w:t>13.0</w:t>
            </w:r>
          </w:p>
        </w:tc>
      </w:tr>
      <w:tr w:rsidR="00533539" w:rsidRPr="00A56D8D" w:rsidTr="007A7E0D">
        <w:trPr>
          <w:cantSplit/>
          <w:jc w:val="center"/>
        </w:trPr>
        <w:tc>
          <w:tcPr>
            <w:tcW w:w="4385" w:type="dxa"/>
            <w:tcBorders>
              <w:top w:val="single" w:sz="4" w:space="0" w:color="auto"/>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r w:rsidRPr="008F4FF8">
              <w:t>95% confidence interval</w:t>
            </w:r>
          </w:p>
        </w:tc>
        <w:tc>
          <w:tcPr>
            <w:tcW w:w="1980" w:type="dxa"/>
            <w:tcBorders>
              <w:top w:val="single" w:sz="4" w:space="0" w:color="auto"/>
              <w:left w:val="single" w:sz="8" w:space="0" w:color="auto"/>
              <w:bottom w:val="single" w:sz="4" w:space="0" w:color="auto"/>
            </w:tcBorders>
          </w:tcPr>
          <w:p w:rsidR="00533539" w:rsidRPr="008F4FF8" w:rsidRDefault="00533539" w:rsidP="008F4FF8">
            <w:pPr>
              <w:pStyle w:val="TableCellCenter"/>
              <w:spacing w:before="0" w:after="0" w:line="240" w:lineRule="auto"/>
            </w:pPr>
            <w:r w:rsidRPr="008F4FF8">
              <w:t>10.12 – 11.86</w:t>
            </w:r>
          </w:p>
        </w:tc>
        <w:tc>
          <w:tcPr>
            <w:tcW w:w="2091" w:type="dxa"/>
            <w:tcBorders>
              <w:top w:val="single" w:sz="4" w:space="0" w:color="auto"/>
              <w:bottom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r>
              <w:rPr>
                <w:sz w:val="18"/>
                <w:szCs w:val="18"/>
              </w:rPr>
              <w:t>12.09 – 14.03</w:t>
            </w:r>
          </w:p>
        </w:tc>
      </w:tr>
      <w:tr w:rsidR="00533539" w:rsidRPr="00A56D8D" w:rsidTr="007A7E0D">
        <w:trPr>
          <w:cantSplit/>
          <w:jc w:val="center"/>
        </w:trPr>
        <w:tc>
          <w:tcPr>
            <w:tcW w:w="4385" w:type="dxa"/>
            <w:tcBorders>
              <w:top w:val="single" w:sz="4" w:space="0" w:color="auto"/>
              <w:left w:val="single" w:sz="8" w:space="0" w:color="auto"/>
              <w:bottom w:val="single" w:sz="4" w:space="0" w:color="auto"/>
              <w:right w:val="single" w:sz="8" w:space="0" w:color="auto"/>
            </w:tcBorders>
          </w:tcPr>
          <w:p w:rsidR="0092417A" w:rsidRPr="008F4FF8" w:rsidRDefault="00533539" w:rsidP="008F4FF8">
            <w:pPr>
              <w:pStyle w:val="TableCellLeft"/>
              <w:spacing w:before="0" w:after="0" w:line="240" w:lineRule="auto"/>
              <w:ind w:left="360"/>
              <w:rPr>
                <w:vertAlign w:val="superscript"/>
              </w:rPr>
            </w:pPr>
            <w:r w:rsidRPr="008F4FF8">
              <w:t xml:space="preserve">Hazard </w:t>
            </w:r>
            <w:proofErr w:type="spellStart"/>
            <w:r w:rsidRPr="008F4FF8">
              <w:t>ratio</w:t>
            </w:r>
            <w:r w:rsidRPr="008F4FF8">
              <w:rPr>
                <w:vertAlign w:val="superscript"/>
              </w:rPr>
              <w:t>b</w:t>
            </w:r>
            <w:proofErr w:type="spellEnd"/>
          </w:p>
          <w:p w:rsidR="00211720" w:rsidRPr="008F4FF8" w:rsidRDefault="00211720" w:rsidP="008F4FF8">
            <w:pPr>
              <w:pStyle w:val="TableCellLeft"/>
              <w:spacing w:before="0" w:after="0" w:line="240" w:lineRule="auto"/>
              <w:ind w:left="360"/>
            </w:pPr>
            <w:r w:rsidRPr="008F4FF8">
              <w:t>95% confidence interval</w:t>
            </w:r>
          </w:p>
        </w:tc>
        <w:tc>
          <w:tcPr>
            <w:tcW w:w="4071" w:type="dxa"/>
            <w:gridSpan w:val="2"/>
            <w:tcBorders>
              <w:top w:val="single" w:sz="4" w:space="0" w:color="auto"/>
              <w:left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pPr>
            <w:r w:rsidRPr="008F4FF8">
              <w:t>0.751</w:t>
            </w:r>
          </w:p>
          <w:p w:rsidR="00211720" w:rsidRPr="008F4FF8" w:rsidRDefault="002657A6" w:rsidP="008F4FF8">
            <w:pPr>
              <w:pStyle w:val="TableCellCenter"/>
              <w:spacing w:before="0" w:after="0" w:line="240" w:lineRule="auto"/>
            </w:pPr>
            <w:r w:rsidRPr="008F4FF8">
              <w:t>(</w:t>
            </w:r>
            <w:r w:rsidR="00211720" w:rsidRPr="008F4FF8">
              <w:t>0.632, 0.893</w:t>
            </w:r>
            <w:r w:rsidRPr="008F4FF8">
              <w:t>)</w:t>
            </w:r>
          </w:p>
          <w:p w:rsidR="00533539" w:rsidRPr="008F4FF8" w:rsidRDefault="00533539" w:rsidP="008F4FF8">
            <w:pPr>
              <w:pStyle w:val="TableCellCenter"/>
              <w:spacing w:before="0" w:after="0" w:line="240" w:lineRule="auto"/>
            </w:pPr>
            <w:r w:rsidRPr="008F4FF8">
              <w:t>(</w:t>
            </w:r>
            <w:r w:rsidR="00402F1B" w:rsidRPr="008F4FF8">
              <w:rPr>
                <w:i/>
              </w:rPr>
              <w:t>p</w:t>
            </w:r>
            <w:r w:rsidRPr="008F4FF8">
              <w:t>-value = 0.0012)</w:t>
            </w:r>
          </w:p>
        </w:tc>
      </w:tr>
      <w:tr w:rsidR="00533539" w:rsidRPr="00A56D8D" w:rsidTr="007A7E0D">
        <w:trPr>
          <w:cantSplit/>
          <w:jc w:val="center"/>
        </w:trPr>
        <w:tc>
          <w:tcPr>
            <w:tcW w:w="4385" w:type="dxa"/>
            <w:tcBorders>
              <w:top w:val="single" w:sz="4" w:space="0" w:color="auto"/>
              <w:left w:val="single" w:sz="8" w:space="0" w:color="auto"/>
              <w:right w:val="single" w:sz="8" w:space="0" w:color="auto"/>
            </w:tcBorders>
          </w:tcPr>
          <w:p w:rsidR="00533539" w:rsidRPr="008F4FF8" w:rsidRDefault="00533539" w:rsidP="008F4FF8">
            <w:pPr>
              <w:pStyle w:val="TableCellHead"/>
              <w:spacing w:before="0" w:line="240" w:lineRule="auto"/>
              <w:rPr>
                <w:b/>
                <w:u w:val="none"/>
              </w:rPr>
            </w:pPr>
            <w:r w:rsidRPr="008F4FF8">
              <w:rPr>
                <w:b/>
                <w:u w:val="none"/>
              </w:rPr>
              <w:t>Progression-Free Survival</w:t>
            </w:r>
          </w:p>
        </w:tc>
        <w:tc>
          <w:tcPr>
            <w:tcW w:w="1980" w:type="dxa"/>
            <w:tcBorders>
              <w:top w:val="single" w:sz="4" w:space="0" w:color="auto"/>
              <w:left w:val="single" w:sz="8" w:space="0" w:color="auto"/>
            </w:tcBorders>
          </w:tcPr>
          <w:p w:rsidR="00533539" w:rsidRPr="008F4FF8" w:rsidRDefault="00533539" w:rsidP="008F4FF8">
            <w:pPr>
              <w:pStyle w:val="TableCellCenter"/>
              <w:spacing w:before="0" w:after="0" w:line="240" w:lineRule="auto"/>
            </w:pPr>
          </w:p>
        </w:tc>
        <w:tc>
          <w:tcPr>
            <w:tcW w:w="2091" w:type="dxa"/>
            <w:tcBorders>
              <w:top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p>
        </w:tc>
      </w:tr>
      <w:tr w:rsidR="00533539" w:rsidRPr="00A56D8D" w:rsidTr="007A7E0D">
        <w:trPr>
          <w:cantSplit/>
          <w:jc w:val="center"/>
        </w:trPr>
        <w:tc>
          <w:tcPr>
            <w:tcW w:w="4385"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r w:rsidRPr="008F4FF8">
              <w:t>Median (months)</w:t>
            </w:r>
          </w:p>
        </w:tc>
        <w:tc>
          <w:tcPr>
            <w:tcW w:w="1980" w:type="dxa"/>
            <w:tcBorders>
              <w:left w:val="single" w:sz="8" w:space="0" w:color="auto"/>
            </w:tcBorders>
          </w:tcPr>
          <w:p w:rsidR="00533539" w:rsidRPr="008F4FF8" w:rsidRDefault="00533539" w:rsidP="008F4FF8">
            <w:pPr>
              <w:pStyle w:val="TableCellCenter"/>
              <w:spacing w:before="0" w:after="0" w:line="240" w:lineRule="auto"/>
            </w:pPr>
            <w:r w:rsidRPr="008F4FF8">
              <w:t>4.5</w:t>
            </w:r>
          </w:p>
        </w:tc>
        <w:tc>
          <w:tcPr>
            <w:tcW w:w="2091" w:type="dxa"/>
            <w:tcBorders>
              <w:right w:val="single" w:sz="8" w:space="0" w:color="auto"/>
            </w:tcBorders>
          </w:tcPr>
          <w:p w:rsidR="00533539" w:rsidRPr="00A56D8D" w:rsidRDefault="00533539" w:rsidP="008F4FF8">
            <w:pPr>
              <w:pStyle w:val="TableCellCenter"/>
              <w:spacing w:before="0" w:after="0" w:line="240" w:lineRule="auto"/>
              <w:rPr>
                <w:sz w:val="18"/>
                <w:szCs w:val="18"/>
              </w:rPr>
            </w:pPr>
            <w:r>
              <w:rPr>
                <w:sz w:val="18"/>
                <w:szCs w:val="18"/>
              </w:rPr>
              <w:t>7.5</w:t>
            </w:r>
          </w:p>
        </w:tc>
      </w:tr>
      <w:tr w:rsidR="00533539" w:rsidRPr="00A56D8D" w:rsidTr="007A7E0D">
        <w:trPr>
          <w:cantSplit/>
          <w:jc w:val="center"/>
        </w:trPr>
        <w:tc>
          <w:tcPr>
            <w:tcW w:w="4385" w:type="dxa"/>
            <w:tcBorders>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r w:rsidRPr="008F4FF8">
              <w:t>Hazard ratio</w:t>
            </w:r>
          </w:p>
          <w:p w:rsidR="00211720" w:rsidRPr="008F4FF8" w:rsidRDefault="00211720" w:rsidP="008F4FF8">
            <w:pPr>
              <w:pStyle w:val="TableCellLeft"/>
              <w:spacing w:before="0" w:after="0" w:line="240" w:lineRule="auto"/>
              <w:ind w:left="360"/>
            </w:pPr>
            <w:r w:rsidRPr="008F4FF8">
              <w:t>95% confidence interval</w:t>
            </w:r>
          </w:p>
        </w:tc>
        <w:tc>
          <w:tcPr>
            <w:tcW w:w="4071" w:type="dxa"/>
            <w:gridSpan w:val="2"/>
            <w:tcBorders>
              <w:left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pPr>
            <w:r w:rsidRPr="008F4FF8">
              <w:t>0.518</w:t>
            </w:r>
          </w:p>
          <w:p w:rsidR="00211720" w:rsidRPr="008F4FF8" w:rsidRDefault="002657A6" w:rsidP="008F4FF8">
            <w:pPr>
              <w:pStyle w:val="TableCellCenter"/>
              <w:spacing w:before="0" w:after="0" w:line="240" w:lineRule="auto"/>
            </w:pPr>
            <w:r w:rsidRPr="008F4FF8">
              <w:t>(</w:t>
            </w:r>
            <w:r w:rsidR="00211720" w:rsidRPr="008F4FF8">
              <w:t>0.416, 0.646</w:t>
            </w:r>
            <w:r w:rsidRPr="008F4FF8">
              <w:t>)</w:t>
            </w:r>
          </w:p>
          <w:p w:rsidR="00533539" w:rsidRPr="008F4FF8" w:rsidRDefault="00533539" w:rsidP="008F4FF8">
            <w:pPr>
              <w:pStyle w:val="TableCellCenter"/>
              <w:spacing w:before="0" w:after="0" w:line="240" w:lineRule="auto"/>
            </w:pPr>
            <w:r w:rsidRPr="008F4FF8">
              <w:t>(</w:t>
            </w:r>
            <w:r w:rsidR="00402F1B" w:rsidRPr="008F4FF8">
              <w:rPr>
                <w:i/>
              </w:rPr>
              <w:t>p</w:t>
            </w:r>
            <w:r w:rsidRPr="008F4FF8">
              <w:t xml:space="preserve">-value </w:t>
            </w:r>
            <w:r w:rsidRPr="008F4FF8">
              <w:rPr>
                <w:rFonts w:ascii="Symbol" w:hAnsi="Symbol"/>
              </w:rPr>
              <w:t></w:t>
            </w:r>
            <w:r w:rsidRPr="008F4FF8">
              <w:t> 0.0001)</w:t>
            </w:r>
          </w:p>
        </w:tc>
      </w:tr>
      <w:tr w:rsidR="00533539" w:rsidRPr="00A56D8D" w:rsidTr="007A7E0D">
        <w:trPr>
          <w:cantSplit/>
          <w:jc w:val="center"/>
        </w:trPr>
        <w:tc>
          <w:tcPr>
            <w:tcW w:w="4385" w:type="dxa"/>
            <w:tcBorders>
              <w:top w:val="single" w:sz="4" w:space="0" w:color="auto"/>
              <w:left w:val="single" w:sz="8" w:space="0" w:color="auto"/>
              <w:right w:val="single" w:sz="8" w:space="0" w:color="auto"/>
            </w:tcBorders>
          </w:tcPr>
          <w:p w:rsidR="00533539" w:rsidRPr="008F4FF8" w:rsidRDefault="00533539" w:rsidP="008F4FF8">
            <w:pPr>
              <w:pStyle w:val="TableCellLeft"/>
              <w:spacing w:before="0" w:after="0" w:line="240" w:lineRule="auto"/>
              <w:rPr>
                <w:b/>
              </w:rPr>
            </w:pPr>
            <w:r w:rsidRPr="008F4FF8">
              <w:rPr>
                <w:b/>
              </w:rPr>
              <w:t>Objective Response Rate</w:t>
            </w:r>
          </w:p>
        </w:tc>
        <w:tc>
          <w:tcPr>
            <w:tcW w:w="1980" w:type="dxa"/>
            <w:tcBorders>
              <w:top w:val="single" w:sz="4" w:space="0" w:color="auto"/>
              <w:left w:val="single" w:sz="8" w:space="0" w:color="auto"/>
            </w:tcBorders>
          </w:tcPr>
          <w:p w:rsidR="00533539" w:rsidRPr="008F4FF8" w:rsidRDefault="00533539" w:rsidP="008F4FF8">
            <w:pPr>
              <w:pStyle w:val="TableCellCenter"/>
              <w:spacing w:before="0" w:after="0" w:line="240" w:lineRule="auto"/>
            </w:pPr>
          </w:p>
        </w:tc>
        <w:tc>
          <w:tcPr>
            <w:tcW w:w="2091" w:type="dxa"/>
            <w:tcBorders>
              <w:top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p>
        </w:tc>
      </w:tr>
      <w:tr w:rsidR="00533539" w:rsidRPr="00A56D8D" w:rsidTr="007A7E0D">
        <w:trPr>
          <w:cantSplit/>
          <w:jc w:val="center"/>
        </w:trPr>
        <w:tc>
          <w:tcPr>
            <w:tcW w:w="4385"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r w:rsidRPr="008F4FF8">
              <w:t>Rate</w:t>
            </w:r>
          </w:p>
        </w:tc>
        <w:tc>
          <w:tcPr>
            <w:tcW w:w="1980" w:type="dxa"/>
            <w:tcBorders>
              <w:left w:val="single" w:sz="8" w:space="0" w:color="auto"/>
            </w:tcBorders>
          </w:tcPr>
          <w:p w:rsidR="00533539" w:rsidRPr="008F4FF8" w:rsidRDefault="00533539" w:rsidP="008F4FF8">
            <w:pPr>
              <w:pStyle w:val="TableCellCenter"/>
              <w:spacing w:before="0" w:after="0" w:line="240" w:lineRule="auto"/>
            </w:pPr>
            <w:r w:rsidRPr="008F4FF8">
              <w:t>8.6 %</w:t>
            </w:r>
          </w:p>
        </w:tc>
        <w:tc>
          <w:tcPr>
            <w:tcW w:w="2091" w:type="dxa"/>
            <w:tcBorders>
              <w:right w:val="single" w:sz="8" w:space="0" w:color="auto"/>
            </w:tcBorders>
          </w:tcPr>
          <w:p w:rsidR="00533539" w:rsidRPr="00A56D8D" w:rsidRDefault="00533539" w:rsidP="008F4FF8">
            <w:pPr>
              <w:pStyle w:val="TableCellCenter"/>
              <w:spacing w:before="0" w:after="0" w:line="240" w:lineRule="auto"/>
              <w:rPr>
                <w:sz w:val="18"/>
                <w:szCs w:val="18"/>
              </w:rPr>
            </w:pPr>
            <w:r>
              <w:rPr>
                <w:sz w:val="18"/>
                <w:szCs w:val="18"/>
              </w:rPr>
              <w:t>22.2 %</w:t>
            </w:r>
          </w:p>
        </w:tc>
      </w:tr>
      <w:tr w:rsidR="00533539" w:rsidRPr="00A56D8D" w:rsidTr="007A7E0D">
        <w:trPr>
          <w:cantSplit/>
          <w:jc w:val="center"/>
        </w:trPr>
        <w:tc>
          <w:tcPr>
            <w:tcW w:w="4385"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p>
        </w:tc>
        <w:tc>
          <w:tcPr>
            <w:tcW w:w="4071" w:type="dxa"/>
            <w:gridSpan w:val="2"/>
            <w:tcBorders>
              <w:left w:val="single" w:sz="8" w:space="0" w:color="auto"/>
              <w:right w:val="single" w:sz="8" w:space="0" w:color="auto"/>
            </w:tcBorders>
          </w:tcPr>
          <w:p w:rsidR="00533539" w:rsidRPr="008F4FF8" w:rsidRDefault="00533539" w:rsidP="008F4FF8">
            <w:pPr>
              <w:pStyle w:val="TableCellCenter"/>
              <w:spacing w:before="0" w:after="0" w:line="240" w:lineRule="auto"/>
            </w:pPr>
            <w:r w:rsidRPr="008F4FF8">
              <w:t>(</w:t>
            </w:r>
            <w:r w:rsidR="00402F1B" w:rsidRPr="008F4FF8">
              <w:rPr>
                <w:i/>
              </w:rPr>
              <w:t>p</w:t>
            </w:r>
            <w:r w:rsidRPr="008F4FF8">
              <w:t xml:space="preserve">-value </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t>)</w:t>
            </w:r>
          </w:p>
        </w:tc>
      </w:tr>
      <w:tr w:rsidR="00533539" w:rsidRPr="00A56D8D" w:rsidTr="007A7E0D">
        <w:trPr>
          <w:cantSplit/>
          <w:jc w:val="center"/>
        </w:trPr>
        <w:tc>
          <w:tcPr>
            <w:tcW w:w="8456" w:type="dxa"/>
            <w:gridSpan w:val="3"/>
            <w:tcBorders>
              <w:top w:val="single" w:sz="4" w:space="0" w:color="auto"/>
            </w:tcBorders>
          </w:tcPr>
          <w:p w:rsidR="00533539" w:rsidRPr="00A56D8D" w:rsidRDefault="00533539" w:rsidP="007A7E0D">
            <w:pPr>
              <w:pStyle w:val="TableFooter"/>
              <w:tabs>
                <w:tab w:val="left" w:pos="1440"/>
              </w:tabs>
              <w:spacing w:before="40" w:after="40" w:line="240" w:lineRule="auto"/>
              <w:ind w:left="1440" w:hanging="1440"/>
            </w:pPr>
            <w:r w:rsidRPr="00AE1243">
              <w:rPr>
                <w:i/>
                <w:vertAlign w:val="superscript"/>
              </w:rPr>
              <w:t>a</w:t>
            </w:r>
            <w:r w:rsidRPr="00AE1243">
              <w:rPr>
                <w:i/>
              </w:rPr>
              <w:t xml:space="preserve"> 10 mg/kg every 2 weeks</w:t>
            </w:r>
            <w:r w:rsidR="00834C1B" w:rsidRPr="00AE1243">
              <w:rPr>
                <w:i/>
              </w:rPr>
              <w:t xml:space="preserve">; </w:t>
            </w:r>
            <w:r w:rsidRPr="00AE1243">
              <w:rPr>
                <w:i/>
                <w:vertAlign w:val="superscript"/>
              </w:rPr>
              <w:t xml:space="preserve">b </w:t>
            </w:r>
            <w:r w:rsidRPr="00AE1243">
              <w:rPr>
                <w:i/>
              </w:rPr>
              <w:t>Relative to control arm</w:t>
            </w:r>
          </w:p>
        </w:tc>
      </w:tr>
    </w:tbl>
    <w:p w:rsidR="00533539" w:rsidRDefault="00533539" w:rsidP="00533539">
      <w:pPr>
        <w:pStyle w:val="TextTi12"/>
      </w:pPr>
    </w:p>
    <w:p w:rsidR="004C6AB0" w:rsidRDefault="00533539" w:rsidP="00533539">
      <w:pPr>
        <w:pStyle w:val="TextTi12"/>
      </w:pPr>
      <w:r>
        <w:t>No significant difference was observed in the duration of overall survival between patients who received AVASTIN monotherapy compared to patients treated with FOLFOX-4.  Progression-free survival and objective response rate were inferior in the AVASTIN monotherapy arm compared to the FOLFOX-4 arm.</w:t>
      </w:r>
    </w:p>
    <w:p w:rsidR="00247566" w:rsidRPr="008F6522" w:rsidRDefault="00247566" w:rsidP="00247566">
      <w:pPr>
        <w:pStyle w:val="Heading3"/>
        <w:spacing w:before="0" w:after="170" w:line="280" w:lineRule="atLeast"/>
        <w:rPr>
          <w:i/>
          <w:lang w:val="en-US"/>
        </w:rPr>
      </w:pPr>
      <w:bookmarkStart w:id="3" w:name="OLE_LINK13"/>
      <w:bookmarkStart w:id="4" w:name="OLE_LINK14"/>
      <w:r w:rsidRPr="008F6522">
        <w:rPr>
          <w:i/>
          <w:lang w:val="en-US"/>
        </w:rPr>
        <w:t xml:space="preserve">Adjuvant Colon Cancer  </w:t>
      </w:r>
    </w:p>
    <w:p w:rsidR="00247566" w:rsidRPr="008F6522" w:rsidRDefault="00247566" w:rsidP="00247566">
      <w:pPr>
        <w:pStyle w:val="Heading3"/>
        <w:spacing w:before="0" w:after="170" w:line="280" w:lineRule="atLeast"/>
        <w:rPr>
          <w:color w:val="000000"/>
          <w:lang w:val="en-US"/>
        </w:rPr>
      </w:pPr>
      <w:r>
        <w:rPr>
          <w:color w:val="000000"/>
          <w:lang w:val="en-US"/>
        </w:rPr>
        <w:t xml:space="preserve">Study </w:t>
      </w:r>
      <w:r w:rsidRPr="008F6522">
        <w:rPr>
          <w:color w:val="000000"/>
          <w:lang w:val="en-US"/>
        </w:rPr>
        <w:t xml:space="preserve">BO17920 </w:t>
      </w:r>
    </w:p>
    <w:p w:rsidR="00247566" w:rsidRPr="008F6522" w:rsidRDefault="00247566" w:rsidP="00247566">
      <w:pPr>
        <w:pStyle w:val="TextTi12"/>
      </w:pPr>
      <w:r w:rsidRPr="008F6522">
        <w:t xml:space="preserve">This was a phase III </w:t>
      </w:r>
      <w:proofErr w:type="spellStart"/>
      <w:r w:rsidRPr="008F6522">
        <w:t>randomised</w:t>
      </w:r>
      <w:proofErr w:type="spellEnd"/>
      <w:r w:rsidRPr="008F6522">
        <w:t xml:space="preserve"> open-label, 3-arm study evaluating the efficacy and safety of AVASTIN administered at a dose equivalent to 2.5 mg/kg/week either </w:t>
      </w:r>
      <w:r w:rsidR="009230E0">
        <w:t xml:space="preserve">every two </w:t>
      </w:r>
      <w:r w:rsidRPr="008F6522">
        <w:t>week</w:t>
      </w:r>
      <w:r w:rsidR="009230E0">
        <w:t>s</w:t>
      </w:r>
      <w:r w:rsidRPr="008F6522">
        <w:t xml:space="preserve"> in combination with FOLFOX4, or </w:t>
      </w:r>
      <w:r w:rsidR="009230E0">
        <w:t xml:space="preserve">every three </w:t>
      </w:r>
      <w:r w:rsidRPr="008F6522">
        <w:t>week</w:t>
      </w:r>
      <w:r w:rsidR="009230E0">
        <w:t xml:space="preserve">s </w:t>
      </w:r>
      <w:r w:rsidRPr="008F6522">
        <w:t>schedule in combination with XELOX versus FOLFOX4 alone as adjuvant chemotherapy in 3451 patients with high-risk stage II and stage III colon carcinoma.</w:t>
      </w:r>
    </w:p>
    <w:p w:rsidR="00247566" w:rsidRDefault="00247566" w:rsidP="00247566">
      <w:pPr>
        <w:pStyle w:val="TextTi12"/>
        <w:spacing w:after="120" w:line="240" w:lineRule="auto"/>
      </w:pPr>
      <w:r w:rsidRPr="008F6522">
        <w:t>More relapses and deaths due to disease progression were observed in both AVASTIN arms compared to the control arm. The primary objective of prolonging disease free survival (DFS) in patients with stage III colon cancer (n = 2867) by adding AVASTIN to either chemotherapy regimen was not met. The hazard ratios for DFS were 1.17 (95% CI: 0.98-1.39) for the FOLFOX4 + AVASTIN arm and 1.07 (95% CI: 0.90-1.28) for the XELOX + AVASTIN arm.</w:t>
      </w:r>
    </w:p>
    <w:p w:rsidR="00F5100B" w:rsidRDefault="00F5100B" w:rsidP="00F5100B">
      <w:pPr>
        <w:pStyle w:val="TextTi12"/>
      </w:pPr>
      <w:r>
        <w:t>At the time of an exploratory interim analysis of overall survival in patients with stage III disease, 12.0% of FOLFOX4 (control arm) patients and 15.2-15.7% of patients in the two AVASTIN-containing arms had died.</w:t>
      </w:r>
    </w:p>
    <w:p w:rsidR="00F5100B" w:rsidRDefault="00F5100B" w:rsidP="00F5100B">
      <w:pPr>
        <w:pStyle w:val="TextTi12"/>
        <w:spacing w:after="120" w:line="240" w:lineRule="auto"/>
      </w:pPr>
      <w:r>
        <w:t>AVASTIN is not indicated for adjuvant treatment of colon cancer.</w:t>
      </w:r>
    </w:p>
    <w:p w:rsidR="00F56098" w:rsidRPr="00533539" w:rsidRDefault="00F56098" w:rsidP="00B93FCD">
      <w:pPr>
        <w:pStyle w:val="TextTi12"/>
        <w:rPr>
          <w:szCs w:val="24"/>
        </w:rPr>
      </w:pPr>
    </w:p>
    <w:bookmarkEnd w:id="3"/>
    <w:bookmarkEnd w:id="4"/>
    <w:p w:rsidR="00E92091" w:rsidRPr="00BB01B2" w:rsidRDefault="00E92091" w:rsidP="00987F90">
      <w:pPr>
        <w:pStyle w:val="TextTi12"/>
        <w:rPr>
          <w:b/>
          <w:i/>
        </w:rPr>
      </w:pPr>
      <w:r w:rsidRPr="00BB01B2">
        <w:rPr>
          <w:b/>
          <w:i/>
        </w:rPr>
        <w:t>Locally recurrent or metastatic Breast Cancer</w:t>
      </w:r>
    </w:p>
    <w:p w:rsidR="00927278" w:rsidRPr="003502A9" w:rsidRDefault="00927278" w:rsidP="005254D2">
      <w:pPr>
        <w:jc w:val="both"/>
        <w:rPr>
          <w:sz w:val="24"/>
          <w:szCs w:val="24"/>
        </w:rPr>
      </w:pPr>
      <w:r w:rsidRPr="003502A9">
        <w:rPr>
          <w:sz w:val="24"/>
          <w:szCs w:val="24"/>
        </w:rPr>
        <w:t xml:space="preserve">(Note that the efficacy and safety of the combination of </w:t>
      </w:r>
      <w:r w:rsidR="00834C1B">
        <w:rPr>
          <w:sz w:val="24"/>
          <w:szCs w:val="24"/>
        </w:rPr>
        <w:t>AVASTIN</w:t>
      </w:r>
      <w:r w:rsidR="00834C1B" w:rsidRPr="003502A9">
        <w:rPr>
          <w:sz w:val="24"/>
          <w:szCs w:val="24"/>
        </w:rPr>
        <w:t xml:space="preserve"> </w:t>
      </w:r>
      <w:r w:rsidRPr="003502A9">
        <w:rPr>
          <w:sz w:val="24"/>
          <w:szCs w:val="24"/>
        </w:rPr>
        <w:t xml:space="preserve">and paclitaxel have not been compared with </w:t>
      </w:r>
      <w:proofErr w:type="spellStart"/>
      <w:r w:rsidRPr="003502A9">
        <w:rPr>
          <w:sz w:val="24"/>
          <w:szCs w:val="24"/>
        </w:rPr>
        <w:t>anthracycline</w:t>
      </w:r>
      <w:proofErr w:type="spellEnd"/>
      <w:r w:rsidRPr="003502A9">
        <w:rPr>
          <w:sz w:val="24"/>
          <w:szCs w:val="24"/>
        </w:rPr>
        <w:t xml:space="preserve">-based therapies for first-line therapy in metastatic breast cancer.  The efficacy of the combination of </w:t>
      </w:r>
      <w:r w:rsidR="00834C1B">
        <w:rPr>
          <w:sz w:val="24"/>
          <w:szCs w:val="24"/>
        </w:rPr>
        <w:t>AVASTIN</w:t>
      </w:r>
      <w:r w:rsidR="00834C1B" w:rsidRPr="003502A9">
        <w:rPr>
          <w:sz w:val="24"/>
          <w:szCs w:val="24"/>
        </w:rPr>
        <w:t xml:space="preserve"> </w:t>
      </w:r>
      <w:r w:rsidRPr="003502A9">
        <w:rPr>
          <w:sz w:val="24"/>
          <w:szCs w:val="24"/>
        </w:rPr>
        <w:t>and paclitaxel in second and third line treatment of metastatic breast cancer has not been demonstrated.)</w:t>
      </w:r>
    </w:p>
    <w:p w:rsidR="00987F90" w:rsidRDefault="00987F90" w:rsidP="00987F90">
      <w:pPr>
        <w:pStyle w:val="TextTi12"/>
      </w:pPr>
      <w:r w:rsidRPr="005B11FA">
        <w:lastRenderedPageBreak/>
        <w:t xml:space="preserve">E2100 was an open-label, </w:t>
      </w:r>
      <w:proofErr w:type="spellStart"/>
      <w:r w:rsidRPr="005B11FA">
        <w:t>randomi</w:t>
      </w:r>
      <w:r>
        <w:t>s</w:t>
      </w:r>
      <w:r w:rsidRPr="005B11FA">
        <w:t>ed</w:t>
      </w:r>
      <w:proofErr w:type="spellEnd"/>
      <w:r w:rsidRPr="005B11FA">
        <w:t xml:space="preserve">, active controlled, </w:t>
      </w:r>
      <w:proofErr w:type="spellStart"/>
      <w:r w:rsidRPr="005B11FA">
        <w:t>multicent</w:t>
      </w:r>
      <w:r>
        <w:t>re</w:t>
      </w:r>
      <w:proofErr w:type="spellEnd"/>
      <w:r w:rsidRPr="005B11FA">
        <w:t xml:space="preserve"> clinical trial evaluating </w:t>
      </w:r>
      <w:r w:rsidR="00BB01B2" w:rsidRPr="005B11FA">
        <w:t>A</w:t>
      </w:r>
      <w:r w:rsidR="00BB01B2">
        <w:t>VASTIN</w:t>
      </w:r>
      <w:r w:rsidRPr="005B11FA">
        <w:t xml:space="preserve"> in combination with paclitaxel for locally recurrent or metastatic breast cancer in patients who had not previously received chemotherapy for locally recurrent and metastatic disease.</w:t>
      </w:r>
      <w:r w:rsidRPr="00FE3E78">
        <w:t xml:space="preserve"> </w:t>
      </w:r>
      <w:r w:rsidR="00BB01B2">
        <w:t xml:space="preserve"> </w:t>
      </w:r>
      <w:r w:rsidRPr="005B11FA">
        <w:t xml:space="preserve">Prior hormonal therapy for the treatment of metastatic disease was allowed.  Adjuvant </w:t>
      </w:r>
      <w:proofErr w:type="spellStart"/>
      <w:r w:rsidRPr="005B11FA">
        <w:t>taxane</w:t>
      </w:r>
      <w:proofErr w:type="spellEnd"/>
      <w:r w:rsidRPr="005B11FA">
        <w:t xml:space="preserve"> therapy was allowed only if it was completed </w:t>
      </w:r>
      <w:r w:rsidRPr="00305233">
        <w:t>at least 12 months prior to study entry.</w:t>
      </w:r>
      <w:r>
        <w:t xml:space="preserve"> </w:t>
      </w:r>
    </w:p>
    <w:p w:rsidR="00987F90" w:rsidRPr="00771E30" w:rsidRDefault="00987F90" w:rsidP="00987F90">
      <w:pPr>
        <w:pStyle w:val="TextTi12"/>
        <w:rPr>
          <w:szCs w:val="24"/>
        </w:rPr>
      </w:pPr>
      <w:r w:rsidRPr="00771E30">
        <w:rPr>
          <w:szCs w:val="24"/>
        </w:rPr>
        <w:t xml:space="preserve">Patients were </w:t>
      </w:r>
      <w:proofErr w:type="spellStart"/>
      <w:r w:rsidRPr="00771E30">
        <w:rPr>
          <w:szCs w:val="24"/>
        </w:rPr>
        <w:t>randomised</w:t>
      </w:r>
      <w:proofErr w:type="spellEnd"/>
      <w:r w:rsidRPr="00771E30">
        <w:rPr>
          <w:szCs w:val="24"/>
        </w:rPr>
        <w:t xml:space="preserve"> to paclitaxel alone (90 mg/m</w:t>
      </w:r>
      <w:r w:rsidRPr="00771E30">
        <w:rPr>
          <w:szCs w:val="24"/>
          <w:vertAlign w:val="superscript"/>
        </w:rPr>
        <w:t>2</w:t>
      </w:r>
      <w:r w:rsidRPr="00771E30">
        <w:rPr>
          <w:szCs w:val="24"/>
        </w:rPr>
        <w:t xml:space="preserve"> IV over 1 hour once weekly for three out of four weeks)</w:t>
      </w:r>
      <w:r w:rsidRPr="00771E30">
        <w:rPr>
          <w:b/>
          <w:szCs w:val="24"/>
        </w:rPr>
        <w:t xml:space="preserve"> </w:t>
      </w:r>
      <w:r w:rsidRPr="00771E30">
        <w:rPr>
          <w:szCs w:val="24"/>
        </w:rPr>
        <w:t>or in combination with AVASTIN (10 mg/kg IV infusion every two weeks). Patients were to continue assigned study treatment until disease progression.</w:t>
      </w:r>
      <w:r w:rsidR="00BB01B2" w:rsidRPr="00771E30">
        <w:rPr>
          <w:szCs w:val="24"/>
        </w:rPr>
        <w:t xml:space="preserve"> </w:t>
      </w:r>
      <w:r w:rsidRPr="00771E30">
        <w:rPr>
          <w:szCs w:val="24"/>
        </w:rPr>
        <w:t xml:space="preserve"> In cases where patients discontinued chemotherapy prematurely, treatment with AVASTIN as a single agent was continued until disease progression. </w:t>
      </w:r>
      <w:r w:rsidR="00BB01B2" w:rsidRPr="00771E30">
        <w:rPr>
          <w:szCs w:val="24"/>
        </w:rPr>
        <w:t xml:space="preserve"> </w:t>
      </w:r>
      <w:r w:rsidRPr="00771E30">
        <w:rPr>
          <w:szCs w:val="24"/>
        </w:rPr>
        <w:t xml:space="preserve">The primary endpoint was progression free survival (PFS), as assessed by investigators. </w:t>
      </w:r>
      <w:r w:rsidR="00BB01B2" w:rsidRPr="00771E30">
        <w:rPr>
          <w:szCs w:val="24"/>
        </w:rPr>
        <w:t xml:space="preserve"> </w:t>
      </w:r>
      <w:r w:rsidRPr="00771E30">
        <w:rPr>
          <w:szCs w:val="24"/>
        </w:rPr>
        <w:t>In addition, an independent review of the primary endpoint was also conducted.</w:t>
      </w:r>
    </w:p>
    <w:p w:rsidR="00987F90" w:rsidRPr="00B84B53" w:rsidRDefault="00987F90" w:rsidP="00987F90">
      <w:pPr>
        <w:pStyle w:val="TextTi12"/>
        <w:rPr>
          <w:shd w:val="clear" w:color="auto" w:fill="FFCCFF"/>
        </w:rPr>
      </w:pPr>
      <w:r w:rsidRPr="00305233">
        <w:rPr>
          <w:lang w:eastAsia="de-CH"/>
        </w:rPr>
        <w:t>Of the 722 patients in the study, the majority of patients</w:t>
      </w:r>
      <w:r>
        <w:rPr>
          <w:lang w:eastAsia="de-CH"/>
        </w:rPr>
        <w:t xml:space="preserve"> (90%)</w:t>
      </w:r>
      <w:r w:rsidRPr="00305233">
        <w:rPr>
          <w:lang w:eastAsia="de-CH"/>
        </w:rPr>
        <w:t xml:space="preserve"> </w:t>
      </w:r>
      <w:r w:rsidRPr="00305233">
        <w:rPr>
          <w:bCs/>
          <w:lang w:eastAsia="de-CH"/>
        </w:rPr>
        <w:t>had</w:t>
      </w:r>
      <w:r w:rsidRPr="00305233">
        <w:rPr>
          <w:lang w:eastAsia="de-CH"/>
        </w:rPr>
        <w:t xml:space="preserve"> HER2-negative </w:t>
      </w:r>
      <w:r w:rsidRPr="00305233">
        <w:rPr>
          <w:bCs/>
          <w:lang w:eastAsia="de-CH"/>
        </w:rPr>
        <w:t>disease</w:t>
      </w:r>
      <w:r>
        <w:rPr>
          <w:bCs/>
          <w:lang w:eastAsia="de-CH"/>
        </w:rPr>
        <w:t xml:space="preserve">. </w:t>
      </w:r>
      <w:r w:rsidR="00BB01B2">
        <w:rPr>
          <w:bCs/>
          <w:lang w:eastAsia="de-CH"/>
        </w:rPr>
        <w:t xml:space="preserve"> </w:t>
      </w:r>
      <w:r>
        <w:rPr>
          <w:bCs/>
          <w:lang w:eastAsia="de-CH"/>
        </w:rPr>
        <w:t>A</w:t>
      </w:r>
      <w:r w:rsidRPr="00305233">
        <w:rPr>
          <w:lang w:eastAsia="de-CH"/>
        </w:rPr>
        <w:t xml:space="preserve"> small number of patient</w:t>
      </w:r>
      <w:r w:rsidRPr="00305233">
        <w:rPr>
          <w:bCs/>
          <w:lang w:eastAsia="de-CH"/>
        </w:rPr>
        <w:t>s</w:t>
      </w:r>
      <w:r w:rsidRPr="00305233">
        <w:rPr>
          <w:lang w:eastAsia="de-CH"/>
        </w:rPr>
        <w:t xml:space="preserve"> </w:t>
      </w:r>
      <w:r>
        <w:rPr>
          <w:lang w:eastAsia="de-CH"/>
        </w:rPr>
        <w:t xml:space="preserve">had HER-2 receptor status that was either </w:t>
      </w:r>
      <w:r w:rsidRPr="00305233">
        <w:rPr>
          <w:lang w:eastAsia="de-CH"/>
        </w:rPr>
        <w:t>unknown (8%) or positive</w:t>
      </w:r>
      <w:r>
        <w:rPr>
          <w:lang w:eastAsia="de-CH"/>
        </w:rPr>
        <w:t xml:space="preserve"> (</w:t>
      </w:r>
      <w:r w:rsidRPr="00305233">
        <w:rPr>
          <w:lang w:eastAsia="de-CH"/>
        </w:rPr>
        <w:t>2%)</w:t>
      </w:r>
      <w:r>
        <w:rPr>
          <w:lang w:eastAsia="de-CH"/>
        </w:rPr>
        <w:t xml:space="preserve">. </w:t>
      </w:r>
      <w:r w:rsidR="00BB01B2">
        <w:rPr>
          <w:lang w:eastAsia="de-CH"/>
        </w:rPr>
        <w:t xml:space="preserve"> </w:t>
      </w:r>
      <w:r>
        <w:rPr>
          <w:lang w:eastAsia="de-CH"/>
        </w:rPr>
        <w:t xml:space="preserve">Patients who were HER2-positive had either received </w:t>
      </w:r>
      <w:r w:rsidRPr="00305233">
        <w:rPr>
          <w:lang w:eastAsia="de-CH"/>
        </w:rPr>
        <w:t>previous treat</w:t>
      </w:r>
      <w:r>
        <w:rPr>
          <w:lang w:eastAsia="de-CH"/>
        </w:rPr>
        <w:t>ment</w:t>
      </w:r>
      <w:r w:rsidRPr="00305233">
        <w:rPr>
          <w:lang w:eastAsia="de-CH"/>
        </w:rPr>
        <w:t xml:space="preserve"> with </w:t>
      </w:r>
      <w:proofErr w:type="spellStart"/>
      <w:r>
        <w:rPr>
          <w:lang w:eastAsia="de-CH"/>
        </w:rPr>
        <w:t>trastuzumab</w:t>
      </w:r>
      <w:proofErr w:type="spellEnd"/>
      <w:r>
        <w:rPr>
          <w:lang w:eastAsia="de-CH"/>
        </w:rPr>
        <w:t xml:space="preserve"> </w:t>
      </w:r>
      <w:r w:rsidRPr="00305233">
        <w:rPr>
          <w:lang w:eastAsia="de-CH"/>
        </w:rPr>
        <w:t xml:space="preserve">or were considered unsuitable for </w:t>
      </w:r>
      <w:proofErr w:type="spellStart"/>
      <w:r w:rsidRPr="00305233">
        <w:rPr>
          <w:lang w:eastAsia="de-CH"/>
        </w:rPr>
        <w:t>trastuzumab</w:t>
      </w:r>
      <w:proofErr w:type="spellEnd"/>
      <w:r w:rsidRPr="00305233">
        <w:rPr>
          <w:lang w:eastAsia="de-CH"/>
        </w:rPr>
        <w:t xml:space="preserve">. </w:t>
      </w:r>
      <w:r w:rsidR="00BB01B2">
        <w:rPr>
          <w:lang w:eastAsia="de-CH"/>
        </w:rPr>
        <w:t xml:space="preserve"> </w:t>
      </w:r>
      <w:r>
        <w:rPr>
          <w:lang w:eastAsia="de-CH"/>
        </w:rPr>
        <w:t>The majority</w:t>
      </w:r>
      <w:r w:rsidRPr="00305233">
        <w:rPr>
          <w:lang w:eastAsia="de-CH"/>
        </w:rPr>
        <w:t xml:space="preserve"> </w:t>
      </w:r>
      <w:r>
        <w:rPr>
          <w:lang w:eastAsia="de-CH"/>
        </w:rPr>
        <w:t>(</w:t>
      </w:r>
      <w:r w:rsidRPr="00305233">
        <w:rPr>
          <w:lang w:eastAsia="de-CH"/>
        </w:rPr>
        <w:t>65%</w:t>
      </w:r>
      <w:r>
        <w:rPr>
          <w:lang w:eastAsia="de-CH"/>
        </w:rPr>
        <w:t>)</w:t>
      </w:r>
      <w:r w:rsidRPr="00305233">
        <w:rPr>
          <w:lang w:eastAsia="de-CH"/>
        </w:rPr>
        <w:t xml:space="preserve"> of patients had received adjuvant chemotherapy including 19% </w:t>
      </w:r>
      <w:r>
        <w:rPr>
          <w:lang w:eastAsia="de-CH"/>
        </w:rPr>
        <w:t xml:space="preserve">who had </w:t>
      </w:r>
      <w:r w:rsidRPr="00305233">
        <w:rPr>
          <w:lang w:eastAsia="de-CH"/>
        </w:rPr>
        <w:t xml:space="preserve">prior </w:t>
      </w:r>
      <w:proofErr w:type="spellStart"/>
      <w:r w:rsidRPr="00305233">
        <w:rPr>
          <w:lang w:eastAsia="de-CH"/>
        </w:rPr>
        <w:t>taxane</w:t>
      </w:r>
      <w:r w:rsidRPr="00305233">
        <w:rPr>
          <w:bCs/>
          <w:lang w:eastAsia="de-CH"/>
        </w:rPr>
        <w:t>s</w:t>
      </w:r>
      <w:proofErr w:type="spellEnd"/>
      <w:r w:rsidRPr="00305233">
        <w:rPr>
          <w:lang w:eastAsia="de-CH"/>
        </w:rPr>
        <w:t xml:space="preserve"> and 49% </w:t>
      </w:r>
      <w:r>
        <w:rPr>
          <w:lang w:eastAsia="de-CH"/>
        </w:rPr>
        <w:t xml:space="preserve">who had </w:t>
      </w:r>
      <w:r w:rsidRPr="00305233">
        <w:rPr>
          <w:lang w:eastAsia="de-CH"/>
        </w:rPr>
        <w:t xml:space="preserve">prior </w:t>
      </w:r>
      <w:proofErr w:type="spellStart"/>
      <w:r w:rsidRPr="00305233">
        <w:rPr>
          <w:lang w:eastAsia="de-CH"/>
        </w:rPr>
        <w:t>anthracyclines</w:t>
      </w:r>
      <w:proofErr w:type="spellEnd"/>
      <w:r w:rsidRPr="00305233">
        <w:t>.</w:t>
      </w:r>
      <w:r>
        <w:t xml:space="preserve"> </w:t>
      </w:r>
      <w:r w:rsidR="00BB01B2">
        <w:t xml:space="preserve"> </w:t>
      </w:r>
      <w:r>
        <w:t>The patient characteristics were similar between the study arms.</w:t>
      </w:r>
      <w:r w:rsidRPr="005B11FA">
        <w:t xml:space="preserve"> </w:t>
      </w:r>
    </w:p>
    <w:p w:rsidR="00987F90" w:rsidRDefault="00987F90" w:rsidP="00987F90">
      <w:pPr>
        <w:pStyle w:val="TextTi12"/>
      </w:pPr>
      <w:r w:rsidRPr="005B11FA">
        <w:t xml:space="preserve">The results of this study are presented in Table </w:t>
      </w:r>
      <w:r w:rsidR="00771E30">
        <w:t xml:space="preserve">7 </w:t>
      </w:r>
      <w:r w:rsidR="0013300D">
        <w:t>and Figure 4</w:t>
      </w:r>
      <w:r w:rsidRPr="005B11FA">
        <w:t xml:space="preserve">. </w:t>
      </w:r>
      <w:r w:rsidR="003F7E42">
        <w:t xml:space="preserve"> </w:t>
      </w:r>
      <w:r w:rsidR="009F041E" w:rsidRPr="00255B60">
        <w:rPr>
          <w:rFonts w:eastAsia="SimSun"/>
          <w:iCs/>
          <w:color w:val="000000"/>
          <w:szCs w:val="24"/>
          <w:lang w:eastAsia="zh-CN"/>
        </w:rPr>
        <w:t xml:space="preserve">The addition of </w:t>
      </w:r>
      <w:r w:rsidR="000A1BCD">
        <w:rPr>
          <w:rFonts w:eastAsia="SimSun"/>
          <w:iCs/>
          <w:color w:val="000000"/>
          <w:szCs w:val="24"/>
          <w:lang w:eastAsia="zh-CN"/>
        </w:rPr>
        <w:t>AVASTIN</w:t>
      </w:r>
      <w:r w:rsidR="000A1BCD" w:rsidRPr="00255B60">
        <w:rPr>
          <w:rFonts w:eastAsia="SimSun"/>
          <w:iCs/>
          <w:color w:val="000000"/>
          <w:szCs w:val="24"/>
          <w:lang w:eastAsia="zh-CN"/>
        </w:rPr>
        <w:t xml:space="preserve"> </w:t>
      </w:r>
      <w:r w:rsidR="009F041E" w:rsidRPr="00255B60">
        <w:rPr>
          <w:rFonts w:eastAsia="SimSun"/>
          <w:iCs/>
          <w:color w:val="000000"/>
          <w:szCs w:val="24"/>
          <w:lang w:eastAsia="zh-CN"/>
        </w:rPr>
        <w:t xml:space="preserve">to paclitaxel chemotherapy resulted in a significant reduction of risk of disease progression or death, as measured by PFS (HR = 0.42; </w:t>
      </w:r>
      <w:r w:rsidR="00402F1B" w:rsidRPr="00402F1B">
        <w:rPr>
          <w:rFonts w:eastAsia="SimSun"/>
          <w:i/>
          <w:color w:val="000000"/>
          <w:szCs w:val="24"/>
          <w:lang w:eastAsia="zh-CN"/>
        </w:rPr>
        <w:t>p</w:t>
      </w:r>
      <w:r w:rsidR="005254D2">
        <w:rPr>
          <w:rFonts w:eastAsia="SimSun"/>
          <w:iCs/>
          <w:color w:val="000000"/>
          <w:szCs w:val="24"/>
          <w:lang w:eastAsia="zh-CN"/>
        </w:rPr>
        <w:t xml:space="preserve"> </w:t>
      </w:r>
      <w:r w:rsidR="009F041E" w:rsidRPr="00255B60">
        <w:rPr>
          <w:rFonts w:eastAsia="SimSun"/>
          <w:iCs/>
          <w:color w:val="000000"/>
          <w:szCs w:val="24"/>
          <w:lang w:eastAsia="zh-CN"/>
        </w:rPr>
        <w:t xml:space="preserve">&lt; 0.0001).  The resulting median PFS in </w:t>
      </w:r>
      <w:r w:rsidR="000A1BCD">
        <w:rPr>
          <w:rFonts w:eastAsia="SimSun"/>
          <w:iCs/>
          <w:color w:val="000000"/>
          <w:szCs w:val="24"/>
          <w:lang w:eastAsia="zh-CN"/>
        </w:rPr>
        <w:t>AVASTIN</w:t>
      </w:r>
      <w:r w:rsidR="009F041E" w:rsidRPr="00255B60">
        <w:rPr>
          <w:rFonts w:eastAsia="SimSun"/>
          <w:iCs/>
          <w:color w:val="000000"/>
          <w:szCs w:val="24"/>
          <w:lang w:eastAsia="zh-CN"/>
        </w:rPr>
        <w:t>-containing arm was 11.4 months compared with 5.8 months in the control arm.</w:t>
      </w:r>
      <w:r w:rsidR="008B70BB">
        <w:t xml:space="preserve">  </w:t>
      </w:r>
      <w:r w:rsidR="00720B61">
        <w:t>The small improvement in overall survival was not statistically significant.</w:t>
      </w:r>
    </w:p>
    <w:p w:rsidR="00987F90" w:rsidRPr="001F4DBF" w:rsidRDefault="00987F90" w:rsidP="00987F90">
      <w:pPr>
        <w:pStyle w:val="HdTab1"/>
        <w:ind w:left="709" w:hanging="709"/>
        <w:rPr>
          <w:rFonts w:ascii="Times New Roman" w:hAnsi="Times New Roman"/>
        </w:rPr>
      </w:pPr>
      <w:r w:rsidRPr="001F4DBF">
        <w:rPr>
          <w:rFonts w:ascii="Times New Roman" w:hAnsi="Times New Roman"/>
        </w:rPr>
        <w:t xml:space="preserve">Table </w:t>
      </w:r>
      <w:r w:rsidR="00E40F98">
        <w:rPr>
          <w:rFonts w:ascii="Times New Roman" w:hAnsi="Times New Roman"/>
        </w:rPr>
        <w:t>7</w:t>
      </w:r>
      <w:r w:rsidRPr="001F4DBF">
        <w:rPr>
          <w:rFonts w:ascii="Times New Roman" w:hAnsi="Times New Roman"/>
        </w:rPr>
        <w:t>:  Study E2100 Efficacy Results: Eligible Patients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26"/>
        <w:gridCol w:w="2074"/>
        <w:gridCol w:w="1470"/>
        <w:gridCol w:w="1950"/>
      </w:tblGrid>
      <w:tr w:rsidR="00987F90" w:rsidRPr="00EF0B36" w:rsidTr="00EF0B36">
        <w:trPr>
          <w:trHeight w:val="340"/>
        </w:trPr>
        <w:tc>
          <w:tcPr>
            <w:tcW w:w="9288" w:type="dxa"/>
            <w:gridSpan w:val="5"/>
            <w:shd w:val="clear" w:color="auto" w:fill="auto"/>
          </w:tcPr>
          <w:p w:rsidR="00987F90" w:rsidRPr="00EF0B36" w:rsidRDefault="00987F90" w:rsidP="00EF0B36">
            <w:pPr>
              <w:spacing w:after="0"/>
              <w:rPr>
                <w:b/>
                <w:sz w:val="20"/>
              </w:rPr>
            </w:pPr>
            <w:r w:rsidRPr="00EF0B36">
              <w:rPr>
                <w:b/>
                <w:sz w:val="20"/>
              </w:rPr>
              <w:t>Progression-</w:t>
            </w:r>
            <w:r w:rsidR="000A1BCD" w:rsidRPr="00EF0B36">
              <w:rPr>
                <w:b/>
                <w:sz w:val="20"/>
              </w:rPr>
              <w:t>F</w:t>
            </w:r>
            <w:r w:rsidRPr="00EF0B36">
              <w:rPr>
                <w:b/>
                <w:sz w:val="20"/>
              </w:rPr>
              <w:t xml:space="preserve">ree </w:t>
            </w:r>
            <w:r w:rsidR="000A1BCD" w:rsidRPr="00EF0B36">
              <w:rPr>
                <w:b/>
                <w:sz w:val="20"/>
              </w:rPr>
              <w:t>S</w:t>
            </w:r>
            <w:r w:rsidRPr="00EF0B36">
              <w:rPr>
                <w:b/>
                <w:sz w:val="20"/>
              </w:rPr>
              <w:t>urvival</w:t>
            </w:r>
          </w:p>
        </w:tc>
      </w:tr>
      <w:tr w:rsidR="00987F90" w:rsidRPr="00EF0B36" w:rsidTr="00EF0B36">
        <w:tc>
          <w:tcPr>
            <w:tcW w:w="2268" w:type="dxa"/>
            <w:shd w:val="clear" w:color="auto" w:fill="auto"/>
          </w:tcPr>
          <w:p w:rsidR="00987F90" w:rsidRPr="00EF0B36" w:rsidRDefault="00987F90" w:rsidP="00EF0B36">
            <w:pPr>
              <w:spacing w:after="0"/>
              <w:jc w:val="center"/>
              <w:rPr>
                <w:sz w:val="20"/>
              </w:rPr>
            </w:pPr>
          </w:p>
        </w:tc>
        <w:tc>
          <w:tcPr>
            <w:tcW w:w="3600" w:type="dxa"/>
            <w:gridSpan w:val="2"/>
            <w:shd w:val="clear" w:color="auto" w:fill="auto"/>
          </w:tcPr>
          <w:p w:rsidR="00987F90" w:rsidRPr="00EF0B36" w:rsidRDefault="00987F90" w:rsidP="00EF0B36">
            <w:pPr>
              <w:spacing w:after="0"/>
              <w:jc w:val="center"/>
              <w:rPr>
                <w:sz w:val="20"/>
              </w:rPr>
            </w:pPr>
            <w:r w:rsidRPr="00EF0B36">
              <w:rPr>
                <w:sz w:val="20"/>
              </w:rPr>
              <w:t>Investigator Assessment</w:t>
            </w:r>
            <w:r w:rsidR="00580803" w:rsidRPr="00EF0B36">
              <w:rPr>
                <w:sz w:val="20"/>
              </w:rPr>
              <w:t>^</w:t>
            </w:r>
            <w:r w:rsidRPr="00EF0B36">
              <w:rPr>
                <w:sz w:val="20"/>
              </w:rPr>
              <w:t xml:space="preserve"> </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IRF Assessment</w:t>
            </w:r>
          </w:p>
        </w:tc>
      </w:tr>
      <w:tr w:rsidR="00987F90" w:rsidRPr="00EF0B36" w:rsidTr="00EF0B36">
        <w:tc>
          <w:tcPr>
            <w:tcW w:w="2268" w:type="dxa"/>
            <w:shd w:val="clear" w:color="auto" w:fill="auto"/>
          </w:tcPr>
          <w:p w:rsidR="00987F90" w:rsidRPr="00EF0B36" w:rsidRDefault="00987F90" w:rsidP="00EF0B36">
            <w:pPr>
              <w:spacing w:after="0"/>
              <w:jc w:val="center"/>
              <w:rPr>
                <w:sz w:val="20"/>
              </w:rPr>
            </w:pPr>
          </w:p>
        </w:tc>
        <w:tc>
          <w:tcPr>
            <w:tcW w:w="1526" w:type="dxa"/>
            <w:shd w:val="clear" w:color="auto" w:fill="auto"/>
          </w:tcPr>
          <w:p w:rsidR="00987F90" w:rsidRPr="00EF0B36" w:rsidRDefault="00987F90" w:rsidP="00EF0B36">
            <w:pPr>
              <w:spacing w:after="0"/>
              <w:jc w:val="center"/>
              <w:rPr>
                <w:sz w:val="20"/>
              </w:rPr>
            </w:pPr>
            <w:r w:rsidRPr="00EF0B36">
              <w:rPr>
                <w:sz w:val="20"/>
              </w:rPr>
              <w:t>Paclitaxel</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354)</w:t>
            </w:r>
          </w:p>
        </w:tc>
        <w:tc>
          <w:tcPr>
            <w:tcW w:w="2074" w:type="dxa"/>
            <w:shd w:val="clear" w:color="auto" w:fill="auto"/>
          </w:tcPr>
          <w:p w:rsidR="00987F90" w:rsidRPr="00EF0B36" w:rsidRDefault="00987F90" w:rsidP="00EF0B36">
            <w:pPr>
              <w:spacing w:after="0"/>
              <w:jc w:val="center"/>
              <w:rPr>
                <w:sz w:val="20"/>
              </w:rPr>
            </w:pPr>
            <w:r w:rsidRPr="00EF0B36">
              <w:rPr>
                <w:sz w:val="20"/>
              </w:rPr>
              <w:t>Paclitaxel/AVASTIN</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368)</w:t>
            </w:r>
          </w:p>
        </w:tc>
        <w:tc>
          <w:tcPr>
            <w:tcW w:w="1470" w:type="dxa"/>
            <w:shd w:val="clear" w:color="auto" w:fill="auto"/>
          </w:tcPr>
          <w:p w:rsidR="00987F90" w:rsidRPr="00EF0B36" w:rsidRDefault="00987F90" w:rsidP="00EF0B36">
            <w:pPr>
              <w:spacing w:after="0"/>
              <w:jc w:val="center"/>
              <w:rPr>
                <w:sz w:val="20"/>
              </w:rPr>
            </w:pPr>
            <w:r w:rsidRPr="00EF0B36">
              <w:rPr>
                <w:sz w:val="20"/>
              </w:rPr>
              <w:t>Paclitaxel</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354)</w:t>
            </w:r>
          </w:p>
        </w:tc>
        <w:tc>
          <w:tcPr>
            <w:tcW w:w="1950" w:type="dxa"/>
            <w:shd w:val="clear" w:color="auto" w:fill="auto"/>
          </w:tcPr>
          <w:p w:rsidR="00987F90" w:rsidRPr="00EF0B36" w:rsidRDefault="00987F90" w:rsidP="00EF0B36">
            <w:pPr>
              <w:spacing w:after="0"/>
              <w:jc w:val="center"/>
              <w:rPr>
                <w:sz w:val="20"/>
              </w:rPr>
            </w:pPr>
            <w:r w:rsidRPr="00EF0B36">
              <w:rPr>
                <w:sz w:val="20"/>
              </w:rPr>
              <w:t>Paclitaxel/AVASTIN</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368)</w:t>
            </w:r>
          </w:p>
        </w:tc>
      </w:tr>
      <w:tr w:rsidR="00987F90" w:rsidRPr="00EF0B36" w:rsidTr="00EF0B36">
        <w:tc>
          <w:tcPr>
            <w:tcW w:w="2268" w:type="dxa"/>
            <w:shd w:val="clear" w:color="auto" w:fill="auto"/>
          </w:tcPr>
          <w:p w:rsidR="00987F90" w:rsidRPr="00EF0B36" w:rsidRDefault="00987F90" w:rsidP="00EF0B36">
            <w:pPr>
              <w:spacing w:after="0"/>
              <w:rPr>
                <w:sz w:val="20"/>
              </w:rPr>
            </w:pPr>
            <w:r w:rsidRPr="00EF0B36">
              <w:rPr>
                <w:sz w:val="20"/>
              </w:rPr>
              <w:t>Median PFS (months)</w:t>
            </w:r>
          </w:p>
        </w:tc>
        <w:tc>
          <w:tcPr>
            <w:tcW w:w="1526" w:type="dxa"/>
            <w:shd w:val="clear" w:color="auto" w:fill="auto"/>
          </w:tcPr>
          <w:p w:rsidR="00987F90" w:rsidRPr="00EF0B36" w:rsidRDefault="00987F90" w:rsidP="00EF0B36">
            <w:pPr>
              <w:spacing w:after="0"/>
              <w:jc w:val="center"/>
              <w:rPr>
                <w:sz w:val="20"/>
              </w:rPr>
            </w:pPr>
            <w:r w:rsidRPr="00EF0B36">
              <w:rPr>
                <w:sz w:val="20"/>
              </w:rPr>
              <w:t>5.8</w:t>
            </w:r>
          </w:p>
        </w:tc>
        <w:tc>
          <w:tcPr>
            <w:tcW w:w="2074" w:type="dxa"/>
            <w:shd w:val="clear" w:color="auto" w:fill="auto"/>
          </w:tcPr>
          <w:p w:rsidR="00987F90" w:rsidRPr="00EF0B36" w:rsidRDefault="00987F90" w:rsidP="00EF0B36">
            <w:pPr>
              <w:spacing w:after="0"/>
              <w:jc w:val="center"/>
              <w:rPr>
                <w:sz w:val="20"/>
              </w:rPr>
            </w:pPr>
            <w:r w:rsidRPr="00EF0B36">
              <w:rPr>
                <w:sz w:val="20"/>
              </w:rPr>
              <w:t>11.4</w:t>
            </w:r>
          </w:p>
        </w:tc>
        <w:tc>
          <w:tcPr>
            <w:tcW w:w="1470" w:type="dxa"/>
            <w:shd w:val="clear" w:color="auto" w:fill="auto"/>
          </w:tcPr>
          <w:p w:rsidR="00987F90" w:rsidRPr="00EF0B36" w:rsidRDefault="00987F90" w:rsidP="00EF0B36">
            <w:pPr>
              <w:spacing w:after="0"/>
              <w:jc w:val="center"/>
              <w:rPr>
                <w:sz w:val="20"/>
              </w:rPr>
            </w:pPr>
            <w:r w:rsidRPr="00EF0B36">
              <w:rPr>
                <w:sz w:val="20"/>
              </w:rPr>
              <w:t>5.8</w:t>
            </w:r>
          </w:p>
        </w:tc>
        <w:tc>
          <w:tcPr>
            <w:tcW w:w="1950" w:type="dxa"/>
            <w:shd w:val="clear" w:color="auto" w:fill="auto"/>
          </w:tcPr>
          <w:p w:rsidR="00987F90" w:rsidRPr="00EF0B36" w:rsidRDefault="00987F90" w:rsidP="00EF0B36">
            <w:pPr>
              <w:spacing w:after="0"/>
              <w:jc w:val="center"/>
              <w:rPr>
                <w:sz w:val="20"/>
              </w:rPr>
            </w:pPr>
            <w:r w:rsidRPr="00EF0B36">
              <w:rPr>
                <w:sz w:val="20"/>
              </w:rPr>
              <w:t>11.3</w:t>
            </w:r>
          </w:p>
        </w:tc>
      </w:tr>
      <w:tr w:rsidR="00987F90" w:rsidRPr="00EF0B36" w:rsidTr="00EF0B36">
        <w:tc>
          <w:tcPr>
            <w:tcW w:w="2268" w:type="dxa"/>
            <w:shd w:val="clear" w:color="auto" w:fill="auto"/>
          </w:tcPr>
          <w:p w:rsidR="00987F90" w:rsidRPr="00EF0B36" w:rsidRDefault="00833E5D" w:rsidP="00EF0B36">
            <w:pPr>
              <w:spacing w:after="0"/>
              <w:rPr>
                <w:sz w:val="20"/>
              </w:rPr>
            </w:pPr>
            <w:r w:rsidRPr="00EF0B36">
              <w:rPr>
                <w:sz w:val="20"/>
              </w:rPr>
              <w:t xml:space="preserve">Hazard Ratio </w:t>
            </w:r>
          </w:p>
          <w:p w:rsidR="00987F90" w:rsidRPr="00EF0B36" w:rsidRDefault="00987F90" w:rsidP="00EF0B36">
            <w:pPr>
              <w:spacing w:after="0"/>
              <w:rPr>
                <w:sz w:val="20"/>
              </w:rPr>
            </w:pPr>
            <w:r w:rsidRPr="00EF0B36">
              <w:rPr>
                <w:sz w:val="20"/>
              </w:rPr>
              <w:t>(95% CI)</w:t>
            </w:r>
          </w:p>
        </w:tc>
        <w:tc>
          <w:tcPr>
            <w:tcW w:w="3600" w:type="dxa"/>
            <w:gridSpan w:val="2"/>
            <w:shd w:val="clear" w:color="auto" w:fill="auto"/>
          </w:tcPr>
          <w:p w:rsidR="00987F90" w:rsidRPr="00EF0B36" w:rsidRDefault="00987F90" w:rsidP="00EF0B36">
            <w:pPr>
              <w:spacing w:after="0"/>
              <w:jc w:val="center"/>
              <w:rPr>
                <w:sz w:val="20"/>
              </w:rPr>
            </w:pPr>
            <w:r w:rsidRPr="00EF0B36">
              <w:rPr>
                <w:sz w:val="20"/>
              </w:rPr>
              <w:t xml:space="preserve">0.421 </w:t>
            </w:r>
          </w:p>
          <w:p w:rsidR="00987F90" w:rsidRPr="00EF0B36" w:rsidRDefault="00987F90" w:rsidP="00EF0B36">
            <w:pPr>
              <w:spacing w:after="0"/>
              <w:jc w:val="center"/>
              <w:rPr>
                <w:sz w:val="20"/>
              </w:rPr>
            </w:pPr>
            <w:r w:rsidRPr="00EF0B36">
              <w:rPr>
                <w:sz w:val="20"/>
              </w:rPr>
              <w:t>(0.343 ; 0.516)</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 xml:space="preserve">0.483 </w:t>
            </w:r>
          </w:p>
          <w:p w:rsidR="00987F90" w:rsidRPr="00EF0B36" w:rsidRDefault="00987F90" w:rsidP="00EF0B36">
            <w:pPr>
              <w:spacing w:after="0"/>
              <w:jc w:val="center"/>
              <w:rPr>
                <w:sz w:val="20"/>
              </w:rPr>
            </w:pPr>
            <w:r w:rsidRPr="00EF0B36">
              <w:rPr>
                <w:sz w:val="20"/>
              </w:rPr>
              <w:t>(0.385 ; 0.607)</w:t>
            </w:r>
          </w:p>
        </w:tc>
      </w:tr>
      <w:tr w:rsidR="00987F90" w:rsidRPr="00EF0B36" w:rsidTr="00EF0B36">
        <w:tc>
          <w:tcPr>
            <w:tcW w:w="2268" w:type="dxa"/>
            <w:shd w:val="clear" w:color="auto" w:fill="auto"/>
          </w:tcPr>
          <w:p w:rsidR="00987F90" w:rsidRPr="00EF0B36" w:rsidRDefault="00402F1B" w:rsidP="00EF0B36">
            <w:pPr>
              <w:spacing w:after="0"/>
              <w:rPr>
                <w:sz w:val="20"/>
              </w:rPr>
            </w:pPr>
            <w:r w:rsidRPr="00EF0B36">
              <w:rPr>
                <w:i/>
                <w:sz w:val="20"/>
              </w:rPr>
              <w:t>p</w:t>
            </w:r>
            <w:r w:rsidR="00987F90" w:rsidRPr="00EF0B36">
              <w:rPr>
                <w:sz w:val="20"/>
              </w:rPr>
              <w:t>-value</w:t>
            </w:r>
          </w:p>
        </w:tc>
        <w:tc>
          <w:tcPr>
            <w:tcW w:w="3600" w:type="dxa"/>
            <w:gridSpan w:val="2"/>
            <w:shd w:val="clear" w:color="auto" w:fill="auto"/>
          </w:tcPr>
          <w:p w:rsidR="00987F90" w:rsidRPr="00EF0B36" w:rsidRDefault="00987F90" w:rsidP="00EF0B36">
            <w:pPr>
              <w:spacing w:after="0"/>
              <w:jc w:val="center"/>
              <w:rPr>
                <w:sz w:val="20"/>
              </w:rPr>
            </w:pPr>
            <w:r w:rsidRPr="00EF0B36">
              <w:rPr>
                <w:sz w:val="20"/>
              </w:rPr>
              <w:t>&lt; 0.0001</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&lt; 0.0001</w:t>
            </w:r>
          </w:p>
        </w:tc>
      </w:tr>
      <w:tr w:rsidR="00987F90" w:rsidRPr="00EF0B36" w:rsidTr="00EF0B36">
        <w:tc>
          <w:tcPr>
            <w:tcW w:w="9288" w:type="dxa"/>
            <w:gridSpan w:val="5"/>
            <w:shd w:val="clear" w:color="auto" w:fill="auto"/>
          </w:tcPr>
          <w:p w:rsidR="00987F90" w:rsidRPr="00EF0B36" w:rsidRDefault="00987F90" w:rsidP="00EF0B36">
            <w:pPr>
              <w:spacing w:after="0"/>
              <w:rPr>
                <w:b/>
                <w:sz w:val="20"/>
              </w:rPr>
            </w:pPr>
            <w:r w:rsidRPr="00EF0B36">
              <w:rPr>
                <w:b/>
                <w:sz w:val="20"/>
              </w:rPr>
              <w:t xml:space="preserve">Response </w:t>
            </w:r>
            <w:r w:rsidR="00580803" w:rsidRPr="00EF0B36">
              <w:rPr>
                <w:b/>
                <w:sz w:val="20"/>
              </w:rPr>
              <w:t>R</w:t>
            </w:r>
            <w:r w:rsidRPr="00EF0B36">
              <w:rPr>
                <w:b/>
                <w:sz w:val="20"/>
              </w:rPr>
              <w:t xml:space="preserve">ates </w:t>
            </w:r>
            <w:r w:rsidRPr="00EF0B36">
              <w:rPr>
                <w:sz w:val="20"/>
              </w:rPr>
              <w:t>(for patients with measurable disease)</w:t>
            </w:r>
          </w:p>
        </w:tc>
      </w:tr>
      <w:tr w:rsidR="00987F90" w:rsidRPr="00EF0B36" w:rsidTr="00EF0B36">
        <w:tc>
          <w:tcPr>
            <w:tcW w:w="2268" w:type="dxa"/>
            <w:shd w:val="clear" w:color="auto" w:fill="auto"/>
          </w:tcPr>
          <w:p w:rsidR="00987F90" w:rsidRPr="00EF0B36" w:rsidRDefault="00987F90" w:rsidP="00EF0B36">
            <w:pPr>
              <w:spacing w:after="0"/>
              <w:rPr>
                <w:b/>
                <w:sz w:val="20"/>
              </w:rPr>
            </w:pPr>
          </w:p>
        </w:tc>
        <w:tc>
          <w:tcPr>
            <w:tcW w:w="3600" w:type="dxa"/>
            <w:gridSpan w:val="2"/>
            <w:shd w:val="clear" w:color="auto" w:fill="auto"/>
          </w:tcPr>
          <w:p w:rsidR="00987F90" w:rsidRPr="00EF0B36" w:rsidRDefault="00987F90" w:rsidP="00EF0B36">
            <w:pPr>
              <w:spacing w:after="0"/>
              <w:jc w:val="center"/>
              <w:rPr>
                <w:sz w:val="20"/>
              </w:rPr>
            </w:pPr>
            <w:r w:rsidRPr="00EF0B36">
              <w:rPr>
                <w:sz w:val="20"/>
              </w:rPr>
              <w:t>Investigator Assessment</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IRF Assessment</w:t>
            </w:r>
          </w:p>
        </w:tc>
      </w:tr>
      <w:tr w:rsidR="00987F90" w:rsidRPr="00EF0B36" w:rsidTr="00EF0B36">
        <w:tc>
          <w:tcPr>
            <w:tcW w:w="2268" w:type="dxa"/>
            <w:shd w:val="clear" w:color="auto" w:fill="auto"/>
          </w:tcPr>
          <w:p w:rsidR="00987F90" w:rsidRPr="00EF0B36" w:rsidRDefault="00987F90" w:rsidP="00EF0B36">
            <w:pPr>
              <w:spacing w:after="0"/>
              <w:rPr>
                <w:sz w:val="20"/>
              </w:rPr>
            </w:pPr>
          </w:p>
        </w:tc>
        <w:tc>
          <w:tcPr>
            <w:tcW w:w="1526" w:type="dxa"/>
            <w:shd w:val="clear" w:color="auto" w:fill="auto"/>
          </w:tcPr>
          <w:p w:rsidR="00987F90" w:rsidRPr="00EF0B36" w:rsidRDefault="00987F90" w:rsidP="00EF0B36">
            <w:pPr>
              <w:spacing w:after="0"/>
              <w:jc w:val="center"/>
              <w:rPr>
                <w:sz w:val="20"/>
              </w:rPr>
            </w:pPr>
            <w:r w:rsidRPr="00EF0B36">
              <w:rPr>
                <w:sz w:val="20"/>
              </w:rPr>
              <w:t>Paclitaxel</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00580803" w:rsidRPr="00EF0B36">
              <w:rPr>
                <w:sz w:val="20"/>
              </w:rPr>
              <w:t>273</w:t>
            </w:r>
            <w:r w:rsidRPr="00EF0B36">
              <w:rPr>
                <w:sz w:val="20"/>
              </w:rPr>
              <w:t>)</w:t>
            </w:r>
          </w:p>
        </w:tc>
        <w:tc>
          <w:tcPr>
            <w:tcW w:w="2074" w:type="dxa"/>
            <w:shd w:val="clear" w:color="auto" w:fill="auto"/>
          </w:tcPr>
          <w:p w:rsidR="00987F90" w:rsidRPr="00EF0B36" w:rsidRDefault="00072074" w:rsidP="00EF0B36">
            <w:pPr>
              <w:spacing w:after="0"/>
              <w:jc w:val="center"/>
              <w:rPr>
                <w:sz w:val="20"/>
              </w:rPr>
            </w:pPr>
            <w:r w:rsidRPr="00EF0B36">
              <w:rPr>
                <w:sz w:val="20"/>
              </w:rPr>
              <w:t>Paclitaxel</w:t>
            </w:r>
            <w:r w:rsidR="00987F90" w:rsidRPr="00EF0B36">
              <w:rPr>
                <w:sz w:val="20"/>
              </w:rPr>
              <w:t>/AVASTIN</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00580803" w:rsidRPr="00EF0B36">
              <w:rPr>
                <w:sz w:val="20"/>
              </w:rPr>
              <w:t>252</w:t>
            </w:r>
            <w:r w:rsidRPr="00EF0B36">
              <w:rPr>
                <w:sz w:val="20"/>
              </w:rPr>
              <w:t>)</w:t>
            </w:r>
          </w:p>
        </w:tc>
        <w:tc>
          <w:tcPr>
            <w:tcW w:w="1470" w:type="dxa"/>
            <w:shd w:val="clear" w:color="auto" w:fill="auto"/>
          </w:tcPr>
          <w:p w:rsidR="00987F90" w:rsidRPr="00EF0B36" w:rsidRDefault="00987F90" w:rsidP="00EF0B36">
            <w:pPr>
              <w:spacing w:after="0"/>
              <w:jc w:val="center"/>
              <w:rPr>
                <w:sz w:val="20"/>
              </w:rPr>
            </w:pPr>
            <w:r w:rsidRPr="00EF0B36">
              <w:rPr>
                <w:sz w:val="20"/>
              </w:rPr>
              <w:t>Paclitaxel</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243)</w:t>
            </w:r>
          </w:p>
        </w:tc>
        <w:tc>
          <w:tcPr>
            <w:tcW w:w="1950" w:type="dxa"/>
            <w:shd w:val="clear" w:color="auto" w:fill="auto"/>
          </w:tcPr>
          <w:p w:rsidR="00987F90" w:rsidRPr="00EF0B36" w:rsidRDefault="00987F90" w:rsidP="00EF0B36">
            <w:pPr>
              <w:spacing w:after="0"/>
              <w:jc w:val="center"/>
              <w:rPr>
                <w:sz w:val="20"/>
              </w:rPr>
            </w:pPr>
            <w:r w:rsidRPr="00EF0B36">
              <w:rPr>
                <w:sz w:val="20"/>
              </w:rPr>
              <w:t>Paclitaxel/AVASTIN</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229)</w:t>
            </w:r>
          </w:p>
        </w:tc>
      </w:tr>
      <w:tr w:rsidR="00987F90" w:rsidRPr="00EF0B36" w:rsidTr="00EF0B36">
        <w:tc>
          <w:tcPr>
            <w:tcW w:w="2268" w:type="dxa"/>
            <w:shd w:val="clear" w:color="auto" w:fill="auto"/>
          </w:tcPr>
          <w:p w:rsidR="00987F90" w:rsidRPr="00EF0B36" w:rsidRDefault="00987F90" w:rsidP="00EF0B36">
            <w:pPr>
              <w:spacing w:after="0"/>
              <w:rPr>
                <w:sz w:val="20"/>
              </w:rPr>
            </w:pPr>
            <w:r w:rsidRPr="00EF0B36">
              <w:rPr>
                <w:sz w:val="20"/>
              </w:rPr>
              <w:t xml:space="preserve">% </w:t>
            </w:r>
            <w:proofErr w:type="spellStart"/>
            <w:r w:rsidRPr="00EF0B36">
              <w:rPr>
                <w:sz w:val="20"/>
              </w:rPr>
              <w:t>pts</w:t>
            </w:r>
            <w:proofErr w:type="spellEnd"/>
            <w:r w:rsidRPr="00EF0B36">
              <w:rPr>
                <w:sz w:val="20"/>
              </w:rPr>
              <w:t xml:space="preserve"> with objective response</w:t>
            </w:r>
          </w:p>
        </w:tc>
        <w:tc>
          <w:tcPr>
            <w:tcW w:w="1526" w:type="dxa"/>
            <w:shd w:val="clear" w:color="auto" w:fill="auto"/>
          </w:tcPr>
          <w:p w:rsidR="00987F90" w:rsidRPr="00EF0B36" w:rsidRDefault="00987F90" w:rsidP="00EF0B36">
            <w:pPr>
              <w:spacing w:after="0"/>
              <w:jc w:val="center"/>
              <w:rPr>
                <w:sz w:val="20"/>
              </w:rPr>
            </w:pPr>
            <w:r w:rsidRPr="00EF0B36">
              <w:rPr>
                <w:sz w:val="20"/>
              </w:rPr>
              <w:t>23.4</w:t>
            </w:r>
          </w:p>
        </w:tc>
        <w:tc>
          <w:tcPr>
            <w:tcW w:w="2074" w:type="dxa"/>
            <w:shd w:val="clear" w:color="auto" w:fill="auto"/>
          </w:tcPr>
          <w:p w:rsidR="00987F90" w:rsidRPr="00EF0B36" w:rsidRDefault="00987F90" w:rsidP="00EF0B36">
            <w:pPr>
              <w:spacing w:after="0"/>
              <w:jc w:val="center"/>
              <w:rPr>
                <w:sz w:val="20"/>
              </w:rPr>
            </w:pPr>
            <w:r w:rsidRPr="00EF0B36">
              <w:rPr>
                <w:sz w:val="20"/>
              </w:rPr>
              <w:t>48.0</w:t>
            </w:r>
          </w:p>
        </w:tc>
        <w:tc>
          <w:tcPr>
            <w:tcW w:w="1470" w:type="dxa"/>
            <w:shd w:val="clear" w:color="auto" w:fill="auto"/>
          </w:tcPr>
          <w:p w:rsidR="00987F90" w:rsidRPr="00EF0B36" w:rsidRDefault="00987F90" w:rsidP="00EF0B36">
            <w:pPr>
              <w:spacing w:after="0"/>
              <w:jc w:val="center"/>
              <w:rPr>
                <w:sz w:val="20"/>
              </w:rPr>
            </w:pPr>
            <w:r w:rsidRPr="00EF0B36">
              <w:rPr>
                <w:sz w:val="20"/>
              </w:rPr>
              <w:t>22.2</w:t>
            </w:r>
          </w:p>
        </w:tc>
        <w:tc>
          <w:tcPr>
            <w:tcW w:w="1950" w:type="dxa"/>
            <w:shd w:val="clear" w:color="auto" w:fill="auto"/>
          </w:tcPr>
          <w:p w:rsidR="00987F90" w:rsidRPr="00EF0B36" w:rsidRDefault="00987F90" w:rsidP="00EF0B36">
            <w:pPr>
              <w:spacing w:after="0"/>
              <w:jc w:val="center"/>
              <w:rPr>
                <w:sz w:val="20"/>
              </w:rPr>
            </w:pPr>
            <w:r w:rsidRPr="00EF0B36">
              <w:rPr>
                <w:sz w:val="20"/>
              </w:rPr>
              <w:t>49.8</w:t>
            </w:r>
          </w:p>
        </w:tc>
      </w:tr>
      <w:tr w:rsidR="00987F90" w:rsidRPr="00EF0B36" w:rsidTr="00EF0B36">
        <w:trPr>
          <w:trHeight w:val="223"/>
        </w:trPr>
        <w:tc>
          <w:tcPr>
            <w:tcW w:w="2268" w:type="dxa"/>
            <w:shd w:val="clear" w:color="auto" w:fill="auto"/>
          </w:tcPr>
          <w:p w:rsidR="00987F90" w:rsidRPr="00EF0B36" w:rsidRDefault="00402F1B" w:rsidP="00EF0B36">
            <w:pPr>
              <w:spacing w:after="0"/>
              <w:rPr>
                <w:sz w:val="20"/>
              </w:rPr>
            </w:pPr>
            <w:r w:rsidRPr="00EF0B36">
              <w:rPr>
                <w:i/>
                <w:sz w:val="20"/>
              </w:rPr>
              <w:t>p</w:t>
            </w:r>
            <w:r w:rsidR="00987F90" w:rsidRPr="00EF0B36">
              <w:rPr>
                <w:sz w:val="20"/>
              </w:rPr>
              <w:t>-value</w:t>
            </w:r>
          </w:p>
        </w:tc>
        <w:tc>
          <w:tcPr>
            <w:tcW w:w="3600" w:type="dxa"/>
            <w:gridSpan w:val="2"/>
            <w:shd w:val="clear" w:color="auto" w:fill="auto"/>
          </w:tcPr>
          <w:p w:rsidR="00987F90" w:rsidRPr="00EF0B36" w:rsidRDefault="00987F90" w:rsidP="00EF0B36">
            <w:pPr>
              <w:spacing w:after="0"/>
              <w:jc w:val="center"/>
              <w:rPr>
                <w:sz w:val="20"/>
              </w:rPr>
            </w:pPr>
            <w:r w:rsidRPr="00EF0B36">
              <w:rPr>
                <w:sz w:val="20"/>
              </w:rPr>
              <w:t>&lt; 0.0001</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&lt; 0.0001</w:t>
            </w:r>
          </w:p>
        </w:tc>
      </w:tr>
    </w:tbl>
    <w:p w:rsidR="00EF0B36" w:rsidRPr="00EF0B36" w:rsidRDefault="00EF0B36" w:rsidP="00EF0B36">
      <w:pPr>
        <w:spacing w:after="0"/>
        <w:rPr>
          <w:vanish/>
        </w:rPr>
      </w:pPr>
    </w:p>
    <w:tbl>
      <w:tblPr>
        <w:tblpPr w:leftFromText="180" w:rightFromText="180" w:vertAnchor="text" w:horzAnchor="margin" w:tblpY="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00"/>
        <w:gridCol w:w="3420"/>
      </w:tblGrid>
      <w:tr w:rsidR="00580803" w:rsidRPr="00EF0B36" w:rsidTr="00EF0B36">
        <w:tc>
          <w:tcPr>
            <w:tcW w:w="9288" w:type="dxa"/>
            <w:gridSpan w:val="3"/>
            <w:shd w:val="clear" w:color="auto" w:fill="auto"/>
          </w:tcPr>
          <w:p w:rsidR="00580803" w:rsidRPr="00EF0B36" w:rsidRDefault="00580803" w:rsidP="00EF0B36">
            <w:pPr>
              <w:spacing w:after="0"/>
              <w:rPr>
                <w:b/>
                <w:sz w:val="20"/>
              </w:rPr>
            </w:pPr>
            <w:r w:rsidRPr="00EF0B36">
              <w:rPr>
                <w:b/>
                <w:sz w:val="20"/>
              </w:rPr>
              <w:t xml:space="preserve">Overall Survival </w:t>
            </w:r>
            <w:r w:rsidRPr="00EF0B36">
              <w:rPr>
                <w:sz w:val="20"/>
              </w:rPr>
              <w:t>(Investigator assessment)</w:t>
            </w:r>
          </w:p>
        </w:tc>
      </w:tr>
      <w:tr w:rsidR="00580803" w:rsidRPr="00EF0B36" w:rsidTr="00EF0B36">
        <w:tc>
          <w:tcPr>
            <w:tcW w:w="2268" w:type="dxa"/>
            <w:shd w:val="clear" w:color="auto" w:fill="auto"/>
          </w:tcPr>
          <w:p w:rsidR="00580803" w:rsidRPr="00EF0B36" w:rsidRDefault="00580803" w:rsidP="00EF0B36">
            <w:pPr>
              <w:spacing w:after="0"/>
              <w:rPr>
                <w:b/>
                <w:sz w:val="20"/>
              </w:rPr>
            </w:pPr>
          </w:p>
        </w:tc>
        <w:tc>
          <w:tcPr>
            <w:tcW w:w="3600" w:type="dxa"/>
            <w:shd w:val="clear" w:color="auto" w:fill="auto"/>
          </w:tcPr>
          <w:p w:rsidR="00580803" w:rsidRPr="00EF0B36" w:rsidRDefault="00580803" w:rsidP="00EF0B36">
            <w:pPr>
              <w:spacing w:after="0"/>
              <w:jc w:val="center"/>
              <w:rPr>
                <w:sz w:val="20"/>
              </w:rPr>
            </w:pPr>
            <w:r w:rsidRPr="00EF0B36">
              <w:rPr>
                <w:sz w:val="20"/>
              </w:rPr>
              <w:t>Paclitaxel</w:t>
            </w:r>
          </w:p>
          <w:p w:rsidR="00580803" w:rsidRPr="00EF0B36" w:rsidRDefault="00580803" w:rsidP="00EF0B36">
            <w:pPr>
              <w:spacing w:after="0"/>
              <w:jc w:val="center"/>
              <w:rPr>
                <w:sz w:val="20"/>
              </w:rPr>
            </w:pPr>
            <w:r w:rsidRPr="00EF0B36">
              <w:rPr>
                <w:sz w:val="20"/>
              </w:rPr>
              <w:t>(</w:t>
            </w:r>
            <w:r w:rsidRPr="00EF0B36">
              <w:rPr>
                <w:i/>
                <w:sz w:val="20"/>
              </w:rPr>
              <w:t>n</w:t>
            </w:r>
            <w:r w:rsidRPr="00EF0B36">
              <w:rPr>
                <w:sz w:val="20"/>
              </w:rPr>
              <w:t xml:space="preserve"> = 354)</w:t>
            </w:r>
          </w:p>
        </w:tc>
        <w:tc>
          <w:tcPr>
            <w:tcW w:w="3420" w:type="dxa"/>
            <w:shd w:val="clear" w:color="auto" w:fill="auto"/>
          </w:tcPr>
          <w:p w:rsidR="00580803" w:rsidRPr="00EF0B36" w:rsidRDefault="00580803" w:rsidP="00EF0B36">
            <w:pPr>
              <w:spacing w:after="0"/>
              <w:jc w:val="center"/>
              <w:rPr>
                <w:sz w:val="20"/>
              </w:rPr>
            </w:pPr>
            <w:r w:rsidRPr="00EF0B36">
              <w:rPr>
                <w:sz w:val="20"/>
              </w:rPr>
              <w:t>Paclitaxel/AVASTIN</w:t>
            </w:r>
          </w:p>
          <w:p w:rsidR="00580803" w:rsidRPr="00EF0B36" w:rsidRDefault="00580803" w:rsidP="00EF0B36">
            <w:pPr>
              <w:spacing w:after="0"/>
              <w:jc w:val="center"/>
              <w:rPr>
                <w:sz w:val="20"/>
              </w:rPr>
            </w:pPr>
            <w:r w:rsidRPr="00EF0B36">
              <w:rPr>
                <w:sz w:val="20"/>
              </w:rPr>
              <w:t>(</w:t>
            </w:r>
            <w:r w:rsidRPr="00EF0B36">
              <w:rPr>
                <w:i/>
                <w:sz w:val="20"/>
              </w:rPr>
              <w:t>n</w:t>
            </w:r>
            <w:r w:rsidRPr="00EF0B36">
              <w:rPr>
                <w:sz w:val="20"/>
              </w:rPr>
              <w:t xml:space="preserve"> = 368)</w:t>
            </w:r>
          </w:p>
        </w:tc>
      </w:tr>
      <w:tr w:rsidR="00580803" w:rsidRPr="00EF0B36" w:rsidTr="00EF0B36">
        <w:tc>
          <w:tcPr>
            <w:tcW w:w="2268" w:type="dxa"/>
            <w:shd w:val="clear" w:color="auto" w:fill="auto"/>
          </w:tcPr>
          <w:p w:rsidR="00580803" w:rsidRPr="00EF0B36" w:rsidRDefault="00580803" w:rsidP="00EF0B36">
            <w:pPr>
              <w:spacing w:after="0"/>
              <w:rPr>
                <w:sz w:val="20"/>
              </w:rPr>
            </w:pPr>
            <w:r w:rsidRPr="00EF0B36">
              <w:rPr>
                <w:sz w:val="20"/>
              </w:rPr>
              <w:t>Median OS (months)</w:t>
            </w:r>
          </w:p>
        </w:tc>
        <w:tc>
          <w:tcPr>
            <w:tcW w:w="3600" w:type="dxa"/>
            <w:shd w:val="clear" w:color="auto" w:fill="auto"/>
          </w:tcPr>
          <w:p w:rsidR="00580803" w:rsidRPr="00EF0B36" w:rsidRDefault="00580803" w:rsidP="00EF0B36">
            <w:pPr>
              <w:spacing w:after="0"/>
              <w:jc w:val="center"/>
              <w:rPr>
                <w:sz w:val="20"/>
              </w:rPr>
            </w:pPr>
            <w:r w:rsidRPr="00EF0B36">
              <w:rPr>
                <w:sz w:val="20"/>
              </w:rPr>
              <w:t>24.8</w:t>
            </w:r>
          </w:p>
        </w:tc>
        <w:tc>
          <w:tcPr>
            <w:tcW w:w="3420" w:type="dxa"/>
            <w:shd w:val="clear" w:color="auto" w:fill="auto"/>
          </w:tcPr>
          <w:p w:rsidR="00580803" w:rsidRPr="00EF0B36" w:rsidRDefault="00580803" w:rsidP="00EF0B36">
            <w:pPr>
              <w:spacing w:line="280" w:lineRule="atLeast"/>
              <w:jc w:val="center"/>
              <w:rPr>
                <w:sz w:val="20"/>
              </w:rPr>
            </w:pPr>
            <w:r w:rsidRPr="00EF0B36">
              <w:rPr>
                <w:sz w:val="20"/>
              </w:rPr>
              <w:t>26.5</w:t>
            </w:r>
          </w:p>
        </w:tc>
      </w:tr>
      <w:tr w:rsidR="00580803" w:rsidRPr="00EF0B36" w:rsidTr="00EF0B36">
        <w:tc>
          <w:tcPr>
            <w:tcW w:w="2268" w:type="dxa"/>
            <w:shd w:val="clear" w:color="auto" w:fill="auto"/>
          </w:tcPr>
          <w:p w:rsidR="00580803" w:rsidRPr="00EF0B36" w:rsidRDefault="00580803" w:rsidP="00EF0B36">
            <w:pPr>
              <w:spacing w:after="0"/>
              <w:rPr>
                <w:sz w:val="20"/>
              </w:rPr>
            </w:pPr>
            <w:r w:rsidRPr="00EF0B36">
              <w:rPr>
                <w:sz w:val="20"/>
              </w:rPr>
              <w:t xml:space="preserve">Hazard Ratio  </w:t>
            </w:r>
          </w:p>
          <w:p w:rsidR="00580803" w:rsidRPr="00EF0B36" w:rsidRDefault="00580803" w:rsidP="00EF0B36">
            <w:pPr>
              <w:spacing w:after="0"/>
              <w:rPr>
                <w:sz w:val="20"/>
              </w:rPr>
            </w:pPr>
            <w:r w:rsidRPr="00EF0B36">
              <w:rPr>
                <w:sz w:val="20"/>
              </w:rPr>
              <w:t>(95% CI)</w:t>
            </w:r>
          </w:p>
        </w:tc>
        <w:tc>
          <w:tcPr>
            <w:tcW w:w="7020" w:type="dxa"/>
            <w:gridSpan w:val="2"/>
            <w:shd w:val="clear" w:color="auto" w:fill="auto"/>
          </w:tcPr>
          <w:p w:rsidR="00580803" w:rsidRPr="00EF0B36" w:rsidRDefault="00580803" w:rsidP="00EF0B36">
            <w:pPr>
              <w:spacing w:after="0"/>
              <w:jc w:val="center"/>
              <w:rPr>
                <w:sz w:val="20"/>
              </w:rPr>
            </w:pPr>
            <w:r w:rsidRPr="00EF0B36">
              <w:rPr>
                <w:sz w:val="20"/>
              </w:rPr>
              <w:t xml:space="preserve">0.869 </w:t>
            </w:r>
          </w:p>
          <w:p w:rsidR="00580803" w:rsidRPr="00EF0B36" w:rsidRDefault="00580803" w:rsidP="00EF0B36">
            <w:pPr>
              <w:spacing w:after="0"/>
              <w:jc w:val="center"/>
              <w:rPr>
                <w:sz w:val="20"/>
              </w:rPr>
            </w:pPr>
            <w:r w:rsidRPr="00EF0B36">
              <w:rPr>
                <w:sz w:val="20"/>
              </w:rPr>
              <w:t>(0.722 ; 1.046)</w:t>
            </w:r>
          </w:p>
        </w:tc>
      </w:tr>
      <w:tr w:rsidR="00580803" w:rsidRPr="00EF0B36" w:rsidTr="00EF0B36">
        <w:tc>
          <w:tcPr>
            <w:tcW w:w="2268" w:type="dxa"/>
            <w:shd w:val="clear" w:color="auto" w:fill="auto"/>
          </w:tcPr>
          <w:p w:rsidR="00580803" w:rsidRPr="00EF0B36" w:rsidRDefault="00580803" w:rsidP="00EF0B36">
            <w:pPr>
              <w:spacing w:after="0"/>
              <w:rPr>
                <w:sz w:val="20"/>
              </w:rPr>
            </w:pPr>
            <w:r w:rsidRPr="00EF0B36">
              <w:rPr>
                <w:i/>
                <w:sz w:val="20"/>
              </w:rPr>
              <w:t>p</w:t>
            </w:r>
            <w:r w:rsidRPr="00EF0B36">
              <w:rPr>
                <w:sz w:val="20"/>
              </w:rPr>
              <w:t>-value</w:t>
            </w:r>
          </w:p>
        </w:tc>
        <w:tc>
          <w:tcPr>
            <w:tcW w:w="7020" w:type="dxa"/>
            <w:gridSpan w:val="2"/>
            <w:shd w:val="clear" w:color="auto" w:fill="auto"/>
          </w:tcPr>
          <w:p w:rsidR="00580803" w:rsidRPr="00EF0B36" w:rsidRDefault="00580803" w:rsidP="00EF0B36">
            <w:pPr>
              <w:spacing w:after="0"/>
              <w:jc w:val="center"/>
              <w:rPr>
                <w:sz w:val="20"/>
              </w:rPr>
            </w:pPr>
            <w:r w:rsidRPr="00EF0B36">
              <w:rPr>
                <w:sz w:val="20"/>
              </w:rPr>
              <w:t>0.1374</w:t>
            </w:r>
          </w:p>
        </w:tc>
      </w:tr>
    </w:tbl>
    <w:p w:rsidR="00580803" w:rsidRPr="00A74077" w:rsidRDefault="00580803" w:rsidP="00580803">
      <w:pPr>
        <w:spacing w:after="0"/>
        <w:rPr>
          <w:i/>
          <w:sz w:val="20"/>
        </w:rPr>
      </w:pPr>
      <w:r w:rsidRPr="00580803" w:rsidDel="000A1BCD">
        <w:rPr>
          <w:i/>
          <w:sz w:val="20"/>
        </w:rPr>
        <w:t xml:space="preserve"> </w:t>
      </w:r>
      <w:r w:rsidRPr="00A74077">
        <w:rPr>
          <w:i/>
          <w:sz w:val="20"/>
        </w:rPr>
        <w:t>^ primary analysis; IRF = independent review facility</w:t>
      </w:r>
    </w:p>
    <w:p w:rsidR="004E5CB3" w:rsidRPr="00F56C60" w:rsidRDefault="004E5CB3" w:rsidP="004E5CB3">
      <w:pPr>
        <w:rPr>
          <w:b/>
        </w:rPr>
      </w:pPr>
    </w:p>
    <w:p w:rsidR="003E5B5A" w:rsidRPr="00F56C60" w:rsidRDefault="003E5B5A" w:rsidP="009260D0">
      <w:pPr>
        <w:pStyle w:val="TextTi12"/>
        <w:ind w:left="709"/>
        <w:rPr>
          <w:b/>
        </w:rPr>
      </w:pPr>
      <w:r w:rsidRPr="00F56C60">
        <w:rPr>
          <w:b/>
        </w:rPr>
        <w:t xml:space="preserve">Figure </w:t>
      </w:r>
      <w:r w:rsidR="00F56C60" w:rsidRPr="00F56C60">
        <w:rPr>
          <w:b/>
        </w:rPr>
        <w:t xml:space="preserve">4: </w:t>
      </w:r>
      <w:r w:rsidRPr="00F56C60">
        <w:rPr>
          <w:b/>
        </w:rPr>
        <w:t xml:space="preserve"> Kaplan-Meier curves </w:t>
      </w:r>
      <w:r w:rsidR="00F56C60" w:rsidRPr="00F56C60">
        <w:rPr>
          <w:b/>
        </w:rPr>
        <w:t>for progression free survival in study E2100</w:t>
      </w:r>
    </w:p>
    <w:p w:rsidR="006267E5" w:rsidRDefault="009260D0" w:rsidP="00004DEE">
      <w:r>
        <w:lastRenderedPageBreak/>
        <w:t xml:space="preserve">           </w:t>
      </w:r>
      <w:r w:rsidR="0087418D">
        <w:rPr>
          <w:noProof/>
          <w:lang w:eastAsia="en-AU"/>
        </w:rPr>
        <w:drawing>
          <wp:inline distT="0" distB="0" distL="0" distR="0">
            <wp:extent cx="4552950" cy="2447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2447925"/>
                    </a:xfrm>
                    <a:prstGeom prst="rect">
                      <a:avLst/>
                    </a:prstGeom>
                    <a:noFill/>
                    <a:ln>
                      <a:noFill/>
                    </a:ln>
                  </pic:spPr>
                </pic:pic>
              </a:graphicData>
            </a:graphic>
          </wp:inline>
        </w:drawing>
      </w:r>
    </w:p>
    <w:p w:rsidR="008B70BB" w:rsidRDefault="008B70BB" w:rsidP="00004DEE"/>
    <w:p w:rsidR="00B97729" w:rsidRPr="00B97729" w:rsidRDefault="00B97729" w:rsidP="00B97729">
      <w:pPr>
        <w:autoSpaceDE w:val="0"/>
        <w:autoSpaceDN w:val="0"/>
        <w:adjustRightInd w:val="0"/>
        <w:spacing w:after="0"/>
        <w:rPr>
          <w:rFonts w:ascii="Georgia" w:eastAsia="SimSun" w:hAnsi="Georgia" w:cs="Georgia"/>
          <w:iCs/>
          <w:color w:val="000000"/>
          <w:sz w:val="24"/>
          <w:szCs w:val="24"/>
          <w:lang w:eastAsia="zh-CN"/>
        </w:rPr>
      </w:pPr>
      <w:bookmarkStart w:id="5" w:name="OLE_LINK3"/>
      <w:bookmarkStart w:id="6" w:name="OLE_LINK5"/>
      <w:bookmarkStart w:id="7" w:name="OLE_LINK6"/>
      <w:bookmarkStart w:id="8" w:name="OLE_LINK7"/>
      <w:r w:rsidRPr="00B97729">
        <w:rPr>
          <w:rFonts w:eastAsia="SimSun"/>
          <w:iCs/>
          <w:sz w:val="24"/>
          <w:szCs w:val="24"/>
          <w:lang w:eastAsia="zh-CN"/>
        </w:rPr>
        <w:t xml:space="preserve">The efficacy and safety of </w:t>
      </w:r>
      <w:r w:rsidR="00580803">
        <w:rPr>
          <w:rFonts w:eastAsia="SimSun"/>
          <w:iCs/>
          <w:sz w:val="24"/>
          <w:szCs w:val="24"/>
          <w:lang w:eastAsia="zh-CN"/>
        </w:rPr>
        <w:t>AVASTIN</w:t>
      </w:r>
      <w:r w:rsidR="00580803" w:rsidRPr="00B97729">
        <w:rPr>
          <w:rFonts w:eastAsia="SimSun"/>
          <w:iCs/>
          <w:sz w:val="24"/>
          <w:szCs w:val="24"/>
          <w:lang w:eastAsia="zh-CN"/>
        </w:rPr>
        <w:t xml:space="preserve"> </w:t>
      </w:r>
      <w:r>
        <w:rPr>
          <w:rFonts w:eastAsia="SimSun"/>
          <w:iCs/>
          <w:sz w:val="24"/>
          <w:szCs w:val="24"/>
          <w:lang w:eastAsia="zh-CN"/>
        </w:rPr>
        <w:t>in combination with</w:t>
      </w:r>
      <w:r w:rsidRPr="00B97729">
        <w:rPr>
          <w:rFonts w:eastAsia="SimSun"/>
          <w:iCs/>
          <w:sz w:val="24"/>
          <w:szCs w:val="24"/>
          <w:lang w:eastAsia="zh-CN"/>
        </w:rPr>
        <w:t xml:space="preserve"> </w:t>
      </w:r>
      <w:proofErr w:type="spellStart"/>
      <w:r w:rsidRPr="00B97729">
        <w:rPr>
          <w:rFonts w:eastAsia="SimSun"/>
          <w:iCs/>
          <w:sz w:val="24"/>
          <w:szCs w:val="24"/>
          <w:lang w:eastAsia="zh-CN"/>
        </w:rPr>
        <w:t>anthracycline</w:t>
      </w:r>
      <w:proofErr w:type="spellEnd"/>
      <w:r w:rsidRPr="00B97729">
        <w:rPr>
          <w:rFonts w:eastAsia="SimSun"/>
          <w:iCs/>
          <w:sz w:val="24"/>
          <w:szCs w:val="24"/>
          <w:lang w:eastAsia="zh-CN"/>
        </w:rPr>
        <w:t xml:space="preserve">-based therapies </w:t>
      </w:r>
      <w:r w:rsidR="003E023B" w:rsidRPr="00B97729">
        <w:rPr>
          <w:rFonts w:eastAsia="SimSun"/>
          <w:iCs/>
          <w:sz w:val="24"/>
          <w:szCs w:val="24"/>
          <w:lang w:eastAsia="zh-CN"/>
        </w:rPr>
        <w:t xml:space="preserve">have not been studied </w:t>
      </w:r>
      <w:r w:rsidRPr="00B97729">
        <w:rPr>
          <w:rFonts w:eastAsia="SimSun"/>
          <w:iCs/>
          <w:sz w:val="24"/>
          <w:szCs w:val="24"/>
          <w:lang w:eastAsia="zh-CN"/>
        </w:rPr>
        <w:t>for first-line therapy in metastatic breast cancer.</w:t>
      </w:r>
      <w:bookmarkEnd w:id="5"/>
      <w:bookmarkEnd w:id="6"/>
    </w:p>
    <w:bookmarkEnd w:id="7"/>
    <w:bookmarkEnd w:id="8"/>
    <w:p w:rsidR="00BB01B2" w:rsidRDefault="00BB01B2" w:rsidP="003B560C">
      <w:pPr>
        <w:rPr>
          <w:rStyle w:val="Heading2Char"/>
        </w:rPr>
      </w:pPr>
    </w:p>
    <w:p w:rsidR="003B560C" w:rsidRDefault="003B560C" w:rsidP="003B560C">
      <w:pPr>
        <w:pStyle w:val="TextTi12"/>
        <w:rPr>
          <w:lang w:val="en-GB"/>
        </w:rPr>
      </w:pPr>
      <w:r>
        <w:rPr>
          <w:b/>
          <w:i/>
          <w:lang w:val="en-AU"/>
        </w:rPr>
        <w:t>A</w:t>
      </w:r>
      <w:proofErr w:type="spellStart"/>
      <w:r>
        <w:rPr>
          <w:b/>
          <w:i/>
          <w:lang w:val="en-GB"/>
        </w:rPr>
        <w:t>dvanced</w:t>
      </w:r>
      <w:proofErr w:type="spellEnd"/>
      <w:r>
        <w:rPr>
          <w:b/>
          <w:i/>
          <w:lang w:val="en-GB"/>
        </w:rPr>
        <w:t>, metastatic or recurrent Non-Small Cell Lung Cancer</w:t>
      </w:r>
    </w:p>
    <w:p w:rsidR="003B560C" w:rsidRPr="00806E2F" w:rsidRDefault="003B560C" w:rsidP="003B560C">
      <w:pPr>
        <w:pStyle w:val="TextTi12"/>
        <w:rPr>
          <w:lang w:val="en-GB"/>
        </w:rPr>
      </w:pPr>
      <w:r w:rsidRPr="00806E2F">
        <w:rPr>
          <w:lang w:val="en-GB"/>
        </w:rPr>
        <w:t xml:space="preserve">The safety and efficacy of </w:t>
      </w:r>
      <w:r>
        <w:rPr>
          <w:lang w:val="en-GB"/>
        </w:rPr>
        <w:t>AVASTIN</w:t>
      </w:r>
      <w:r w:rsidRPr="00806E2F">
        <w:rPr>
          <w:lang w:val="en-GB"/>
        </w:rPr>
        <w:t xml:space="preserve"> in the first-line treatment of patients with non-small cell lung cancer (NSCLC) other than predominantly squamous cell histology, was studied in addition </w:t>
      </w:r>
      <w:r w:rsidRPr="00A816C4">
        <w:rPr>
          <w:lang w:val="en-GB"/>
        </w:rPr>
        <w:t>to carboplatin/paclitaxel-based chemotherapy in study E4599 (</w:t>
      </w:r>
      <w:r w:rsidR="00402F1B" w:rsidRPr="00402F1B">
        <w:rPr>
          <w:i/>
          <w:lang w:val="en-GB"/>
        </w:rPr>
        <w:t>n</w:t>
      </w:r>
      <w:r w:rsidRPr="00A816C4">
        <w:rPr>
          <w:lang w:val="en-GB"/>
        </w:rPr>
        <w:t xml:space="preserve"> = 878)</w:t>
      </w:r>
      <w:r>
        <w:rPr>
          <w:lang w:val="en-GB"/>
        </w:rPr>
        <w:t xml:space="preserve">.  </w:t>
      </w:r>
      <w:r w:rsidRPr="00806E2F">
        <w:rPr>
          <w:lang w:val="en-GB"/>
        </w:rPr>
        <w:t xml:space="preserve">E4599 was an open-label, randomised, active-controlled, multicentre clinical trial evaluating </w:t>
      </w:r>
      <w:r>
        <w:rPr>
          <w:lang w:val="en-GB"/>
        </w:rPr>
        <w:t>AVASTIN</w:t>
      </w:r>
      <w:r w:rsidRPr="00806E2F">
        <w:rPr>
          <w:lang w:val="en-GB"/>
        </w:rPr>
        <w:t xml:space="preserve"> as first-line treatment of patients with locally advanced</w:t>
      </w:r>
      <w:r w:rsidRPr="003B560C">
        <w:rPr>
          <w:lang w:val="en-GB"/>
        </w:rPr>
        <w:t xml:space="preserve"> (</w:t>
      </w:r>
      <w:r w:rsidR="00954804">
        <w:rPr>
          <w:lang w:val="en-GB"/>
        </w:rPr>
        <w:t>S</w:t>
      </w:r>
      <w:r w:rsidRPr="003B560C">
        <w:rPr>
          <w:lang w:val="en-GB"/>
        </w:rPr>
        <w:t>tage IIIB with malignant pleural effusion),</w:t>
      </w:r>
      <w:r w:rsidRPr="00806E2F">
        <w:rPr>
          <w:lang w:val="en-GB"/>
        </w:rPr>
        <w:t xml:space="preserve"> metastatic or recurrent NSCLC other than predominant</w:t>
      </w:r>
      <w:r>
        <w:rPr>
          <w:lang w:val="en-GB"/>
        </w:rPr>
        <w:t>ly squamous cell histology.</w:t>
      </w:r>
    </w:p>
    <w:p w:rsidR="003B560C" w:rsidRDefault="003B560C" w:rsidP="003B560C">
      <w:pPr>
        <w:pStyle w:val="TextTi12"/>
        <w:rPr>
          <w:lang w:val="en-GB"/>
        </w:rPr>
      </w:pPr>
      <w:r>
        <w:rPr>
          <w:lang w:val="en-GB"/>
        </w:rPr>
        <w:t>Patients were randomis</w:t>
      </w:r>
      <w:r w:rsidRPr="00806E2F">
        <w:rPr>
          <w:lang w:val="en-GB"/>
        </w:rPr>
        <w:t>ed to platinum-based chemotherapy (paclitaxel 200 mg/m</w:t>
      </w:r>
      <w:r w:rsidRPr="00E8691E">
        <w:rPr>
          <w:vertAlign w:val="superscript"/>
          <w:lang w:val="en-GB"/>
        </w:rPr>
        <w:t>2</w:t>
      </w:r>
      <w:r w:rsidRPr="00806E2F">
        <w:rPr>
          <w:lang w:val="en-GB"/>
        </w:rPr>
        <w:t xml:space="preserve"> and carboplatin AUC = 6.0, both by IV infusion) (PC) on day 1 of every 3</w:t>
      </w:r>
      <w:r w:rsidR="008541DA">
        <w:rPr>
          <w:lang w:val="en-GB"/>
        </w:rPr>
        <w:t xml:space="preserve"> </w:t>
      </w:r>
      <w:r>
        <w:rPr>
          <w:lang w:val="en-GB"/>
        </w:rPr>
        <w:t>week cycle for up to 6 cycles or</w:t>
      </w:r>
      <w:r w:rsidRPr="00806E2F">
        <w:rPr>
          <w:lang w:val="en-GB"/>
        </w:rPr>
        <w:t xml:space="preserve"> PC in  combination with </w:t>
      </w:r>
      <w:r>
        <w:rPr>
          <w:lang w:val="en-GB"/>
        </w:rPr>
        <w:t>AVASTIN</w:t>
      </w:r>
      <w:r w:rsidRPr="00806E2F">
        <w:rPr>
          <w:lang w:val="en-GB"/>
        </w:rPr>
        <w:t xml:space="preserve"> at a dose of 15 mg/kg IV infusio</w:t>
      </w:r>
      <w:r>
        <w:rPr>
          <w:lang w:val="en-GB"/>
        </w:rPr>
        <w:t>n day 1 of every 3</w:t>
      </w:r>
      <w:r w:rsidR="008541DA">
        <w:rPr>
          <w:lang w:val="en-GB"/>
        </w:rPr>
        <w:t xml:space="preserve"> </w:t>
      </w:r>
      <w:r>
        <w:rPr>
          <w:lang w:val="en-GB"/>
        </w:rPr>
        <w:t xml:space="preserve">week cycle.  </w:t>
      </w:r>
      <w:r w:rsidRPr="00A816C4">
        <w:rPr>
          <w:lang w:val="en-GB"/>
        </w:rPr>
        <w:t>Patients with predominant squamous histology (mixed cell type tumours only), central nervous system (CNS) metastasis, gross haemoptysis (</w:t>
      </w:r>
      <w:r w:rsidRPr="00A816C4">
        <w:rPr>
          <w:rFonts w:ascii="Arial" w:hAnsi="Arial" w:cs="Arial"/>
          <w:lang w:val="en-GB"/>
        </w:rPr>
        <w:t>≥</w:t>
      </w:r>
      <w:r w:rsidRPr="00A816C4">
        <w:rPr>
          <w:lang w:val="en-GB"/>
        </w:rPr>
        <w:t xml:space="preserve"> ½ tsp of red blood), clinically significant cardiovascular disease and medically uncontrolled hypertension were excluded.  Other exclusion criteria were: therapeutic anticoagulation, regular use of aspirin (&gt; 325 mg/day, NSAIDs or other agents known to inhibit platelet function, radiation therapy within 21 days of enrolment and major surgery within 28 days before enrolment.</w:t>
      </w:r>
    </w:p>
    <w:p w:rsidR="003B560C" w:rsidRPr="00A816C4" w:rsidRDefault="003B560C" w:rsidP="003B560C">
      <w:pPr>
        <w:pStyle w:val="TextTi12"/>
        <w:rPr>
          <w:lang w:val="en-GB"/>
        </w:rPr>
      </w:pPr>
      <w:r w:rsidRPr="00A816C4">
        <w:rPr>
          <w:lang w:val="en-GB"/>
        </w:rPr>
        <w:t xml:space="preserve">Among 878 patients randomised to the two arms, the median age was 63, 46% were female, 43% were </w:t>
      </w:r>
      <w:r w:rsidRPr="00A816C4">
        <w:rPr>
          <w:rFonts w:ascii="Arial" w:hAnsi="Arial" w:cs="Arial"/>
          <w:lang w:val="en-GB"/>
        </w:rPr>
        <w:t>≥</w:t>
      </w:r>
      <w:r w:rsidRPr="00A816C4">
        <w:rPr>
          <w:lang w:val="en-GB"/>
        </w:rPr>
        <w:t xml:space="preserve"> age 65, and 28% had </w:t>
      </w:r>
      <w:r w:rsidRPr="00A816C4">
        <w:rPr>
          <w:rFonts w:ascii="Arial" w:hAnsi="Arial" w:cs="Arial"/>
          <w:lang w:val="en-GB"/>
        </w:rPr>
        <w:t>≥</w:t>
      </w:r>
      <w:r w:rsidRPr="00A816C4">
        <w:rPr>
          <w:lang w:val="en-GB"/>
        </w:rPr>
        <w:t xml:space="preserve"> 5% weight loss at study entry.  11% had recurrent disease and of the remaining 89% with newly diagnosed NSCLC, 12% had Stage IIIB with malignant pleural effusion and 76% had </w:t>
      </w:r>
      <w:r w:rsidRPr="00954804">
        <w:rPr>
          <w:lang w:val="en-GB"/>
        </w:rPr>
        <w:t>S</w:t>
      </w:r>
      <w:r w:rsidRPr="00A816C4">
        <w:rPr>
          <w:lang w:val="en-GB"/>
        </w:rPr>
        <w:t>tage IV disease.</w:t>
      </w:r>
    </w:p>
    <w:p w:rsidR="003B560C" w:rsidRPr="00806E2F" w:rsidRDefault="003B560C" w:rsidP="003B560C">
      <w:pPr>
        <w:pStyle w:val="TextTi12"/>
        <w:rPr>
          <w:lang w:val="en-GB"/>
        </w:rPr>
      </w:pPr>
      <w:r w:rsidRPr="00806E2F">
        <w:rPr>
          <w:lang w:val="en-GB"/>
        </w:rPr>
        <w:t xml:space="preserve">After completion of six cycles of carboplatin-paclitaxel chemotherapy or upon premature discontinuation of chemotherapy, patients on the </w:t>
      </w:r>
      <w:r>
        <w:rPr>
          <w:lang w:val="en-GB"/>
        </w:rPr>
        <w:t>AVASTIN</w:t>
      </w:r>
      <w:r w:rsidRPr="00806E2F">
        <w:rPr>
          <w:lang w:val="en-GB"/>
        </w:rPr>
        <w:t xml:space="preserve"> + carboplatin–paclitaxel arm continued to receive </w:t>
      </w:r>
      <w:r>
        <w:rPr>
          <w:lang w:val="en-GB"/>
        </w:rPr>
        <w:t>AVASTIN</w:t>
      </w:r>
      <w:r w:rsidRPr="00806E2F">
        <w:rPr>
          <w:lang w:val="en-GB"/>
        </w:rPr>
        <w:t xml:space="preserve"> as a single agent every 3 weeks until disease progression.</w:t>
      </w:r>
    </w:p>
    <w:p w:rsidR="003B560C" w:rsidRPr="00806E2F" w:rsidRDefault="003B560C" w:rsidP="003B560C">
      <w:pPr>
        <w:pStyle w:val="TextTi12"/>
        <w:rPr>
          <w:lang w:val="en-GB"/>
        </w:rPr>
      </w:pPr>
      <w:r w:rsidRPr="00806E2F">
        <w:rPr>
          <w:lang w:val="en-GB"/>
        </w:rPr>
        <w:t xml:space="preserve">During the study, of the patients who received trial treatment, 32.2% (136/422) of patients received 7-12 administrations of </w:t>
      </w:r>
      <w:r>
        <w:rPr>
          <w:lang w:val="en-GB"/>
        </w:rPr>
        <w:t>AVASTIN</w:t>
      </w:r>
      <w:r w:rsidRPr="00806E2F">
        <w:rPr>
          <w:lang w:val="en-GB"/>
        </w:rPr>
        <w:t xml:space="preserve"> and 21.1% (89/422) of patients received 13 or more administrations of </w:t>
      </w:r>
      <w:r>
        <w:rPr>
          <w:lang w:val="en-GB"/>
        </w:rPr>
        <w:t>AVASTIN</w:t>
      </w:r>
      <w:r w:rsidRPr="00806E2F">
        <w:rPr>
          <w:lang w:val="en-GB"/>
        </w:rPr>
        <w:t>.</w:t>
      </w:r>
    </w:p>
    <w:p w:rsidR="003B560C" w:rsidRDefault="003B560C" w:rsidP="003B560C">
      <w:pPr>
        <w:pStyle w:val="TextTi12"/>
        <w:rPr>
          <w:lang w:val="en-GB"/>
        </w:rPr>
      </w:pPr>
      <w:r w:rsidRPr="00806E2F">
        <w:rPr>
          <w:lang w:val="en-GB"/>
        </w:rPr>
        <w:lastRenderedPageBreak/>
        <w:t xml:space="preserve">The primary endpoint was </w:t>
      </w:r>
      <w:r>
        <w:rPr>
          <w:lang w:val="en-GB"/>
        </w:rPr>
        <w:t>overall</w:t>
      </w:r>
      <w:r w:rsidRPr="00806E2F">
        <w:rPr>
          <w:lang w:val="en-GB"/>
        </w:rPr>
        <w:t xml:space="preserve"> survival</w:t>
      </w:r>
      <w:r>
        <w:rPr>
          <w:lang w:val="en-GB"/>
        </w:rPr>
        <w:t xml:space="preserve"> (OS)</w:t>
      </w:r>
      <w:r w:rsidRPr="00806E2F">
        <w:rPr>
          <w:lang w:val="en-GB"/>
        </w:rPr>
        <w:t xml:space="preserve">. </w:t>
      </w:r>
      <w:r>
        <w:rPr>
          <w:lang w:val="en-GB"/>
        </w:rPr>
        <w:t xml:space="preserve"> </w:t>
      </w:r>
      <w:r w:rsidRPr="00A816C4">
        <w:rPr>
          <w:lang w:val="en-GB"/>
        </w:rPr>
        <w:t xml:space="preserve">The secondary endpoints, PFS (progression free survival) and ORR (overall response rate), were based on investigator assessment and were not independently verified. </w:t>
      </w:r>
      <w:r>
        <w:rPr>
          <w:lang w:val="en-GB"/>
        </w:rPr>
        <w:t xml:space="preserve"> </w:t>
      </w:r>
    </w:p>
    <w:p w:rsidR="003B560C" w:rsidRDefault="003B560C" w:rsidP="003B560C">
      <w:pPr>
        <w:pStyle w:val="TextTi12"/>
        <w:rPr>
          <w:lang w:val="en-GB"/>
        </w:rPr>
      </w:pPr>
      <w:r w:rsidRPr="00A816C4">
        <w:rPr>
          <w:lang w:val="en-GB"/>
        </w:rPr>
        <w:t>Overall survival was statistically significantly higher for patients receiving AVASTIN + PC chemotherapy compared with those receiving PC alone.</w:t>
      </w:r>
      <w:r>
        <w:rPr>
          <w:lang w:val="en-GB"/>
        </w:rPr>
        <w:t xml:space="preserve">  </w:t>
      </w:r>
      <w:r w:rsidRPr="00806E2F">
        <w:rPr>
          <w:lang w:val="en-GB"/>
        </w:rPr>
        <w:t>R</w:t>
      </w:r>
      <w:r w:rsidR="00A816C4">
        <w:rPr>
          <w:lang w:val="en-GB"/>
        </w:rPr>
        <w:t>esults are presented in Table 8</w:t>
      </w:r>
      <w:r w:rsidRPr="00806E2F">
        <w:rPr>
          <w:lang w:val="en-GB"/>
        </w:rPr>
        <w:t>.</w:t>
      </w:r>
    </w:p>
    <w:p w:rsidR="003B560C" w:rsidRPr="0017581A" w:rsidRDefault="003B560C" w:rsidP="008F4FF8">
      <w:pPr>
        <w:pStyle w:val="HdTab1"/>
        <w:spacing w:after="170"/>
        <w:ind w:left="890" w:hanging="890"/>
        <w:rPr>
          <w:rFonts w:ascii="Times New Roman" w:hAnsi="Times New Roman"/>
        </w:rPr>
      </w:pPr>
      <w:r>
        <w:t xml:space="preserve"> </w:t>
      </w:r>
      <w:r>
        <w:tab/>
      </w:r>
      <w:r w:rsidR="00A816C4">
        <w:rPr>
          <w:rFonts w:ascii="Times New Roman" w:hAnsi="Times New Roman"/>
        </w:rPr>
        <w:t>Table 8</w:t>
      </w:r>
      <w:r w:rsidRPr="0017581A">
        <w:rPr>
          <w:rFonts w:ascii="Times New Roman" w:hAnsi="Times New Roman"/>
        </w:rPr>
        <w:t>: Efficacy results for study E4599</w:t>
      </w:r>
    </w:p>
    <w:tbl>
      <w:tblPr>
        <w:tblW w:w="0" w:type="auto"/>
        <w:tblInd w:w="823" w:type="dxa"/>
        <w:tblCellMar>
          <w:left w:w="57" w:type="dxa"/>
          <w:right w:w="57" w:type="dxa"/>
        </w:tblCellMar>
        <w:tblLook w:val="0000" w:firstRow="0" w:lastRow="0" w:firstColumn="0" w:lastColumn="0" w:noHBand="0" w:noVBand="0"/>
      </w:tblPr>
      <w:tblGrid>
        <w:gridCol w:w="2353"/>
        <w:gridCol w:w="2126"/>
        <w:gridCol w:w="2410"/>
      </w:tblGrid>
      <w:tr w:rsidR="003B560C" w:rsidRPr="00C92601" w:rsidTr="008F4FF8">
        <w:trPr>
          <w:cantSplit/>
        </w:trPr>
        <w:tc>
          <w:tcPr>
            <w:tcW w:w="2353" w:type="dxa"/>
            <w:tcBorders>
              <w:top w:val="single" w:sz="8" w:space="0" w:color="auto"/>
              <w:left w:val="single" w:sz="8" w:space="0" w:color="auto"/>
              <w:bottom w:val="single" w:sz="8" w:space="0" w:color="auto"/>
              <w:right w:val="single" w:sz="8" w:space="0" w:color="auto"/>
            </w:tcBorders>
            <w:vAlign w:val="bottom"/>
          </w:tcPr>
          <w:p w:rsidR="003B560C" w:rsidRPr="00806E2F" w:rsidRDefault="003B560C" w:rsidP="00580803">
            <w:pPr>
              <w:pStyle w:val="TextTi10"/>
              <w:jc w:val="center"/>
              <w:rPr>
                <w:b/>
                <w:lang w:val="en-GB"/>
              </w:rPr>
            </w:pPr>
          </w:p>
        </w:tc>
        <w:tc>
          <w:tcPr>
            <w:tcW w:w="2126" w:type="dxa"/>
            <w:tcBorders>
              <w:top w:val="single" w:sz="8" w:space="0" w:color="auto"/>
              <w:left w:val="single" w:sz="8" w:space="0" w:color="auto"/>
              <w:bottom w:val="single" w:sz="8" w:space="0" w:color="auto"/>
              <w:right w:val="single" w:sz="8" w:space="0" w:color="auto"/>
            </w:tcBorders>
            <w:vAlign w:val="bottom"/>
          </w:tcPr>
          <w:p w:rsidR="003B560C" w:rsidRPr="009934D8" w:rsidRDefault="003B560C" w:rsidP="00580803">
            <w:pPr>
              <w:pStyle w:val="TextTi10"/>
              <w:jc w:val="center"/>
              <w:rPr>
                <w:b/>
              </w:rPr>
            </w:pPr>
            <w:r w:rsidRPr="009934D8">
              <w:rPr>
                <w:b/>
              </w:rPr>
              <w:t>Arm 1</w:t>
            </w:r>
          </w:p>
          <w:p w:rsidR="003B560C" w:rsidRPr="009934D8" w:rsidRDefault="003B560C" w:rsidP="00580803">
            <w:pPr>
              <w:pStyle w:val="TextTi10"/>
              <w:jc w:val="center"/>
              <w:rPr>
                <w:b/>
              </w:rPr>
            </w:pPr>
          </w:p>
          <w:p w:rsidR="003B560C" w:rsidRPr="009934D8" w:rsidRDefault="003B560C" w:rsidP="00580803">
            <w:pPr>
              <w:pStyle w:val="TextTi10"/>
              <w:jc w:val="center"/>
              <w:rPr>
                <w:b/>
              </w:rPr>
            </w:pPr>
            <w:r w:rsidRPr="009934D8">
              <w:rPr>
                <w:b/>
              </w:rPr>
              <w:t>Carboplatin/Paclitaxel</w:t>
            </w:r>
          </w:p>
          <w:p w:rsidR="003B560C" w:rsidRPr="009934D8" w:rsidRDefault="003B560C" w:rsidP="00580803">
            <w:pPr>
              <w:pStyle w:val="TextTi10"/>
              <w:jc w:val="center"/>
              <w:rPr>
                <w:b/>
              </w:rPr>
            </w:pPr>
          </w:p>
          <w:p w:rsidR="003B560C" w:rsidRPr="009934D8" w:rsidRDefault="003B560C" w:rsidP="00580803">
            <w:pPr>
              <w:pStyle w:val="TextTi10"/>
              <w:jc w:val="center"/>
              <w:rPr>
                <w:b/>
              </w:rPr>
            </w:pPr>
          </w:p>
        </w:tc>
        <w:tc>
          <w:tcPr>
            <w:tcW w:w="2410" w:type="dxa"/>
            <w:tcBorders>
              <w:top w:val="single" w:sz="8" w:space="0" w:color="auto"/>
              <w:left w:val="single" w:sz="8" w:space="0" w:color="auto"/>
              <w:bottom w:val="single" w:sz="8" w:space="0" w:color="auto"/>
              <w:right w:val="single" w:sz="8" w:space="0" w:color="auto"/>
            </w:tcBorders>
            <w:vAlign w:val="bottom"/>
          </w:tcPr>
          <w:p w:rsidR="003B560C" w:rsidRPr="00C92601" w:rsidRDefault="003B560C" w:rsidP="00580803">
            <w:pPr>
              <w:pStyle w:val="TextTi10"/>
              <w:jc w:val="center"/>
              <w:rPr>
                <w:b/>
              </w:rPr>
            </w:pPr>
            <w:r w:rsidRPr="00C92601">
              <w:rPr>
                <w:b/>
              </w:rPr>
              <w:t>Arm 2</w:t>
            </w:r>
          </w:p>
          <w:p w:rsidR="003B560C" w:rsidRPr="00C92601" w:rsidRDefault="003B560C" w:rsidP="00580803">
            <w:pPr>
              <w:pStyle w:val="TextTi10"/>
              <w:jc w:val="center"/>
              <w:rPr>
                <w:b/>
              </w:rPr>
            </w:pPr>
          </w:p>
          <w:p w:rsidR="003B560C" w:rsidRPr="00C92601" w:rsidRDefault="003B560C" w:rsidP="00580803">
            <w:pPr>
              <w:pStyle w:val="TextTi10"/>
              <w:jc w:val="center"/>
              <w:rPr>
                <w:b/>
              </w:rPr>
            </w:pPr>
            <w:r w:rsidRPr="00C92601">
              <w:rPr>
                <w:b/>
              </w:rPr>
              <w:t xml:space="preserve">Carboplatin/ Paclitaxel + </w:t>
            </w:r>
            <w:r w:rsidRPr="00C92601">
              <w:rPr>
                <w:b/>
              </w:rPr>
              <w:br/>
            </w:r>
            <w:r w:rsidR="00580803">
              <w:rPr>
                <w:b/>
              </w:rPr>
              <w:t>AVASTIN</w:t>
            </w:r>
            <w:r>
              <w:rPr>
                <w:b/>
              </w:rPr>
              <w:br/>
              <w:t>15 mg/kg q 3 weeks</w:t>
            </w:r>
          </w:p>
        </w:tc>
      </w:tr>
      <w:tr w:rsidR="003B560C" w:rsidRPr="009934D8" w:rsidTr="008F4FF8">
        <w:trPr>
          <w:cantSplit/>
        </w:trPr>
        <w:tc>
          <w:tcPr>
            <w:tcW w:w="2353" w:type="dxa"/>
            <w:tcBorders>
              <w:top w:val="single" w:sz="8" w:space="0" w:color="auto"/>
              <w:left w:val="single" w:sz="8" w:space="0" w:color="auto"/>
              <w:right w:val="single" w:sz="8" w:space="0" w:color="auto"/>
            </w:tcBorders>
          </w:tcPr>
          <w:p w:rsidR="003B560C" w:rsidRPr="008F4FF8" w:rsidRDefault="003B560C" w:rsidP="008F4FF8">
            <w:pPr>
              <w:pStyle w:val="TableCellHead"/>
              <w:spacing w:before="0" w:line="240" w:lineRule="auto"/>
              <w:rPr>
                <w:i/>
                <w:u w:val="none"/>
              </w:rPr>
            </w:pPr>
            <w:r w:rsidRPr="008F4FF8">
              <w:rPr>
                <w:i/>
                <w:u w:val="none"/>
              </w:rPr>
              <w:t>Number of Patients</w:t>
            </w:r>
          </w:p>
        </w:tc>
        <w:tc>
          <w:tcPr>
            <w:tcW w:w="2126" w:type="dxa"/>
            <w:tcBorders>
              <w:top w:val="single" w:sz="8" w:space="0" w:color="auto"/>
              <w:left w:val="single" w:sz="8" w:space="0" w:color="auto"/>
              <w:right w:val="single" w:sz="8" w:space="0" w:color="auto"/>
            </w:tcBorders>
          </w:tcPr>
          <w:p w:rsidR="003B560C" w:rsidRPr="008F4FF8" w:rsidRDefault="003B560C" w:rsidP="00580803">
            <w:pPr>
              <w:pStyle w:val="TextTi10"/>
              <w:ind w:left="240"/>
              <w:jc w:val="center"/>
              <w:rPr>
                <w:i/>
              </w:rPr>
            </w:pPr>
            <w:r w:rsidRPr="008F4FF8">
              <w:rPr>
                <w:i/>
              </w:rPr>
              <w:t>444</w:t>
            </w:r>
          </w:p>
        </w:tc>
        <w:tc>
          <w:tcPr>
            <w:tcW w:w="2410" w:type="dxa"/>
            <w:tcBorders>
              <w:top w:val="single" w:sz="8" w:space="0" w:color="auto"/>
              <w:left w:val="single" w:sz="8" w:space="0" w:color="auto"/>
              <w:right w:val="single" w:sz="8" w:space="0" w:color="auto"/>
            </w:tcBorders>
          </w:tcPr>
          <w:p w:rsidR="003B560C" w:rsidRPr="008F4FF8" w:rsidRDefault="003B560C" w:rsidP="00580803">
            <w:pPr>
              <w:pStyle w:val="TextTi10"/>
              <w:ind w:left="240"/>
              <w:jc w:val="center"/>
              <w:rPr>
                <w:i/>
              </w:rPr>
            </w:pPr>
            <w:r w:rsidRPr="008F4FF8">
              <w:rPr>
                <w:i/>
              </w:rPr>
              <w:t>434</w:t>
            </w:r>
          </w:p>
        </w:tc>
      </w:tr>
      <w:tr w:rsidR="003B560C" w:rsidRPr="009934D8" w:rsidTr="008F4FF8">
        <w:trPr>
          <w:cantSplit/>
        </w:trPr>
        <w:tc>
          <w:tcPr>
            <w:tcW w:w="2353" w:type="dxa"/>
            <w:tcBorders>
              <w:left w:val="single" w:sz="8" w:space="0" w:color="auto"/>
              <w:right w:val="single" w:sz="8" w:space="0" w:color="auto"/>
            </w:tcBorders>
          </w:tcPr>
          <w:p w:rsidR="003B560C" w:rsidRPr="008F4FF8" w:rsidRDefault="003B560C" w:rsidP="008F4FF8">
            <w:pPr>
              <w:pStyle w:val="TableCellHead"/>
              <w:spacing w:before="0" w:line="240" w:lineRule="auto"/>
              <w:rPr>
                <w:b/>
                <w:u w:val="none"/>
              </w:rPr>
            </w:pPr>
            <w:r w:rsidRPr="008F4FF8">
              <w:rPr>
                <w:b/>
                <w:u w:val="none"/>
              </w:rPr>
              <w:t>Overall Survival</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p>
        </w:tc>
      </w:tr>
      <w:tr w:rsidR="003B560C" w:rsidRPr="009934D8" w:rsidTr="008F4FF8">
        <w:trPr>
          <w:cantSplit/>
        </w:trPr>
        <w:tc>
          <w:tcPr>
            <w:tcW w:w="2353" w:type="dxa"/>
            <w:tcBorders>
              <w:left w:val="single" w:sz="8" w:space="0" w:color="auto"/>
              <w:right w:val="single" w:sz="8" w:space="0" w:color="auto"/>
            </w:tcBorders>
          </w:tcPr>
          <w:p w:rsidR="003B560C" w:rsidRPr="009934D8" w:rsidRDefault="003B560C" w:rsidP="00580803">
            <w:pPr>
              <w:pStyle w:val="TextTi10"/>
              <w:ind w:left="240"/>
            </w:pPr>
            <w:r w:rsidRPr="009934D8">
              <w:t>Median (months)</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r w:rsidRPr="009934D8">
              <w:t>10.3</w:t>
            </w: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r w:rsidRPr="009934D8">
              <w:t>12.3</w:t>
            </w:r>
          </w:p>
        </w:tc>
      </w:tr>
      <w:tr w:rsidR="003B560C" w:rsidRPr="009934D8" w:rsidTr="008F4FF8">
        <w:trPr>
          <w:cantSplit/>
        </w:trPr>
        <w:tc>
          <w:tcPr>
            <w:tcW w:w="2353" w:type="dxa"/>
            <w:tcBorders>
              <w:left w:val="single" w:sz="8" w:space="0" w:color="auto"/>
              <w:right w:val="single" w:sz="8" w:space="0" w:color="auto"/>
            </w:tcBorders>
          </w:tcPr>
          <w:p w:rsidR="003B560C" w:rsidRPr="009934D8" w:rsidRDefault="003B560C" w:rsidP="00580803">
            <w:pPr>
              <w:pStyle w:val="TextTi10"/>
              <w:ind w:left="240"/>
            </w:pPr>
            <w:r w:rsidRPr="009934D8">
              <w:t>Hazard ratio</w:t>
            </w:r>
          </w:p>
          <w:p w:rsidR="003B560C" w:rsidRDefault="003B560C" w:rsidP="00580803">
            <w:pPr>
              <w:pStyle w:val="TextTi10"/>
              <w:ind w:left="240"/>
            </w:pPr>
          </w:p>
          <w:p w:rsidR="003B560C" w:rsidRPr="009934D8" w:rsidRDefault="00402F1B" w:rsidP="00580803">
            <w:pPr>
              <w:pStyle w:val="TextTi10"/>
              <w:ind w:left="240"/>
            </w:pPr>
            <w:r w:rsidRPr="00402F1B">
              <w:rPr>
                <w:i/>
              </w:rPr>
              <w:t>p</w:t>
            </w:r>
            <w:r w:rsidR="003B560C">
              <w:t>-</w:t>
            </w:r>
            <w:proofErr w:type="spellStart"/>
            <w:r w:rsidR="003B560C">
              <w:t>value</w:t>
            </w:r>
            <w:r w:rsidR="003B560C" w:rsidRPr="009934D8">
              <w:rPr>
                <w:vertAlign w:val="superscript"/>
              </w:rPr>
              <w:t>a</w:t>
            </w:r>
            <w:proofErr w:type="spellEnd"/>
          </w:p>
        </w:tc>
        <w:tc>
          <w:tcPr>
            <w:tcW w:w="2126" w:type="dxa"/>
            <w:tcBorders>
              <w:left w:val="single" w:sz="8" w:space="0" w:color="auto"/>
              <w:right w:val="single" w:sz="8" w:space="0" w:color="auto"/>
            </w:tcBorders>
          </w:tcPr>
          <w:p w:rsidR="003B560C" w:rsidRDefault="003B560C" w:rsidP="00580803">
            <w:pPr>
              <w:pStyle w:val="TextTi10"/>
              <w:ind w:left="240"/>
              <w:jc w:val="center"/>
            </w:pPr>
          </w:p>
          <w:p w:rsidR="003B560C" w:rsidRDefault="003B560C" w:rsidP="00580803">
            <w:pPr>
              <w:pStyle w:val="TextTi10"/>
              <w:ind w:left="240"/>
              <w:jc w:val="center"/>
            </w:pPr>
          </w:p>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r w:rsidRPr="009934D8">
              <w:t>0.80</w:t>
            </w:r>
          </w:p>
          <w:p w:rsidR="003B560C" w:rsidRDefault="003B560C" w:rsidP="00580803">
            <w:pPr>
              <w:pStyle w:val="TextTi10"/>
              <w:ind w:left="240"/>
              <w:jc w:val="center"/>
            </w:pPr>
            <w:r w:rsidRPr="009934D8">
              <w:t>95% CI (0.69, 0.93)</w:t>
            </w:r>
          </w:p>
          <w:p w:rsidR="003B560C" w:rsidRPr="009934D8" w:rsidRDefault="00402F1B" w:rsidP="00580803">
            <w:pPr>
              <w:pStyle w:val="TextTi10"/>
              <w:ind w:left="240"/>
              <w:jc w:val="center"/>
            </w:pPr>
            <w:r w:rsidRPr="00402F1B">
              <w:rPr>
                <w:i/>
              </w:rPr>
              <w:t>p</w:t>
            </w:r>
            <w:r w:rsidR="003B560C">
              <w:t xml:space="preserve"> = 0.003</w:t>
            </w:r>
          </w:p>
        </w:tc>
      </w:tr>
      <w:tr w:rsidR="003B560C" w:rsidRPr="009934D8" w:rsidTr="008F4FF8">
        <w:trPr>
          <w:cantSplit/>
        </w:trPr>
        <w:tc>
          <w:tcPr>
            <w:tcW w:w="2353" w:type="dxa"/>
            <w:tcBorders>
              <w:left w:val="single" w:sz="8" w:space="0" w:color="auto"/>
              <w:right w:val="single" w:sz="8" w:space="0" w:color="auto"/>
            </w:tcBorders>
          </w:tcPr>
          <w:p w:rsidR="003B560C" w:rsidRPr="008F4FF8" w:rsidRDefault="003B560C" w:rsidP="008F4FF8">
            <w:pPr>
              <w:pStyle w:val="TableCellHead"/>
              <w:spacing w:before="0" w:line="240" w:lineRule="auto"/>
              <w:rPr>
                <w:b/>
                <w:u w:val="none"/>
              </w:rPr>
            </w:pPr>
            <w:r w:rsidRPr="008F4FF8">
              <w:rPr>
                <w:b/>
                <w:u w:val="none"/>
              </w:rPr>
              <w:t>Progression</w:t>
            </w:r>
            <w:r w:rsidRPr="008F4FF8">
              <w:rPr>
                <w:b/>
                <w:u w:val="none"/>
              </w:rPr>
              <w:noBreakHyphen/>
              <w:t>Free Survival</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p>
        </w:tc>
      </w:tr>
      <w:tr w:rsidR="003B560C" w:rsidRPr="009934D8" w:rsidTr="008F4FF8">
        <w:trPr>
          <w:cantSplit/>
        </w:trPr>
        <w:tc>
          <w:tcPr>
            <w:tcW w:w="2353" w:type="dxa"/>
            <w:tcBorders>
              <w:left w:val="single" w:sz="8" w:space="0" w:color="auto"/>
              <w:right w:val="single" w:sz="8" w:space="0" w:color="auto"/>
            </w:tcBorders>
            <w:vAlign w:val="center"/>
          </w:tcPr>
          <w:p w:rsidR="003B560C" w:rsidRPr="009934D8" w:rsidRDefault="003B560C" w:rsidP="00580803">
            <w:pPr>
              <w:pStyle w:val="TextTi10"/>
              <w:ind w:left="240"/>
            </w:pPr>
            <w:r w:rsidRPr="009934D8">
              <w:t>Median (months)</w:t>
            </w:r>
          </w:p>
        </w:tc>
        <w:tc>
          <w:tcPr>
            <w:tcW w:w="2126" w:type="dxa"/>
            <w:tcBorders>
              <w:left w:val="single" w:sz="8" w:space="0" w:color="auto"/>
              <w:right w:val="single" w:sz="8" w:space="0" w:color="auto"/>
            </w:tcBorders>
            <w:vAlign w:val="center"/>
          </w:tcPr>
          <w:p w:rsidR="003B560C" w:rsidRPr="009934D8" w:rsidRDefault="003B560C" w:rsidP="00580803">
            <w:pPr>
              <w:pStyle w:val="TextTi10"/>
              <w:ind w:left="240"/>
              <w:jc w:val="center"/>
            </w:pPr>
            <w:r w:rsidRPr="009934D8">
              <w:t>4.8</w:t>
            </w:r>
          </w:p>
        </w:tc>
        <w:tc>
          <w:tcPr>
            <w:tcW w:w="2410" w:type="dxa"/>
            <w:tcBorders>
              <w:left w:val="single" w:sz="8" w:space="0" w:color="auto"/>
              <w:right w:val="single" w:sz="8" w:space="0" w:color="auto"/>
            </w:tcBorders>
            <w:vAlign w:val="center"/>
          </w:tcPr>
          <w:p w:rsidR="003B560C" w:rsidRPr="009934D8" w:rsidRDefault="003B560C" w:rsidP="00580803">
            <w:pPr>
              <w:pStyle w:val="TextTi10"/>
              <w:ind w:left="240"/>
              <w:jc w:val="center"/>
            </w:pPr>
            <w:r w:rsidRPr="009934D8">
              <w:t>6.4</w:t>
            </w:r>
          </w:p>
        </w:tc>
      </w:tr>
      <w:tr w:rsidR="003B560C" w:rsidRPr="009934D8" w:rsidTr="008F4FF8">
        <w:trPr>
          <w:cantSplit/>
        </w:trPr>
        <w:tc>
          <w:tcPr>
            <w:tcW w:w="2353" w:type="dxa"/>
            <w:tcBorders>
              <w:left w:val="single" w:sz="8" w:space="0" w:color="auto"/>
              <w:right w:val="single" w:sz="8" w:space="0" w:color="auto"/>
            </w:tcBorders>
          </w:tcPr>
          <w:p w:rsidR="003B560C" w:rsidRPr="009934D8" w:rsidRDefault="003B560C" w:rsidP="00580803">
            <w:pPr>
              <w:pStyle w:val="TextTi10"/>
              <w:ind w:left="240"/>
            </w:pPr>
            <w:r w:rsidRPr="009934D8">
              <w:t>Hazard ratio</w:t>
            </w:r>
          </w:p>
          <w:p w:rsidR="003B560C" w:rsidRDefault="003B560C" w:rsidP="00580803">
            <w:pPr>
              <w:pStyle w:val="TextTi10"/>
              <w:ind w:left="240"/>
            </w:pPr>
          </w:p>
          <w:p w:rsidR="003B560C" w:rsidRPr="009934D8" w:rsidRDefault="00402F1B" w:rsidP="00580803">
            <w:pPr>
              <w:pStyle w:val="TextTi10"/>
              <w:ind w:left="240"/>
            </w:pPr>
            <w:r w:rsidRPr="00402F1B">
              <w:rPr>
                <w:i/>
              </w:rPr>
              <w:t>p</w:t>
            </w:r>
            <w:r w:rsidR="003B560C">
              <w:t>-</w:t>
            </w:r>
            <w:proofErr w:type="spellStart"/>
            <w:r w:rsidR="003B560C">
              <w:t>value</w:t>
            </w:r>
            <w:r w:rsidR="003B560C">
              <w:rPr>
                <w:vertAlign w:val="superscript"/>
              </w:rPr>
              <w:t>a</w:t>
            </w:r>
            <w:proofErr w:type="spellEnd"/>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r w:rsidRPr="009934D8">
              <w:t>0.65</w:t>
            </w:r>
          </w:p>
          <w:p w:rsidR="003B560C" w:rsidRDefault="003B560C" w:rsidP="00580803">
            <w:pPr>
              <w:pStyle w:val="TextTi10"/>
              <w:ind w:left="240"/>
              <w:jc w:val="center"/>
            </w:pPr>
            <w:r w:rsidRPr="009934D8">
              <w:t>95% CI (0.56, 0.76)</w:t>
            </w:r>
          </w:p>
          <w:p w:rsidR="003B560C" w:rsidRPr="009934D8" w:rsidRDefault="00402F1B" w:rsidP="00580803">
            <w:pPr>
              <w:pStyle w:val="TextTi10"/>
              <w:ind w:left="240"/>
              <w:jc w:val="center"/>
            </w:pPr>
            <w:r w:rsidRPr="00402F1B">
              <w:rPr>
                <w:i/>
              </w:rPr>
              <w:t>p</w:t>
            </w:r>
            <w:r w:rsidR="003B560C">
              <w:t xml:space="preserve"> &lt; 0.0001</w:t>
            </w:r>
          </w:p>
        </w:tc>
      </w:tr>
      <w:tr w:rsidR="003B560C" w:rsidRPr="009934D8" w:rsidTr="008F4FF8">
        <w:trPr>
          <w:cantSplit/>
        </w:trPr>
        <w:tc>
          <w:tcPr>
            <w:tcW w:w="2353" w:type="dxa"/>
            <w:tcBorders>
              <w:left w:val="single" w:sz="8" w:space="0" w:color="auto"/>
              <w:right w:val="single" w:sz="8" w:space="0" w:color="auto"/>
            </w:tcBorders>
          </w:tcPr>
          <w:p w:rsidR="003B560C" w:rsidRPr="008F4FF8" w:rsidRDefault="003B560C" w:rsidP="008F4FF8">
            <w:pPr>
              <w:pStyle w:val="TableCellHead"/>
              <w:spacing w:before="0" w:line="240" w:lineRule="auto"/>
              <w:rPr>
                <w:b/>
                <w:u w:val="none"/>
              </w:rPr>
            </w:pPr>
            <w:r w:rsidRPr="008F4FF8">
              <w:rPr>
                <w:b/>
                <w:u w:val="none"/>
              </w:rPr>
              <w:t>Overall Response Rate</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p>
        </w:tc>
      </w:tr>
      <w:tr w:rsidR="003B560C" w:rsidRPr="009934D8" w:rsidTr="008F4FF8">
        <w:trPr>
          <w:cantSplit/>
        </w:trPr>
        <w:tc>
          <w:tcPr>
            <w:tcW w:w="2353" w:type="dxa"/>
            <w:tcBorders>
              <w:left w:val="single" w:sz="8" w:space="0" w:color="auto"/>
              <w:bottom w:val="single" w:sz="8" w:space="0" w:color="auto"/>
              <w:right w:val="single" w:sz="8" w:space="0" w:color="auto"/>
            </w:tcBorders>
          </w:tcPr>
          <w:p w:rsidR="003B560C" w:rsidRDefault="003B560C" w:rsidP="00580803">
            <w:pPr>
              <w:pStyle w:val="TextTi10"/>
              <w:ind w:left="240"/>
            </w:pPr>
            <w:r w:rsidRPr="009934D8">
              <w:t>Rate (percent)</w:t>
            </w:r>
          </w:p>
          <w:p w:rsidR="003B560C" w:rsidRPr="009934D8" w:rsidRDefault="00402F1B" w:rsidP="00580803">
            <w:pPr>
              <w:pStyle w:val="TextTi10"/>
              <w:ind w:left="240"/>
            </w:pPr>
            <w:r w:rsidRPr="00402F1B">
              <w:rPr>
                <w:i/>
              </w:rPr>
              <w:t>p</w:t>
            </w:r>
            <w:r w:rsidR="003B560C">
              <w:t>-</w:t>
            </w:r>
            <w:proofErr w:type="spellStart"/>
            <w:r w:rsidR="003B560C">
              <w:t>value</w:t>
            </w:r>
            <w:r w:rsidR="003B560C">
              <w:rPr>
                <w:vertAlign w:val="superscript"/>
              </w:rPr>
              <w:t>b</w:t>
            </w:r>
            <w:proofErr w:type="spellEnd"/>
          </w:p>
        </w:tc>
        <w:tc>
          <w:tcPr>
            <w:tcW w:w="2126" w:type="dxa"/>
            <w:tcBorders>
              <w:left w:val="single" w:sz="8" w:space="0" w:color="auto"/>
              <w:bottom w:val="single" w:sz="8" w:space="0" w:color="auto"/>
              <w:right w:val="single" w:sz="8" w:space="0" w:color="auto"/>
            </w:tcBorders>
          </w:tcPr>
          <w:p w:rsidR="003B560C" w:rsidRPr="009934D8" w:rsidRDefault="003B560C" w:rsidP="00580803">
            <w:pPr>
              <w:pStyle w:val="TextTi10"/>
              <w:ind w:left="240"/>
              <w:jc w:val="center"/>
            </w:pPr>
            <w:r w:rsidRPr="009934D8">
              <w:t>12.9</w:t>
            </w:r>
          </w:p>
        </w:tc>
        <w:tc>
          <w:tcPr>
            <w:tcW w:w="2410" w:type="dxa"/>
            <w:tcBorders>
              <w:left w:val="single" w:sz="8" w:space="0" w:color="auto"/>
              <w:bottom w:val="single" w:sz="8" w:space="0" w:color="auto"/>
              <w:right w:val="single" w:sz="8" w:space="0" w:color="auto"/>
            </w:tcBorders>
          </w:tcPr>
          <w:p w:rsidR="003B560C" w:rsidRDefault="003B560C" w:rsidP="00580803">
            <w:pPr>
              <w:pStyle w:val="TextTi10"/>
              <w:ind w:left="240"/>
              <w:jc w:val="center"/>
            </w:pPr>
            <w:r w:rsidRPr="009934D8">
              <w:t>29.0</w:t>
            </w:r>
          </w:p>
          <w:p w:rsidR="003B560C" w:rsidRPr="009934D8" w:rsidRDefault="00402F1B" w:rsidP="00580803">
            <w:pPr>
              <w:pStyle w:val="TextTi10"/>
              <w:ind w:left="240"/>
              <w:jc w:val="center"/>
            </w:pPr>
            <w:r w:rsidRPr="00402F1B">
              <w:rPr>
                <w:i/>
              </w:rPr>
              <w:t>p</w:t>
            </w:r>
            <w:r w:rsidR="003B560C">
              <w:t xml:space="preserve"> &lt; 0.0001</w:t>
            </w:r>
          </w:p>
        </w:tc>
      </w:tr>
      <w:tr w:rsidR="003B560C" w:rsidRPr="00BE72B8" w:rsidTr="008F4FF8">
        <w:trPr>
          <w:cantSplit/>
        </w:trPr>
        <w:tc>
          <w:tcPr>
            <w:tcW w:w="6889" w:type="dxa"/>
            <w:gridSpan w:val="3"/>
            <w:tcBorders>
              <w:top w:val="single" w:sz="8" w:space="0" w:color="auto"/>
            </w:tcBorders>
          </w:tcPr>
          <w:p w:rsidR="003B560C" w:rsidRPr="008F4FF8" w:rsidRDefault="003B560C" w:rsidP="008F4FF8">
            <w:pPr>
              <w:pStyle w:val="TableFooter"/>
              <w:spacing w:before="0" w:line="240" w:lineRule="auto"/>
              <w:ind w:left="215" w:hanging="215"/>
              <w:rPr>
                <w:i/>
              </w:rPr>
            </w:pPr>
            <w:r w:rsidRPr="008F4FF8">
              <w:rPr>
                <w:i/>
              </w:rPr>
              <w:tab/>
            </w:r>
            <w:r w:rsidRPr="008F4FF8">
              <w:rPr>
                <w:i/>
                <w:vertAlign w:val="superscript"/>
              </w:rPr>
              <w:t>a</w:t>
            </w:r>
            <w:r w:rsidRPr="008F4FF8">
              <w:rPr>
                <w:i/>
              </w:rPr>
              <w:tab/>
              <w:t xml:space="preserve">stratified </w:t>
            </w:r>
            <w:proofErr w:type="spellStart"/>
            <w:r w:rsidRPr="008F4FF8">
              <w:rPr>
                <w:i/>
              </w:rPr>
              <w:t>logrank</w:t>
            </w:r>
            <w:proofErr w:type="spellEnd"/>
            <w:r w:rsidRPr="008F4FF8">
              <w:rPr>
                <w:i/>
              </w:rPr>
              <w:t xml:space="preserve"> test</w:t>
            </w:r>
            <w:r w:rsidR="00580803" w:rsidRPr="008F4FF8">
              <w:rPr>
                <w:i/>
              </w:rPr>
              <w:t xml:space="preserve">; </w:t>
            </w:r>
            <w:r w:rsidRPr="008F4FF8">
              <w:rPr>
                <w:i/>
                <w:vertAlign w:val="superscript"/>
              </w:rPr>
              <w:t>b</w:t>
            </w:r>
            <w:r w:rsidRPr="008F4FF8">
              <w:rPr>
                <w:i/>
              </w:rPr>
              <w:tab/>
              <w:t xml:space="preserve">stratified </w:t>
            </w:r>
            <w:r w:rsidRPr="008F4FF8">
              <w:rPr>
                <w:rFonts w:ascii="Symbol" w:hAnsi="Symbol"/>
                <w:i/>
              </w:rPr>
              <w:t></w:t>
            </w:r>
            <w:r w:rsidRPr="008F4FF8">
              <w:rPr>
                <w:i/>
                <w:vertAlign w:val="superscript"/>
              </w:rPr>
              <w:t>2</w:t>
            </w:r>
            <w:r w:rsidRPr="008F4FF8">
              <w:rPr>
                <w:i/>
              </w:rPr>
              <w:t xml:space="preserve"> test includes patients with measurable disease at baseline.</w:t>
            </w:r>
          </w:p>
          <w:p w:rsidR="003B560C" w:rsidRPr="00BE72B8" w:rsidRDefault="003B560C" w:rsidP="003B560C">
            <w:pPr>
              <w:pStyle w:val="TableFooter"/>
              <w:ind w:left="0" w:firstLine="0"/>
            </w:pPr>
          </w:p>
        </w:tc>
      </w:tr>
    </w:tbl>
    <w:p w:rsidR="003B560C" w:rsidRPr="00B704EE" w:rsidRDefault="003B560C" w:rsidP="00B704EE">
      <w:pPr>
        <w:spacing w:after="0"/>
        <w:rPr>
          <w:rStyle w:val="Heading2Char"/>
          <w:sz w:val="24"/>
          <w:szCs w:val="24"/>
        </w:rPr>
      </w:pPr>
    </w:p>
    <w:p w:rsidR="00620BAB" w:rsidRDefault="00533539" w:rsidP="008F4FF8">
      <w:pPr>
        <w:pStyle w:val="Heading4"/>
        <w:spacing w:before="0" w:after="170" w:line="280" w:lineRule="atLeast"/>
        <w:ind w:left="0"/>
      </w:pPr>
      <w:r>
        <w:t>Advanced and/or m</w:t>
      </w:r>
      <w:r w:rsidRPr="00FD79D5">
        <w:t>etastatic</w:t>
      </w:r>
      <w:r w:rsidRPr="00B65B6A">
        <w:t xml:space="preserve"> Renal Cell Cancer</w:t>
      </w:r>
    </w:p>
    <w:p w:rsidR="00533539" w:rsidRPr="008F5113" w:rsidRDefault="00533539" w:rsidP="00533539">
      <w:pPr>
        <w:pStyle w:val="TextTi12"/>
        <w:rPr>
          <w:b/>
          <w:color w:val="000000"/>
        </w:rPr>
      </w:pPr>
      <w:r w:rsidRPr="008F5113">
        <w:rPr>
          <w:b/>
          <w:color w:val="000000"/>
        </w:rPr>
        <w:t>Study BO17705</w:t>
      </w:r>
    </w:p>
    <w:p w:rsidR="00533539" w:rsidRDefault="00533539" w:rsidP="00533539">
      <w:pPr>
        <w:pStyle w:val="TextTi12"/>
        <w:rPr>
          <w:color w:val="000000"/>
        </w:rPr>
      </w:pPr>
      <w:r>
        <w:rPr>
          <w:color w:val="000000"/>
        </w:rPr>
        <w:t>BO17705 was a</w:t>
      </w:r>
      <w:r w:rsidRPr="00317344">
        <w:rPr>
          <w:color w:val="000000"/>
        </w:rPr>
        <w:t xml:space="preserve"> </w:t>
      </w:r>
      <w:proofErr w:type="spellStart"/>
      <w:r>
        <w:rPr>
          <w:color w:val="000000"/>
        </w:rPr>
        <w:t>multicentre</w:t>
      </w:r>
      <w:proofErr w:type="spellEnd"/>
      <w:r w:rsidR="00395FA3">
        <w:rPr>
          <w:color w:val="000000"/>
        </w:rPr>
        <w:t>,</w:t>
      </w:r>
      <w:r>
        <w:rPr>
          <w:color w:val="000000"/>
        </w:rPr>
        <w:t xml:space="preserve"> </w:t>
      </w:r>
      <w:proofErr w:type="spellStart"/>
      <w:r>
        <w:rPr>
          <w:color w:val="000000"/>
        </w:rPr>
        <w:t>randomised</w:t>
      </w:r>
      <w:proofErr w:type="spellEnd"/>
      <w:r w:rsidRPr="00007B08">
        <w:t>, double</w:t>
      </w:r>
      <w:r>
        <w:rPr>
          <w:color w:val="000000"/>
        </w:rPr>
        <w:t xml:space="preserve">-blind </w:t>
      </w:r>
      <w:r w:rsidRPr="00317344">
        <w:rPr>
          <w:color w:val="000000"/>
        </w:rPr>
        <w:t xml:space="preserve">phase III trial conducted to evaluate the efficacy and safety of </w:t>
      </w:r>
      <w:r>
        <w:rPr>
          <w:color w:val="000000"/>
        </w:rPr>
        <w:t>AVASTIN</w:t>
      </w:r>
      <w:r w:rsidRPr="00317344">
        <w:rPr>
          <w:color w:val="000000"/>
        </w:rPr>
        <w:t xml:space="preserve"> in com</w:t>
      </w:r>
      <w:r>
        <w:rPr>
          <w:color w:val="000000"/>
        </w:rPr>
        <w:t>bination with interferon (IFN)</w:t>
      </w:r>
      <w:r w:rsidR="0018322D">
        <w:rPr>
          <w:color w:val="000000"/>
        </w:rPr>
        <w:t xml:space="preserve"> </w:t>
      </w:r>
      <w:r>
        <w:rPr>
          <w:color w:val="000000"/>
        </w:rPr>
        <w:t>alfa-</w:t>
      </w:r>
      <w:r w:rsidRPr="00317344">
        <w:rPr>
          <w:color w:val="000000"/>
        </w:rPr>
        <w:t>2a (</w:t>
      </w:r>
      <w:r w:rsidR="001545E4">
        <w:rPr>
          <w:color w:val="000000"/>
        </w:rPr>
        <w:t>ROFERON-A</w:t>
      </w:r>
      <w:r w:rsidRPr="00317344">
        <w:rPr>
          <w:color w:val="000000"/>
          <w:vertAlign w:val="superscript"/>
        </w:rPr>
        <w:t>®</w:t>
      </w:r>
      <w:r w:rsidRPr="00317344">
        <w:rPr>
          <w:color w:val="000000"/>
        </w:rPr>
        <w:t xml:space="preserve">) </w:t>
      </w:r>
      <w:r>
        <w:rPr>
          <w:color w:val="000000"/>
        </w:rPr>
        <w:t>versus IFN</w:t>
      </w:r>
      <w:r w:rsidR="0018322D">
        <w:rPr>
          <w:color w:val="000000"/>
        </w:rPr>
        <w:t xml:space="preserve"> </w:t>
      </w:r>
      <w:r>
        <w:rPr>
          <w:color w:val="000000"/>
        </w:rPr>
        <w:t>alfa-2a alone</w:t>
      </w:r>
      <w:r>
        <w:rPr>
          <w:color w:val="FF0000"/>
        </w:rPr>
        <w:t xml:space="preserve"> </w:t>
      </w:r>
      <w:r w:rsidRPr="00317344">
        <w:rPr>
          <w:color w:val="000000"/>
        </w:rPr>
        <w:t>as firs</w:t>
      </w:r>
      <w:r>
        <w:rPr>
          <w:color w:val="000000"/>
        </w:rPr>
        <w:t xml:space="preserve">t-line treatment in </w:t>
      </w:r>
      <w:r w:rsidR="00620BAB">
        <w:rPr>
          <w:color w:val="000000"/>
        </w:rPr>
        <w:t>metastatic renal cell cancer (</w:t>
      </w:r>
      <w:proofErr w:type="spellStart"/>
      <w:r w:rsidRPr="00317344">
        <w:rPr>
          <w:color w:val="000000"/>
        </w:rPr>
        <w:t>mRCC</w:t>
      </w:r>
      <w:proofErr w:type="spellEnd"/>
      <w:r w:rsidR="00620BAB">
        <w:rPr>
          <w:color w:val="000000"/>
        </w:rPr>
        <w:t>)</w:t>
      </w:r>
      <w:r w:rsidRPr="00317344">
        <w:rPr>
          <w:color w:val="000000"/>
        </w:rPr>
        <w:t xml:space="preserve">. </w:t>
      </w:r>
      <w:r>
        <w:rPr>
          <w:color w:val="000000"/>
        </w:rPr>
        <w:t xml:space="preserve"> The </w:t>
      </w:r>
      <w:r w:rsidRPr="00317344">
        <w:rPr>
          <w:color w:val="000000"/>
        </w:rPr>
        <w:t xml:space="preserve">649 </w:t>
      </w:r>
      <w:proofErr w:type="spellStart"/>
      <w:r w:rsidR="00771E30">
        <w:rPr>
          <w:color w:val="000000"/>
        </w:rPr>
        <w:t>randomised</w:t>
      </w:r>
      <w:proofErr w:type="spellEnd"/>
      <w:r w:rsidR="00771E30">
        <w:rPr>
          <w:color w:val="000000"/>
        </w:rPr>
        <w:t xml:space="preserve"> </w:t>
      </w:r>
      <w:r w:rsidRPr="00317344">
        <w:rPr>
          <w:color w:val="000000"/>
        </w:rPr>
        <w:t xml:space="preserve">patients (641 treated) </w:t>
      </w:r>
      <w:r>
        <w:rPr>
          <w:color w:val="000000"/>
        </w:rPr>
        <w:t>had</w:t>
      </w:r>
      <w:r w:rsidRPr="00317344">
        <w:rPr>
          <w:color w:val="000000"/>
        </w:rPr>
        <w:t xml:space="preserve"> clear cell </w:t>
      </w:r>
      <w:proofErr w:type="spellStart"/>
      <w:r w:rsidRPr="00317344">
        <w:rPr>
          <w:color w:val="000000"/>
        </w:rPr>
        <w:t>mRCC</w:t>
      </w:r>
      <w:proofErr w:type="spellEnd"/>
      <w:r w:rsidRPr="00317344">
        <w:rPr>
          <w:color w:val="000000"/>
        </w:rPr>
        <w:t xml:space="preserve">, </w:t>
      </w:r>
      <w:proofErr w:type="spellStart"/>
      <w:r>
        <w:rPr>
          <w:color w:val="000000"/>
        </w:rPr>
        <w:t>Karnofsky</w:t>
      </w:r>
      <w:proofErr w:type="spellEnd"/>
      <w:r>
        <w:rPr>
          <w:color w:val="000000"/>
        </w:rPr>
        <w:t xml:space="preserve"> Performance Status (</w:t>
      </w:r>
      <w:r w:rsidRPr="00317344">
        <w:rPr>
          <w:color w:val="000000"/>
        </w:rPr>
        <w:t>KPS</w:t>
      </w:r>
      <w:r>
        <w:rPr>
          <w:color w:val="000000"/>
        </w:rPr>
        <w:t>)</w:t>
      </w:r>
      <w:r w:rsidRPr="00317344">
        <w:rPr>
          <w:color w:val="000000"/>
        </w:rPr>
        <w:t xml:space="preserve"> of</w:t>
      </w:r>
      <w:r w:rsidR="00620BAB">
        <w:t> </w:t>
      </w:r>
      <w:r w:rsidRPr="00317344">
        <w:rPr>
          <w:color w:val="000000"/>
        </w:rPr>
        <w:t>≥</w:t>
      </w:r>
      <w:r>
        <w:t> </w:t>
      </w:r>
      <w:r w:rsidRPr="00317344">
        <w:rPr>
          <w:color w:val="000000"/>
        </w:rPr>
        <w:t xml:space="preserve">70%, no </w:t>
      </w:r>
      <w:r>
        <w:rPr>
          <w:color w:val="000000"/>
        </w:rPr>
        <w:t xml:space="preserve">CNS </w:t>
      </w:r>
      <w:r w:rsidRPr="00317344">
        <w:rPr>
          <w:color w:val="000000"/>
        </w:rPr>
        <w:t>metastases and adequate organ function</w:t>
      </w:r>
      <w:r>
        <w:rPr>
          <w:color w:val="000000"/>
        </w:rPr>
        <w:t>.  IFN</w:t>
      </w:r>
      <w:r w:rsidR="0018322D">
        <w:rPr>
          <w:color w:val="000000"/>
        </w:rPr>
        <w:t xml:space="preserve"> </w:t>
      </w:r>
      <w:r>
        <w:rPr>
          <w:color w:val="000000"/>
        </w:rPr>
        <w:t>alfa-</w:t>
      </w:r>
      <w:r w:rsidRPr="00317344">
        <w:rPr>
          <w:color w:val="000000"/>
        </w:rPr>
        <w:t>2a (</w:t>
      </w:r>
      <w:r w:rsidR="002B1DFE">
        <w:rPr>
          <w:color w:val="000000"/>
        </w:rPr>
        <w:t xml:space="preserve">9 MIU </w:t>
      </w:r>
      <w:r w:rsidR="00255B19">
        <w:rPr>
          <w:color w:val="000000"/>
        </w:rPr>
        <w:t>three times a</w:t>
      </w:r>
      <w:r w:rsidR="002B1DFE">
        <w:rPr>
          <w:color w:val="000000"/>
        </w:rPr>
        <w:t xml:space="preserve"> week</w:t>
      </w:r>
      <w:r w:rsidRPr="00317344">
        <w:rPr>
          <w:color w:val="000000"/>
        </w:rPr>
        <w:t xml:space="preserve">) plus </w:t>
      </w:r>
      <w:r>
        <w:rPr>
          <w:color w:val="000000"/>
        </w:rPr>
        <w:t>AVASTIN</w:t>
      </w:r>
      <w:r w:rsidRPr="00317344">
        <w:rPr>
          <w:color w:val="000000"/>
        </w:rPr>
        <w:t xml:space="preserve"> (10mg/kg q2w) or placebo </w:t>
      </w:r>
      <w:r>
        <w:rPr>
          <w:color w:val="000000"/>
        </w:rPr>
        <w:t xml:space="preserve">was given </w:t>
      </w:r>
      <w:r w:rsidRPr="00317344">
        <w:rPr>
          <w:color w:val="000000"/>
        </w:rPr>
        <w:t>until disease progression.</w:t>
      </w:r>
      <w:r w:rsidRPr="003377CA">
        <w:rPr>
          <w:color w:val="000000"/>
        </w:rPr>
        <w:t xml:space="preserve"> </w:t>
      </w:r>
      <w:r>
        <w:rPr>
          <w:color w:val="000000"/>
        </w:rPr>
        <w:t xml:space="preserve"> </w:t>
      </w:r>
      <w:r w:rsidR="006E5873" w:rsidRPr="00255B60">
        <w:rPr>
          <w:color w:val="000000"/>
        </w:rPr>
        <w:t>For patients who were unable to tolerate IFN</w:t>
      </w:r>
      <w:r w:rsidR="0018322D">
        <w:rPr>
          <w:color w:val="000000"/>
        </w:rPr>
        <w:t xml:space="preserve"> </w:t>
      </w:r>
      <w:r w:rsidR="006E5873" w:rsidRPr="00255B60">
        <w:rPr>
          <w:color w:val="000000"/>
        </w:rPr>
        <w:t xml:space="preserve">alfa-2a treatment, treatment with AVASTIN was permitted to continue in the absence of progressive disease. </w:t>
      </w:r>
      <w:r w:rsidR="0014127F" w:rsidRPr="00F974EF">
        <w:rPr>
          <w:szCs w:val="24"/>
        </w:rPr>
        <w:t>A lower starting IFN</w:t>
      </w:r>
      <w:r w:rsidR="0018322D">
        <w:rPr>
          <w:szCs w:val="24"/>
        </w:rPr>
        <w:t xml:space="preserve"> </w:t>
      </w:r>
      <w:r w:rsidR="0014127F" w:rsidRPr="00F974EF">
        <w:rPr>
          <w:szCs w:val="24"/>
        </w:rPr>
        <w:t>alfa-2a dose (3 or 6 MIU) was permitted as long as the recommended 9MIU dose was reached within the first 2 weeks of treatment.</w:t>
      </w:r>
      <w:r w:rsidR="0014127F" w:rsidRPr="006806AF">
        <w:rPr>
          <w:szCs w:val="24"/>
        </w:rPr>
        <w:t xml:space="preserve"> </w:t>
      </w:r>
      <w:r w:rsidR="005C4E33">
        <w:rPr>
          <w:szCs w:val="24"/>
        </w:rPr>
        <w:t xml:space="preserve"> </w:t>
      </w:r>
      <w:r w:rsidR="0014127F" w:rsidRPr="006806AF">
        <w:rPr>
          <w:szCs w:val="24"/>
        </w:rPr>
        <w:t>If</w:t>
      </w:r>
      <w:r w:rsidR="0014127F">
        <w:rPr>
          <w:szCs w:val="24"/>
        </w:rPr>
        <w:t xml:space="preserve"> 9 MIU was</w:t>
      </w:r>
      <w:r w:rsidR="0014127F" w:rsidRPr="006806AF">
        <w:rPr>
          <w:szCs w:val="24"/>
        </w:rPr>
        <w:t xml:space="preserve"> not tolerated, </w:t>
      </w:r>
      <w:r w:rsidR="0014127F">
        <w:rPr>
          <w:szCs w:val="24"/>
        </w:rPr>
        <w:t>IFN</w:t>
      </w:r>
      <w:r w:rsidR="0018322D">
        <w:rPr>
          <w:szCs w:val="24"/>
        </w:rPr>
        <w:t xml:space="preserve"> </w:t>
      </w:r>
      <w:r w:rsidR="0014127F">
        <w:rPr>
          <w:szCs w:val="24"/>
        </w:rPr>
        <w:t>alfa-2a</w:t>
      </w:r>
      <w:r w:rsidR="0014127F" w:rsidRPr="006806AF">
        <w:rPr>
          <w:szCs w:val="24"/>
        </w:rPr>
        <w:t xml:space="preserve"> dosage reduc</w:t>
      </w:r>
      <w:r w:rsidR="0014127F">
        <w:rPr>
          <w:szCs w:val="24"/>
        </w:rPr>
        <w:t>tion to a minimum of</w:t>
      </w:r>
      <w:r w:rsidR="0014127F" w:rsidRPr="006806AF">
        <w:rPr>
          <w:szCs w:val="24"/>
        </w:rPr>
        <w:t xml:space="preserve"> 3 MIU three times </w:t>
      </w:r>
      <w:r w:rsidR="0014127F">
        <w:rPr>
          <w:szCs w:val="24"/>
        </w:rPr>
        <w:t>a</w:t>
      </w:r>
      <w:r w:rsidR="0014127F" w:rsidRPr="006806AF">
        <w:rPr>
          <w:szCs w:val="24"/>
        </w:rPr>
        <w:t xml:space="preserve"> week</w:t>
      </w:r>
      <w:r w:rsidR="0014127F">
        <w:rPr>
          <w:szCs w:val="24"/>
        </w:rPr>
        <w:t xml:space="preserve"> was also permitted.</w:t>
      </w:r>
      <w:r w:rsidR="005C4E33">
        <w:rPr>
          <w:szCs w:val="24"/>
        </w:rPr>
        <w:t xml:space="preserve"> </w:t>
      </w:r>
      <w:r w:rsidRPr="00255B60">
        <w:rPr>
          <w:color w:val="000000"/>
        </w:rPr>
        <w:t>Patients were stratified accordi</w:t>
      </w:r>
      <w:r w:rsidRPr="00317344">
        <w:rPr>
          <w:color w:val="000000"/>
        </w:rPr>
        <w:t xml:space="preserve">ng to country and </w:t>
      </w:r>
      <w:proofErr w:type="spellStart"/>
      <w:r w:rsidRPr="00317344">
        <w:rPr>
          <w:color w:val="000000"/>
        </w:rPr>
        <w:t>Motzer</w:t>
      </w:r>
      <w:proofErr w:type="spellEnd"/>
      <w:r w:rsidRPr="00317344">
        <w:rPr>
          <w:color w:val="000000"/>
        </w:rPr>
        <w:t xml:space="preserve"> score</w:t>
      </w:r>
      <w:r>
        <w:rPr>
          <w:color w:val="000000"/>
        </w:rPr>
        <w:t xml:space="preserve"> and the </w:t>
      </w:r>
      <w:r w:rsidRPr="00317344">
        <w:rPr>
          <w:color w:val="000000"/>
        </w:rPr>
        <w:t xml:space="preserve">treatment arms </w:t>
      </w:r>
      <w:r>
        <w:rPr>
          <w:color w:val="000000"/>
        </w:rPr>
        <w:t xml:space="preserve">were shown to be </w:t>
      </w:r>
      <w:r w:rsidRPr="00317344">
        <w:rPr>
          <w:color w:val="000000"/>
        </w:rPr>
        <w:t xml:space="preserve">well balanced for </w:t>
      </w:r>
      <w:r>
        <w:rPr>
          <w:color w:val="000000"/>
        </w:rPr>
        <w:t xml:space="preserve">the </w:t>
      </w:r>
      <w:r w:rsidRPr="00317344">
        <w:rPr>
          <w:color w:val="000000"/>
        </w:rPr>
        <w:t>prognostic factors.</w:t>
      </w:r>
    </w:p>
    <w:p w:rsidR="00165EE1" w:rsidRDefault="00165EE1" w:rsidP="00165EE1">
      <w:pPr>
        <w:pStyle w:val="TextTi12"/>
        <w:rPr>
          <w:color w:val="000000"/>
        </w:rPr>
      </w:pPr>
      <w:r w:rsidRPr="00165EE1">
        <w:rPr>
          <w:color w:val="000000"/>
        </w:rPr>
        <w:t>The primary endpoint was overall survival, with secondary endpoints for the study including progression</w:t>
      </w:r>
      <w:r w:rsidR="004B5E8F">
        <w:rPr>
          <w:color w:val="000000"/>
        </w:rPr>
        <w:t xml:space="preserve"> </w:t>
      </w:r>
      <w:r w:rsidRPr="00165EE1">
        <w:rPr>
          <w:color w:val="000000"/>
        </w:rPr>
        <w:t>free survival</w:t>
      </w:r>
      <w:r w:rsidR="004B5E8F">
        <w:rPr>
          <w:color w:val="000000"/>
        </w:rPr>
        <w:t xml:space="preserve"> (PFS)</w:t>
      </w:r>
      <w:r w:rsidRPr="00165EE1">
        <w:rPr>
          <w:color w:val="000000"/>
        </w:rPr>
        <w:t>.</w:t>
      </w:r>
      <w:r w:rsidR="005C4E33">
        <w:rPr>
          <w:color w:val="000000"/>
        </w:rPr>
        <w:t xml:space="preserve"> </w:t>
      </w:r>
      <w:r w:rsidRPr="00165EE1">
        <w:rPr>
          <w:color w:val="000000"/>
        </w:rPr>
        <w:t xml:space="preserve"> The addition of </w:t>
      </w:r>
      <w:r>
        <w:rPr>
          <w:color w:val="000000"/>
        </w:rPr>
        <w:t>AVASTIN</w:t>
      </w:r>
      <w:r w:rsidRPr="00165EE1">
        <w:rPr>
          <w:color w:val="000000"/>
        </w:rPr>
        <w:t xml:space="preserve"> to IFN</w:t>
      </w:r>
      <w:r w:rsidR="0018322D">
        <w:rPr>
          <w:color w:val="000000"/>
        </w:rPr>
        <w:t xml:space="preserve"> </w:t>
      </w:r>
      <w:r w:rsidRPr="00165EE1">
        <w:rPr>
          <w:color w:val="000000"/>
        </w:rPr>
        <w:t xml:space="preserve">alfa-2a significantly increased PFS and objective </w:t>
      </w:r>
      <w:proofErr w:type="spellStart"/>
      <w:r w:rsidRPr="00165EE1">
        <w:rPr>
          <w:color w:val="000000"/>
        </w:rPr>
        <w:t>tumour</w:t>
      </w:r>
      <w:proofErr w:type="spellEnd"/>
      <w:r w:rsidRPr="00165EE1">
        <w:rPr>
          <w:color w:val="000000"/>
        </w:rPr>
        <w:t xml:space="preserve"> response rate</w:t>
      </w:r>
      <w:bookmarkStart w:id="9" w:name="OLE_LINK11"/>
      <w:bookmarkStart w:id="10" w:name="OLE_LINK12"/>
      <w:r w:rsidRPr="00165EE1">
        <w:rPr>
          <w:color w:val="000000"/>
        </w:rPr>
        <w:t xml:space="preserve">. </w:t>
      </w:r>
      <w:r w:rsidR="005C4E33">
        <w:rPr>
          <w:color w:val="000000"/>
        </w:rPr>
        <w:t xml:space="preserve"> </w:t>
      </w:r>
      <w:r w:rsidRPr="00165EE1">
        <w:rPr>
          <w:color w:val="000000"/>
        </w:rPr>
        <w:t xml:space="preserve">These results have been confirmed through an independent radiological review. </w:t>
      </w:r>
      <w:r w:rsidR="005C4E33">
        <w:rPr>
          <w:color w:val="000000"/>
        </w:rPr>
        <w:t xml:space="preserve"> </w:t>
      </w:r>
      <w:r w:rsidRPr="00165EE1">
        <w:rPr>
          <w:color w:val="000000"/>
        </w:rPr>
        <w:t xml:space="preserve">However, the increase in the primary endpoint of </w:t>
      </w:r>
      <w:r w:rsidRPr="00165EE1">
        <w:rPr>
          <w:rFonts w:eastAsia="SimSun"/>
          <w:color w:val="000000"/>
        </w:rPr>
        <w:t xml:space="preserve">overall survival </w:t>
      </w:r>
      <w:r w:rsidRPr="00165EE1">
        <w:rPr>
          <w:color w:val="000000"/>
        </w:rPr>
        <w:t>by 2</w:t>
      </w:r>
      <w:r w:rsidRPr="00165EE1">
        <w:rPr>
          <w:rFonts w:eastAsia="SimSun"/>
          <w:color w:val="000000"/>
        </w:rPr>
        <w:t xml:space="preserve"> months </w:t>
      </w:r>
      <w:r w:rsidRPr="00165EE1">
        <w:rPr>
          <w:color w:val="000000"/>
        </w:rPr>
        <w:t>was not significant (HR</w:t>
      </w:r>
      <w:r w:rsidR="005C4E33">
        <w:rPr>
          <w:color w:val="000000"/>
        </w:rPr>
        <w:t xml:space="preserve"> </w:t>
      </w:r>
      <w:r w:rsidRPr="00165EE1">
        <w:rPr>
          <w:color w:val="000000"/>
        </w:rPr>
        <w:t>= 0.91).</w:t>
      </w:r>
      <w:r w:rsidR="005C4E33">
        <w:rPr>
          <w:color w:val="000000"/>
        </w:rPr>
        <w:t xml:space="preserve"> </w:t>
      </w:r>
      <w:r w:rsidRPr="00165EE1">
        <w:rPr>
          <w:color w:val="000000"/>
        </w:rPr>
        <w:t xml:space="preserve"> A high proportion of patients (approximately 63% IFN/</w:t>
      </w:r>
      <w:r w:rsidRPr="00165EE1">
        <w:rPr>
          <w:rFonts w:eastAsia="SimSun"/>
          <w:color w:val="000000"/>
        </w:rPr>
        <w:t>placebo</w:t>
      </w:r>
      <w:r w:rsidRPr="00165EE1">
        <w:rPr>
          <w:color w:val="000000"/>
        </w:rPr>
        <w:t xml:space="preserve">; 55% </w:t>
      </w:r>
      <w:r>
        <w:rPr>
          <w:color w:val="000000"/>
        </w:rPr>
        <w:t>AVASTIN</w:t>
      </w:r>
      <w:r w:rsidRPr="00165EE1">
        <w:rPr>
          <w:color w:val="000000"/>
        </w:rPr>
        <w:t>/IFN) received a variety of non-specified post-</w:t>
      </w:r>
      <w:r w:rsidRPr="00165EE1">
        <w:rPr>
          <w:color w:val="000000"/>
        </w:rPr>
        <w:lastRenderedPageBreak/>
        <w:t>protocol anti-cancer therapies, including anti</w:t>
      </w:r>
      <w:r>
        <w:rPr>
          <w:color w:val="000000"/>
        </w:rPr>
        <w:t>-</w:t>
      </w:r>
      <w:r w:rsidRPr="00165EE1">
        <w:rPr>
          <w:color w:val="000000"/>
        </w:rPr>
        <w:t xml:space="preserve">neoplastic agents, which may have impacted the analysis of overall survival. </w:t>
      </w:r>
      <w:r w:rsidR="005C4E33">
        <w:rPr>
          <w:color w:val="000000"/>
        </w:rPr>
        <w:t xml:space="preserve"> </w:t>
      </w:r>
      <w:r>
        <w:rPr>
          <w:color w:val="000000"/>
        </w:rPr>
        <w:t>The efficacy results are presented in Table 9</w:t>
      </w:r>
      <w:r>
        <w:rPr>
          <w:rFonts w:eastAsia="SimSun"/>
          <w:color w:val="000000"/>
        </w:rPr>
        <w:t>.</w:t>
      </w:r>
    </w:p>
    <w:bookmarkEnd w:id="9"/>
    <w:bookmarkEnd w:id="10"/>
    <w:p w:rsidR="00533539" w:rsidRPr="009D378B" w:rsidRDefault="00533539" w:rsidP="00E40F98">
      <w:pPr>
        <w:pStyle w:val="HdTab1"/>
        <w:ind w:left="720" w:hanging="720"/>
        <w:rPr>
          <w:rFonts w:ascii="Times New Roman" w:hAnsi="Times New Roman"/>
        </w:rPr>
      </w:pPr>
      <w:r>
        <w:rPr>
          <w:rFonts w:ascii="Times New Roman" w:hAnsi="Times New Roman"/>
        </w:rPr>
        <w:tab/>
      </w:r>
      <w:r w:rsidRPr="009D378B">
        <w:rPr>
          <w:rFonts w:ascii="Times New Roman" w:hAnsi="Times New Roman"/>
        </w:rPr>
        <w:t xml:space="preserve">Table </w:t>
      </w:r>
      <w:r w:rsidR="00A816C4">
        <w:rPr>
          <w:rFonts w:ascii="Times New Roman" w:hAnsi="Times New Roman"/>
        </w:rPr>
        <w:t>9</w:t>
      </w:r>
      <w:r>
        <w:rPr>
          <w:rFonts w:ascii="Times New Roman" w:hAnsi="Times New Roman"/>
        </w:rPr>
        <w:t xml:space="preserve">:  </w:t>
      </w:r>
      <w:r w:rsidRPr="009D378B">
        <w:rPr>
          <w:rFonts w:ascii="Times New Roman" w:hAnsi="Times New Roman"/>
        </w:rPr>
        <w:t>Efficacy Results for Study BO17705</w:t>
      </w:r>
    </w:p>
    <w:tbl>
      <w:tblPr>
        <w:tblW w:w="0" w:type="auto"/>
        <w:jc w:val="center"/>
        <w:tblInd w:w="-2168" w:type="dxa"/>
        <w:tblLayout w:type="fixed"/>
        <w:tblLook w:val="0000" w:firstRow="0" w:lastRow="0" w:firstColumn="0" w:lastColumn="0" w:noHBand="0" w:noVBand="0"/>
      </w:tblPr>
      <w:tblGrid>
        <w:gridCol w:w="3350"/>
        <w:gridCol w:w="1698"/>
        <w:gridCol w:w="1984"/>
      </w:tblGrid>
      <w:tr w:rsidR="00533539" w:rsidRPr="00A56D8D" w:rsidTr="008F4FF8">
        <w:trPr>
          <w:cantSplit/>
          <w:trHeight w:val="264"/>
          <w:jc w:val="center"/>
        </w:trPr>
        <w:tc>
          <w:tcPr>
            <w:tcW w:w="3350" w:type="dxa"/>
            <w:tcBorders>
              <w:bottom w:val="single" w:sz="8" w:space="0" w:color="auto"/>
              <w:right w:val="single" w:sz="8" w:space="0" w:color="auto"/>
            </w:tcBorders>
            <w:vAlign w:val="bottom"/>
          </w:tcPr>
          <w:p w:rsidR="00533539" w:rsidRPr="008F4FF8" w:rsidRDefault="00533539" w:rsidP="008F4FF8">
            <w:pPr>
              <w:pStyle w:val="TableCellCenter"/>
              <w:spacing w:before="0" w:after="0" w:line="240" w:lineRule="auto"/>
            </w:pPr>
          </w:p>
        </w:tc>
        <w:tc>
          <w:tcPr>
            <w:tcW w:w="1698" w:type="dxa"/>
            <w:tcBorders>
              <w:top w:val="single" w:sz="4" w:space="0" w:color="auto"/>
              <w:left w:val="single" w:sz="8" w:space="0" w:color="auto"/>
              <w:bottom w:val="single" w:sz="8" w:space="0" w:color="auto"/>
            </w:tcBorders>
            <w:vAlign w:val="bottom"/>
          </w:tcPr>
          <w:p w:rsidR="00533539" w:rsidRPr="008F4FF8" w:rsidRDefault="00533539" w:rsidP="008F4FF8">
            <w:pPr>
              <w:pStyle w:val="TableCellCenter"/>
              <w:spacing w:before="0" w:after="0" w:line="240" w:lineRule="auto"/>
              <w:rPr>
                <w:b/>
              </w:rPr>
            </w:pPr>
            <w:r w:rsidRPr="008F4FF8">
              <w:rPr>
                <w:b/>
              </w:rPr>
              <w:t>IFN + Placebo</w:t>
            </w:r>
          </w:p>
        </w:tc>
        <w:tc>
          <w:tcPr>
            <w:tcW w:w="1984" w:type="dxa"/>
            <w:tcBorders>
              <w:top w:val="single" w:sz="4" w:space="0" w:color="auto"/>
              <w:bottom w:val="single" w:sz="8" w:space="0" w:color="auto"/>
              <w:right w:val="single" w:sz="8" w:space="0" w:color="auto"/>
            </w:tcBorders>
            <w:shd w:val="clear" w:color="auto" w:fill="auto"/>
            <w:vAlign w:val="bottom"/>
          </w:tcPr>
          <w:p w:rsidR="00533539" w:rsidRPr="008F4FF8" w:rsidRDefault="00533539" w:rsidP="008F4FF8">
            <w:pPr>
              <w:pStyle w:val="TableCellCenter"/>
              <w:spacing w:before="0" w:after="0" w:line="240" w:lineRule="auto"/>
              <w:rPr>
                <w:b/>
              </w:rPr>
            </w:pPr>
            <w:r w:rsidRPr="008F4FF8">
              <w:rPr>
                <w:b/>
              </w:rPr>
              <w:t>IFN </w:t>
            </w:r>
            <w:r w:rsidRPr="008F4FF8">
              <w:rPr>
                <w:rFonts w:ascii="Symbol" w:hAnsi="Symbol"/>
                <w:b/>
              </w:rPr>
              <w:t></w:t>
            </w:r>
            <w:r w:rsidRPr="008F4FF8">
              <w:rPr>
                <w:b/>
              </w:rPr>
              <w:t>  AVASTIN</w:t>
            </w:r>
          </w:p>
        </w:tc>
      </w:tr>
      <w:tr w:rsidR="00533539" w:rsidRPr="00A56D8D" w:rsidTr="008F4FF8">
        <w:trPr>
          <w:cantSplit/>
          <w:jc w:val="center"/>
        </w:trPr>
        <w:tc>
          <w:tcPr>
            <w:tcW w:w="3350" w:type="dxa"/>
            <w:tcBorders>
              <w:top w:val="single" w:sz="8" w:space="0" w:color="auto"/>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rPr>
                <w:i/>
              </w:rPr>
            </w:pPr>
            <w:r w:rsidRPr="008F4FF8">
              <w:rPr>
                <w:i/>
              </w:rPr>
              <w:t>Number of Patients</w:t>
            </w:r>
          </w:p>
        </w:tc>
        <w:tc>
          <w:tcPr>
            <w:tcW w:w="1698" w:type="dxa"/>
            <w:tcBorders>
              <w:top w:val="single" w:sz="8" w:space="0" w:color="auto"/>
              <w:left w:val="single" w:sz="8" w:space="0" w:color="auto"/>
              <w:bottom w:val="single" w:sz="4" w:space="0" w:color="auto"/>
            </w:tcBorders>
          </w:tcPr>
          <w:p w:rsidR="00533539" w:rsidRPr="008F4FF8" w:rsidRDefault="00533539" w:rsidP="008F4FF8">
            <w:pPr>
              <w:pStyle w:val="TableCellCenter"/>
              <w:spacing w:before="0" w:after="0" w:line="240" w:lineRule="auto"/>
              <w:rPr>
                <w:i/>
              </w:rPr>
            </w:pPr>
            <w:r w:rsidRPr="008F4FF8">
              <w:rPr>
                <w:i/>
              </w:rPr>
              <w:t>322</w:t>
            </w:r>
          </w:p>
        </w:tc>
        <w:tc>
          <w:tcPr>
            <w:tcW w:w="1984" w:type="dxa"/>
            <w:tcBorders>
              <w:top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rPr>
                <w:i/>
              </w:rPr>
            </w:pPr>
            <w:r w:rsidRPr="008F4FF8">
              <w:rPr>
                <w:i/>
              </w:rPr>
              <w:t>327</w:t>
            </w:r>
          </w:p>
        </w:tc>
      </w:tr>
      <w:tr w:rsidR="00533539" w:rsidRPr="00A56D8D" w:rsidTr="008F4FF8">
        <w:trPr>
          <w:cantSplit/>
          <w:jc w:val="center"/>
        </w:trPr>
        <w:tc>
          <w:tcPr>
            <w:tcW w:w="3350" w:type="dxa"/>
            <w:tcBorders>
              <w:top w:val="single" w:sz="4" w:space="0" w:color="auto"/>
              <w:left w:val="single" w:sz="8" w:space="0" w:color="auto"/>
              <w:right w:val="single" w:sz="8" w:space="0" w:color="auto"/>
            </w:tcBorders>
          </w:tcPr>
          <w:p w:rsidR="00533539" w:rsidRPr="008F4FF8" w:rsidRDefault="00533539" w:rsidP="008F4FF8">
            <w:pPr>
              <w:pStyle w:val="TableCellHead"/>
              <w:spacing w:before="0" w:line="240" w:lineRule="auto"/>
              <w:rPr>
                <w:b/>
                <w:u w:val="none"/>
              </w:rPr>
            </w:pPr>
            <w:r w:rsidRPr="008F4FF8">
              <w:rPr>
                <w:b/>
                <w:u w:val="none"/>
              </w:rPr>
              <w:t>Progression-Free Survival</w:t>
            </w:r>
          </w:p>
        </w:tc>
        <w:tc>
          <w:tcPr>
            <w:tcW w:w="1698" w:type="dxa"/>
            <w:tcBorders>
              <w:top w:val="single" w:sz="4" w:space="0" w:color="auto"/>
              <w:left w:val="single" w:sz="8" w:space="0" w:color="auto"/>
            </w:tcBorders>
          </w:tcPr>
          <w:p w:rsidR="00533539" w:rsidRPr="008F4FF8" w:rsidRDefault="00533539" w:rsidP="008F4FF8">
            <w:pPr>
              <w:pStyle w:val="TableCellCenter"/>
              <w:spacing w:before="0" w:after="0" w:line="240" w:lineRule="auto"/>
            </w:pPr>
          </w:p>
        </w:tc>
        <w:tc>
          <w:tcPr>
            <w:tcW w:w="1984" w:type="dxa"/>
            <w:tcBorders>
              <w:top w:val="single" w:sz="4" w:space="0" w:color="auto"/>
              <w:right w:val="single" w:sz="8" w:space="0" w:color="auto"/>
            </w:tcBorders>
          </w:tcPr>
          <w:p w:rsidR="00533539" w:rsidRPr="008F4FF8" w:rsidRDefault="00533539" w:rsidP="008F4FF8">
            <w:pPr>
              <w:pStyle w:val="TableCellCenter"/>
              <w:spacing w:before="0" w:after="0" w:line="240" w:lineRule="auto"/>
            </w:pPr>
          </w:p>
        </w:tc>
      </w:tr>
      <w:tr w:rsidR="00533539" w:rsidRPr="00A56D8D" w:rsidTr="008F4FF8">
        <w:trPr>
          <w:cantSplit/>
          <w:jc w:val="center"/>
        </w:trPr>
        <w:tc>
          <w:tcPr>
            <w:tcW w:w="3350"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r w:rsidRPr="008F4FF8">
              <w:t>Median (months)</w:t>
            </w:r>
          </w:p>
        </w:tc>
        <w:tc>
          <w:tcPr>
            <w:tcW w:w="1698" w:type="dxa"/>
            <w:tcBorders>
              <w:left w:val="single" w:sz="8" w:space="0" w:color="auto"/>
            </w:tcBorders>
          </w:tcPr>
          <w:p w:rsidR="00533539" w:rsidRPr="008F4FF8" w:rsidRDefault="00533539" w:rsidP="008F4FF8">
            <w:pPr>
              <w:pStyle w:val="TableCellCenter"/>
              <w:spacing w:before="0" w:after="0" w:line="240" w:lineRule="auto"/>
            </w:pPr>
            <w:r w:rsidRPr="008F4FF8">
              <w:t>5.4</w:t>
            </w:r>
          </w:p>
        </w:tc>
        <w:tc>
          <w:tcPr>
            <w:tcW w:w="1984" w:type="dxa"/>
            <w:tcBorders>
              <w:right w:val="single" w:sz="8" w:space="0" w:color="auto"/>
            </w:tcBorders>
          </w:tcPr>
          <w:p w:rsidR="00533539" w:rsidRPr="008F4FF8" w:rsidRDefault="00533539" w:rsidP="008F4FF8">
            <w:pPr>
              <w:pStyle w:val="TableCellCenter"/>
              <w:spacing w:before="0" w:after="0" w:line="240" w:lineRule="auto"/>
            </w:pPr>
            <w:r w:rsidRPr="008F4FF8">
              <w:t>10.2</w:t>
            </w:r>
          </w:p>
        </w:tc>
      </w:tr>
      <w:tr w:rsidR="00533539" w:rsidRPr="00A56D8D" w:rsidTr="008F4FF8">
        <w:trPr>
          <w:cantSplit/>
          <w:jc w:val="center"/>
        </w:trPr>
        <w:tc>
          <w:tcPr>
            <w:tcW w:w="3350" w:type="dxa"/>
            <w:tcBorders>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r w:rsidRPr="008F4FF8">
              <w:t>Hazard ratio</w:t>
            </w:r>
            <w:r w:rsidR="00772141" w:rsidRPr="008F4FF8">
              <w:t xml:space="preserve"> [95% CI]</w:t>
            </w:r>
          </w:p>
        </w:tc>
        <w:tc>
          <w:tcPr>
            <w:tcW w:w="3682" w:type="dxa"/>
            <w:gridSpan w:val="2"/>
            <w:tcBorders>
              <w:left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pPr>
            <w:r w:rsidRPr="008F4FF8">
              <w:t>0.63</w:t>
            </w:r>
            <w:r w:rsidR="00772141" w:rsidRPr="008F4FF8">
              <w:t xml:space="preserve"> [0.52; 0.75]</w:t>
            </w:r>
          </w:p>
          <w:p w:rsidR="00533539" w:rsidRPr="008F4FF8" w:rsidRDefault="00533539" w:rsidP="008F4FF8">
            <w:pPr>
              <w:pStyle w:val="TableCellCenter"/>
              <w:spacing w:before="0" w:after="0" w:line="240" w:lineRule="auto"/>
            </w:pPr>
            <w:r w:rsidRPr="008F4FF8">
              <w:t>(</w:t>
            </w:r>
            <w:r w:rsidR="00402F1B" w:rsidRPr="008F4FF8">
              <w:rPr>
                <w:i/>
              </w:rPr>
              <w:t>p</w:t>
            </w:r>
            <w:r w:rsidRPr="008F4FF8">
              <w:t xml:space="preserve">-value </w:t>
            </w:r>
            <w:r w:rsidRPr="008F4FF8">
              <w:rPr>
                <w:rFonts w:ascii="Symbol" w:hAnsi="Symbol"/>
              </w:rPr>
              <w:t></w:t>
            </w:r>
            <w:r w:rsidRPr="008F4FF8">
              <w:t> 0.0001)</w:t>
            </w:r>
          </w:p>
        </w:tc>
      </w:tr>
      <w:tr w:rsidR="00533539" w:rsidRPr="00A655DF" w:rsidTr="008F4FF8">
        <w:trPr>
          <w:cantSplit/>
          <w:jc w:val="center"/>
        </w:trPr>
        <w:tc>
          <w:tcPr>
            <w:tcW w:w="3350" w:type="dxa"/>
            <w:tcBorders>
              <w:top w:val="single" w:sz="4" w:space="0" w:color="auto"/>
              <w:left w:val="single" w:sz="8" w:space="0" w:color="auto"/>
              <w:right w:val="single" w:sz="8" w:space="0" w:color="auto"/>
            </w:tcBorders>
          </w:tcPr>
          <w:p w:rsidR="00533539" w:rsidRPr="008F4FF8" w:rsidRDefault="00533539" w:rsidP="008F4FF8">
            <w:pPr>
              <w:pStyle w:val="TableCellLeft"/>
              <w:spacing w:before="0" w:after="0" w:line="240" w:lineRule="auto"/>
            </w:pPr>
            <w:r w:rsidRPr="008F4FF8">
              <w:rPr>
                <w:b/>
              </w:rPr>
              <w:t>Objective Response Rate (%)</w:t>
            </w:r>
            <w:r w:rsidRPr="008F4FF8">
              <w:t xml:space="preserve"> in Patients with Measurable Disease</w:t>
            </w:r>
          </w:p>
        </w:tc>
        <w:tc>
          <w:tcPr>
            <w:tcW w:w="1698" w:type="dxa"/>
            <w:tcBorders>
              <w:top w:val="single" w:sz="4" w:space="0" w:color="auto"/>
              <w:left w:val="single" w:sz="8" w:space="0" w:color="auto"/>
            </w:tcBorders>
          </w:tcPr>
          <w:p w:rsidR="00533539" w:rsidRPr="008F4FF8" w:rsidRDefault="00533539" w:rsidP="008F4FF8">
            <w:pPr>
              <w:pStyle w:val="TableCellCenter"/>
              <w:spacing w:before="0" w:after="0" w:line="240" w:lineRule="auto"/>
            </w:pPr>
          </w:p>
        </w:tc>
        <w:tc>
          <w:tcPr>
            <w:tcW w:w="1984" w:type="dxa"/>
            <w:tcBorders>
              <w:top w:val="single" w:sz="4" w:space="0" w:color="auto"/>
              <w:right w:val="single" w:sz="8" w:space="0" w:color="auto"/>
            </w:tcBorders>
          </w:tcPr>
          <w:p w:rsidR="00533539" w:rsidRPr="008F4FF8" w:rsidRDefault="00533539" w:rsidP="008F4FF8">
            <w:pPr>
              <w:pStyle w:val="TableCellCenter"/>
              <w:spacing w:before="0" w:after="0" w:line="240" w:lineRule="auto"/>
            </w:pPr>
          </w:p>
        </w:tc>
      </w:tr>
      <w:tr w:rsidR="00533539" w:rsidRPr="00A655DF" w:rsidTr="008F4FF8">
        <w:trPr>
          <w:cantSplit/>
          <w:jc w:val="center"/>
        </w:trPr>
        <w:tc>
          <w:tcPr>
            <w:tcW w:w="3350" w:type="dxa"/>
            <w:tcBorders>
              <w:left w:val="single" w:sz="8" w:space="0" w:color="auto"/>
              <w:right w:val="single" w:sz="8" w:space="0" w:color="auto"/>
            </w:tcBorders>
          </w:tcPr>
          <w:p w:rsidR="00533539" w:rsidRPr="008F4FF8" w:rsidRDefault="00402F1B" w:rsidP="008F4FF8">
            <w:pPr>
              <w:pStyle w:val="TableCellLeft"/>
              <w:spacing w:before="0" w:after="0" w:line="240" w:lineRule="auto"/>
              <w:ind w:left="360"/>
            </w:pPr>
            <w:r w:rsidRPr="008F4FF8">
              <w:rPr>
                <w:i/>
              </w:rPr>
              <w:t>n</w:t>
            </w:r>
          </w:p>
        </w:tc>
        <w:tc>
          <w:tcPr>
            <w:tcW w:w="1698" w:type="dxa"/>
            <w:tcBorders>
              <w:left w:val="single" w:sz="8" w:space="0" w:color="auto"/>
            </w:tcBorders>
          </w:tcPr>
          <w:p w:rsidR="00533539" w:rsidRPr="008F4FF8" w:rsidRDefault="00533539" w:rsidP="008F4FF8">
            <w:pPr>
              <w:pStyle w:val="TableCellCenter"/>
              <w:spacing w:before="0" w:after="0" w:line="240" w:lineRule="auto"/>
            </w:pPr>
            <w:r w:rsidRPr="008F4FF8">
              <w:t>289</w:t>
            </w:r>
          </w:p>
        </w:tc>
        <w:tc>
          <w:tcPr>
            <w:tcW w:w="1984" w:type="dxa"/>
            <w:tcBorders>
              <w:right w:val="single" w:sz="8" w:space="0" w:color="auto"/>
            </w:tcBorders>
          </w:tcPr>
          <w:p w:rsidR="00533539" w:rsidRPr="008F4FF8" w:rsidRDefault="00533539" w:rsidP="008F4FF8">
            <w:pPr>
              <w:pStyle w:val="TableCellCenter"/>
              <w:spacing w:before="0" w:after="0" w:line="240" w:lineRule="auto"/>
            </w:pPr>
            <w:r w:rsidRPr="008F4FF8">
              <w:t>306</w:t>
            </w:r>
          </w:p>
        </w:tc>
      </w:tr>
      <w:tr w:rsidR="00533539" w:rsidRPr="00A56D8D" w:rsidTr="008F4FF8">
        <w:trPr>
          <w:cantSplit/>
          <w:jc w:val="center"/>
        </w:trPr>
        <w:tc>
          <w:tcPr>
            <w:tcW w:w="3350"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r w:rsidRPr="008F4FF8">
              <w:t>Response rate</w:t>
            </w:r>
          </w:p>
        </w:tc>
        <w:tc>
          <w:tcPr>
            <w:tcW w:w="1698" w:type="dxa"/>
            <w:tcBorders>
              <w:left w:val="single" w:sz="8" w:space="0" w:color="auto"/>
            </w:tcBorders>
          </w:tcPr>
          <w:p w:rsidR="00533539" w:rsidRPr="008F4FF8" w:rsidRDefault="00533539" w:rsidP="008F4FF8">
            <w:pPr>
              <w:pStyle w:val="TableCellCenter"/>
              <w:spacing w:before="0" w:after="0" w:line="240" w:lineRule="auto"/>
            </w:pPr>
            <w:r w:rsidRPr="008F4FF8">
              <w:t>12.8 %</w:t>
            </w:r>
          </w:p>
        </w:tc>
        <w:tc>
          <w:tcPr>
            <w:tcW w:w="1984" w:type="dxa"/>
            <w:tcBorders>
              <w:right w:val="single" w:sz="8" w:space="0" w:color="auto"/>
            </w:tcBorders>
          </w:tcPr>
          <w:p w:rsidR="00533539" w:rsidRPr="008F4FF8" w:rsidRDefault="00533539" w:rsidP="008F4FF8">
            <w:pPr>
              <w:pStyle w:val="TableCellCenter"/>
              <w:spacing w:before="0" w:after="0" w:line="240" w:lineRule="auto"/>
            </w:pPr>
            <w:r w:rsidRPr="008F4FF8">
              <w:t>31.4 %</w:t>
            </w:r>
          </w:p>
        </w:tc>
      </w:tr>
      <w:tr w:rsidR="00533539" w:rsidRPr="00A56D8D" w:rsidTr="008F4FF8">
        <w:trPr>
          <w:cantSplit/>
          <w:jc w:val="center"/>
        </w:trPr>
        <w:tc>
          <w:tcPr>
            <w:tcW w:w="3350" w:type="dxa"/>
            <w:tcBorders>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p>
        </w:tc>
        <w:tc>
          <w:tcPr>
            <w:tcW w:w="3682" w:type="dxa"/>
            <w:gridSpan w:val="2"/>
            <w:tcBorders>
              <w:left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pPr>
            <w:r w:rsidRPr="008F4FF8">
              <w:t>(</w:t>
            </w:r>
            <w:r w:rsidR="00402F1B" w:rsidRPr="008F4FF8">
              <w:rPr>
                <w:i/>
              </w:rPr>
              <w:t>p</w:t>
            </w:r>
            <w:r w:rsidRPr="008F4FF8">
              <w:t xml:space="preserve">-value </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t>)</w:t>
            </w:r>
          </w:p>
        </w:tc>
      </w:tr>
      <w:tr w:rsidR="009D7FCA" w:rsidRPr="00A56D8D" w:rsidTr="008F4FF8">
        <w:trPr>
          <w:cantSplit/>
          <w:trHeight w:val="161"/>
          <w:jc w:val="center"/>
        </w:trPr>
        <w:tc>
          <w:tcPr>
            <w:tcW w:w="3350" w:type="dxa"/>
            <w:tcBorders>
              <w:top w:val="single" w:sz="4" w:space="0" w:color="auto"/>
              <w:left w:val="single" w:sz="8" w:space="0" w:color="auto"/>
              <w:right w:val="single" w:sz="8" w:space="0" w:color="auto"/>
            </w:tcBorders>
          </w:tcPr>
          <w:p w:rsidR="009D7FCA" w:rsidRPr="008F4FF8" w:rsidRDefault="009D7FCA" w:rsidP="008F4FF8">
            <w:pPr>
              <w:pStyle w:val="HdFig1"/>
              <w:spacing w:before="0" w:after="0" w:line="240" w:lineRule="auto"/>
              <w:ind w:left="360" w:hanging="346"/>
              <w:rPr>
                <w:rFonts w:ascii="Times New Roman" w:hAnsi="Times New Roman"/>
                <w:sz w:val="20"/>
              </w:rPr>
            </w:pPr>
            <w:r w:rsidRPr="008F4FF8">
              <w:rPr>
                <w:rFonts w:ascii="Times New Roman" w:hAnsi="Times New Roman"/>
                <w:sz w:val="20"/>
              </w:rPr>
              <w:t>Overall Survival</w:t>
            </w:r>
          </w:p>
        </w:tc>
        <w:tc>
          <w:tcPr>
            <w:tcW w:w="1698" w:type="dxa"/>
            <w:tcBorders>
              <w:top w:val="single" w:sz="4" w:space="0" w:color="auto"/>
              <w:left w:val="single" w:sz="8" w:space="0" w:color="auto"/>
            </w:tcBorders>
            <w:shd w:val="clear" w:color="auto" w:fill="auto"/>
          </w:tcPr>
          <w:p w:rsidR="009D7FCA" w:rsidRPr="008F4FF8" w:rsidRDefault="009D7FCA" w:rsidP="008F4FF8">
            <w:pPr>
              <w:pStyle w:val="HdCont"/>
              <w:spacing w:after="0" w:line="240" w:lineRule="auto"/>
              <w:rPr>
                <w:sz w:val="20"/>
              </w:rPr>
            </w:pPr>
          </w:p>
        </w:tc>
        <w:tc>
          <w:tcPr>
            <w:tcW w:w="1984" w:type="dxa"/>
            <w:tcBorders>
              <w:top w:val="single" w:sz="4" w:space="0" w:color="auto"/>
              <w:right w:val="single" w:sz="8" w:space="0" w:color="auto"/>
            </w:tcBorders>
            <w:shd w:val="clear" w:color="auto" w:fill="auto"/>
          </w:tcPr>
          <w:p w:rsidR="009D7FCA" w:rsidRPr="00925599" w:rsidRDefault="009D7FCA" w:rsidP="007A7E0D">
            <w:pPr>
              <w:pStyle w:val="HdCont"/>
              <w:rPr>
                <w:sz w:val="18"/>
                <w:szCs w:val="18"/>
              </w:rPr>
            </w:pPr>
          </w:p>
        </w:tc>
      </w:tr>
      <w:tr w:rsidR="009D7FCA" w:rsidRPr="00A56D8D" w:rsidTr="008F4FF8">
        <w:trPr>
          <w:cantSplit/>
          <w:jc w:val="center"/>
        </w:trPr>
        <w:tc>
          <w:tcPr>
            <w:tcW w:w="3350" w:type="dxa"/>
            <w:tcBorders>
              <w:left w:val="single" w:sz="8" w:space="0" w:color="auto"/>
              <w:right w:val="single" w:sz="8" w:space="0" w:color="auto"/>
            </w:tcBorders>
          </w:tcPr>
          <w:p w:rsidR="009D7FCA" w:rsidRPr="008F4FF8" w:rsidRDefault="009D7FCA" w:rsidP="008F4FF8">
            <w:pPr>
              <w:pStyle w:val="HdFig1"/>
              <w:spacing w:before="0" w:after="0" w:line="240" w:lineRule="auto"/>
              <w:ind w:left="360" w:firstLine="14"/>
              <w:rPr>
                <w:rFonts w:ascii="Times New Roman" w:hAnsi="Times New Roman"/>
                <w:b w:val="0"/>
                <w:sz w:val="20"/>
              </w:rPr>
            </w:pPr>
            <w:r w:rsidRPr="008F4FF8">
              <w:rPr>
                <w:rFonts w:ascii="Times New Roman" w:hAnsi="Times New Roman"/>
                <w:b w:val="0"/>
                <w:sz w:val="20"/>
              </w:rPr>
              <w:t>Median (months)</w:t>
            </w:r>
          </w:p>
        </w:tc>
        <w:tc>
          <w:tcPr>
            <w:tcW w:w="1698" w:type="dxa"/>
            <w:tcBorders>
              <w:left w:val="single" w:sz="8" w:space="0" w:color="auto"/>
            </w:tcBorders>
            <w:shd w:val="clear" w:color="auto" w:fill="auto"/>
          </w:tcPr>
          <w:p w:rsidR="009D7FCA" w:rsidRPr="008F4FF8" w:rsidRDefault="009D7FCA" w:rsidP="00B3779D">
            <w:pPr>
              <w:pStyle w:val="HdCont"/>
              <w:spacing w:after="0" w:line="240" w:lineRule="auto"/>
              <w:jc w:val="center"/>
              <w:rPr>
                <w:rFonts w:ascii="Times New Roman" w:hAnsi="Times New Roman"/>
                <w:b w:val="0"/>
                <w:sz w:val="20"/>
              </w:rPr>
            </w:pPr>
            <w:r w:rsidRPr="008F4FF8">
              <w:rPr>
                <w:rFonts w:ascii="Times New Roman" w:hAnsi="Times New Roman"/>
                <w:b w:val="0"/>
                <w:sz w:val="20"/>
              </w:rPr>
              <w:t>21.3</w:t>
            </w:r>
          </w:p>
        </w:tc>
        <w:tc>
          <w:tcPr>
            <w:tcW w:w="1984" w:type="dxa"/>
            <w:tcBorders>
              <w:right w:val="single" w:sz="8" w:space="0" w:color="auto"/>
            </w:tcBorders>
            <w:shd w:val="clear" w:color="auto" w:fill="auto"/>
          </w:tcPr>
          <w:p w:rsidR="009D7FCA" w:rsidRPr="00925599" w:rsidRDefault="009D7FCA" w:rsidP="009D7FCA">
            <w:pPr>
              <w:pStyle w:val="TableCellCenter"/>
              <w:spacing w:before="0" w:after="0" w:line="240" w:lineRule="auto"/>
              <w:rPr>
                <w:sz w:val="18"/>
                <w:szCs w:val="18"/>
              </w:rPr>
            </w:pPr>
            <w:r>
              <w:rPr>
                <w:sz w:val="18"/>
                <w:szCs w:val="18"/>
              </w:rPr>
              <w:t>23.3</w:t>
            </w:r>
          </w:p>
        </w:tc>
      </w:tr>
      <w:tr w:rsidR="006D09CF" w:rsidRPr="00A56D8D" w:rsidTr="008F4FF8">
        <w:trPr>
          <w:cantSplit/>
          <w:jc w:val="center"/>
        </w:trPr>
        <w:tc>
          <w:tcPr>
            <w:tcW w:w="3350" w:type="dxa"/>
            <w:tcBorders>
              <w:left w:val="single" w:sz="8" w:space="0" w:color="auto"/>
              <w:bottom w:val="single" w:sz="4" w:space="0" w:color="auto"/>
              <w:right w:val="single" w:sz="8" w:space="0" w:color="auto"/>
            </w:tcBorders>
          </w:tcPr>
          <w:p w:rsidR="006D09CF" w:rsidRPr="008F4FF8" w:rsidRDefault="006D09CF" w:rsidP="008F4FF8">
            <w:pPr>
              <w:pStyle w:val="HdFig1"/>
              <w:spacing w:before="0" w:after="0" w:line="240" w:lineRule="auto"/>
              <w:ind w:left="360" w:firstLine="14"/>
              <w:rPr>
                <w:rFonts w:ascii="Times New Roman" w:hAnsi="Times New Roman"/>
                <w:b w:val="0"/>
                <w:sz w:val="20"/>
              </w:rPr>
            </w:pPr>
            <w:r w:rsidRPr="008F4FF8">
              <w:rPr>
                <w:rFonts w:ascii="Times New Roman" w:hAnsi="Times New Roman"/>
                <w:b w:val="0"/>
                <w:sz w:val="20"/>
              </w:rPr>
              <w:t>Hazard ratio [95% CI]</w:t>
            </w:r>
          </w:p>
        </w:tc>
        <w:tc>
          <w:tcPr>
            <w:tcW w:w="3682" w:type="dxa"/>
            <w:gridSpan w:val="2"/>
            <w:tcBorders>
              <w:left w:val="single" w:sz="8" w:space="0" w:color="auto"/>
              <w:bottom w:val="single" w:sz="4" w:space="0" w:color="auto"/>
              <w:right w:val="single" w:sz="8" w:space="0" w:color="auto"/>
            </w:tcBorders>
          </w:tcPr>
          <w:p w:rsidR="006D09CF" w:rsidRPr="008F4FF8" w:rsidRDefault="006D09CF" w:rsidP="008F4FF8">
            <w:pPr>
              <w:pStyle w:val="TableCellCenter"/>
              <w:spacing w:before="0" w:after="0" w:line="240" w:lineRule="auto"/>
            </w:pPr>
            <w:r w:rsidRPr="008F4FF8">
              <w:t>0.91 [0.76; 1.10]</w:t>
            </w:r>
          </w:p>
          <w:p w:rsidR="006D09CF" w:rsidRPr="008F4FF8" w:rsidRDefault="006D09CF" w:rsidP="008F4FF8">
            <w:pPr>
              <w:pStyle w:val="HdCont"/>
              <w:spacing w:after="0" w:line="240" w:lineRule="auto"/>
              <w:jc w:val="center"/>
              <w:rPr>
                <w:rFonts w:ascii="Times New Roman" w:hAnsi="Times New Roman"/>
                <w:sz w:val="20"/>
              </w:rPr>
            </w:pPr>
            <w:r w:rsidRPr="008F4FF8">
              <w:rPr>
                <w:rFonts w:ascii="Times New Roman" w:hAnsi="Times New Roman"/>
                <w:b w:val="0"/>
                <w:sz w:val="20"/>
              </w:rPr>
              <w:t>(</w:t>
            </w:r>
            <w:r w:rsidR="00402F1B" w:rsidRPr="008F4FF8">
              <w:rPr>
                <w:rFonts w:ascii="Times New Roman" w:hAnsi="Times New Roman"/>
                <w:b w:val="0"/>
                <w:i/>
                <w:sz w:val="20"/>
              </w:rPr>
              <w:t>p</w:t>
            </w:r>
            <w:r w:rsidRPr="008F4FF8">
              <w:rPr>
                <w:rFonts w:ascii="Times New Roman" w:hAnsi="Times New Roman"/>
                <w:b w:val="0"/>
                <w:sz w:val="20"/>
              </w:rPr>
              <w:t xml:space="preserve">-value </w:t>
            </w:r>
            <w:r w:rsidR="00002205" w:rsidRPr="008F4FF8">
              <w:rPr>
                <w:rFonts w:ascii="Times New Roman" w:hAnsi="Times New Roman"/>
                <w:b w:val="0"/>
                <w:sz w:val="20"/>
              </w:rPr>
              <w:t>=</w:t>
            </w:r>
            <w:r w:rsidRPr="008F4FF8">
              <w:rPr>
                <w:rFonts w:ascii="Times New Roman" w:hAnsi="Times New Roman"/>
                <w:b w:val="0"/>
                <w:sz w:val="20"/>
              </w:rPr>
              <w:t xml:space="preserve"> 0.3360)</w:t>
            </w:r>
          </w:p>
        </w:tc>
      </w:tr>
    </w:tbl>
    <w:p w:rsidR="00FC4871" w:rsidRDefault="00FC4871" w:rsidP="00B764C7">
      <w:pPr>
        <w:pStyle w:val="TextTi12"/>
        <w:spacing w:after="0"/>
      </w:pPr>
    </w:p>
    <w:p w:rsidR="00FC4871" w:rsidRDefault="00FC4871" w:rsidP="00B764C7">
      <w:pPr>
        <w:pStyle w:val="TextTi12"/>
        <w:spacing w:after="0"/>
        <w:rPr>
          <w:rStyle w:val="Heading2Char"/>
          <w:lang w:val="en-US"/>
        </w:rPr>
      </w:pPr>
      <w:r w:rsidRPr="00827491">
        <w:rPr>
          <w:color w:val="000000"/>
        </w:rPr>
        <w:t xml:space="preserve">Ninety seven patients in the IFN arm and 131 patients in the </w:t>
      </w:r>
      <w:r>
        <w:rPr>
          <w:color w:val="000000"/>
        </w:rPr>
        <w:t>AVASTIN</w:t>
      </w:r>
      <w:r w:rsidR="0066206A">
        <w:rPr>
          <w:color w:val="000000"/>
        </w:rPr>
        <w:t>/IFN</w:t>
      </w:r>
      <w:r w:rsidRPr="00827491">
        <w:rPr>
          <w:color w:val="000000"/>
        </w:rPr>
        <w:t xml:space="preserve"> arm reduced the dose of IFN alfa-2a from 9 MIU to either 6 or 3 MIU, three times a week as pre-specified in the protocol. </w:t>
      </w:r>
    </w:p>
    <w:p w:rsidR="00B47D48" w:rsidRDefault="00B47D48" w:rsidP="00C84A45">
      <w:pPr>
        <w:pStyle w:val="Heading4"/>
        <w:spacing w:before="0" w:after="170" w:line="280" w:lineRule="atLeast"/>
        <w:ind w:left="0"/>
      </w:pPr>
    </w:p>
    <w:p w:rsidR="008755C9" w:rsidRPr="005345F3" w:rsidRDefault="008755C9" w:rsidP="00C84A45">
      <w:pPr>
        <w:pStyle w:val="Heading4"/>
        <w:spacing w:before="0" w:after="170" w:line="280" w:lineRule="atLeast"/>
        <w:ind w:left="0"/>
      </w:pPr>
      <w:r w:rsidRPr="00376125">
        <w:t xml:space="preserve">Grade IV </w:t>
      </w:r>
      <w:proofErr w:type="spellStart"/>
      <w:r w:rsidRPr="00376125">
        <w:t>Gliom</w:t>
      </w:r>
      <w:r w:rsidRPr="00EF1E7B">
        <w:t>a</w:t>
      </w:r>
      <w:proofErr w:type="spellEnd"/>
    </w:p>
    <w:p w:rsidR="008755C9" w:rsidRPr="00C84A45" w:rsidRDefault="008755C9" w:rsidP="00C84A45">
      <w:pPr>
        <w:pStyle w:val="Heading5"/>
        <w:spacing w:before="0" w:after="170" w:line="280" w:lineRule="atLeast"/>
        <w:ind w:left="0"/>
        <w:rPr>
          <w:b/>
          <w:i w:val="0"/>
          <w:shd w:val="clear" w:color="auto" w:fill="E6E6E6"/>
        </w:rPr>
      </w:pPr>
      <w:r w:rsidRPr="00C84A45">
        <w:rPr>
          <w:b/>
          <w:i w:val="0"/>
        </w:rPr>
        <w:t>Study AVF3708g</w:t>
      </w:r>
    </w:p>
    <w:p w:rsidR="008755C9" w:rsidRPr="00C84A45" w:rsidRDefault="008755C9" w:rsidP="00BD3577">
      <w:pPr>
        <w:spacing w:after="170" w:line="280" w:lineRule="atLeast"/>
        <w:jc w:val="both"/>
        <w:rPr>
          <w:color w:val="000000"/>
          <w:sz w:val="24"/>
          <w:lang w:val="en-US"/>
        </w:rPr>
      </w:pPr>
      <w:r w:rsidRPr="00C84A45">
        <w:rPr>
          <w:color w:val="000000"/>
          <w:sz w:val="24"/>
          <w:lang w:val="en-US"/>
        </w:rPr>
        <w:t xml:space="preserve">The efficacy and safety of AVASTIN as treatment for patients with </w:t>
      </w:r>
      <w:proofErr w:type="spellStart"/>
      <w:r w:rsidR="003A3108">
        <w:rPr>
          <w:color w:val="000000"/>
          <w:sz w:val="24"/>
          <w:lang w:val="en-US"/>
        </w:rPr>
        <w:t>glioblastoma</w:t>
      </w:r>
      <w:proofErr w:type="spellEnd"/>
      <w:r w:rsidR="003A3108">
        <w:rPr>
          <w:color w:val="000000"/>
          <w:sz w:val="24"/>
          <w:lang w:val="en-US"/>
        </w:rPr>
        <w:t xml:space="preserve"> (</w:t>
      </w:r>
      <w:r w:rsidRPr="00C84A45">
        <w:rPr>
          <w:color w:val="000000"/>
          <w:sz w:val="24"/>
          <w:lang w:val="en-US"/>
        </w:rPr>
        <w:t>GBM</w:t>
      </w:r>
      <w:r w:rsidR="003A3108">
        <w:rPr>
          <w:color w:val="000000"/>
          <w:sz w:val="24"/>
          <w:lang w:val="en-US"/>
        </w:rPr>
        <w:t>)</w:t>
      </w:r>
      <w:r w:rsidRPr="00C84A45">
        <w:rPr>
          <w:color w:val="000000"/>
          <w:sz w:val="24"/>
          <w:lang w:val="en-US"/>
        </w:rPr>
        <w:t xml:space="preserve"> was studied in an open-label, </w:t>
      </w:r>
      <w:proofErr w:type="spellStart"/>
      <w:r w:rsidRPr="00C84A45">
        <w:rPr>
          <w:color w:val="000000"/>
          <w:sz w:val="24"/>
          <w:lang w:val="en-US"/>
        </w:rPr>
        <w:t>multicentre</w:t>
      </w:r>
      <w:proofErr w:type="spellEnd"/>
      <w:r w:rsidRPr="00C84A45">
        <w:rPr>
          <w:color w:val="000000"/>
          <w:sz w:val="24"/>
          <w:lang w:val="en-US"/>
        </w:rPr>
        <w:t xml:space="preserve">, </w:t>
      </w:r>
      <w:proofErr w:type="spellStart"/>
      <w:r w:rsidRPr="00C84A45">
        <w:rPr>
          <w:color w:val="000000"/>
          <w:sz w:val="24"/>
          <w:lang w:val="en-US"/>
        </w:rPr>
        <w:t>randomised</w:t>
      </w:r>
      <w:proofErr w:type="spellEnd"/>
      <w:r w:rsidRPr="00C84A45">
        <w:rPr>
          <w:color w:val="000000"/>
          <w:sz w:val="24"/>
          <w:lang w:val="en-US"/>
        </w:rPr>
        <w:t>, non-comparative study (AVF3708g).</w:t>
      </w:r>
    </w:p>
    <w:p w:rsidR="008755C9" w:rsidRPr="00C84A45" w:rsidRDefault="008755C9" w:rsidP="00BD3577">
      <w:pPr>
        <w:spacing w:after="80" w:line="280" w:lineRule="atLeast"/>
        <w:jc w:val="both"/>
        <w:rPr>
          <w:color w:val="000000"/>
          <w:sz w:val="24"/>
          <w:lang w:val="en-US"/>
        </w:rPr>
      </w:pPr>
      <w:r w:rsidRPr="00C84A45">
        <w:rPr>
          <w:color w:val="000000"/>
          <w:sz w:val="24"/>
          <w:lang w:val="en-US"/>
        </w:rPr>
        <w:t xml:space="preserve">Patients in first or second relapse after prior radiotherapy (completed at least 8 weeks prior to receiving AVASTIN) and </w:t>
      </w:r>
      <w:proofErr w:type="spellStart"/>
      <w:r w:rsidRPr="00C84A45">
        <w:rPr>
          <w:color w:val="000000"/>
          <w:sz w:val="24"/>
          <w:lang w:val="en-US"/>
        </w:rPr>
        <w:t>temozolomide</w:t>
      </w:r>
      <w:proofErr w:type="spellEnd"/>
      <w:r w:rsidRPr="00C84A45">
        <w:rPr>
          <w:color w:val="000000"/>
          <w:sz w:val="24"/>
          <w:lang w:val="en-US"/>
        </w:rPr>
        <w:t xml:space="preserve">, were </w:t>
      </w:r>
      <w:proofErr w:type="spellStart"/>
      <w:r w:rsidRPr="00C84A45">
        <w:rPr>
          <w:color w:val="000000"/>
          <w:sz w:val="24"/>
          <w:lang w:val="en-US"/>
        </w:rPr>
        <w:t>randomised</w:t>
      </w:r>
      <w:proofErr w:type="spellEnd"/>
      <w:r w:rsidRPr="00C84A45">
        <w:rPr>
          <w:color w:val="000000"/>
          <w:sz w:val="24"/>
          <w:lang w:val="en-US"/>
        </w:rPr>
        <w:t xml:space="preserve"> (1:1) to receive AVASTIN (10mg/kg IV infusion every 2 weeks) or AVASTIN plus </w:t>
      </w:r>
      <w:proofErr w:type="spellStart"/>
      <w:r w:rsidRPr="00C84A45">
        <w:rPr>
          <w:color w:val="000000"/>
          <w:sz w:val="24"/>
          <w:lang w:val="en-US"/>
        </w:rPr>
        <w:t>irinotecan</w:t>
      </w:r>
      <w:proofErr w:type="spellEnd"/>
      <w:r w:rsidRPr="00C84A45">
        <w:rPr>
          <w:color w:val="000000"/>
          <w:sz w:val="24"/>
          <w:lang w:val="en-US"/>
        </w:rPr>
        <w:t xml:space="preserve"> (125 mg/m2 IV or 340 mg/m2 IV for patients on enzyme-inducing anti-epileptic drugs every 2 weeks) until disease progression or until unacceptable toxicity. The primary endpoints of the study were 6-month progression-free survival (PFS) and objective response rate (ORR) as assessed by an independent review facility. Other outcome measures were duration of PFS, duration of response and overall survival. Results are </w:t>
      </w:r>
      <w:proofErr w:type="spellStart"/>
      <w:r w:rsidRPr="00C84A45">
        <w:rPr>
          <w:color w:val="000000"/>
          <w:sz w:val="24"/>
          <w:lang w:val="en-US"/>
        </w:rPr>
        <w:t>summarised</w:t>
      </w:r>
      <w:proofErr w:type="spellEnd"/>
      <w:r w:rsidRPr="00C84A45">
        <w:rPr>
          <w:color w:val="000000"/>
          <w:sz w:val="24"/>
          <w:lang w:val="en-US"/>
        </w:rPr>
        <w:t xml:space="preserve"> </w:t>
      </w:r>
      <w:r w:rsidR="003F032C" w:rsidRPr="00C84A45">
        <w:rPr>
          <w:color w:val="000000"/>
          <w:sz w:val="24"/>
          <w:lang w:val="en-US"/>
        </w:rPr>
        <w:t>in Table 10.</w:t>
      </w:r>
    </w:p>
    <w:p w:rsidR="008755C9" w:rsidRPr="00BD5A64" w:rsidRDefault="00B3779D" w:rsidP="008755C9">
      <w:pPr>
        <w:pStyle w:val="Caption"/>
        <w:rPr>
          <w:i/>
          <w:sz w:val="24"/>
          <w:szCs w:val="24"/>
        </w:rPr>
      </w:pPr>
      <w:r>
        <w:rPr>
          <w:sz w:val="24"/>
          <w:szCs w:val="24"/>
        </w:rPr>
        <w:tab/>
      </w:r>
      <w:bookmarkStart w:id="11" w:name="_Ref216518199"/>
      <w:r w:rsidR="008755C9" w:rsidRPr="00BD5A64">
        <w:rPr>
          <w:sz w:val="24"/>
          <w:szCs w:val="24"/>
        </w:rPr>
        <w:t>Table</w:t>
      </w:r>
      <w:bookmarkEnd w:id="11"/>
      <w:r w:rsidR="003F032C">
        <w:rPr>
          <w:sz w:val="24"/>
          <w:szCs w:val="24"/>
        </w:rPr>
        <w:t xml:space="preserve"> 10</w:t>
      </w:r>
      <w:r w:rsidR="008755C9" w:rsidRPr="00BD5A64">
        <w:rPr>
          <w:sz w:val="24"/>
          <w:szCs w:val="24"/>
        </w:rPr>
        <w:t xml:space="preserve">: </w:t>
      </w:r>
      <w:r w:rsidR="008755C9" w:rsidRPr="00AA75BB">
        <w:rPr>
          <w:sz w:val="24"/>
          <w:szCs w:val="24"/>
        </w:rPr>
        <w:t>Efficacy Results from Study AVF3708g</w:t>
      </w:r>
    </w:p>
    <w:tbl>
      <w:tblPr>
        <w:tblW w:w="0" w:type="auto"/>
        <w:jc w:val="center"/>
        <w:tblInd w:w="-2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87"/>
        <w:gridCol w:w="1594"/>
        <w:gridCol w:w="1406"/>
        <w:gridCol w:w="1920"/>
        <w:gridCol w:w="3180"/>
      </w:tblGrid>
      <w:tr w:rsidR="008755C9" w:rsidRPr="00EF0B36" w:rsidTr="00EF0B36">
        <w:trPr>
          <w:gridAfter w:val="1"/>
          <w:wAfter w:w="3180" w:type="dxa"/>
          <w:trHeight w:val="208"/>
          <w:jc w:val="center"/>
        </w:trPr>
        <w:tc>
          <w:tcPr>
            <w:tcW w:w="3511" w:type="dxa"/>
            <w:gridSpan w:val="2"/>
            <w:shd w:val="clear" w:color="auto" w:fill="auto"/>
          </w:tcPr>
          <w:p w:rsidR="008755C9" w:rsidRPr="00EF0B36" w:rsidRDefault="008755C9" w:rsidP="00EF0B36">
            <w:pPr>
              <w:spacing w:after="0"/>
              <w:rPr>
                <w:sz w:val="20"/>
              </w:rPr>
            </w:pPr>
          </w:p>
        </w:tc>
        <w:tc>
          <w:tcPr>
            <w:tcW w:w="3000" w:type="dxa"/>
            <w:gridSpan w:val="2"/>
            <w:shd w:val="clear" w:color="auto" w:fill="auto"/>
          </w:tcPr>
          <w:p w:rsidR="008755C9" w:rsidRPr="00EF0B36" w:rsidRDefault="008755C9" w:rsidP="00EF0B36">
            <w:pPr>
              <w:spacing w:after="0"/>
              <w:jc w:val="center"/>
              <w:rPr>
                <w:b/>
                <w:sz w:val="20"/>
              </w:rPr>
            </w:pPr>
            <w:r w:rsidRPr="00EF0B36">
              <w:rPr>
                <w:b/>
                <w:sz w:val="20"/>
              </w:rPr>
              <w:t>AVASTIN</w:t>
            </w:r>
          </w:p>
        </w:tc>
        <w:tc>
          <w:tcPr>
            <w:tcW w:w="1920" w:type="dxa"/>
            <w:tcBorders>
              <w:top w:val="single" w:sz="4" w:space="0" w:color="auto"/>
              <w:bottom w:val="single" w:sz="4" w:space="0" w:color="auto"/>
              <w:right w:val="single" w:sz="4" w:space="0" w:color="auto"/>
            </w:tcBorders>
            <w:shd w:val="clear" w:color="auto" w:fill="auto"/>
          </w:tcPr>
          <w:p w:rsidR="008755C9" w:rsidRPr="00EF0B36" w:rsidRDefault="008755C9" w:rsidP="00EF0B36">
            <w:pPr>
              <w:spacing w:after="0"/>
              <w:jc w:val="center"/>
              <w:rPr>
                <w:b/>
                <w:sz w:val="20"/>
              </w:rPr>
            </w:pPr>
            <w:r w:rsidRPr="00EF0B36">
              <w:rPr>
                <w:b/>
                <w:sz w:val="20"/>
              </w:rPr>
              <w:t>Historical controls</w:t>
            </w:r>
            <w:r w:rsidRPr="00EF0B36">
              <w:rPr>
                <w:rFonts w:ascii="Times New Roman Bold" w:hAnsi="Times New Roman Bold"/>
                <w:b/>
                <w:sz w:val="20"/>
                <w:vertAlign w:val="superscript"/>
              </w:rPr>
              <w:t>#</w:t>
            </w:r>
          </w:p>
        </w:tc>
      </w:tr>
      <w:tr w:rsidR="008755C9" w:rsidRPr="00EF0B36" w:rsidTr="00EF0B36">
        <w:trPr>
          <w:gridAfter w:val="1"/>
          <w:wAfter w:w="3180" w:type="dxa"/>
          <w:jc w:val="center"/>
        </w:trPr>
        <w:tc>
          <w:tcPr>
            <w:tcW w:w="3511" w:type="dxa"/>
            <w:gridSpan w:val="2"/>
            <w:shd w:val="clear" w:color="auto" w:fill="auto"/>
          </w:tcPr>
          <w:p w:rsidR="008755C9" w:rsidRPr="00EF0B36" w:rsidRDefault="008755C9" w:rsidP="00EF0B36">
            <w:pPr>
              <w:spacing w:after="0"/>
              <w:rPr>
                <w:b/>
                <w:sz w:val="20"/>
              </w:rPr>
            </w:pPr>
            <w:r w:rsidRPr="00EF0B36">
              <w:rPr>
                <w:b/>
                <w:sz w:val="20"/>
              </w:rPr>
              <w:t>Number of patients</w:t>
            </w:r>
          </w:p>
        </w:tc>
        <w:tc>
          <w:tcPr>
            <w:tcW w:w="3000" w:type="dxa"/>
            <w:gridSpan w:val="2"/>
            <w:shd w:val="clear" w:color="auto" w:fill="auto"/>
          </w:tcPr>
          <w:p w:rsidR="008755C9" w:rsidRPr="00EF0B36" w:rsidRDefault="008755C9" w:rsidP="00EF0B36">
            <w:pPr>
              <w:spacing w:after="0"/>
              <w:jc w:val="center"/>
              <w:rPr>
                <w:sz w:val="20"/>
              </w:rPr>
            </w:pPr>
            <w:r w:rsidRPr="00EF0B36">
              <w:rPr>
                <w:sz w:val="20"/>
              </w:rPr>
              <w:t>85</w:t>
            </w:r>
          </w:p>
        </w:tc>
        <w:tc>
          <w:tcPr>
            <w:tcW w:w="1920" w:type="dxa"/>
            <w:tcBorders>
              <w:top w:val="single" w:sz="4" w:space="0" w:color="auto"/>
              <w:right w:val="single" w:sz="4" w:space="0" w:color="auto"/>
            </w:tcBorders>
            <w:shd w:val="clear" w:color="auto" w:fill="auto"/>
          </w:tcPr>
          <w:p w:rsidR="008755C9" w:rsidRPr="00EF0B36" w:rsidRDefault="008755C9" w:rsidP="00EF0B36">
            <w:pPr>
              <w:spacing w:after="0"/>
              <w:jc w:val="center"/>
              <w:rPr>
                <w:sz w:val="20"/>
              </w:rPr>
            </w:pPr>
            <w:r w:rsidRPr="00EF0B36">
              <w:rPr>
                <w:sz w:val="20"/>
              </w:rPr>
              <w:t>225</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b/>
                <w:sz w:val="20"/>
              </w:rPr>
            </w:pPr>
          </w:p>
        </w:tc>
        <w:tc>
          <w:tcPr>
            <w:tcW w:w="1594" w:type="dxa"/>
            <w:shd w:val="clear" w:color="auto" w:fill="auto"/>
          </w:tcPr>
          <w:p w:rsidR="008755C9" w:rsidRPr="00EF0B36" w:rsidRDefault="008755C9" w:rsidP="00EF0B36">
            <w:pPr>
              <w:spacing w:after="0"/>
              <w:jc w:val="center"/>
              <w:rPr>
                <w:sz w:val="20"/>
              </w:rPr>
            </w:pPr>
            <w:r w:rsidRPr="00EF0B36">
              <w:rPr>
                <w:sz w:val="20"/>
              </w:rPr>
              <w:t>IRF</w:t>
            </w:r>
          </w:p>
        </w:tc>
        <w:tc>
          <w:tcPr>
            <w:tcW w:w="1406" w:type="dxa"/>
            <w:shd w:val="clear" w:color="auto" w:fill="auto"/>
          </w:tcPr>
          <w:p w:rsidR="008755C9" w:rsidRPr="00EF0B36" w:rsidRDefault="008755C9" w:rsidP="00EF0B36">
            <w:pPr>
              <w:spacing w:after="0"/>
              <w:jc w:val="center"/>
              <w:rPr>
                <w:sz w:val="20"/>
              </w:rPr>
            </w:pPr>
            <w:proofErr w:type="spellStart"/>
            <w:r w:rsidRPr="00EF0B36">
              <w:rPr>
                <w:sz w:val="20"/>
              </w:rPr>
              <w:t>Inv</w:t>
            </w:r>
            <w:proofErr w:type="spellEnd"/>
          </w:p>
        </w:tc>
        <w:tc>
          <w:tcPr>
            <w:tcW w:w="1920" w:type="dxa"/>
            <w:shd w:val="clear" w:color="auto" w:fill="auto"/>
          </w:tcPr>
          <w:p w:rsidR="008755C9" w:rsidRPr="00EF0B36" w:rsidRDefault="008755C9" w:rsidP="00EF0B36">
            <w:pPr>
              <w:spacing w:after="0"/>
              <w:jc w:val="center"/>
              <w:rPr>
                <w:sz w:val="20"/>
              </w:rPr>
            </w:pPr>
            <w:r w:rsidRPr="00EF0B36">
              <w:rPr>
                <w:sz w:val="20"/>
              </w:rPr>
              <w:t>-</w:t>
            </w:r>
          </w:p>
        </w:tc>
      </w:tr>
      <w:tr w:rsidR="008755C9" w:rsidRPr="00EF0B36" w:rsidTr="00AE1243">
        <w:trPr>
          <w:gridBefore w:val="1"/>
          <w:wBefore w:w="3124" w:type="dxa"/>
          <w:jc w:val="center"/>
        </w:trPr>
        <w:tc>
          <w:tcPr>
            <w:tcW w:w="8487" w:type="dxa"/>
            <w:gridSpan w:val="5"/>
            <w:shd w:val="clear" w:color="auto" w:fill="auto"/>
          </w:tcPr>
          <w:p w:rsidR="008755C9" w:rsidRPr="00EF0B36" w:rsidRDefault="008755C9" w:rsidP="00EF0B36">
            <w:pPr>
              <w:spacing w:after="0"/>
              <w:rPr>
                <w:b/>
                <w:sz w:val="20"/>
              </w:rPr>
            </w:pPr>
            <w:r w:rsidRPr="00EF0B36">
              <w:rPr>
                <w:b/>
                <w:sz w:val="20"/>
              </w:rPr>
              <w:t>Primary endpoints</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t>6-month progression-free survival</w:t>
            </w:r>
          </w:p>
          <w:p w:rsidR="008755C9" w:rsidRPr="00EF0B36" w:rsidRDefault="008755C9" w:rsidP="00EF0B36">
            <w:pPr>
              <w:spacing w:after="0"/>
              <w:rPr>
                <w:sz w:val="20"/>
              </w:rPr>
            </w:pPr>
            <w:r w:rsidRPr="00EF0B36">
              <w:rPr>
                <w:sz w:val="20"/>
              </w:rPr>
              <w:t>(97.5% CI)</w:t>
            </w:r>
          </w:p>
        </w:tc>
        <w:tc>
          <w:tcPr>
            <w:tcW w:w="1594" w:type="dxa"/>
            <w:shd w:val="clear" w:color="auto" w:fill="auto"/>
          </w:tcPr>
          <w:p w:rsidR="008755C9" w:rsidRPr="00EF0B36" w:rsidRDefault="008755C9" w:rsidP="00EF0B36">
            <w:pPr>
              <w:spacing w:after="0"/>
              <w:jc w:val="center"/>
              <w:rPr>
                <w:sz w:val="20"/>
              </w:rPr>
            </w:pPr>
            <w:r w:rsidRPr="00EF0B36">
              <w:rPr>
                <w:sz w:val="20"/>
              </w:rPr>
              <w:t>42.6%</w:t>
            </w:r>
          </w:p>
          <w:p w:rsidR="008755C9" w:rsidRPr="00EF0B36" w:rsidRDefault="008755C9" w:rsidP="00AB3801">
            <w:pPr>
              <w:spacing w:after="0"/>
              <w:jc w:val="center"/>
              <w:rPr>
                <w:sz w:val="20"/>
              </w:rPr>
            </w:pPr>
            <w:r w:rsidRPr="00EF0B36">
              <w:rPr>
                <w:sz w:val="20"/>
              </w:rPr>
              <w:t>(29.6, 55.5)</w:t>
            </w:r>
          </w:p>
        </w:tc>
        <w:tc>
          <w:tcPr>
            <w:tcW w:w="1406" w:type="dxa"/>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43.6%</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(33.0, 54.3)</w:t>
            </w:r>
          </w:p>
        </w:tc>
        <w:tc>
          <w:tcPr>
            <w:tcW w:w="1920" w:type="dxa"/>
            <w:shd w:val="clear" w:color="auto" w:fill="auto"/>
          </w:tcPr>
          <w:p w:rsidR="008755C9" w:rsidRPr="00EF0B36" w:rsidRDefault="008755C9" w:rsidP="00EF0B36">
            <w:pPr>
              <w:spacing w:after="0"/>
              <w:jc w:val="center"/>
              <w:rPr>
                <w:sz w:val="20"/>
              </w:rPr>
            </w:pPr>
            <w:r w:rsidRPr="00EF0B36">
              <w:rPr>
                <w:sz w:val="20"/>
              </w:rPr>
              <w:t>15%</w:t>
            </w:r>
          </w:p>
          <w:p w:rsidR="008755C9" w:rsidRPr="00EF0B36" w:rsidRDefault="008755C9" w:rsidP="00EF0B36">
            <w:pPr>
              <w:spacing w:after="0"/>
              <w:jc w:val="center"/>
              <w:rPr>
                <w:sz w:val="20"/>
              </w:rPr>
            </w:pPr>
            <w:r w:rsidRPr="00EF0B36">
              <w:rPr>
                <w:rFonts w:ascii="TimesNewRomanPSMT" w:eastAsia="SimSun" w:hAnsi="TimesNewRomanPSMT" w:cs="TimesNewRomanPSMT"/>
                <w:sz w:val="20"/>
                <w:lang w:val="en-US" w:eastAsia="zh-CN"/>
              </w:rPr>
              <w:t>(p &lt; 0.0001)</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t>Objective Response Rate (ORR)</w:t>
            </w:r>
          </w:p>
          <w:p w:rsidR="008755C9" w:rsidRPr="00EF0B36" w:rsidRDefault="008755C9" w:rsidP="00EF0B36">
            <w:pPr>
              <w:spacing w:after="0"/>
              <w:rPr>
                <w:sz w:val="20"/>
              </w:rPr>
            </w:pPr>
            <w:r w:rsidRPr="00EF0B36">
              <w:rPr>
                <w:sz w:val="20"/>
              </w:rPr>
              <w:t>(97.5% CI)</w:t>
            </w:r>
          </w:p>
        </w:tc>
        <w:tc>
          <w:tcPr>
            <w:tcW w:w="1594" w:type="dxa"/>
            <w:shd w:val="clear" w:color="auto" w:fill="auto"/>
          </w:tcPr>
          <w:p w:rsidR="008755C9" w:rsidRPr="00EF0B36" w:rsidRDefault="008755C9" w:rsidP="00EF0B36">
            <w:pPr>
              <w:spacing w:after="0"/>
              <w:jc w:val="center"/>
              <w:rPr>
                <w:sz w:val="20"/>
              </w:rPr>
            </w:pPr>
            <w:r w:rsidRPr="00EF0B36">
              <w:rPr>
                <w:sz w:val="20"/>
              </w:rPr>
              <w:t>28.2%</w:t>
            </w:r>
          </w:p>
          <w:p w:rsidR="008755C9" w:rsidRPr="00EF0B36" w:rsidRDefault="008755C9" w:rsidP="00AB3801">
            <w:pPr>
              <w:spacing w:after="0"/>
              <w:jc w:val="center"/>
              <w:rPr>
                <w:sz w:val="20"/>
              </w:rPr>
            </w:pPr>
            <w:r w:rsidRPr="00EF0B36">
              <w:rPr>
                <w:sz w:val="20"/>
              </w:rPr>
              <w:t>(18.5, 40.3)</w:t>
            </w:r>
          </w:p>
        </w:tc>
        <w:tc>
          <w:tcPr>
            <w:tcW w:w="1406" w:type="dxa"/>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41.2%</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(30.6, 52.3)</w:t>
            </w:r>
          </w:p>
        </w:tc>
        <w:tc>
          <w:tcPr>
            <w:tcW w:w="1920" w:type="dxa"/>
            <w:shd w:val="clear" w:color="auto" w:fill="auto"/>
          </w:tcPr>
          <w:p w:rsidR="008755C9" w:rsidRPr="00EF0B36" w:rsidRDefault="008755C9" w:rsidP="00EF0B36">
            <w:pPr>
              <w:spacing w:after="0"/>
              <w:jc w:val="center"/>
              <w:rPr>
                <w:sz w:val="20"/>
              </w:rPr>
            </w:pPr>
            <w:r w:rsidRPr="00EF0B36">
              <w:rPr>
                <w:sz w:val="20"/>
              </w:rPr>
              <w:t>5%</w:t>
            </w:r>
          </w:p>
          <w:p w:rsidR="008755C9" w:rsidRPr="00EF0B36" w:rsidRDefault="008755C9" w:rsidP="00EF0B36">
            <w:pPr>
              <w:spacing w:after="0"/>
              <w:jc w:val="center"/>
              <w:rPr>
                <w:sz w:val="20"/>
              </w:rPr>
            </w:pPr>
            <w:r w:rsidRPr="00EF0B36">
              <w:rPr>
                <w:rFonts w:ascii="TimesNewRomanPSMT" w:eastAsia="SimSun" w:hAnsi="TimesNewRomanPSMT" w:cs="TimesNewRomanPSMT"/>
                <w:sz w:val="20"/>
                <w:lang w:val="en-US" w:eastAsia="zh-CN"/>
              </w:rPr>
              <w:t>(p &lt; 0.0001)</w:t>
            </w:r>
          </w:p>
        </w:tc>
      </w:tr>
      <w:tr w:rsidR="008755C9" w:rsidRPr="00EF0B36" w:rsidTr="00AE1243">
        <w:trPr>
          <w:gridBefore w:val="1"/>
          <w:wBefore w:w="3124" w:type="dxa"/>
          <w:jc w:val="center"/>
        </w:trPr>
        <w:tc>
          <w:tcPr>
            <w:tcW w:w="8487" w:type="dxa"/>
            <w:gridSpan w:val="5"/>
            <w:tcBorders>
              <w:right w:val="single" w:sz="4" w:space="0" w:color="auto"/>
            </w:tcBorders>
            <w:shd w:val="clear" w:color="auto" w:fill="auto"/>
          </w:tcPr>
          <w:p w:rsidR="008755C9" w:rsidRPr="00EF0B36" w:rsidRDefault="008755C9" w:rsidP="00EF0B36">
            <w:pPr>
              <w:spacing w:after="0"/>
              <w:rPr>
                <w:b/>
                <w:sz w:val="20"/>
              </w:rPr>
            </w:pPr>
            <w:r w:rsidRPr="00EF0B36">
              <w:rPr>
                <w:b/>
                <w:sz w:val="20"/>
              </w:rPr>
              <w:t>Secondary endpoints</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t>Progression-free survival (months)</w:t>
            </w:r>
          </w:p>
          <w:p w:rsidR="008755C9" w:rsidRPr="00EF0B36" w:rsidRDefault="008755C9" w:rsidP="00EF0B36">
            <w:pPr>
              <w:spacing w:after="0"/>
              <w:ind w:firstLine="120"/>
              <w:rPr>
                <w:sz w:val="20"/>
              </w:rPr>
            </w:pPr>
            <w:r w:rsidRPr="00EF0B36">
              <w:rPr>
                <w:sz w:val="20"/>
              </w:rPr>
              <w:t xml:space="preserve">Median </w:t>
            </w:r>
          </w:p>
          <w:p w:rsidR="008755C9" w:rsidRPr="00EF0B36" w:rsidRDefault="008755C9" w:rsidP="00EF0B36">
            <w:pPr>
              <w:spacing w:after="0"/>
              <w:ind w:firstLine="120"/>
              <w:rPr>
                <w:sz w:val="20"/>
              </w:rPr>
            </w:pPr>
            <w:r w:rsidRPr="00EF0B36">
              <w:rPr>
                <w:sz w:val="20"/>
              </w:rPr>
              <w:t>(95% CI)</w:t>
            </w:r>
          </w:p>
        </w:tc>
        <w:tc>
          <w:tcPr>
            <w:tcW w:w="1594" w:type="dxa"/>
            <w:shd w:val="clear" w:color="auto" w:fill="auto"/>
          </w:tcPr>
          <w:p w:rsidR="008755C9" w:rsidRPr="00EF0B36" w:rsidRDefault="008755C9" w:rsidP="00EF0B36">
            <w:pPr>
              <w:spacing w:after="0"/>
              <w:jc w:val="center"/>
              <w:rPr>
                <w:sz w:val="20"/>
              </w:rPr>
            </w:pPr>
          </w:p>
          <w:p w:rsidR="008755C9" w:rsidRPr="00EF0B36" w:rsidRDefault="008755C9" w:rsidP="00EF0B36">
            <w:pPr>
              <w:spacing w:after="0"/>
              <w:jc w:val="center"/>
              <w:rPr>
                <w:sz w:val="20"/>
              </w:rPr>
            </w:pPr>
            <w:r w:rsidRPr="00EF0B36">
              <w:rPr>
                <w:sz w:val="20"/>
              </w:rPr>
              <w:t>4.2</w:t>
            </w:r>
          </w:p>
          <w:p w:rsidR="008755C9" w:rsidRPr="00EF0B36" w:rsidRDefault="008755C9" w:rsidP="00EF0B36">
            <w:pPr>
              <w:spacing w:after="0"/>
              <w:jc w:val="center"/>
              <w:rPr>
                <w:sz w:val="20"/>
              </w:rPr>
            </w:pPr>
            <w:r w:rsidRPr="00EF0B36">
              <w:rPr>
                <w:sz w:val="20"/>
              </w:rPr>
              <w:t>(2.9, 5.8)</w:t>
            </w:r>
          </w:p>
        </w:tc>
        <w:tc>
          <w:tcPr>
            <w:tcW w:w="1406" w:type="dxa"/>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4.2</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(3.0, 6.9)</w:t>
            </w:r>
          </w:p>
        </w:tc>
        <w:tc>
          <w:tcPr>
            <w:tcW w:w="1920" w:type="dxa"/>
            <w:tcBorders>
              <w:top w:val="single" w:sz="4" w:space="0" w:color="auto"/>
              <w:bottom w:val="single" w:sz="4" w:space="0" w:color="auto"/>
              <w:right w:val="single" w:sz="4" w:space="0" w:color="auto"/>
            </w:tcBorders>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2.1</w:t>
            </w:r>
          </w:p>
          <w:p w:rsidR="008755C9" w:rsidRPr="00EF0B36" w:rsidRDefault="008755C9" w:rsidP="00EF0B36">
            <w:pPr>
              <w:spacing w:after="0"/>
              <w:jc w:val="center"/>
              <w:rPr>
                <w:sz w:val="20"/>
              </w:rPr>
            </w:pP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t>Duration of objective response (months)</w:t>
            </w:r>
          </w:p>
          <w:p w:rsidR="008755C9" w:rsidRPr="00EF0B36" w:rsidRDefault="008755C9" w:rsidP="00EF0B36">
            <w:pPr>
              <w:spacing w:after="0"/>
              <w:ind w:firstLine="120"/>
              <w:rPr>
                <w:sz w:val="20"/>
              </w:rPr>
            </w:pPr>
            <w:r w:rsidRPr="00EF0B36">
              <w:rPr>
                <w:sz w:val="20"/>
              </w:rPr>
              <w:t>Median</w:t>
            </w:r>
          </w:p>
          <w:p w:rsidR="008755C9" w:rsidRPr="00EF0B36" w:rsidRDefault="008755C9" w:rsidP="00EF0B36">
            <w:pPr>
              <w:spacing w:after="0"/>
              <w:ind w:firstLine="120"/>
              <w:rPr>
                <w:sz w:val="20"/>
              </w:rPr>
            </w:pPr>
            <w:r w:rsidRPr="00EF0B36">
              <w:rPr>
                <w:sz w:val="20"/>
              </w:rPr>
              <w:lastRenderedPageBreak/>
              <w:t>(95% CI)</w:t>
            </w:r>
          </w:p>
        </w:tc>
        <w:tc>
          <w:tcPr>
            <w:tcW w:w="1594" w:type="dxa"/>
            <w:shd w:val="clear" w:color="auto" w:fill="auto"/>
          </w:tcPr>
          <w:p w:rsidR="008755C9" w:rsidRPr="00EF0B36" w:rsidRDefault="008755C9" w:rsidP="00EF0B36">
            <w:pPr>
              <w:spacing w:after="0"/>
              <w:jc w:val="center"/>
              <w:rPr>
                <w:sz w:val="20"/>
              </w:rPr>
            </w:pPr>
          </w:p>
          <w:p w:rsidR="008755C9" w:rsidRPr="00EF0B36" w:rsidRDefault="008755C9" w:rsidP="00EF0B36">
            <w:pPr>
              <w:spacing w:after="0"/>
              <w:jc w:val="center"/>
              <w:rPr>
                <w:sz w:val="20"/>
              </w:rPr>
            </w:pPr>
            <w:r w:rsidRPr="00EF0B36">
              <w:rPr>
                <w:sz w:val="20"/>
              </w:rPr>
              <w:t>5.6</w:t>
            </w:r>
          </w:p>
          <w:p w:rsidR="008755C9" w:rsidRPr="00EF0B36" w:rsidRDefault="008755C9" w:rsidP="00EF0B36">
            <w:pPr>
              <w:spacing w:after="0"/>
              <w:jc w:val="center"/>
              <w:rPr>
                <w:sz w:val="20"/>
              </w:rPr>
            </w:pPr>
            <w:r w:rsidRPr="00EF0B36">
              <w:rPr>
                <w:sz w:val="20"/>
              </w:rPr>
              <w:lastRenderedPageBreak/>
              <w:t>(3.0, 5.8)</w:t>
            </w:r>
          </w:p>
        </w:tc>
        <w:tc>
          <w:tcPr>
            <w:tcW w:w="1406" w:type="dxa"/>
            <w:tcBorders>
              <w:bottom w:val="single" w:sz="4" w:space="0" w:color="auto"/>
            </w:tcBorders>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8.1</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lastRenderedPageBreak/>
              <w:t xml:space="preserve">(5.5, </w:t>
            </w:r>
            <w:r w:rsidR="00B3779D" w:rsidRPr="00EF0B36">
              <w:rPr>
                <w:rFonts w:ascii="TimesNewRomanPSMT" w:eastAsia="SimSun" w:hAnsi="TimesNewRomanPSMT" w:cs="TimesNewRomanPSMT"/>
                <w:sz w:val="20"/>
                <w:lang w:val="en-US" w:eastAsia="zh-CN"/>
              </w:rPr>
              <w:t>^</w:t>
            </w:r>
            <w:r w:rsidRPr="00EF0B36">
              <w:rPr>
                <w:rFonts w:ascii="TimesNewRomanPSMT" w:eastAsia="SimSun" w:hAnsi="TimesNewRomanPSMT" w:cs="TimesNewRomanPSMT"/>
                <w:sz w:val="20"/>
                <w:lang w:val="en-US" w:eastAsia="zh-CN"/>
              </w:rPr>
              <w:t>)</w:t>
            </w:r>
          </w:p>
        </w:tc>
        <w:tc>
          <w:tcPr>
            <w:tcW w:w="1920" w:type="dxa"/>
            <w:tcBorders>
              <w:top w:val="single" w:sz="4" w:space="0" w:color="auto"/>
              <w:bottom w:val="single" w:sz="4" w:space="0" w:color="auto"/>
              <w:right w:val="single" w:sz="4" w:space="0" w:color="auto"/>
            </w:tcBorders>
            <w:shd w:val="clear" w:color="auto" w:fill="auto"/>
          </w:tcPr>
          <w:p w:rsidR="008755C9" w:rsidRPr="00EF0B36" w:rsidRDefault="008755C9" w:rsidP="00EF0B36">
            <w:pPr>
              <w:spacing w:after="0"/>
              <w:jc w:val="center"/>
              <w:rPr>
                <w:rFonts w:ascii="TimesNewRomanPSMT" w:eastAsia="SimSun" w:hAnsi="TimesNewRomanPSMT" w:cs="TimesNewRomanPSMT"/>
                <w:sz w:val="20"/>
                <w:lang w:val="en-US" w:eastAsia="zh-CN"/>
              </w:rPr>
            </w:pPr>
          </w:p>
          <w:p w:rsidR="008755C9" w:rsidRPr="00EF0B36" w:rsidRDefault="008755C9" w:rsidP="00EF0B36">
            <w:pPr>
              <w:spacing w:after="0"/>
              <w:jc w:val="center"/>
              <w:rPr>
                <w:sz w:val="20"/>
              </w:rPr>
            </w:pPr>
            <w:r w:rsidRPr="00EF0B36">
              <w:rPr>
                <w:rFonts w:ascii="TimesNewRomanPSMT" w:eastAsia="SimSun" w:hAnsi="TimesNewRomanPSMT" w:cs="TimesNewRomanPSMT"/>
                <w:sz w:val="20"/>
                <w:lang w:val="en-US" w:eastAsia="zh-CN"/>
              </w:rPr>
              <w:t>-</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lastRenderedPageBreak/>
              <w:t>Overall survival (months)</w:t>
            </w:r>
          </w:p>
          <w:p w:rsidR="008755C9" w:rsidRPr="00EF0B36" w:rsidRDefault="008755C9" w:rsidP="00EF0B36">
            <w:pPr>
              <w:spacing w:after="0"/>
              <w:ind w:firstLine="120"/>
              <w:rPr>
                <w:sz w:val="20"/>
              </w:rPr>
            </w:pPr>
            <w:r w:rsidRPr="00EF0B36">
              <w:rPr>
                <w:sz w:val="20"/>
              </w:rPr>
              <w:t>Median</w:t>
            </w:r>
          </w:p>
          <w:p w:rsidR="008755C9" w:rsidRPr="00EF0B36" w:rsidRDefault="008755C9" w:rsidP="00EF0B36">
            <w:pPr>
              <w:spacing w:after="0"/>
              <w:ind w:firstLine="120"/>
              <w:rPr>
                <w:sz w:val="20"/>
              </w:rPr>
            </w:pPr>
            <w:r w:rsidRPr="00EF0B36">
              <w:rPr>
                <w:sz w:val="20"/>
              </w:rPr>
              <w:t>(95% CI)</w:t>
            </w:r>
          </w:p>
        </w:tc>
        <w:tc>
          <w:tcPr>
            <w:tcW w:w="1594" w:type="dxa"/>
            <w:shd w:val="clear" w:color="auto" w:fill="auto"/>
          </w:tcPr>
          <w:p w:rsidR="008755C9" w:rsidRPr="00EF0B36" w:rsidRDefault="008755C9" w:rsidP="00EF0B36">
            <w:pPr>
              <w:spacing w:after="0"/>
              <w:jc w:val="center"/>
              <w:rPr>
                <w:sz w:val="20"/>
              </w:rPr>
            </w:pPr>
          </w:p>
          <w:p w:rsidR="008755C9" w:rsidRPr="00EF0B36" w:rsidRDefault="008755C9" w:rsidP="00EF0B36">
            <w:pPr>
              <w:spacing w:after="0"/>
              <w:jc w:val="center"/>
              <w:rPr>
                <w:sz w:val="20"/>
              </w:rPr>
            </w:pPr>
            <w:r w:rsidRPr="00EF0B36">
              <w:rPr>
                <w:sz w:val="20"/>
              </w:rPr>
              <w:t>9.3</w:t>
            </w:r>
          </w:p>
          <w:p w:rsidR="008755C9" w:rsidRPr="00EF0B36" w:rsidRDefault="008755C9" w:rsidP="00EF0B36">
            <w:pPr>
              <w:spacing w:after="0"/>
              <w:jc w:val="center"/>
              <w:rPr>
                <w:sz w:val="20"/>
              </w:rPr>
            </w:pPr>
            <w:r w:rsidRPr="00EF0B36">
              <w:rPr>
                <w:sz w:val="20"/>
              </w:rPr>
              <w:t xml:space="preserve">(8.2, </w:t>
            </w:r>
            <w:r w:rsidR="00B3779D" w:rsidRPr="00EF0B36">
              <w:rPr>
                <w:sz w:val="20"/>
              </w:rPr>
              <w:t>^</w:t>
            </w:r>
            <w:r w:rsidRPr="00EF0B36">
              <w:rPr>
                <w:sz w:val="20"/>
              </w:rPr>
              <w:t>)</w:t>
            </w:r>
          </w:p>
        </w:tc>
        <w:tc>
          <w:tcPr>
            <w:tcW w:w="1406" w:type="dxa"/>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shd w:val="clear" w:color="auto" w:fill="E6E6E6"/>
                <w:lang w:val="en-US" w:eastAsia="zh-CN"/>
              </w:rPr>
            </w:pPr>
            <w:r w:rsidRPr="00EF0B36">
              <w:rPr>
                <w:rFonts w:ascii="TimesNewRomanPSMT" w:eastAsia="SimSun" w:hAnsi="TimesNewRomanPSMT" w:cs="TimesNewRomanPSMT"/>
                <w:sz w:val="20"/>
                <w:lang w:val="en-US" w:eastAsia="zh-CN"/>
              </w:rPr>
              <w:t>9.3</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 xml:space="preserve">(8.2, </w:t>
            </w:r>
            <w:r w:rsidR="00B3779D" w:rsidRPr="00EF0B36">
              <w:rPr>
                <w:rFonts w:ascii="TimesNewRomanPSMT" w:eastAsia="SimSun" w:hAnsi="TimesNewRomanPSMT" w:cs="TimesNewRomanPSMT"/>
                <w:sz w:val="20"/>
                <w:lang w:val="en-US" w:eastAsia="zh-CN"/>
              </w:rPr>
              <w:t>^</w:t>
            </w:r>
            <w:r w:rsidRPr="00EF0B36">
              <w:rPr>
                <w:rFonts w:ascii="TimesNewRomanPSMT" w:eastAsia="SimSun" w:hAnsi="TimesNewRomanPSMT" w:cs="TimesNewRomanPSMT"/>
                <w:sz w:val="20"/>
                <w:lang w:val="en-US" w:eastAsia="zh-CN"/>
              </w:rPr>
              <w:t>)</w:t>
            </w:r>
          </w:p>
        </w:tc>
        <w:tc>
          <w:tcPr>
            <w:tcW w:w="1920" w:type="dxa"/>
            <w:tcBorders>
              <w:top w:val="single" w:sz="4" w:space="0" w:color="auto"/>
              <w:bottom w:val="single" w:sz="4" w:space="0" w:color="auto"/>
              <w:right w:val="single" w:sz="4" w:space="0" w:color="auto"/>
            </w:tcBorders>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spacing w:after="0"/>
              <w:jc w:val="center"/>
              <w:rPr>
                <w:sz w:val="20"/>
              </w:rPr>
            </w:pPr>
            <w:r w:rsidRPr="00EF0B36">
              <w:rPr>
                <w:rFonts w:ascii="TimesNewRomanPSMT" w:eastAsia="SimSun" w:hAnsi="TimesNewRomanPSMT" w:cs="TimesNewRomanPSMT"/>
                <w:sz w:val="20"/>
                <w:lang w:val="en-US" w:eastAsia="zh-CN"/>
              </w:rPr>
              <w:t>5.7</w:t>
            </w:r>
          </w:p>
        </w:tc>
      </w:tr>
    </w:tbl>
    <w:p w:rsidR="008755C9" w:rsidRPr="00D53EC7" w:rsidRDefault="008755C9" w:rsidP="008755C9">
      <w:pPr>
        <w:autoSpaceDE w:val="0"/>
        <w:autoSpaceDN w:val="0"/>
        <w:adjustRightInd w:val="0"/>
        <w:spacing w:after="0"/>
        <w:ind w:left="360"/>
        <w:rPr>
          <w:rFonts w:ascii="TimesNewRomanPSMT" w:eastAsia="SimSun" w:hAnsi="TimesNewRomanPSMT" w:cs="TimesNewRomanPSMT"/>
          <w:sz w:val="20"/>
          <w:lang w:val="en-US" w:eastAsia="zh-CN"/>
        </w:rPr>
      </w:pPr>
      <w:r w:rsidRPr="00B93ECA">
        <w:rPr>
          <w:i/>
          <w:sz w:val="20"/>
          <w:lang w:val="en-US"/>
        </w:rPr>
        <w:t>ORR</w:t>
      </w:r>
      <w:r>
        <w:rPr>
          <w:i/>
          <w:sz w:val="20"/>
          <w:lang w:val="en-US"/>
        </w:rPr>
        <w:t xml:space="preserve"> </w:t>
      </w:r>
      <w:r w:rsidRPr="00E004C5">
        <w:rPr>
          <w:i/>
          <w:sz w:val="20"/>
          <w:lang w:val="en-US"/>
        </w:rPr>
        <w:t>and progression were</w:t>
      </w:r>
      <w:r w:rsidRPr="00B93ECA">
        <w:rPr>
          <w:i/>
          <w:sz w:val="20"/>
          <w:lang w:val="en-US"/>
        </w:rPr>
        <w:t xml:space="preserve"> determined using modified Mac</w:t>
      </w:r>
      <w:r w:rsidRPr="00E004C5">
        <w:rPr>
          <w:i/>
          <w:sz w:val="20"/>
          <w:lang w:val="en-US"/>
        </w:rPr>
        <w:t>d</w:t>
      </w:r>
      <w:r w:rsidRPr="00B93ECA">
        <w:rPr>
          <w:i/>
          <w:sz w:val="20"/>
          <w:lang w:val="en-US"/>
        </w:rPr>
        <w:t>onald criteria; CI = confidence interval;</w:t>
      </w:r>
      <w:r w:rsidRPr="00526FDF">
        <w:rPr>
          <w:rFonts w:ascii="TimesNewRomanPSMT" w:eastAsia="SimSun" w:hAnsi="TimesNewRomanPSMT" w:cs="TimesNewRomanPSMT"/>
          <w:color w:val="0000FF"/>
          <w:sz w:val="18"/>
          <w:szCs w:val="18"/>
          <w:lang w:val="en-US" w:eastAsia="zh-CN"/>
        </w:rPr>
        <w:t xml:space="preserve"> </w:t>
      </w:r>
      <w:proofErr w:type="spellStart"/>
      <w:r w:rsidRPr="00376125">
        <w:rPr>
          <w:i/>
          <w:sz w:val="20"/>
          <w:lang w:val="en-US"/>
        </w:rPr>
        <w:t>Inv</w:t>
      </w:r>
      <w:proofErr w:type="spellEnd"/>
      <w:r w:rsidRPr="00376125">
        <w:rPr>
          <w:i/>
          <w:sz w:val="20"/>
          <w:lang w:val="en-US"/>
        </w:rPr>
        <w:t xml:space="preserve"> = Investigator’s assessment; IRF = Independent Review Facility </w:t>
      </w:r>
      <w:r w:rsidRPr="00376125">
        <w:rPr>
          <w:rFonts w:ascii="Times New Roman Bold" w:hAnsi="Times New Roman Bold"/>
          <w:b/>
          <w:sz w:val="20"/>
          <w:vertAlign w:val="superscript"/>
        </w:rPr>
        <w:t>#</w:t>
      </w:r>
      <w:r w:rsidRPr="00376125">
        <w:rPr>
          <w:rFonts w:ascii="Times New Roman Bold" w:hAnsi="Times New Roman Bold"/>
          <w:b/>
          <w:sz w:val="20"/>
        </w:rPr>
        <w:t xml:space="preserve"> </w:t>
      </w:r>
      <w:r w:rsidRPr="00376125">
        <w:rPr>
          <w:i/>
          <w:sz w:val="20"/>
          <w:lang w:val="en-US"/>
        </w:rPr>
        <w:t>protocol-defined statistical comparison with the integrated analysis of Wong et al(1999).</w:t>
      </w:r>
      <w:r w:rsidR="00B3779D">
        <w:rPr>
          <w:i/>
          <w:sz w:val="20"/>
          <w:lang w:val="en-US"/>
        </w:rPr>
        <w:t>^</w:t>
      </w:r>
      <w:r w:rsidRPr="00376125">
        <w:rPr>
          <w:i/>
          <w:sz w:val="20"/>
          <w:lang w:val="en-US"/>
        </w:rPr>
        <w:t xml:space="preserve"> </w:t>
      </w:r>
      <w:r w:rsidRPr="00B93ECA">
        <w:rPr>
          <w:i/>
          <w:sz w:val="20"/>
          <w:lang w:val="en-US"/>
        </w:rPr>
        <w:t>Upper limit of the CI could not be obtained</w:t>
      </w:r>
    </w:p>
    <w:p w:rsidR="008755C9" w:rsidRPr="00526FDF" w:rsidRDefault="008755C9" w:rsidP="008755C9">
      <w:pPr>
        <w:autoSpaceDE w:val="0"/>
        <w:autoSpaceDN w:val="0"/>
        <w:adjustRightInd w:val="0"/>
        <w:spacing w:after="0"/>
        <w:rPr>
          <w:rFonts w:ascii="TimesNewRomanPSMT" w:eastAsia="SimSun" w:hAnsi="TimesNewRomanPSMT" w:cs="TimesNewRomanPSMT"/>
          <w:color w:val="000000"/>
          <w:sz w:val="20"/>
          <w:lang w:val="en-US" w:eastAsia="zh-CN"/>
        </w:rPr>
      </w:pPr>
    </w:p>
    <w:p w:rsidR="008755C9" w:rsidRDefault="008755C9" w:rsidP="00BD3577">
      <w:pPr>
        <w:autoSpaceDE w:val="0"/>
        <w:autoSpaceDN w:val="0"/>
        <w:adjustRightInd w:val="0"/>
        <w:spacing w:after="0"/>
        <w:jc w:val="both"/>
        <w:rPr>
          <w:color w:val="000000"/>
          <w:sz w:val="24"/>
          <w:lang w:val="en-US"/>
        </w:rPr>
      </w:pPr>
      <w:r w:rsidRPr="001C2047">
        <w:rPr>
          <w:color w:val="000000"/>
          <w:sz w:val="24"/>
          <w:lang w:val="en-US"/>
        </w:rPr>
        <w:t xml:space="preserve">The majority of patients who were receiving steroids at baseline, including responders and non-responders, were able to reduce their steroid </w:t>
      </w:r>
      <w:proofErr w:type="spellStart"/>
      <w:r w:rsidRPr="001C2047">
        <w:rPr>
          <w:color w:val="000000"/>
          <w:sz w:val="24"/>
          <w:lang w:val="en-US"/>
        </w:rPr>
        <w:t>utilisation</w:t>
      </w:r>
      <w:proofErr w:type="spellEnd"/>
      <w:r w:rsidRPr="001C2047">
        <w:rPr>
          <w:color w:val="000000"/>
          <w:sz w:val="24"/>
          <w:lang w:val="en-US"/>
        </w:rPr>
        <w:t xml:space="preserve"> over time while receiving AVASTIN. The majority of patients experiencing an objective response or prolonged PFS (at week 24) were able to maintain or improve their neurocognitive function at the time of response and at week 24, respectively, compared to baseline. The majority of patients that remained in the study and were progression free at 24 weeks, had a </w:t>
      </w:r>
      <w:proofErr w:type="spellStart"/>
      <w:r w:rsidRPr="001C2047">
        <w:rPr>
          <w:color w:val="000000"/>
          <w:sz w:val="24"/>
          <w:lang w:val="en-US"/>
        </w:rPr>
        <w:t>Karnofsky</w:t>
      </w:r>
      <w:proofErr w:type="spellEnd"/>
      <w:r w:rsidRPr="001C2047">
        <w:rPr>
          <w:color w:val="000000"/>
          <w:sz w:val="24"/>
          <w:lang w:val="en-US"/>
        </w:rPr>
        <w:t xml:space="preserve"> performance status (KPS) that remained stable.</w:t>
      </w:r>
    </w:p>
    <w:p w:rsidR="00FC6015" w:rsidRDefault="00FC6015" w:rsidP="00BD3577">
      <w:pPr>
        <w:autoSpaceDE w:val="0"/>
        <w:autoSpaceDN w:val="0"/>
        <w:adjustRightInd w:val="0"/>
        <w:spacing w:after="0"/>
        <w:jc w:val="both"/>
        <w:rPr>
          <w:color w:val="000000"/>
          <w:sz w:val="24"/>
          <w:lang w:val="en-US"/>
        </w:rPr>
      </w:pPr>
    </w:p>
    <w:p w:rsidR="00B3779D" w:rsidRPr="00B3779D" w:rsidRDefault="00B3779D" w:rsidP="00B3779D">
      <w:pPr>
        <w:spacing w:after="170" w:line="280" w:lineRule="atLeast"/>
        <w:outlineLvl w:val="3"/>
        <w:rPr>
          <w:b/>
          <w:i/>
          <w:sz w:val="24"/>
        </w:rPr>
      </w:pPr>
      <w:r w:rsidRPr="00B3779D">
        <w:rPr>
          <w:b/>
          <w:i/>
          <w:sz w:val="24"/>
        </w:rPr>
        <w:t xml:space="preserve">Epithelial Ovarian, Fallopian Tube and Primary Peritoneal Cancer </w:t>
      </w:r>
    </w:p>
    <w:p w:rsidR="003A3108" w:rsidRDefault="003A3108" w:rsidP="00B3779D">
      <w:pPr>
        <w:spacing w:after="170" w:line="280" w:lineRule="atLeast"/>
        <w:outlineLvl w:val="4"/>
        <w:rPr>
          <w:b/>
          <w:sz w:val="24"/>
        </w:rPr>
      </w:pPr>
      <w:r w:rsidRPr="000D41C5">
        <w:rPr>
          <w:rFonts w:cs="Arial"/>
          <w:b/>
          <w:bCs/>
          <w:i/>
          <w:sz w:val="24"/>
          <w:szCs w:val="24"/>
        </w:rPr>
        <w:t>First-line Ovarian Cancer</w:t>
      </w:r>
    </w:p>
    <w:p w:rsidR="00B3779D" w:rsidRPr="00B3779D" w:rsidRDefault="00B3779D" w:rsidP="00B3779D">
      <w:pPr>
        <w:spacing w:after="170" w:line="280" w:lineRule="atLeast"/>
        <w:outlineLvl w:val="4"/>
        <w:rPr>
          <w:rFonts w:eastAsia="SimSun"/>
          <w:b/>
          <w:sz w:val="24"/>
          <w:lang w:eastAsia="zh-CN"/>
        </w:rPr>
      </w:pPr>
      <w:r w:rsidRPr="00B3779D">
        <w:rPr>
          <w:b/>
          <w:sz w:val="24"/>
        </w:rPr>
        <w:t xml:space="preserve">Study </w:t>
      </w:r>
      <w:r w:rsidRPr="00B3779D">
        <w:rPr>
          <w:rFonts w:eastAsia="SimSun"/>
          <w:b/>
          <w:sz w:val="24"/>
          <w:lang w:eastAsia="zh-CN"/>
        </w:rPr>
        <w:t>GOG-0218</w:t>
      </w:r>
    </w:p>
    <w:p w:rsidR="00B3779D" w:rsidRPr="00B3779D" w:rsidRDefault="00B3779D" w:rsidP="00B3779D">
      <w:pPr>
        <w:jc w:val="both"/>
        <w:rPr>
          <w:rFonts w:eastAsia="SimSun"/>
          <w:iCs/>
          <w:sz w:val="24"/>
          <w:szCs w:val="24"/>
          <w:lang w:eastAsia="zh-CN"/>
        </w:rPr>
      </w:pPr>
      <w:r w:rsidRPr="00B3779D">
        <w:rPr>
          <w:rFonts w:eastAsia="SimSun"/>
          <w:iCs/>
          <w:sz w:val="24"/>
          <w:szCs w:val="24"/>
          <w:lang w:eastAsia="zh-CN"/>
        </w:rPr>
        <w:t xml:space="preserve">The GOG-0218 </w:t>
      </w:r>
      <w:r w:rsidR="006377C6">
        <w:rPr>
          <w:rFonts w:eastAsia="SimSun"/>
          <w:iCs/>
          <w:sz w:val="24"/>
          <w:szCs w:val="24"/>
          <w:lang w:eastAsia="zh-CN"/>
        </w:rPr>
        <w:t>trial</w:t>
      </w:r>
      <w:r w:rsidRPr="00B3779D">
        <w:rPr>
          <w:rFonts w:eastAsia="SimSun"/>
          <w:iCs/>
          <w:sz w:val="24"/>
          <w:szCs w:val="24"/>
          <w:lang w:eastAsia="zh-CN"/>
        </w:rPr>
        <w:t xml:space="preserve"> was a phase III multicentre, randomised, double-blind, placebo controlled, three arm study evaluating the effect of adding AVASTIN to an approved chemotherapy regimen (carboplatin and paclitaxel) in patients with optimally or sub-optimally </w:t>
      </w:r>
      <w:proofErr w:type="spellStart"/>
      <w:r w:rsidRPr="00B3779D">
        <w:rPr>
          <w:rFonts w:eastAsia="SimSun"/>
          <w:iCs/>
          <w:sz w:val="24"/>
          <w:szCs w:val="24"/>
          <w:lang w:eastAsia="zh-CN"/>
        </w:rPr>
        <w:t>debulked</w:t>
      </w:r>
      <w:proofErr w:type="spellEnd"/>
      <w:r w:rsidRPr="00B3779D">
        <w:rPr>
          <w:rFonts w:eastAsia="SimSun"/>
          <w:iCs/>
          <w:sz w:val="24"/>
          <w:szCs w:val="24"/>
          <w:lang w:eastAsia="zh-CN"/>
        </w:rPr>
        <w:t xml:space="preserve"> Stage III or Stage IV epithelial ovarian, fallopian tube or primary peritoneal cancer.</w:t>
      </w:r>
      <w:r w:rsidR="00F846FD">
        <w:rPr>
          <w:rFonts w:eastAsia="SimSun"/>
          <w:iCs/>
          <w:sz w:val="24"/>
          <w:szCs w:val="24"/>
          <w:lang w:eastAsia="zh-CN"/>
        </w:rPr>
        <w:t xml:space="preserve"> Patients had a </w:t>
      </w:r>
      <w:proofErr w:type="spellStart"/>
      <w:r w:rsidR="00F846FD">
        <w:rPr>
          <w:rFonts w:eastAsia="SimSun"/>
          <w:iCs/>
          <w:sz w:val="24"/>
          <w:szCs w:val="24"/>
          <w:lang w:eastAsia="zh-CN"/>
        </w:rPr>
        <w:t>Gynecologic</w:t>
      </w:r>
      <w:proofErr w:type="spellEnd"/>
      <w:r w:rsidR="00F846FD">
        <w:rPr>
          <w:rFonts w:eastAsia="SimSun"/>
          <w:iCs/>
          <w:sz w:val="24"/>
          <w:szCs w:val="24"/>
          <w:lang w:eastAsia="zh-CN"/>
        </w:rPr>
        <w:t xml:space="preserve"> Oncology Performance Status of 0-2 at baseline.</w:t>
      </w:r>
    </w:p>
    <w:p w:rsidR="00B3779D" w:rsidRPr="00B3779D" w:rsidRDefault="00B3779D" w:rsidP="00B3779D">
      <w:pPr>
        <w:jc w:val="both"/>
        <w:rPr>
          <w:rFonts w:eastAsia="SimSun"/>
          <w:iCs/>
          <w:sz w:val="24"/>
          <w:szCs w:val="24"/>
          <w:lang w:eastAsia="zh-CN"/>
        </w:rPr>
      </w:pPr>
      <w:r w:rsidRPr="00B3779D">
        <w:rPr>
          <w:rFonts w:eastAsia="SimSun"/>
          <w:iCs/>
          <w:sz w:val="24"/>
          <w:szCs w:val="24"/>
          <w:lang w:eastAsia="zh-CN"/>
        </w:rPr>
        <w:t>A total of 1873 patients were randomised in equal proportions to the following three arms:</w:t>
      </w:r>
    </w:p>
    <w:p w:rsidR="00B3779D" w:rsidRPr="00B3779D" w:rsidRDefault="00B3779D" w:rsidP="00B3779D">
      <w:pPr>
        <w:ind w:left="180"/>
        <w:jc w:val="both"/>
        <w:rPr>
          <w:rFonts w:eastAsia="SimSun"/>
          <w:iCs/>
          <w:sz w:val="24"/>
          <w:szCs w:val="24"/>
          <w:lang w:eastAsia="zh-CN"/>
        </w:rPr>
      </w:pPr>
      <w:r w:rsidRPr="00B3779D">
        <w:rPr>
          <w:b/>
          <w:sz w:val="24"/>
          <w:szCs w:val="24"/>
          <w:lang w:bidi="en-US"/>
        </w:rPr>
        <w:t>Carboplatin/Paclitaxel/Placebo (CPP) arm</w:t>
      </w:r>
      <w:r w:rsidRPr="00B3779D">
        <w:rPr>
          <w:b/>
          <w:sz w:val="24"/>
          <w:szCs w:val="24"/>
        </w:rPr>
        <w:t>:</w:t>
      </w:r>
      <w:r w:rsidRPr="00B3779D">
        <w:rPr>
          <w:sz w:val="24"/>
          <w:szCs w:val="24"/>
        </w:rPr>
        <w:t xml:space="preserve"> Placebo in combination with carboplatin (AUC 6) and paclitaxel (175 mg/m</w:t>
      </w:r>
      <w:r w:rsidRPr="00B3779D">
        <w:rPr>
          <w:sz w:val="24"/>
          <w:szCs w:val="24"/>
          <w:vertAlign w:val="superscript"/>
        </w:rPr>
        <w:t>2</w:t>
      </w:r>
      <w:r w:rsidRPr="00B3779D">
        <w:rPr>
          <w:sz w:val="24"/>
          <w:szCs w:val="24"/>
        </w:rPr>
        <w:t>) for 6 cycles followed by placebo alone, for a total of 15 months of therapy.</w:t>
      </w:r>
    </w:p>
    <w:p w:rsidR="00B3779D" w:rsidRPr="00B3779D" w:rsidRDefault="00B3779D" w:rsidP="00B3779D">
      <w:pPr>
        <w:ind w:left="180"/>
        <w:jc w:val="both"/>
        <w:rPr>
          <w:rFonts w:eastAsia="SimSun"/>
          <w:iCs/>
          <w:sz w:val="24"/>
          <w:szCs w:val="24"/>
          <w:lang w:eastAsia="zh-CN"/>
        </w:rPr>
      </w:pPr>
      <w:r w:rsidRPr="00B3779D">
        <w:rPr>
          <w:b/>
          <w:sz w:val="24"/>
          <w:szCs w:val="24"/>
          <w:lang w:bidi="en-US"/>
        </w:rPr>
        <w:t>Carboplatin/Paclitaxel/</w:t>
      </w:r>
      <w:proofErr w:type="spellStart"/>
      <w:r w:rsidRPr="00B3779D">
        <w:rPr>
          <w:b/>
          <w:sz w:val="24"/>
          <w:szCs w:val="24"/>
          <w:lang w:bidi="en-US"/>
        </w:rPr>
        <w:t>Bevacizumab</w:t>
      </w:r>
      <w:proofErr w:type="spellEnd"/>
      <w:r w:rsidRPr="00B3779D">
        <w:rPr>
          <w:b/>
          <w:sz w:val="24"/>
          <w:szCs w:val="24"/>
          <w:lang w:bidi="en-US"/>
        </w:rPr>
        <w:t xml:space="preserve"> (CPB15) arm</w:t>
      </w:r>
      <w:r w:rsidRPr="00B3779D">
        <w:rPr>
          <w:b/>
          <w:sz w:val="24"/>
          <w:szCs w:val="24"/>
        </w:rPr>
        <w:t>:</w:t>
      </w:r>
      <w:r w:rsidRPr="00B3779D">
        <w:rPr>
          <w:sz w:val="24"/>
          <w:szCs w:val="24"/>
        </w:rPr>
        <w:t xml:space="preserve"> Five cycles of </w:t>
      </w:r>
      <w:r w:rsidRPr="00B3779D">
        <w:rPr>
          <w:rFonts w:eastAsia="SimSun"/>
          <w:iCs/>
          <w:sz w:val="24"/>
          <w:szCs w:val="24"/>
          <w:lang w:eastAsia="zh-CN"/>
        </w:rPr>
        <w:t>AVASTIN</w:t>
      </w:r>
      <w:r w:rsidRPr="00B3779D">
        <w:rPr>
          <w:sz w:val="24"/>
          <w:szCs w:val="24"/>
        </w:rPr>
        <w:t xml:space="preserve"> (15 mg/kg q3w) in combination with carboplatin (AUC 6) and paclitaxel (175 mg/m</w:t>
      </w:r>
      <w:r w:rsidRPr="00B3779D">
        <w:rPr>
          <w:sz w:val="24"/>
          <w:szCs w:val="24"/>
          <w:vertAlign w:val="superscript"/>
        </w:rPr>
        <w:t>2</w:t>
      </w:r>
      <w:r w:rsidRPr="00B3779D">
        <w:rPr>
          <w:sz w:val="24"/>
          <w:szCs w:val="24"/>
        </w:rPr>
        <w:t>) for 6 cycles (</w:t>
      </w:r>
      <w:r w:rsidRPr="00B3779D">
        <w:rPr>
          <w:rFonts w:eastAsia="SimSun"/>
          <w:iCs/>
          <w:sz w:val="24"/>
          <w:szCs w:val="24"/>
          <w:lang w:eastAsia="zh-CN"/>
        </w:rPr>
        <w:t>AVASTIN</w:t>
      </w:r>
      <w:r w:rsidRPr="00B3779D">
        <w:rPr>
          <w:sz w:val="24"/>
          <w:szCs w:val="24"/>
        </w:rPr>
        <w:t xml:space="preserve"> commenced at cycle 2 of chemotherapy) followed by placebo alone, for a total of 15 months of therapy.</w:t>
      </w:r>
    </w:p>
    <w:p w:rsidR="00B3779D" w:rsidRPr="00B3779D" w:rsidRDefault="00B3779D" w:rsidP="00B3779D">
      <w:pPr>
        <w:ind w:left="180"/>
        <w:jc w:val="both"/>
        <w:rPr>
          <w:rFonts w:eastAsia="SimSun"/>
          <w:iCs/>
          <w:sz w:val="24"/>
          <w:szCs w:val="24"/>
          <w:lang w:eastAsia="zh-CN"/>
        </w:rPr>
      </w:pPr>
      <w:r w:rsidRPr="00B3779D">
        <w:rPr>
          <w:b/>
          <w:sz w:val="24"/>
          <w:szCs w:val="24"/>
          <w:lang w:bidi="en-US"/>
        </w:rPr>
        <w:t>Carboplatin/Paclitaxel/</w:t>
      </w:r>
      <w:proofErr w:type="spellStart"/>
      <w:r w:rsidRPr="00B3779D">
        <w:rPr>
          <w:b/>
          <w:sz w:val="24"/>
          <w:szCs w:val="24"/>
          <w:lang w:bidi="en-US"/>
        </w:rPr>
        <w:t>Bevacizumab</w:t>
      </w:r>
      <w:proofErr w:type="spellEnd"/>
      <w:r w:rsidRPr="00B3779D">
        <w:rPr>
          <w:b/>
          <w:sz w:val="24"/>
          <w:szCs w:val="24"/>
          <w:lang w:bidi="en-US"/>
        </w:rPr>
        <w:t xml:space="preserve"> (CPB15+) arm</w:t>
      </w:r>
      <w:r w:rsidRPr="00B3779D">
        <w:rPr>
          <w:b/>
          <w:sz w:val="24"/>
          <w:szCs w:val="24"/>
        </w:rPr>
        <w:t>:</w:t>
      </w:r>
      <w:r w:rsidRPr="00B3779D">
        <w:rPr>
          <w:sz w:val="24"/>
          <w:szCs w:val="24"/>
        </w:rPr>
        <w:t xml:space="preserve"> Five cycles of </w:t>
      </w:r>
      <w:r w:rsidRPr="00B3779D">
        <w:rPr>
          <w:rFonts w:eastAsia="SimSun"/>
          <w:iCs/>
          <w:sz w:val="24"/>
          <w:szCs w:val="24"/>
          <w:lang w:eastAsia="zh-CN"/>
        </w:rPr>
        <w:t>AVASTIN</w:t>
      </w:r>
      <w:r w:rsidRPr="00B3779D">
        <w:rPr>
          <w:sz w:val="24"/>
          <w:szCs w:val="24"/>
        </w:rPr>
        <w:t xml:space="preserve"> (15 mg/kg q3w) in combination with carboplatin (AUC 6) and paclitaxel (175 mg/m</w:t>
      </w:r>
      <w:r w:rsidRPr="00B3779D">
        <w:rPr>
          <w:sz w:val="24"/>
          <w:szCs w:val="24"/>
          <w:vertAlign w:val="superscript"/>
        </w:rPr>
        <w:t>2</w:t>
      </w:r>
      <w:r w:rsidRPr="00B3779D">
        <w:rPr>
          <w:sz w:val="24"/>
          <w:szCs w:val="24"/>
        </w:rPr>
        <w:t>) for 6 cycles (</w:t>
      </w:r>
      <w:r w:rsidRPr="00B3779D">
        <w:rPr>
          <w:rFonts w:eastAsia="SimSun"/>
          <w:iCs/>
          <w:sz w:val="24"/>
          <w:szCs w:val="24"/>
          <w:lang w:eastAsia="zh-CN"/>
        </w:rPr>
        <w:t>AVASTIN</w:t>
      </w:r>
      <w:r w:rsidRPr="00B3779D">
        <w:rPr>
          <w:sz w:val="24"/>
          <w:szCs w:val="24"/>
        </w:rPr>
        <w:t xml:space="preserve"> commenced at cycle 2 of chemotherapy) followed by continued use of </w:t>
      </w:r>
      <w:r w:rsidRPr="00B3779D">
        <w:rPr>
          <w:rFonts w:eastAsia="SimSun"/>
          <w:iCs/>
          <w:sz w:val="24"/>
          <w:szCs w:val="24"/>
          <w:lang w:eastAsia="zh-CN"/>
        </w:rPr>
        <w:t>AVASTIN</w:t>
      </w:r>
      <w:r w:rsidRPr="00B3779D">
        <w:rPr>
          <w:sz w:val="24"/>
          <w:szCs w:val="24"/>
        </w:rPr>
        <w:t xml:space="preserve"> (15 mg/kg q3w) as single agent for a total of 15 months of therapy.</w:t>
      </w:r>
      <w:r w:rsidRPr="00B3779D">
        <w:rPr>
          <w:rFonts w:eastAsia="SimSun"/>
          <w:iCs/>
          <w:sz w:val="24"/>
          <w:szCs w:val="24"/>
          <w:lang w:eastAsia="zh-CN"/>
        </w:rPr>
        <w:t xml:space="preserve"> </w:t>
      </w:r>
    </w:p>
    <w:p w:rsidR="00B3779D" w:rsidRPr="00B3779D" w:rsidRDefault="00B3779D" w:rsidP="00B3779D">
      <w:pPr>
        <w:jc w:val="both"/>
        <w:rPr>
          <w:rFonts w:eastAsia="SimSun"/>
          <w:iCs/>
          <w:sz w:val="24"/>
          <w:szCs w:val="24"/>
          <w:lang w:eastAsia="zh-CN"/>
        </w:rPr>
      </w:pPr>
      <w:r w:rsidRPr="00B3779D">
        <w:rPr>
          <w:rFonts w:eastAsia="SimSun"/>
          <w:iCs/>
          <w:sz w:val="24"/>
          <w:szCs w:val="24"/>
          <w:lang w:eastAsia="zh-CN"/>
        </w:rPr>
        <w:t xml:space="preserve">The primary endpoint was progression-free survival (PFS) based on investigator’s assessment of radiological scans. In addition, an independent review of the primary endpoint was also conducted. </w:t>
      </w:r>
    </w:p>
    <w:p w:rsidR="00B3779D" w:rsidRDefault="00B47D48" w:rsidP="00C3091B">
      <w:pPr>
        <w:autoSpaceDE w:val="0"/>
        <w:autoSpaceDN w:val="0"/>
        <w:adjustRightInd w:val="0"/>
        <w:spacing w:after="0"/>
        <w:rPr>
          <w:rFonts w:eastAsia="SimSun"/>
          <w:iCs/>
          <w:sz w:val="24"/>
          <w:szCs w:val="24"/>
          <w:lang w:eastAsia="zh-CN"/>
        </w:rPr>
      </w:pPr>
      <w:r>
        <w:rPr>
          <w:rFonts w:eastAsia="SimSun"/>
          <w:iCs/>
          <w:sz w:val="24"/>
          <w:szCs w:val="24"/>
          <w:lang w:eastAsia="zh-CN"/>
        </w:rPr>
        <w:br w:type="page"/>
      </w:r>
      <w:r w:rsidR="00B3779D" w:rsidRPr="00B3779D">
        <w:rPr>
          <w:rFonts w:eastAsia="SimSun"/>
          <w:iCs/>
          <w:sz w:val="24"/>
          <w:szCs w:val="24"/>
          <w:lang w:eastAsia="zh-CN"/>
        </w:rPr>
        <w:lastRenderedPageBreak/>
        <w:t>The results of this study</w:t>
      </w:r>
      <w:r w:rsidR="00C3091B" w:rsidRPr="00C3091B">
        <w:rPr>
          <w:rFonts w:eastAsia="SimSun"/>
          <w:iCs/>
          <w:sz w:val="24"/>
          <w:szCs w:val="24"/>
          <w:lang w:eastAsia="zh-CN"/>
        </w:rPr>
        <w:t xml:space="preserve"> </w:t>
      </w:r>
      <w:r w:rsidR="00B3779D" w:rsidRPr="00B3779D">
        <w:rPr>
          <w:rFonts w:eastAsia="SimSun"/>
          <w:iCs/>
          <w:sz w:val="24"/>
          <w:szCs w:val="24"/>
          <w:lang w:eastAsia="zh-CN"/>
        </w:rPr>
        <w:t>are summarised in Table 11</w:t>
      </w:r>
      <w:r w:rsidR="00F31022">
        <w:rPr>
          <w:rFonts w:eastAsia="SimSun"/>
          <w:iCs/>
          <w:sz w:val="24"/>
          <w:szCs w:val="24"/>
          <w:lang w:eastAsia="zh-CN"/>
        </w:rPr>
        <w:t xml:space="preserve"> (</w:t>
      </w:r>
      <w:r w:rsidR="001722B5">
        <w:rPr>
          <w:rFonts w:eastAsia="SimSun"/>
          <w:iCs/>
          <w:sz w:val="24"/>
          <w:szCs w:val="24"/>
          <w:lang w:eastAsia="zh-CN"/>
        </w:rPr>
        <w:t xml:space="preserve">the </w:t>
      </w:r>
      <w:r w:rsidR="00F31022">
        <w:rPr>
          <w:rFonts w:eastAsia="SimSun"/>
          <w:iCs/>
          <w:sz w:val="24"/>
          <w:szCs w:val="24"/>
          <w:lang w:eastAsia="zh-CN"/>
        </w:rPr>
        <w:t>p-v</w:t>
      </w:r>
      <w:r w:rsidR="001722B5">
        <w:rPr>
          <w:rFonts w:eastAsia="SimSun"/>
          <w:iCs/>
          <w:sz w:val="24"/>
          <w:szCs w:val="24"/>
          <w:lang w:eastAsia="zh-CN"/>
        </w:rPr>
        <w:t>alue boundary for primary</w:t>
      </w:r>
      <w:r w:rsidR="00F31022">
        <w:rPr>
          <w:rFonts w:eastAsia="SimSun"/>
          <w:iCs/>
          <w:sz w:val="24"/>
          <w:szCs w:val="24"/>
          <w:lang w:eastAsia="zh-CN"/>
        </w:rPr>
        <w:t xml:space="preserve"> treatment comparisons </w:t>
      </w:r>
      <w:r w:rsidR="001722B5">
        <w:rPr>
          <w:rFonts w:eastAsia="SimSun"/>
          <w:iCs/>
          <w:sz w:val="24"/>
          <w:szCs w:val="24"/>
          <w:lang w:eastAsia="zh-CN"/>
        </w:rPr>
        <w:t>was</w:t>
      </w:r>
      <w:r w:rsidR="00F31022">
        <w:rPr>
          <w:rFonts w:eastAsia="SimSun"/>
          <w:iCs/>
          <w:sz w:val="24"/>
          <w:szCs w:val="24"/>
          <w:lang w:eastAsia="zh-CN"/>
        </w:rPr>
        <w:t xml:space="preserve"> 0.01</w:t>
      </w:r>
      <w:r w:rsidR="00C068F2">
        <w:rPr>
          <w:rFonts w:eastAsia="SimSun"/>
          <w:iCs/>
          <w:sz w:val="24"/>
          <w:szCs w:val="24"/>
          <w:lang w:eastAsia="zh-CN"/>
        </w:rPr>
        <w:t>1</w:t>
      </w:r>
      <w:r w:rsidR="00F31022">
        <w:rPr>
          <w:rFonts w:eastAsia="SimSun"/>
          <w:iCs/>
          <w:sz w:val="24"/>
          <w:szCs w:val="24"/>
          <w:lang w:eastAsia="zh-CN"/>
        </w:rPr>
        <w:t>6)</w:t>
      </w:r>
      <w:r w:rsidR="00C3091B">
        <w:rPr>
          <w:rFonts w:eastAsia="SimSun"/>
          <w:iCs/>
          <w:sz w:val="24"/>
          <w:szCs w:val="24"/>
          <w:lang w:eastAsia="zh-CN"/>
        </w:rPr>
        <w:t>.</w:t>
      </w:r>
    </w:p>
    <w:p w:rsidR="000C7976" w:rsidRDefault="000C7976" w:rsidP="00C3091B">
      <w:pPr>
        <w:autoSpaceDE w:val="0"/>
        <w:autoSpaceDN w:val="0"/>
        <w:adjustRightInd w:val="0"/>
        <w:spacing w:after="0"/>
        <w:rPr>
          <w:rFonts w:eastAsia="SimSun"/>
          <w:iCs/>
          <w:sz w:val="24"/>
          <w:szCs w:val="24"/>
          <w:lang w:eastAsia="zh-CN"/>
        </w:rPr>
      </w:pPr>
    </w:p>
    <w:p w:rsidR="00B3779D" w:rsidRPr="00F22C98" w:rsidRDefault="00B3779D" w:rsidP="00B3779D">
      <w:pPr>
        <w:spacing w:after="0"/>
        <w:rPr>
          <w:b/>
          <w:sz w:val="24"/>
          <w:szCs w:val="24"/>
        </w:rPr>
      </w:pPr>
      <w:r w:rsidRPr="00F22C98">
        <w:rPr>
          <w:b/>
          <w:sz w:val="24"/>
          <w:szCs w:val="24"/>
        </w:rPr>
        <w:t>Table 11: Efficacy Results from Study GOG-0218</w:t>
      </w:r>
    </w:p>
    <w:p w:rsidR="00B3779D" w:rsidRDefault="00B3779D" w:rsidP="00B3779D">
      <w:pPr>
        <w:spacing w:after="0"/>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6"/>
        <w:gridCol w:w="1366"/>
        <w:gridCol w:w="754"/>
        <w:gridCol w:w="597"/>
        <w:gridCol w:w="1270"/>
        <w:gridCol w:w="401"/>
        <w:gridCol w:w="915"/>
        <w:gridCol w:w="1352"/>
      </w:tblGrid>
      <w:tr w:rsidR="00B3779D" w:rsidRPr="00EF0B36" w:rsidTr="00F31022">
        <w:trPr>
          <w:cantSplit/>
          <w:trHeight w:val="22"/>
        </w:trPr>
        <w:tc>
          <w:tcPr>
            <w:tcW w:w="9463" w:type="dxa"/>
            <w:gridSpan w:val="10"/>
            <w:shd w:val="clear" w:color="auto" w:fill="auto"/>
          </w:tcPr>
          <w:p w:rsidR="00B3779D" w:rsidRPr="00EF0B36" w:rsidRDefault="00B3779D" w:rsidP="00EF0B36">
            <w:pPr>
              <w:spacing w:after="0"/>
              <w:rPr>
                <w:sz w:val="20"/>
              </w:rPr>
            </w:pPr>
            <w:r w:rsidRPr="00EF0B36">
              <w:rPr>
                <w:b/>
                <w:bCs/>
                <w:sz w:val="20"/>
              </w:rPr>
              <w:t>Progression-Free Survival</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p>
        </w:tc>
        <w:tc>
          <w:tcPr>
            <w:tcW w:w="3716" w:type="dxa"/>
            <w:gridSpan w:val="5"/>
            <w:shd w:val="clear" w:color="auto" w:fill="auto"/>
          </w:tcPr>
          <w:p w:rsidR="00B3779D" w:rsidRPr="00EF0B36" w:rsidRDefault="00B3779D" w:rsidP="00EF0B36">
            <w:pPr>
              <w:spacing w:after="0"/>
              <w:jc w:val="center"/>
              <w:rPr>
                <w:sz w:val="20"/>
              </w:rPr>
            </w:pPr>
            <w:r w:rsidRPr="00EF0B36">
              <w:rPr>
                <w:sz w:val="20"/>
              </w:rPr>
              <w:t>Investigator Assessment</w:t>
            </w:r>
            <w:r w:rsidRPr="00EF0B36">
              <w:rPr>
                <w:sz w:val="20"/>
                <w:vertAlign w:val="superscript"/>
              </w:rPr>
              <w:t>1</w:t>
            </w:r>
          </w:p>
        </w:tc>
        <w:tc>
          <w:tcPr>
            <w:tcW w:w="3938" w:type="dxa"/>
            <w:gridSpan w:val="4"/>
            <w:shd w:val="clear" w:color="auto" w:fill="auto"/>
          </w:tcPr>
          <w:p w:rsidR="00B3779D" w:rsidRPr="00EF0B36" w:rsidRDefault="00B3779D" w:rsidP="00EF0B36">
            <w:pPr>
              <w:spacing w:after="0"/>
              <w:jc w:val="center"/>
              <w:rPr>
                <w:sz w:val="20"/>
              </w:rPr>
            </w:pPr>
            <w:r w:rsidRPr="00EF0B36">
              <w:rPr>
                <w:sz w:val="20"/>
              </w:rPr>
              <w:t>IRC Assessment</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p>
        </w:tc>
        <w:tc>
          <w:tcPr>
            <w:tcW w:w="999" w:type="dxa"/>
            <w:gridSpan w:val="2"/>
            <w:shd w:val="clear" w:color="auto" w:fill="auto"/>
            <w:vAlign w:val="center"/>
          </w:tcPr>
          <w:p w:rsidR="00B3779D" w:rsidRPr="00EF0B36" w:rsidRDefault="00B3779D" w:rsidP="00EF0B36">
            <w:pPr>
              <w:pStyle w:val="NormalWeb"/>
              <w:widowControl w:val="0"/>
              <w:spacing w:before="0" w:beforeAutospacing="0" w:after="0" w:afterAutospacing="0"/>
              <w:jc w:val="center"/>
              <w:rPr>
                <w:b/>
                <w:sz w:val="20"/>
                <w:szCs w:val="20"/>
                <w:lang w:val="en-GB" w:bidi="en-US"/>
              </w:rPr>
            </w:pPr>
            <w:r w:rsidRPr="00EF0B36">
              <w:rPr>
                <w:b/>
                <w:sz w:val="20"/>
                <w:szCs w:val="20"/>
                <w:lang w:val="en-GB" w:bidi="en-US"/>
              </w:rPr>
              <w:t>CPP</w:t>
            </w:r>
          </w:p>
          <w:p w:rsidR="00B3779D" w:rsidRPr="00EF0B36" w:rsidRDefault="00B3779D" w:rsidP="00EF0B36">
            <w:pPr>
              <w:pStyle w:val="NormalWeb"/>
              <w:widowControl w:val="0"/>
              <w:spacing w:before="0" w:beforeAutospacing="0" w:after="0" w:afterAutospacing="0"/>
              <w:jc w:val="center"/>
              <w:rPr>
                <w:sz w:val="20"/>
                <w:szCs w:val="20"/>
              </w:rPr>
            </w:pPr>
            <w:r w:rsidRPr="00EF0B36">
              <w:rPr>
                <w:sz w:val="20"/>
                <w:szCs w:val="20"/>
                <w:lang w:val="en-GB"/>
              </w:rPr>
              <w:t>(</w:t>
            </w:r>
            <w:r w:rsidRPr="00EF0B36">
              <w:rPr>
                <w:i/>
                <w:sz w:val="20"/>
                <w:szCs w:val="20"/>
                <w:lang w:val="en-GB"/>
              </w:rPr>
              <w:t>n</w:t>
            </w:r>
            <w:r w:rsidRPr="00EF0B36">
              <w:rPr>
                <w:sz w:val="20"/>
                <w:szCs w:val="20"/>
                <w:lang w:val="en-GB"/>
              </w:rPr>
              <w:t xml:space="preserve"> = 625)</w:t>
            </w:r>
          </w:p>
        </w:tc>
        <w:tc>
          <w:tcPr>
            <w:tcW w:w="1366" w:type="dxa"/>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CPB15</w:t>
            </w:r>
            <w:r w:rsidRPr="00EF0B36">
              <w:rPr>
                <w:sz w:val="20"/>
              </w:rPr>
              <w:t xml:space="preserve">                 (</w:t>
            </w:r>
            <w:r w:rsidRPr="00EF0B36">
              <w:rPr>
                <w:i/>
                <w:sz w:val="20"/>
              </w:rPr>
              <w:t>n</w:t>
            </w:r>
            <w:r w:rsidRPr="00EF0B36">
              <w:rPr>
                <w:sz w:val="20"/>
              </w:rPr>
              <w:t xml:space="preserve"> = 1248)</w:t>
            </w:r>
            <w:r w:rsidRPr="00EF0B36">
              <w:rPr>
                <w:rFonts w:eastAsia="SimSun"/>
                <w:sz w:val="20"/>
                <w:vertAlign w:val="superscript"/>
                <w:lang w:val="en-GB" w:eastAsia="zh-CN"/>
              </w:rPr>
              <w:t>2</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 xml:space="preserve">CPB15+ </w:t>
            </w:r>
            <w:r w:rsidRPr="00EF0B36">
              <w:rPr>
                <w:sz w:val="20"/>
                <w:lang w:bidi="en-US"/>
              </w:rPr>
              <w:t xml:space="preserve">      </w:t>
            </w:r>
            <w:r w:rsidRPr="00EF0B36">
              <w:rPr>
                <w:sz w:val="20"/>
              </w:rPr>
              <w:t>(</w:t>
            </w:r>
            <w:r w:rsidRPr="00EF0B36">
              <w:rPr>
                <w:i/>
                <w:sz w:val="20"/>
              </w:rPr>
              <w:t>n</w:t>
            </w:r>
            <w:r w:rsidRPr="00EF0B36">
              <w:rPr>
                <w:sz w:val="20"/>
              </w:rPr>
              <w:t xml:space="preserve"> =1248)</w:t>
            </w:r>
            <w:r w:rsidRPr="00EF0B36">
              <w:rPr>
                <w:sz w:val="20"/>
                <w:vertAlign w:val="superscript"/>
              </w:rPr>
              <w:t>2</w:t>
            </w:r>
          </w:p>
        </w:tc>
        <w:tc>
          <w:tcPr>
            <w:tcW w:w="1270" w:type="dxa"/>
            <w:shd w:val="clear" w:color="auto" w:fill="auto"/>
            <w:vAlign w:val="center"/>
          </w:tcPr>
          <w:p w:rsidR="00B3779D" w:rsidRPr="00EF0B36" w:rsidRDefault="00B3779D" w:rsidP="00EF0B36">
            <w:pPr>
              <w:pStyle w:val="NormalWeb"/>
              <w:widowControl w:val="0"/>
              <w:spacing w:before="0" w:beforeAutospacing="0" w:after="0" w:afterAutospacing="0"/>
              <w:jc w:val="center"/>
              <w:rPr>
                <w:b/>
                <w:sz w:val="20"/>
                <w:szCs w:val="20"/>
                <w:lang w:val="en-GB" w:bidi="en-US"/>
              </w:rPr>
            </w:pPr>
            <w:r w:rsidRPr="00EF0B36">
              <w:rPr>
                <w:b/>
                <w:sz w:val="20"/>
                <w:szCs w:val="20"/>
                <w:lang w:val="en-GB" w:bidi="en-US"/>
              </w:rPr>
              <w:t>CPP</w:t>
            </w:r>
          </w:p>
          <w:p w:rsidR="00B3779D" w:rsidRPr="00EF0B36" w:rsidRDefault="00B3779D" w:rsidP="00EF0B36">
            <w:pPr>
              <w:pStyle w:val="NormalWeb"/>
              <w:widowControl w:val="0"/>
              <w:spacing w:before="0" w:beforeAutospacing="0" w:after="0" w:afterAutospacing="0"/>
              <w:jc w:val="center"/>
              <w:rPr>
                <w:sz w:val="20"/>
                <w:szCs w:val="20"/>
              </w:rPr>
            </w:pPr>
            <w:r w:rsidRPr="00EF0B36">
              <w:rPr>
                <w:sz w:val="20"/>
                <w:szCs w:val="20"/>
                <w:lang w:val="en-GB"/>
              </w:rPr>
              <w:t>(</w:t>
            </w:r>
            <w:r w:rsidRPr="00EF0B36">
              <w:rPr>
                <w:i/>
                <w:sz w:val="20"/>
                <w:szCs w:val="20"/>
                <w:lang w:val="en-GB"/>
              </w:rPr>
              <w:t>n</w:t>
            </w:r>
            <w:r w:rsidRPr="00EF0B36">
              <w:rPr>
                <w:sz w:val="20"/>
                <w:szCs w:val="20"/>
                <w:lang w:val="en-GB"/>
              </w:rPr>
              <w:t xml:space="preserve"> = 625)</w:t>
            </w:r>
          </w:p>
        </w:tc>
        <w:tc>
          <w:tcPr>
            <w:tcW w:w="1316" w:type="dxa"/>
            <w:gridSpan w:val="2"/>
            <w:shd w:val="clear" w:color="auto" w:fill="auto"/>
            <w:vAlign w:val="center"/>
          </w:tcPr>
          <w:p w:rsidR="00B3779D" w:rsidRPr="00EF0B36" w:rsidRDefault="00B3779D" w:rsidP="00EF0B36">
            <w:pPr>
              <w:pStyle w:val="NormalWeb"/>
              <w:widowControl w:val="0"/>
              <w:spacing w:before="0" w:beforeAutospacing="0" w:after="0" w:afterAutospacing="0"/>
              <w:jc w:val="center"/>
              <w:rPr>
                <w:b/>
                <w:sz w:val="20"/>
                <w:szCs w:val="20"/>
                <w:lang w:val="en-GB" w:bidi="en-US"/>
              </w:rPr>
            </w:pPr>
            <w:r w:rsidRPr="00EF0B36">
              <w:rPr>
                <w:b/>
                <w:sz w:val="20"/>
                <w:szCs w:val="20"/>
                <w:lang w:val="en-GB" w:bidi="en-US"/>
              </w:rPr>
              <w:t>CPB15</w:t>
            </w:r>
          </w:p>
          <w:p w:rsidR="00B3779D" w:rsidRPr="00EF0B36" w:rsidRDefault="00B3779D" w:rsidP="00EF0B36">
            <w:pPr>
              <w:pStyle w:val="NormalWeb"/>
              <w:widowControl w:val="0"/>
              <w:spacing w:before="0" w:beforeAutospacing="0" w:after="0" w:afterAutospacing="0"/>
              <w:jc w:val="center"/>
              <w:rPr>
                <w:sz w:val="20"/>
                <w:szCs w:val="20"/>
              </w:rPr>
            </w:pPr>
            <w:r w:rsidRPr="00EF0B36">
              <w:rPr>
                <w:sz w:val="20"/>
                <w:szCs w:val="20"/>
                <w:lang w:val="en-GB"/>
              </w:rPr>
              <w:t>(</w:t>
            </w:r>
            <w:r w:rsidRPr="00EF0B36">
              <w:rPr>
                <w:i/>
                <w:sz w:val="20"/>
                <w:szCs w:val="20"/>
                <w:lang w:val="en-GB"/>
              </w:rPr>
              <w:t>n</w:t>
            </w:r>
            <w:r w:rsidRPr="00EF0B36">
              <w:rPr>
                <w:sz w:val="20"/>
                <w:szCs w:val="20"/>
                <w:lang w:val="en-GB"/>
              </w:rPr>
              <w:t xml:space="preserve"> = 1248)</w:t>
            </w:r>
            <w:r w:rsidRPr="00EF0B36">
              <w:rPr>
                <w:sz w:val="20"/>
                <w:szCs w:val="20"/>
                <w:vertAlign w:val="superscript"/>
                <w:lang w:val="en-GB"/>
              </w:rPr>
              <w:t>2</w:t>
            </w:r>
          </w:p>
        </w:tc>
        <w:tc>
          <w:tcPr>
            <w:tcW w:w="1352" w:type="dxa"/>
            <w:shd w:val="clear" w:color="auto" w:fill="auto"/>
            <w:vAlign w:val="center"/>
          </w:tcPr>
          <w:p w:rsidR="00B3779D" w:rsidRPr="00EF0B36" w:rsidRDefault="00B3779D" w:rsidP="00EF0B36">
            <w:pPr>
              <w:widowControl w:val="0"/>
              <w:spacing w:after="0"/>
              <w:jc w:val="center"/>
              <w:rPr>
                <w:sz w:val="20"/>
                <w:lang w:bidi="en-US"/>
              </w:rPr>
            </w:pPr>
            <w:r w:rsidRPr="00EF0B36">
              <w:rPr>
                <w:rFonts w:eastAsia="SimSun"/>
                <w:b/>
                <w:sz w:val="20"/>
                <w:lang w:val="en-GB" w:eastAsia="zh-CN" w:bidi="en-US"/>
              </w:rPr>
              <w:t xml:space="preserve">CPB15+   </w:t>
            </w:r>
            <w:r w:rsidRPr="00EF0B36">
              <w:rPr>
                <w:sz w:val="20"/>
                <w:lang w:bidi="en-US"/>
              </w:rPr>
              <w:t xml:space="preserve">       </w:t>
            </w:r>
            <w:r w:rsidRPr="00EF0B36">
              <w:rPr>
                <w:sz w:val="20"/>
              </w:rPr>
              <w:t>(</w:t>
            </w:r>
            <w:r w:rsidRPr="00EF0B36">
              <w:rPr>
                <w:i/>
                <w:sz w:val="20"/>
              </w:rPr>
              <w:t>n</w:t>
            </w:r>
            <w:r w:rsidRPr="00EF0B36">
              <w:rPr>
                <w:sz w:val="20"/>
              </w:rPr>
              <w:t xml:space="preserve"> = 1248)</w:t>
            </w:r>
            <w:r w:rsidRPr="00EF0B36">
              <w:rPr>
                <w:sz w:val="20"/>
                <w:vertAlign w:val="superscript"/>
              </w:rPr>
              <w:t>2</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r w:rsidRPr="00EF0B36">
              <w:rPr>
                <w:sz w:val="20"/>
              </w:rPr>
              <w:t>Median PFS (months)</w:t>
            </w:r>
          </w:p>
        </w:tc>
        <w:tc>
          <w:tcPr>
            <w:tcW w:w="999" w:type="dxa"/>
            <w:gridSpan w:val="2"/>
            <w:shd w:val="clear" w:color="auto" w:fill="auto"/>
            <w:vAlign w:val="center"/>
          </w:tcPr>
          <w:p w:rsidR="00B3779D" w:rsidRPr="00EF0B36" w:rsidRDefault="00B3779D" w:rsidP="00EF0B36">
            <w:pPr>
              <w:spacing w:after="0"/>
              <w:jc w:val="center"/>
              <w:rPr>
                <w:sz w:val="20"/>
              </w:rPr>
            </w:pPr>
            <w:r w:rsidRPr="00EF0B36">
              <w:rPr>
                <w:sz w:val="20"/>
              </w:rPr>
              <w:t>12.0</w:t>
            </w:r>
          </w:p>
        </w:tc>
        <w:tc>
          <w:tcPr>
            <w:tcW w:w="1366" w:type="dxa"/>
            <w:shd w:val="clear" w:color="auto" w:fill="auto"/>
            <w:vAlign w:val="center"/>
          </w:tcPr>
          <w:p w:rsidR="00B3779D" w:rsidRPr="00EF0B36" w:rsidRDefault="00B3779D" w:rsidP="00EF0B36">
            <w:pPr>
              <w:spacing w:after="0"/>
              <w:jc w:val="center"/>
              <w:rPr>
                <w:sz w:val="20"/>
              </w:rPr>
            </w:pPr>
            <w:r w:rsidRPr="00EF0B36">
              <w:rPr>
                <w:sz w:val="20"/>
              </w:rPr>
              <w:t>12.7</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sz w:val="20"/>
              </w:rPr>
              <w:t>18.2</w:t>
            </w:r>
          </w:p>
        </w:tc>
        <w:tc>
          <w:tcPr>
            <w:tcW w:w="1270" w:type="dxa"/>
            <w:shd w:val="clear" w:color="auto" w:fill="auto"/>
            <w:vAlign w:val="center"/>
          </w:tcPr>
          <w:p w:rsidR="00B3779D" w:rsidRPr="00EF0B36" w:rsidRDefault="00B3779D" w:rsidP="00EF0B36">
            <w:pPr>
              <w:spacing w:after="0"/>
              <w:jc w:val="center"/>
              <w:rPr>
                <w:sz w:val="20"/>
              </w:rPr>
            </w:pPr>
            <w:r w:rsidRPr="00EF0B36">
              <w:rPr>
                <w:sz w:val="20"/>
              </w:rPr>
              <w:t>13.1</w:t>
            </w:r>
          </w:p>
        </w:tc>
        <w:tc>
          <w:tcPr>
            <w:tcW w:w="1316" w:type="dxa"/>
            <w:gridSpan w:val="2"/>
            <w:shd w:val="clear" w:color="auto" w:fill="auto"/>
            <w:vAlign w:val="center"/>
          </w:tcPr>
          <w:p w:rsidR="00B3779D" w:rsidRPr="00EF0B36" w:rsidRDefault="00B3779D" w:rsidP="00EF0B36">
            <w:pPr>
              <w:spacing w:after="0"/>
              <w:jc w:val="center"/>
              <w:rPr>
                <w:sz w:val="20"/>
              </w:rPr>
            </w:pPr>
            <w:r w:rsidRPr="00EF0B36">
              <w:rPr>
                <w:sz w:val="20"/>
              </w:rPr>
              <w:t>13.2</w:t>
            </w:r>
          </w:p>
        </w:tc>
        <w:tc>
          <w:tcPr>
            <w:tcW w:w="1352" w:type="dxa"/>
            <w:shd w:val="clear" w:color="auto" w:fill="auto"/>
            <w:vAlign w:val="center"/>
          </w:tcPr>
          <w:p w:rsidR="00B3779D" w:rsidRPr="00EF0B36" w:rsidRDefault="00B3779D" w:rsidP="00EF0B36">
            <w:pPr>
              <w:spacing w:after="0"/>
              <w:jc w:val="center"/>
              <w:rPr>
                <w:sz w:val="20"/>
              </w:rPr>
            </w:pPr>
            <w:r w:rsidRPr="00EF0B36">
              <w:rPr>
                <w:sz w:val="20"/>
              </w:rPr>
              <w:t>19.1</w:t>
            </w:r>
          </w:p>
        </w:tc>
      </w:tr>
      <w:tr w:rsidR="00B3779D" w:rsidRPr="00EF0B36" w:rsidTr="00F31022">
        <w:trPr>
          <w:cantSplit/>
          <w:trHeight w:val="22"/>
        </w:trPr>
        <w:tc>
          <w:tcPr>
            <w:tcW w:w="1809" w:type="dxa"/>
            <w:shd w:val="clear" w:color="auto" w:fill="auto"/>
          </w:tcPr>
          <w:p w:rsidR="00B3779D" w:rsidRPr="00EF0B36" w:rsidRDefault="00B3779D" w:rsidP="00EF0B36">
            <w:pPr>
              <w:widowControl w:val="0"/>
              <w:spacing w:after="0"/>
              <w:rPr>
                <w:sz w:val="20"/>
              </w:rPr>
            </w:pPr>
            <w:r w:rsidRPr="00EF0B36">
              <w:rPr>
                <w:sz w:val="20"/>
              </w:rPr>
              <w:t xml:space="preserve">Hazard ratio </w:t>
            </w:r>
          </w:p>
          <w:p w:rsidR="00B3779D" w:rsidRPr="00404D60" w:rsidRDefault="00B3779D" w:rsidP="00EF0B36">
            <w:pPr>
              <w:widowControl w:val="0"/>
              <w:spacing w:after="0"/>
            </w:pPr>
            <w:r w:rsidRPr="00EF0B36">
              <w:rPr>
                <w:sz w:val="20"/>
              </w:rPr>
              <w:t>(95% CI)</w:t>
            </w:r>
            <w:r w:rsidRPr="00EF0B36">
              <w:rPr>
                <w:sz w:val="20"/>
                <w:vertAlign w:val="superscript"/>
              </w:rPr>
              <w:t>3</w:t>
            </w:r>
          </w:p>
        </w:tc>
        <w:tc>
          <w:tcPr>
            <w:tcW w:w="999" w:type="dxa"/>
            <w:gridSpan w:val="2"/>
            <w:shd w:val="clear" w:color="auto" w:fill="auto"/>
            <w:vAlign w:val="center"/>
          </w:tcPr>
          <w:p w:rsidR="00B3779D" w:rsidRPr="00EF0B36" w:rsidRDefault="00B3779D" w:rsidP="00EF0B36">
            <w:pPr>
              <w:spacing w:after="0"/>
              <w:jc w:val="center"/>
              <w:rPr>
                <w:sz w:val="20"/>
              </w:rPr>
            </w:pPr>
          </w:p>
        </w:tc>
        <w:tc>
          <w:tcPr>
            <w:tcW w:w="1366" w:type="dxa"/>
            <w:shd w:val="clear" w:color="auto" w:fill="auto"/>
            <w:vAlign w:val="center"/>
          </w:tcPr>
          <w:p w:rsidR="00B3779D" w:rsidRPr="00EF0B36" w:rsidRDefault="00B3779D" w:rsidP="00EF0B36">
            <w:pPr>
              <w:spacing w:after="0"/>
              <w:jc w:val="center"/>
              <w:rPr>
                <w:sz w:val="20"/>
                <w:lang w:val="en-GB"/>
              </w:rPr>
            </w:pPr>
            <w:r w:rsidRPr="00EF0B36">
              <w:rPr>
                <w:sz w:val="20"/>
                <w:lang w:val="en-GB"/>
              </w:rPr>
              <w:t>0.842</w:t>
            </w:r>
          </w:p>
          <w:p w:rsidR="00B3779D" w:rsidRPr="00EF0B36" w:rsidRDefault="00B3779D" w:rsidP="00EF0B36">
            <w:pPr>
              <w:spacing w:after="0"/>
              <w:jc w:val="center"/>
              <w:rPr>
                <w:sz w:val="20"/>
              </w:rPr>
            </w:pPr>
            <w:r w:rsidRPr="00EF0B36">
              <w:rPr>
                <w:sz w:val="20"/>
                <w:lang w:val="en-GB"/>
              </w:rPr>
              <w:t>[0.714, 0.993]</w:t>
            </w:r>
          </w:p>
        </w:tc>
        <w:tc>
          <w:tcPr>
            <w:tcW w:w="1351" w:type="dxa"/>
            <w:gridSpan w:val="2"/>
            <w:shd w:val="clear" w:color="auto" w:fill="auto"/>
            <w:vAlign w:val="center"/>
          </w:tcPr>
          <w:p w:rsidR="00B3779D" w:rsidRPr="00EF0B36" w:rsidRDefault="00B3779D" w:rsidP="00EF0B36">
            <w:pPr>
              <w:spacing w:after="0"/>
              <w:jc w:val="center"/>
              <w:rPr>
                <w:sz w:val="20"/>
                <w:lang w:val="en-GB"/>
              </w:rPr>
            </w:pPr>
            <w:r w:rsidRPr="00EF0B36">
              <w:rPr>
                <w:sz w:val="20"/>
                <w:lang w:val="en-GB"/>
              </w:rPr>
              <w:t>0.644</w:t>
            </w:r>
          </w:p>
          <w:p w:rsidR="00B3779D" w:rsidRPr="00EF0B36" w:rsidRDefault="00B3779D" w:rsidP="00EF0B36">
            <w:pPr>
              <w:spacing w:after="0"/>
              <w:jc w:val="center"/>
              <w:rPr>
                <w:sz w:val="20"/>
              </w:rPr>
            </w:pPr>
            <w:r w:rsidRPr="00EF0B36">
              <w:rPr>
                <w:sz w:val="20"/>
                <w:lang w:val="en-GB"/>
              </w:rPr>
              <w:t>[0.541, 0.766]</w:t>
            </w:r>
          </w:p>
        </w:tc>
        <w:tc>
          <w:tcPr>
            <w:tcW w:w="1270" w:type="dxa"/>
            <w:shd w:val="clear" w:color="auto" w:fill="auto"/>
            <w:vAlign w:val="center"/>
          </w:tcPr>
          <w:p w:rsidR="00B3779D" w:rsidRPr="00EF0B36" w:rsidRDefault="00B3779D" w:rsidP="00EF0B36">
            <w:pPr>
              <w:spacing w:after="0"/>
              <w:jc w:val="center"/>
              <w:rPr>
                <w:sz w:val="20"/>
              </w:rPr>
            </w:pPr>
          </w:p>
        </w:tc>
        <w:tc>
          <w:tcPr>
            <w:tcW w:w="1316" w:type="dxa"/>
            <w:gridSpan w:val="2"/>
            <w:shd w:val="clear" w:color="auto" w:fill="auto"/>
            <w:vAlign w:val="center"/>
          </w:tcPr>
          <w:p w:rsidR="00B3779D" w:rsidRPr="00EF0B36" w:rsidRDefault="00B3779D" w:rsidP="00EF0B36">
            <w:pPr>
              <w:spacing w:after="0"/>
              <w:jc w:val="center"/>
              <w:rPr>
                <w:sz w:val="20"/>
                <w:lang w:val="en-GB"/>
              </w:rPr>
            </w:pPr>
            <w:r w:rsidRPr="00EF0B36">
              <w:rPr>
                <w:sz w:val="20"/>
                <w:lang w:val="en-GB"/>
              </w:rPr>
              <w:t>0.941</w:t>
            </w:r>
          </w:p>
          <w:p w:rsidR="00B3779D" w:rsidRPr="00EF0B36" w:rsidRDefault="00B3779D" w:rsidP="00EF0B36">
            <w:pPr>
              <w:spacing w:after="0"/>
              <w:jc w:val="center"/>
              <w:rPr>
                <w:sz w:val="20"/>
              </w:rPr>
            </w:pPr>
            <w:r w:rsidRPr="00EF0B36">
              <w:rPr>
                <w:sz w:val="18"/>
                <w:lang w:val="en-GB"/>
              </w:rPr>
              <w:t>[0.779, 1.138]</w:t>
            </w:r>
          </w:p>
        </w:tc>
        <w:tc>
          <w:tcPr>
            <w:tcW w:w="1352" w:type="dxa"/>
            <w:shd w:val="clear" w:color="auto" w:fill="auto"/>
            <w:vAlign w:val="center"/>
          </w:tcPr>
          <w:p w:rsidR="00B3779D" w:rsidRPr="00EF0B36" w:rsidRDefault="00B3779D" w:rsidP="00EF0B36">
            <w:pPr>
              <w:spacing w:after="0"/>
              <w:jc w:val="center"/>
              <w:rPr>
                <w:sz w:val="20"/>
                <w:lang w:val="en-GB"/>
              </w:rPr>
            </w:pPr>
            <w:r w:rsidRPr="00EF0B36">
              <w:rPr>
                <w:sz w:val="20"/>
                <w:lang w:val="en-GB"/>
              </w:rPr>
              <w:t>0.630</w:t>
            </w:r>
          </w:p>
          <w:p w:rsidR="00B3779D" w:rsidRPr="00EF0B36" w:rsidRDefault="00B3779D" w:rsidP="00EF0B36">
            <w:pPr>
              <w:spacing w:after="0"/>
              <w:jc w:val="center"/>
              <w:rPr>
                <w:sz w:val="20"/>
              </w:rPr>
            </w:pPr>
            <w:r w:rsidRPr="00EF0B36">
              <w:rPr>
                <w:sz w:val="20"/>
                <w:lang w:val="en-GB"/>
              </w:rPr>
              <w:t>(0.513, 0.773)</w:t>
            </w:r>
          </w:p>
        </w:tc>
      </w:tr>
      <w:tr w:rsidR="00B3779D" w:rsidRPr="00EF0B36" w:rsidTr="00F31022">
        <w:trPr>
          <w:cantSplit/>
          <w:trHeight w:val="22"/>
        </w:trPr>
        <w:tc>
          <w:tcPr>
            <w:tcW w:w="1809" w:type="dxa"/>
            <w:shd w:val="clear" w:color="auto" w:fill="auto"/>
          </w:tcPr>
          <w:p w:rsidR="00B3779D" w:rsidRPr="00EF0B36" w:rsidRDefault="00B3779D" w:rsidP="00E4472F">
            <w:pPr>
              <w:spacing w:after="0"/>
              <w:rPr>
                <w:sz w:val="20"/>
              </w:rPr>
            </w:pPr>
            <w:r w:rsidRPr="00EF0B36">
              <w:rPr>
                <w:i/>
                <w:sz w:val="20"/>
              </w:rPr>
              <w:t>p</w:t>
            </w:r>
            <w:r w:rsidRPr="00EF0B36">
              <w:rPr>
                <w:sz w:val="20"/>
              </w:rPr>
              <w:t>–value</w:t>
            </w:r>
            <w:r w:rsidR="00E4472F">
              <w:rPr>
                <w:sz w:val="20"/>
                <w:vertAlign w:val="superscript"/>
              </w:rPr>
              <w:t>4</w:t>
            </w:r>
          </w:p>
        </w:tc>
        <w:tc>
          <w:tcPr>
            <w:tcW w:w="999" w:type="dxa"/>
            <w:gridSpan w:val="2"/>
            <w:shd w:val="clear" w:color="auto" w:fill="auto"/>
            <w:vAlign w:val="center"/>
          </w:tcPr>
          <w:p w:rsidR="00B3779D" w:rsidRPr="00EF0B36" w:rsidRDefault="00B3779D" w:rsidP="00EF0B36">
            <w:pPr>
              <w:spacing w:after="0"/>
              <w:jc w:val="center"/>
              <w:rPr>
                <w:sz w:val="20"/>
              </w:rPr>
            </w:pPr>
          </w:p>
        </w:tc>
        <w:tc>
          <w:tcPr>
            <w:tcW w:w="1366" w:type="dxa"/>
            <w:shd w:val="clear" w:color="auto" w:fill="auto"/>
            <w:vAlign w:val="center"/>
          </w:tcPr>
          <w:p w:rsidR="00B3779D" w:rsidRPr="00EF0B36" w:rsidRDefault="00B3779D" w:rsidP="00D7678D">
            <w:pPr>
              <w:spacing w:after="0"/>
              <w:jc w:val="center"/>
              <w:rPr>
                <w:sz w:val="20"/>
              </w:rPr>
            </w:pPr>
            <w:r w:rsidRPr="00EF0B36">
              <w:rPr>
                <w:sz w:val="20"/>
              </w:rPr>
              <w:t>0.0204</w:t>
            </w:r>
            <w:r w:rsidR="00D7678D">
              <w:rPr>
                <w:sz w:val="20"/>
                <w:vertAlign w:val="superscript"/>
              </w:rPr>
              <w:t>5</w:t>
            </w:r>
          </w:p>
        </w:tc>
        <w:tc>
          <w:tcPr>
            <w:tcW w:w="1351" w:type="dxa"/>
            <w:gridSpan w:val="2"/>
            <w:shd w:val="clear" w:color="auto" w:fill="auto"/>
            <w:vAlign w:val="center"/>
          </w:tcPr>
          <w:p w:rsidR="00B3779D" w:rsidRPr="00EF0B36" w:rsidRDefault="00B3779D" w:rsidP="00D7678D">
            <w:pPr>
              <w:spacing w:after="0"/>
              <w:jc w:val="center"/>
              <w:rPr>
                <w:sz w:val="20"/>
              </w:rPr>
            </w:pPr>
            <w:r w:rsidRPr="00EF0B36">
              <w:rPr>
                <w:sz w:val="20"/>
              </w:rPr>
              <w:t>&lt; 0.0001</w:t>
            </w:r>
            <w:r w:rsidR="00D7678D">
              <w:rPr>
                <w:sz w:val="20"/>
                <w:vertAlign w:val="superscript"/>
              </w:rPr>
              <w:t>5</w:t>
            </w:r>
          </w:p>
        </w:tc>
        <w:tc>
          <w:tcPr>
            <w:tcW w:w="1270" w:type="dxa"/>
            <w:shd w:val="clear" w:color="auto" w:fill="auto"/>
            <w:vAlign w:val="center"/>
          </w:tcPr>
          <w:p w:rsidR="00B3779D" w:rsidRPr="00EF0B36" w:rsidRDefault="00B3779D" w:rsidP="00EF0B36">
            <w:pPr>
              <w:spacing w:after="0"/>
              <w:jc w:val="center"/>
              <w:rPr>
                <w:sz w:val="20"/>
              </w:rPr>
            </w:pPr>
          </w:p>
        </w:tc>
        <w:tc>
          <w:tcPr>
            <w:tcW w:w="1316" w:type="dxa"/>
            <w:gridSpan w:val="2"/>
            <w:shd w:val="clear" w:color="auto" w:fill="auto"/>
            <w:vAlign w:val="center"/>
          </w:tcPr>
          <w:p w:rsidR="00B3779D" w:rsidRPr="00EF0B36" w:rsidRDefault="00B3779D" w:rsidP="00EF0B36">
            <w:pPr>
              <w:spacing w:after="0"/>
              <w:jc w:val="center"/>
              <w:rPr>
                <w:sz w:val="20"/>
              </w:rPr>
            </w:pPr>
            <w:r w:rsidRPr="00EF0B36">
              <w:rPr>
                <w:sz w:val="20"/>
              </w:rPr>
              <w:t>0.2663</w:t>
            </w:r>
          </w:p>
        </w:tc>
        <w:tc>
          <w:tcPr>
            <w:tcW w:w="1352" w:type="dxa"/>
            <w:shd w:val="clear" w:color="auto" w:fill="auto"/>
            <w:vAlign w:val="center"/>
          </w:tcPr>
          <w:p w:rsidR="00B3779D" w:rsidRPr="00EF0B36" w:rsidRDefault="00B3779D" w:rsidP="00EF0B36">
            <w:pPr>
              <w:spacing w:after="0"/>
              <w:jc w:val="center"/>
              <w:rPr>
                <w:sz w:val="20"/>
              </w:rPr>
            </w:pPr>
            <w:r w:rsidRPr="00EF0B36">
              <w:rPr>
                <w:sz w:val="20"/>
              </w:rPr>
              <w:t>&lt; 0.0001</w:t>
            </w:r>
          </w:p>
        </w:tc>
      </w:tr>
      <w:tr w:rsidR="00B3779D" w:rsidRPr="00EF0B36" w:rsidTr="00F31022">
        <w:trPr>
          <w:cantSplit/>
          <w:trHeight w:val="22"/>
        </w:trPr>
        <w:tc>
          <w:tcPr>
            <w:tcW w:w="9463" w:type="dxa"/>
            <w:gridSpan w:val="10"/>
            <w:shd w:val="clear" w:color="auto" w:fill="auto"/>
          </w:tcPr>
          <w:p w:rsidR="00B3779D" w:rsidRPr="00EF0B36" w:rsidRDefault="00B3779D" w:rsidP="00E4472F">
            <w:pPr>
              <w:spacing w:after="0"/>
              <w:rPr>
                <w:sz w:val="20"/>
              </w:rPr>
            </w:pPr>
            <w:r w:rsidRPr="00EF0B36">
              <w:rPr>
                <w:b/>
                <w:bCs/>
                <w:sz w:val="20"/>
              </w:rPr>
              <w:t>Objective Response Rate</w:t>
            </w:r>
            <w:r w:rsidR="00E4472F">
              <w:rPr>
                <w:sz w:val="20"/>
                <w:vertAlign w:val="superscript"/>
                <w:lang w:val="en-GB"/>
              </w:rPr>
              <w:t>6</w:t>
            </w:r>
            <w:r w:rsidRPr="00EF0B36">
              <w:rPr>
                <w:b/>
                <w:bCs/>
                <w:sz w:val="20"/>
              </w:rPr>
              <w:t>                    </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p>
        </w:tc>
        <w:tc>
          <w:tcPr>
            <w:tcW w:w="3716" w:type="dxa"/>
            <w:gridSpan w:val="5"/>
            <w:shd w:val="clear" w:color="auto" w:fill="auto"/>
            <w:vAlign w:val="center"/>
          </w:tcPr>
          <w:p w:rsidR="00B3779D" w:rsidRPr="00EF0B36" w:rsidRDefault="00B3779D" w:rsidP="00EF0B36">
            <w:pPr>
              <w:spacing w:after="0"/>
              <w:jc w:val="center"/>
              <w:rPr>
                <w:sz w:val="20"/>
              </w:rPr>
            </w:pPr>
            <w:r w:rsidRPr="00EF0B36">
              <w:rPr>
                <w:sz w:val="20"/>
              </w:rPr>
              <w:t>Investigator Assessment</w:t>
            </w:r>
          </w:p>
        </w:tc>
        <w:tc>
          <w:tcPr>
            <w:tcW w:w="3938" w:type="dxa"/>
            <w:gridSpan w:val="4"/>
            <w:shd w:val="clear" w:color="auto" w:fill="auto"/>
            <w:vAlign w:val="center"/>
          </w:tcPr>
          <w:p w:rsidR="00B3779D" w:rsidRPr="00EF0B36" w:rsidRDefault="00B3779D" w:rsidP="00EF0B36">
            <w:pPr>
              <w:spacing w:after="0"/>
              <w:jc w:val="center"/>
              <w:rPr>
                <w:sz w:val="20"/>
              </w:rPr>
            </w:pPr>
            <w:r w:rsidRPr="00EF0B36">
              <w:rPr>
                <w:sz w:val="20"/>
              </w:rPr>
              <w:t>IRC Assessment</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p>
        </w:tc>
        <w:tc>
          <w:tcPr>
            <w:tcW w:w="999" w:type="dxa"/>
            <w:gridSpan w:val="2"/>
            <w:shd w:val="clear" w:color="auto" w:fill="auto"/>
            <w:vAlign w:val="center"/>
          </w:tcPr>
          <w:p w:rsidR="00B3779D" w:rsidRPr="00EF0B36" w:rsidRDefault="00B3779D" w:rsidP="00EF0B36">
            <w:pPr>
              <w:spacing w:after="0"/>
              <w:jc w:val="center"/>
              <w:rPr>
                <w:rFonts w:eastAsia="SimSun"/>
                <w:b/>
                <w:sz w:val="20"/>
                <w:lang w:val="en-GB" w:eastAsia="zh-CN" w:bidi="en-US"/>
              </w:rPr>
            </w:pPr>
            <w:r w:rsidRPr="00EF0B36">
              <w:rPr>
                <w:rFonts w:eastAsia="SimSun"/>
                <w:b/>
                <w:sz w:val="20"/>
                <w:lang w:val="en-GB" w:eastAsia="zh-CN" w:bidi="en-US"/>
              </w:rPr>
              <w:t xml:space="preserve">CPP </w:t>
            </w:r>
          </w:p>
          <w:p w:rsidR="00B3779D" w:rsidRPr="00EF0B36" w:rsidRDefault="00B3779D" w:rsidP="00EF0B36">
            <w:pPr>
              <w:spacing w:after="0"/>
              <w:jc w:val="center"/>
              <w:rPr>
                <w:sz w:val="20"/>
              </w:rPr>
            </w:pPr>
            <w:r w:rsidRPr="00EF0B36">
              <w:rPr>
                <w:sz w:val="20"/>
                <w:lang w:val="en-GB"/>
              </w:rPr>
              <w:t>(</w:t>
            </w:r>
            <w:r w:rsidRPr="00EF0B36">
              <w:rPr>
                <w:i/>
                <w:sz w:val="20"/>
                <w:lang w:val="en-GB"/>
              </w:rPr>
              <w:t xml:space="preserve">n </w:t>
            </w:r>
            <w:r w:rsidRPr="00EF0B36">
              <w:rPr>
                <w:sz w:val="20"/>
                <w:lang w:val="en-GB"/>
              </w:rPr>
              <w:t>= 396)</w:t>
            </w:r>
          </w:p>
        </w:tc>
        <w:tc>
          <w:tcPr>
            <w:tcW w:w="1366" w:type="dxa"/>
            <w:shd w:val="clear" w:color="auto" w:fill="auto"/>
            <w:vAlign w:val="center"/>
          </w:tcPr>
          <w:p w:rsidR="00B3779D" w:rsidRPr="00EF0B36" w:rsidRDefault="00B3779D" w:rsidP="00EF0B36">
            <w:pPr>
              <w:spacing w:after="0"/>
              <w:jc w:val="center"/>
              <w:rPr>
                <w:rFonts w:eastAsia="SimSun"/>
                <w:b/>
                <w:sz w:val="20"/>
                <w:lang w:val="en-GB" w:eastAsia="zh-CN" w:bidi="en-US"/>
              </w:rPr>
            </w:pPr>
            <w:r w:rsidRPr="00EF0B36">
              <w:rPr>
                <w:rFonts w:eastAsia="SimSun"/>
                <w:b/>
                <w:sz w:val="20"/>
                <w:lang w:val="en-GB" w:eastAsia="zh-CN" w:bidi="en-US"/>
              </w:rPr>
              <w:t xml:space="preserve">CPB15 </w:t>
            </w:r>
          </w:p>
          <w:p w:rsidR="00B3779D" w:rsidRPr="00EF0B36" w:rsidRDefault="00B3779D" w:rsidP="00EF0B36">
            <w:pPr>
              <w:spacing w:after="0"/>
              <w:jc w:val="center"/>
              <w:rPr>
                <w:sz w:val="20"/>
              </w:rPr>
            </w:pPr>
            <w:r w:rsidRPr="00EF0B36">
              <w:rPr>
                <w:sz w:val="20"/>
              </w:rPr>
              <w:t>(</w:t>
            </w:r>
            <w:r w:rsidRPr="00EF0B36">
              <w:rPr>
                <w:i/>
                <w:sz w:val="20"/>
              </w:rPr>
              <w:t xml:space="preserve">n </w:t>
            </w:r>
            <w:r w:rsidRPr="00EF0B36">
              <w:rPr>
                <w:sz w:val="20"/>
              </w:rPr>
              <w:t>= 393)</w:t>
            </w:r>
            <w:r w:rsidRPr="00EF0B36">
              <w:rPr>
                <w:sz w:val="20"/>
                <w:vertAlign w:val="superscript"/>
              </w:rPr>
              <w:t xml:space="preserve"> </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 xml:space="preserve">CPB15+ </w:t>
            </w:r>
            <w:r w:rsidRPr="00EF0B36">
              <w:rPr>
                <w:sz w:val="20"/>
                <w:lang w:bidi="en-US"/>
              </w:rPr>
              <w:t xml:space="preserve">      </w:t>
            </w:r>
            <w:r w:rsidRPr="00EF0B36">
              <w:rPr>
                <w:sz w:val="20"/>
              </w:rPr>
              <w:t>(</w:t>
            </w:r>
            <w:r w:rsidRPr="00EF0B36">
              <w:rPr>
                <w:i/>
                <w:sz w:val="20"/>
              </w:rPr>
              <w:t xml:space="preserve">n </w:t>
            </w:r>
            <w:r w:rsidRPr="00EF0B36">
              <w:rPr>
                <w:sz w:val="20"/>
              </w:rPr>
              <w:t>= 403)</w:t>
            </w:r>
            <w:r w:rsidRPr="00EF0B36">
              <w:rPr>
                <w:sz w:val="20"/>
                <w:vertAlign w:val="superscript"/>
              </w:rPr>
              <w:t xml:space="preserve"> </w:t>
            </w:r>
          </w:p>
        </w:tc>
        <w:tc>
          <w:tcPr>
            <w:tcW w:w="1270" w:type="dxa"/>
            <w:shd w:val="clear" w:color="auto" w:fill="auto"/>
            <w:vAlign w:val="center"/>
          </w:tcPr>
          <w:p w:rsidR="00B3779D" w:rsidRPr="00EF0B36" w:rsidRDefault="00B3779D" w:rsidP="00EF0B36">
            <w:pPr>
              <w:spacing w:after="0"/>
              <w:jc w:val="center"/>
              <w:rPr>
                <w:sz w:val="20"/>
                <w:lang w:val="en-GB"/>
              </w:rPr>
            </w:pPr>
            <w:r w:rsidRPr="00EF0B36">
              <w:rPr>
                <w:rFonts w:eastAsia="SimSun"/>
                <w:b/>
                <w:sz w:val="20"/>
                <w:lang w:val="en-GB" w:eastAsia="zh-CN" w:bidi="en-US"/>
              </w:rPr>
              <w:t>CPP</w:t>
            </w:r>
            <w:r w:rsidRPr="00EF0B36">
              <w:rPr>
                <w:sz w:val="20"/>
                <w:lang w:val="en-GB"/>
              </w:rPr>
              <w:t xml:space="preserve"> </w:t>
            </w:r>
          </w:p>
          <w:p w:rsidR="00B3779D" w:rsidRPr="00EF0B36" w:rsidRDefault="00B3779D" w:rsidP="00EF0B36">
            <w:pPr>
              <w:spacing w:after="0"/>
              <w:jc w:val="center"/>
              <w:rPr>
                <w:sz w:val="20"/>
              </w:rPr>
            </w:pPr>
            <w:r w:rsidRPr="00EF0B36">
              <w:rPr>
                <w:sz w:val="20"/>
                <w:lang w:val="en-GB"/>
              </w:rPr>
              <w:t>(</w:t>
            </w:r>
            <w:r w:rsidRPr="00EF0B36">
              <w:rPr>
                <w:i/>
                <w:sz w:val="20"/>
                <w:lang w:val="en-GB"/>
              </w:rPr>
              <w:t xml:space="preserve">n </w:t>
            </w:r>
            <w:r w:rsidRPr="00EF0B36">
              <w:rPr>
                <w:sz w:val="20"/>
                <w:lang w:val="en-GB"/>
              </w:rPr>
              <w:t>= 474)</w:t>
            </w:r>
            <w:r w:rsidRPr="00EF0B36">
              <w:rPr>
                <w:sz w:val="20"/>
                <w:vertAlign w:val="superscript"/>
                <w:lang w:val="en-GB"/>
              </w:rPr>
              <w:t xml:space="preserve"> </w:t>
            </w:r>
          </w:p>
        </w:tc>
        <w:tc>
          <w:tcPr>
            <w:tcW w:w="1316" w:type="dxa"/>
            <w:gridSpan w:val="2"/>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CPB15</w:t>
            </w:r>
            <w:r w:rsidRPr="00EF0B36">
              <w:rPr>
                <w:sz w:val="20"/>
              </w:rPr>
              <w:t xml:space="preserve">         (</w:t>
            </w:r>
            <w:r w:rsidRPr="00EF0B36">
              <w:rPr>
                <w:i/>
                <w:sz w:val="20"/>
              </w:rPr>
              <w:t xml:space="preserve">n </w:t>
            </w:r>
            <w:r w:rsidRPr="00EF0B36">
              <w:rPr>
                <w:sz w:val="20"/>
              </w:rPr>
              <w:t>= 460)</w:t>
            </w:r>
          </w:p>
        </w:tc>
        <w:tc>
          <w:tcPr>
            <w:tcW w:w="1352" w:type="dxa"/>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CPB15+</w:t>
            </w:r>
            <w:r w:rsidRPr="00EF0B36">
              <w:rPr>
                <w:sz w:val="20"/>
              </w:rPr>
              <w:t xml:space="preserve">       (</w:t>
            </w:r>
            <w:r w:rsidRPr="00EF0B36">
              <w:rPr>
                <w:i/>
                <w:sz w:val="20"/>
              </w:rPr>
              <w:t xml:space="preserve">n </w:t>
            </w:r>
            <w:r w:rsidRPr="00EF0B36">
              <w:rPr>
                <w:sz w:val="20"/>
              </w:rPr>
              <w:t>= 499)</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r w:rsidRPr="00EF0B36">
              <w:rPr>
                <w:sz w:val="20"/>
              </w:rPr>
              <w:t xml:space="preserve">% </w:t>
            </w:r>
            <w:proofErr w:type="spellStart"/>
            <w:r w:rsidRPr="00EF0B36">
              <w:rPr>
                <w:sz w:val="20"/>
              </w:rPr>
              <w:t>pts</w:t>
            </w:r>
            <w:proofErr w:type="spellEnd"/>
            <w:r w:rsidRPr="00EF0B36">
              <w:rPr>
                <w:sz w:val="20"/>
              </w:rPr>
              <w:t xml:space="preserve"> with objective response</w:t>
            </w:r>
          </w:p>
        </w:tc>
        <w:tc>
          <w:tcPr>
            <w:tcW w:w="999"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63.4</w:t>
            </w:r>
          </w:p>
        </w:tc>
        <w:tc>
          <w:tcPr>
            <w:tcW w:w="1366" w:type="dxa"/>
            <w:shd w:val="clear" w:color="auto" w:fill="auto"/>
            <w:vAlign w:val="center"/>
          </w:tcPr>
          <w:p w:rsidR="00B3779D" w:rsidRPr="00EF0B36" w:rsidRDefault="00B3779D" w:rsidP="00EF0B36">
            <w:pPr>
              <w:spacing w:after="0"/>
              <w:jc w:val="center"/>
              <w:rPr>
                <w:sz w:val="20"/>
              </w:rPr>
            </w:pPr>
            <w:r w:rsidRPr="00EF0B36">
              <w:rPr>
                <w:sz w:val="20"/>
                <w:lang w:val="en-GB"/>
              </w:rPr>
              <w:t>66.2</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66.0</w:t>
            </w:r>
          </w:p>
        </w:tc>
        <w:tc>
          <w:tcPr>
            <w:tcW w:w="1270" w:type="dxa"/>
            <w:shd w:val="clear" w:color="auto" w:fill="auto"/>
            <w:vAlign w:val="center"/>
          </w:tcPr>
          <w:p w:rsidR="00B3779D" w:rsidRPr="00EF0B36" w:rsidRDefault="00B3779D" w:rsidP="00EF0B36">
            <w:pPr>
              <w:spacing w:after="0"/>
              <w:jc w:val="center"/>
              <w:rPr>
                <w:sz w:val="20"/>
              </w:rPr>
            </w:pPr>
            <w:r w:rsidRPr="00EF0B36">
              <w:rPr>
                <w:sz w:val="20"/>
                <w:lang w:val="en-GB"/>
              </w:rPr>
              <w:t>68.8</w:t>
            </w:r>
          </w:p>
        </w:tc>
        <w:tc>
          <w:tcPr>
            <w:tcW w:w="1316"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75.4</w:t>
            </w:r>
          </w:p>
        </w:tc>
        <w:tc>
          <w:tcPr>
            <w:tcW w:w="1352" w:type="dxa"/>
            <w:shd w:val="clear" w:color="auto" w:fill="auto"/>
            <w:vAlign w:val="center"/>
          </w:tcPr>
          <w:p w:rsidR="00B3779D" w:rsidRPr="00EF0B36" w:rsidRDefault="00B3779D" w:rsidP="00EF0B36">
            <w:pPr>
              <w:spacing w:after="0"/>
              <w:jc w:val="center"/>
              <w:rPr>
                <w:sz w:val="20"/>
              </w:rPr>
            </w:pPr>
            <w:r w:rsidRPr="00EF0B36">
              <w:rPr>
                <w:sz w:val="20"/>
                <w:lang w:val="en-GB"/>
              </w:rPr>
              <w:t>77.4</w:t>
            </w:r>
          </w:p>
        </w:tc>
      </w:tr>
      <w:tr w:rsidR="00B3779D" w:rsidRPr="00EF0B36" w:rsidTr="00F31022">
        <w:trPr>
          <w:cantSplit/>
          <w:trHeight w:val="22"/>
        </w:trPr>
        <w:tc>
          <w:tcPr>
            <w:tcW w:w="1809" w:type="dxa"/>
            <w:shd w:val="clear" w:color="auto" w:fill="auto"/>
          </w:tcPr>
          <w:p w:rsidR="00B3779D" w:rsidRPr="00EF0B36" w:rsidRDefault="00B3779D" w:rsidP="00E4472F">
            <w:pPr>
              <w:spacing w:after="0"/>
              <w:rPr>
                <w:sz w:val="20"/>
              </w:rPr>
            </w:pPr>
            <w:r w:rsidRPr="00EF0B36">
              <w:rPr>
                <w:i/>
                <w:sz w:val="20"/>
              </w:rPr>
              <w:t>p</w:t>
            </w:r>
            <w:r w:rsidRPr="00EF0B36">
              <w:rPr>
                <w:sz w:val="20"/>
              </w:rPr>
              <w:t>–value</w:t>
            </w:r>
            <w:r w:rsidR="00E4472F">
              <w:rPr>
                <w:sz w:val="20"/>
                <w:vertAlign w:val="superscript"/>
              </w:rPr>
              <w:t>4</w:t>
            </w:r>
          </w:p>
        </w:tc>
        <w:tc>
          <w:tcPr>
            <w:tcW w:w="999" w:type="dxa"/>
            <w:gridSpan w:val="2"/>
            <w:shd w:val="clear" w:color="auto" w:fill="auto"/>
            <w:vAlign w:val="center"/>
          </w:tcPr>
          <w:p w:rsidR="00B3779D" w:rsidRPr="00EF0B36" w:rsidRDefault="00B3779D" w:rsidP="00EF0B36">
            <w:pPr>
              <w:spacing w:after="0"/>
              <w:jc w:val="center"/>
              <w:rPr>
                <w:sz w:val="20"/>
              </w:rPr>
            </w:pPr>
          </w:p>
        </w:tc>
        <w:tc>
          <w:tcPr>
            <w:tcW w:w="1366" w:type="dxa"/>
            <w:shd w:val="clear" w:color="auto" w:fill="auto"/>
            <w:vAlign w:val="center"/>
          </w:tcPr>
          <w:p w:rsidR="00B3779D" w:rsidRPr="00EF0B36" w:rsidRDefault="00B3779D" w:rsidP="00EF0B36">
            <w:pPr>
              <w:spacing w:after="0"/>
              <w:jc w:val="center"/>
              <w:rPr>
                <w:sz w:val="20"/>
              </w:rPr>
            </w:pPr>
            <w:r w:rsidRPr="00EF0B36">
              <w:rPr>
                <w:sz w:val="20"/>
                <w:lang w:val="en-GB"/>
              </w:rPr>
              <w:t>0.2341</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 0.2041</w:t>
            </w:r>
          </w:p>
        </w:tc>
        <w:tc>
          <w:tcPr>
            <w:tcW w:w="1270" w:type="dxa"/>
            <w:shd w:val="clear" w:color="auto" w:fill="auto"/>
            <w:vAlign w:val="center"/>
          </w:tcPr>
          <w:p w:rsidR="00B3779D" w:rsidRPr="00EF0B36" w:rsidRDefault="00B3779D" w:rsidP="00EF0B36">
            <w:pPr>
              <w:spacing w:after="0"/>
              <w:jc w:val="center"/>
              <w:rPr>
                <w:sz w:val="20"/>
              </w:rPr>
            </w:pPr>
          </w:p>
        </w:tc>
        <w:tc>
          <w:tcPr>
            <w:tcW w:w="1316"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0.0106</w:t>
            </w:r>
          </w:p>
        </w:tc>
        <w:tc>
          <w:tcPr>
            <w:tcW w:w="1352" w:type="dxa"/>
            <w:shd w:val="clear" w:color="auto" w:fill="auto"/>
            <w:vAlign w:val="center"/>
          </w:tcPr>
          <w:p w:rsidR="00B3779D" w:rsidRPr="00EF0B36" w:rsidRDefault="00B3779D" w:rsidP="00EF0B36">
            <w:pPr>
              <w:spacing w:after="0"/>
              <w:jc w:val="center"/>
              <w:rPr>
                <w:sz w:val="20"/>
              </w:rPr>
            </w:pPr>
            <w:r w:rsidRPr="00EF0B36">
              <w:rPr>
                <w:sz w:val="20"/>
                <w:lang w:val="en-GB"/>
              </w:rPr>
              <w:t>0.0012</w:t>
            </w:r>
          </w:p>
        </w:tc>
      </w:tr>
      <w:tr w:rsidR="00B3779D" w:rsidRPr="00EF0B36" w:rsidTr="00F31022">
        <w:trPr>
          <w:cantSplit/>
          <w:trHeight w:val="22"/>
        </w:trPr>
        <w:tc>
          <w:tcPr>
            <w:tcW w:w="9463" w:type="dxa"/>
            <w:gridSpan w:val="10"/>
            <w:shd w:val="clear" w:color="auto" w:fill="auto"/>
          </w:tcPr>
          <w:p w:rsidR="00B3779D" w:rsidRPr="00EF0B36" w:rsidRDefault="00B3779D" w:rsidP="00EF0B36">
            <w:pPr>
              <w:spacing w:after="0"/>
              <w:rPr>
                <w:sz w:val="20"/>
              </w:rPr>
            </w:pPr>
            <w:r w:rsidRPr="00EF0B36">
              <w:rPr>
                <w:b/>
                <w:bCs/>
                <w:sz w:val="20"/>
              </w:rPr>
              <w:t>Overall Survival</w:t>
            </w:r>
            <w:r w:rsidR="00E4472F">
              <w:rPr>
                <w:sz w:val="20"/>
                <w:vertAlign w:val="superscript"/>
                <w:lang w:val="en-GB"/>
              </w:rPr>
              <w:t>7</w:t>
            </w:r>
          </w:p>
        </w:tc>
      </w:tr>
      <w:tr w:rsidR="00B3779D" w:rsidRPr="00EF0B36" w:rsidTr="001D4AE0">
        <w:trPr>
          <w:cantSplit/>
          <w:trHeight w:val="22"/>
        </w:trPr>
        <w:tc>
          <w:tcPr>
            <w:tcW w:w="2802" w:type="dxa"/>
            <w:gridSpan w:val="2"/>
            <w:shd w:val="clear" w:color="auto" w:fill="auto"/>
          </w:tcPr>
          <w:p w:rsidR="00B3779D" w:rsidRPr="00EF0B36" w:rsidRDefault="00B3779D" w:rsidP="00EF0B36">
            <w:pPr>
              <w:spacing w:after="0"/>
              <w:rPr>
                <w:sz w:val="20"/>
              </w:rPr>
            </w:pPr>
          </w:p>
        </w:tc>
        <w:tc>
          <w:tcPr>
            <w:tcW w:w="2126" w:type="dxa"/>
            <w:gridSpan w:val="3"/>
            <w:shd w:val="clear" w:color="auto" w:fill="auto"/>
            <w:vAlign w:val="center"/>
          </w:tcPr>
          <w:p w:rsidR="00B3779D" w:rsidRPr="00EF0B36" w:rsidRDefault="00B3779D" w:rsidP="00EF0B36">
            <w:pPr>
              <w:spacing w:after="0"/>
              <w:jc w:val="center"/>
              <w:rPr>
                <w:sz w:val="20"/>
                <w:lang w:val="en-GB" w:bidi="en-US"/>
              </w:rPr>
            </w:pPr>
            <w:r w:rsidRPr="00EF0B36">
              <w:rPr>
                <w:rFonts w:eastAsia="SimSun"/>
                <w:b/>
                <w:sz w:val="20"/>
                <w:lang w:val="en-GB" w:eastAsia="zh-CN" w:bidi="en-US"/>
              </w:rPr>
              <w:t>CPP</w:t>
            </w:r>
            <w:r w:rsidRPr="00EF0B36">
              <w:rPr>
                <w:sz w:val="20"/>
                <w:lang w:val="en-GB" w:bidi="en-US"/>
              </w:rPr>
              <w:t xml:space="preserve">  </w:t>
            </w:r>
          </w:p>
          <w:p w:rsidR="00B3779D" w:rsidRPr="00EF0B36" w:rsidRDefault="00B3779D" w:rsidP="00EF0B36">
            <w:pPr>
              <w:spacing w:after="0"/>
              <w:jc w:val="center"/>
              <w:rPr>
                <w:sz w:val="20"/>
              </w:rPr>
            </w:pPr>
            <w:r w:rsidRPr="00EF0B36">
              <w:rPr>
                <w:sz w:val="20"/>
                <w:lang w:val="en-GB"/>
              </w:rPr>
              <w:t>(</w:t>
            </w:r>
            <w:r w:rsidRPr="00EF0B36">
              <w:rPr>
                <w:i/>
                <w:sz w:val="20"/>
                <w:lang w:val="en-GB"/>
              </w:rPr>
              <w:t xml:space="preserve">n </w:t>
            </w:r>
            <w:r w:rsidRPr="00EF0B36">
              <w:rPr>
                <w:sz w:val="20"/>
                <w:lang w:val="en-GB"/>
              </w:rPr>
              <w:t>= 625)</w:t>
            </w:r>
          </w:p>
        </w:tc>
        <w:tc>
          <w:tcPr>
            <w:tcW w:w="2268" w:type="dxa"/>
            <w:gridSpan w:val="3"/>
            <w:shd w:val="clear" w:color="auto" w:fill="auto"/>
            <w:vAlign w:val="center"/>
          </w:tcPr>
          <w:p w:rsidR="00B3779D" w:rsidRPr="00EF0B36" w:rsidRDefault="00B3779D" w:rsidP="00EF0B36">
            <w:pPr>
              <w:spacing w:after="0"/>
              <w:jc w:val="center"/>
              <w:rPr>
                <w:sz w:val="20"/>
                <w:lang w:val="en-GB" w:bidi="en-US"/>
              </w:rPr>
            </w:pPr>
            <w:r w:rsidRPr="00EF0B36">
              <w:rPr>
                <w:rFonts w:eastAsia="SimSun"/>
                <w:b/>
                <w:sz w:val="20"/>
                <w:lang w:val="en-GB" w:eastAsia="zh-CN" w:bidi="en-US"/>
              </w:rPr>
              <w:t>CPB15</w:t>
            </w:r>
            <w:r w:rsidRPr="00EF0B36">
              <w:rPr>
                <w:sz w:val="20"/>
                <w:lang w:val="en-GB" w:bidi="en-US"/>
              </w:rPr>
              <w:t xml:space="preserve"> </w:t>
            </w:r>
          </w:p>
          <w:p w:rsidR="00B3779D" w:rsidRPr="00EF0B36" w:rsidRDefault="00B3779D" w:rsidP="00E4472F">
            <w:pPr>
              <w:spacing w:after="0"/>
              <w:jc w:val="center"/>
              <w:rPr>
                <w:sz w:val="20"/>
              </w:rPr>
            </w:pPr>
            <w:r w:rsidRPr="00EF0B36">
              <w:rPr>
                <w:sz w:val="20"/>
                <w:lang w:val="en-GB"/>
              </w:rPr>
              <w:t>(</w:t>
            </w:r>
            <w:r w:rsidRPr="00EF0B36">
              <w:rPr>
                <w:i/>
                <w:sz w:val="20"/>
                <w:lang w:val="en-GB"/>
              </w:rPr>
              <w:t xml:space="preserve">n </w:t>
            </w:r>
            <w:r w:rsidRPr="00EF0B36">
              <w:rPr>
                <w:sz w:val="20"/>
                <w:lang w:val="en-GB"/>
              </w:rPr>
              <w:t xml:space="preserve">= </w:t>
            </w:r>
            <w:r w:rsidR="00E4472F">
              <w:rPr>
                <w:sz w:val="20"/>
                <w:lang w:val="en-GB"/>
              </w:rPr>
              <w:t>625</w:t>
            </w:r>
            <w:r w:rsidRPr="00EF0B36">
              <w:rPr>
                <w:sz w:val="20"/>
                <w:lang w:val="en-GB"/>
              </w:rPr>
              <w:t>)</w:t>
            </w:r>
          </w:p>
        </w:tc>
        <w:tc>
          <w:tcPr>
            <w:tcW w:w="2267" w:type="dxa"/>
            <w:gridSpan w:val="2"/>
            <w:shd w:val="clear" w:color="auto" w:fill="auto"/>
            <w:vAlign w:val="center"/>
          </w:tcPr>
          <w:p w:rsidR="00B3779D" w:rsidRPr="00EF0B36" w:rsidRDefault="00B3779D" w:rsidP="00EF0B36">
            <w:pPr>
              <w:spacing w:after="0"/>
              <w:jc w:val="center"/>
              <w:rPr>
                <w:sz w:val="20"/>
                <w:lang w:bidi="en-US"/>
              </w:rPr>
            </w:pPr>
            <w:r w:rsidRPr="00EF0B36">
              <w:rPr>
                <w:rFonts w:eastAsia="SimSun"/>
                <w:b/>
                <w:sz w:val="20"/>
                <w:lang w:val="en-GB" w:eastAsia="zh-CN" w:bidi="en-US"/>
              </w:rPr>
              <w:t>CPB15+</w:t>
            </w:r>
            <w:r w:rsidRPr="00EF0B36">
              <w:rPr>
                <w:sz w:val="20"/>
                <w:lang w:bidi="en-US"/>
              </w:rPr>
              <w:t xml:space="preserve"> </w:t>
            </w:r>
          </w:p>
          <w:p w:rsidR="00B3779D" w:rsidRPr="00EF0B36" w:rsidRDefault="00B3779D" w:rsidP="00E4472F">
            <w:pPr>
              <w:spacing w:after="0"/>
              <w:jc w:val="center"/>
              <w:rPr>
                <w:sz w:val="20"/>
              </w:rPr>
            </w:pPr>
            <w:r w:rsidRPr="00EF0B36">
              <w:rPr>
                <w:sz w:val="20"/>
              </w:rPr>
              <w:t>(</w:t>
            </w:r>
            <w:r w:rsidRPr="00EF0B36">
              <w:rPr>
                <w:i/>
                <w:sz w:val="20"/>
              </w:rPr>
              <w:t xml:space="preserve">n </w:t>
            </w:r>
            <w:r w:rsidRPr="00EF0B36">
              <w:rPr>
                <w:sz w:val="20"/>
              </w:rPr>
              <w:t xml:space="preserve">= </w:t>
            </w:r>
            <w:r w:rsidR="00E4472F">
              <w:rPr>
                <w:sz w:val="20"/>
              </w:rPr>
              <w:t>623</w:t>
            </w:r>
            <w:r w:rsidRPr="00EF0B36">
              <w:rPr>
                <w:sz w:val="20"/>
              </w:rPr>
              <w:t>)</w:t>
            </w:r>
          </w:p>
        </w:tc>
      </w:tr>
      <w:tr w:rsidR="00B3779D" w:rsidRPr="00EF0B36" w:rsidTr="001D4AE0">
        <w:trPr>
          <w:cantSplit/>
          <w:trHeight w:val="22"/>
        </w:trPr>
        <w:tc>
          <w:tcPr>
            <w:tcW w:w="2802" w:type="dxa"/>
            <w:gridSpan w:val="2"/>
            <w:shd w:val="clear" w:color="auto" w:fill="auto"/>
          </w:tcPr>
          <w:p w:rsidR="00B3779D" w:rsidRPr="00EF0B36" w:rsidRDefault="00B3779D" w:rsidP="00EF0B36">
            <w:pPr>
              <w:spacing w:after="0"/>
              <w:rPr>
                <w:sz w:val="20"/>
              </w:rPr>
            </w:pPr>
            <w:r w:rsidRPr="00EF0B36">
              <w:rPr>
                <w:sz w:val="20"/>
              </w:rPr>
              <w:t>Median OS (months)</w:t>
            </w:r>
          </w:p>
        </w:tc>
        <w:tc>
          <w:tcPr>
            <w:tcW w:w="2126" w:type="dxa"/>
            <w:gridSpan w:val="3"/>
            <w:shd w:val="clear" w:color="auto" w:fill="auto"/>
            <w:vAlign w:val="center"/>
          </w:tcPr>
          <w:p w:rsidR="00B3779D" w:rsidRPr="00EF0B36" w:rsidRDefault="00F846FD" w:rsidP="00EF0B36">
            <w:pPr>
              <w:spacing w:after="0"/>
              <w:jc w:val="center"/>
              <w:rPr>
                <w:sz w:val="20"/>
              </w:rPr>
            </w:pPr>
            <w:r>
              <w:rPr>
                <w:sz w:val="20"/>
              </w:rPr>
              <w:t>40.6</w:t>
            </w:r>
          </w:p>
        </w:tc>
        <w:tc>
          <w:tcPr>
            <w:tcW w:w="2268" w:type="dxa"/>
            <w:gridSpan w:val="3"/>
            <w:shd w:val="clear" w:color="auto" w:fill="auto"/>
            <w:vAlign w:val="center"/>
          </w:tcPr>
          <w:p w:rsidR="00B3779D" w:rsidRPr="00EF0B36" w:rsidRDefault="00F846FD" w:rsidP="00EF0B36">
            <w:pPr>
              <w:spacing w:after="0"/>
              <w:jc w:val="center"/>
              <w:rPr>
                <w:sz w:val="20"/>
              </w:rPr>
            </w:pPr>
            <w:r>
              <w:rPr>
                <w:sz w:val="20"/>
              </w:rPr>
              <w:t>38.8</w:t>
            </w:r>
          </w:p>
        </w:tc>
        <w:tc>
          <w:tcPr>
            <w:tcW w:w="2267" w:type="dxa"/>
            <w:gridSpan w:val="2"/>
            <w:shd w:val="clear" w:color="auto" w:fill="auto"/>
            <w:vAlign w:val="center"/>
          </w:tcPr>
          <w:p w:rsidR="00B3779D" w:rsidRPr="00EF0B36" w:rsidRDefault="00F846FD" w:rsidP="00EF0B36">
            <w:pPr>
              <w:spacing w:after="0"/>
              <w:jc w:val="center"/>
              <w:rPr>
                <w:sz w:val="20"/>
              </w:rPr>
            </w:pPr>
            <w:r>
              <w:rPr>
                <w:sz w:val="20"/>
              </w:rPr>
              <w:t>43.8</w:t>
            </w:r>
          </w:p>
        </w:tc>
      </w:tr>
      <w:tr w:rsidR="00B3779D" w:rsidRPr="00EF0B36" w:rsidTr="001D4AE0">
        <w:trPr>
          <w:cantSplit/>
          <w:trHeight w:val="22"/>
        </w:trPr>
        <w:tc>
          <w:tcPr>
            <w:tcW w:w="2802" w:type="dxa"/>
            <w:gridSpan w:val="2"/>
            <w:shd w:val="clear" w:color="auto" w:fill="auto"/>
          </w:tcPr>
          <w:p w:rsidR="00B3779D" w:rsidRPr="00EF0B36" w:rsidRDefault="00B3779D" w:rsidP="002A46FC">
            <w:pPr>
              <w:spacing w:after="0"/>
              <w:rPr>
                <w:sz w:val="20"/>
              </w:rPr>
            </w:pPr>
            <w:r w:rsidRPr="00EF0B36">
              <w:rPr>
                <w:sz w:val="20"/>
              </w:rPr>
              <w:t>Hazard Ratio (95% CI)</w:t>
            </w:r>
            <w:r w:rsidR="00E4472F" w:rsidRPr="00EF0B36">
              <w:rPr>
                <w:sz w:val="20"/>
                <w:vertAlign w:val="superscript"/>
              </w:rPr>
              <w:t>3</w:t>
            </w:r>
          </w:p>
        </w:tc>
        <w:tc>
          <w:tcPr>
            <w:tcW w:w="2126" w:type="dxa"/>
            <w:gridSpan w:val="3"/>
            <w:shd w:val="clear" w:color="auto" w:fill="auto"/>
            <w:vAlign w:val="center"/>
          </w:tcPr>
          <w:p w:rsidR="00B3779D" w:rsidRPr="00EF0B36" w:rsidRDefault="00B3779D" w:rsidP="00EF0B36">
            <w:pPr>
              <w:spacing w:after="0"/>
              <w:jc w:val="center"/>
              <w:rPr>
                <w:sz w:val="20"/>
              </w:rPr>
            </w:pPr>
          </w:p>
        </w:tc>
        <w:tc>
          <w:tcPr>
            <w:tcW w:w="2268" w:type="dxa"/>
            <w:gridSpan w:val="3"/>
            <w:shd w:val="clear" w:color="auto" w:fill="auto"/>
            <w:vAlign w:val="center"/>
          </w:tcPr>
          <w:p w:rsidR="00B3779D" w:rsidRPr="00EF0B36" w:rsidRDefault="00B3779D" w:rsidP="00E10FEE">
            <w:pPr>
              <w:spacing w:after="0"/>
              <w:jc w:val="center"/>
              <w:rPr>
                <w:sz w:val="20"/>
              </w:rPr>
            </w:pPr>
            <w:r w:rsidRPr="00EF0B36">
              <w:rPr>
                <w:sz w:val="20"/>
                <w:lang w:val="en-GB"/>
              </w:rPr>
              <w:t>1.</w:t>
            </w:r>
            <w:r w:rsidR="00F846FD">
              <w:rPr>
                <w:sz w:val="20"/>
                <w:lang w:val="en-GB"/>
              </w:rPr>
              <w:t>07</w:t>
            </w:r>
            <w:r w:rsidR="00F846FD" w:rsidRPr="00EF0B36">
              <w:rPr>
                <w:sz w:val="20"/>
                <w:lang w:val="en-GB"/>
              </w:rPr>
              <w:t xml:space="preserve"> </w:t>
            </w:r>
            <w:r w:rsidRPr="00EF0B36">
              <w:rPr>
                <w:sz w:val="20"/>
                <w:lang w:val="en-GB"/>
              </w:rPr>
              <w:t>(0.</w:t>
            </w:r>
            <w:r w:rsidR="00F846FD">
              <w:rPr>
                <w:sz w:val="20"/>
                <w:lang w:val="en-GB"/>
              </w:rPr>
              <w:t>91</w:t>
            </w:r>
            <w:r w:rsidRPr="00EF0B36">
              <w:rPr>
                <w:sz w:val="20"/>
                <w:lang w:val="en-GB"/>
              </w:rPr>
              <w:t>, 1.</w:t>
            </w:r>
            <w:r w:rsidR="00E10FEE">
              <w:rPr>
                <w:sz w:val="20"/>
                <w:lang w:val="en-GB"/>
              </w:rPr>
              <w:t>25</w:t>
            </w:r>
            <w:r w:rsidRPr="00EF0B36">
              <w:rPr>
                <w:sz w:val="20"/>
                <w:lang w:val="en-GB"/>
              </w:rPr>
              <w:t>)</w:t>
            </w:r>
          </w:p>
        </w:tc>
        <w:tc>
          <w:tcPr>
            <w:tcW w:w="2267" w:type="dxa"/>
            <w:gridSpan w:val="2"/>
            <w:shd w:val="clear" w:color="auto" w:fill="auto"/>
            <w:vAlign w:val="center"/>
          </w:tcPr>
          <w:p w:rsidR="00B3779D" w:rsidRPr="00EF0B36" w:rsidRDefault="00B3779D" w:rsidP="00E10FEE">
            <w:pPr>
              <w:spacing w:after="0"/>
              <w:jc w:val="center"/>
              <w:rPr>
                <w:sz w:val="20"/>
              </w:rPr>
            </w:pPr>
            <w:r w:rsidRPr="00EF0B36">
              <w:rPr>
                <w:sz w:val="20"/>
                <w:lang w:val="en-GB"/>
              </w:rPr>
              <w:t>0.</w:t>
            </w:r>
            <w:r w:rsidR="00E10FEE">
              <w:rPr>
                <w:sz w:val="20"/>
                <w:lang w:val="en-GB"/>
              </w:rPr>
              <w:t>88</w:t>
            </w:r>
            <w:r w:rsidR="00E10FEE" w:rsidRPr="00EF0B36">
              <w:rPr>
                <w:sz w:val="20"/>
                <w:lang w:val="en-GB"/>
              </w:rPr>
              <w:t xml:space="preserve"> </w:t>
            </w:r>
            <w:r w:rsidRPr="00EF0B36">
              <w:rPr>
                <w:sz w:val="20"/>
                <w:lang w:val="en-GB"/>
              </w:rPr>
              <w:t>(0.</w:t>
            </w:r>
            <w:r w:rsidR="00E10FEE" w:rsidRPr="00EF0B36">
              <w:rPr>
                <w:sz w:val="20"/>
                <w:lang w:val="en-GB"/>
              </w:rPr>
              <w:t>7</w:t>
            </w:r>
            <w:r w:rsidR="00E10FEE">
              <w:rPr>
                <w:sz w:val="20"/>
                <w:lang w:val="en-GB"/>
              </w:rPr>
              <w:t>5</w:t>
            </w:r>
            <w:r w:rsidRPr="00EF0B36">
              <w:rPr>
                <w:sz w:val="20"/>
                <w:lang w:val="en-GB"/>
              </w:rPr>
              <w:t>, 1.</w:t>
            </w:r>
            <w:r w:rsidR="00E10FEE">
              <w:rPr>
                <w:sz w:val="20"/>
                <w:lang w:val="en-GB"/>
              </w:rPr>
              <w:t>04</w:t>
            </w:r>
            <w:r w:rsidRPr="00EF0B36">
              <w:rPr>
                <w:sz w:val="20"/>
                <w:lang w:val="en-GB"/>
              </w:rPr>
              <w:t>)</w:t>
            </w:r>
          </w:p>
        </w:tc>
      </w:tr>
      <w:tr w:rsidR="00B3779D" w:rsidRPr="00EF0B36" w:rsidTr="001D4AE0">
        <w:trPr>
          <w:cantSplit/>
          <w:trHeight w:val="22"/>
        </w:trPr>
        <w:tc>
          <w:tcPr>
            <w:tcW w:w="2802" w:type="dxa"/>
            <w:gridSpan w:val="2"/>
            <w:shd w:val="clear" w:color="auto" w:fill="auto"/>
          </w:tcPr>
          <w:p w:rsidR="00B3779D" w:rsidRPr="00EF0B36" w:rsidRDefault="00B3779D" w:rsidP="00E4472F">
            <w:pPr>
              <w:spacing w:after="0"/>
              <w:rPr>
                <w:sz w:val="20"/>
              </w:rPr>
            </w:pPr>
            <w:r w:rsidRPr="00EF0B36">
              <w:rPr>
                <w:i/>
                <w:sz w:val="20"/>
                <w:lang w:val="en-GB"/>
              </w:rPr>
              <w:t>p</w:t>
            </w:r>
            <w:r w:rsidRPr="00EF0B36">
              <w:rPr>
                <w:sz w:val="20"/>
                <w:lang w:val="en-GB"/>
              </w:rPr>
              <w:t>-value</w:t>
            </w:r>
            <w:r w:rsidR="00E4472F">
              <w:rPr>
                <w:sz w:val="20"/>
                <w:vertAlign w:val="superscript"/>
              </w:rPr>
              <w:t>4</w:t>
            </w:r>
          </w:p>
        </w:tc>
        <w:tc>
          <w:tcPr>
            <w:tcW w:w="2126" w:type="dxa"/>
            <w:gridSpan w:val="3"/>
            <w:shd w:val="clear" w:color="auto" w:fill="auto"/>
            <w:vAlign w:val="center"/>
          </w:tcPr>
          <w:p w:rsidR="00B3779D" w:rsidRPr="00EF0B36" w:rsidRDefault="00B3779D" w:rsidP="00EF0B36">
            <w:pPr>
              <w:spacing w:after="0"/>
              <w:jc w:val="center"/>
              <w:rPr>
                <w:sz w:val="20"/>
              </w:rPr>
            </w:pPr>
          </w:p>
        </w:tc>
        <w:tc>
          <w:tcPr>
            <w:tcW w:w="2268" w:type="dxa"/>
            <w:gridSpan w:val="3"/>
            <w:shd w:val="clear" w:color="auto" w:fill="auto"/>
            <w:vAlign w:val="center"/>
          </w:tcPr>
          <w:p w:rsidR="00B3779D" w:rsidRPr="00EF0B36" w:rsidRDefault="00B3779D" w:rsidP="00E10FEE">
            <w:pPr>
              <w:spacing w:after="0"/>
              <w:jc w:val="center"/>
              <w:rPr>
                <w:sz w:val="20"/>
              </w:rPr>
            </w:pPr>
            <w:r w:rsidRPr="00EF0B36">
              <w:rPr>
                <w:sz w:val="20"/>
              </w:rPr>
              <w:t>0.</w:t>
            </w:r>
            <w:r w:rsidR="00E10FEE">
              <w:rPr>
                <w:sz w:val="20"/>
              </w:rPr>
              <w:t>2197</w:t>
            </w:r>
          </w:p>
        </w:tc>
        <w:tc>
          <w:tcPr>
            <w:tcW w:w="2267" w:type="dxa"/>
            <w:gridSpan w:val="2"/>
            <w:shd w:val="clear" w:color="auto" w:fill="auto"/>
            <w:vAlign w:val="center"/>
          </w:tcPr>
          <w:p w:rsidR="00B3779D" w:rsidRPr="00EF0B36" w:rsidRDefault="00B3779D" w:rsidP="00DB4F56">
            <w:pPr>
              <w:spacing w:after="0"/>
              <w:jc w:val="center"/>
              <w:rPr>
                <w:sz w:val="20"/>
              </w:rPr>
            </w:pPr>
            <w:r w:rsidRPr="00EF0B36">
              <w:rPr>
                <w:sz w:val="20"/>
              </w:rPr>
              <w:t>0.</w:t>
            </w:r>
            <w:r w:rsidR="00E10FEE">
              <w:rPr>
                <w:sz w:val="20"/>
              </w:rPr>
              <w:t>0641</w:t>
            </w:r>
          </w:p>
        </w:tc>
      </w:tr>
    </w:tbl>
    <w:p w:rsidR="00F31022" w:rsidRDefault="00B3779D" w:rsidP="00B3779D">
      <w:pPr>
        <w:spacing w:after="0"/>
        <w:jc w:val="both"/>
        <w:rPr>
          <w:sz w:val="20"/>
        </w:rPr>
      </w:pPr>
      <w:r w:rsidRPr="00592256">
        <w:rPr>
          <w:i/>
          <w:sz w:val="20"/>
        </w:rPr>
        <w:t>IRC: Independent Review Committee;</w:t>
      </w:r>
      <w:r>
        <w:rPr>
          <w:sz w:val="20"/>
        </w:rPr>
        <w:t xml:space="preserve"> </w:t>
      </w:r>
    </w:p>
    <w:p w:rsidR="00F31022" w:rsidRDefault="00B3779D" w:rsidP="00B3779D">
      <w:pPr>
        <w:spacing w:after="0"/>
        <w:jc w:val="both"/>
        <w:rPr>
          <w:i/>
          <w:sz w:val="20"/>
        </w:rPr>
      </w:pPr>
      <w:r w:rsidRPr="0021620E">
        <w:rPr>
          <w:i/>
          <w:sz w:val="20"/>
          <w:vertAlign w:val="superscript"/>
          <w:lang w:val="en-GB"/>
        </w:rPr>
        <w:t xml:space="preserve">1 </w:t>
      </w:r>
      <w:r w:rsidRPr="0021620E">
        <w:rPr>
          <w:i/>
          <w:sz w:val="20"/>
        </w:rPr>
        <w:t>primary PFS analysis</w:t>
      </w:r>
      <w:r w:rsidR="00F32A5F">
        <w:rPr>
          <w:i/>
          <w:sz w:val="20"/>
        </w:rPr>
        <w:t>;</w:t>
      </w:r>
      <w:r w:rsidR="00E4472F">
        <w:rPr>
          <w:rFonts w:ascii="Arial" w:eastAsia="Calibri" w:hAnsi="Arial" w:cs="Arial"/>
          <w:i/>
          <w:iCs/>
          <w:sz w:val="24"/>
          <w:szCs w:val="24"/>
          <w:lang w:eastAsia="en-US"/>
        </w:rPr>
        <w:t xml:space="preserve"> </w:t>
      </w:r>
    </w:p>
    <w:p w:rsidR="00F31022" w:rsidRDefault="00B3779D" w:rsidP="00B3779D">
      <w:pPr>
        <w:spacing w:after="0"/>
        <w:jc w:val="both"/>
        <w:rPr>
          <w:i/>
          <w:sz w:val="20"/>
        </w:rPr>
      </w:pPr>
      <w:r w:rsidRPr="0021620E">
        <w:rPr>
          <w:i/>
          <w:sz w:val="20"/>
          <w:vertAlign w:val="superscript"/>
        </w:rPr>
        <w:t xml:space="preserve">2 </w:t>
      </w:r>
      <w:r w:rsidRPr="0021620E">
        <w:rPr>
          <w:i/>
          <w:sz w:val="20"/>
        </w:rPr>
        <w:t xml:space="preserve">events prior to </w:t>
      </w:r>
      <w:r>
        <w:rPr>
          <w:i/>
          <w:sz w:val="20"/>
        </w:rPr>
        <w:t>c</w:t>
      </w:r>
      <w:r w:rsidRPr="0021620E">
        <w:rPr>
          <w:i/>
          <w:sz w:val="20"/>
        </w:rPr>
        <w:t>ycle 7 from the CPB15 and CPB15+ arms were pooled for the analysis;</w:t>
      </w:r>
    </w:p>
    <w:p w:rsidR="00E4472F" w:rsidRDefault="00B3779D" w:rsidP="00B3779D">
      <w:pPr>
        <w:spacing w:after="0"/>
        <w:jc w:val="both"/>
        <w:rPr>
          <w:i/>
          <w:sz w:val="20"/>
        </w:rPr>
      </w:pPr>
      <w:r w:rsidRPr="0021620E">
        <w:rPr>
          <w:i/>
          <w:sz w:val="20"/>
          <w:vertAlign w:val="superscript"/>
        </w:rPr>
        <w:t>3</w:t>
      </w:r>
      <w:r w:rsidRPr="0021620E">
        <w:rPr>
          <w:i/>
          <w:sz w:val="20"/>
        </w:rPr>
        <w:t xml:space="preserve"> </w:t>
      </w:r>
      <w:r w:rsidR="00E4472F">
        <w:rPr>
          <w:i/>
          <w:sz w:val="20"/>
        </w:rPr>
        <w:t xml:space="preserve">stratified hazard ratio </w:t>
      </w:r>
      <w:r w:rsidRPr="0021620E">
        <w:rPr>
          <w:i/>
          <w:sz w:val="20"/>
        </w:rPr>
        <w:t xml:space="preserve">relative to the control arm; </w:t>
      </w:r>
    </w:p>
    <w:p w:rsidR="00F31022" w:rsidRDefault="00E4472F" w:rsidP="00B3779D">
      <w:pPr>
        <w:spacing w:after="0"/>
        <w:jc w:val="both"/>
        <w:rPr>
          <w:i/>
          <w:sz w:val="20"/>
        </w:rPr>
      </w:pPr>
      <w:r w:rsidRPr="0021620E">
        <w:rPr>
          <w:i/>
          <w:sz w:val="20"/>
          <w:vertAlign w:val="superscript"/>
          <w:lang w:val="en-GB"/>
        </w:rPr>
        <w:t>4</w:t>
      </w:r>
      <w:r>
        <w:rPr>
          <w:i/>
          <w:sz w:val="20"/>
          <w:vertAlign w:val="superscript"/>
          <w:lang w:val="en-GB"/>
        </w:rPr>
        <w:t xml:space="preserve"> </w:t>
      </w:r>
      <w:r w:rsidR="00B3779D" w:rsidRPr="0021620E">
        <w:rPr>
          <w:i/>
          <w:sz w:val="20"/>
        </w:rPr>
        <w:t xml:space="preserve">one-sided </w:t>
      </w:r>
      <w:r w:rsidR="00E10FEE">
        <w:rPr>
          <w:i/>
          <w:sz w:val="20"/>
        </w:rPr>
        <w:t xml:space="preserve">log-rank </w:t>
      </w:r>
      <w:r w:rsidR="00B3779D" w:rsidRPr="0021620E">
        <w:rPr>
          <w:i/>
          <w:sz w:val="20"/>
        </w:rPr>
        <w:t>p-value;</w:t>
      </w:r>
    </w:p>
    <w:p w:rsidR="00F31022" w:rsidRDefault="00E4472F" w:rsidP="00B3779D">
      <w:pPr>
        <w:spacing w:after="0"/>
        <w:jc w:val="both"/>
        <w:rPr>
          <w:i/>
          <w:sz w:val="20"/>
        </w:rPr>
      </w:pPr>
      <w:r>
        <w:rPr>
          <w:i/>
          <w:sz w:val="20"/>
          <w:vertAlign w:val="superscript"/>
          <w:lang w:val="en-GB"/>
        </w:rPr>
        <w:t>5</w:t>
      </w:r>
      <w:r w:rsidR="00B3779D" w:rsidRPr="0021620E">
        <w:rPr>
          <w:i/>
          <w:sz w:val="20"/>
        </w:rPr>
        <w:t xml:space="preserve"> subject to a p-value boundary of 0.0116;</w:t>
      </w:r>
    </w:p>
    <w:p w:rsidR="00F31022" w:rsidRDefault="00E4472F" w:rsidP="00B3779D">
      <w:pPr>
        <w:spacing w:after="0"/>
        <w:jc w:val="both"/>
        <w:rPr>
          <w:i/>
          <w:sz w:val="20"/>
        </w:rPr>
      </w:pPr>
      <w:r>
        <w:rPr>
          <w:i/>
          <w:sz w:val="20"/>
          <w:vertAlign w:val="superscript"/>
        </w:rPr>
        <w:t xml:space="preserve">6 </w:t>
      </w:r>
      <w:r w:rsidR="00B3779D" w:rsidRPr="0021620E">
        <w:rPr>
          <w:i/>
          <w:sz w:val="20"/>
        </w:rPr>
        <w:t>patients with measurable disease at baseline;</w:t>
      </w:r>
    </w:p>
    <w:p w:rsidR="00B3779D" w:rsidRPr="0021620E" w:rsidRDefault="00E4472F" w:rsidP="00B3779D">
      <w:pPr>
        <w:spacing w:after="0"/>
        <w:jc w:val="both"/>
        <w:rPr>
          <w:i/>
          <w:sz w:val="20"/>
        </w:rPr>
      </w:pPr>
      <w:r>
        <w:rPr>
          <w:i/>
          <w:sz w:val="20"/>
          <w:vertAlign w:val="superscript"/>
          <w:lang w:val="en-GB"/>
        </w:rPr>
        <w:t>7</w:t>
      </w:r>
      <w:r w:rsidR="00F31022">
        <w:rPr>
          <w:i/>
          <w:sz w:val="20"/>
          <w:vertAlign w:val="superscript"/>
          <w:lang w:val="en-GB"/>
        </w:rPr>
        <w:t xml:space="preserve"> </w:t>
      </w:r>
      <w:r w:rsidR="00E10FEE" w:rsidRPr="00397E45">
        <w:rPr>
          <w:i/>
          <w:sz w:val="20"/>
          <w:lang w:val="en-GB"/>
        </w:rPr>
        <w:t xml:space="preserve">final </w:t>
      </w:r>
      <w:r w:rsidR="00B3779D" w:rsidRPr="0021620E">
        <w:rPr>
          <w:i/>
          <w:sz w:val="20"/>
        </w:rPr>
        <w:t xml:space="preserve">overall survival analysis performed when </w:t>
      </w:r>
      <w:r w:rsidR="00E10FEE">
        <w:rPr>
          <w:i/>
          <w:sz w:val="20"/>
        </w:rPr>
        <w:t xml:space="preserve">46.9% </w:t>
      </w:r>
      <w:r w:rsidR="00B3779D" w:rsidRPr="0021620E">
        <w:rPr>
          <w:i/>
          <w:sz w:val="20"/>
        </w:rPr>
        <w:t xml:space="preserve">of the patients </w:t>
      </w:r>
      <w:r>
        <w:rPr>
          <w:i/>
          <w:sz w:val="20"/>
        </w:rPr>
        <w:t xml:space="preserve">had </w:t>
      </w:r>
      <w:r w:rsidR="00B3779D" w:rsidRPr="0021620E">
        <w:rPr>
          <w:i/>
          <w:sz w:val="20"/>
        </w:rPr>
        <w:t>died</w:t>
      </w:r>
    </w:p>
    <w:p w:rsidR="00B3779D" w:rsidRDefault="00B3779D" w:rsidP="00B3779D">
      <w:pPr>
        <w:spacing w:after="0"/>
        <w:jc w:val="both"/>
        <w:rPr>
          <w:rFonts w:eastAsia="SimSun"/>
          <w:iCs/>
          <w:szCs w:val="22"/>
          <w:lang w:eastAsia="zh-CN"/>
        </w:rPr>
      </w:pPr>
      <w:r>
        <w:rPr>
          <w:rFonts w:eastAsia="SimSun"/>
          <w:iCs/>
          <w:szCs w:val="22"/>
          <w:lang w:eastAsia="zh-CN"/>
        </w:rPr>
        <w:t xml:space="preserve"> </w:t>
      </w:r>
    </w:p>
    <w:p w:rsidR="00FB65BA" w:rsidRDefault="00B3779D" w:rsidP="00B3779D">
      <w:pPr>
        <w:pStyle w:val="TextBull"/>
        <w:numPr>
          <w:ilvl w:val="0"/>
          <w:numId w:val="0"/>
        </w:numPr>
        <w:jc w:val="both"/>
      </w:pPr>
      <w:r w:rsidRPr="0082416D">
        <w:rPr>
          <w:rFonts w:eastAsia="SimSun"/>
          <w:iCs/>
          <w:lang w:eastAsia="zh-CN"/>
        </w:rPr>
        <w:t>The trial met its primary objective of PFS improvement.</w:t>
      </w:r>
      <w:r>
        <w:rPr>
          <w:rFonts w:eastAsia="SimSun"/>
          <w:iCs/>
          <w:lang w:eastAsia="zh-CN"/>
        </w:rPr>
        <w:t xml:space="preserve"> </w:t>
      </w:r>
      <w:r w:rsidRPr="0082416D">
        <w:t xml:space="preserve"> Compared </w:t>
      </w:r>
      <w:r>
        <w:t>with</w:t>
      </w:r>
      <w:r w:rsidRPr="0082416D">
        <w:t xml:space="preserve"> patients treated with chemotherapy (carboplatin and paclitaxel) alone, patients who received </w:t>
      </w:r>
      <w:r>
        <w:t>first</w:t>
      </w:r>
      <w:r w:rsidRPr="0082416D">
        <w:t xml:space="preserve">-line </w:t>
      </w:r>
      <w:r>
        <w:t>AVASTIN</w:t>
      </w:r>
      <w:r w:rsidRPr="0082416D">
        <w:t xml:space="preserve"> at a dose of 15 mg/kg</w:t>
      </w:r>
      <w:r>
        <w:t xml:space="preserve"> </w:t>
      </w:r>
      <w:r w:rsidRPr="00881CE6">
        <w:t>q3w</w:t>
      </w:r>
      <w:r w:rsidRPr="0082416D">
        <w:t xml:space="preserve"> in combination with chemotherapy and continued to receive </w:t>
      </w:r>
      <w:r>
        <w:t>AVASTIN</w:t>
      </w:r>
      <w:r w:rsidRPr="0082416D">
        <w:t xml:space="preserve"> alone had a clinically meaningful and statistically significant improvement in PFS.</w:t>
      </w:r>
      <w:r>
        <w:t xml:space="preserve"> </w:t>
      </w:r>
    </w:p>
    <w:p w:rsidR="00B3779D" w:rsidRPr="0082416D" w:rsidRDefault="00B3779D" w:rsidP="00B3779D">
      <w:pPr>
        <w:pStyle w:val="TextBull"/>
        <w:numPr>
          <w:ilvl w:val="0"/>
          <w:numId w:val="0"/>
        </w:numPr>
        <w:jc w:val="both"/>
      </w:pPr>
    </w:p>
    <w:p w:rsidR="00B3779D" w:rsidRDefault="00B3779D" w:rsidP="00B3779D">
      <w:pPr>
        <w:jc w:val="both"/>
        <w:rPr>
          <w:rFonts w:eastAsia="SimSun"/>
          <w:iCs/>
          <w:sz w:val="24"/>
          <w:szCs w:val="24"/>
          <w:lang w:eastAsia="zh-CN"/>
        </w:rPr>
      </w:pPr>
      <w:r w:rsidRPr="0082416D">
        <w:rPr>
          <w:sz w:val="24"/>
          <w:szCs w:val="24"/>
        </w:rPr>
        <w:t xml:space="preserve">Although there was an improvement in PFS for patients who received </w:t>
      </w:r>
      <w:r>
        <w:rPr>
          <w:sz w:val="24"/>
          <w:szCs w:val="24"/>
        </w:rPr>
        <w:t>first</w:t>
      </w:r>
      <w:r w:rsidRPr="0082416D">
        <w:rPr>
          <w:sz w:val="24"/>
          <w:szCs w:val="24"/>
        </w:rPr>
        <w:t xml:space="preserve">-line </w:t>
      </w:r>
      <w:r>
        <w:rPr>
          <w:sz w:val="24"/>
          <w:szCs w:val="24"/>
        </w:rPr>
        <w:t>AVASTIN</w:t>
      </w:r>
      <w:r w:rsidRPr="0082416D">
        <w:rPr>
          <w:sz w:val="24"/>
          <w:szCs w:val="24"/>
        </w:rPr>
        <w:t xml:space="preserve"> in combination with chemotherapy and did not continue to receive </w:t>
      </w:r>
      <w:r>
        <w:rPr>
          <w:sz w:val="24"/>
          <w:szCs w:val="24"/>
        </w:rPr>
        <w:t>AVASTIN</w:t>
      </w:r>
      <w:r w:rsidRPr="0082416D">
        <w:rPr>
          <w:sz w:val="24"/>
          <w:szCs w:val="24"/>
        </w:rPr>
        <w:t xml:space="preserve"> alone, the improvement was </w:t>
      </w:r>
      <w:r>
        <w:rPr>
          <w:sz w:val="24"/>
          <w:szCs w:val="24"/>
        </w:rPr>
        <w:t>not</w:t>
      </w:r>
      <w:r w:rsidRPr="0082416D">
        <w:rPr>
          <w:sz w:val="24"/>
          <w:szCs w:val="24"/>
        </w:rPr>
        <w:t xml:space="preserve"> stati</w:t>
      </w:r>
      <w:r>
        <w:rPr>
          <w:sz w:val="24"/>
          <w:szCs w:val="24"/>
        </w:rPr>
        <w:t>stically significant compared with</w:t>
      </w:r>
      <w:r w:rsidRPr="0082416D">
        <w:rPr>
          <w:sz w:val="24"/>
          <w:szCs w:val="24"/>
        </w:rPr>
        <w:t xml:space="preserve"> patients who received chemotherapy alone.</w:t>
      </w:r>
      <w:r w:rsidRPr="0082416D">
        <w:rPr>
          <w:rFonts w:eastAsia="SimSun"/>
          <w:iCs/>
          <w:sz w:val="24"/>
          <w:szCs w:val="24"/>
          <w:lang w:eastAsia="zh-CN"/>
        </w:rPr>
        <w:t xml:space="preserve"> </w:t>
      </w:r>
    </w:p>
    <w:p w:rsidR="00580609" w:rsidRDefault="00580609" w:rsidP="00580609">
      <w:pPr>
        <w:pStyle w:val="TextBull"/>
        <w:numPr>
          <w:ilvl w:val="0"/>
          <w:numId w:val="0"/>
        </w:numPr>
        <w:jc w:val="both"/>
      </w:pPr>
      <w:r>
        <w:t xml:space="preserve">The incidence of patients with any Grade 5 adverse event </w:t>
      </w:r>
      <w:r w:rsidR="00783EB4">
        <w:t xml:space="preserve">(AE) </w:t>
      </w:r>
      <w:r>
        <w:t xml:space="preserve">was higher in patients in the AVASTIN treated arms (2.5% CPB15+ arm and 1.6% in the CPB15 arm vs. 0.7% in the CPP arm). </w:t>
      </w:r>
    </w:p>
    <w:p w:rsidR="00580609" w:rsidRDefault="00580609" w:rsidP="00B3779D">
      <w:pPr>
        <w:jc w:val="both"/>
        <w:rPr>
          <w:rFonts w:eastAsia="SimSun"/>
          <w:iCs/>
          <w:sz w:val="24"/>
          <w:szCs w:val="24"/>
          <w:lang w:eastAsia="zh-CN"/>
        </w:rPr>
      </w:pPr>
    </w:p>
    <w:p w:rsidR="003A3108" w:rsidRDefault="003A3108" w:rsidP="00B3779D">
      <w:pPr>
        <w:jc w:val="both"/>
        <w:rPr>
          <w:rFonts w:eastAsia="SimSun"/>
          <w:iCs/>
          <w:sz w:val="24"/>
          <w:szCs w:val="24"/>
          <w:lang w:eastAsia="zh-CN"/>
        </w:rPr>
      </w:pPr>
      <w:r w:rsidRPr="000D41C5">
        <w:rPr>
          <w:rFonts w:cs="Arial"/>
          <w:b/>
          <w:bCs/>
          <w:i/>
          <w:sz w:val="24"/>
          <w:szCs w:val="24"/>
        </w:rPr>
        <w:t>Recurrent Ovarian Cancer</w:t>
      </w:r>
    </w:p>
    <w:p w:rsidR="00C04706" w:rsidRPr="007E68E4" w:rsidRDefault="00C04706" w:rsidP="00C04706">
      <w:pPr>
        <w:pStyle w:val="Heading5"/>
        <w:spacing w:before="0" w:after="120"/>
        <w:ind w:left="0"/>
        <w:rPr>
          <w:rFonts w:eastAsia="SimSun"/>
          <w:b/>
          <w:i w:val="0"/>
          <w:lang w:eastAsia="zh-CN"/>
        </w:rPr>
      </w:pPr>
      <w:r w:rsidRPr="007E68E4">
        <w:rPr>
          <w:b/>
          <w:i w:val="0"/>
        </w:rPr>
        <w:t xml:space="preserve">Study </w:t>
      </w:r>
      <w:r>
        <w:rPr>
          <w:rFonts w:eastAsia="SimSun"/>
          <w:b/>
          <w:i w:val="0"/>
          <w:lang w:eastAsia="zh-CN"/>
        </w:rPr>
        <w:t>AVF4095g (OCEANS)</w:t>
      </w:r>
    </w:p>
    <w:p w:rsidR="00C04706" w:rsidRDefault="00C04706" w:rsidP="00C04706">
      <w:pPr>
        <w:autoSpaceDE w:val="0"/>
        <w:autoSpaceDN w:val="0"/>
        <w:adjustRightInd w:val="0"/>
        <w:jc w:val="both"/>
        <w:rPr>
          <w:color w:val="000000"/>
          <w:sz w:val="24"/>
          <w:lang w:val="en-US"/>
        </w:rPr>
      </w:pPr>
      <w:r>
        <w:rPr>
          <w:color w:val="000000"/>
          <w:sz w:val="24"/>
          <w:lang w:val="en-US"/>
        </w:rPr>
        <w:t>The safety and efficacy of AVASTIN as treatment for patients with platinum-sensitive</w:t>
      </w:r>
      <w:r w:rsidR="001E08C9">
        <w:rPr>
          <w:color w:val="000000"/>
          <w:sz w:val="24"/>
          <w:lang w:val="en-US"/>
        </w:rPr>
        <w:t xml:space="preserve"> </w:t>
      </w:r>
      <w:r w:rsidR="001E08C9" w:rsidRPr="00602B5A">
        <w:rPr>
          <w:color w:val="000000"/>
          <w:sz w:val="24"/>
          <w:lang w:val="en-US"/>
        </w:rPr>
        <w:t>(defined as greater than 6 months following previous platinum therapy)</w:t>
      </w:r>
      <w:r>
        <w:rPr>
          <w:color w:val="000000"/>
          <w:sz w:val="24"/>
          <w:lang w:val="en-US"/>
        </w:rPr>
        <w:t xml:space="preserve">, recurrent epithelial ovarian, fallopian tube or primary peritoneal cancer, who have not received prior chemotherapy in the </w:t>
      </w:r>
      <w:r>
        <w:rPr>
          <w:color w:val="000000"/>
          <w:sz w:val="24"/>
          <w:lang w:val="en-US"/>
        </w:rPr>
        <w:lastRenderedPageBreak/>
        <w:t>recurrent setting, or prior AVASTIN treatment</w:t>
      </w:r>
      <w:r w:rsidR="00DB0F61">
        <w:rPr>
          <w:color w:val="000000"/>
          <w:sz w:val="24"/>
          <w:lang w:val="en-US"/>
        </w:rPr>
        <w:t xml:space="preserve"> or other VEGF-targeted angiogenesis inhibitors</w:t>
      </w:r>
      <w:r>
        <w:rPr>
          <w:color w:val="000000"/>
          <w:sz w:val="24"/>
          <w:lang w:val="en-US"/>
        </w:rPr>
        <w:t>, were studied in a phase III randomized, double blind, placebo-controlled trial (AVF4095g). The study compared the effect of adding AVASTIN to a carboplatin and gemcitabine chemotherapy followed by AVASTIN as a single agent to progression versus carboplatin and gemcitabine alone.</w:t>
      </w:r>
    </w:p>
    <w:p w:rsidR="00C04706" w:rsidRDefault="00C04706" w:rsidP="00C04706">
      <w:pPr>
        <w:autoSpaceDE w:val="0"/>
        <w:autoSpaceDN w:val="0"/>
        <w:adjustRightInd w:val="0"/>
        <w:jc w:val="both"/>
        <w:rPr>
          <w:color w:val="000000"/>
          <w:sz w:val="24"/>
          <w:lang w:val="en-US"/>
        </w:rPr>
      </w:pPr>
      <w:r>
        <w:rPr>
          <w:color w:val="000000"/>
          <w:sz w:val="24"/>
          <w:lang w:val="en-US"/>
        </w:rPr>
        <w:t>A total of 484 patients with measurable disease were randomized to either:</w:t>
      </w:r>
    </w:p>
    <w:p w:rsidR="00C04706" w:rsidRDefault="00C04706" w:rsidP="00C04706">
      <w:pPr>
        <w:numPr>
          <w:ilvl w:val="0"/>
          <w:numId w:val="15"/>
        </w:numPr>
        <w:autoSpaceDE w:val="0"/>
        <w:autoSpaceDN w:val="0"/>
        <w:adjustRightInd w:val="0"/>
        <w:jc w:val="both"/>
        <w:rPr>
          <w:color w:val="000000"/>
          <w:sz w:val="24"/>
          <w:lang w:val="en-US"/>
        </w:rPr>
      </w:pPr>
      <w:r>
        <w:rPr>
          <w:color w:val="000000"/>
          <w:sz w:val="24"/>
          <w:lang w:val="en-US"/>
        </w:rPr>
        <w:t>Carboplatin (AUC4</w:t>
      </w:r>
      <w:r w:rsidR="007C1FE3">
        <w:rPr>
          <w:color w:val="000000"/>
          <w:sz w:val="24"/>
          <w:lang w:val="en-US"/>
        </w:rPr>
        <w:t xml:space="preserve"> mg/mL/min</w:t>
      </w:r>
      <w:r>
        <w:rPr>
          <w:color w:val="000000"/>
          <w:sz w:val="24"/>
          <w:lang w:val="en-US"/>
        </w:rPr>
        <w:t>, Day 1) and gemcitabine (1000 mg/m2 on Days 1 and 8) and concurrent placebo until disease progression or unacceptable toxicity.</w:t>
      </w:r>
    </w:p>
    <w:p w:rsidR="00C04706" w:rsidRDefault="00C04706" w:rsidP="00C04706">
      <w:pPr>
        <w:numPr>
          <w:ilvl w:val="0"/>
          <w:numId w:val="15"/>
        </w:numPr>
        <w:autoSpaceDE w:val="0"/>
        <w:autoSpaceDN w:val="0"/>
        <w:adjustRightInd w:val="0"/>
        <w:jc w:val="both"/>
        <w:rPr>
          <w:color w:val="000000"/>
          <w:sz w:val="24"/>
          <w:lang w:val="en-US"/>
        </w:rPr>
      </w:pPr>
      <w:r>
        <w:rPr>
          <w:color w:val="000000"/>
          <w:sz w:val="24"/>
          <w:lang w:val="en-US"/>
        </w:rPr>
        <w:t>Carboplatin (AUC4</w:t>
      </w:r>
      <w:r w:rsidR="007C1FE3">
        <w:rPr>
          <w:color w:val="000000"/>
          <w:sz w:val="24"/>
          <w:lang w:val="en-US"/>
        </w:rPr>
        <w:t xml:space="preserve"> mg/mL/min</w:t>
      </w:r>
      <w:r>
        <w:rPr>
          <w:color w:val="000000"/>
          <w:sz w:val="24"/>
          <w:lang w:val="en-US"/>
        </w:rPr>
        <w:t>, Day 1) and gemcitabine (1000 mg/m2 on Days 1 and 8) and concurrent AVASTIN (15 mg/kg every 3 weeks) until disease progression or unacceptable toxicity.</w:t>
      </w:r>
    </w:p>
    <w:p w:rsidR="001E08C9" w:rsidRDefault="001E08C9" w:rsidP="00C04706">
      <w:pPr>
        <w:autoSpaceDE w:val="0"/>
        <w:autoSpaceDN w:val="0"/>
        <w:adjustRightInd w:val="0"/>
        <w:jc w:val="both"/>
        <w:rPr>
          <w:color w:val="000000"/>
          <w:sz w:val="24"/>
          <w:lang w:val="en-US"/>
        </w:rPr>
      </w:pPr>
      <w:r w:rsidRPr="00602B5A">
        <w:rPr>
          <w:color w:val="000000"/>
          <w:sz w:val="24"/>
          <w:lang w:val="en-US"/>
        </w:rPr>
        <w:t>At randomization, patients were stratified by platinum free interval (PFI) (recurrence 6-12 months from last platinum-based treatment vs recurrence</w:t>
      </w:r>
      <w:r w:rsidRPr="00C131C6">
        <w:rPr>
          <w:color w:val="000000"/>
          <w:sz w:val="24"/>
          <w:lang w:val="en-US"/>
        </w:rPr>
        <w:t xml:space="preserve"> &gt; 12 months from last platinum-based treatment) and whether they had undergone </w:t>
      </w:r>
      <w:proofErr w:type="spellStart"/>
      <w:r w:rsidRPr="00C131C6">
        <w:rPr>
          <w:color w:val="000000"/>
          <w:sz w:val="24"/>
          <w:lang w:val="en-US"/>
        </w:rPr>
        <w:t>cytoreductive</w:t>
      </w:r>
      <w:proofErr w:type="spellEnd"/>
      <w:r w:rsidRPr="00C131C6">
        <w:rPr>
          <w:color w:val="000000"/>
          <w:sz w:val="24"/>
          <w:lang w:val="en-US"/>
        </w:rPr>
        <w:t xml:space="preserve"> surgery for recurrent disease.</w:t>
      </w:r>
    </w:p>
    <w:p w:rsidR="00C04706" w:rsidRDefault="00C04706" w:rsidP="00C04706">
      <w:pPr>
        <w:autoSpaceDE w:val="0"/>
        <w:autoSpaceDN w:val="0"/>
        <w:adjustRightInd w:val="0"/>
        <w:jc w:val="both"/>
        <w:rPr>
          <w:color w:val="000000"/>
          <w:sz w:val="24"/>
          <w:lang w:val="en-US"/>
        </w:rPr>
      </w:pPr>
      <w:r>
        <w:rPr>
          <w:color w:val="000000"/>
          <w:sz w:val="24"/>
          <w:lang w:val="en-US"/>
        </w:rPr>
        <w:t>The primary endpoint was progression-free survival (PFS) based on investigator assessment using RECIST criteria. Additional endpoints included objective response, duration of response, safety and overall survival. An independent review of the primary endpoint was also conducted.</w:t>
      </w:r>
    </w:p>
    <w:p w:rsidR="00C04706" w:rsidRDefault="00C04706" w:rsidP="00C04706">
      <w:pPr>
        <w:autoSpaceDE w:val="0"/>
        <w:autoSpaceDN w:val="0"/>
        <w:adjustRightInd w:val="0"/>
        <w:jc w:val="both"/>
        <w:rPr>
          <w:color w:val="000000"/>
          <w:sz w:val="24"/>
          <w:lang w:val="en-US"/>
        </w:rPr>
      </w:pPr>
      <w:r>
        <w:rPr>
          <w:color w:val="000000"/>
          <w:sz w:val="24"/>
          <w:lang w:val="en-US"/>
        </w:rPr>
        <w:t xml:space="preserve">The results of this </w:t>
      </w:r>
      <w:r w:rsidR="007C1FE3">
        <w:rPr>
          <w:color w:val="000000"/>
          <w:sz w:val="24"/>
          <w:lang w:val="en-US"/>
        </w:rPr>
        <w:t>study are summarized in Table 12</w:t>
      </w:r>
      <w:r>
        <w:rPr>
          <w:color w:val="000000"/>
          <w:sz w:val="24"/>
          <w:lang w:val="en-US"/>
        </w:rPr>
        <w:t>.</w:t>
      </w:r>
    </w:p>
    <w:p w:rsidR="00C04706" w:rsidRDefault="007C7C2C" w:rsidP="00C04706">
      <w:pPr>
        <w:autoSpaceDE w:val="0"/>
        <w:autoSpaceDN w:val="0"/>
        <w:adjustRightInd w:val="0"/>
        <w:ind w:left="709"/>
        <w:jc w:val="both"/>
        <w:rPr>
          <w:b/>
          <w:color w:val="000000"/>
          <w:sz w:val="24"/>
          <w:lang w:val="en-US"/>
        </w:rPr>
      </w:pPr>
      <w:r>
        <w:rPr>
          <w:b/>
          <w:color w:val="000000"/>
          <w:sz w:val="24"/>
          <w:lang w:val="en-US"/>
        </w:rPr>
        <w:t>Table 12</w:t>
      </w:r>
      <w:r w:rsidR="00C04706">
        <w:rPr>
          <w:b/>
          <w:color w:val="000000"/>
          <w:sz w:val="24"/>
          <w:lang w:val="en-US"/>
        </w:rPr>
        <w:t>: Efficacy Results from Study AVF4095g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418"/>
        <w:gridCol w:w="1842"/>
        <w:gridCol w:w="1418"/>
        <w:gridCol w:w="1701"/>
      </w:tblGrid>
      <w:tr w:rsidR="00C04706" w:rsidRPr="00BC0B86" w:rsidTr="009C31BE">
        <w:tc>
          <w:tcPr>
            <w:tcW w:w="2693" w:type="dxa"/>
            <w:tcBorders>
              <w:top w:val="nil"/>
              <w:left w:val="nil"/>
              <w:bottom w:val="single" w:sz="4" w:space="0" w:color="auto"/>
              <w:right w:val="single" w:sz="4" w:space="0" w:color="auto"/>
            </w:tcBorders>
            <w:shd w:val="clear" w:color="auto" w:fill="FFFFFF"/>
          </w:tcPr>
          <w:p w:rsidR="00C04706" w:rsidRPr="00BC0B86" w:rsidRDefault="00C04706" w:rsidP="00C04706">
            <w:pPr>
              <w:autoSpaceDE w:val="0"/>
              <w:autoSpaceDN w:val="0"/>
              <w:adjustRightInd w:val="0"/>
              <w:spacing w:after="0" w:line="280" w:lineRule="atLeast"/>
              <w:jc w:val="both"/>
              <w:rPr>
                <w:b/>
                <w:color w:val="000000"/>
                <w:sz w:val="20"/>
                <w:lang w:val="en-US"/>
              </w:rPr>
            </w:pPr>
          </w:p>
        </w:tc>
        <w:tc>
          <w:tcPr>
            <w:tcW w:w="3260" w:type="dxa"/>
            <w:gridSpan w:val="2"/>
            <w:tcBorders>
              <w:left w:val="single" w:sz="4" w:space="0" w:color="auto"/>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b/>
                <w:color w:val="000000"/>
                <w:sz w:val="20"/>
                <w:lang w:val="en-US"/>
              </w:rPr>
            </w:pPr>
            <w:r w:rsidRPr="00360B1A">
              <w:rPr>
                <w:b/>
                <w:color w:val="000000"/>
                <w:sz w:val="20"/>
                <w:lang w:val="en-US"/>
              </w:rPr>
              <w:t>Investigator Assessment*</w:t>
            </w:r>
          </w:p>
        </w:tc>
        <w:tc>
          <w:tcPr>
            <w:tcW w:w="3119"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b/>
                <w:color w:val="000000"/>
                <w:sz w:val="20"/>
                <w:lang w:val="en-US"/>
              </w:rPr>
            </w:pPr>
            <w:r w:rsidRPr="00360B1A">
              <w:rPr>
                <w:b/>
                <w:color w:val="000000"/>
                <w:sz w:val="20"/>
                <w:lang w:val="en-US"/>
              </w:rPr>
              <w:t>IRC Assessment</w:t>
            </w:r>
          </w:p>
        </w:tc>
      </w:tr>
      <w:tr w:rsidR="00C04706" w:rsidRPr="00BC0B86" w:rsidTr="00A93BB8">
        <w:tc>
          <w:tcPr>
            <w:tcW w:w="9072" w:type="dxa"/>
            <w:gridSpan w:val="5"/>
            <w:shd w:val="clear" w:color="auto" w:fill="FFFFFF"/>
          </w:tcPr>
          <w:p w:rsidR="00C04706" w:rsidRPr="00A26694" w:rsidRDefault="00C04706" w:rsidP="00C04706">
            <w:pPr>
              <w:autoSpaceDE w:val="0"/>
              <w:autoSpaceDN w:val="0"/>
              <w:adjustRightInd w:val="0"/>
              <w:spacing w:after="0" w:line="280" w:lineRule="atLeast"/>
              <w:rPr>
                <w:b/>
                <w:color w:val="000000"/>
                <w:sz w:val="20"/>
                <w:lang w:val="en-US"/>
              </w:rPr>
            </w:pPr>
            <w:r w:rsidRPr="00BC0B86">
              <w:rPr>
                <w:b/>
                <w:color w:val="000000"/>
                <w:sz w:val="20"/>
                <w:lang w:val="en-US"/>
              </w:rPr>
              <w:t>Progression-free survival</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 xml:space="preserve">n </w:t>
            </w:r>
            <w:r w:rsidRPr="00BC0B86">
              <w:rPr>
                <w:color w:val="000000"/>
                <w:sz w:val="20"/>
                <w:lang w:val="en-US"/>
              </w:rPr>
              <w:t>= 242)</w:t>
            </w:r>
          </w:p>
        </w:tc>
        <w:tc>
          <w:tcPr>
            <w:tcW w:w="1842"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701"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BC0B86">
              <w:rPr>
                <w:color w:val="000000"/>
                <w:sz w:val="20"/>
                <w:lang w:val="en-US"/>
              </w:rPr>
              <w:t>Median PFS (months)</w:t>
            </w: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8.4</w:t>
            </w:r>
          </w:p>
        </w:tc>
        <w:tc>
          <w:tcPr>
            <w:tcW w:w="1842"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12.4</w:t>
            </w: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8.6</w:t>
            </w:r>
          </w:p>
        </w:tc>
        <w:tc>
          <w:tcPr>
            <w:tcW w:w="1701"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12.3</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BC0B86">
              <w:rPr>
                <w:color w:val="000000"/>
                <w:sz w:val="20"/>
                <w:lang w:val="en-US"/>
              </w:rPr>
              <w:t>Hazard ratio (95% CI)</w:t>
            </w:r>
          </w:p>
        </w:tc>
        <w:tc>
          <w:tcPr>
            <w:tcW w:w="3260" w:type="dxa"/>
            <w:gridSpan w:val="2"/>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0.484</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[0.388, 0.605]</w:t>
            </w:r>
          </w:p>
        </w:tc>
        <w:tc>
          <w:tcPr>
            <w:tcW w:w="3119" w:type="dxa"/>
            <w:gridSpan w:val="2"/>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0.451</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[0.351, 0.580]</w:t>
            </w:r>
          </w:p>
        </w:tc>
      </w:tr>
      <w:tr w:rsidR="00C04706" w:rsidRPr="00BC0B86" w:rsidTr="009C31BE">
        <w:tc>
          <w:tcPr>
            <w:tcW w:w="2693" w:type="dxa"/>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A26694">
              <w:rPr>
                <w:i/>
                <w:color w:val="000000"/>
                <w:sz w:val="20"/>
                <w:lang w:val="en-US"/>
              </w:rPr>
              <w:t xml:space="preserve">p </w:t>
            </w:r>
            <w:r w:rsidRPr="00BC0B86">
              <w:rPr>
                <w:color w:val="000000"/>
                <w:sz w:val="20"/>
                <w:lang w:val="en-US"/>
              </w:rPr>
              <w:t>- value</w:t>
            </w:r>
          </w:p>
        </w:tc>
        <w:tc>
          <w:tcPr>
            <w:tcW w:w="3260"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&lt;0.0001</w:t>
            </w:r>
          </w:p>
        </w:tc>
        <w:tc>
          <w:tcPr>
            <w:tcW w:w="3119"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&lt;0.0001</w:t>
            </w:r>
          </w:p>
        </w:tc>
      </w:tr>
      <w:tr w:rsidR="00C04706" w:rsidRPr="00BC0B86" w:rsidTr="00A93BB8">
        <w:tc>
          <w:tcPr>
            <w:tcW w:w="9072" w:type="dxa"/>
            <w:gridSpan w:val="5"/>
            <w:shd w:val="clear" w:color="auto" w:fill="FFFFFF"/>
          </w:tcPr>
          <w:p w:rsidR="00C04706" w:rsidRPr="00BC0B86" w:rsidRDefault="00C04706" w:rsidP="00C04706">
            <w:pPr>
              <w:autoSpaceDE w:val="0"/>
              <w:autoSpaceDN w:val="0"/>
              <w:adjustRightInd w:val="0"/>
              <w:spacing w:after="0" w:line="280" w:lineRule="atLeast"/>
              <w:rPr>
                <w:b/>
                <w:color w:val="000000"/>
                <w:sz w:val="20"/>
                <w:lang w:val="en-US"/>
              </w:rPr>
            </w:pPr>
            <w:r w:rsidRPr="00BC0B86">
              <w:rPr>
                <w:b/>
                <w:color w:val="000000"/>
                <w:sz w:val="20"/>
                <w:lang w:val="en-US"/>
              </w:rPr>
              <w:t>Objective response rate</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842"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701"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rPr>
                <w:color w:val="000000"/>
                <w:sz w:val="20"/>
                <w:lang w:val="en-US"/>
              </w:rPr>
            </w:pPr>
            <w:r w:rsidRPr="00BC0B86">
              <w:rPr>
                <w:color w:val="000000"/>
                <w:sz w:val="20"/>
                <w:lang w:val="en-US"/>
              </w:rPr>
              <w:t xml:space="preserve">% </w:t>
            </w:r>
            <w:proofErr w:type="spellStart"/>
            <w:r w:rsidRPr="00BC0B86">
              <w:rPr>
                <w:color w:val="000000"/>
                <w:sz w:val="20"/>
                <w:lang w:val="en-US"/>
              </w:rPr>
              <w:t>pts</w:t>
            </w:r>
            <w:proofErr w:type="spellEnd"/>
            <w:r w:rsidRPr="00BC0B86">
              <w:rPr>
                <w:color w:val="000000"/>
                <w:sz w:val="20"/>
                <w:lang w:val="en-US"/>
              </w:rPr>
              <w:t xml:space="preserve"> with objective response</w:t>
            </w:r>
          </w:p>
        </w:tc>
        <w:tc>
          <w:tcPr>
            <w:tcW w:w="1418" w:type="dxa"/>
            <w:shd w:val="clear" w:color="auto" w:fill="auto"/>
            <w:vAlign w:val="center"/>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57.4</w:t>
            </w:r>
          </w:p>
        </w:tc>
        <w:tc>
          <w:tcPr>
            <w:tcW w:w="1842" w:type="dxa"/>
            <w:shd w:val="clear" w:color="auto" w:fill="auto"/>
            <w:vAlign w:val="center"/>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78.5</w:t>
            </w:r>
          </w:p>
        </w:tc>
        <w:tc>
          <w:tcPr>
            <w:tcW w:w="1418" w:type="dxa"/>
            <w:shd w:val="clear" w:color="auto" w:fill="auto"/>
            <w:vAlign w:val="center"/>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53.7</w:t>
            </w:r>
          </w:p>
        </w:tc>
        <w:tc>
          <w:tcPr>
            <w:tcW w:w="1701" w:type="dxa"/>
            <w:shd w:val="clear" w:color="auto" w:fill="auto"/>
            <w:vAlign w:val="center"/>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74.8</w:t>
            </w:r>
          </w:p>
        </w:tc>
      </w:tr>
      <w:tr w:rsidR="00C04706" w:rsidRPr="00BC0B86" w:rsidTr="009C31BE">
        <w:tc>
          <w:tcPr>
            <w:tcW w:w="2693" w:type="dxa"/>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755EFF">
              <w:rPr>
                <w:i/>
                <w:color w:val="000000"/>
                <w:sz w:val="20"/>
                <w:lang w:val="en-US"/>
              </w:rPr>
              <w:t>p</w:t>
            </w:r>
            <w:r w:rsidRPr="00BC0B86">
              <w:rPr>
                <w:color w:val="000000"/>
                <w:sz w:val="20"/>
                <w:lang w:val="en-US"/>
              </w:rPr>
              <w:t xml:space="preserve"> - value</w:t>
            </w:r>
          </w:p>
        </w:tc>
        <w:tc>
          <w:tcPr>
            <w:tcW w:w="3260"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&lt;0.0001</w:t>
            </w:r>
          </w:p>
        </w:tc>
        <w:tc>
          <w:tcPr>
            <w:tcW w:w="3119"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&lt;0.0001</w:t>
            </w:r>
          </w:p>
        </w:tc>
      </w:tr>
      <w:tr w:rsidR="00C04706" w:rsidRPr="00BC0B86" w:rsidTr="00A93BB8">
        <w:tc>
          <w:tcPr>
            <w:tcW w:w="9072" w:type="dxa"/>
            <w:gridSpan w:val="5"/>
            <w:shd w:val="clear" w:color="auto" w:fill="FFFFFF"/>
          </w:tcPr>
          <w:p w:rsidR="00C04706" w:rsidRPr="00BC0B86" w:rsidRDefault="00C04706" w:rsidP="00C04706">
            <w:pPr>
              <w:autoSpaceDE w:val="0"/>
              <w:autoSpaceDN w:val="0"/>
              <w:adjustRightInd w:val="0"/>
              <w:spacing w:after="0" w:line="280" w:lineRule="atLeast"/>
              <w:rPr>
                <w:b/>
                <w:color w:val="000000"/>
                <w:sz w:val="20"/>
                <w:lang w:val="en-US"/>
              </w:rPr>
            </w:pPr>
            <w:r w:rsidRPr="00BC0B86">
              <w:rPr>
                <w:b/>
                <w:color w:val="000000"/>
                <w:sz w:val="20"/>
                <w:lang w:val="en-US"/>
              </w:rPr>
              <w:t>Overall survival**</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p>
        </w:tc>
        <w:tc>
          <w:tcPr>
            <w:tcW w:w="3260" w:type="dxa"/>
            <w:gridSpan w:val="2"/>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3119" w:type="dxa"/>
            <w:gridSpan w:val="2"/>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BC0B86">
              <w:rPr>
                <w:color w:val="000000"/>
                <w:sz w:val="20"/>
                <w:lang w:val="en-US"/>
              </w:rPr>
              <w:t>Median OS (months)</w:t>
            </w:r>
          </w:p>
        </w:tc>
        <w:tc>
          <w:tcPr>
            <w:tcW w:w="3260" w:type="dxa"/>
            <w:gridSpan w:val="2"/>
            <w:shd w:val="clear" w:color="auto" w:fill="auto"/>
          </w:tcPr>
          <w:p w:rsidR="00C04706" w:rsidRPr="00BC0B86" w:rsidRDefault="00DB0F61" w:rsidP="00C04706">
            <w:pPr>
              <w:autoSpaceDE w:val="0"/>
              <w:autoSpaceDN w:val="0"/>
              <w:adjustRightInd w:val="0"/>
              <w:spacing w:after="0" w:line="280" w:lineRule="atLeast"/>
              <w:jc w:val="center"/>
              <w:rPr>
                <w:color w:val="000000"/>
                <w:sz w:val="20"/>
                <w:lang w:val="en-US"/>
              </w:rPr>
            </w:pPr>
            <w:r>
              <w:rPr>
                <w:color w:val="000000"/>
                <w:sz w:val="20"/>
                <w:lang w:val="en-US"/>
              </w:rPr>
              <w:t>3</w:t>
            </w:r>
            <w:r w:rsidR="008146F1">
              <w:rPr>
                <w:color w:val="000000"/>
                <w:sz w:val="20"/>
                <w:lang w:val="en-US"/>
              </w:rPr>
              <w:t>3.7</w:t>
            </w:r>
          </w:p>
        </w:tc>
        <w:tc>
          <w:tcPr>
            <w:tcW w:w="3119" w:type="dxa"/>
            <w:gridSpan w:val="2"/>
            <w:shd w:val="clear" w:color="auto" w:fill="auto"/>
          </w:tcPr>
          <w:p w:rsidR="00C04706" w:rsidRPr="00BC0B86" w:rsidRDefault="00DB0F61" w:rsidP="00C04706">
            <w:pPr>
              <w:autoSpaceDE w:val="0"/>
              <w:autoSpaceDN w:val="0"/>
              <w:adjustRightInd w:val="0"/>
              <w:spacing w:after="0" w:line="280" w:lineRule="atLeast"/>
              <w:jc w:val="center"/>
              <w:rPr>
                <w:color w:val="000000"/>
                <w:sz w:val="20"/>
                <w:lang w:val="en-US"/>
              </w:rPr>
            </w:pPr>
            <w:r>
              <w:rPr>
                <w:color w:val="000000"/>
                <w:sz w:val="20"/>
                <w:lang w:val="en-US"/>
              </w:rPr>
              <w:t>33.</w:t>
            </w:r>
            <w:r w:rsidR="008146F1">
              <w:rPr>
                <w:color w:val="000000"/>
                <w:sz w:val="20"/>
                <w:lang w:val="en-US"/>
              </w:rPr>
              <w:t>4</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BC0B86">
              <w:rPr>
                <w:color w:val="000000"/>
                <w:sz w:val="20"/>
                <w:lang w:val="en-US"/>
              </w:rPr>
              <w:t>Hazard ratio (95% CI)</w:t>
            </w:r>
          </w:p>
        </w:tc>
        <w:tc>
          <w:tcPr>
            <w:tcW w:w="6379" w:type="dxa"/>
            <w:gridSpan w:val="4"/>
            <w:shd w:val="clear" w:color="auto" w:fill="auto"/>
          </w:tcPr>
          <w:p w:rsidR="00C04706" w:rsidRPr="00BC0B86" w:rsidRDefault="00DB0F61" w:rsidP="00C04706">
            <w:pPr>
              <w:autoSpaceDE w:val="0"/>
              <w:autoSpaceDN w:val="0"/>
              <w:adjustRightInd w:val="0"/>
              <w:spacing w:after="0" w:line="280" w:lineRule="atLeast"/>
              <w:jc w:val="center"/>
              <w:rPr>
                <w:color w:val="000000"/>
                <w:sz w:val="20"/>
                <w:lang w:val="en-US"/>
              </w:rPr>
            </w:pPr>
            <w:r>
              <w:rPr>
                <w:color w:val="000000"/>
                <w:sz w:val="20"/>
                <w:lang w:val="en-US"/>
              </w:rPr>
              <w:t>0</w:t>
            </w:r>
            <w:r w:rsidR="008146F1">
              <w:rPr>
                <w:color w:val="000000"/>
                <w:sz w:val="20"/>
                <w:lang w:val="en-US"/>
              </w:rPr>
              <w:t>.96</w:t>
            </w:r>
          </w:p>
          <w:p w:rsidR="00C04706" w:rsidRPr="00BC0B86" w:rsidRDefault="00C04706" w:rsidP="00DB0F61">
            <w:pPr>
              <w:autoSpaceDE w:val="0"/>
              <w:autoSpaceDN w:val="0"/>
              <w:adjustRightInd w:val="0"/>
              <w:spacing w:after="0" w:line="280" w:lineRule="atLeast"/>
              <w:jc w:val="center"/>
              <w:rPr>
                <w:color w:val="000000"/>
                <w:sz w:val="20"/>
                <w:lang w:val="en-US"/>
              </w:rPr>
            </w:pPr>
            <w:r w:rsidRPr="00BC0B86">
              <w:rPr>
                <w:color w:val="000000"/>
                <w:sz w:val="20"/>
                <w:lang w:val="en-US"/>
              </w:rPr>
              <w:t>[</w:t>
            </w:r>
            <w:r w:rsidR="00DB0F61">
              <w:rPr>
                <w:color w:val="000000"/>
                <w:sz w:val="20"/>
                <w:lang w:val="en-US"/>
              </w:rPr>
              <w:t>0.7</w:t>
            </w:r>
            <w:r w:rsidR="008146F1">
              <w:rPr>
                <w:color w:val="000000"/>
                <w:sz w:val="20"/>
                <w:lang w:val="en-US"/>
              </w:rPr>
              <w:t>60</w:t>
            </w:r>
            <w:r w:rsidRPr="00BC0B86">
              <w:rPr>
                <w:color w:val="000000"/>
                <w:sz w:val="20"/>
                <w:lang w:val="en-US"/>
              </w:rPr>
              <w:t xml:space="preserve">, </w:t>
            </w:r>
            <w:r w:rsidR="00DB0F61">
              <w:rPr>
                <w:color w:val="000000"/>
                <w:sz w:val="20"/>
                <w:lang w:val="en-US"/>
              </w:rPr>
              <w:t>1.</w:t>
            </w:r>
            <w:r w:rsidR="008146F1">
              <w:rPr>
                <w:color w:val="000000"/>
                <w:sz w:val="20"/>
                <w:lang w:val="en-US"/>
              </w:rPr>
              <w:t>214</w:t>
            </w:r>
            <w:r w:rsidRPr="00BC0B86">
              <w:rPr>
                <w:color w:val="000000"/>
                <w:sz w:val="20"/>
                <w:lang w:val="en-US"/>
              </w:rPr>
              <w:t>]</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755EFF">
              <w:rPr>
                <w:i/>
                <w:color w:val="000000"/>
                <w:sz w:val="20"/>
                <w:lang w:val="en-US"/>
              </w:rPr>
              <w:t>p</w:t>
            </w:r>
            <w:r w:rsidRPr="00BC0B86">
              <w:rPr>
                <w:color w:val="000000"/>
                <w:sz w:val="20"/>
                <w:lang w:val="en-US"/>
              </w:rPr>
              <w:t xml:space="preserve"> - value</w:t>
            </w:r>
          </w:p>
        </w:tc>
        <w:tc>
          <w:tcPr>
            <w:tcW w:w="6379" w:type="dxa"/>
            <w:gridSpan w:val="4"/>
            <w:shd w:val="clear" w:color="auto" w:fill="auto"/>
          </w:tcPr>
          <w:p w:rsidR="00C04706" w:rsidRPr="00BC0B86" w:rsidRDefault="008146F1" w:rsidP="008B37B3">
            <w:pPr>
              <w:autoSpaceDE w:val="0"/>
              <w:autoSpaceDN w:val="0"/>
              <w:adjustRightInd w:val="0"/>
              <w:spacing w:after="0" w:line="280" w:lineRule="atLeast"/>
              <w:jc w:val="center"/>
              <w:rPr>
                <w:color w:val="000000"/>
                <w:sz w:val="20"/>
                <w:lang w:val="en-US"/>
              </w:rPr>
            </w:pPr>
            <w:r>
              <w:rPr>
                <w:color w:val="000000"/>
                <w:sz w:val="20"/>
                <w:lang w:val="en-US"/>
              </w:rPr>
              <w:t>0.7360</w:t>
            </w:r>
          </w:p>
        </w:tc>
      </w:tr>
    </w:tbl>
    <w:p w:rsidR="00C04706" w:rsidRDefault="00C04706" w:rsidP="00C04706">
      <w:pPr>
        <w:autoSpaceDE w:val="0"/>
        <w:autoSpaceDN w:val="0"/>
        <w:adjustRightInd w:val="0"/>
        <w:spacing w:before="120" w:after="0"/>
        <w:ind w:left="284" w:right="340"/>
        <w:jc w:val="both"/>
        <w:rPr>
          <w:i/>
          <w:color w:val="000000"/>
          <w:sz w:val="20"/>
          <w:lang w:val="en-US"/>
        </w:rPr>
      </w:pPr>
      <w:r w:rsidRPr="00755EFF">
        <w:rPr>
          <w:i/>
          <w:color w:val="000000"/>
          <w:sz w:val="20"/>
          <w:lang w:val="en-US"/>
        </w:rPr>
        <w:t>C = carboplatin; G = gemcitabine; PFS = progression free surviva</w:t>
      </w:r>
      <w:r>
        <w:rPr>
          <w:i/>
          <w:color w:val="000000"/>
          <w:sz w:val="20"/>
          <w:lang w:val="en-US"/>
        </w:rPr>
        <w:t>l;</w:t>
      </w:r>
      <w:r w:rsidRPr="00755EFF">
        <w:rPr>
          <w:i/>
          <w:color w:val="000000"/>
          <w:sz w:val="20"/>
          <w:lang w:val="en-US"/>
        </w:rPr>
        <w:t xml:space="preserve"> </w:t>
      </w:r>
      <w:r>
        <w:rPr>
          <w:i/>
          <w:color w:val="000000"/>
          <w:sz w:val="20"/>
          <w:lang w:val="en-US"/>
        </w:rPr>
        <w:t>C</w:t>
      </w:r>
      <w:r w:rsidRPr="00755EFF">
        <w:rPr>
          <w:i/>
          <w:color w:val="000000"/>
          <w:sz w:val="20"/>
          <w:lang w:val="en-US"/>
        </w:rPr>
        <w:t>I = confidence interval</w:t>
      </w:r>
      <w:r>
        <w:rPr>
          <w:i/>
          <w:color w:val="000000"/>
          <w:sz w:val="20"/>
          <w:lang w:val="en-US"/>
        </w:rPr>
        <w:t>;</w:t>
      </w:r>
      <w:r w:rsidRPr="00755EFF">
        <w:rPr>
          <w:i/>
          <w:color w:val="000000"/>
          <w:sz w:val="20"/>
          <w:lang w:val="en-US"/>
        </w:rPr>
        <w:t xml:space="preserve"> OS = overall survival</w:t>
      </w:r>
    </w:p>
    <w:p w:rsidR="00C55313" w:rsidRPr="00755EFF" w:rsidRDefault="00C55313" w:rsidP="00C04706">
      <w:pPr>
        <w:autoSpaceDE w:val="0"/>
        <w:autoSpaceDN w:val="0"/>
        <w:adjustRightInd w:val="0"/>
        <w:spacing w:before="120" w:after="0"/>
        <w:ind w:left="284" w:right="340"/>
        <w:jc w:val="both"/>
        <w:rPr>
          <w:i/>
          <w:color w:val="000000"/>
          <w:sz w:val="20"/>
          <w:lang w:val="en-US"/>
        </w:rPr>
      </w:pPr>
      <w:r>
        <w:rPr>
          <w:i/>
          <w:color w:val="000000"/>
          <w:sz w:val="20"/>
          <w:lang w:val="en-US"/>
        </w:rPr>
        <w:t xml:space="preserve">Results of the </w:t>
      </w:r>
      <w:proofErr w:type="spellStart"/>
      <w:r>
        <w:rPr>
          <w:i/>
          <w:color w:val="000000"/>
          <w:sz w:val="20"/>
          <w:lang w:val="en-US"/>
        </w:rPr>
        <w:t>unstratified</w:t>
      </w:r>
      <w:proofErr w:type="spellEnd"/>
      <w:r>
        <w:rPr>
          <w:i/>
          <w:color w:val="000000"/>
          <w:sz w:val="20"/>
          <w:lang w:val="en-US"/>
        </w:rPr>
        <w:t xml:space="preserve"> analysis were similar to those of the stratified analysis (above table)</w:t>
      </w:r>
    </w:p>
    <w:p w:rsidR="00C04706" w:rsidRPr="00755EFF" w:rsidRDefault="00C04706" w:rsidP="00C04706">
      <w:pPr>
        <w:autoSpaceDE w:val="0"/>
        <w:autoSpaceDN w:val="0"/>
        <w:adjustRightInd w:val="0"/>
        <w:spacing w:after="0"/>
        <w:ind w:left="284" w:right="340"/>
        <w:jc w:val="both"/>
        <w:rPr>
          <w:i/>
          <w:color w:val="000000"/>
          <w:sz w:val="20"/>
          <w:lang w:val="en-US"/>
        </w:rPr>
      </w:pPr>
      <w:r w:rsidRPr="00755EFF">
        <w:rPr>
          <w:i/>
          <w:color w:val="000000"/>
          <w:sz w:val="20"/>
          <w:lang w:val="en-US"/>
        </w:rPr>
        <w:t>* Primary analysis</w:t>
      </w:r>
      <w:r>
        <w:rPr>
          <w:i/>
          <w:color w:val="000000"/>
          <w:sz w:val="20"/>
          <w:lang w:val="en-US"/>
        </w:rPr>
        <w:t xml:space="preserve">; </w:t>
      </w:r>
      <w:r w:rsidRPr="00755EFF">
        <w:rPr>
          <w:i/>
          <w:color w:val="000000"/>
          <w:sz w:val="20"/>
          <w:lang w:val="en-US"/>
        </w:rPr>
        <w:t xml:space="preserve">** Interim protocol-specified analysis performed when approximately </w:t>
      </w:r>
      <w:r w:rsidR="008146F1">
        <w:rPr>
          <w:i/>
          <w:color w:val="000000"/>
          <w:sz w:val="20"/>
          <w:lang w:val="en-US"/>
        </w:rPr>
        <w:t>5</w:t>
      </w:r>
      <w:r w:rsidR="00DB0F61" w:rsidRPr="00755EFF">
        <w:rPr>
          <w:i/>
          <w:color w:val="000000"/>
          <w:sz w:val="20"/>
          <w:lang w:val="en-US"/>
        </w:rPr>
        <w:t>9</w:t>
      </w:r>
      <w:r w:rsidRPr="00755EFF">
        <w:rPr>
          <w:i/>
          <w:color w:val="000000"/>
          <w:sz w:val="20"/>
          <w:lang w:val="en-US"/>
        </w:rPr>
        <w:t>% of the patients had died</w:t>
      </w:r>
    </w:p>
    <w:p w:rsidR="003A3108" w:rsidRDefault="003A3108" w:rsidP="003A3108">
      <w:pPr>
        <w:rPr>
          <w:b/>
          <w:sz w:val="24"/>
          <w:szCs w:val="24"/>
          <w:lang w:val="en-US"/>
        </w:rPr>
      </w:pPr>
    </w:p>
    <w:p w:rsidR="004400B1" w:rsidRDefault="003A3108" w:rsidP="004400B1">
      <w:pPr>
        <w:rPr>
          <w:sz w:val="24"/>
          <w:szCs w:val="24"/>
          <w:lang w:val="en-US"/>
        </w:rPr>
      </w:pPr>
      <w:r w:rsidRPr="00D717FA">
        <w:rPr>
          <w:b/>
          <w:sz w:val="24"/>
          <w:szCs w:val="24"/>
          <w:lang w:val="en-US"/>
        </w:rPr>
        <w:t>Study MO22224 (AURELIA)</w:t>
      </w:r>
    </w:p>
    <w:p w:rsidR="003A3108" w:rsidRPr="004400B1" w:rsidRDefault="003A3108" w:rsidP="004400B1">
      <w:pPr>
        <w:rPr>
          <w:sz w:val="24"/>
          <w:szCs w:val="24"/>
          <w:lang w:val="en-US"/>
        </w:rPr>
      </w:pPr>
      <w:r w:rsidRPr="000C262C">
        <w:rPr>
          <w:rFonts w:eastAsia="MS Mincho"/>
          <w:sz w:val="24"/>
          <w:szCs w:val="24"/>
          <w:lang w:val="en-GB" w:eastAsia="de-DE"/>
        </w:rPr>
        <w:lastRenderedPageBreak/>
        <w:t xml:space="preserve">Study MO22224 evaluated the efficacy and safety of </w:t>
      </w:r>
      <w:r>
        <w:rPr>
          <w:rFonts w:eastAsia="MS Mincho"/>
          <w:sz w:val="24"/>
          <w:szCs w:val="24"/>
          <w:lang w:val="en-GB" w:eastAsia="de-DE"/>
        </w:rPr>
        <w:t>AVASTIN</w:t>
      </w:r>
      <w:r w:rsidRPr="000C262C">
        <w:rPr>
          <w:rFonts w:eastAsia="MS Mincho"/>
          <w:sz w:val="24"/>
          <w:szCs w:val="24"/>
          <w:lang w:val="en-GB" w:eastAsia="de-DE"/>
        </w:rPr>
        <w:t xml:space="preserve"> in combination with chemotherapy for platinum-resistant recurrent ovarian cancer. </w:t>
      </w:r>
      <w:r w:rsidR="00C72BD4">
        <w:rPr>
          <w:rFonts w:eastAsia="MS Mincho"/>
          <w:sz w:val="24"/>
          <w:szCs w:val="24"/>
          <w:lang w:val="en-GB" w:eastAsia="de-DE"/>
        </w:rPr>
        <w:t>The majority of patients had not previously received AVASTIN or other anti-</w:t>
      </w:r>
      <w:proofErr w:type="spellStart"/>
      <w:r w:rsidR="00C72BD4">
        <w:rPr>
          <w:rFonts w:eastAsia="MS Mincho"/>
          <w:sz w:val="24"/>
          <w:szCs w:val="24"/>
          <w:lang w:val="en-GB" w:eastAsia="de-DE"/>
        </w:rPr>
        <w:t>angiogenic</w:t>
      </w:r>
      <w:proofErr w:type="spellEnd"/>
      <w:r w:rsidR="00C72BD4">
        <w:rPr>
          <w:rFonts w:eastAsia="MS Mincho"/>
          <w:sz w:val="24"/>
          <w:szCs w:val="24"/>
          <w:lang w:val="en-GB" w:eastAsia="de-DE"/>
        </w:rPr>
        <w:t xml:space="preserve"> therapies.</w:t>
      </w:r>
      <w:r w:rsidRPr="000C262C">
        <w:rPr>
          <w:rFonts w:eastAsia="MS Mincho"/>
          <w:sz w:val="24"/>
          <w:szCs w:val="24"/>
          <w:lang w:val="en-GB" w:eastAsia="de-DE"/>
        </w:rPr>
        <w:t xml:space="preserve"> This study was designed as an open-label, randomized, </w:t>
      </w:r>
      <w:r>
        <w:rPr>
          <w:rFonts w:eastAsia="MS Mincho"/>
          <w:sz w:val="24"/>
          <w:szCs w:val="24"/>
          <w:lang w:val="en-GB" w:eastAsia="de-DE"/>
        </w:rPr>
        <w:t>2</w:t>
      </w:r>
      <w:r w:rsidR="00CC4ED1">
        <w:rPr>
          <w:rFonts w:eastAsia="MS Mincho"/>
          <w:sz w:val="24"/>
          <w:szCs w:val="24"/>
          <w:lang w:val="en-GB" w:eastAsia="de-DE"/>
        </w:rPr>
        <w:t>-arm p</w:t>
      </w:r>
      <w:r w:rsidRPr="000C262C">
        <w:rPr>
          <w:rFonts w:eastAsia="MS Mincho"/>
          <w:sz w:val="24"/>
          <w:szCs w:val="24"/>
          <w:lang w:val="en-GB" w:eastAsia="de-DE"/>
        </w:rPr>
        <w:t xml:space="preserve">hase III evaluation of </w:t>
      </w:r>
      <w:r>
        <w:rPr>
          <w:rFonts w:eastAsia="MS Mincho"/>
          <w:sz w:val="24"/>
          <w:szCs w:val="24"/>
          <w:lang w:val="en-GB" w:eastAsia="de-DE"/>
        </w:rPr>
        <w:t>AVASTIN</w:t>
      </w:r>
      <w:r w:rsidRPr="000C262C">
        <w:rPr>
          <w:rFonts w:eastAsia="MS Mincho"/>
          <w:sz w:val="24"/>
          <w:szCs w:val="24"/>
          <w:lang w:val="en-GB" w:eastAsia="de-DE"/>
        </w:rPr>
        <w:t xml:space="preserve"> plus chemotherapy versus chemotherapy alone.</w:t>
      </w:r>
    </w:p>
    <w:p w:rsidR="003A3108" w:rsidRPr="000C262C" w:rsidRDefault="003A3108" w:rsidP="00C72BD4">
      <w:pPr>
        <w:spacing w:after="0"/>
        <w:jc w:val="both"/>
        <w:rPr>
          <w:sz w:val="24"/>
          <w:szCs w:val="24"/>
          <w:lang w:val="en-US" w:eastAsia="en-US"/>
        </w:rPr>
      </w:pPr>
      <w:r w:rsidRPr="000C262C">
        <w:rPr>
          <w:sz w:val="24"/>
          <w:szCs w:val="24"/>
          <w:lang w:val="en-US" w:eastAsia="en-US"/>
        </w:rPr>
        <w:t>A total of 361 patients were enrolled in this study and</w:t>
      </w:r>
      <w:r w:rsidRPr="000C262C">
        <w:rPr>
          <w:sz w:val="24"/>
          <w:szCs w:val="24"/>
          <w:lang w:val="en-GB" w:eastAsia="en-US"/>
        </w:rPr>
        <w:t xml:space="preserve"> administered either chemotherapy (paclitaxel, </w:t>
      </w:r>
      <w:proofErr w:type="spellStart"/>
      <w:r w:rsidRPr="000C262C">
        <w:rPr>
          <w:sz w:val="24"/>
          <w:szCs w:val="24"/>
          <w:lang w:val="en-GB" w:eastAsia="en-US"/>
        </w:rPr>
        <w:t>topotecan</w:t>
      </w:r>
      <w:proofErr w:type="spellEnd"/>
      <w:r w:rsidRPr="000C262C">
        <w:rPr>
          <w:sz w:val="24"/>
          <w:szCs w:val="24"/>
          <w:lang w:val="en-GB" w:eastAsia="en-US"/>
        </w:rPr>
        <w:t xml:space="preserve">, or </w:t>
      </w:r>
      <w:proofErr w:type="spellStart"/>
      <w:r>
        <w:rPr>
          <w:sz w:val="24"/>
          <w:szCs w:val="24"/>
          <w:lang w:val="en-GB" w:eastAsia="en-US"/>
        </w:rPr>
        <w:t>pegylated</w:t>
      </w:r>
      <w:proofErr w:type="spellEnd"/>
      <w:r>
        <w:rPr>
          <w:sz w:val="24"/>
          <w:szCs w:val="24"/>
          <w:lang w:val="en-GB" w:eastAsia="en-US"/>
        </w:rPr>
        <w:t xml:space="preserve"> liposomal doxorubicin (</w:t>
      </w:r>
      <w:r w:rsidRPr="000C262C">
        <w:rPr>
          <w:sz w:val="24"/>
          <w:szCs w:val="24"/>
          <w:lang w:val="en-GB" w:eastAsia="en-US"/>
        </w:rPr>
        <w:t>PLD)</w:t>
      </w:r>
      <w:r w:rsidR="00CC4ED1">
        <w:rPr>
          <w:sz w:val="24"/>
          <w:szCs w:val="24"/>
          <w:lang w:val="en-GB" w:eastAsia="en-US"/>
        </w:rPr>
        <w:t>)</w:t>
      </w:r>
      <w:r w:rsidRPr="000C262C">
        <w:rPr>
          <w:sz w:val="24"/>
          <w:szCs w:val="24"/>
          <w:lang w:val="en-GB" w:eastAsia="en-US"/>
        </w:rPr>
        <w:t xml:space="preserve"> alone or in combination with </w:t>
      </w:r>
      <w:r w:rsidR="00FE34CF">
        <w:rPr>
          <w:sz w:val="24"/>
          <w:szCs w:val="24"/>
          <w:lang w:val="en-GB" w:eastAsia="en-US"/>
        </w:rPr>
        <w:t>AVASTIN</w:t>
      </w:r>
      <w:r w:rsidRPr="000C262C">
        <w:rPr>
          <w:sz w:val="24"/>
          <w:szCs w:val="24"/>
          <w:lang w:val="en-US" w:eastAsia="en-US"/>
        </w:rPr>
        <w:t>:</w:t>
      </w:r>
    </w:p>
    <w:p w:rsidR="003A3108" w:rsidRPr="000C262C" w:rsidRDefault="003A3108" w:rsidP="00C72BD4">
      <w:pPr>
        <w:spacing w:after="0"/>
        <w:jc w:val="both"/>
        <w:rPr>
          <w:sz w:val="24"/>
          <w:szCs w:val="24"/>
          <w:lang w:val="en-US" w:eastAsia="en-US"/>
        </w:rPr>
      </w:pPr>
    </w:p>
    <w:p w:rsidR="003A3108" w:rsidRPr="000C262C" w:rsidRDefault="003A3108" w:rsidP="003A3108">
      <w:pPr>
        <w:numPr>
          <w:ilvl w:val="0"/>
          <w:numId w:val="16"/>
        </w:numPr>
        <w:spacing w:after="0"/>
        <w:rPr>
          <w:sz w:val="24"/>
          <w:szCs w:val="24"/>
          <w:lang w:val="en-US" w:eastAsia="en-US"/>
        </w:rPr>
      </w:pPr>
      <w:r w:rsidRPr="000C262C">
        <w:rPr>
          <w:sz w:val="24"/>
          <w:szCs w:val="24"/>
          <w:lang w:val="en-US" w:eastAsia="en-US"/>
        </w:rPr>
        <w:t xml:space="preserve">CT </w:t>
      </w:r>
      <w:r w:rsidR="00CC4ED1">
        <w:rPr>
          <w:sz w:val="24"/>
          <w:szCs w:val="24"/>
          <w:lang w:val="en-US" w:eastAsia="en-US"/>
        </w:rPr>
        <w:t>a</w:t>
      </w:r>
      <w:r w:rsidRPr="000C262C">
        <w:rPr>
          <w:sz w:val="24"/>
          <w:szCs w:val="24"/>
          <w:lang w:val="en-US" w:eastAsia="en-US"/>
        </w:rPr>
        <w:t xml:space="preserve">rm (chemotherapy alone): </w:t>
      </w:r>
    </w:p>
    <w:p w:rsidR="003A3108" w:rsidRPr="000C262C" w:rsidRDefault="003A3108" w:rsidP="003A3108">
      <w:pPr>
        <w:numPr>
          <w:ilvl w:val="1"/>
          <w:numId w:val="16"/>
        </w:numPr>
        <w:spacing w:after="0" w:line="300" w:lineRule="atLeast"/>
        <w:ind w:left="1134" w:hanging="425"/>
        <w:rPr>
          <w:rFonts w:eastAsia="SimSun"/>
          <w:sz w:val="24"/>
          <w:szCs w:val="24"/>
          <w:lang w:val="en-GB" w:eastAsia="zh-CN"/>
        </w:rPr>
      </w:pPr>
      <w:r w:rsidRPr="000C262C">
        <w:rPr>
          <w:rFonts w:eastAsia="SimSun"/>
          <w:sz w:val="24"/>
          <w:szCs w:val="24"/>
          <w:lang w:val="en-GB" w:eastAsia="zh-CN"/>
        </w:rPr>
        <w:t>Paclitaxel 80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as a 1-hour IV infusion on Days 1, 8, 15, and 22 every 4 weeks.</w:t>
      </w:r>
    </w:p>
    <w:p w:rsidR="003A3108" w:rsidRPr="000C262C" w:rsidRDefault="003A3108" w:rsidP="003A3108">
      <w:pPr>
        <w:numPr>
          <w:ilvl w:val="1"/>
          <w:numId w:val="16"/>
        </w:numPr>
        <w:spacing w:after="0" w:line="300" w:lineRule="atLeast"/>
        <w:ind w:left="1134" w:hanging="425"/>
        <w:rPr>
          <w:rFonts w:eastAsia="SimSun"/>
          <w:sz w:val="24"/>
          <w:szCs w:val="24"/>
          <w:lang w:val="en-GB" w:eastAsia="zh-CN"/>
        </w:rPr>
      </w:pPr>
      <w:proofErr w:type="spellStart"/>
      <w:r w:rsidRPr="000C262C">
        <w:rPr>
          <w:rFonts w:eastAsia="SimSun"/>
          <w:sz w:val="24"/>
          <w:szCs w:val="24"/>
          <w:lang w:val="en-GB" w:eastAsia="zh-CN"/>
        </w:rPr>
        <w:t>Topotecan</w:t>
      </w:r>
      <w:proofErr w:type="spellEnd"/>
      <w:r w:rsidRPr="000C262C">
        <w:rPr>
          <w:rFonts w:eastAsia="SimSun"/>
          <w:sz w:val="24"/>
          <w:szCs w:val="24"/>
          <w:lang w:val="en-GB" w:eastAsia="zh-CN"/>
        </w:rPr>
        <w:t xml:space="preserve"> 4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as a 30 minute IV infusion on Days 1, 8, and 15 every 4 weeks. Alternatively, a 1.25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dose could be administered over 30 minutes on Days 1–5 every 3 weeks.</w:t>
      </w:r>
    </w:p>
    <w:p w:rsidR="003A3108" w:rsidRPr="000C262C" w:rsidRDefault="003A3108" w:rsidP="003A3108">
      <w:pPr>
        <w:numPr>
          <w:ilvl w:val="1"/>
          <w:numId w:val="16"/>
        </w:numPr>
        <w:spacing w:after="250" w:line="300" w:lineRule="atLeast"/>
        <w:ind w:left="1134" w:hanging="425"/>
        <w:rPr>
          <w:rFonts w:eastAsia="SimSun"/>
          <w:sz w:val="24"/>
          <w:szCs w:val="24"/>
          <w:lang w:val="en-GB" w:eastAsia="zh-CN"/>
        </w:rPr>
      </w:pPr>
      <w:r w:rsidRPr="000C262C">
        <w:rPr>
          <w:rFonts w:eastAsia="SimSun"/>
          <w:sz w:val="24"/>
          <w:szCs w:val="24"/>
          <w:lang w:val="en-GB" w:eastAsia="zh-CN"/>
        </w:rPr>
        <w:t>PLD 40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as a 1 mg/min IV infusion on Day 1 only every 4 weeks.  After </w:t>
      </w:r>
      <w:r w:rsidR="00CC4ED1">
        <w:rPr>
          <w:rFonts w:eastAsia="SimSun"/>
          <w:sz w:val="24"/>
          <w:szCs w:val="24"/>
          <w:lang w:val="en-GB" w:eastAsia="zh-CN"/>
        </w:rPr>
        <w:t>c</w:t>
      </w:r>
      <w:r w:rsidRPr="000C262C">
        <w:rPr>
          <w:rFonts w:eastAsia="SimSun"/>
          <w:sz w:val="24"/>
          <w:szCs w:val="24"/>
          <w:lang w:val="en-GB" w:eastAsia="zh-CN"/>
        </w:rPr>
        <w:t>ycle 1, the drug could be delivered as a 1 hour infusion.</w:t>
      </w:r>
    </w:p>
    <w:p w:rsidR="003A3108" w:rsidRPr="000C262C" w:rsidRDefault="003A3108" w:rsidP="003A3108">
      <w:pPr>
        <w:numPr>
          <w:ilvl w:val="0"/>
          <w:numId w:val="16"/>
        </w:numPr>
        <w:spacing w:after="0"/>
        <w:rPr>
          <w:sz w:val="24"/>
          <w:szCs w:val="24"/>
          <w:lang w:val="en-US" w:eastAsia="en-US"/>
        </w:rPr>
      </w:pPr>
      <w:r w:rsidRPr="000C262C">
        <w:rPr>
          <w:sz w:val="24"/>
          <w:szCs w:val="24"/>
          <w:lang w:val="en-US" w:eastAsia="en-US"/>
        </w:rPr>
        <w:t>CT</w:t>
      </w:r>
      <w:r>
        <w:rPr>
          <w:sz w:val="24"/>
          <w:szCs w:val="24"/>
          <w:lang w:val="en-US" w:eastAsia="en-US"/>
        </w:rPr>
        <w:t xml:space="preserve"> </w:t>
      </w:r>
      <w:r w:rsidRPr="000C262C">
        <w:rPr>
          <w:sz w:val="24"/>
          <w:szCs w:val="24"/>
          <w:lang w:val="en-US" w:eastAsia="en-US"/>
        </w:rPr>
        <w:t>+</w:t>
      </w:r>
      <w:r>
        <w:rPr>
          <w:sz w:val="24"/>
          <w:szCs w:val="24"/>
          <w:lang w:val="en-US" w:eastAsia="en-US"/>
        </w:rPr>
        <w:t xml:space="preserve"> AVASTIN</w:t>
      </w:r>
      <w:r w:rsidRPr="000C262C">
        <w:rPr>
          <w:sz w:val="24"/>
          <w:szCs w:val="24"/>
          <w:lang w:val="en-US" w:eastAsia="en-US"/>
        </w:rPr>
        <w:t xml:space="preserve"> </w:t>
      </w:r>
      <w:r w:rsidR="00CC4ED1">
        <w:rPr>
          <w:sz w:val="24"/>
          <w:szCs w:val="24"/>
          <w:lang w:val="en-US" w:eastAsia="en-US"/>
        </w:rPr>
        <w:t>a</w:t>
      </w:r>
      <w:r w:rsidRPr="000C262C">
        <w:rPr>
          <w:sz w:val="24"/>
          <w:szCs w:val="24"/>
          <w:lang w:val="en-US" w:eastAsia="en-US"/>
        </w:rPr>
        <w:t xml:space="preserve">rm (chemotherapy plus </w:t>
      </w:r>
      <w:r>
        <w:rPr>
          <w:sz w:val="24"/>
          <w:szCs w:val="24"/>
          <w:lang w:val="en-US" w:eastAsia="en-US"/>
        </w:rPr>
        <w:t>AVASTIN</w:t>
      </w:r>
      <w:r w:rsidRPr="000C262C">
        <w:rPr>
          <w:sz w:val="24"/>
          <w:szCs w:val="24"/>
          <w:lang w:val="en-US" w:eastAsia="en-US"/>
        </w:rPr>
        <w:t>):</w:t>
      </w:r>
    </w:p>
    <w:p w:rsidR="003A3108" w:rsidRPr="000C262C" w:rsidRDefault="003A3108" w:rsidP="003A3108">
      <w:pPr>
        <w:numPr>
          <w:ilvl w:val="1"/>
          <w:numId w:val="16"/>
        </w:numPr>
        <w:spacing w:after="250" w:line="300" w:lineRule="atLeast"/>
        <w:ind w:left="1134" w:hanging="425"/>
        <w:rPr>
          <w:rFonts w:eastAsia="SimSun"/>
          <w:sz w:val="24"/>
          <w:szCs w:val="24"/>
          <w:lang w:val="en-GB" w:eastAsia="zh-CN"/>
        </w:rPr>
      </w:pPr>
      <w:r w:rsidRPr="000C262C">
        <w:rPr>
          <w:rFonts w:eastAsia="SimSun"/>
          <w:sz w:val="24"/>
          <w:szCs w:val="24"/>
          <w:lang w:val="en-GB" w:eastAsia="zh-CN"/>
        </w:rPr>
        <w:t xml:space="preserve">The chosen chemotherapy was combined with </w:t>
      </w:r>
      <w:r>
        <w:rPr>
          <w:rFonts w:eastAsia="SimSun"/>
          <w:sz w:val="24"/>
          <w:szCs w:val="24"/>
          <w:lang w:val="en-GB" w:eastAsia="zh-CN"/>
        </w:rPr>
        <w:t>AVASTIN</w:t>
      </w:r>
      <w:r w:rsidRPr="000C262C">
        <w:rPr>
          <w:rFonts w:eastAsia="SimSun"/>
          <w:sz w:val="24"/>
          <w:szCs w:val="24"/>
          <w:lang w:val="en-GB" w:eastAsia="zh-CN"/>
        </w:rPr>
        <w:t xml:space="preserve"> 10 mg/kg </w:t>
      </w:r>
      <w:r w:rsidRPr="002D2F27">
        <w:rPr>
          <w:rFonts w:eastAsia="SimSun"/>
          <w:sz w:val="24"/>
          <w:szCs w:val="24"/>
          <w:u w:val="single"/>
          <w:lang w:val="en-GB" w:eastAsia="zh-CN"/>
        </w:rPr>
        <w:t>every 2 weeks</w:t>
      </w:r>
      <w:r w:rsidRPr="000C262C">
        <w:rPr>
          <w:rFonts w:eastAsia="SimSun"/>
          <w:sz w:val="24"/>
          <w:szCs w:val="24"/>
          <w:lang w:val="en-GB" w:eastAsia="zh-CN"/>
        </w:rPr>
        <w:t xml:space="preserve"> or</w:t>
      </w:r>
      <w:r>
        <w:rPr>
          <w:rFonts w:eastAsia="SimSun"/>
          <w:sz w:val="24"/>
          <w:szCs w:val="24"/>
          <w:lang w:val="en-GB" w:eastAsia="zh-CN"/>
        </w:rPr>
        <w:t>,</w:t>
      </w:r>
      <w:r w:rsidRPr="000C262C">
        <w:rPr>
          <w:rFonts w:eastAsia="SimSun"/>
          <w:sz w:val="24"/>
          <w:szCs w:val="24"/>
          <w:lang w:val="en-GB" w:eastAsia="zh-CN"/>
        </w:rPr>
        <w:t xml:space="preserve"> </w:t>
      </w:r>
      <w:r>
        <w:rPr>
          <w:rFonts w:eastAsia="SimSun"/>
          <w:sz w:val="24"/>
          <w:szCs w:val="24"/>
          <w:lang w:val="en-GB" w:eastAsia="zh-CN"/>
        </w:rPr>
        <w:t>AVASTIN</w:t>
      </w:r>
      <w:r w:rsidRPr="000C262C">
        <w:rPr>
          <w:rFonts w:eastAsia="SimSun"/>
          <w:sz w:val="24"/>
          <w:szCs w:val="24"/>
          <w:lang w:val="en-GB" w:eastAsia="zh-CN"/>
        </w:rPr>
        <w:t xml:space="preserve"> 15 mg/kg </w:t>
      </w:r>
      <w:r w:rsidRPr="002D2F27">
        <w:rPr>
          <w:rFonts w:eastAsia="SimSun"/>
          <w:sz w:val="24"/>
          <w:szCs w:val="24"/>
          <w:u w:val="single"/>
          <w:lang w:val="en-GB" w:eastAsia="zh-CN"/>
        </w:rPr>
        <w:t>every 3 weeks</w:t>
      </w:r>
      <w:r w:rsidRPr="000C262C">
        <w:rPr>
          <w:rFonts w:eastAsia="SimSun"/>
          <w:sz w:val="24"/>
          <w:szCs w:val="24"/>
          <w:lang w:val="en-GB" w:eastAsia="zh-CN"/>
        </w:rPr>
        <w:t xml:space="preserve"> if used in combination with </w:t>
      </w:r>
      <w:proofErr w:type="spellStart"/>
      <w:r w:rsidRPr="000C262C">
        <w:rPr>
          <w:rFonts w:eastAsia="SimSun"/>
          <w:sz w:val="24"/>
          <w:szCs w:val="24"/>
          <w:lang w:val="en-GB" w:eastAsia="zh-CN"/>
        </w:rPr>
        <w:t>topotecan</w:t>
      </w:r>
      <w:proofErr w:type="spellEnd"/>
      <w:r w:rsidRPr="000C262C">
        <w:rPr>
          <w:rFonts w:eastAsia="SimSun"/>
          <w:sz w:val="24"/>
          <w:szCs w:val="24"/>
          <w:lang w:val="en-GB" w:eastAsia="zh-CN"/>
        </w:rPr>
        <w:t xml:space="preserve"> </w:t>
      </w:r>
      <w:r>
        <w:rPr>
          <w:rFonts w:eastAsia="SimSun"/>
          <w:sz w:val="24"/>
          <w:szCs w:val="24"/>
          <w:lang w:val="en-GB" w:eastAsia="zh-CN"/>
        </w:rPr>
        <w:t>(</w:t>
      </w:r>
      <w:r w:rsidRPr="000C262C">
        <w:rPr>
          <w:rFonts w:eastAsia="SimSun"/>
          <w:sz w:val="24"/>
          <w:szCs w:val="24"/>
          <w:lang w:val="en-GB" w:eastAsia="zh-CN"/>
        </w:rPr>
        <w:t>1.25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on Days 1–5 on a every 3 weeks schedule).</w:t>
      </w:r>
    </w:p>
    <w:p w:rsidR="007C7E49" w:rsidRDefault="003A3108" w:rsidP="007C7E49">
      <w:pPr>
        <w:tabs>
          <w:tab w:val="left" w:pos="0"/>
          <w:tab w:val="left" w:pos="630"/>
        </w:tabs>
        <w:spacing w:after="0"/>
        <w:jc w:val="both"/>
        <w:rPr>
          <w:sz w:val="24"/>
          <w:szCs w:val="24"/>
          <w:lang w:val="en-US" w:eastAsia="en-US"/>
        </w:rPr>
      </w:pPr>
      <w:r w:rsidRPr="000C262C">
        <w:rPr>
          <w:sz w:val="24"/>
          <w:szCs w:val="24"/>
          <w:lang w:val="en-GB" w:eastAsia="en-US"/>
        </w:rPr>
        <w:t xml:space="preserve">Eligible patients had </w:t>
      </w:r>
      <w:r w:rsidR="007C7E49" w:rsidRPr="007C7E49">
        <w:rPr>
          <w:sz w:val="24"/>
          <w:szCs w:val="24"/>
          <w:lang w:val="en-GB" w:eastAsia="en-US"/>
        </w:rPr>
        <w:t xml:space="preserve">epithelial ovarian, fallopian tube or primary peritoneal cancer </w:t>
      </w:r>
      <w:r w:rsidRPr="000C262C">
        <w:rPr>
          <w:sz w:val="24"/>
          <w:szCs w:val="24"/>
          <w:lang w:val="en-GB" w:eastAsia="en-US"/>
        </w:rPr>
        <w:t>that progressed within 6 months of previous platinum therapy</w:t>
      </w:r>
      <w:r w:rsidR="007C7E49">
        <w:rPr>
          <w:sz w:val="24"/>
          <w:szCs w:val="24"/>
          <w:lang w:val="en-GB" w:eastAsia="en-US"/>
        </w:rPr>
        <w:t xml:space="preserve"> </w:t>
      </w:r>
      <w:r w:rsidR="007C7E49" w:rsidRPr="007C7E49">
        <w:rPr>
          <w:sz w:val="24"/>
          <w:szCs w:val="24"/>
          <w:lang w:val="en-GB" w:eastAsia="en-US"/>
        </w:rPr>
        <w:t>consisting of a minimum of 4 platinum therapy cycles</w:t>
      </w:r>
      <w:r w:rsidRPr="000C262C">
        <w:rPr>
          <w:sz w:val="24"/>
          <w:szCs w:val="24"/>
          <w:lang w:val="en-GB" w:eastAsia="en-US"/>
        </w:rPr>
        <w:t>.</w:t>
      </w:r>
      <w:r w:rsidRPr="000C262C">
        <w:rPr>
          <w:sz w:val="24"/>
          <w:szCs w:val="24"/>
          <w:lang w:val="en-US" w:eastAsia="en-US"/>
        </w:rPr>
        <w:t xml:space="preserve"> </w:t>
      </w:r>
      <w:r w:rsidR="007C7E49" w:rsidRPr="007C7E49">
        <w:rPr>
          <w:sz w:val="24"/>
          <w:szCs w:val="24"/>
          <w:lang w:val="en-US" w:eastAsia="en-US"/>
        </w:rPr>
        <w:t xml:space="preserve">Patients had a life expectancy of </w:t>
      </w:r>
      <w:r w:rsidR="007C7E49">
        <w:rPr>
          <w:sz w:val="24"/>
          <w:szCs w:val="24"/>
          <w:lang w:val="en-US" w:eastAsia="en-US"/>
        </w:rPr>
        <w:t>≥</w:t>
      </w:r>
      <w:r w:rsidR="00C72BD4">
        <w:rPr>
          <w:sz w:val="24"/>
          <w:szCs w:val="24"/>
          <w:lang w:val="en-US" w:eastAsia="en-US"/>
        </w:rPr>
        <w:t xml:space="preserve"> </w:t>
      </w:r>
      <w:r w:rsidR="007C7E49">
        <w:rPr>
          <w:sz w:val="24"/>
          <w:szCs w:val="24"/>
          <w:lang w:val="en-US" w:eastAsia="en-US"/>
        </w:rPr>
        <w:t xml:space="preserve">12 weeks, </w:t>
      </w:r>
      <w:r w:rsidR="007C7E49" w:rsidRPr="007C7E49">
        <w:rPr>
          <w:sz w:val="24"/>
          <w:szCs w:val="24"/>
          <w:lang w:val="en-US" w:eastAsia="en-US"/>
        </w:rPr>
        <w:t>no prior radiot</w:t>
      </w:r>
      <w:r w:rsidR="007C7E49">
        <w:rPr>
          <w:sz w:val="24"/>
          <w:szCs w:val="24"/>
          <w:lang w:val="en-US" w:eastAsia="en-US"/>
        </w:rPr>
        <w:t xml:space="preserve">herapy to the pelvis or abdomen and an ECOG status ≤ 2. Exclusion criteria included </w:t>
      </w:r>
      <w:r w:rsidR="007C7E49" w:rsidRPr="007C7E49">
        <w:rPr>
          <w:sz w:val="24"/>
          <w:szCs w:val="24"/>
          <w:lang w:val="en-US" w:eastAsia="en-US"/>
        </w:rPr>
        <w:t>patients whose disease was</w:t>
      </w:r>
      <w:r w:rsidR="007C7E49">
        <w:rPr>
          <w:sz w:val="24"/>
          <w:szCs w:val="24"/>
          <w:lang w:val="en-US" w:eastAsia="en-US"/>
        </w:rPr>
        <w:t xml:space="preserve"> </w:t>
      </w:r>
      <w:r w:rsidR="007C7E49" w:rsidRPr="007C7E49">
        <w:rPr>
          <w:sz w:val="24"/>
          <w:szCs w:val="24"/>
          <w:lang w:val="en-US" w:eastAsia="en-US"/>
        </w:rPr>
        <w:t>refractory to their previous platinum treatment, patients with</w:t>
      </w:r>
      <w:r w:rsidR="007C7E49">
        <w:rPr>
          <w:sz w:val="24"/>
          <w:szCs w:val="24"/>
          <w:lang w:val="en-US" w:eastAsia="en-US"/>
        </w:rPr>
        <w:t xml:space="preserve"> </w:t>
      </w:r>
      <w:r w:rsidR="007C7E49" w:rsidRPr="007C7E49">
        <w:rPr>
          <w:sz w:val="24"/>
          <w:szCs w:val="24"/>
          <w:lang w:val="en-US" w:eastAsia="en-US"/>
        </w:rPr>
        <w:t>previous treatment with &gt;</w:t>
      </w:r>
      <w:r w:rsidR="00C72BD4">
        <w:rPr>
          <w:sz w:val="24"/>
          <w:szCs w:val="24"/>
          <w:lang w:val="en-US" w:eastAsia="en-US"/>
        </w:rPr>
        <w:t xml:space="preserve"> </w:t>
      </w:r>
      <w:r w:rsidR="007C7E49" w:rsidRPr="007C7E49">
        <w:rPr>
          <w:sz w:val="24"/>
          <w:szCs w:val="24"/>
          <w:lang w:val="en-US" w:eastAsia="en-US"/>
        </w:rPr>
        <w:t>2 prior anti-cancer regimens, and</w:t>
      </w:r>
      <w:r w:rsidR="007C7E49">
        <w:rPr>
          <w:sz w:val="24"/>
          <w:szCs w:val="24"/>
          <w:lang w:val="en-US" w:eastAsia="en-US"/>
        </w:rPr>
        <w:t xml:space="preserve"> </w:t>
      </w:r>
      <w:r w:rsidR="007C7E49" w:rsidRPr="007C7E49">
        <w:rPr>
          <w:sz w:val="24"/>
          <w:szCs w:val="24"/>
          <w:lang w:val="en-US" w:eastAsia="en-US"/>
        </w:rPr>
        <w:t>patients with history or symptoms of bowel obstruction,</w:t>
      </w:r>
      <w:r w:rsidR="007C7E49">
        <w:rPr>
          <w:sz w:val="24"/>
          <w:szCs w:val="24"/>
          <w:lang w:val="en-US" w:eastAsia="en-US"/>
        </w:rPr>
        <w:t xml:space="preserve"> </w:t>
      </w:r>
      <w:r w:rsidR="007C7E49" w:rsidRPr="007C7E49">
        <w:rPr>
          <w:sz w:val="24"/>
          <w:szCs w:val="24"/>
          <w:lang w:val="en-US" w:eastAsia="en-US"/>
        </w:rPr>
        <w:t>abdominal fistula, or evidence of bowel wall or recto-sigmoid</w:t>
      </w:r>
      <w:r w:rsidR="007C7E49">
        <w:rPr>
          <w:sz w:val="24"/>
          <w:szCs w:val="24"/>
          <w:lang w:val="en-US" w:eastAsia="en-US"/>
        </w:rPr>
        <w:t xml:space="preserve"> </w:t>
      </w:r>
      <w:r w:rsidR="007C7E49" w:rsidRPr="007C7E49">
        <w:rPr>
          <w:sz w:val="24"/>
          <w:szCs w:val="24"/>
          <w:lang w:val="en-US" w:eastAsia="en-US"/>
        </w:rPr>
        <w:t>involvement.</w:t>
      </w:r>
    </w:p>
    <w:p w:rsidR="007C7E49" w:rsidRDefault="007C7E49" w:rsidP="007C7E49">
      <w:pPr>
        <w:tabs>
          <w:tab w:val="left" w:pos="0"/>
          <w:tab w:val="left" w:pos="630"/>
        </w:tabs>
        <w:spacing w:after="0"/>
        <w:jc w:val="both"/>
        <w:rPr>
          <w:sz w:val="24"/>
          <w:szCs w:val="24"/>
          <w:lang w:val="en-US" w:eastAsia="en-US"/>
        </w:rPr>
      </w:pPr>
    </w:p>
    <w:p w:rsidR="003A3108" w:rsidRPr="000C262C" w:rsidRDefault="00C72BD4" w:rsidP="007C7E49">
      <w:pPr>
        <w:tabs>
          <w:tab w:val="left" w:pos="0"/>
          <w:tab w:val="left" w:pos="630"/>
        </w:tabs>
        <w:spacing w:after="0"/>
        <w:jc w:val="both"/>
        <w:rPr>
          <w:sz w:val="24"/>
          <w:szCs w:val="24"/>
          <w:lang w:val="en-US" w:eastAsia="en-US"/>
        </w:rPr>
      </w:pPr>
      <w:r>
        <w:rPr>
          <w:sz w:val="24"/>
          <w:szCs w:val="24"/>
          <w:lang w:val="en-US" w:eastAsia="en-US"/>
        </w:rPr>
        <w:t>7.5% (n=27) of enrolled patients had received prior anti-</w:t>
      </w:r>
      <w:proofErr w:type="spellStart"/>
      <w:r>
        <w:rPr>
          <w:sz w:val="24"/>
          <w:szCs w:val="24"/>
          <w:lang w:val="en-US" w:eastAsia="en-US"/>
        </w:rPr>
        <w:t>angiogenic</w:t>
      </w:r>
      <w:proofErr w:type="spellEnd"/>
      <w:r>
        <w:rPr>
          <w:sz w:val="24"/>
          <w:szCs w:val="24"/>
          <w:lang w:val="en-US" w:eastAsia="en-US"/>
        </w:rPr>
        <w:t xml:space="preserve"> therapy. </w:t>
      </w:r>
      <w:r w:rsidR="003A3108" w:rsidRPr="000C262C">
        <w:rPr>
          <w:sz w:val="24"/>
          <w:szCs w:val="24"/>
          <w:lang w:val="en-US" w:eastAsia="en-US"/>
        </w:rPr>
        <w:t>If a patient had been previously included in a blinded trial with an anti-</w:t>
      </w:r>
      <w:proofErr w:type="spellStart"/>
      <w:r w:rsidR="003A3108" w:rsidRPr="000C262C">
        <w:rPr>
          <w:sz w:val="24"/>
          <w:szCs w:val="24"/>
          <w:lang w:val="en-US" w:eastAsia="en-US"/>
        </w:rPr>
        <w:t>angiogenic</w:t>
      </w:r>
      <w:proofErr w:type="spellEnd"/>
      <w:r w:rsidR="003A3108" w:rsidRPr="000C262C">
        <w:rPr>
          <w:sz w:val="24"/>
          <w:szCs w:val="24"/>
          <w:lang w:val="en-US" w:eastAsia="en-US"/>
        </w:rPr>
        <w:t xml:space="preserve"> agent, the patient was enrolled in the same stratum as those patients who were known to have previously received an anti-</w:t>
      </w:r>
      <w:proofErr w:type="spellStart"/>
      <w:r w:rsidR="003A3108" w:rsidRPr="000C262C">
        <w:rPr>
          <w:sz w:val="24"/>
          <w:szCs w:val="24"/>
          <w:lang w:val="en-US" w:eastAsia="en-US"/>
        </w:rPr>
        <w:t>angiogenic</w:t>
      </w:r>
      <w:proofErr w:type="spellEnd"/>
      <w:r w:rsidR="003A3108" w:rsidRPr="000C262C">
        <w:rPr>
          <w:sz w:val="24"/>
          <w:szCs w:val="24"/>
          <w:lang w:val="en-US" w:eastAsia="en-US"/>
        </w:rPr>
        <w:t xml:space="preserve"> agent. </w:t>
      </w:r>
    </w:p>
    <w:p w:rsidR="003A3108" w:rsidRPr="000C262C" w:rsidRDefault="003A3108" w:rsidP="007C7E49">
      <w:pPr>
        <w:spacing w:after="0"/>
        <w:jc w:val="both"/>
        <w:rPr>
          <w:sz w:val="24"/>
          <w:szCs w:val="24"/>
          <w:lang w:val="en-US" w:eastAsia="en-US"/>
        </w:rPr>
      </w:pPr>
    </w:p>
    <w:p w:rsidR="003A3108" w:rsidRDefault="003A3108" w:rsidP="007C7E49">
      <w:pPr>
        <w:tabs>
          <w:tab w:val="left" w:pos="0"/>
        </w:tabs>
        <w:spacing w:after="0"/>
        <w:jc w:val="both"/>
        <w:rPr>
          <w:sz w:val="24"/>
          <w:szCs w:val="24"/>
          <w:lang w:val="en-US" w:eastAsia="en-US"/>
        </w:rPr>
      </w:pPr>
      <w:r w:rsidRPr="000C262C">
        <w:rPr>
          <w:sz w:val="24"/>
          <w:szCs w:val="24"/>
          <w:lang w:val="en-US" w:eastAsia="en-US"/>
        </w:rPr>
        <w:t>The primary endpoint was progression-free-survival</w:t>
      </w:r>
      <w:r w:rsidR="00CC4ED1">
        <w:rPr>
          <w:sz w:val="24"/>
          <w:szCs w:val="24"/>
          <w:lang w:val="en-US" w:eastAsia="en-US"/>
        </w:rPr>
        <w:t xml:space="preserve"> (PFS)</w:t>
      </w:r>
      <w:r w:rsidRPr="000C262C">
        <w:rPr>
          <w:sz w:val="24"/>
          <w:szCs w:val="24"/>
          <w:lang w:val="en-US" w:eastAsia="en-US"/>
        </w:rPr>
        <w:t xml:space="preserve">, with secondary endpoints including objective response rate and overall survival. Results are presented in Table </w:t>
      </w:r>
      <w:r>
        <w:rPr>
          <w:sz w:val="24"/>
          <w:szCs w:val="24"/>
          <w:lang w:val="en-US" w:eastAsia="en-US"/>
        </w:rPr>
        <w:t>13</w:t>
      </w:r>
      <w:r w:rsidRPr="000C262C">
        <w:rPr>
          <w:sz w:val="24"/>
          <w:szCs w:val="24"/>
          <w:lang w:val="en-US" w:eastAsia="en-US"/>
        </w:rPr>
        <w:t>.</w:t>
      </w:r>
      <w:r w:rsidR="006516FE">
        <w:rPr>
          <w:sz w:val="24"/>
          <w:szCs w:val="24"/>
          <w:lang w:val="en-US" w:eastAsia="en-US"/>
        </w:rPr>
        <w:t xml:space="preserve"> </w:t>
      </w:r>
      <w:r w:rsidR="006516FE" w:rsidRPr="00DB7FB3">
        <w:rPr>
          <w:sz w:val="24"/>
          <w:szCs w:val="24"/>
          <w:lang w:val="en-US" w:eastAsia="en-US"/>
        </w:rPr>
        <w:t>PFS results</w:t>
      </w:r>
      <w:r w:rsidR="00ED72B2">
        <w:rPr>
          <w:sz w:val="24"/>
          <w:szCs w:val="24"/>
          <w:lang w:val="en-US" w:eastAsia="en-US"/>
        </w:rPr>
        <w:t xml:space="preserve"> for each chemotherapy cohort by Investigator and IRC assessment</w:t>
      </w:r>
      <w:r w:rsidR="006516FE" w:rsidRPr="00DB7FB3">
        <w:rPr>
          <w:sz w:val="24"/>
          <w:szCs w:val="24"/>
          <w:lang w:val="en-US" w:eastAsia="en-US"/>
        </w:rPr>
        <w:t xml:space="preserve"> </w:t>
      </w:r>
      <w:r w:rsidR="00ED72B2">
        <w:rPr>
          <w:sz w:val="24"/>
          <w:szCs w:val="24"/>
          <w:lang w:val="en-US" w:eastAsia="en-US"/>
        </w:rPr>
        <w:t>a</w:t>
      </w:r>
      <w:r w:rsidR="006516FE" w:rsidRPr="00DB7FB3">
        <w:rPr>
          <w:sz w:val="24"/>
          <w:szCs w:val="24"/>
          <w:lang w:val="en-US" w:eastAsia="en-US"/>
        </w:rPr>
        <w:t>re presented in Table 14.</w:t>
      </w:r>
      <w:r w:rsidR="006516FE">
        <w:rPr>
          <w:sz w:val="24"/>
          <w:szCs w:val="24"/>
          <w:lang w:val="en-US" w:eastAsia="en-US"/>
        </w:rPr>
        <w:t xml:space="preserve"> </w:t>
      </w:r>
    </w:p>
    <w:p w:rsidR="003A3108" w:rsidRDefault="003A3108" w:rsidP="003A3108">
      <w:pPr>
        <w:tabs>
          <w:tab w:val="left" w:pos="0"/>
        </w:tabs>
        <w:spacing w:after="0"/>
        <w:rPr>
          <w:sz w:val="24"/>
          <w:szCs w:val="24"/>
          <w:lang w:val="en-US" w:eastAsia="en-US"/>
        </w:rPr>
      </w:pPr>
    </w:p>
    <w:p w:rsidR="003A3108" w:rsidRPr="004400B1" w:rsidRDefault="003A3108" w:rsidP="003A3108">
      <w:pPr>
        <w:keepNext/>
        <w:spacing w:after="240"/>
        <w:rPr>
          <w:rFonts w:eastAsia="MS Mincho" w:cs="Arial"/>
          <w:b/>
          <w:bCs/>
          <w:iCs/>
          <w:sz w:val="24"/>
          <w:szCs w:val="22"/>
          <w:lang w:val="en-US" w:eastAsia="zh-CN"/>
        </w:rPr>
      </w:pPr>
      <w:r w:rsidRPr="004400B1">
        <w:rPr>
          <w:rFonts w:eastAsia="MS Mincho" w:cs="Arial"/>
          <w:b/>
          <w:bCs/>
          <w:sz w:val="24"/>
          <w:lang w:val="en-US"/>
        </w:rPr>
        <w:t xml:space="preserve">Table 13 </w:t>
      </w:r>
      <w:r w:rsidRPr="004400B1">
        <w:rPr>
          <w:rFonts w:eastAsia="MS Mincho" w:cs="Arial"/>
          <w:b/>
          <w:bCs/>
          <w:sz w:val="24"/>
          <w:lang w:val="en-US"/>
        </w:rPr>
        <w:tab/>
      </w:r>
      <w:r w:rsidR="00DB7FB3" w:rsidRPr="004400B1">
        <w:rPr>
          <w:rFonts w:eastAsia="MS Mincho" w:cs="Arial"/>
          <w:b/>
          <w:bCs/>
          <w:sz w:val="24"/>
          <w:lang w:val="en-US"/>
        </w:rPr>
        <w:t>Investigator-assessed e</w:t>
      </w:r>
      <w:r w:rsidRPr="004400B1">
        <w:rPr>
          <w:rFonts w:eastAsia="MS Mincho" w:cs="Arial"/>
          <w:b/>
          <w:bCs/>
          <w:sz w:val="24"/>
          <w:lang w:val="en-US"/>
        </w:rPr>
        <w:t xml:space="preserve">fficacy </w:t>
      </w:r>
      <w:r w:rsidR="00DB7FB3" w:rsidRPr="004400B1">
        <w:rPr>
          <w:rFonts w:eastAsia="MS Mincho" w:cs="Arial"/>
          <w:b/>
          <w:bCs/>
          <w:sz w:val="24"/>
          <w:lang w:val="en-US"/>
        </w:rPr>
        <w:t xml:space="preserve">outcomes </w:t>
      </w:r>
      <w:r w:rsidR="00ED72B2" w:rsidRPr="004400B1">
        <w:rPr>
          <w:rFonts w:eastAsia="MS Mincho" w:cs="Arial"/>
          <w:b/>
          <w:bCs/>
          <w:sz w:val="24"/>
          <w:lang w:val="en-US"/>
        </w:rPr>
        <w:t>for</w:t>
      </w:r>
      <w:r w:rsidRPr="004400B1">
        <w:rPr>
          <w:rFonts w:eastAsia="MS Mincho" w:cs="Arial"/>
          <w:b/>
          <w:bCs/>
          <w:sz w:val="24"/>
          <w:lang w:val="en-US"/>
        </w:rPr>
        <w:t xml:space="preserve"> Study </w:t>
      </w:r>
      <w:r w:rsidRPr="004400B1">
        <w:rPr>
          <w:rFonts w:eastAsia="MS Mincho" w:cs="Arial"/>
          <w:b/>
          <w:bCs/>
          <w:iCs/>
          <w:sz w:val="24"/>
          <w:szCs w:val="22"/>
          <w:lang w:val="en-US" w:eastAsia="zh-CN"/>
        </w:rPr>
        <w:t>MO22224 (AURELIA)</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2093"/>
        <w:gridCol w:w="229"/>
        <w:gridCol w:w="2322"/>
      </w:tblGrid>
      <w:tr w:rsidR="003A3108" w:rsidRPr="003A12D6" w:rsidTr="00A93BB8">
        <w:trPr>
          <w:trHeight w:val="332"/>
        </w:trPr>
        <w:tc>
          <w:tcPr>
            <w:tcW w:w="9216" w:type="dxa"/>
            <w:gridSpan w:val="4"/>
            <w:tcBorders>
              <w:top w:val="single" w:sz="4" w:space="0" w:color="auto"/>
            </w:tcBorders>
            <w:shd w:val="clear" w:color="auto" w:fill="FFFFFF"/>
            <w:vAlign w:val="center"/>
          </w:tcPr>
          <w:p w:rsidR="003A3108" w:rsidRPr="00742D3A" w:rsidRDefault="003A3108" w:rsidP="003F086B">
            <w:pPr>
              <w:spacing w:after="0"/>
              <w:rPr>
                <w:rFonts w:eastAsia="SimSun"/>
                <w:b/>
                <w:sz w:val="20"/>
                <w:lang w:val="en-US" w:eastAsia="zh-CN"/>
              </w:rPr>
            </w:pPr>
            <w:r w:rsidRPr="00742D3A">
              <w:rPr>
                <w:rFonts w:eastAsia="SimSun"/>
                <w:b/>
                <w:sz w:val="20"/>
                <w:lang w:val="en-US" w:eastAsia="zh-CN"/>
              </w:rPr>
              <w:t>Primary Endpoint</w:t>
            </w:r>
          </w:p>
        </w:tc>
      </w:tr>
      <w:tr w:rsidR="003A3108" w:rsidRPr="003A12D6" w:rsidTr="003F086B">
        <w:tc>
          <w:tcPr>
            <w:tcW w:w="9216" w:type="dxa"/>
            <w:gridSpan w:val="4"/>
            <w:tcBorders>
              <w:top w:val="single" w:sz="4" w:space="0" w:color="auto"/>
            </w:tcBorders>
            <w:shd w:val="clear" w:color="auto" w:fill="auto"/>
            <w:vAlign w:val="center"/>
          </w:tcPr>
          <w:p w:rsidR="003A3108" w:rsidRPr="00742D3A" w:rsidRDefault="003A3108" w:rsidP="003F086B">
            <w:pPr>
              <w:spacing w:after="0"/>
              <w:rPr>
                <w:rFonts w:eastAsia="SimSun"/>
                <w:sz w:val="20"/>
                <w:vertAlign w:val="superscript"/>
                <w:lang w:val="en-US" w:eastAsia="zh-CN"/>
              </w:rPr>
            </w:pPr>
            <w:r w:rsidRPr="00742D3A">
              <w:rPr>
                <w:rFonts w:eastAsia="SimSun"/>
                <w:b/>
                <w:sz w:val="20"/>
                <w:lang w:val="en-US" w:eastAsia="zh-CN"/>
              </w:rPr>
              <w:t>Progression-Free Survival</w:t>
            </w:r>
          </w:p>
        </w:tc>
      </w:tr>
      <w:tr w:rsidR="003A3108" w:rsidRPr="003A12D6" w:rsidTr="003F086B">
        <w:tc>
          <w:tcPr>
            <w:tcW w:w="4572" w:type="dxa"/>
            <w:tcBorders>
              <w:top w:val="single" w:sz="4" w:space="0" w:color="auto"/>
            </w:tcBorders>
            <w:shd w:val="clear" w:color="auto" w:fill="auto"/>
            <w:vAlign w:val="center"/>
          </w:tcPr>
          <w:p w:rsidR="003A3108" w:rsidRPr="00742D3A" w:rsidRDefault="003A3108" w:rsidP="003F086B">
            <w:pPr>
              <w:spacing w:after="0"/>
              <w:ind w:left="720"/>
              <w:rPr>
                <w:rFonts w:eastAsia="SimSun"/>
                <w:sz w:val="20"/>
                <w:lang w:val="en-US" w:eastAsia="zh-CN"/>
              </w:rPr>
            </w:pPr>
          </w:p>
        </w:tc>
        <w:tc>
          <w:tcPr>
            <w:tcW w:w="2093" w:type="dxa"/>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=182)</w:t>
            </w:r>
          </w:p>
        </w:tc>
        <w:tc>
          <w:tcPr>
            <w:tcW w:w="2551" w:type="dxa"/>
            <w:gridSpan w:val="2"/>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r w:rsidR="00DB7FB3">
              <w:rPr>
                <w:rFonts w:eastAsia="SimSun"/>
                <w:b/>
                <w:sz w:val="20"/>
                <w:lang w:val="en-US" w:eastAsia="zh-CN"/>
              </w:rPr>
              <w:t xml:space="preserve"> </w:t>
            </w:r>
            <w:r w:rsidRPr="000E4F11">
              <w:rPr>
                <w:rFonts w:eastAsia="SimSun"/>
                <w:b/>
                <w:sz w:val="20"/>
                <w:lang w:val="en-US" w:eastAsia="zh-CN"/>
              </w:rPr>
              <w:t>+</w:t>
            </w:r>
            <w:r w:rsidR="00DB7FB3">
              <w:rPr>
                <w:rFonts w:eastAsia="SimSun"/>
                <w:b/>
                <w:sz w:val="20"/>
                <w:lang w:val="en-US" w:eastAsia="zh-CN"/>
              </w:rPr>
              <w:t xml:space="preserve"> </w:t>
            </w:r>
            <w:r w:rsidRPr="000E4F11">
              <w:rPr>
                <w:rFonts w:eastAsia="SimSun"/>
                <w:b/>
                <w:sz w:val="20"/>
                <w:lang w:val="en-US" w:eastAsia="zh-CN"/>
              </w:rPr>
              <w:t>AVASTIN</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=179)</w:t>
            </w:r>
          </w:p>
        </w:tc>
      </w:tr>
      <w:tr w:rsidR="003A3108" w:rsidRPr="003A12D6" w:rsidTr="003F086B">
        <w:tc>
          <w:tcPr>
            <w:tcW w:w="4572" w:type="dxa"/>
            <w:tcBorders>
              <w:top w:val="single" w:sz="4" w:space="0" w:color="auto"/>
            </w:tcBorders>
            <w:shd w:val="clear" w:color="auto" w:fill="auto"/>
            <w:vAlign w:val="center"/>
          </w:tcPr>
          <w:p w:rsidR="003A3108" w:rsidRPr="00742D3A" w:rsidRDefault="003A3108" w:rsidP="003F086B">
            <w:pPr>
              <w:spacing w:after="0"/>
              <w:ind w:left="720"/>
              <w:rPr>
                <w:rFonts w:eastAsia="SimSun"/>
                <w:sz w:val="20"/>
                <w:lang w:val="en-US" w:eastAsia="zh-CN"/>
              </w:rPr>
            </w:pPr>
            <w:r w:rsidRPr="00742D3A">
              <w:rPr>
                <w:rFonts w:eastAsia="SimSun"/>
                <w:sz w:val="20"/>
                <w:lang w:val="en-US" w:eastAsia="zh-CN"/>
              </w:rPr>
              <w:t>Median</w:t>
            </w:r>
            <w:r w:rsidR="00CC4ED1">
              <w:rPr>
                <w:rFonts w:eastAsia="SimSun"/>
                <w:sz w:val="20"/>
                <w:lang w:val="en-US" w:eastAsia="zh-CN"/>
              </w:rPr>
              <w:t xml:space="preserve"> PFS</w:t>
            </w:r>
            <w:r w:rsidRPr="00742D3A">
              <w:rPr>
                <w:rFonts w:eastAsia="SimSun"/>
                <w:sz w:val="20"/>
                <w:lang w:val="en-US" w:eastAsia="zh-CN"/>
              </w:rPr>
              <w:t xml:space="preserve"> (months)</w:t>
            </w:r>
          </w:p>
        </w:tc>
        <w:tc>
          <w:tcPr>
            <w:tcW w:w="2093" w:type="dxa"/>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3.4</w:t>
            </w:r>
          </w:p>
        </w:tc>
        <w:tc>
          <w:tcPr>
            <w:tcW w:w="2551" w:type="dxa"/>
            <w:gridSpan w:val="2"/>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Pr>
                <w:rFonts w:eastAsia="SimSun"/>
                <w:sz w:val="20"/>
                <w:lang w:val="en-US" w:eastAsia="zh-CN"/>
              </w:rPr>
              <w:t>6.7</w:t>
            </w:r>
          </w:p>
        </w:tc>
      </w:tr>
      <w:tr w:rsidR="003A3108" w:rsidRPr="003A12D6" w:rsidTr="003F086B">
        <w:tc>
          <w:tcPr>
            <w:tcW w:w="4572" w:type="dxa"/>
            <w:tcBorders>
              <w:top w:val="single" w:sz="4" w:space="0" w:color="auto"/>
            </w:tcBorders>
            <w:shd w:val="clear" w:color="auto" w:fill="auto"/>
            <w:vAlign w:val="center"/>
          </w:tcPr>
          <w:p w:rsidR="003A3108" w:rsidRPr="00742D3A" w:rsidRDefault="003A3108" w:rsidP="003F086B">
            <w:pPr>
              <w:spacing w:after="0"/>
              <w:ind w:left="720"/>
              <w:rPr>
                <w:rFonts w:eastAsia="SimSun"/>
                <w:sz w:val="20"/>
                <w:lang w:val="en-US" w:eastAsia="zh-CN"/>
              </w:rPr>
            </w:pPr>
            <w:r w:rsidRPr="00742D3A">
              <w:rPr>
                <w:rFonts w:eastAsia="SimSun"/>
                <w:sz w:val="20"/>
                <w:lang w:val="en-US" w:eastAsia="zh-CN"/>
              </w:rPr>
              <w:t>Hazard ratio</w:t>
            </w:r>
            <w:r>
              <w:rPr>
                <w:rFonts w:eastAsia="SimSun"/>
                <w:sz w:val="20"/>
                <w:lang w:val="en-US" w:eastAsia="zh-CN"/>
              </w:rPr>
              <w:t xml:space="preserve"> </w:t>
            </w:r>
            <w:r w:rsidRPr="00742D3A">
              <w:rPr>
                <w:rFonts w:eastAsia="SimSun"/>
                <w:sz w:val="20"/>
                <w:lang w:val="en-US" w:eastAsia="zh-CN"/>
              </w:rPr>
              <w:t>(95% CI)</w:t>
            </w:r>
          </w:p>
        </w:tc>
        <w:tc>
          <w:tcPr>
            <w:tcW w:w="4644" w:type="dxa"/>
            <w:gridSpan w:val="3"/>
            <w:tcBorders>
              <w:top w:val="single" w:sz="4" w:space="0" w:color="auto"/>
            </w:tcBorders>
            <w:shd w:val="clear" w:color="auto" w:fill="auto"/>
            <w:vAlign w:val="center"/>
          </w:tcPr>
          <w:p w:rsidR="003A3108" w:rsidRDefault="003A3108" w:rsidP="003F086B">
            <w:pPr>
              <w:spacing w:after="0"/>
              <w:jc w:val="center"/>
              <w:rPr>
                <w:rFonts w:eastAsia="SimSun"/>
                <w:sz w:val="20"/>
                <w:lang w:val="en-US" w:eastAsia="zh-CN"/>
              </w:rPr>
            </w:pPr>
            <w:r>
              <w:rPr>
                <w:rFonts w:eastAsia="SimSun"/>
                <w:sz w:val="20"/>
                <w:lang w:val="en-US" w:eastAsia="zh-CN"/>
              </w:rPr>
              <w:t>0.379</w:t>
            </w:r>
            <w:r w:rsidRPr="00742D3A">
              <w:rPr>
                <w:rFonts w:eastAsia="SimSun"/>
                <w:sz w:val="20"/>
                <w:lang w:val="en-US" w:eastAsia="zh-CN"/>
              </w:rPr>
              <w:t xml:space="preserve"> </w:t>
            </w:r>
          </w:p>
          <w:p w:rsidR="003A3108" w:rsidRPr="00582D1B" w:rsidRDefault="003A3108" w:rsidP="00582D1B">
            <w:pPr>
              <w:spacing w:after="0"/>
              <w:jc w:val="center"/>
              <w:rPr>
                <w:rFonts w:eastAsia="SimSun"/>
                <w:sz w:val="20"/>
                <w:lang w:val="en-US" w:eastAsia="zh-CN"/>
              </w:rPr>
            </w:pPr>
            <w:r>
              <w:rPr>
                <w:rFonts w:eastAsia="SimSun"/>
                <w:sz w:val="20"/>
                <w:lang w:val="en-US" w:eastAsia="zh-CN"/>
              </w:rPr>
              <w:t>[0.296, 0.485]</w:t>
            </w:r>
          </w:p>
        </w:tc>
      </w:tr>
      <w:tr w:rsidR="003A3108" w:rsidRPr="003A12D6" w:rsidTr="004400B1">
        <w:trPr>
          <w:trHeight w:val="269"/>
        </w:trPr>
        <w:tc>
          <w:tcPr>
            <w:tcW w:w="4572" w:type="dxa"/>
            <w:tcBorders>
              <w:top w:val="single" w:sz="4" w:space="0" w:color="auto"/>
              <w:bottom w:val="single" w:sz="4" w:space="0" w:color="auto"/>
            </w:tcBorders>
            <w:shd w:val="clear" w:color="auto" w:fill="auto"/>
            <w:vAlign w:val="center"/>
          </w:tcPr>
          <w:p w:rsidR="003A3108" w:rsidRPr="00742D3A" w:rsidRDefault="003A3108" w:rsidP="003F086B">
            <w:pPr>
              <w:spacing w:after="0"/>
              <w:ind w:left="720"/>
              <w:rPr>
                <w:rFonts w:eastAsia="SimSun"/>
                <w:b/>
                <w:sz w:val="20"/>
                <w:lang w:val="en-US" w:eastAsia="zh-CN"/>
              </w:rPr>
            </w:pPr>
            <w:r w:rsidRPr="00EB6E44">
              <w:rPr>
                <w:rFonts w:eastAsia="SimSun"/>
                <w:i/>
                <w:sz w:val="20"/>
                <w:lang w:val="en-GB" w:eastAsia="zh-CN"/>
              </w:rPr>
              <w:t>p</w:t>
            </w:r>
            <w:r w:rsidRPr="00742D3A">
              <w:rPr>
                <w:rFonts w:eastAsia="SimSun"/>
                <w:sz w:val="20"/>
                <w:lang w:val="en-GB" w:eastAsia="zh-CN"/>
              </w:rPr>
              <w:t>-value</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3F086B">
            <w:pPr>
              <w:spacing w:after="0"/>
              <w:ind w:left="-72"/>
              <w:jc w:val="center"/>
              <w:rPr>
                <w:rFonts w:eastAsia="SimSun"/>
                <w:sz w:val="20"/>
                <w:lang w:val="en-US" w:eastAsia="zh-CN"/>
              </w:rPr>
            </w:pPr>
            <w:r w:rsidRPr="00742D3A">
              <w:rPr>
                <w:rFonts w:eastAsia="SimSun"/>
                <w:sz w:val="20"/>
                <w:lang w:val="en-US" w:eastAsia="zh-CN"/>
              </w:rPr>
              <w:t>&lt;0.0001</w:t>
            </w:r>
          </w:p>
        </w:tc>
      </w:tr>
      <w:tr w:rsidR="003A3108" w:rsidRPr="003A12D6" w:rsidTr="00A93BB8">
        <w:trPr>
          <w:trHeight w:val="413"/>
        </w:trPr>
        <w:tc>
          <w:tcPr>
            <w:tcW w:w="9216" w:type="dxa"/>
            <w:gridSpan w:val="4"/>
            <w:tcBorders>
              <w:top w:val="single" w:sz="4" w:space="0" w:color="auto"/>
            </w:tcBorders>
            <w:shd w:val="clear" w:color="auto" w:fill="FFFFFF"/>
            <w:vAlign w:val="center"/>
          </w:tcPr>
          <w:p w:rsidR="003A3108" w:rsidRPr="00742D3A" w:rsidRDefault="003A3108" w:rsidP="003F086B">
            <w:pPr>
              <w:spacing w:after="0"/>
              <w:rPr>
                <w:rFonts w:eastAsia="SimSun"/>
                <w:b/>
                <w:sz w:val="20"/>
                <w:lang w:val="en-US" w:eastAsia="zh-CN"/>
              </w:rPr>
            </w:pPr>
            <w:r w:rsidRPr="00742D3A">
              <w:rPr>
                <w:rFonts w:eastAsia="SimSun"/>
                <w:b/>
                <w:sz w:val="20"/>
                <w:lang w:val="en-US" w:eastAsia="zh-CN"/>
              </w:rPr>
              <w:t>Secondary Endpoints</w:t>
            </w:r>
          </w:p>
        </w:tc>
      </w:tr>
      <w:tr w:rsidR="003A3108" w:rsidRPr="003A12D6" w:rsidTr="003F086B">
        <w:trPr>
          <w:trHeight w:val="269"/>
        </w:trPr>
        <w:tc>
          <w:tcPr>
            <w:tcW w:w="9216" w:type="dxa"/>
            <w:gridSpan w:val="4"/>
            <w:tcBorders>
              <w:top w:val="single" w:sz="4" w:space="0" w:color="auto"/>
            </w:tcBorders>
            <w:shd w:val="clear" w:color="auto" w:fill="auto"/>
            <w:vAlign w:val="center"/>
          </w:tcPr>
          <w:p w:rsidR="003A3108" w:rsidRPr="00742D3A" w:rsidRDefault="003A3108" w:rsidP="003F086B">
            <w:pPr>
              <w:spacing w:after="0"/>
              <w:rPr>
                <w:rFonts w:eastAsia="SimSun"/>
                <w:b/>
                <w:sz w:val="20"/>
                <w:lang w:val="en-US" w:eastAsia="zh-CN"/>
              </w:rPr>
            </w:pPr>
            <w:r w:rsidRPr="00742D3A">
              <w:rPr>
                <w:rFonts w:eastAsia="SimSun"/>
                <w:b/>
                <w:sz w:val="20"/>
                <w:lang w:val="en-US" w:eastAsia="zh-CN"/>
              </w:rPr>
              <w:lastRenderedPageBreak/>
              <w:t xml:space="preserve">Objective Response </w:t>
            </w:r>
            <w:proofErr w:type="spellStart"/>
            <w:r w:rsidRPr="00742D3A">
              <w:rPr>
                <w:rFonts w:eastAsia="SimSun"/>
                <w:b/>
                <w:sz w:val="20"/>
                <w:lang w:val="en-US" w:eastAsia="zh-CN"/>
              </w:rPr>
              <w:t>Rate</w:t>
            </w:r>
            <w:r w:rsidRPr="000E4F11">
              <w:rPr>
                <w:rFonts w:eastAsia="SimSun"/>
                <w:b/>
                <w:sz w:val="20"/>
                <w:vertAlign w:val="superscript"/>
                <w:lang w:val="en-US" w:eastAsia="zh-CN"/>
              </w:rPr>
              <w:t>a</w:t>
            </w:r>
            <w:proofErr w:type="spellEnd"/>
          </w:p>
        </w:tc>
      </w:tr>
      <w:tr w:rsidR="003A3108" w:rsidRPr="003A12D6" w:rsidTr="003F086B">
        <w:tc>
          <w:tcPr>
            <w:tcW w:w="4572" w:type="dxa"/>
            <w:tcBorders>
              <w:top w:val="single" w:sz="4" w:space="0" w:color="auto"/>
            </w:tcBorders>
            <w:shd w:val="clear" w:color="auto" w:fill="auto"/>
            <w:vAlign w:val="center"/>
          </w:tcPr>
          <w:p w:rsidR="003A3108" w:rsidRPr="00742D3A" w:rsidRDefault="003A3108" w:rsidP="003F086B">
            <w:pPr>
              <w:spacing w:after="0"/>
              <w:ind w:left="720"/>
              <w:rPr>
                <w:rFonts w:eastAsia="SimSun"/>
                <w:sz w:val="20"/>
                <w:lang w:val="en-US" w:eastAsia="zh-CN"/>
              </w:rPr>
            </w:pPr>
          </w:p>
        </w:tc>
        <w:tc>
          <w:tcPr>
            <w:tcW w:w="2093" w:type="dxa"/>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=144)</w:t>
            </w:r>
          </w:p>
        </w:tc>
        <w:tc>
          <w:tcPr>
            <w:tcW w:w="2551" w:type="dxa"/>
            <w:gridSpan w:val="2"/>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r w:rsidR="00DB7FB3">
              <w:rPr>
                <w:rFonts w:eastAsia="SimSun"/>
                <w:b/>
                <w:sz w:val="20"/>
                <w:lang w:val="en-US" w:eastAsia="zh-CN"/>
              </w:rPr>
              <w:t xml:space="preserve"> </w:t>
            </w:r>
            <w:r w:rsidRPr="000E4F11">
              <w:rPr>
                <w:rFonts w:eastAsia="SimSun"/>
                <w:b/>
                <w:sz w:val="20"/>
                <w:lang w:val="en-US" w:eastAsia="zh-CN"/>
              </w:rPr>
              <w:t>+</w:t>
            </w:r>
            <w:r w:rsidR="00DB7FB3">
              <w:rPr>
                <w:rFonts w:eastAsia="SimSun"/>
                <w:b/>
                <w:sz w:val="20"/>
                <w:lang w:val="en-US" w:eastAsia="zh-CN"/>
              </w:rPr>
              <w:t xml:space="preserve"> </w:t>
            </w:r>
            <w:r w:rsidRPr="000E4F11">
              <w:rPr>
                <w:rFonts w:eastAsia="SimSun"/>
                <w:b/>
                <w:sz w:val="20"/>
                <w:lang w:val="en-US" w:eastAsia="zh-CN"/>
              </w:rPr>
              <w:t>AVASTIN</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=142)</w:t>
            </w:r>
          </w:p>
        </w:tc>
      </w:tr>
      <w:tr w:rsidR="003A3108" w:rsidRPr="003A12D6" w:rsidTr="003F086B">
        <w:tc>
          <w:tcPr>
            <w:tcW w:w="4572" w:type="dxa"/>
            <w:tcBorders>
              <w:top w:val="single" w:sz="4" w:space="0" w:color="auto"/>
            </w:tcBorders>
            <w:shd w:val="clear" w:color="auto" w:fill="auto"/>
          </w:tcPr>
          <w:p w:rsidR="003A3108" w:rsidRPr="00742D3A" w:rsidRDefault="003A3108" w:rsidP="003F086B">
            <w:pPr>
              <w:spacing w:after="0"/>
              <w:rPr>
                <w:rFonts w:eastAsia="SimSun"/>
                <w:b/>
                <w:sz w:val="20"/>
                <w:lang w:val="en-US" w:eastAsia="zh-CN"/>
              </w:rPr>
            </w:pPr>
            <w:r w:rsidRPr="00742D3A">
              <w:rPr>
                <w:rFonts w:eastAsia="SimSun"/>
                <w:sz w:val="20"/>
                <w:lang w:val="en-US" w:eastAsia="zh-CN"/>
              </w:rPr>
              <w:t xml:space="preserve">% </w:t>
            </w:r>
            <w:proofErr w:type="spellStart"/>
            <w:r w:rsidRPr="00742D3A">
              <w:rPr>
                <w:rFonts w:eastAsia="SimSun"/>
                <w:sz w:val="20"/>
                <w:lang w:val="en-US" w:eastAsia="zh-CN"/>
              </w:rPr>
              <w:t>pts</w:t>
            </w:r>
            <w:proofErr w:type="spellEnd"/>
            <w:r w:rsidRPr="00742D3A">
              <w:rPr>
                <w:rFonts w:eastAsia="SimSun"/>
                <w:sz w:val="20"/>
                <w:lang w:val="en-US" w:eastAsia="zh-CN"/>
              </w:rPr>
              <w:t xml:space="preserve"> with objective response</w:t>
            </w:r>
          </w:p>
        </w:tc>
        <w:tc>
          <w:tcPr>
            <w:tcW w:w="2093" w:type="dxa"/>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18 (12.5%)</w:t>
            </w:r>
          </w:p>
        </w:tc>
        <w:tc>
          <w:tcPr>
            <w:tcW w:w="2551" w:type="dxa"/>
            <w:gridSpan w:val="2"/>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40 (28.2%)</w:t>
            </w:r>
          </w:p>
        </w:tc>
      </w:tr>
      <w:tr w:rsidR="001553A0" w:rsidRPr="003A12D6" w:rsidTr="003F086B">
        <w:trPr>
          <w:trHeight w:val="287"/>
        </w:trPr>
        <w:tc>
          <w:tcPr>
            <w:tcW w:w="4572" w:type="dxa"/>
            <w:tcBorders>
              <w:top w:val="single" w:sz="4" w:space="0" w:color="auto"/>
              <w:bottom w:val="single" w:sz="4" w:space="0" w:color="auto"/>
            </w:tcBorders>
            <w:shd w:val="clear" w:color="auto" w:fill="auto"/>
          </w:tcPr>
          <w:p w:rsidR="001553A0" w:rsidRPr="00582D1B" w:rsidRDefault="001553A0" w:rsidP="003F086B">
            <w:pPr>
              <w:spacing w:after="0"/>
              <w:ind w:left="720"/>
              <w:rPr>
                <w:rFonts w:eastAsia="SimSun"/>
                <w:sz w:val="20"/>
                <w:lang w:val="en-US" w:eastAsia="zh-CN"/>
              </w:rPr>
            </w:pPr>
            <w:r>
              <w:rPr>
                <w:rFonts w:eastAsia="SimSun"/>
                <w:sz w:val="20"/>
                <w:lang w:val="en-US" w:eastAsia="zh-CN"/>
              </w:rPr>
              <w:t>Difference in objective response rates</w:t>
            </w:r>
          </w:p>
        </w:tc>
        <w:tc>
          <w:tcPr>
            <w:tcW w:w="4644" w:type="dxa"/>
            <w:gridSpan w:val="3"/>
            <w:tcBorders>
              <w:top w:val="single" w:sz="4" w:space="0" w:color="auto"/>
              <w:bottom w:val="single" w:sz="4" w:space="0" w:color="auto"/>
            </w:tcBorders>
            <w:shd w:val="clear" w:color="auto" w:fill="auto"/>
            <w:vAlign w:val="center"/>
          </w:tcPr>
          <w:p w:rsidR="001553A0" w:rsidRDefault="001553A0" w:rsidP="003F086B">
            <w:pPr>
              <w:spacing w:after="0"/>
              <w:jc w:val="center"/>
              <w:rPr>
                <w:rFonts w:eastAsia="SimSun"/>
                <w:sz w:val="20"/>
                <w:lang w:val="en-US" w:eastAsia="zh-CN"/>
              </w:rPr>
            </w:pPr>
            <w:r>
              <w:rPr>
                <w:rFonts w:eastAsia="SimSun"/>
                <w:sz w:val="20"/>
                <w:lang w:val="en-US" w:eastAsia="zh-CN"/>
              </w:rPr>
              <w:t>15.7%</w:t>
            </w:r>
          </w:p>
          <w:p w:rsidR="001553A0" w:rsidRPr="00742D3A" w:rsidRDefault="001553A0" w:rsidP="003F086B">
            <w:pPr>
              <w:spacing w:after="0"/>
              <w:jc w:val="center"/>
              <w:rPr>
                <w:rFonts w:eastAsia="SimSun"/>
                <w:sz w:val="20"/>
                <w:lang w:val="en-US" w:eastAsia="zh-CN"/>
              </w:rPr>
            </w:pPr>
            <w:r>
              <w:rPr>
                <w:rFonts w:eastAsia="SimSun"/>
                <w:sz w:val="20"/>
                <w:lang w:val="en-US" w:eastAsia="zh-CN"/>
              </w:rPr>
              <w:t>(95% CI = 6.5%, 24.8%)</w:t>
            </w:r>
          </w:p>
        </w:tc>
      </w:tr>
      <w:tr w:rsidR="003A3108" w:rsidRPr="003A12D6" w:rsidTr="003F086B">
        <w:trPr>
          <w:trHeight w:val="287"/>
        </w:trPr>
        <w:tc>
          <w:tcPr>
            <w:tcW w:w="4572" w:type="dxa"/>
            <w:tcBorders>
              <w:top w:val="single" w:sz="4" w:space="0" w:color="auto"/>
              <w:bottom w:val="single" w:sz="4" w:space="0" w:color="auto"/>
            </w:tcBorders>
            <w:shd w:val="clear" w:color="auto" w:fill="auto"/>
          </w:tcPr>
          <w:p w:rsidR="003A3108" w:rsidRPr="00742D3A" w:rsidRDefault="003A3108" w:rsidP="003F086B">
            <w:pPr>
              <w:spacing w:after="0"/>
              <w:ind w:left="720"/>
              <w:rPr>
                <w:rFonts w:eastAsia="SimSun"/>
                <w:sz w:val="20"/>
                <w:lang w:val="en-US" w:eastAsia="zh-CN"/>
              </w:rPr>
            </w:pPr>
            <w:r w:rsidRPr="00753FA1">
              <w:rPr>
                <w:rFonts w:eastAsia="SimSun"/>
                <w:i/>
                <w:sz w:val="20"/>
                <w:lang w:val="en-US" w:eastAsia="zh-CN"/>
              </w:rPr>
              <w:t>p</w:t>
            </w:r>
            <w:r w:rsidRPr="00742D3A">
              <w:rPr>
                <w:rFonts w:eastAsia="SimSun"/>
                <w:sz w:val="20"/>
                <w:lang w:val="en-US" w:eastAsia="zh-CN"/>
              </w:rPr>
              <w:t xml:space="preserve"> –value</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0.0007</w:t>
            </w:r>
          </w:p>
        </w:tc>
      </w:tr>
      <w:tr w:rsidR="003A3108" w:rsidRPr="003A12D6" w:rsidTr="003F086B">
        <w:trPr>
          <w:trHeight w:val="233"/>
        </w:trPr>
        <w:tc>
          <w:tcPr>
            <w:tcW w:w="4572" w:type="dxa"/>
            <w:tcBorders>
              <w:top w:val="single" w:sz="4" w:space="0" w:color="auto"/>
              <w:bottom w:val="single" w:sz="4" w:space="0" w:color="auto"/>
            </w:tcBorders>
            <w:shd w:val="clear" w:color="auto" w:fill="auto"/>
          </w:tcPr>
          <w:p w:rsidR="003A3108" w:rsidRPr="00742D3A" w:rsidRDefault="003A3108" w:rsidP="003F086B">
            <w:pPr>
              <w:spacing w:after="0"/>
              <w:rPr>
                <w:rFonts w:eastAsia="SimSun"/>
                <w:b/>
                <w:sz w:val="20"/>
                <w:lang w:val="en-US" w:eastAsia="zh-CN"/>
              </w:rPr>
            </w:pPr>
            <w:r w:rsidRPr="00742D3A">
              <w:rPr>
                <w:rFonts w:eastAsia="SimSun"/>
                <w:b/>
                <w:sz w:val="20"/>
                <w:lang w:val="en-US" w:eastAsia="zh-CN"/>
              </w:rPr>
              <w:t>Overall Survival</w:t>
            </w:r>
            <w:r>
              <w:rPr>
                <w:rFonts w:eastAsia="SimSun"/>
                <w:b/>
                <w:sz w:val="20"/>
                <w:lang w:val="en-US" w:eastAsia="zh-CN"/>
              </w:rPr>
              <w:t xml:space="preserve"> (OS)</w:t>
            </w:r>
            <w:r w:rsidRPr="00742D3A">
              <w:rPr>
                <w:rFonts w:eastAsia="SimSun"/>
                <w:b/>
                <w:sz w:val="20"/>
                <w:lang w:val="en-US" w:eastAsia="zh-CN"/>
              </w:rPr>
              <w:t xml:space="preserve"> (final analysis)</w:t>
            </w:r>
            <w:r w:rsidRPr="000E4F11">
              <w:rPr>
                <w:rFonts w:eastAsia="SimSun"/>
                <w:b/>
                <w:sz w:val="20"/>
                <w:vertAlign w:val="superscript"/>
                <w:lang w:val="en-US" w:eastAsia="zh-CN"/>
              </w:rPr>
              <w:t>b</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p>
        </w:tc>
      </w:tr>
      <w:tr w:rsidR="003A3108" w:rsidRPr="003A12D6" w:rsidTr="003F086B">
        <w:trPr>
          <w:trHeight w:val="287"/>
        </w:trPr>
        <w:tc>
          <w:tcPr>
            <w:tcW w:w="4572" w:type="dxa"/>
            <w:tcBorders>
              <w:top w:val="single" w:sz="4" w:space="0" w:color="auto"/>
            </w:tcBorders>
            <w:shd w:val="clear" w:color="auto" w:fill="auto"/>
          </w:tcPr>
          <w:p w:rsidR="003A3108" w:rsidRPr="00742D3A" w:rsidRDefault="003A3108" w:rsidP="003F086B">
            <w:pPr>
              <w:spacing w:after="0"/>
              <w:ind w:left="720"/>
              <w:rPr>
                <w:rFonts w:eastAsia="SimSun"/>
                <w:sz w:val="20"/>
                <w:lang w:val="en-US" w:eastAsia="zh-CN"/>
              </w:rPr>
            </w:pPr>
          </w:p>
        </w:tc>
        <w:tc>
          <w:tcPr>
            <w:tcW w:w="2093" w:type="dxa"/>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=182)</w:t>
            </w:r>
          </w:p>
        </w:tc>
        <w:tc>
          <w:tcPr>
            <w:tcW w:w="2551" w:type="dxa"/>
            <w:gridSpan w:val="2"/>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r w:rsidR="00DB7FB3">
              <w:rPr>
                <w:rFonts w:eastAsia="SimSun"/>
                <w:b/>
                <w:sz w:val="20"/>
                <w:lang w:val="en-US" w:eastAsia="zh-CN"/>
              </w:rPr>
              <w:t xml:space="preserve"> </w:t>
            </w:r>
            <w:r w:rsidRPr="000E4F11">
              <w:rPr>
                <w:rFonts w:eastAsia="SimSun"/>
                <w:b/>
                <w:sz w:val="20"/>
                <w:lang w:val="en-US" w:eastAsia="zh-CN"/>
              </w:rPr>
              <w:t>+</w:t>
            </w:r>
            <w:r w:rsidR="00DB7FB3">
              <w:rPr>
                <w:rFonts w:eastAsia="SimSun"/>
                <w:b/>
                <w:sz w:val="20"/>
                <w:lang w:val="en-US" w:eastAsia="zh-CN"/>
              </w:rPr>
              <w:t xml:space="preserve"> </w:t>
            </w:r>
            <w:r w:rsidRPr="000E4F11">
              <w:rPr>
                <w:rFonts w:eastAsia="SimSun"/>
                <w:b/>
                <w:sz w:val="20"/>
                <w:lang w:val="en-US" w:eastAsia="zh-CN"/>
              </w:rPr>
              <w:t>AVASTIN</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=179)</w:t>
            </w:r>
          </w:p>
        </w:tc>
      </w:tr>
      <w:tr w:rsidR="003A3108" w:rsidRPr="003A12D6" w:rsidTr="003F086B">
        <w:trPr>
          <w:trHeight w:val="287"/>
        </w:trPr>
        <w:tc>
          <w:tcPr>
            <w:tcW w:w="4572" w:type="dxa"/>
            <w:tcBorders>
              <w:top w:val="single" w:sz="4" w:space="0" w:color="auto"/>
            </w:tcBorders>
            <w:shd w:val="clear" w:color="auto" w:fill="auto"/>
          </w:tcPr>
          <w:p w:rsidR="003A3108" w:rsidRPr="00742D3A" w:rsidRDefault="003A3108" w:rsidP="003F086B">
            <w:pPr>
              <w:spacing w:after="0"/>
              <w:ind w:left="720"/>
              <w:rPr>
                <w:rFonts w:eastAsia="SimSun"/>
                <w:sz w:val="20"/>
                <w:lang w:val="en-US" w:eastAsia="zh-CN"/>
              </w:rPr>
            </w:pPr>
            <w:r w:rsidRPr="00742D3A">
              <w:rPr>
                <w:rFonts w:eastAsia="SimSun"/>
                <w:sz w:val="20"/>
                <w:lang w:val="en-US" w:eastAsia="zh-CN"/>
              </w:rPr>
              <w:t>Median OS (months)</w:t>
            </w:r>
          </w:p>
        </w:tc>
        <w:tc>
          <w:tcPr>
            <w:tcW w:w="2093" w:type="dxa"/>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13.3</w:t>
            </w:r>
          </w:p>
        </w:tc>
        <w:tc>
          <w:tcPr>
            <w:tcW w:w="2551" w:type="dxa"/>
            <w:gridSpan w:val="2"/>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16.6</w:t>
            </w:r>
          </w:p>
        </w:tc>
      </w:tr>
      <w:tr w:rsidR="003A3108" w:rsidRPr="003A12D6" w:rsidTr="003F086B">
        <w:trPr>
          <w:trHeight w:val="287"/>
        </w:trPr>
        <w:tc>
          <w:tcPr>
            <w:tcW w:w="4572" w:type="dxa"/>
            <w:tcBorders>
              <w:top w:val="single" w:sz="4" w:space="0" w:color="auto"/>
              <w:bottom w:val="single" w:sz="4" w:space="0" w:color="auto"/>
            </w:tcBorders>
            <w:shd w:val="clear" w:color="auto" w:fill="auto"/>
          </w:tcPr>
          <w:p w:rsidR="003A3108" w:rsidRPr="00742D3A" w:rsidRDefault="003A3108" w:rsidP="003F086B">
            <w:pPr>
              <w:spacing w:after="0"/>
              <w:ind w:left="720"/>
              <w:rPr>
                <w:rFonts w:eastAsia="SimSun"/>
                <w:sz w:val="20"/>
                <w:lang w:val="en-US" w:eastAsia="zh-CN"/>
              </w:rPr>
            </w:pPr>
            <w:r w:rsidRPr="00742D3A">
              <w:rPr>
                <w:rFonts w:eastAsia="SimSun"/>
                <w:sz w:val="20"/>
                <w:lang w:val="en-US" w:eastAsia="zh-CN"/>
              </w:rPr>
              <w:t>Hazard Ratio</w:t>
            </w:r>
            <w:r>
              <w:rPr>
                <w:rFonts w:eastAsia="SimSun"/>
                <w:sz w:val="20"/>
                <w:lang w:val="en-US" w:eastAsia="zh-CN"/>
              </w:rPr>
              <w:t xml:space="preserve"> </w:t>
            </w:r>
            <w:r w:rsidRPr="00742D3A">
              <w:rPr>
                <w:rFonts w:eastAsia="SimSun"/>
                <w:sz w:val="20"/>
                <w:lang w:val="en-US" w:eastAsia="zh-CN"/>
              </w:rPr>
              <w:t>(95% CI)</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Pr>
                <w:rFonts w:eastAsia="SimSun"/>
                <w:sz w:val="20"/>
                <w:lang w:val="en-US" w:eastAsia="zh-CN"/>
              </w:rPr>
              <w:t>0.870</w:t>
            </w:r>
          </w:p>
          <w:p w:rsidR="003A3108" w:rsidRPr="00742D3A" w:rsidRDefault="003A3108" w:rsidP="00582D1B">
            <w:pPr>
              <w:spacing w:after="0"/>
              <w:jc w:val="center"/>
              <w:rPr>
                <w:rFonts w:eastAsia="SimSun"/>
                <w:sz w:val="20"/>
                <w:lang w:val="en-US" w:eastAsia="zh-CN"/>
              </w:rPr>
            </w:pPr>
            <w:r>
              <w:rPr>
                <w:rFonts w:eastAsia="SimSun"/>
                <w:sz w:val="20"/>
                <w:lang w:val="en-US" w:eastAsia="zh-CN"/>
              </w:rPr>
              <w:t>[0.678, 1.116]</w:t>
            </w:r>
          </w:p>
        </w:tc>
      </w:tr>
      <w:tr w:rsidR="003A3108" w:rsidRPr="003A12D6" w:rsidTr="003F086B">
        <w:trPr>
          <w:trHeight w:val="287"/>
        </w:trPr>
        <w:tc>
          <w:tcPr>
            <w:tcW w:w="4572" w:type="dxa"/>
            <w:tcBorders>
              <w:top w:val="single" w:sz="4" w:space="0" w:color="auto"/>
              <w:bottom w:val="single" w:sz="4" w:space="0" w:color="auto"/>
            </w:tcBorders>
            <w:shd w:val="clear" w:color="auto" w:fill="auto"/>
          </w:tcPr>
          <w:p w:rsidR="003A3108" w:rsidRPr="00742D3A" w:rsidRDefault="003A3108" w:rsidP="003F086B">
            <w:pPr>
              <w:spacing w:after="0"/>
              <w:ind w:left="720"/>
              <w:rPr>
                <w:rFonts w:eastAsia="SimSun"/>
                <w:sz w:val="20"/>
                <w:lang w:val="en-US" w:eastAsia="zh-CN"/>
              </w:rPr>
            </w:pPr>
            <w:r w:rsidRPr="00EB6E44">
              <w:rPr>
                <w:rFonts w:eastAsia="SimSun"/>
                <w:i/>
                <w:sz w:val="20"/>
                <w:lang w:val="en-US" w:eastAsia="zh-CN"/>
              </w:rPr>
              <w:t>p</w:t>
            </w:r>
            <w:r w:rsidRPr="00742D3A">
              <w:rPr>
                <w:rFonts w:eastAsia="SimSun"/>
                <w:sz w:val="20"/>
                <w:lang w:val="en-US" w:eastAsia="zh-CN"/>
              </w:rPr>
              <w:t>-value</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582D1B">
            <w:pPr>
              <w:spacing w:after="0"/>
              <w:jc w:val="center"/>
              <w:rPr>
                <w:rFonts w:eastAsia="SimSun"/>
                <w:sz w:val="20"/>
                <w:lang w:val="en-US" w:eastAsia="zh-CN"/>
              </w:rPr>
            </w:pPr>
            <w:r>
              <w:rPr>
                <w:rFonts w:eastAsia="MS Mincho"/>
                <w:sz w:val="20"/>
                <w:lang w:val="en-US" w:eastAsia="de-DE"/>
              </w:rPr>
              <w:t>0.2711</w:t>
            </w:r>
          </w:p>
        </w:tc>
      </w:tr>
      <w:tr w:rsidR="003A3108" w:rsidRPr="003A12D6" w:rsidTr="003F086B">
        <w:trPr>
          <w:trHeight w:val="287"/>
        </w:trPr>
        <w:tc>
          <w:tcPr>
            <w:tcW w:w="4572" w:type="dxa"/>
            <w:tcBorders>
              <w:top w:val="single" w:sz="4" w:space="0" w:color="auto"/>
              <w:bottom w:val="single" w:sz="4" w:space="0" w:color="auto"/>
            </w:tcBorders>
            <w:shd w:val="clear" w:color="auto" w:fill="auto"/>
            <w:vAlign w:val="center"/>
          </w:tcPr>
          <w:p w:rsidR="003A3108" w:rsidRPr="00435F14" w:rsidRDefault="003A3108" w:rsidP="003F086B">
            <w:pPr>
              <w:spacing w:after="0"/>
              <w:rPr>
                <w:rFonts w:eastAsia="SimSun"/>
                <w:sz w:val="20"/>
                <w:lang w:val="en-US" w:eastAsia="zh-CN"/>
              </w:rPr>
            </w:pPr>
            <w:proofErr w:type="spellStart"/>
            <w:r w:rsidRPr="00435F14">
              <w:rPr>
                <w:rFonts w:eastAsia="SimSun"/>
                <w:b/>
                <w:sz w:val="20"/>
                <w:lang w:val="en-US" w:eastAsia="zh-CN"/>
              </w:rPr>
              <w:t>HRQoL</w:t>
            </w:r>
            <w:proofErr w:type="spellEnd"/>
            <w:r w:rsidRPr="00435F14">
              <w:rPr>
                <w:rFonts w:eastAsia="SimSun"/>
                <w:b/>
                <w:sz w:val="20"/>
                <w:lang w:val="en-US" w:eastAsia="zh-CN"/>
              </w:rPr>
              <w:t xml:space="preserve"> EORTC QLQ-OV28 Abdominal/GI Symptom Scale</w:t>
            </w:r>
          </w:p>
        </w:tc>
        <w:tc>
          <w:tcPr>
            <w:tcW w:w="4644" w:type="dxa"/>
            <w:gridSpan w:val="3"/>
            <w:tcBorders>
              <w:top w:val="single" w:sz="4" w:space="0" w:color="auto"/>
              <w:bottom w:val="single" w:sz="4" w:space="0" w:color="auto"/>
            </w:tcBorders>
            <w:shd w:val="clear" w:color="auto" w:fill="auto"/>
            <w:vAlign w:val="center"/>
          </w:tcPr>
          <w:p w:rsidR="003A3108" w:rsidRPr="00435F14" w:rsidRDefault="003A3108" w:rsidP="003F086B">
            <w:pPr>
              <w:spacing w:after="0"/>
              <w:rPr>
                <w:rFonts w:eastAsia="MS Mincho"/>
                <w:sz w:val="20"/>
                <w:lang w:val="en-US" w:eastAsia="de-DE"/>
              </w:rPr>
            </w:pPr>
          </w:p>
        </w:tc>
      </w:tr>
      <w:tr w:rsidR="003A3108" w:rsidRPr="003A12D6" w:rsidTr="003F086B">
        <w:trPr>
          <w:trHeight w:val="287"/>
        </w:trPr>
        <w:tc>
          <w:tcPr>
            <w:tcW w:w="4572" w:type="dxa"/>
            <w:tcBorders>
              <w:top w:val="single" w:sz="4" w:space="0" w:color="auto"/>
              <w:bottom w:val="single" w:sz="4" w:space="0" w:color="auto"/>
            </w:tcBorders>
            <w:shd w:val="clear" w:color="auto" w:fill="auto"/>
            <w:vAlign w:val="center"/>
          </w:tcPr>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No. of patients who completed questionnaire at baseline and Week 8/9</w:t>
            </w:r>
          </w:p>
        </w:tc>
        <w:tc>
          <w:tcPr>
            <w:tcW w:w="2322" w:type="dxa"/>
            <w:gridSpan w:val="2"/>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84</w:t>
            </w:r>
          </w:p>
        </w:tc>
        <w:tc>
          <w:tcPr>
            <w:tcW w:w="2322" w:type="dxa"/>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122</w:t>
            </w:r>
          </w:p>
        </w:tc>
      </w:tr>
      <w:tr w:rsidR="003A3108" w:rsidRPr="003A12D6" w:rsidTr="003F086B">
        <w:trPr>
          <w:trHeight w:val="287"/>
        </w:trPr>
        <w:tc>
          <w:tcPr>
            <w:tcW w:w="4572" w:type="dxa"/>
            <w:tcBorders>
              <w:top w:val="single" w:sz="4" w:space="0" w:color="auto"/>
              <w:bottom w:val="single" w:sz="4" w:space="0" w:color="auto"/>
            </w:tcBorders>
            <w:shd w:val="clear" w:color="auto" w:fill="auto"/>
            <w:vAlign w:val="center"/>
          </w:tcPr>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No. of responders (response rate, %)</w:t>
            </w:r>
          </w:p>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(95% CI)</w:t>
            </w:r>
          </w:p>
        </w:tc>
        <w:tc>
          <w:tcPr>
            <w:tcW w:w="2322" w:type="dxa"/>
            <w:gridSpan w:val="2"/>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16 (19.0%)</w:t>
            </w:r>
          </w:p>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(11.3%, 29.1%)</w:t>
            </w:r>
          </w:p>
        </w:tc>
        <w:tc>
          <w:tcPr>
            <w:tcW w:w="2322" w:type="dxa"/>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34 (27.9%)</w:t>
            </w:r>
          </w:p>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(20.1%, 36.7%)</w:t>
            </w:r>
          </w:p>
        </w:tc>
      </w:tr>
      <w:tr w:rsidR="003A3108" w:rsidRPr="003A12D6" w:rsidTr="003F086B">
        <w:trPr>
          <w:trHeight w:val="287"/>
        </w:trPr>
        <w:tc>
          <w:tcPr>
            <w:tcW w:w="4572" w:type="dxa"/>
            <w:tcBorders>
              <w:top w:val="single" w:sz="4" w:space="0" w:color="auto"/>
              <w:bottom w:val="single" w:sz="4" w:space="0" w:color="auto"/>
            </w:tcBorders>
            <w:shd w:val="clear" w:color="auto" w:fill="auto"/>
            <w:vAlign w:val="center"/>
          </w:tcPr>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Difference in response rate, relative to CT</w:t>
            </w:r>
          </w:p>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(95% CI)</w:t>
            </w:r>
          </w:p>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p-value (</w:t>
            </w:r>
            <w:proofErr w:type="spellStart"/>
            <w:r w:rsidRPr="00435F14">
              <w:rPr>
                <w:rFonts w:eastAsia="SimSun"/>
                <w:sz w:val="20"/>
                <w:lang w:val="en-US" w:eastAsia="zh-CN"/>
              </w:rPr>
              <w:t>unstratified</w:t>
            </w:r>
            <w:proofErr w:type="spellEnd"/>
            <w:r w:rsidRPr="00435F14">
              <w:rPr>
                <w:rFonts w:eastAsia="SimSun"/>
                <w:sz w:val="20"/>
                <w:lang w:val="en-US" w:eastAsia="zh-CN"/>
              </w:rPr>
              <w:t>)</w:t>
            </w:r>
            <w:r w:rsidRPr="00435F14">
              <w:rPr>
                <w:rFonts w:eastAsia="SimSun"/>
                <w:sz w:val="20"/>
                <w:vertAlign w:val="superscript"/>
                <w:lang w:val="en-US" w:eastAsia="zh-CN"/>
              </w:rPr>
              <w:t>c</w:t>
            </w:r>
          </w:p>
        </w:tc>
        <w:tc>
          <w:tcPr>
            <w:tcW w:w="4644" w:type="dxa"/>
            <w:gridSpan w:val="3"/>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8.8%</w:t>
            </w:r>
          </w:p>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(-3.8%, 21.4%)</w:t>
            </w:r>
          </w:p>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0.1859</w:t>
            </w:r>
          </w:p>
        </w:tc>
      </w:tr>
    </w:tbl>
    <w:p w:rsidR="003A3108" w:rsidRPr="0022293B" w:rsidRDefault="003A3108" w:rsidP="003A3108">
      <w:pPr>
        <w:keepNext/>
        <w:spacing w:after="0"/>
        <w:rPr>
          <w:rFonts w:eastAsia="MS Mincho" w:cs="Arial"/>
          <w:bCs/>
          <w:iCs/>
          <w:sz w:val="18"/>
          <w:szCs w:val="18"/>
          <w:lang w:val="en-US" w:eastAsia="zh-CN"/>
        </w:rPr>
      </w:pPr>
      <w:r w:rsidRPr="0022293B">
        <w:rPr>
          <w:rFonts w:eastAsia="MS Mincho" w:cs="Arial"/>
          <w:bCs/>
          <w:iCs/>
          <w:sz w:val="18"/>
          <w:szCs w:val="18"/>
          <w:lang w:val="en-US" w:eastAsia="zh-CN"/>
        </w:rPr>
        <w:t>All analyses presented in this table are stratified analyses</w:t>
      </w:r>
    </w:p>
    <w:p w:rsidR="003A3108" w:rsidRPr="0022293B" w:rsidRDefault="003A3108" w:rsidP="003A3108">
      <w:pPr>
        <w:keepNext/>
        <w:spacing w:after="0"/>
        <w:rPr>
          <w:rFonts w:eastAsia="MS Mincho"/>
          <w:sz w:val="18"/>
          <w:szCs w:val="18"/>
          <w:lang w:val="en-US"/>
        </w:rPr>
      </w:pPr>
      <w:r w:rsidRPr="000E4F11">
        <w:rPr>
          <w:rFonts w:eastAsia="MS Mincho" w:cs="Arial"/>
          <w:bCs/>
          <w:iCs/>
          <w:sz w:val="18"/>
          <w:szCs w:val="18"/>
          <w:vertAlign w:val="superscript"/>
          <w:lang w:val="en-US" w:eastAsia="zh-CN"/>
        </w:rPr>
        <w:t>a</w:t>
      </w:r>
      <w:r>
        <w:rPr>
          <w:rFonts w:eastAsia="MS Mincho" w:cs="Arial"/>
          <w:bCs/>
          <w:iCs/>
          <w:sz w:val="18"/>
          <w:szCs w:val="18"/>
          <w:lang w:val="en-US" w:eastAsia="zh-CN"/>
        </w:rPr>
        <w:t xml:space="preserve"> </w:t>
      </w:r>
      <w:r w:rsidRPr="0022293B">
        <w:rPr>
          <w:rFonts w:eastAsia="MS Mincho"/>
          <w:sz w:val="18"/>
          <w:szCs w:val="18"/>
          <w:lang w:val="en-US"/>
        </w:rPr>
        <w:t>Randomized Patients with Measurable Disease at Baseline</w:t>
      </w:r>
    </w:p>
    <w:p w:rsidR="003A3108" w:rsidRDefault="003A3108" w:rsidP="003A3108">
      <w:pPr>
        <w:spacing w:after="0"/>
        <w:rPr>
          <w:rFonts w:ascii="Arial" w:eastAsia="SimSun" w:hAnsi="Arial"/>
          <w:sz w:val="18"/>
          <w:szCs w:val="18"/>
          <w:vertAlign w:val="superscript"/>
          <w:lang w:val="en-US" w:eastAsia="zh-CN"/>
        </w:rPr>
      </w:pPr>
      <w:r w:rsidRPr="000E4F11">
        <w:rPr>
          <w:rFonts w:ascii="Arial" w:eastAsia="SimSun" w:hAnsi="Arial"/>
          <w:sz w:val="18"/>
          <w:szCs w:val="18"/>
          <w:vertAlign w:val="superscript"/>
          <w:lang w:val="en-US" w:eastAsia="zh-CN"/>
        </w:rPr>
        <w:t>b</w:t>
      </w:r>
      <w:r>
        <w:rPr>
          <w:rFonts w:ascii="Arial" w:eastAsia="SimSun" w:hAnsi="Arial"/>
          <w:sz w:val="18"/>
          <w:szCs w:val="18"/>
          <w:lang w:val="en-US" w:eastAsia="zh-CN"/>
        </w:rPr>
        <w:t xml:space="preserve"> t</w:t>
      </w:r>
      <w:r w:rsidRPr="0022293B">
        <w:rPr>
          <w:rFonts w:eastAsia="MS Mincho"/>
          <w:sz w:val="18"/>
          <w:szCs w:val="18"/>
          <w:lang w:val="en-US"/>
        </w:rPr>
        <w:t xml:space="preserve">he final analysis of OS was performed when </w:t>
      </w:r>
      <w:r>
        <w:rPr>
          <w:rFonts w:eastAsia="MS Mincho"/>
          <w:sz w:val="18"/>
          <w:szCs w:val="18"/>
          <w:lang w:val="en-US"/>
        </w:rPr>
        <w:t xml:space="preserve">266 </w:t>
      </w:r>
      <w:r w:rsidRPr="0022293B">
        <w:rPr>
          <w:rFonts w:eastAsia="MS Mincho"/>
          <w:sz w:val="18"/>
          <w:szCs w:val="18"/>
          <w:lang w:val="en-US"/>
        </w:rPr>
        <w:t xml:space="preserve">deaths had occurred, which account for </w:t>
      </w:r>
      <w:r>
        <w:rPr>
          <w:rFonts w:eastAsia="MS Mincho"/>
          <w:sz w:val="18"/>
          <w:szCs w:val="18"/>
          <w:lang w:val="en-US"/>
        </w:rPr>
        <w:t xml:space="preserve">73.7% </w:t>
      </w:r>
      <w:r w:rsidRPr="0022293B">
        <w:rPr>
          <w:rFonts w:eastAsia="MS Mincho"/>
          <w:sz w:val="18"/>
          <w:szCs w:val="18"/>
          <w:lang w:val="en-US"/>
        </w:rPr>
        <w:t>of enrolled patients, were observed</w:t>
      </w:r>
      <w:r w:rsidRPr="00B02055">
        <w:rPr>
          <w:rFonts w:ascii="Arial" w:eastAsia="SimSun" w:hAnsi="Arial"/>
          <w:sz w:val="18"/>
          <w:szCs w:val="18"/>
          <w:vertAlign w:val="superscript"/>
          <w:lang w:val="en-US" w:eastAsia="zh-CN"/>
        </w:rPr>
        <w:t xml:space="preserve"> </w:t>
      </w:r>
    </w:p>
    <w:p w:rsidR="003A3108" w:rsidRPr="00435F14" w:rsidRDefault="003A3108" w:rsidP="003A3108">
      <w:pPr>
        <w:rPr>
          <w:rFonts w:eastAsia="SimSun"/>
          <w:sz w:val="18"/>
          <w:szCs w:val="18"/>
          <w:lang w:val="en-US" w:eastAsia="zh-CN"/>
        </w:rPr>
      </w:pPr>
      <w:r w:rsidRPr="00435F14">
        <w:rPr>
          <w:rFonts w:eastAsia="SimSun"/>
          <w:sz w:val="18"/>
          <w:szCs w:val="18"/>
          <w:vertAlign w:val="superscript"/>
          <w:lang w:val="en-US" w:eastAsia="zh-CN"/>
        </w:rPr>
        <w:t>c</w:t>
      </w:r>
      <w:r w:rsidRPr="00435F14">
        <w:rPr>
          <w:rFonts w:eastAsia="SimSun"/>
          <w:sz w:val="18"/>
          <w:szCs w:val="18"/>
          <w:lang w:val="en-US" w:eastAsia="zh-CN"/>
        </w:rPr>
        <w:t xml:space="preserve"> Fisher’s Exact Test</w:t>
      </w:r>
    </w:p>
    <w:p w:rsidR="006516FE" w:rsidRDefault="006516FE" w:rsidP="006516FE">
      <w:pPr>
        <w:pStyle w:val="TextBull"/>
        <w:numPr>
          <w:ilvl w:val="0"/>
          <w:numId w:val="0"/>
        </w:numPr>
        <w:spacing w:line="240" w:lineRule="auto"/>
        <w:jc w:val="both"/>
        <w:rPr>
          <w:rFonts w:eastAsia="MS Mincho" w:cs="Arial"/>
          <w:b/>
          <w:bCs/>
          <w:u w:val="single"/>
        </w:rPr>
      </w:pPr>
    </w:p>
    <w:p w:rsidR="006516FE" w:rsidRPr="004400B1" w:rsidRDefault="006516FE" w:rsidP="006516FE">
      <w:pPr>
        <w:pStyle w:val="TextBull"/>
        <w:numPr>
          <w:ilvl w:val="0"/>
          <w:numId w:val="0"/>
        </w:numPr>
        <w:spacing w:after="240" w:line="240" w:lineRule="auto"/>
        <w:jc w:val="both"/>
      </w:pPr>
      <w:r w:rsidRPr="004400B1">
        <w:rPr>
          <w:rFonts w:eastAsia="MS Mincho" w:cs="Arial"/>
          <w:b/>
          <w:bCs/>
        </w:rPr>
        <w:t xml:space="preserve">Table 14 </w:t>
      </w:r>
      <w:r w:rsidRPr="004400B1">
        <w:rPr>
          <w:rFonts w:eastAsia="MS Mincho" w:cs="Arial"/>
          <w:b/>
          <w:bCs/>
        </w:rPr>
        <w:tab/>
        <w:t xml:space="preserve">PFS </w:t>
      </w:r>
      <w:r w:rsidR="00DB7FB3" w:rsidRPr="004400B1">
        <w:rPr>
          <w:rFonts w:eastAsia="MS Mincho" w:cs="Arial"/>
          <w:b/>
          <w:bCs/>
        </w:rPr>
        <w:t>Outcome</w:t>
      </w:r>
      <w:r w:rsidRPr="004400B1">
        <w:rPr>
          <w:rFonts w:eastAsia="MS Mincho" w:cs="Arial"/>
          <w:b/>
          <w:bCs/>
        </w:rPr>
        <w:t xml:space="preserve">s from Study MO22224 (AURELIA) </w:t>
      </w:r>
      <w:r w:rsidR="00DB7FB3" w:rsidRPr="004400B1">
        <w:rPr>
          <w:rFonts w:eastAsia="MS Mincho" w:cs="Arial"/>
          <w:b/>
          <w:bCs/>
        </w:rPr>
        <w:t>by chemotherapy cohort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DB7FB3" w:rsidRPr="008A1B6E" w:rsidTr="008A1B6E">
        <w:tc>
          <w:tcPr>
            <w:tcW w:w="3080" w:type="dxa"/>
            <w:shd w:val="clear" w:color="auto" w:fill="auto"/>
          </w:tcPr>
          <w:p w:rsidR="00DB7FB3" w:rsidRPr="008A1B6E" w:rsidRDefault="00DB7FB3" w:rsidP="008A1B6E">
            <w:pPr>
              <w:spacing w:after="0"/>
              <w:rPr>
                <w:sz w:val="20"/>
                <w:lang w:eastAsia="zh-TW"/>
              </w:rPr>
            </w:pPr>
          </w:p>
        </w:tc>
        <w:tc>
          <w:tcPr>
            <w:tcW w:w="3081" w:type="dxa"/>
            <w:shd w:val="clear" w:color="auto" w:fill="auto"/>
          </w:tcPr>
          <w:p w:rsidR="00DB7FB3" w:rsidRPr="008A1B6E" w:rsidRDefault="00DB7FB3" w:rsidP="008A1B6E">
            <w:pPr>
              <w:spacing w:after="0"/>
              <w:jc w:val="center"/>
              <w:rPr>
                <w:b/>
                <w:sz w:val="20"/>
                <w:lang w:eastAsia="zh-TW"/>
              </w:rPr>
            </w:pPr>
            <w:r w:rsidRPr="008A1B6E">
              <w:rPr>
                <w:b/>
                <w:sz w:val="20"/>
                <w:lang w:eastAsia="zh-TW"/>
              </w:rPr>
              <w:t>CT</w:t>
            </w:r>
          </w:p>
        </w:tc>
        <w:tc>
          <w:tcPr>
            <w:tcW w:w="3081" w:type="dxa"/>
            <w:shd w:val="clear" w:color="auto" w:fill="auto"/>
          </w:tcPr>
          <w:p w:rsidR="00DB7FB3" w:rsidRPr="008A1B6E" w:rsidRDefault="00DB7FB3" w:rsidP="008A1B6E">
            <w:pPr>
              <w:spacing w:after="0"/>
              <w:jc w:val="center"/>
              <w:rPr>
                <w:b/>
                <w:sz w:val="20"/>
                <w:lang w:eastAsia="zh-TW"/>
              </w:rPr>
            </w:pPr>
            <w:r w:rsidRPr="008A1B6E">
              <w:rPr>
                <w:b/>
                <w:sz w:val="20"/>
                <w:lang w:eastAsia="zh-TW"/>
              </w:rPr>
              <w:t>CT + AVASTIN</w:t>
            </w:r>
          </w:p>
        </w:tc>
      </w:tr>
      <w:tr w:rsidR="00DB7FB3" w:rsidRPr="008A1B6E" w:rsidTr="008A1B6E">
        <w:tc>
          <w:tcPr>
            <w:tcW w:w="3080" w:type="dxa"/>
            <w:shd w:val="clear" w:color="auto" w:fill="auto"/>
          </w:tcPr>
          <w:p w:rsidR="00DB7FB3" w:rsidRPr="008A1B6E" w:rsidRDefault="00DB7FB3" w:rsidP="008A1B6E">
            <w:pPr>
              <w:spacing w:after="0"/>
              <w:rPr>
                <w:b/>
                <w:sz w:val="20"/>
                <w:lang w:eastAsia="zh-TW"/>
              </w:rPr>
            </w:pPr>
            <w:r w:rsidRPr="008A1B6E">
              <w:rPr>
                <w:b/>
                <w:sz w:val="20"/>
                <w:lang w:eastAsia="zh-TW"/>
              </w:rPr>
              <w:t>Paclitaxel</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n=115</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Investigator-assessed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3.9</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9.</w:t>
            </w:r>
            <w:r w:rsidR="00D414D1" w:rsidRPr="008A1B6E">
              <w:rPr>
                <w:sz w:val="20"/>
                <w:lang w:eastAsia="zh-TW"/>
              </w:rPr>
              <w:t>6</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414D1" w:rsidP="008A1B6E">
            <w:pPr>
              <w:spacing w:after="0"/>
              <w:jc w:val="center"/>
              <w:rPr>
                <w:sz w:val="20"/>
                <w:lang w:eastAsia="zh-TW"/>
              </w:rPr>
            </w:pPr>
            <w:r w:rsidRPr="008A1B6E">
              <w:rPr>
                <w:sz w:val="20"/>
                <w:lang w:eastAsia="zh-TW"/>
              </w:rPr>
              <w:t>0.46 [0.30, 0.71</w:t>
            </w:r>
            <w:r w:rsidR="00DB7FB3" w:rsidRPr="008A1B6E">
              <w:rPr>
                <w:sz w:val="20"/>
                <w:lang w:eastAsia="zh-TW"/>
              </w:rPr>
              <w:t>]</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IRC-assessed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4.2</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9.6</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 xml:space="preserve">0.50 [0.31, 0.78] </w:t>
            </w:r>
          </w:p>
        </w:tc>
      </w:tr>
      <w:tr w:rsidR="00DB7FB3" w:rsidRPr="008A1B6E" w:rsidTr="008A1B6E">
        <w:tc>
          <w:tcPr>
            <w:tcW w:w="3080" w:type="dxa"/>
            <w:shd w:val="clear" w:color="auto" w:fill="auto"/>
          </w:tcPr>
          <w:p w:rsidR="00DB7FB3" w:rsidRPr="008A1B6E" w:rsidRDefault="00DB7FB3" w:rsidP="008A1B6E">
            <w:pPr>
              <w:spacing w:after="0"/>
              <w:rPr>
                <w:b/>
                <w:sz w:val="20"/>
                <w:lang w:eastAsia="zh-TW"/>
              </w:rPr>
            </w:pPr>
            <w:proofErr w:type="spellStart"/>
            <w:r w:rsidRPr="008A1B6E">
              <w:rPr>
                <w:b/>
                <w:sz w:val="20"/>
                <w:lang w:eastAsia="zh-TW"/>
              </w:rPr>
              <w:t>Topotecan</w:t>
            </w:r>
            <w:proofErr w:type="spellEnd"/>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n=120</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Investigator-assessed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2.1</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6.2</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0.28 [0.18, 0.44]</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IRC-assessed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2.3</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7.1</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0.35 [0.22, 0.56]</w:t>
            </w:r>
          </w:p>
        </w:tc>
      </w:tr>
      <w:tr w:rsidR="00DB7FB3" w:rsidRPr="008A1B6E" w:rsidTr="008A1B6E">
        <w:tc>
          <w:tcPr>
            <w:tcW w:w="3080" w:type="dxa"/>
            <w:shd w:val="clear" w:color="auto" w:fill="auto"/>
          </w:tcPr>
          <w:p w:rsidR="00DB7FB3" w:rsidRPr="008A1B6E" w:rsidRDefault="00DB7FB3" w:rsidP="008A1B6E">
            <w:pPr>
              <w:spacing w:after="0"/>
              <w:rPr>
                <w:b/>
                <w:sz w:val="20"/>
                <w:lang w:eastAsia="zh-TW"/>
              </w:rPr>
            </w:pPr>
            <w:r w:rsidRPr="008A1B6E">
              <w:rPr>
                <w:b/>
                <w:sz w:val="20"/>
                <w:lang w:eastAsia="zh-TW"/>
              </w:rPr>
              <w:t>PLD</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n=126</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Investigator-assessed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3.5</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5.1</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414D1" w:rsidP="008A1B6E">
            <w:pPr>
              <w:spacing w:after="0"/>
              <w:jc w:val="center"/>
              <w:rPr>
                <w:sz w:val="20"/>
                <w:lang w:eastAsia="zh-TW"/>
              </w:rPr>
            </w:pPr>
            <w:r w:rsidRPr="008A1B6E">
              <w:rPr>
                <w:sz w:val="20"/>
                <w:lang w:eastAsia="zh-TW"/>
              </w:rPr>
              <w:t>0.55 [0.38, 0.80</w:t>
            </w:r>
            <w:r w:rsidR="00DB7FB3" w:rsidRPr="008A1B6E">
              <w:rPr>
                <w:sz w:val="20"/>
                <w:lang w:eastAsia="zh-TW"/>
              </w:rPr>
              <w:t>]</w:t>
            </w:r>
          </w:p>
        </w:tc>
      </w:tr>
      <w:tr w:rsidR="00DB7FB3" w:rsidRPr="008A1B6E" w:rsidTr="008A1B6E">
        <w:tc>
          <w:tcPr>
            <w:tcW w:w="3080" w:type="dxa"/>
            <w:shd w:val="clear" w:color="auto" w:fill="auto"/>
          </w:tcPr>
          <w:p w:rsidR="00DB7FB3" w:rsidRPr="008A1B6E" w:rsidRDefault="00DB7FB3" w:rsidP="008A1B6E">
            <w:pPr>
              <w:spacing w:after="0"/>
              <w:rPr>
                <w:sz w:val="20"/>
                <w:lang w:eastAsia="zh-TW"/>
              </w:rPr>
            </w:pPr>
            <w:r w:rsidRPr="008A1B6E">
              <w:rPr>
                <w:sz w:val="20"/>
                <w:lang w:eastAsia="zh-TW"/>
              </w:rPr>
              <w:t>IRC-assessed</w:t>
            </w:r>
          </w:p>
        </w:tc>
        <w:tc>
          <w:tcPr>
            <w:tcW w:w="6162" w:type="dxa"/>
            <w:gridSpan w:val="2"/>
            <w:shd w:val="clear" w:color="auto" w:fill="auto"/>
          </w:tcPr>
          <w:p w:rsidR="00DB7FB3" w:rsidRPr="008A1B6E" w:rsidRDefault="00DB7FB3" w:rsidP="008A1B6E">
            <w:pPr>
              <w:spacing w:after="0"/>
              <w:jc w:val="center"/>
              <w:rPr>
                <w:sz w:val="20"/>
                <w:lang w:eastAsia="zh-TW"/>
              </w:rPr>
            </w:pP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3.9</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7.5</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0.71 [0.48, 1.06]</w:t>
            </w:r>
          </w:p>
        </w:tc>
      </w:tr>
    </w:tbl>
    <w:p w:rsidR="00724850" w:rsidRDefault="00724850" w:rsidP="00900F15">
      <w:pPr>
        <w:pStyle w:val="TextBull"/>
        <w:numPr>
          <w:ilvl w:val="0"/>
          <w:numId w:val="0"/>
        </w:numPr>
        <w:jc w:val="both"/>
      </w:pPr>
    </w:p>
    <w:p w:rsidR="00582D1B" w:rsidRPr="00900F15" w:rsidRDefault="00900F15" w:rsidP="00900F15">
      <w:pPr>
        <w:pStyle w:val="TextBull"/>
        <w:numPr>
          <w:ilvl w:val="0"/>
          <w:numId w:val="0"/>
        </w:numPr>
        <w:jc w:val="both"/>
        <w:rPr>
          <w:rStyle w:val="Heading2Char"/>
          <w:b w:val="0"/>
          <w:caps w:val="0"/>
          <w:sz w:val="24"/>
          <w:lang w:val="en-US" w:eastAsia="de-DE"/>
        </w:rPr>
      </w:pPr>
      <w:r w:rsidRPr="00900F15">
        <w:t xml:space="preserve">The overall rates of discontinuation due to </w:t>
      </w:r>
      <w:r w:rsidR="00783EB4">
        <w:t>AEs</w:t>
      </w:r>
      <w:r w:rsidRPr="00900F15">
        <w:t xml:space="preserve"> were 8.8% in the CT arm and 43.6% in the CT + </w:t>
      </w:r>
      <w:r>
        <w:t>AVASTIN</w:t>
      </w:r>
      <w:r w:rsidRPr="00900F15">
        <w:t xml:space="preserve"> arm (mostly due to Grade 2-3 </w:t>
      </w:r>
      <w:r w:rsidR="00783EB4">
        <w:t>AEs</w:t>
      </w:r>
      <w:r w:rsidRPr="00900F15">
        <w:t>) and the median time to discontinuation in the CT + BV arm was 5.2 months compared with 2.4 months in the CT arm</w:t>
      </w:r>
      <w:r>
        <w:t xml:space="preserve">. The incidence of Grade 2–5 </w:t>
      </w:r>
      <w:r>
        <w:lastRenderedPageBreak/>
        <w:t xml:space="preserve">serious </w:t>
      </w:r>
      <w:r w:rsidR="00783EB4">
        <w:t>AEs</w:t>
      </w:r>
      <w:r>
        <w:t xml:space="preserve"> was 31.1% in the CT + AVASTIN arm compared with 27.1% in the CT arm. Grade 5 </w:t>
      </w:r>
      <w:r w:rsidR="00783EB4">
        <w:t>AEs</w:t>
      </w:r>
      <w:r>
        <w:t xml:space="preserve"> occurred in 5 patients in the CT arm and </w:t>
      </w:r>
      <w:r w:rsidR="004D7EA2">
        <w:t>6</w:t>
      </w:r>
      <w:r>
        <w:t xml:space="preserve"> patients in the CT + AVASTIN arm with a further Grade 5 AE occurring after cross</w:t>
      </w:r>
      <w:r>
        <w:rPr>
          <w:rFonts w:ascii="Cambria Math" w:hAnsi="Cambria Math" w:cs="Cambria Math"/>
        </w:rPr>
        <w:t>‐</w:t>
      </w:r>
      <w:r>
        <w:t>over to AVASTIN.</w:t>
      </w:r>
    </w:p>
    <w:p w:rsidR="008A7314" w:rsidRPr="00004DEE" w:rsidRDefault="008A7314" w:rsidP="00B704EE">
      <w:pPr>
        <w:spacing w:before="360"/>
        <w:rPr>
          <w:rStyle w:val="Heading2Char"/>
        </w:rPr>
      </w:pPr>
      <w:r w:rsidRPr="00004DEE">
        <w:rPr>
          <w:rStyle w:val="Heading2Char"/>
        </w:rPr>
        <w:t>INDICATIONS</w:t>
      </w:r>
    </w:p>
    <w:p w:rsidR="00E776F0" w:rsidRPr="00E776F0" w:rsidRDefault="00E776F0" w:rsidP="00E81770">
      <w:pPr>
        <w:pStyle w:val="TextTi12"/>
        <w:rPr>
          <w:b/>
          <w:i/>
          <w:lang w:val="en-GB"/>
        </w:rPr>
      </w:pPr>
      <w:r w:rsidRPr="00E776F0">
        <w:rPr>
          <w:b/>
          <w:i/>
          <w:lang w:val="en-GB"/>
        </w:rPr>
        <w:t>Metastatic Colorectal C</w:t>
      </w:r>
      <w:r w:rsidR="00816D18">
        <w:rPr>
          <w:b/>
          <w:i/>
          <w:lang w:val="en-GB"/>
        </w:rPr>
        <w:t>ancer</w:t>
      </w:r>
    </w:p>
    <w:p w:rsidR="00E81770" w:rsidRDefault="00E81770" w:rsidP="00E81770">
      <w:pPr>
        <w:pStyle w:val="TextTi12"/>
        <w:rPr>
          <w:lang w:val="en-GB"/>
        </w:rPr>
      </w:pPr>
      <w:bookmarkStart w:id="12" w:name="OLE_LINK10"/>
      <w:r w:rsidRPr="009E06EE">
        <w:rPr>
          <w:lang w:val="en-GB"/>
        </w:rPr>
        <w:t xml:space="preserve">AVASTIN </w:t>
      </w:r>
      <w:bookmarkStart w:id="13" w:name="OLE_LINK8"/>
      <w:r w:rsidR="006567B3">
        <w:rPr>
          <w:lang w:val="en-GB"/>
        </w:rPr>
        <w:t>(</w:t>
      </w:r>
      <w:proofErr w:type="spellStart"/>
      <w:r w:rsidR="006567B3">
        <w:rPr>
          <w:lang w:val="en-GB"/>
        </w:rPr>
        <w:t>bevacizumab</w:t>
      </w:r>
      <w:proofErr w:type="spellEnd"/>
      <w:r w:rsidR="006567B3">
        <w:rPr>
          <w:lang w:val="en-GB"/>
        </w:rPr>
        <w:t>)</w:t>
      </w:r>
      <w:bookmarkEnd w:id="12"/>
      <w:bookmarkEnd w:id="13"/>
      <w:r w:rsidR="006567B3">
        <w:rPr>
          <w:lang w:val="en-GB"/>
        </w:rPr>
        <w:t xml:space="preserve"> </w:t>
      </w:r>
      <w:r w:rsidR="009E06EE">
        <w:rPr>
          <w:lang w:val="en-GB"/>
        </w:rPr>
        <w:t xml:space="preserve">in combination with </w:t>
      </w:r>
      <w:proofErr w:type="spellStart"/>
      <w:r w:rsidR="003B513E" w:rsidRPr="00255B60">
        <w:rPr>
          <w:lang w:val="en-GB"/>
        </w:rPr>
        <w:t>fluoropyrimidine</w:t>
      </w:r>
      <w:proofErr w:type="spellEnd"/>
      <w:r w:rsidR="003B513E" w:rsidRPr="00255B60">
        <w:rPr>
          <w:lang w:val="en-GB"/>
        </w:rPr>
        <w:t>-based chemotherapy</w:t>
      </w:r>
      <w:r w:rsidR="00FA4799" w:rsidRPr="009E06EE">
        <w:rPr>
          <w:lang w:val="en-GB"/>
        </w:rPr>
        <w:t xml:space="preserve"> is indicated for the treatment of patients with metastatic c</w:t>
      </w:r>
      <w:r w:rsidR="00366F84" w:rsidRPr="009E06EE">
        <w:rPr>
          <w:lang w:val="en-GB"/>
        </w:rPr>
        <w:t>olorectal cancer.</w:t>
      </w:r>
      <w:r w:rsidR="00FA4799">
        <w:rPr>
          <w:lang w:val="en-GB"/>
        </w:rPr>
        <w:t xml:space="preserve"> </w:t>
      </w:r>
    </w:p>
    <w:p w:rsidR="009C31BE" w:rsidRDefault="009C31BE" w:rsidP="00E81770">
      <w:pPr>
        <w:pStyle w:val="TextTi12"/>
        <w:rPr>
          <w:lang w:val="en-GB"/>
        </w:rPr>
      </w:pPr>
    </w:p>
    <w:p w:rsidR="009C31BE" w:rsidRDefault="009C31BE" w:rsidP="00E81770">
      <w:pPr>
        <w:pStyle w:val="TextTi12"/>
        <w:rPr>
          <w:lang w:val="en-GB"/>
        </w:rPr>
      </w:pPr>
    </w:p>
    <w:p w:rsidR="00292ED9" w:rsidRPr="00292ED9" w:rsidRDefault="00E776F0" w:rsidP="00FE14C5">
      <w:pPr>
        <w:pStyle w:val="TextTi12"/>
        <w:rPr>
          <w:rFonts w:eastAsia="MS Mincho"/>
          <w:lang w:eastAsia="zh-CN"/>
        </w:rPr>
      </w:pPr>
      <w:r w:rsidRPr="00E776F0">
        <w:rPr>
          <w:b/>
          <w:i/>
          <w:lang w:val="en-GB"/>
        </w:rPr>
        <w:t>Locally recurrent o</w:t>
      </w:r>
      <w:r w:rsidR="00816D18">
        <w:rPr>
          <w:b/>
          <w:i/>
          <w:lang w:val="en-GB"/>
        </w:rPr>
        <w:t>r metastatic Breast Cancer</w:t>
      </w:r>
    </w:p>
    <w:p w:rsidR="00292ED9" w:rsidRDefault="009F041E" w:rsidP="00292ED9">
      <w:pPr>
        <w:pStyle w:val="TextTi12"/>
      </w:pPr>
      <w:r w:rsidRPr="00255B60">
        <w:rPr>
          <w:lang w:val="en-GB"/>
        </w:rPr>
        <w:t>AVASTIN (</w:t>
      </w:r>
      <w:proofErr w:type="spellStart"/>
      <w:r w:rsidRPr="00255B60">
        <w:rPr>
          <w:lang w:val="en-GB"/>
        </w:rPr>
        <w:t>bevacizumab</w:t>
      </w:r>
      <w:proofErr w:type="spellEnd"/>
      <w:r w:rsidRPr="00255B60">
        <w:rPr>
          <w:lang w:val="en-GB"/>
        </w:rPr>
        <w:t>)</w:t>
      </w:r>
      <w:r w:rsidR="00720B61" w:rsidRPr="00255B60">
        <w:t xml:space="preserve"> in combination with paclitaxel </w:t>
      </w:r>
      <w:r w:rsidRPr="00255B60">
        <w:t xml:space="preserve">is indicated </w:t>
      </w:r>
      <w:r w:rsidR="00720B61" w:rsidRPr="00255B60">
        <w:t>fo</w:t>
      </w:r>
      <w:r w:rsidR="00720B61">
        <w:t>r the first-line tre</w:t>
      </w:r>
      <w:r w:rsidR="009B1B38">
        <w:t>atment of metastatic breast canc</w:t>
      </w:r>
      <w:r w:rsidR="00720B61">
        <w:t xml:space="preserve">er in patients in whom an </w:t>
      </w:r>
      <w:proofErr w:type="spellStart"/>
      <w:r w:rsidR="00720B61">
        <w:t>anthracycline</w:t>
      </w:r>
      <w:proofErr w:type="spellEnd"/>
      <w:r w:rsidR="00720B61">
        <w:t xml:space="preserve">-based therapy is contraindicated. (see </w:t>
      </w:r>
      <w:r w:rsidR="00720B61" w:rsidRPr="00E60086">
        <w:t>Clinical Trials</w:t>
      </w:r>
      <w:r w:rsidR="00720B61">
        <w:t>)</w:t>
      </w:r>
      <w:r w:rsidR="005C4E33">
        <w:t>.</w:t>
      </w:r>
    </w:p>
    <w:p w:rsidR="00EF7C56" w:rsidRDefault="00EF7C56" w:rsidP="00292ED9">
      <w:pPr>
        <w:pStyle w:val="TextTi12"/>
        <w:rPr>
          <w:b/>
          <w:i/>
        </w:rPr>
      </w:pPr>
      <w:r w:rsidRPr="00EF7C56">
        <w:rPr>
          <w:b/>
          <w:i/>
        </w:rPr>
        <w:t xml:space="preserve">Advanced, metastatic or recurrent </w:t>
      </w:r>
      <w:r w:rsidR="002A198F">
        <w:rPr>
          <w:b/>
          <w:i/>
        </w:rPr>
        <w:t xml:space="preserve">non-squamous </w:t>
      </w:r>
      <w:r w:rsidRPr="00EF7C56">
        <w:rPr>
          <w:b/>
          <w:i/>
        </w:rPr>
        <w:t>Non</w:t>
      </w:r>
      <w:r w:rsidR="00B3779D">
        <w:rPr>
          <w:b/>
          <w:i/>
        </w:rPr>
        <w:t>-</w:t>
      </w:r>
      <w:r w:rsidRPr="00EF7C56">
        <w:rPr>
          <w:b/>
          <w:i/>
        </w:rPr>
        <w:t>Small Cell Lung Cancer (NSCLC)</w:t>
      </w:r>
    </w:p>
    <w:p w:rsidR="006F5665" w:rsidRPr="006F5665" w:rsidRDefault="006F5665" w:rsidP="00292ED9">
      <w:pPr>
        <w:pStyle w:val="TextTi12"/>
      </w:pPr>
      <w:r>
        <w:t>AVASTIN (</w:t>
      </w:r>
      <w:proofErr w:type="spellStart"/>
      <w:r>
        <w:t>bevacizumab</w:t>
      </w:r>
      <w:proofErr w:type="spellEnd"/>
      <w:r>
        <w:t xml:space="preserve">), in combination with carboplatin and paclitaxel, is indicated for first-line treatment of patients with </w:t>
      </w:r>
      <w:proofErr w:type="spellStart"/>
      <w:r>
        <w:t>unresectable</w:t>
      </w:r>
      <w:proofErr w:type="spellEnd"/>
      <w:r>
        <w:t xml:space="preserve"> advanced, metastatic or recurrent, non-squamous, non-small cell lung cancer.</w:t>
      </w:r>
    </w:p>
    <w:p w:rsidR="00533539" w:rsidRPr="00B65B6A" w:rsidRDefault="00533539" w:rsidP="00533539">
      <w:pPr>
        <w:pStyle w:val="TextTi12"/>
        <w:rPr>
          <w:b/>
          <w:i/>
          <w:color w:val="000000"/>
        </w:rPr>
      </w:pPr>
      <w:r>
        <w:rPr>
          <w:b/>
          <w:i/>
          <w:color w:val="000000"/>
        </w:rPr>
        <w:t>Advanced and/or m</w:t>
      </w:r>
      <w:r w:rsidRPr="00FD79D5">
        <w:rPr>
          <w:b/>
          <w:i/>
          <w:color w:val="000000"/>
        </w:rPr>
        <w:t>etastatic</w:t>
      </w:r>
      <w:r w:rsidR="00776B32">
        <w:rPr>
          <w:b/>
          <w:i/>
          <w:color w:val="000000"/>
        </w:rPr>
        <w:t xml:space="preserve"> Renal Cell Cancer</w:t>
      </w:r>
    </w:p>
    <w:p w:rsidR="00533539" w:rsidRDefault="00533539" w:rsidP="00292ED9">
      <w:pPr>
        <w:pStyle w:val="TextTi12"/>
        <w:rPr>
          <w:color w:val="000000"/>
        </w:rPr>
      </w:pPr>
      <w:bookmarkStart w:id="14" w:name="OLE_LINK9"/>
      <w:r>
        <w:rPr>
          <w:color w:val="000000"/>
        </w:rPr>
        <w:t xml:space="preserve">AVASTIN </w:t>
      </w:r>
      <w:r w:rsidR="00825715">
        <w:rPr>
          <w:lang w:val="en-GB"/>
        </w:rPr>
        <w:t>(</w:t>
      </w:r>
      <w:proofErr w:type="spellStart"/>
      <w:r w:rsidR="00825715">
        <w:rPr>
          <w:lang w:val="en-GB"/>
        </w:rPr>
        <w:t>bevacizumab</w:t>
      </w:r>
      <w:proofErr w:type="spellEnd"/>
      <w:r w:rsidR="00825715">
        <w:rPr>
          <w:lang w:val="en-GB"/>
        </w:rPr>
        <w:t xml:space="preserve">) </w:t>
      </w:r>
      <w:r>
        <w:rPr>
          <w:color w:val="000000"/>
        </w:rPr>
        <w:t>in combination with interferon alf</w:t>
      </w:r>
      <w:r w:rsidRPr="009E7211">
        <w:rPr>
          <w:color w:val="000000"/>
        </w:rPr>
        <w:t>a</w:t>
      </w:r>
      <w:r>
        <w:rPr>
          <w:color w:val="000000"/>
        </w:rPr>
        <w:t>-</w:t>
      </w:r>
      <w:r w:rsidRPr="009E7211">
        <w:rPr>
          <w:color w:val="000000"/>
        </w:rPr>
        <w:t>2a</w:t>
      </w:r>
      <w:r>
        <w:rPr>
          <w:color w:val="000000"/>
        </w:rPr>
        <w:t xml:space="preserve"> is indicated for treatment of patients with advanced and/or metastatic renal cell cancer.</w:t>
      </w:r>
      <w:bookmarkEnd w:id="14"/>
    </w:p>
    <w:p w:rsidR="008B62C3" w:rsidRPr="00E90F51" w:rsidRDefault="008B62C3" w:rsidP="008B62C3">
      <w:pPr>
        <w:pStyle w:val="Heading4"/>
        <w:spacing w:after="60"/>
        <w:ind w:left="0"/>
        <w:rPr>
          <w:shd w:val="clear" w:color="auto" w:fill="E6E6E6"/>
        </w:rPr>
      </w:pPr>
      <w:r w:rsidRPr="00DE4508">
        <w:t xml:space="preserve">Grade IV </w:t>
      </w:r>
      <w:proofErr w:type="spellStart"/>
      <w:r w:rsidRPr="00DE4508">
        <w:t>Glioma</w:t>
      </w:r>
      <w:proofErr w:type="spellEnd"/>
      <w:r w:rsidRPr="00E90F51">
        <w:rPr>
          <w:shd w:val="clear" w:color="auto" w:fill="E6E6E6"/>
        </w:rPr>
        <w:t xml:space="preserve"> </w:t>
      </w:r>
    </w:p>
    <w:p w:rsidR="008B62C3" w:rsidRDefault="008B62C3" w:rsidP="00FC2CA2">
      <w:pPr>
        <w:spacing w:after="170" w:line="280" w:lineRule="atLeast"/>
        <w:jc w:val="both"/>
        <w:rPr>
          <w:sz w:val="24"/>
          <w:szCs w:val="24"/>
        </w:rPr>
      </w:pPr>
      <w:r w:rsidRPr="00FC2CA2">
        <w:rPr>
          <w:sz w:val="24"/>
          <w:szCs w:val="24"/>
        </w:rPr>
        <w:t>AVASTIN (</w:t>
      </w:r>
      <w:proofErr w:type="spellStart"/>
      <w:r w:rsidRPr="00FC2CA2">
        <w:rPr>
          <w:sz w:val="24"/>
          <w:szCs w:val="24"/>
        </w:rPr>
        <w:t>bevacizumab</w:t>
      </w:r>
      <w:proofErr w:type="spellEnd"/>
      <w:r w:rsidRPr="00FC2CA2">
        <w:rPr>
          <w:sz w:val="24"/>
          <w:szCs w:val="24"/>
        </w:rPr>
        <w:t xml:space="preserve">) as a single agent, is indicated for the treatment of patients with Grade IV </w:t>
      </w:r>
      <w:proofErr w:type="spellStart"/>
      <w:r w:rsidRPr="00FC2CA2">
        <w:rPr>
          <w:sz w:val="24"/>
          <w:szCs w:val="24"/>
        </w:rPr>
        <w:t>glioma</w:t>
      </w:r>
      <w:proofErr w:type="spellEnd"/>
      <w:r w:rsidRPr="00FC2CA2">
        <w:rPr>
          <w:sz w:val="24"/>
          <w:szCs w:val="24"/>
        </w:rPr>
        <w:t xml:space="preserve"> after relapse or disease progression after standard therapy, including chemotherapy.</w:t>
      </w:r>
    </w:p>
    <w:p w:rsidR="00B3779D" w:rsidRPr="001A241A" w:rsidRDefault="00B3779D" w:rsidP="00B3779D">
      <w:pPr>
        <w:keepNext/>
        <w:keepLines/>
        <w:rPr>
          <w:b/>
          <w:i/>
          <w:sz w:val="24"/>
          <w:szCs w:val="24"/>
          <w:shd w:val="clear" w:color="auto" w:fill="E6E6E6"/>
          <w:lang w:val="en-US"/>
        </w:rPr>
      </w:pPr>
      <w:r w:rsidRPr="001A241A">
        <w:rPr>
          <w:b/>
          <w:i/>
          <w:sz w:val="24"/>
          <w:szCs w:val="24"/>
          <w:lang w:val="en-US"/>
        </w:rPr>
        <w:t>Epithelial Ovarian, Fallopian Tube or Primary Peritoneal Cancer</w:t>
      </w:r>
    </w:p>
    <w:p w:rsidR="00B3779D" w:rsidRDefault="00B3779D" w:rsidP="00B3779D">
      <w:pPr>
        <w:spacing w:after="170" w:line="280" w:lineRule="atLeast"/>
        <w:jc w:val="both"/>
        <w:rPr>
          <w:sz w:val="24"/>
          <w:szCs w:val="24"/>
        </w:rPr>
      </w:pPr>
      <w:r w:rsidRPr="000A1F7A">
        <w:rPr>
          <w:sz w:val="24"/>
          <w:szCs w:val="24"/>
          <w:lang w:val="en-US"/>
        </w:rPr>
        <w:t>AVASTIN (</w:t>
      </w:r>
      <w:proofErr w:type="spellStart"/>
      <w:r w:rsidRPr="000A1F7A">
        <w:rPr>
          <w:sz w:val="24"/>
          <w:szCs w:val="24"/>
          <w:lang w:val="en-US"/>
        </w:rPr>
        <w:t>bevacizumab</w:t>
      </w:r>
      <w:proofErr w:type="spellEnd"/>
      <w:r w:rsidRPr="000A1F7A">
        <w:rPr>
          <w:sz w:val="24"/>
          <w:szCs w:val="24"/>
          <w:lang w:val="en-US"/>
        </w:rPr>
        <w:t>)</w:t>
      </w:r>
      <w:r w:rsidRPr="000A1F7A">
        <w:rPr>
          <w:rFonts w:ascii="Arial" w:hAnsi="Arial" w:cs="Arial"/>
          <w:noProof/>
          <w:sz w:val="24"/>
          <w:szCs w:val="24"/>
        </w:rPr>
        <w:t xml:space="preserve"> </w:t>
      </w:r>
      <w:r w:rsidRPr="000A1F7A">
        <w:rPr>
          <w:color w:val="000000"/>
          <w:sz w:val="24"/>
          <w:szCs w:val="24"/>
        </w:rPr>
        <w:t xml:space="preserve">in combination with </w:t>
      </w:r>
      <w:r w:rsidRPr="000A1F7A">
        <w:rPr>
          <w:sz w:val="24"/>
          <w:szCs w:val="24"/>
        </w:rPr>
        <w:t xml:space="preserve">carboplatin and paclitaxel, is indicated for first-line treatment of patients with </w:t>
      </w:r>
      <w:r w:rsidR="00866978">
        <w:rPr>
          <w:sz w:val="24"/>
          <w:szCs w:val="24"/>
        </w:rPr>
        <w:t xml:space="preserve">advanced (FIGO stages IIIB, IIIC and IV) </w:t>
      </w:r>
      <w:r w:rsidRPr="000A1F7A">
        <w:rPr>
          <w:sz w:val="24"/>
          <w:szCs w:val="24"/>
        </w:rPr>
        <w:t>epithelial ovarian, fallopian tube, or primary peritoneal cancer.</w:t>
      </w:r>
    </w:p>
    <w:p w:rsidR="00156218" w:rsidRPr="001A241A" w:rsidRDefault="003E33B7" w:rsidP="003E33B7">
      <w:pPr>
        <w:keepNext/>
        <w:keepLines/>
        <w:jc w:val="both"/>
        <w:rPr>
          <w:b/>
          <w:i/>
          <w:sz w:val="24"/>
          <w:szCs w:val="24"/>
          <w:shd w:val="clear" w:color="auto" w:fill="E6E6E6"/>
          <w:lang w:val="en-US"/>
        </w:rPr>
      </w:pPr>
      <w:r>
        <w:rPr>
          <w:b/>
          <w:i/>
          <w:sz w:val="24"/>
          <w:szCs w:val="24"/>
          <w:lang w:val="en-US"/>
        </w:rPr>
        <w:lastRenderedPageBreak/>
        <w:t xml:space="preserve">Recurrent </w:t>
      </w:r>
      <w:r w:rsidRPr="001A241A">
        <w:rPr>
          <w:b/>
          <w:i/>
          <w:sz w:val="24"/>
          <w:szCs w:val="24"/>
          <w:lang w:val="en-US"/>
        </w:rPr>
        <w:t>Epithelial Ovarian, Fallopian Tube or Primary Peritoneal Cancer</w:t>
      </w:r>
    </w:p>
    <w:p w:rsidR="00602B5A" w:rsidRDefault="003E33B7" w:rsidP="00602B5A">
      <w:pPr>
        <w:keepNext/>
        <w:keepLines/>
        <w:jc w:val="both"/>
        <w:rPr>
          <w:sz w:val="24"/>
          <w:szCs w:val="24"/>
          <w:lang w:val="en-US"/>
        </w:rPr>
      </w:pPr>
      <w:r w:rsidRPr="00F57478">
        <w:rPr>
          <w:sz w:val="24"/>
          <w:szCs w:val="24"/>
          <w:lang w:val="en-US"/>
        </w:rPr>
        <w:t>AVASTIN (</w:t>
      </w:r>
      <w:proofErr w:type="spellStart"/>
      <w:r w:rsidRPr="00F57478">
        <w:rPr>
          <w:sz w:val="24"/>
          <w:szCs w:val="24"/>
          <w:lang w:val="en-US"/>
        </w:rPr>
        <w:t>bevacizumab</w:t>
      </w:r>
      <w:proofErr w:type="spellEnd"/>
      <w:r w:rsidRPr="00F57478">
        <w:rPr>
          <w:sz w:val="24"/>
          <w:szCs w:val="24"/>
          <w:lang w:val="en-US"/>
        </w:rPr>
        <w:t>)</w:t>
      </w:r>
      <w:r w:rsidR="008146F1" w:rsidRPr="00F57478">
        <w:rPr>
          <w:sz w:val="24"/>
          <w:szCs w:val="24"/>
          <w:lang w:val="en-US"/>
        </w:rPr>
        <w:t>,</w:t>
      </w:r>
      <w:r w:rsidRPr="00F57478">
        <w:rPr>
          <w:sz w:val="24"/>
          <w:szCs w:val="24"/>
          <w:lang w:val="en-US"/>
        </w:rPr>
        <w:t xml:space="preserve"> in combination with carboplatin and gemcitabine, is indicated for the treatment of patients with recurrent, </w:t>
      </w:r>
      <w:r w:rsidRPr="00582D1B">
        <w:rPr>
          <w:b/>
          <w:sz w:val="24"/>
          <w:szCs w:val="24"/>
          <w:lang w:val="en-US"/>
        </w:rPr>
        <w:t>platinum-sensitive</w:t>
      </w:r>
      <w:r w:rsidRPr="00F57478">
        <w:rPr>
          <w:sz w:val="24"/>
          <w:szCs w:val="24"/>
          <w:lang w:val="en-US"/>
        </w:rPr>
        <w:t>, epithelial ovarian, fallopian tube, or primary peritoneal cancer</w:t>
      </w:r>
      <w:r w:rsidR="007A01C1" w:rsidRPr="00F57478">
        <w:rPr>
          <w:sz w:val="24"/>
          <w:szCs w:val="24"/>
          <w:lang w:val="en-US"/>
        </w:rPr>
        <w:t xml:space="preserve"> who have not received prior </w:t>
      </w:r>
      <w:proofErr w:type="spellStart"/>
      <w:r w:rsidR="007A01C1" w:rsidRPr="00F57478">
        <w:rPr>
          <w:sz w:val="24"/>
          <w:szCs w:val="24"/>
          <w:lang w:val="en-US"/>
        </w:rPr>
        <w:t>bevacizumab</w:t>
      </w:r>
      <w:proofErr w:type="spellEnd"/>
      <w:r w:rsidR="007A01C1" w:rsidRPr="00F57478">
        <w:rPr>
          <w:sz w:val="24"/>
          <w:szCs w:val="24"/>
          <w:lang w:val="en-US"/>
        </w:rPr>
        <w:t xml:space="preserve"> or other VEGF-targeted angiogenesis inhibitors</w:t>
      </w:r>
      <w:r w:rsidRPr="00F57478">
        <w:rPr>
          <w:sz w:val="24"/>
          <w:szCs w:val="24"/>
          <w:lang w:val="en-US"/>
        </w:rPr>
        <w:t xml:space="preserve">. </w:t>
      </w:r>
    </w:p>
    <w:p w:rsidR="003A3108" w:rsidRPr="00F57478" w:rsidRDefault="003A3108" w:rsidP="00602B5A">
      <w:pPr>
        <w:keepNext/>
        <w:keepLines/>
        <w:jc w:val="both"/>
        <w:rPr>
          <w:sz w:val="24"/>
          <w:szCs w:val="24"/>
          <w:lang w:val="en-US"/>
        </w:rPr>
      </w:pPr>
      <w:r w:rsidRPr="000D41C5">
        <w:rPr>
          <w:sz w:val="24"/>
          <w:szCs w:val="24"/>
          <w:lang w:val="en-US"/>
        </w:rPr>
        <w:t>AVASTIN (</w:t>
      </w:r>
      <w:proofErr w:type="spellStart"/>
      <w:r w:rsidRPr="000D41C5">
        <w:rPr>
          <w:sz w:val="24"/>
          <w:szCs w:val="24"/>
          <w:lang w:val="en-US"/>
        </w:rPr>
        <w:t>bevacizumab</w:t>
      </w:r>
      <w:proofErr w:type="spellEnd"/>
      <w:r w:rsidRPr="000D41C5">
        <w:rPr>
          <w:sz w:val="24"/>
          <w:szCs w:val="24"/>
          <w:lang w:val="en-US"/>
        </w:rPr>
        <w:t>)</w:t>
      </w:r>
      <w:r w:rsidR="00A30746">
        <w:rPr>
          <w:sz w:val="24"/>
          <w:szCs w:val="24"/>
          <w:lang w:val="en-US"/>
        </w:rPr>
        <w:t xml:space="preserve"> in combination with paclitaxel</w:t>
      </w:r>
      <w:r w:rsidR="002574CB">
        <w:rPr>
          <w:sz w:val="24"/>
          <w:szCs w:val="24"/>
          <w:lang w:val="en-US"/>
        </w:rPr>
        <w:t xml:space="preserve">, </w:t>
      </w:r>
      <w:proofErr w:type="spellStart"/>
      <w:r w:rsidRPr="000D41C5">
        <w:rPr>
          <w:sz w:val="24"/>
          <w:szCs w:val="24"/>
          <w:lang w:val="en-US"/>
        </w:rPr>
        <w:t>topotecan</w:t>
      </w:r>
      <w:proofErr w:type="spellEnd"/>
      <w:r w:rsidRPr="000D41C5">
        <w:rPr>
          <w:sz w:val="24"/>
          <w:szCs w:val="24"/>
          <w:lang w:val="en-US"/>
        </w:rPr>
        <w:t xml:space="preserve"> </w:t>
      </w:r>
      <w:r w:rsidRPr="002574CB">
        <w:rPr>
          <w:sz w:val="24"/>
          <w:szCs w:val="24"/>
          <w:lang w:val="en-US"/>
        </w:rPr>
        <w:t xml:space="preserve">or </w:t>
      </w:r>
      <w:proofErr w:type="spellStart"/>
      <w:r w:rsidRPr="002574CB">
        <w:rPr>
          <w:sz w:val="24"/>
          <w:szCs w:val="24"/>
          <w:lang w:val="en-US"/>
        </w:rPr>
        <w:t>pegylated</w:t>
      </w:r>
      <w:proofErr w:type="spellEnd"/>
      <w:r w:rsidRPr="002574CB">
        <w:rPr>
          <w:sz w:val="24"/>
          <w:szCs w:val="24"/>
          <w:lang w:val="en-US"/>
        </w:rPr>
        <w:t xml:space="preserve"> liposomal doxorubicin </w:t>
      </w:r>
      <w:r w:rsidRPr="000D41C5">
        <w:rPr>
          <w:sz w:val="24"/>
          <w:szCs w:val="24"/>
          <w:lang w:val="en-US"/>
        </w:rPr>
        <w:t xml:space="preserve">is indicated for the treatment of patients with recurrent, </w:t>
      </w:r>
      <w:r w:rsidRPr="000D41C5">
        <w:rPr>
          <w:b/>
          <w:sz w:val="24"/>
          <w:szCs w:val="24"/>
          <w:lang w:val="en-US"/>
        </w:rPr>
        <w:t>platinum-resistant</w:t>
      </w:r>
      <w:r w:rsidRPr="000D41C5">
        <w:rPr>
          <w:sz w:val="24"/>
          <w:szCs w:val="24"/>
          <w:lang w:val="en-US"/>
        </w:rPr>
        <w:t xml:space="preserve"> epithelial ovarian, fallopian tube, or primary peritoneal cancer who </w:t>
      </w:r>
      <w:r w:rsidR="00A30746">
        <w:rPr>
          <w:sz w:val="24"/>
          <w:szCs w:val="24"/>
          <w:lang w:val="en-US"/>
        </w:rPr>
        <w:t xml:space="preserve">have </w:t>
      </w:r>
      <w:r w:rsidRPr="000D41C5">
        <w:rPr>
          <w:sz w:val="24"/>
          <w:szCs w:val="24"/>
          <w:lang w:val="en-US"/>
        </w:rPr>
        <w:t>received no more than two prior chemotherapy regimens</w:t>
      </w:r>
      <w:r w:rsidR="00A30746">
        <w:rPr>
          <w:sz w:val="24"/>
          <w:szCs w:val="24"/>
          <w:lang w:val="en-US"/>
        </w:rPr>
        <w:t>, and have not received any prior anti-</w:t>
      </w:r>
      <w:proofErr w:type="spellStart"/>
      <w:r w:rsidR="00A30746">
        <w:rPr>
          <w:sz w:val="24"/>
          <w:szCs w:val="24"/>
          <w:lang w:val="en-US"/>
        </w:rPr>
        <w:t>angiogenic</w:t>
      </w:r>
      <w:proofErr w:type="spellEnd"/>
      <w:r w:rsidR="00A30746">
        <w:rPr>
          <w:sz w:val="24"/>
          <w:szCs w:val="24"/>
          <w:lang w:val="en-US"/>
        </w:rPr>
        <w:t xml:space="preserve"> therapy including </w:t>
      </w:r>
      <w:proofErr w:type="spellStart"/>
      <w:r w:rsidR="00A30746">
        <w:rPr>
          <w:sz w:val="24"/>
          <w:szCs w:val="24"/>
          <w:lang w:val="en-US"/>
        </w:rPr>
        <w:t>bevacizumab</w:t>
      </w:r>
      <w:proofErr w:type="spellEnd"/>
      <w:r w:rsidRPr="000D41C5">
        <w:rPr>
          <w:sz w:val="24"/>
          <w:szCs w:val="24"/>
          <w:lang w:val="en-US"/>
        </w:rPr>
        <w:t>.</w:t>
      </w:r>
    </w:p>
    <w:p w:rsidR="008A7314" w:rsidRPr="007B1CE9" w:rsidRDefault="008A7314">
      <w:pPr>
        <w:pStyle w:val="Heading2"/>
        <w:keepNext/>
      </w:pPr>
      <w:r w:rsidRPr="007B1CE9">
        <w:t>CONTRAINDICATIONS</w:t>
      </w:r>
    </w:p>
    <w:p w:rsidR="00E81770" w:rsidRPr="007B1CE9" w:rsidRDefault="00E81770" w:rsidP="00E81770">
      <w:pPr>
        <w:pStyle w:val="TextTi12"/>
        <w:rPr>
          <w:lang w:val="en-GB"/>
        </w:rPr>
      </w:pPr>
      <w:r w:rsidRPr="007B1CE9">
        <w:rPr>
          <w:lang w:val="en-GB"/>
        </w:rPr>
        <w:t>AVASTIN is contraindicated in patients with</w:t>
      </w:r>
      <w:r w:rsidR="008527A6" w:rsidRPr="007B1CE9">
        <w:rPr>
          <w:lang w:val="en-GB"/>
        </w:rPr>
        <w:t xml:space="preserve">: </w:t>
      </w:r>
    </w:p>
    <w:p w:rsidR="008527A6" w:rsidRPr="007B1CE9" w:rsidRDefault="008527A6" w:rsidP="00E81770">
      <w:pPr>
        <w:pStyle w:val="TextTi12"/>
        <w:numPr>
          <w:ilvl w:val="0"/>
          <w:numId w:val="3"/>
        </w:numPr>
        <w:rPr>
          <w:lang w:val="en-GB"/>
        </w:rPr>
      </w:pPr>
      <w:r w:rsidRPr="007B1CE9">
        <w:rPr>
          <w:lang w:val="en-GB"/>
        </w:rPr>
        <w:t xml:space="preserve">known hypersensitivity to any components of the product; </w:t>
      </w:r>
      <w:r w:rsidR="00820A51" w:rsidRPr="007B1CE9">
        <w:rPr>
          <w:lang w:val="en-GB"/>
        </w:rPr>
        <w:t xml:space="preserve">Chinese </w:t>
      </w:r>
      <w:r w:rsidR="00E776F0">
        <w:rPr>
          <w:lang w:val="en-GB"/>
        </w:rPr>
        <w:t>h</w:t>
      </w:r>
      <w:r w:rsidR="00E776F0" w:rsidRPr="007B1CE9">
        <w:rPr>
          <w:lang w:val="en-GB"/>
        </w:rPr>
        <w:t xml:space="preserve">amster </w:t>
      </w:r>
      <w:r w:rsidR="00E81770" w:rsidRPr="007B1CE9">
        <w:rPr>
          <w:lang w:val="en-GB"/>
        </w:rPr>
        <w:t>ovary cell products or other recombinant human or humanised antibodies</w:t>
      </w:r>
    </w:p>
    <w:p w:rsidR="008A7314" w:rsidRPr="007B1CE9" w:rsidRDefault="008A7314">
      <w:pPr>
        <w:pStyle w:val="Heading2"/>
      </w:pPr>
      <w:r w:rsidRPr="007B1CE9">
        <w:t>PRECAUTIONS</w:t>
      </w:r>
    </w:p>
    <w:p w:rsidR="00E81770" w:rsidRPr="007B1CE9" w:rsidRDefault="00E81770" w:rsidP="00E81770">
      <w:pPr>
        <w:pStyle w:val="Heading3"/>
        <w:rPr>
          <w:lang w:val="en-GB"/>
        </w:rPr>
      </w:pPr>
      <w:r w:rsidRPr="007B1CE9">
        <w:rPr>
          <w:lang w:val="en-GB"/>
        </w:rPr>
        <w:t>Gastrointestinal Perforations</w:t>
      </w:r>
    </w:p>
    <w:p w:rsidR="008527A6" w:rsidRPr="007B1CE9" w:rsidRDefault="00366F84" w:rsidP="00A528D2">
      <w:pPr>
        <w:pStyle w:val="TextTi12"/>
      </w:pPr>
      <w:r w:rsidRPr="007B1CE9">
        <w:t>Patients may be at increased risk for the development of gastrointestinal</w:t>
      </w:r>
      <w:r w:rsidR="007C58D9">
        <w:t xml:space="preserve"> (GI)</w:t>
      </w:r>
      <w:r w:rsidRPr="007B1CE9">
        <w:t xml:space="preserve"> perforation</w:t>
      </w:r>
      <w:r w:rsidR="00996301">
        <w:t xml:space="preserve"> and gallbladder perforation</w:t>
      </w:r>
      <w:r w:rsidRPr="007B1CE9">
        <w:t xml:space="preserve"> when treated with AVASTIN.</w:t>
      </w:r>
      <w:r w:rsidR="008527A6" w:rsidRPr="007B1CE9">
        <w:t xml:space="preserve"> AVASTIN should be permanently discontinued in patients who develop </w:t>
      </w:r>
      <w:r w:rsidR="007C58D9">
        <w:t>GI</w:t>
      </w:r>
      <w:r w:rsidR="007C58D9" w:rsidRPr="007B1CE9">
        <w:t xml:space="preserve"> </w:t>
      </w:r>
      <w:r w:rsidR="008527A6" w:rsidRPr="007B1CE9">
        <w:t>perforation.</w:t>
      </w:r>
    </w:p>
    <w:p w:rsidR="007A7E0D" w:rsidRDefault="007A7E0D" w:rsidP="00AA61EB">
      <w:pPr>
        <w:pStyle w:val="TextTi12"/>
        <w:rPr>
          <w:color w:val="FF0000"/>
          <w:sz w:val="20"/>
        </w:rPr>
      </w:pPr>
      <w:r>
        <w:t>AVASTIN</w:t>
      </w:r>
      <w:r w:rsidRPr="00A56D8D">
        <w:t xml:space="preserve"> has been associated with serious cases of </w:t>
      </w:r>
      <w:r w:rsidR="007C58D9">
        <w:t xml:space="preserve">GI </w:t>
      </w:r>
      <w:r w:rsidRPr="00A56D8D">
        <w:t>perforation.</w:t>
      </w:r>
      <w:r>
        <w:t xml:space="preserve"> </w:t>
      </w:r>
      <w:r w:rsidR="00766E9A">
        <w:t xml:space="preserve"> </w:t>
      </w:r>
      <w:r w:rsidR="007C58D9" w:rsidRPr="00E840DA">
        <w:t>G</w:t>
      </w:r>
      <w:r w:rsidR="007C58D9">
        <w:t>I</w:t>
      </w:r>
      <w:r w:rsidR="007C58D9" w:rsidRPr="00E840DA">
        <w:t xml:space="preserve"> </w:t>
      </w:r>
      <w:r w:rsidRPr="00E840DA">
        <w:t xml:space="preserve">perforations have been reported in clinical trials with </w:t>
      </w:r>
      <w:r>
        <w:t xml:space="preserve">an incidence of </w:t>
      </w:r>
      <w:r w:rsidR="00B3779D">
        <w:t>&lt;</w:t>
      </w:r>
      <w:r>
        <w:t xml:space="preserve"> 1</w:t>
      </w:r>
      <w:r w:rsidRPr="00E840DA">
        <w:t xml:space="preserve">% in patients with metastatic breast cancer </w:t>
      </w:r>
      <w:r>
        <w:t>or</w:t>
      </w:r>
      <w:r w:rsidRPr="00E840DA">
        <w:t xml:space="preserve"> </w:t>
      </w:r>
      <w:r w:rsidR="00B3779D">
        <w:t>NSCLC</w:t>
      </w:r>
      <w:r w:rsidRPr="00E840DA">
        <w:t xml:space="preserve">, up to 2% in </w:t>
      </w:r>
      <w:r w:rsidR="00B3779D">
        <w:t xml:space="preserve">patients with </w:t>
      </w:r>
      <w:r w:rsidRPr="00E840DA">
        <w:t xml:space="preserve">metastatic colorectal cancer </w:t>
      </w:r>
      <w:r w:rsidR="000577CF">
        <w:t>or ovarian cancer (first-line treatment)</w:t>
      </w:r>
      <w:r w:rsidR="00362D75">
        <w:t xml:space="preserve">, </w:t>
      </w:r>
      <w:r w:rsidR="00362D75" w:rsidRPr="00362D75">
        <w:t xml:space="preserve">and up to 2.7% in patients with metastatic colorectal cancer (including </w:t>
      </w:r>
      <w:r w:rsidR="00362D75">
        <w:t>GI</w:t>
      </w:r>
      <w:r w:rsidR="00362D75" w:rsidRPr="00362D75">
        <w:t xml:space="preserve"> fistula and abscess)</w:t>
      </w:r>
      <w:r w:rsidRPr="00E840DA">
        <w:t xml:space="preserve">. </w:t>
      </w:r>
      <w:r w:rsidR="00AA61EB">
        <w:t xml:space="preserve">Cases of GI perforations have also been observed in patients with relapsed </w:t>
      </w:r>
      <w:proofErr w:type="spellStart"/>
      <w:r w:rsidR="00AA61EB">
        <w:t>glioblastoma</w:t>
      </w:r>
      <w:proofErr w:type="spellEnd"/>
      <w:r w:rsidR="00AA61EB">
        <w:t xml:space="preserve">. </w:t>
      </w:r>
      <w:r w:rsidRPr="00E840DA">
        <w:t xml:space="preserve">Fatal outcome was reported in approximately a third of serious cases of </w:t>
      </w:r>
      <w:r w:rsidR="007C58D9">
        <w:t>GI</w:t>
      </w:r>
      <w:r w:rsidR="007C58D9" w:rsidRPr="00E840DA">
        <w:t xml:space="preserve"> </w:t>
      </w:r>
      <w:r w:rsidRPr="00E840DA">
        <w:t xml:space="preserve">perforations, which represents between 0.2% - 1% of all </w:t>
      </w:r>
      <w:r>
        <w:t>AVASTIN</w:t>
      </w:r>
      <w:r w:rsidR="00BA2B04">
        <w:t>-</w:t>
      </w:r>
      <w:r w:rsidRPr="00E840DA">
        <w:t>treated patients.</w:t>
      </w:r>
      <w:r w:rsidRPr="00A33E99">
        <w:rPr>
          <w:color w:val="FF0000"/>
          <w:sz w:val="20"/>
          <w:highlight w:val="green"/>
        </w:rPr>
        <w:t xml:space="preserve"> </w:t>
      </w:r>
    </w:p>
    <w:p w:rsidR="00C50332" w:rsidRPr="00A33E99" w:rsidRDefault="00C50332" w:rsidP="00AA61EB">
      <w:pPr>
        <w:pStyle w:val="TextTi12"/>
      </w:pPr>
      <w:r>
        <w:t>Patients treated for recurrent platinum-resistant o</w:t>
      </w:r>
      <w:r w:rsidR="00A80E40">
        <w:t xml:space="preserve">varian cancer should not have a </w:t>
      </w:r>
      <w:r>
        <w:t>history</w:t>
      </w:r>
      <w:r w:rsidR="00CF0AE5">
        <w:t xml:space="preserve"> or symptoms</w:t>
      </w:r>
      <w:r>
        <w:t xml:space="preserve"> of bowel obstruction, abdominal fistulae or clinical or radiological evidence of recto-sigmoid involvement</w:t>
      </w:r>
      <w:r w:rsidR="00754432">
        <w:t xml:space="preserve">. Patient eligibility in the </w:t>
      </w:r>
      <w:r>
        <w:t xml:space="preserve">pivotal study MO22224 </w:t>
      </w:r>
      <w:r w:rsidR="00754432">
        <w:t>was</w:t>
      </w:r>
      <w:r w:rsidR="00CF0AE5">
        <w:t xml:space="preserve"> also</w:t>
      </w:r>
      <w:r w:rsidR="00754432">
        <w:t xml:space="preserve"> limited to those with </w:t>
      </w:r>
      <w:r w:rsidR="00340EC5">
        <w:t>two</w:t>
      </w:r>
      <w:r w:rsidR="00754432">
        <w:t xml:space="preserve"> or fewer prior chemotherapy regimens.</w:t>
      </w:r>
    </w:p>
    <w:p w:rsidR="007A7E0D" w:rsidRPr="00CD4BFB" w:rsidRDefault="007A7E0D" w:rsidP="007A7E0D">
      <w:pPr>
        <w:pStyle w:val="TextTi12"/>
      </w:pPr>
      <w:r w:rsidRPr="00A56D8D">
        <w:t>The presentation of these events varied in type and severity, ranging from free air seen on the plain abdominal X</w:t>
      </w:r>
      <w:r w:rsidRPr="00A56D8D">
        <w:noBreakHyphen/>
        <w:t xml:space="preserve">ray, which </w:t>
      </w:r>
      <w:r>
        <w:t>resolved without treatment, to intestinal</w:t>
      </w:r>
      <w:r w:rsidRPr="00A56D8D">
        <w:t xml:space="preserve"> perforation with abdominal abscess and fatal outcome.</w:t>
      </w:r>
      <w:r>
        <w:t xml:space="preserve"> In some </w:t>
      </w:r>
      <w:r w:rsidRPr="00A56D8D">
        <w:t xml:space="preserve">cases </w:t>
      </w:r>
      <w:r>
        <w:t xml:space="preserve">underlying </w:t>
      </w:r>
      <w:r w:rsidRPr="00A56D8D">
        <w:t>intra</w:t>
      </w:r>
      <w:r w:rsidRPr="00A56D8D">
        <w:noBreakHyphen/>
        <w:t>abdominal inflammation</w:t>
      </w:r>
      <w:r>
        <w:t xml:space="preserve"> was present</w:t>
      </w:r>
      <w:r w:rsidRPr="00A56D8D">
        <w:t xml:space="preserve">, either from gastric ulcer disease, </w:t>
      </w:r>
      <w:proofErr w:type="spellStart"/>
      <w:r w:rsidRPr="00A56D8D">
        <w:t>tumour</w:t>
      </w:r>
      <w:proofErr w:type="spellEnd"/>
      <w:r w:rsidRPr="00A56D8D">
        <w:t xml:space="preserve"> necrosis, diverticulitis or chemotherapy-associated colitis.</w:t>
      </w:r>
      <w:r>
        <w:t xml:space="preserve"> </w:t>
      </w:r>
      <w:r w:rsidRPr="00A56D8D">
        <w:t xml:space="preserve">A causal association of intra-abdominal inflammatory process and </w:t>
      </w:r>
      <w:r w:rsidR="007C58D9">
        <w:t>GI</w:t>
      </w:r>
      <w:r w:rsidR="007C58D9" w:rsidRPr="00A56D8D">
        <w:t xml:space="preserve"> </w:t>
      </w:r>
      <w:r w:rsidRPr="00A56D8D">
        <w:t xml:space="preserve">perforation to </w:t>
      </w:r>
      <w:r>
        <w:t>AVASTIN</w:t>
      </w:r>
      <w:r w:rsidRPr="00A56D8D">
        <w:t xml:space="preserve"> has not been established.</w:t>
      </w:r>
    </w:p>
    <w:p w:rsidR="001023EB" w:rsidRPr="007B1CE9" w:rsidRDefault="001023EB" w:rsidP="001023EB">
      <w:pPr>
        <w:pStyle w:val="Heading3"/>
        <w:rPr>
          <w:lang w:val="en-GB"/>
        </w:rPr>
      </w:pPr>
      <w:r w:rsidRPr="007B1CE9">
        <w:rPr>
          <w:lang w:val="en-GB"/>
        </w:rPr>
        <w:t>Hypertension</w:t>
      </w:r>
    </w:p>
    <w:p w:rsidR="001023EB" w:rsidRPr="007B1CE9" w:rsidRDefault="001023EB" w:rsidP="004B6EB0">
      <w:pPr>
        <w:pStyle w:val="TextTi12"/>
      </w:pPr>
      <w:r w:rsidRPr="007B1CE9">
        <w:t xml:space="preserve">An increased incidence of hypertension was observed in patients treated with AVASTIN. </w:t>
      </w:r>
      <w:r w:rsidR="00BE7E48">
        <w:t xml:space="preserve"> </w:t>
      </w:r>
      <w:r w:rsidRPr="007B1CE9">
        <w:t xml:space="preserve">Clinical safety data suggest that the incidence of hypertension is likely to be dose-dependent. </w:t>
      </w:r>
      <w:r w:rsidR="007A7E0D">
        <w:t xml:space="preserve"> Pre-existing hypertension should be adequately controlled before starting AVASTIN treatment.  </w:t>
      </w:r>
      <w:r w:rsidRPr="007B1CE9">
        <w:t xml:space="preserve">There is no information on the effect of AVASTIN in patients with uncontrolled hypertension at </w:t>
      </w:r>
      <w:r w:rsidRPr="007B1CE9">
        <w:lastRenderedPageBreak/>
        <w:t xml:space="preserve">the time of initiating AVASTIN therapy. </w:t>
      </w:r>
      <w:r w:rsidR="00BE7E48">
        <w:t xml:space="preserve"> </w:t>
      </w:r>
      <w:r w:rsidR="007953DC" w:rsidRPr="007B1CE9">
        <w:t>Monitoring of blood pressure is recommended during AVASTIN therapy.</w:t>
      </w:r>
    </w:p>
    <w:p w:rsidR="007A7E0D" w:rsidRDefault="007A7E0D" w:rsidP="004B6EB0">
      <w:pPr>
        <w:pStyle w:val="TextTi12"/>
      </w:pPr>
      <w:r>
        <w:t>In most cases hypertension was controlled adequately using standard anti-hypertensive treatment appropriate for the individual situation of the affected patient.</w:t>
      </w:r>
      <w:r w:rsidRPr="00A56D8D">
        <w:t xml:space="preserve"> </w:t>
      </w:r>
      <w:r>
        <w:t xml:space="preserve"> AVASTIN</w:t>
      </w:r>
      <w:r w:rsidRPr="00A56D8D">
        <w:t xml:space="preserve"> should be </w:t>
      </w:r>
      <w:r w:rsidRPr="00857DB9">
        <w:t>permanently discontinued</w:t>
      </w:r>
      <w:r>
        <w:t xml:space="preserve"> if medically significant hypertension cannot be adequately controlled with antihypertensive therapy, or if, the</w:t>
      </w:r>
      <w:r w:rsidRPr="00A56D8D">
        <w:t xml:space="preserve"> patient develop</w:t>
      </w:r>
      <w:r>
        <w:t>s</w:t>
      </w:r>
      <w:r w:rsidRPr="00A56D8D">
        <w:t xml:space="preserve"> hypertensive crisis</w:t>
      </w:r>
      <w:r w:rsidRPr="004A2FAC">
        <w:t xml:space="preserve"> </w:t>
      </w:r>
      <w:r>
        <w:t xml:space="preserve">or hypertensive encephalopathy (see </w:t>
      </w:r>
      <w:r w:rsidRPr="00CD4BFB">
        <w:rPr>
          <w:i/>
        </w:rPr>
        <w:t>ADVERSE EFFECTS</w:t>
      </w:r>
      <w:r w:rsidR="007C58D9">
        <w:rPr>
          <w:i/>
        </w:rPr>
        <w:t xml:space="preserve">; </w:t>
      </w:r>
      <w:r w:rsidRPr="00CD4BFB">
        <w:rPr>
          <w:i/>
        </w:rPr>
        <w:t>Post-Marketing Experience</w:t>
      </w:r>
      <w:r>
        <w:t>).</w:t>
      </w:r>
    </w:p>
    <w:p w:rsidR="00AD6752" w:rsidRPr="007B1CE9" w:rsidRDefault="00AD6752" w:rsidP="00AD6752">
      <w:pPr>
        <w:pStyle w:val="TextTi12"/>
      </w:pPr>
      <w:r>
        <w:t xml:space="preserve">An increased incidence of hypertension (all grades) of up to </w:t>
      </w:r>
      <w:r w:rsidR="008F7195">
        <w:t>42.1</w:t>
      </w:r>
      <w:r>
        <w:t>% has been observed in patients treated with AVASTIN compared with up to 14% in the comparator arm.  In clinical trials across all indications the overall incidence of Grade 3-4 hypertension in patients receiving AVASTIN ranged from 0.4% to 17.9%.  Grade 4 hypertension (hypertensive crisis) occurred in up to 1.0% of patients treated with AVASTIN compared to up to 0.2% patients treated with the same chemotherapy alone.</w:t>
      </w:r>
    </w:p>
    <w:p w:rsidR="007A7E0D" w:rsidRDefault="00151485" w:rsidP="004B6EB0">
      <w:pPr>
        <w:pStyle w:val="TextTi12"/>
      </w:pPr>
      <w:r>
        <w:t>Hy</w:t>
      </w:r>
      <w:r w:rsidR="00037988" w:rsidRPr="007B1CE9">
        <w:t>pertension was generally treated with oral anti-</w:t>
      </w:r>
      <w:proofErr w:type="spellStart"/>
      <w:r w:rsidR="00037988" w:rsidRPr="007B1CE9">
        <w:t>hypertensives</w:t>
      </w:r>
      <w:proofErr w:type="spellEnd"/>
      <w:r w:rsidR="00037988" w:rsidRPr="007B1CE9">
        <w:t xml:space="preserve"> such as angiotensin-converting enzyme inhibitors, </w:t>
      </w:r>
      <w:r w:rsidR="00004DEE" w:rsidRPr="007B1CE9">
        <w:t>diuretics</w:t>
      </w:r>
      <w:r w:rsidR="00037988" w:rsidRPr="007B1CE9">
        <w:t xml:space="preserve"> and calcium-channel blockers. </w:t>
      </w:r>
      <w:r w:rsidR="00BE7E48">
        <w:t xml:space="preserve"> </w:t>
      </w:r>
      <w:r w:rsidR="00037988" w:rsidRPr="007B1CE9">
        <w:t xml:space="preserve">It rarely resulted </w:t>
      </w:r>
      <w:r w:rsidR="00596FA4" w:rsidRPr="007B1CE9">
        <w:t>in discontinuation</w:t>
      </w:r>
      <w:r w:rsidR="00037988" w:rsidRPr="007B1CE9">
        <w:t xml:space="preserve"> </w:t>
      </w:r>
      <w:r w:rsidR="007A7E0D">
        <w:t xml:space="preserve">of AVASTIN treatment </w:t>
      </w:r>
      <w:r w:rsidR="00037988" w:rsidRPr="007B1CE9">
        <w:t xml:space="preserve">or </w:t>
      </w:r>
      <w:proofErr w:type="spellStart"/>
      <w:r w:rsidR="00037988" w:rsidRPr="007B1CE9">
        <w:t>hospitalisation</w:t>
      </w:r>
      <w:proofErr w:type="spellEnd"/>
      <w:r w:rsidR="00037988" w:rsidRPr="007B1CE9">
        <w:t xml:space="preserve">. </w:t>
      </w:r>
      <w:r w:rsidR="00BE7E48">
        <w:t xml:space="preserve"> </w:t>
      </w:r>
      <w:r w:rsidR="000A0581">
        <w:t xml:space="preserve">The use of diuretics to manage hypertension is not advised in patients who receive a </w:t>
      </w:r>
      <w:proofErr w:type="spellStart"/>
      <w:r w:rsidR="000A0581">
        <w:t>cisplatin</w:t>
      </w:r>
      <w:proofErr w:type="spellEnd"/>
      <w:r w:rsidR="000A0581">
        <w:t>-based chemotherapy regimen.</w:t>
      </w:r>
    </w:p>
    <w:p w:rsidR="00037988" w:rsidRPr="007B1CE9" w:rsidRDefault="007A7E0D" w:rsidP="004B6EB0">
      <w:pPr>
        <w:pStyle w:val="TextTi12"/>
      </w:pPr>
      <w:r w:rsidRPr="00513710">
        <w:t>Very rare cases of hypertensive encephalopathy have been reported, some of which were fatal (see</w:t>
      </w:r>
      <w:r>
        <w:t xml:space="preserve"> </w:t>
      </w:r>
      <w:r w:rsidRPr="002813B3">
        <w:rPr>
          <w:i/>
        </w:rPr>
        <w:t>ADVERSE EFFECTS</w:t>
      </w:r>
      <w:r w:rsidR="007C58D9">
        <w:rPr>
          <w:i/>
        </w:rPr>
        <w:t xml:space="preserve">; </w:t>
      </w:r>
      <w:r>
        <w:rPr>
          <w:i/>
        </w:rPr>
        <w:t>Post-</w:t>
      </w:r>
      <w:r w:rsidRPr="002813B3">
        <w:rPr>
          <w:i/>
        </w:rPr>
        <w:t>Marketing Experience</w:t>
      </w:r>
      <w:r>
        <w:t xml:space="preserve">).  </w:t>
      </w:r>
      <w:r w:rsidR="00037988" w:rsidRPr="007B1CE9">
        <w:t xml:space="preserve">The risk of </w:t>
      </w:r>
      <w:r w:rsidRPr="007B1CE9">
        <w:t>AVASTIN</w:t>
      </w:r>
      <w:r>
        <w:t>-</w:t>
      </w:r>
      <w:r w:rsidR="00037988" w:rsidRPr="007B1CE9">
        <w:t>associated hypertension did not correlate with the patients’ baseline characteristics, underlying disease or concomitant therapy.</w:t>
      </w:r>
    </w:p>
    <w:p w:rsidR="001023EB" w:rsidRPr="007B1CE9" w:rsidRDefault="001023EB" w:rsidP="001023EB">
      <w:pPr>
        <w:pStyle w:val="Heading3"/>
        <w:rPr>
          <w:lang w:val="en-GB"/>
        </w:rPr>
      </w:pPr>
      <w:r w:rsidRPr="007B1CE9">
        <w:rPr>
          <w:lang w:val="en-GB"/>
        </w:rPr>
        <w:t>Wound Healing</w:t>
      </w:r>
    </w:p>
    <w:p w:rsidR="008527A6" w:rsidRDefault="008527A6" w:rsidP="004B6EB0">
      <w:pPr>
        <w:pStyle w:val="TextTi12"/>
        <w:rPr>
          <w:lang w:val="en-GB"/>
        </w:rPr>
      </w:pPr>
      <w:r w:rsidRPr="007B1CE9">
        <w:t>AVASTIN may adversely affect the wound healing process</w:t>
      </w:r>
      <w:r w:rsidR="00325AFF" w:rsidRPr="007B1CE9">
        <w:t>, A</w:t>
      </w:r>
      <w:r w:rsidRPr="007B1CE9">
        <w:t>VASTIN therapy should not be initiated for at least 28 days following major surgery</w:t>
      </w:r>
      <w:r w:rsidRPr="007B1CE9">
        <w:rPr>
          <w:rFonts w:ascii="Helvetica-BoldOblique" w:hAnsi="Helvetica-BoldOblique"/>
        </w:rPr>
        <w:t xml:space="preserve"> </w:t>
      </w:r>
      <w:r w:rsidRPr="007B1CE9">
        <w:t xml:space="preserve">or until the surgical wound is fully healed. In patients who experience wound healing complications during AVASTIN </w:t>
      </w:r>
      <w:r w:rsidR="00596FA4" w:rsidRPr="007B1CE9">
        <w:t>therapy</w:t>
      </w:r>
      <w:r w:rsidRPr="007B1CE9">
        <w:t xml:space="preserve">, AVASTIN should be withheld until the wound is fully healed. </w:t>
      </w:r>
      <w:r w:rsidR="007A7E0D">
        <w:t xml:space="preserve"> </w:t>
      </w:r>
      <w:r w:rsidR="001C3CFA" w:rsidRPr="007B1CE9">
        <w:t xml:space="preserve">AVASTIN </w:t>
      </w:r>
      <w:r w:rsidRPr="007B1CE9">
        <w:t>therapy should be withheld for elective surgery</w:t>
      </w:r>
      <w:r w:rsidRPr="007B1CE9">
        <w:rPr>
          <w:lang w:val="en-GB"/>
        </w:rPr>
        <w:t>.</w:t>
      </w:r>
    </w:p>
    <w:p w:rsidR="007A7E0D" w:rsidRDefault="007A7E0D" w:rsidP="004B6EB0">
      <w:pPr>
        <w:pStyle w:val="TextTi12"/>
      </w:pPr>
      <w:r w:rsidRPr="00E840DA">
        <w:t xml:space="preserve">Across </w:t>
      </w:r>
      <w:r w:rsidRPr="00151485">
        <w:rPr>
          <w:lang w:val="en-GB"/>
        </w:rPr>
        <w:t xml:space="preserve">metastatic colorectal </w:t>
      </w:r>
      <w:r>
        <w:rPr>
          <w:lang w:val="en-GB"/>
        </w:rPr>
        <w:t>cancer</w:t>
      </w:r>
      <w:r w:rsidRPr="00E840DA">
        <w:t xml:space="preserve"> clinical trials there was no</w:t>
      </w:r>
      <w:r w:rsidRPr="009706A2">
        <w:t xml:space="preserve"> increased risk of post-operative bleeding or wound healing complications observed in patients who underwent major surgery between 28-60 days prior to starting </w:t>
      </w:r>
      <w:r>
        <w:t>AVASTIN</w:t>
      </w:r>
      <w:r w:rsidRPr="009706A2">
        <w:t xml:space="preserve"> therapy. </w:t>
      </w:r>
      <w:r>
        <w:t xml:space="preserve"> </w:t>
      </w:r>
      <w:r w:rsidRPr="009706A2">
        <w:t>An increased incidence of post-operative bleeding or wound healing complications occurr</w:t>
      </w:r>
      <w:r>
        <w:t>ing</w:t>
      </w:r>
      <w:r w:rsidRPr="009706A2">
        <w:t xml:space="preserve"> within 60 days of major</w:t>
      </w:r>
      <w:r w:rsidRPr="009706A2" w:rsidDel="004B401A">
        <w:t xml:space="preserve"> </w:t>
      </w:r>
      <w:r w:rsidRPr="009706A2">
        <w:t>surgery</w:t>
      </w:r>
      <w:r>
        <w:t xml:space="preserve"> was observed if the patient was being treated with AVASTIN at the time of surgery</w:t>
      </w:r>
      <w:r w:rsidRPr="009706A2">
        <w:t xml:space="preserve">.  The incidence varied between 10% (4/40) and 20% (3/15). </w:t>
      </w:r>
    </w:p>
    <w:p w:rsidR="00135EE9" w:rsidRPr="00CE483A" w:rsidRDefault="00135EE9" w:rsidP="004B6EB0">
      <w:pPr>
        <w:pStyle w:val="TextTi12"/>
      </w:pPr>
      <w:r w:rsidRPr="00CE483A">
        <w:t>Serious wound healing complications, including anastomotic complications, have been reported, some of which had a fatal outcome.</w:t>
      </w:r>
    </w:p>
    <w:p w:rsidR="006A66F3" w:rsidRDefault="00AC6A3E" w:rsidP="00AC6A3E">
      <w:pPr>
        <w:pStyle w:val="TextTi12"/>
      </w:pPr>
      <w:r w:rsidRPr="00513710">
        <w:t>In locally recurrent and</w:t>
      </w:r>
      <w:r w:rsidRPr="007344DD">
        <w:t xml:space="preserve"> metastatic breast cancer</w:t>
      </w:r>
      <w:r w:rsidRPr="000B6BB6">
        <w:t xml:space="preserve">, </w:t>
      </w:r>
      <w:r w:rsidR="00351AFC" w:rsidRPr="007B1CE9">
        <w:t>National Cancer Institute-Common Toxicity Criteria</w:t>
      </w:r>
      <w:r w:rsidR="00351AFC">
        <w:t xml:space="preserve"> (NCI-CTC) </w:t>
      </w:r>
      <w:r w:rsidRPr="000B6BB6">
        <w:t xml:space="preserve">Grade 3-5 wound healing complications were observed in </w:t>
      </w:r>
      <w:r w:rsidR="00BA2B04">
        <w:t xml:space="preserve">up to </w:t>
      </w:r>
      <w:r w:rsidRPr="000B6BB6">
        <w:t xml:space="preserve">1.1% of patients receiving </w:t>
      </w:r>
      <w:r>
        <w:t>AVASTIN</w:t>
      </w:r>
      <w:r w:rsidRPr="000B6BB6">
        <w:t xml:space="preserve"> </w:t>
      </w:r>
      <w:r w:rsidR="00BA2B04">
        <w:t>compared with up to 0.9% of patients in the control arms</w:t>
      </w:r>
      <w:r w:rsidRPr="000B6BB6">
        <w:t>.</w:t>
      </w:r>
    </w:p>
    <w:p w:rsidR="00C453D4" w:rsidRPr="00A44CB6" w:rsidRDefault="00C453D4" w:rsidP="00FC2CA2">
      <w:pPr>
        <w:pStyle w:val="Heading3"/>
        <w:spacing w:before="0" w:after="170" w:line="280" w:lineRule="atLeast"/>
        <w:jc w:val="both"/>
        <w:rPr>
          <w:b w:val="0"/>
        </w:rPr>
      </w:pPr>
      <w:r w:rsidRPr="00A44CB6">
        <w:rPr>
          <w:b w:val="0"/>
          <w:lang w:val="en-US"/>
        </w:rPr>
        <w:t xml:space="preserve">In Study AVF3708g, patients with relapsed GBM, the incidence of post-operative wound healing complications (craniotomy site wound dehiscence and cerebrospinal fluid leak) was 3.6% in patients treated with single-agent AVASTIN and 1.3% in patients treated with AVASTIN and </w:t>
      </w:r>
      <w:proofErr w:type="spellStart"/>
      <w:r w:rsidRPr="00A44CB6">
        <w:rPr>
          <w:b w:val="0"/>
          <w:lang w:val="en-US"/>
        </w:rPr>
        <w:t>irinotecan</w:t>
      </w:r>
      <w:proofErr w:type="spellEnd"/>
      <w:r>
        <w:rPr>
          <w:b w:val="0"/>
          <w:lang w:val="en-US"/>
        </w:rPr>
        <w:t>.</w:t>
      </w:r>
    </w:p>
    <w:p w:rsidR="00AD28E4" w:rsidRPr="00DB36B4" w:rsidRDefault="00AD28E4" w:rsidP="00AD28E4">
      <w:pPr>
        <w:pStyle w:val="TextTi12"/>
        <w:rPr>
          <w:rFonts w:cs="Arial"/>
        </w:rPr>
      </w:pPr>
      <w:proofErr w:type="spellStart"/>
      <w:r w:rsidRPr="00DB36B4">
        <w:rPr>
          <w:rFonts w:cs="Arial"/>
        </w:rPr>
        <w:t>Necrotising</w:t>
      </w:r>
      <w:proofErr w:type="spellEnd"/>
      <w:r w:rsidRPr="00DB36B4">
        <w:rPr>
          <w:rFonts w:cs="Arial"/>
        </w:rPr>
        <w:t xml:space="preserve"> fasciitis including fatal cases, has rarely been reported in patients treated with AVASTIN; usually secondary to wound healing complications, gastrointestinal perforation or </w:t>
      </w:r>
      <w:r w:rsidRPr="00DB36B4">
        <w:rPr>
          <w:rFonts w:cs="Arial"/>
        </w:rPr>
        <w:lastRenderedPageBreak/>
        <w:t xml:space="preserve">fistula formation. AVASTIN therapy should be discontinued in patients who develop </w:t>
      </w:r>
      <w:proofErr w:type="spellStart"/>
      <w:r w:rsidRPr="00DB36B4">
        <w:rPr>
          <w:rFonts w:cs="Arial"/>
        </w:rPr>
        <w:t>necrotising</w:t>
      </w:r>
      <w:proofErr w:type="spellEnd"/>
      <w:r w:rsidRPr="00DB36B4">
        <w:rPr>
          <w:rFonts w:cs="Arial"/>
        </w:rPr>
        <w:t xml:space="preserve"> fasciitis, and appropriate treatment should be promptly initiated (see </w:t>
      </w:r>
      <w:r w:rsidRPr="00DB36B4">
        <w:rPr>
          <w:rFonts w:cs="Arial"/>
          <w:i/>
        </w:rPr>
        <w:t>ADVERSE EFFECTS, Post</w:t>
      </w:r>
      <w:r w:rsidR="00D06D4C" w:rsidRPr="00DB36B4">
        <w:rPr>
          <w:rFonts w:cs="Arial"/>
          <w:i/>
        </w:rPr>
        <w:t>-</w:t>
      </w:r>
      <w:r w:rsidRPr="00DB36B4">
        <w:rPr>
          <w:rFonts w:cs="Arial"/>
          <w:i/>
        </w:rPr>
        <w:t xml:space="preserve"> Marketing</w:t>
      </w:r>
      <w:r w:rsidR="00D06D4C" w:rsidRPr="00DB36B4">
        <w:rPr>
          <w:rFonts w:cs="Arial"/>
          <w:i/>
        </w:rPr>
        <w:t xml:space="preserve"> Experience</w:t>
      </w:r>
      <w:r w:rsidRPr="00DB36B4">
        <w:rPr>
          <w:rFonts w:cs="Arial"/>
          <w:i/>
        </w:rPr>
        <w:t>.</w:t>
      </w:r>
      <w:r w:rsidRPr="00DB36B4">
        <w:rPr>
          <w:rFonts w:cs="Arial"/>
        </w:rPr>
        <w:t>)</w:t>
      </w:r>
    </w:p>
    <w:p w:rsidR="001C3CFA" w:rsidRPr="007B1CE9" w:rsidRDefault="001C3CFA" w:rsidP="001C3CFA">
      <w:pPr>
        <w:pStyle w:val="Heading3"/>
      </w:pPr>
      <w:r w:rsidRPr="007B1CE9">
        <w:t>Thromboembolism</w:t>
      </w:r>
    </w:p>
    <w:p w:rsidR="004E7E76" w:rsidRPr="004E7E76" w:rsidRDefault="004E7E76" w:rsidP="00BD3577">
      <w:pPr>
        <w:pStyle w:val="TextTi12"/>
        <w:spacing w:before="120" w:after="0"/>
        <w:rPr>
          <w:b/>
          <w:i/>
        </w:rPr>
      </w:pPr>
      <w:r w:rsidRPr="004E7E76">
        <w:rPr>
          <w:b/>
          <w:i/>
        </w:rPr>
        <w:t>Arterial thromboembolic events</w:t>
      </w:r>
    </w:p>
    <w:p w:rsidR="00BB1CD9" w:rsidRPr="00771E30" w:rsidRDefault="00BB1CD9" w:rsidP="003A630D">
      <w:pPr>
        <w:jc w:val="both"/>
        <w:rPr>
          <w:sz w:val="24"/>
          <w:szCs w:val="24"/>
        </w:rPr>
      </w:pPr>
      <w:r w:rsidRPr="00771E30">
        <w:rPr>
          <w:sz w:val="24"/>
          <w:szCs w:val="24"/>
        </w:rPr>
        <w:t>An increased incidence of arterial thromboembolic events has been observed in patients treated with AVASTIN across indications including cerebrovascular accidents, myocardial infarction, transient ischaemic attacks, and other arterial thromboembolic events.</w:t>
      </w:r>
    </w:p>
    <w:p w:rsidR="00BB1CD9" w:rsidRPr="00771E30" w:rsidRDefault="00BB1CD9" w:rsidP="003A630D">
      <w:pPr>
        <w:jc w:val="both"/>
        <w:rPr>
          <w:sz w:val="24"/>
          <w:szCs w:val="24"/>
        </w:rPr>
      </w:pPr>
      <w:r w:rsidRPr="00771E30">
        <w:rPr>
          <w:sz w:val="24"/>
          <w:szCs w:val="24"/>
        </w:rPr>
        <w:t xml:space="preserve">In clinical trials, the overall incidence ranged up to </w:t>
      </w:r>
      <w:r w:rsidR="00BF787E">
        <w:rPr>
          <w:sz w:val="24"/>
          <w:szCs w:val="24"/>
        </w:rPr>
        <w:t>5.9</w:t>
      </w:r>
      <w:r w:rsidRPr="00771E30">
        <w:rPr>
          <w:sz w:val="24"/>
          <w:szCs w:val="24"/>
        </w:rPr>
        <w:t>% in the AVASTIN</w:t>
      </w:r>
      <w:r w:rsidR="00771E30">
        <w:rPr>
          <w:sz w:val="24"/>
          <w:szCs w:val="24"/>
        </w:rPr>
        <w:t>-</w:t>
      </w:r>
      <w:r w:rsidRPr="00771E30">
        <w:rPr>
          <w:sz w:val="24"/>
          <w:szCs w:val="24"/>
        </w:rPr>
        <w:t xml:space="preserve">containing arms compared </w:t>
      </w:r>
      <w:r w:rsidR="00771E30">
        <w:rPr>
          <w:sz w:val="24"/>
          <w:szCs w:val="24"/>
        </w:rPr>
        <w:t xml:space="preserve">with </w:t>
      </w:r>
      <w:r w:rsidRPr="00771E30">
        <w:rPr>
          <w:sz w:val="24"/>
          <w:szCs w:val="24"/>
        </w:rPr>
        <w:t>up to 1.7% in the chemotherapy control arms.  Fatal outcome was reported in 0.8% of patients receiving AVASTIN in combination with chemotherapy compared to 0.5% of patients receiving chemotherapy alone.  Cerebrovascular accidents (including transient ischaemic attacks) were reported in up to 2.3% of AVASTIN</w:t>
      </w:r>
      <w:r w:rsidR="00BA2B04">
        <w:rPr>
          <w:sz w:val="24"/>
          <w:szCs w:val="24"/>
        </w:rPr>
        <w:t>-</w:t>
      </w:r>
      <w:r w:rsidRPr="00771E30">
        <w:rPr>
          <w:sz w:val="24"/>
          <w:szCs w:val="24"/>
        </w:rPr>
        <w:t>treated patients versus 0.5% of patients in the control group</w:t>
      </w:r>
      <w:r w:rsidR="00BA2B04">
        <w:rPr>
          <w:sz w:val="24"/>
          <w:szCs w:val="24"/>
        </w:rPr>
        <w:t>.</w:t>
      </w:r>
      <w:r w:rsidRPr="00771E30">
        <w:rPr>
          <w:sz w:val="24"/>
          <w:szCs w:val="24"/>
        </w:rPr>
        <w:t xml:space="preserve"> </w:t>
      </w:r>
      <w:r w:rsidR="00BA2B04">
        <w:rPr>
          <w:sz w:val="24"/>
          <w:szCs w:val="24"/>
        </w:rPr>
        <w:t>M</w:t>
      </w:r>
      <w:r w:rsidRPr="00771E30">
        <w:rPr>
          <w:sz w:val="24"/>
          <w:szCs w:val="24"/>
        </w:rPr>
        <w:t>yocardial infarction was reported in 1.4% of AVASTIN treated versus 0.7% of patients in the observed control group.</w:t>
      </w:r>
      <w:r w:rsidR="00E10FEE">
        <w:rPr>
          <w:sz w:val="24"/>
          <w:szCs w:val="24"/>
        </w:rPr>
        <w:t xml:space="preserve"> In the uncontrolled study AVF3708g, in patients with relapsed GBM, arterial thromboembolic events were observed in 6.3% (5/79) of patients who received AVASTIN in combination with </w:t>
      </w:r>
      <w:proofErr w:type="spellStart"/>
      <w:r w:rsidR="00E10FEE">
        <w:rPr>
          <w:sz w:val="24"/>
          <w:szCs w:val="24"/>
        </w:rPr>
        <w:t>irinotecan</w:t>
      </w:r>
      <w:proofErr w:type="spellEnd"/>
      <w:r w:rsidR="00E10FEE">
        <w:rPr>
          <w:sz w:val="24"/>
          <w:szCs w:val="24"/>
        </w:rPr>
        <w:t xml:space="preserve"> compared to 4.8% (4/84) of patients who received AVASTIN alone. AVASTIN is approved for the treatment of relapsed GBM as a single agent. AVASTIN, in combination with </w:t>
      </w:r>
      <w:proofErr w:type="spellStart"/>
      <w:r w:rsidR="00E10FEE">
        <w:rPr>
          <w:sz w:val="24"/>
          <w:szCs w:val="24"/>
        </w:rPr>
        <w:t>fluoropyrimidine</w:t>
      </w:r>
      <w:proofErr w:type="spellEnd"/>
      <w:r w:rsidR="00E10FEE">
        <w:rPr>
          <w:sz w:val="24"/>
          <w:szCs w:val="24"/>
        </w:rPr>
        <w:t xml:space="preserve">-based chemotherapy (5-fluorouracil ± </w:t>
      </w:r>
      <w:proofErr w:type="spellStart"/>
      <w:r w:rsidR="00E10FEE">
        <w:rPr>
          <w:sz w:val="24"/>
          <w:szCs w:val="24"/>
        </w:rPr>
        <w:t>irinotecan</w:t>
      </w:r>
      <w:proofErr w:type="spellEnd"/>
      <w:r w:rsidR="00E10FEE">
        <w:rPr>
          <w:sz w:val="24"/>
          <w:szCs w:val="24"/>
        </w:rPr>
        <w:t>), is indicated only for the treatment of patients with metastatic colorectal cancer.</w:t>
      </w:r>
    </w:p>
    <w:p w:rsidR="001C3CFA" w:rsidRPr="007B1CE9" w:rsidRDefault="001C3CFA" w:rsidP="003A630D">
      <w:pPr>
        <w:pStyle w:val="TextTi12"/>
      </w:pPr>
      <w:r w:rsidRPr="007B1CE9">
        <w:t>AVASTIN should be permanently discontinued in patients who develop arterial thromboembolic events.</w:t>
      </w:r>
    </w:p>
    <w:p w:rsidR="007A7E0D" w:rsidRDefault="007A7E0D" w:rsidP="00AE1E2B">
      <w:pPr>
        <w:pStyle w:val="TextTi12"/>
      </w:pPr>
      <w:r w:rsidRPr="00A56D8D">
        <w:t xml:space="preserve">Patients receiving </w:t>
      </w:r>
      <w:r>
        <w:t>AVASTIN</w:t>
      </w:r>
      <w:r w:rsidRPr="00A56D8D">
        <w:t xml:space="preserve"> plus chemotherapy with a history of arterial thromboembolism</w:t>
      </w:r>
      <w:r w:rsidR="00DB683D">
        <w:t>, diabetes</w:t>
      </w:r>
      <w:r w:rsidRPr="00A56D8D">
        <w:t xml:space="preserve"> </w:t>
      </w:r>
      <w:r>
        <w:t>or</w:t>
      </w:r>
      <w:r w:rsidRPr="00A56D8D">
        <w:t xml:space="preserve"> age greater than 65 years have a</w:t>
      </w:r>
      <w:r>
        <w:t xml:space="preserve">n increased </w:t>
      </w:r>
      <w:r w:rsidRPr="00A56D8D">
        <w:t>risk</w:t>
      </w:r>
      <w:r>
        <w:t xml:space="preserve"> of developing arterial thromboembolic events during AVASTIN therapy</w:t>
      </w:r>
      <w:r w:rsidRPr="00A56D8D">
        <w:t xml:space="preserve">. </w:t>
      </w:r>
      <w:r>
        <w:t xml:space="preserve"> </w:t>
      </w:r>
      <w:r w:rsidRPr="00A56D8D">
        <w:t xml:space="preserve">Caution should be taken when treating </w:t>
      </w:r>
      <w:r>
        <w:t>such</w:t>
      </w:r>
      <w:r w:rsidRPr="00A56D8D">
        <w:t xml:space="preserve"> patients with </w:t>
      </w:r>
      <w:r>
        <w:t>AVASTIN</w:t>
      </w:r>
      <w:r w:rsidRPr="00A56D8D">
        <w:t>.</w:t>
      </w:r>
    </w:p>
    <w:p w:rsidR="004E7E76" w:rsidRDefault="004E7E76" w:rsidP="00BD3577">
      <w:pPr>
        <w:pStyle w:val="TextTi12"/>
        <w:spacing w:before="120" w:after="0"/>
        <w:rPr>
          <w:b/>
          <w:i/>
          <w:lang w:val="en-GB"/>
        </w:rPr>
      </w:pPr>
      <w:r w:rsidRPr="007B1CE9">
        <w:rPr>
          <w:b/>
          <w:i/>
          <w:lang w:val="en-GB"/>
        </w:rPr>
        <w:t xml:space="preserve">Venous thromboembolic events </w:t>
      </w:r>
    </w:p>
    <w:p w:rsidR="007A7E0D" w:rsidRPr="007A7E0D" w:rsidRDefault="007A7E0D" w:rsidP="00AE1E2B">
      <w:pPr>
        <w:pStyle w:val="TextTi12"/>
      </w:pPr>
      <w:r w:rsidRPr="00E840DA">
        <w:t>In clinical trials across indications</w:t>
      </w:r>
      <w:r>
        <w:t>,</w:t>
      </w:r>
      <w:r w:rsidRPr="00E840DA">
        <w:t xml:space="preserve"> the overall incidence of</w:t>
      </w:r>
      <w:r w:rsidRPr="00E840DA">
        <w:rPr>
          <w:lang w:eastAsia="zh-CN"/>
        </w:rPr>
        <w:t xml:space="preserve"> </w:t>
      </w:r>
      <w:r w:rsidRPr="00E840DA">
        <w:t xml:space="preserve">venous thromboembolic events ranged from 2.8% to 17.3% in the </w:t>
      </w:r>
      <w:r>
        <w:t>AVASTIN</w:t>
      </w:r>
      <w:r w:rsidRPr="00E840DA">
        <w:t xml:space="preserve"> containing arms compared to 3.2% to 15.6% in the chemotherapy control arms.</w:t>
      </w:r>
      <w:r>
        <w:t xml:space="preserve">  </w:t>
      </w:r>
      <w:r w:rsidRPr="00E840DA">
        <w:t>Venous thromboembolic events</w:t>
      </w:r>
      <w:r>
        <w:t xml:space="preserve"> include deep venous thrombosis and </w:t>
      </w:r>
      <w:r w:rsidRPr="00E840DA">
        <w:t>pulmonary embolism</w:t>
      </w:r>
      <w:r>
        <w:t>.</w:t>
      </w:r>
    </w:p>
    <w:p w:rsidR="00AB3801" w:rsidRPr="007B1CE9" w:rsidRDefault="00B62A93" w:rsidP="00B62A93">
      <w:pPr>
        <w:pStyle w:val="TextTi12"/>
        <w:keepNext/>
        <w:outlineLvl w:val="0"/>
      </w:pPr>
      <w:r>
        <w:t xml:space="preserve">Patients may be at risk of developing venous thromboembolic events, including pulmonary embolism under AVASTIN treatment.  AVASTIN should be discontinued in patients with life-threatening (Grade 4) </w:t>
      </w:r>
      <w:r w:rsidR="00AB3801">
        <w:t xml:space="preserve">venous thromboembolic events, including </w:t>
      </w:r>
      <w:r>
        <w:t>pulmonary embolism</w:t>
      </w:r>
      <w:r w:rsidR="00AB3801">
        <w:t>. P</w:t>
      </w:r>
      <w:r>
        <w:t>atients with</w:t>
      </w:r>
      <w:r w:rsidR="00AB3801">
        <w:t xml:space="preserve"> thromboembolic events</w:t>
      </w:r>
      <w:r>
        <w:t xml:space="preserve"> ≤</w:t>
      </w:r>
      <w:r w:rsidR="001F4DBF">
        <w:rPr>
          <w:lang w:val="en-GB"/>
        </w:rPr>
        <w:t xml:space="preserve"> </w:t>
      </w:r>
      <w:r>
        <w:t>Grade 3 need to be closely monitored.</w:t>
      </w:r>
    </w:p>
    <w:p w:rsidR="00A22ECF" w:rsidRPr="00771E30" w:rsidRDefault="0074644F" w:rsidP="005C3656">
      <w:pPr>
        <w:jc w:val="both"/>
        <w:rPr>
          <w:b/>
          <w:i/>
          <w:sz w:val="24"/>
          <w:szCs w:val="24"/>
        </w:rPr>
      </w:pPr>
      <w:r w:rsidRPr="00771E30">
        <w:rPr>
          <w:sz w:val="24"/>
          <w:szCs w:val="24"/>
        </w:rPr>
        <w:t xml:space="preserve">Grade 3-5 venous thromboembolic events have been reported in up to 7.8% of patients treated with chemotherapy plus </w:t>
      </w:r>
      <w:r w:rsidR="00BA2B04">
        <w:rPr>
          <w:sz w:val="24"/>
          <w:szCs w:val="24"/>
        </w:rPr>
        <w:t>AVASTIN</w:t>
      </w:r>
      <w:r w:rsidR="00BA2B04" w:rsidRPr="00771E30">
        <w:rPr>
          <w:sz w:val="24"/>
          <w:szCs w:val="24"/>
        </w:rPr>
        <w:t xml:space="preserve"> </w:t>
      </w:r>
      <w:r w:rsidRPr="00771E30">
        <w:rPr>
          <w:sz w:val="24"/>
          <w:szCs w:val="24"/>
        </w:rPr>
        <w:t xml:space="preserve">compared with up to 4.9% in patients with chemotherapy alone.  </w:t>
      </w:r>
      <w:r w:rsidR="00A22ECF" w:rsidRPr="00771E30">
        <w:rPr>
          <w:sz w:val="24"/>
          <w:szCs w:val="24"/>
        </w:rPr>
        <w:t>Patients who have experienced a venous thromboembolic event may be at higher risk for a recurrence if they receive AVASTIN in combination with chemotherapy versus chemotherapy alone.</w:t>
      </w:r>
    </w:p>
    <w:p w:rsidR="001C3CFA" w:rsidRPr="007B1CE9" w:rsidRDefault="001C3CFA" w:rsidP="001C3CFA">
      <w:pPr>
        <w:pStyle w:val="Heading3"/>
        <w:rPr>
          <w:lang w:val="en-GB"/>
        </w:rPr>
      </w:pPr>
      <w:r w:rsidRPr="007B1CE9">
        <w:rPr>
          <w:lang w:val="en-GB"/>
        </w:rPr>
        <w:t>Haemorrhage</w:t>
      </w:r>
    </w:p>
    <w:p w:rsidR="009B2893" w:rsidRDefault="009B2893" w:rsidP="009B2893">
      <w:pPr>
        <w:pStyle w:val="TextTi12"/>
      </w:pPr>
      <w:r w:rsidRPr="007B1CE9">
        <w:t xml:space="preserve">Patients </w:t>
      </w:r>
      <w:r>
        <w:t>treated with AVASTIN</w:t>
      </w:r>
      <w:r w:rsidRPr="007B1CE9">
        <w:t xml:space="preserve"> have an increased risk of </w:t>
      </w:r>
      <w:proofErr w:type="spellStart"/>
      <w:r>
        <w:t>haemorrhage</w:t>
      </w:r>
      <w:proofErr w:type="spellEnd"/>
      <w:r>
        <w:t xml:space="preserve">, especially </w:t>
      </w:r>
      <w:proofErr w:type="spellStart"/>
      <w:r w:rsidRPr="007B1CE9">
        <w:t>tumour</w:t>
      </w:r>
      <w:proofErr w:type="spellEnd"/>
      <w:r w:rsidRPr="007B1CE9">
        <w:t xml:space="preserve">-associated </w:t>
      </w:r>
      <w:proofErr w:type="spellStart"/>
      <w:r w:rsidRPr="007B1CE9">
        <w:t>haemorrhage</w:t>
      </w:r>
      <w:proofErr w:type="spellEnd"/>
      <w:r w:rsidRPr="007B1CE9">
        <w:t xml:space="preserve">. </w:t>
      </w:r>
      <w:r>
        <w:t xml:space="preserve"> </w:t>
      </w:r>
      <w:r w:rsidRPr="007B1CE9">
        <w:t xml:space="preserve">AVASTIN should be permanently discontinued in patients who experience </w:t>
      </w:r>
      <w:r>
        <w:t>G</w:t>
      </w:r>
      <w:r w:rsidRPr="007B1CE9">
        <w:t>rade 3 or 4 bleeding during AVASTIN therapy.</w:t>
      </w:r>
      <w:r>
        <w:t xml:space="preserve"> </w:t>
      </w:r>
    </w:p>
    <w:p w:rsidR="00F6182C" w:rsidRDefault="0016021D" w:rsidP="00AE1E2B">
      <w:pPr>
        <w:pStyle w:val="TextTi12Char"/>
      </w:pPr>
      <w:r>
        <w:lastRenderedPageBreak/>
        <w:t xml:space="preserve">In clinical trials across all indications the overall incidence of </w:t>
      </w:r>
      <w:r w:rsidR="008A4048">
        <w:t xml:space="preserve">NCI-CTC </w:t>
      </w:r>
      <w:r>
        <w:t xml:space="preserve">Grade 3-5 bleeding events ranged from 0.4% to </w:t>
      </w:r>
      <w:r w:rsidR="003E33B7">
        <w:t>6.</w:t>
      </w:r>
      <w:r>
        <w:t xml:space="preserve">5% in AVASTIN-treated patients, compared to 0 to 2.9% of patients in the chemotherapy </w:t>
      </w:r>
      <w:r w:rsidRPr="000C3B51">
        <w:t>control</w:t>
      </w:r>
      <w:r>
        <w:t xml:space="preserve"> group.  </w:t>
      </w:r>
      <w:proofErr w:type="spellStart"/>
      <w:r w:rsidR="00F6182C" w:rsidRPr="004B6EB0">
        <w:rPr>
          <w:rStyle w:val="TextTi12Char1"/>
        </w:rPr>
        <w:t>Haemorrhagic</w:t>
      </w:r>
      <w:proofErr w:type="spellEnd"/>
      <w:r w:rsidR="00F6182C" w:rsidRPr="004B6EB0">
        <w:rPr>
          <w:rStyle w:val="TextTi12Char1"/>
        </w:rPr>
        <w:t xml:space="preserve"> events observed in AVASTIN clinical trials were </w:t>
      </w:r>
      <w:r w:rsidR="007A7A98" w:rsidRPr="004B6EB0">
        <w:rPr>
          <w:rStyle w:val="TextTi12Char1"/>
        </w:rPr>
        <w:t>predominantly</w:t>
      </w:r>
      <w:r w:rsidR="00F6182C" w:rsidRPr="004B6EB0">
        <w:rPr>
          <w:rStyle w:val="TextTi12Char1"/>
        </w:rPr>
        <w:t xml:space="preserve"> </w:t>
      </w:r>
      <w:proofErr w:type="spellStart"/>
      <w:r w:rsidR="00F6182C" w:rsidRPr="004B6EB0">
        <w:rPr>
          <w:rStyle w:val="TextTi12Char1"/>
        </w:rPr>
        <w:t>tumour</w:t>
      </w:r>
      <w:proofErr w:type="spellEnd"/>
      <w:r w:rsidR="00F6182C" w:rsidRPr="004B6EB0">
        <w:rPr>
          <w:rStyle w:val="TextTi12Char1"/>
        </w:rPr>
        <w:t xml:space="preserve">-associated </w:t>
      </w:r>
      <w:proofErr w:type="spellStart"/>
      <w:r w:rsidR="00F6182C" w:rsidRPr="004B6EB0">
        <w:rPr>
          <w:rStyle w:val="TextTi12Char1"/>
        </w:rPr>
        <w:t>haemorrhage</w:t>
      </w:r>
      <w:proofErr w:type="spellEnd"/>
      <w:r w:rsidR="00F6182C" w:rsidRPr="00F6182C">
        <w:t xml:space="preserve"> and minor </w:t>
      </w:r>
      <w:proofErr w:type="spellStart"/>
      <w:r w:rsidR="00F6182C" w:rsidRPr="00F6182C">
        <w:t>mucocutaneous</w:t>
      </w:r>
      <w:proofErr w:type="spellEnd"/>
      <w:r w:rsidR="00F6182C" w:rsidRPr="00F6182C">
        <w:t xml:space="preserve"> </w:t>
      </w:r>
      <w:proofErr w:type="spellStart"/>
      <w:r w:rsidR="00F6182C" w:rsidRPr="00F6182C">
        <w:t>haemorrhage</w:t>
      </w:r>
      <w:proofErr w:type="spellEnd"/>
      <w:r>
        <w:t xml:space="preserve"> (e.g. epistaxis)</w:t>
      </w:r>
      <w:r w:rsidR="007A7A98">
        <w:t>.</w:t>
      </w:r>
    </w:p>
    <w:p w:rsidR="00F2795B" w:rsidRDefault="001915FD" w:rsidP="005E0EA7">
      <w:pPr>
        <w:jc w:val="both"/>
        <w:rPr>
          <w:sz w:val="24"/>
          <w:lang w:val="en-US"/>
        </w:rPr>
      </w:pPr>
      <w:r w:rsidRPr="00D705FC">
        <w:rPr>
          <w:sz w:val="24"/>
          <w:lang w:val="en-US"/>
        </w:rPr>
        <w:t xml:space="preserve">Patients with untreated </w:t>
      </w:r>
      <w:r w:rsidR="00E2785D" w:rsidRPr="00D705FC">
        <w:rPr>
          <w:sz w:val="24"/>
          <w:lang w:val="en-US"/>
        </w:rPr>
        <w:t>central nervous system (</w:t>
      </w:r>
      <w:r w:rsidRPr="00D705FC">
        <w:rPr>
          <w:sz w:val="24"/>
          <w:lang w:val="en-US"/>
        </w:rPr>
        <w:t>CNS</w:t>
      </w:r>
      <w:r w:rsidR="00E2785D" w:rsidRPr="00D705FC">
        <w:rPr>
          <w:sz w:val="24"/>
          <w:lang w:val="en-US"/>
        </w:rPr>
        <w:t>)</w:t>
      </w:r>
      <w:r w:rsidRPr="00D705FC">
        <w:rPr>
          <w:sz w:val="24"/>
          <w:lang w:val="en-US"/>
        </w:rPr>
        <w:t xml:space="preserve"> metastases have been routinely excluded </w:t>
      </w:r>
      <w:r w:rsidR="00AD411C">
        <w:rPr>
          <w:sz w:val="24"/>
          <w:lang w:val="en-US"/>
        </w:rPr>
        <w:t>from</w:t>
      </w:r>
      <w:r w:rsidR="009035D3">
        <w:rPr>
          <w:sz w:val="24"/>
          <w:lang w:val="en-US"/>
        </w:rPr>
        <w:t xml:space="preserve"> clinical studies with AVASTIN, </w:t>
      </w:r>
      <w:r w:rsidRPr="00D705FC">
        <w:rPr>
          <w:sz w:val="24"/>
          <w:lang w:val="en-US"/>
        </w:rPr>
        <w:t>based on imaging procedures or signs and symptoms</w:t>
      </w:r>
      <w:r w:rsidR="0091356E">
        <w:rPr>
          <w:sz w:val="24"/>
          <w:lang w:val="en-US"/>
        </w:rPr>
        <w:t>. H</w:t>
      </w:r>
      <w:r w:rsidR="007D46C4" w:rsidRPr="00D705FC">
        <w:rPr>
          <w:sz w:val="24"/>
          <w:lang w:val="en-US"/>
        </w:rPr>
        <w:t xml:space="preserve">owever, </w:t>
      </w:r>
      <w:r w:rsidR="0079081F" w:rsidRPr="00D705FC">
        <w:rPr>
          <w:sz w:val="24"/>
          <w:lang w:val="en-US"/>
        </w:rPr>
        <w:t>2</w:t>
      </w:r>
      <w:r w:rsidR="007D46C4" w:rsidRPr="00D705FC">
        <w:rPr>
          <w:sz w:val="24"/>
          <w:lang w:val="en-US"/>
        </w:rPr>
        <w:t xml:space="preserve"> studies of AVASTIN in ovarian cancer provide a comparison with standard carboplatin/paclitaxel therapy of the incidence of CNS and non-CNS </w:t>
      </w:r>
      <w:proofErr w:type="spellStart"/>
      <w:r w:rsidR="007D46C4" w:rsidRPr="00D705FC">
        <w:rPr>
          <w:sz w:val="24"/>
          <w:lang w:val="en-US"/>
        </w:rPr>
        <w:t>haemorrhage</w:t>
      </w:r>
      <w:proofErr w:type="spellEnd"/>
      <w:r w:rsidR="007D46C4" w:rsidRPr="00D705FC">
        <w:rPr>
          <w:sz w:val="24"/>
          <w:lang w:val="en-US"/>
        </w:rPr>
        <w:t xml:space="preserve"> in patients without cerebral metastases. In Study GOG-0218, </w:t>
      </w:r>
      <w:r w:rsidR="00AD411C">
        <w:rPr>
          <w:sz w:val="24"/>
          <w:lang w:val="en-US"/>
        </w:rPr>
        <w:t>three</w:t>
      </w:r>
      <w:r w:rsidR="007D46C4" w:rsidRPr="00D705FC">
        <w:rPr>
          <w:sz w:val="24"/>
          <w:lang w:val="en-US"/>
        </w:rPr>
        <w:t xml:space="preserve"> patients who received extended treatment with AVASTIN developed CNS </w:t>
      </w:r>
      <w:proofErr w:type="spellStart"/>
      <w:r w:rsidR="007D46C4" w:rsidRPr="00D705FC">
        <w:rPr>
          <w:sz w:val="24"/>
          <w:lang w:val="en-US"/>
        </w:rPr>
        <w:t>haemorrhage</w:t>
      </w:r>
      <w:proofErr w:type="spellEnd"/>
      <w:r w:rsidR="007D46C4" w:rsidRPr="00D705FC">
        <w:rPr>
          <w:sz w:val="24"/>
          <w:lang w:val="en-US"/>
        </w:rPr>
        <w:t xml:space="preserve">, with </w:t>
      </w:r>
      <w:r w:rsidR="0079081F" w:rsidRPr="00D705FC">
        <w:rPr>
          <w:sz w:val="24"/>
          <w:lang w:val="en-US"/>
        </w:rPr>
        <w:t>1</w:t>
      </w:r>
      <w:r w:rsidR="007D46C4" w:rsidRPr="00D705FC">
        <w:rPr>
          <w:sz w:val="24"/>
          <w:lang w:val="en-US"/>
        </w:rPr>
        <w:t xml:space="preserve"> death, and the same number in the AVASTIN arm of Study BO17707, also with </w:t>
      </w:r>
      <w:r w:rsidR="0079081F" w:rsidRPr="00D705FC">
        <w:rPr>
          <w:sz w:val="24"/>
          <w:lang w:val="en-US"/>
        </w:rPr>
        <w:t>1</w:t>
      </w:r>
      <w:r w:rsidR="007D46C4" w:rsidRPr="00D705FC">
        <w:rPr>
          <w:sz w:val="24"/>
          <w:lang w:val="en-US"/>
        </w:rPr>
        <w:t xml:space="preserve"> death.  No CNS </w:t>
      </w:r>
      <w:proofErr w:type="spellStart"/>
      <w:r w:rsidR="007D46C4" w:rsidRPr="00D705FC">
        <w:rPr>
          <w:sz w:val="24"/>
          <w:lang w:val="en-US"/>
        </w:rPr>
        <w:t>haemorrhage</w:t>
      </w:r>
      <w:proofErr w:type="spellEnd"/>
      <w:r w:rsidR="007D46C4" w:rsidRPr="00D705FC">
        <w:rPr>
          <w:sz w:val="24"/>
          <w:lang w:val="en-US"/>
        </w:rPr>
        <w:t xml:space="preserve"> occurred in the control arm</w:t>
      </w:r>
      <w:r w:rsidR="0079081F" w:rsidRPr="00D705FC">
        <w:rPr>
          <w:sz w:val="24"/>
          <w:lang w:val="en-US"/>
        </w:rPr>
        <w:t>s</w:t>
      </w:r>
      <w:r w:rsidR="007D46C4" w:rsidRPr="00D705FC">
        <w:rPr>
          <w:sz w:val="24"/>
          <w:lang w:val="en-US"/>
        </w:rPr>
        <w:t>. </w:t>
      </w:r>
      <w:r w:rsidR="00A06A22">
        <w:rPr>
          <w:sz w:val="24"/>
          <w:lang w:val="en-US"/>
        </w:rPr>
        <w:t>N</w:t>
      </w:r>
      <w:r w:rsidR="00D705FC" w:rsidRPr="00D705FC">
        <w:rPr>
          <w:sz w:val="24"/>
          <w:lang w:val="en-US"/>
        </w:rPr>
        <w:t xml:space="preserve">on-CNS </w:t>
      </w:r>
      <w:proofErr w:type="spellStart"/>
      <w:r w:rsidR="00D705FC" w:rsidRPr="00D705FC">
        <w:rPr>
          <w:sz w:val="24"/>
          <w:lang w:val="en-US"/>
        </w:rPr>
        <w:t>haemorrhages</w:t>
      </w:r>
      <w:proofErr w:type="spellEnd"/>
      <w:r w:rsidR="00D705FC" w:rsidRPr="00D705FC">
        <w:rPr>
          <w:sz w:val="24"/>
          <w:lang w:val="en-US"/>
        </w:rPr>
        <w:t xml:space="preserve"> were observed</w:t>
      </w:r>
      <w:r w:rsidR="00A06A22" w:rsidRPr="00A06A22">
        <w:rPr>
          <w:sz w:val="24"/>
          <w:lang w:val="en-US"/>
        </w:rPr>
        <w:t xml:space="preserve"> </w:t>
      </w:r>
      <w:r w:rsidR="00A06A22">
        <w:rPr>
          <w:sz w:val="24"/>
          <w:lang w:val="en-US"/>
        </w:rPr>
        <w:t>in Study GOG-0218</w:t>
      </w:r>
      <w:r w:rsidR="00D705FC" w:rsidRPr="00D705FC">
        <w:rPr>
          <w:sz w:val="24"/>
          <w:lang w:val="en-US"/>
        </w:rPr>
        <w:t xml:space="preserve"> in </w:t>
      </w:r>
      <w:r w:rsidR="00F54D6D">
        <w:rPr>
          <w:sz w:val="24"/>
          <w:lang w:val="en-US"/>
        </w:rPr>
        <w:t>15.9</w:t>
      </w:r>
      <w:r w:rsidR="00D705FC" w:rsidRPr="00D705FC">
        <w:rPr>
          <w:sz w:val="24"/>
          <w:lang w:val="en-US"/>
        </w:rPr>
        <w:t>% of control patients vs. 35.</w:t>
      </w:r>
      <w:r w:rsidR="00F54D6D">
        <w:rPr>
          <w:sz w:val="24"/>
          <w:lang w:val="en-US"/>
        </w:rPr>
        <w:t>7</w:t>
      </w:r>
      <w:r w:rsidR="00D705FC" w:rsidRPr="00D705FC">
        <w:rPr>
          <w:sz w:val="24"/>
          <w:lang w:val="en-US"/>
        </w:rPr>
        <w:t>% and 3</w:t>
      </w:r>
      <w:r w:rsidR="00F54D6D">
        <w:rPr>
          <w:sz w:val="24"/>
          <w:lang w:val="en-US"/>
        </w:rPr>
        <w:t>7</w:t>
      </w:r>
      <w:r w:rsidR="007E7691">
        <w:rPr>
          <w:sz w:val="24"/>
          <w:lang w:val="en-US"/>
        </w:rPr>
        <w:t>.0</w:t>
      </w:r>
      <w:r w:rsidR="00D705FC" w:rsidRPr="00D705FC">
        <w:rPr>
          <w:sz w:val="24"/>
          <w:lang w:val="en-US"/>
        </w:rPr>
        <w:t xml:space="preserve">% in the short and extended duration AVASTIN arms; in B017707 they were observed in 11% of control patients and 39.4% of the AVASTIN-treated patients.  Most of the non-CNS </w:t>
      </w:r>
      <w:proofErr w:type="spellStart"/>
      <w:r w:rsidR="00D705FC" w:rsidRPr="00D705FC">
        <w:rPr>
          <w:sz w:val="24"/>
          <w:lang w:val="en-US"/>
        </w:rPr>
        <w:t>haemorrhages</w:t>
      </w:r>
      <w:proofErr w:type="spellEnd"/>
      <w:r w:rsidR="00D705FC" w:rsidRPr="00D705FC">
        <w:rPr>
          <w:sz w:val="24"/>
          <w:lang w:val="en-US"/>
        </w:rPr>
        <w:t xml:space="preserve"> were Grade 3 or less (GOG-0218: three events </w:t>
      </w:r>
      <w:r w:rsidR="00A06A22">
        <w:rPr>
          <w:sz w:val="24"/>
          <w:lang w:val="en-US"/>
        </w:rPr>
        <w:t xml:space="preserve">in the </w:t>
      </w:r>
      <w:r w:rsidR="00D705FC" w:rsidRPr="00D705FC">
        <w:rPr>
          <w:sz w:val="24"/>
          <w:lang w:val="en-US"/>
        </w:rPr>
        <w:t>AVASTIN</w:t>
      </w:r>
      <w:r w:rsidR="00A06A22">
        <w:rPr>
          <w:sz w:val="24"/>
          <w:lang w:val="en-US"/>
        </w:rPr>
        <w:t xml:space="preserve"> arm were </w:t>
      </w:r>
      <w:r w:rsidR="00A06A22" w:rsidRPr="00D705FC">
        <w:rPr>
          <w:sz w:val="24"/>
          <w:lang w:val="en-US"/>
        </w:rPr>
        <w:t>Grade 4</w:t>
      </w:r>
      <w:r w:rsidR="00D705FC" w:rsidRPr="00D705FC">
        <w:rPr>
          <w:sz w:val="24"/>
          <w:lang w:val="en-US"/>
        </w:rPr>
        <w:t xml:space="preserve">; B017707: one </w:t>
      </w:r>
      <w:r w:rsidR="00A06A22">
        <w:rPr>
          <w:sz w:val="24"/>
          <w:lang w:val="en-US"/>
        </w:rPr>
        <w:t xml:space="preserve">patient </w:t>
      </w:r>
      <w:r w:rsidR="00D705FC" w:rsidRPr="00D705FC">
        <w:rPr>
          <w:sz w:val="24"/>
          <w:lang w:val="en-US"/>
        </w:rPr>
        <w:t xml:space="preserve">in the AVASTIN arm </w:t>
      </w:r>
      <w:r w:rsidR="00A06A22">
        <w:rPr>
          <w:sz w:val="24"/>
          <w:lang w:val="en-US"/>
        </w:rPr>
        <w:t xml:space="preserve">had a </w:t>
      </w:r>
      <w:r w:rsidR="00A06A22" w:rsidRPr="00D705FC">
        <w:rPr>
          <w:sz w:val="24"/>
          <w:lang w:val="en-US"/>
        </w:rPr>
        <w:t xml:space="preserve">Grade 4 event </w:t>
      </w:r>
      <w:r w:rsidR="00D705FC" w:rsidRPr="00D705FC">
        <w:rPr>
          <w:sz w:val="24"/>
          <w:lang w:val="en-US"/>
        </w:rPr>
        <w:t xml:space="preserve">and 2 patients </w:t>
      </w:r>
      <w:r w:rsidR="00A06A22">
        <w:rPr>
          <w:sz w:val="24"/>
          <w:lang w:val="en-US"/>
        </w:rPr>
        <w:t xml:space="preserve">in the control arm </w:t>
      </w:r>
      <w:r w:rsidR="00D705FC" w:rsidRPr="00D705FC">
        <w:rPr>
          <w:sz w:val="24"/>
          <w:lang w:val="en-US"/>
        </w:rPr>
        <w:t xml:space="preserve">had a Grade 4 or higher event, one Grade 4 </w:t>
      </w:r>
      <w:r w:rsidR="00A06A22">
        <w:rPr>
          <w:sz w:val="24"/>
          <w:lang w:val="en-US"/>
        </w:rPr>
        <w:t xml:space="preserve">event </w:t>
      </w:r>
      <w:r w:rsidR="00D705FC" w:rsidRPr="00D705FC">
        <w:rPr>
          <w:sz w:val="24"/>
          <w:lang w:val="en-US"/>
        </w:rPr>
        <w:t>and one Grade 5</w:t>
      </w:r>
      <w:r w:rsidR="00A06A22">
        <w:rPr>
          <w:sz w:val="24"/>
          <w:lang w:val="en-US"/>
        </w:rPr>
        <w:t xml:space="preserve"> event</w:t>
      </w:r>
      <w:r w:rsidR="00D705FC" w:rsidRPr="00D705FC">
        <w:rPr>
          <w:sz w:val="24"/>
          <w:lang w:val="en-US"/>
        </w:rPr>
        <w:t>). </w:t>
      </w:r>
      <w:r w:rsidR="00F2795B">
        <w:rPr>
          <w:sz w:val="24"/>
          <w:lang w:val="en-US"/>
        </w:rPr>
        <w:t xml:space="preserve">In a third study of ovarian cancer (MO22224) one patient in the CT </w:t>
      </w:r>
      <w:r w:rsidR="00D733CE">
        <w:rPr>
          <w:sz w:val="24"/>
          <w:lang w:val="en-US"/>
        </w:rPr>
        <w:t xml:space="preserve">+ AVASTIN </w:t>
      </w:r>
      <w:r w:rsidR="00F2795B">
        <w:rPr>
          <w:sz w:val="24"/>
          <w:lang w:val="en-US"/>
        </w:rPr>
        <w:t xml:space="preserve">arm experienced a Grade 4 GI </w:t>
      </w:r>
      <w:proofErr w:type="spellStart"/>
      <w:r w:rsidR="00F2795B">
        <w:rPr>
          <w:sz w:val="24"/>
          <w:lang w:val="en-US"/>
        </w:rPr>
        <w:t>haemorrhage</w:t>
      </w:r>
      <w:proofErr w:type="spellEnd"/>
      <w:r w:rsidR="00F2795B">
        <w:rPr>
          <w:sz w:val="24"/>
          <w:lang w:val="en-US"/>
        </w:rPr>
        <w:t xml:space="preserve"> which was ongoing at the time of death, and one patient who had crossed over to AVASTIN monotherapy died from a Grade 5 GI </w:t>
      </w:r>
      <w:proofErr w:type="spellStart"/>
      <w:r w:rsidR="00F2795B">
        <w:rPr>
          <w:sz w:val="24"/>
          <w:lang w:val="en-US"/>
        </w:rPr>
        <w:t>haemorrhage</w:t>
      </w:r>
      <w:proofErr w:type="spellEnd"/>
      <w:r w:rsidR="00F2795B">
        <w:rPr>
          <w:sz w:val="24"/>
          <w:lang w:val="en-US"/>
        </w:rPr>
        <w:t xml:space="preserve">.  </w:t>
      </w:r>
    </w:p>
    <w:p w:rsidR="007D46C4" w:rsidRDefault="001915FD" w:rsidP="005E0EA7">
      <w:pPr>
        <w:jc w:val="both"/>
        <w:rPr>
          <w:sz w:val="24"/>
          <w:lang w:val="en-US"/>
        </w:rPr>
      </w:pPr>
      <w:r w:rsidRPr="00D705FC">
        <w:rPr>
          <w:sz w:val="24"/>
          <w:lang w:val="en-US"/>
        </w:rPr>
        <w:t>Patients should be monitored for signs and symptoms of CNS bleeding, and AVASTIN treatment discontinued in case of intracranial bleeding.</w:t>
      </w:r>
      <w:r w:rsidR="00D82F33" w:rsidRPr="00D705FC">
        <w:rPr>
          <w:sz w:val="24"/>
          <w:lang w:val="en-US"/>
        </w:rPr>
        <w:t xml:space="preserve"> </w:t>
      </w:r>
    </w:p>
    <w:p w:rsidR="005561F3" w:rsidRDefault="009B2893" w:rsidP="0079081F">
      <w:pPr>
        <w:pStyle w:val="TextTi12"/>
        <w:spacing w:after="160" w:line="280" w:lineRule="exact"/>
        <w:rPr>
          <w:b/>
          <w:bCs/>
          <w:i/>
          <w:iCs/>
        </w:rPr>
      </w:pPr>
      <w:r w:rsidRPr="007B1CE9">
        <w:t xml:space="preserve">There is no information on the safety profile of AVASTIN in patients with congenital bleeding diathesis, acquired coagulopathy or in patients receiving full dose of anticoagulants for the treatment of thromboembolism prior to starting AVASTIN therapy, as such patients were excluded from clinical trials. </w:t>
      </w:r>
      <w:r>
        <w:t xml:space="preserve"> </w:t>
      </w:r>
      <w:r w:rsidRPr="007B1CE9">
        <w:t>Therefore, caution should be exercised before initiating AVASTIN therapy in these patients.</w:t>
      </w:r>
      <w:r>
        <w:t xml:space="preserve"> </w:t>
      </w:r>
      <w:r w:rsidRPr="007B1CE9">
        <w:t xml:space="preserve"> However, patients who developed venous thrombosis while receiving AVASTIN therapy did not appear to have </w:t>
      </w:r>
      <w:r>
        <w:t xml:space="preserve">an </w:t>
      </w:r>
      <w:r w:rsidRPr="007B1CE9">
        <w:t xml:space="preserve">increased rate of </w:t>
      </w:r>
      <w:r>
        <w:t xml:space="preserve">Grade 3 or above </w:t>
      </w:r>
      <w:r w:rsidRPr="007B1CE9">
        <w:t>bleeding when treated with full dose of warfarin and AVASTIN concomitantly.</w:t>
      </w:r>
    </w:p>
    <w:p w:rsidR="007A7A98" w:rsidRPr="007A7A98" w:rsidRDefault="007A7A98" w:rsidP="00BD3577">
      <w:pPr>
        <w:pStyle w:val="TextTi12Char"/>
        <w:spacing w:before="120" w:after="0"/>
        <w:rPr>
          <w:b/>
          <w:bCs/>
          <w:i/>
          <w:iCs/>
        </w:rPr>
      </w:pPr>
      <w:proofErr w:type="spellStart"/>
      <w:r w:rsidRPr="007A7A98">
        <w:rPr>
          <w:b/>
          <w:bCs/>
          <w:i/>
          <w:iCs/>
        </w:rPr>
        <w:t>Tumour</w:t>
      </w:r>
      <w:proofErr w:type="spellEnd"/>
      <w:r w:rsidRPr="007A7A98">
        <w:rPr>
          <w:b/>
          <w:bCs/>
          <w:i/>
          <w:iCs/>
        </w:rPr>
        <w:t xml:space="preserve">-associated </w:t>
      </w:r>
      <w:proofErr w:type="spellStart"/>
      <w:r w:rsidRPr="007A7A98">
        <w:rPr>
          <w:b/>
          <w:bCs/>
          <w:i/>
          <w:iCs/>
        </w:rPr>
        <w:t>haemorrhage</w:t>
      </w:r>
      <w:proofErr w:type="spellEnd"/>
    </w:p>
    <w:p w:rsidR="006F5665" w:rsidRDefault="006F5665" w:rsidP="006F5665">
      <w:pPr>
        <w:pStyle w:val="TextTi12"/>
      </w:pPr>
      <w:r>
        <w:t xml:space="preserve">Major or massive pulmonary </w:t>
      </w:r>
      <w:proofErr w:type="spellStart"/>
      <w:r>
        <w:t>haemorrhage</w:t>
      </w:r>
      <w:proofErr w:type="spellEnd"/>
      <w:r>
        <w:t>/</w:t>
      </w:r>
      <w:proofErr w:type="spellStart"/>
      <w:r>
        <w:t>haemoptysis</w:t>
      </w:r>
      <w:proofErr w:type="spellEnd"/>
      <w:r>
        <w:t xml:space="preserve"> has been observed primarily in studies in patients with NSCLC. Possible risk factors include squamous cell histology, treatment with </w:t>
      </w:r>
      <w:proofErr w:type="spellStart"/>
      <w:r>
        <w:t>antirheumatic</w:t>
      </w:r>
      <w:proofErr w:type="spellEnd"/>
      <w:r>
        <w:t xml:space="preserve">/anti-inflammatory drugs, treatment with anticoagulants, prior radiotherapy, AVASTIN therapy, previous medical history of atherosclerosis, central </w:t>
      </w:r>
      <w:proofErr w:type="spellStart"/>
      <w:r>
        <w:t>tumour</w:t>
      </w:r>
      <w:proofErr w:type="spellEnd"/>
      <w:r>
        <w:t xml:space="preserve"> location and cavitation of </w:t>
      </w:r>
      <w:proofErr w:type="spellStart"/>
      <w:r>
        <w:t>tumours</w:t>
      </w:r>
      <w:proofErr w:type="spellEnd"/>
      <w:r>
        <w:t xml:space="preserve"> prior to or during therapy.  The only variables that showed statistically significant correlations with bleeding were AVASTIN therapy and squamous cell histology.  Patients with NSCLC of known squamous cell histology or mixed cell type with predominant squamous cell histology were excluded from subsequent studies, while patients with unknown </w:t>
      </w:r>
      <w:proofErr w:type="spellStart"/>
      <w:r>
        <w:t>tumour</w:t>
      </w:r>
      <w:proofErr w:type="spellEnd"/>
      <w:r>
        <w:t xml:space="preserve"> histology were included. </w:t>
      </w:r>
    </w:p>
    <w:p w:rsidR="006F5665" w:rsidRDefault="006F5665" w:rsidP="00BA2B04">
      <w:pPr>
        <w:pStyle w:val="TextTi12"/>
      </w:pPr>
      <w:r>
        <w:t xml:space="preserve">In patients with NSCLC excluding predominant squamous histology, all grade events were seen with a frequency of up to 9% when treated with AVASTIN plus chemotherapy compared with 5% in the patients treated with chemotherapy alone.  Grade 3-5 events have been observed in up to 2.3% of patients treated with AVASTIN plus chemotherapy as compared with &lt; 1% with chemotherapy alone.  Major or massive pulmonary </w:t>
      </w:r>
      <w:proofErr w:type="spellStart"/>
      <w:r>
        <w:t>haemorrhage</w:t>
      </w:r>
      <w:proofErr w:type="spellEnd"/>
      <w:r>
        <w:t>/</w:t>
      </w:r>
      <w:proofErr w:type="spellStart"/>
      <w:r>
        <w:t>haemoptysis</w:t>
      </w:r>
      <w:proofErr w:type="spellEnd"/>
      <w:r>
        <w:t xml:space="preserve"> can occur suddenly and up to two thirds of the serious pulmonary </w:t>
      </w:r>
      <w:proofErr w:type="spellStart"/>
      <w:r>
        <w:t>haemorrhages</w:t>
      </w:r>
      <w:proofErr w:type="spellEnd"/>
      <w:r>
        <w:t xml:space="preserve"> resulted in a fatal outcome.</w:t>
      </w:r>
    </w:p>
    <w:p w:rsidR="009B2893" w:rsidRPr="0016021D" w:rsidRDefault="00954804" w:rsidP="009B2893">
      <w:pPr>
        <w:pStyle w:val="TextTi12"/>
      </w:pPr>
      <w:r>
        <w:lastRenderedPageBreak/>
        <w:t>GI</w:t>
      </w:r>
      <w:r w:rsidRPr="00A56D8D">
        <w:t xml:space="preserve"> </w:t>
      </w:r>
      <w:proofErr w:type="spellStart"/>
      <w:r w:rsidR="009B2893" w:rsidRPr="00A56D8D">
        <w:t>haemorrhage</w:t>
      </w:r>
      <w:r w:rsidR="009B2893">
        <w:t>s</w:t>
      </w:r>
      <w:proofErr w:type="spellEnd"/>
      <w:r w:rsidR="009B2893">
        <w:t>, including rectal bleeding</w:t>
      </w:r>
      <w:r w:rsidR="009B2893" w:rsidRPr="00A56D8D">
        <w:t xml:space="preserve"> and </w:t>
      </w:r>
      <w:proofErr w:type="spellStart"/>
      <w:r w:rsidR="009B2893" w:rsidRPr="00A56D8D">
        <w:t>melaena</w:t>
      </w:r>
      <w:proofErr w:type="spellEnd"/>
      <w:r w:rsidR="009B2893">
        <w:t xml:space="preserve"> have been reported in colorectal patients, and have been</w:t>
      </w:r>
      <w:r w:rsidR="009B2893" w:rsidRPr="00A56D8D">
        <w:t xml:space="preserve"> assessed as </w:t>
      </w:r>
      <w:proofErr w:type="spellStart"/>
      <w:r w:rsidR="009B2893" w:rsidRPr="00A56D8D">
        <w:t>tumour</w:t>
      </w:r>
      <w:proofErr w:type="spellEnd"/>
      <w:r w:rsidR="009B2893" w:rsidRPr="00A56D8D">
        <w:t xml:space="preserve">-associated </w:t>
      </w:r>
      <w:proofErr w:type="spellStart"/>
      <w:r w:rsidR="009B2893" w:rsidRPr="00A56D8D">
        <w:t>haemorrhages</w:t>
      </w:r>
      <w:proofErr w:type="spellEnd"/>
      <w:r w:rsidR="009B2893" w:rsidRPr="00A56D8D">
        <w:t xml:space="preserve">. </w:t>
      </w:r>
    </w:p>
    <w:p w:rsidR="00EB64D5" w:rsidRDefault="00BF12F3" w:rsidP="00BD3577">
      <w:pPr>
        <w:spacing w:after="170"/>
        <w:jc w:val="both"/>
        <w:rPr>
          <w:sz w:val="24"/>
          <w:szCs w:val="24"/>
          <w:lang w:val="en-US"/>
        </w:rPr>
      </w:pPr>
      <w:r w:rsidRPr="00EB64D5">
        <w:rPr>
          <w:color w:val="000000"/>
          <w:sz w:val="24"/>
          <w:szCs w:val="24"/>
          <w:lang w:val="en-GB"/>
        </w:rPr>
        <w:t>Tumour-associated haemorrhage</w:t>
      </w:r>
      <w:r w:rsidR="0016021D" w:rsidRPr="00EB64D5">
        <w:rPr>
          <w:color w:val="000000"/>
          <w:sz w:val="24"/>
          <w:szCs w:val="24"/>
          <w:lang w:val="en-GB"/>
        </w:rPr>
        <w:t xml:space="preserve">s </w:t>
      </w:r>
      <w:r w:rsidR="00EB64D5">
        <w:rPr>
          <w:color w:val="000000"/>
          <w:sz w:val="24"/>
          <w:szCs w:val="24"/>
          <w:lang w:val="en-GB"/>
        </w:rPr>
        <w:t>have</w:t>
      </w:r>
      <w:r w:rsidR="00EB64D5" w:rsidRPr="00EB64D5">
        <w:rPr>
          <w:color w:val="000000"/>
          <w:sz w:val="24"/>
          <w:szCs w:val="24"/>
          <w:lang w:val="en-GB"/>
        </w:rPr>
        <w:t xml:space="preserve"> </w:t>
      </w:r>
      <w:r w:rsidRPr="00EB64D5">
        <w:rPr>
          <w:color w:val="000000"/>
          <w:sz w:val="24"/>
          <w:szCs w:val="24"/>
          <w:lang w:val="en-GB"/>
        </w:rPr>
        <w:t xml:space="preserve">also </w:t>
      </w:r>
      <w:r w:rsidR="00EB64D5">
        <w:rPr>
          <w:color w:val="000000"/>
          <w:sz w:val="24"/>
          <w:szCs w:val="24"/>
          <w:lang w:val="en-GB"/>
        </w:rPr>
        <w:t xml:space="preserve">been </w:t>
      </w:r>
      <w:r w:rsidRPr="00EB64D5">
        <w:rPr>
          <w:color w:val="000000"/>
          <w:sz w:val="24"/>
          <w:szCs w:val="24"/>
          <w:lang w:val="en-GB"/>
        </w:rPr>
        <w:t>seen rarely in other tumour types and locations</w:t>
      </w:r>
      <w:r w:rsidR="0016021D" w:rsidRPr="00EB64D5">
        <w:rPr>
          <w:color w:val="000000"/>
          <w:sz w:val="24"/>
          <w:szCs w:val="24"/>
          <w:lang w:val="en-GB"/>
        </w:rPr>
        <w:t xml:space="preserve"> and include case</w:t>
      </w:r>
      <w:r w:rsidR="00EB64D5">
        <w:rPr>
          <w:color w:val="000000"/>
          <w:sz w:val="24"/>
          <w:szCs w:val="24"/>
          <w:lang w:val="en-GB"/>
        </w:rPr>
        <w:t>s</w:t>
      </w:r>
      <w:r w:rsidR="0016021D" w:rsidRPr="00EB64D5">
        <w:rPr>
          <w:color w:val="000000"/>
          <w:sz w:val="24"/>
          <w:szCs w:val="24"/>
          <w:lang w:val="en-GB"/>
        </w:rPr>
        <w:t xml:space="preserve"> of CNS</w:t>
      </w:r>
      <w:r w:rsidRPr="00EB64D5">
        <w:rPr>
          <w:color w:val="000000"/>
          <w:sz w:val="24"/>
          <w:szCs w:val="24"/>
          <w:lang w:val="en-GB"/>
        </w:rPr>
        <w:t xml:space="preserve"> bleeding in patient</w:t>
      </w:r>
      <w:r w:rsidR="00EB64D5">
        <w:rPr>
          <w:color w:val="000000"/>
          <w:sz w:val="24"/>
          <w:szCs w:val="24"/>
          <w:lang w:val="en-GB"/>
        </w:rPr>
        <w:t>s</w:t>
      </w:r>
      <w:r w:rsidRPr="00EB64D5">
        <w:rPr>
          <w:color w:val="000000"/>
          <w:sz w:val="24"/>
          <w:szCs w:val="24"/>
          <w:lang w:val="en-GB"/>
        </w:rPr>
        <w:t xml:space="preserve"> with CNS metastases and</w:t>
      </w:r>
      <w:r w:rsidR="00EB64D5">
        <w:rPr>
          <w:color w:val="000000"/>
          <w:sz w:val="24"/>
          <w:szCs w:val="24"/>
          <w:lang w:val="en-GB"/>
        </w:rPr>
        <w:t xml:space="preserve"> </w:t>
      </w:r>
      <w:proofErr w:type="spellStart"/>
      <w:r w:rsidR="00EB64D5">
        <w:rPr>
          <w:color w:val="000000"/>
          <w:sz w:val="24"/>
          <w:szCs w:val="24"/>
          <w:lang w:val="en-GB"/>
        </w:rPr>
        <w:t>glioblastoma</w:t>
      </w:r>
      <w:proofErr w:type="spellEnd"/>
      <w:r w:rsidR="00EB64D5">
        <w:rPr>
          <w:color w:val="000000"/>
          <w:sz w:val="24"/>
          <w:szCs w:val="24"/>
          <w:lang w:val="en-GB"/>
        </w:rPr>
        <w:t xml:space="preserve"> (GBM)</w:t>
      </w:r>
      <w:r w:rsidR="00A0349F">
        <w:rPr>
          <w:color w:val="000000"/>
          <w:sz w:val="24"/>
          <w:szCs w:val="24"/>
          <w:lang w:val="en-GB"/>
        </w:rPr>
        <w:t xml:space="preserve">. </w:t>
      </w:r>
      <w:r w:rsidR="00EB64D5" w:rsidRPr="00EB64D5">
        <w:rPr>
          <w:sz w:val="24"/>
          <w:szCs w:val="24"/>
          <w:lang w:val="en-US"/>
        </w:rPr>
        <w:t xml:space="preserve">In an exploratory retrospective analysis of data from 13 completed </w:t>
      </w:r>
      <w:proofErr w:type="spellStart"/>
      <w:r w:rsidR="00EB64D5" w:rsidRPr="00EB64D5">
        <w:rPr>
          <w:sz w:val="24"/>
          <w:szCs w:val="24"/>
          <w:lang w:val="en-US"/>
        </w:rPr>
        <w:t>randomised</w:t>
      </w:r>
      <w:proofErr w:type="spellEnd"/>
      <w:r w:rsidR="00EB64D5" w:rsidRPr="00EB64D5">
        <w:rPr>
          <w:sz w:val="24"/>
          <w:szCs w:val="24"/>
          <w:lang w:val="en-US"/>
        </w:rPr>
        <w:t xml:space="preserve"> trials in patients with various </w:t>
      </w:r>
      <w:proofErr w:type="spellStart"/>
      <w:r w:rsidR="00EB64D5" w:rsidRPr="00EB64D5">
        <w:rPr>
          <w:sz w:val="24"/>
          <w:szCs w:val="24"/>
          <w:lang w:val="en-US"/>
        </w:rPr>
        <w:t>tumour</w:t>
      </w:r>
      <w:proofErr w:type="spellEnd"/>
      <w:r w:rsidR="00EB64D5" w:rsidRPr="00EB64D5">
        <w:rPr>
          <w:sz w:val="24"/>
          <w:szCs w:val="24"/>
          <w:lang w:val="en-US"/>
        </w:rPr>
        <w:t xml:space="preserve"> types, 3 patients out of 91 (3.3%) with brain metastases experienced CNS bleeding (all Grade 4) when treated with AVASTIN, compared to 1 case (Grade 5) out of 96 patients (1%) that were not exposed to AVASTIN. In </w:t>
      </w:r>
      <w:r w:rsidR="00BA2B04">
        <w:rPr>
          <w:sz w:val="24"/>
          <w:szCs w:val="24"/>
          <w:lang w:val="en-US"/>
        </w:rPr>
        <w:t>2</w:t>
      </w:r>
      <w:r w:rsidR="00BA2B04" w:rsidRPr="00EB64D5">
        <w:rPr>
          <w:sz w:val="24"/>
          <w:szCs w:val="24"/>
          <w:lang w:val="en-US"/>
        </w:rPr>
        <w:t xml:space="preserve"> </w:t>
      </w:r>
      <w:r w:rsidR="00247566">
        <w:rPr>
          <w:sz w:val="24"/>
          <w:szCs w:val="24"/>
          <w:lang w:val="en-US"/>
        </w:rPr>
        <w:t>subsequent</w:t>
      </w:r>
      <w:r w:rsidR="00247566" w:rsidRPr="00EB64D5">
        <w:rPr>
          <w:sz w:val="24"/>
          <w:szCs w:val="24"/>
          <w:lang w:val="en-US"/>
        </w:rPr>
        <w:t xml:space="preserve"> </w:t>
      </w:r>
      <w:r w:rsidR="00EB64D5" w:rsidRPr="00EB64D5">
        <w:rPr>
          <w:sz w:val="24"/>
          <w:szCs w:val="24"/>
          <w:lang w:val="en-US"/>
        </w:rPr>
        <w:t xml:space="preserve">studies in patients with treated brain metastases </w:t>
      </w:r>
      <w:r w:rsidR="00247566">
        <w:rPr>
          <w:sz w:val="24"/>
          <w:szCs w:val="24"/>
          <w:lang w:val="en-US"/>
        </w:rPr>
        <w:t xml:space="preserve">(approx. 800 patients treated with AVASTIN), </w:t>
      </w:r>
      <w:r w:rsidR="00BA2B04">
        <w:rPr>
          <w:sz w:val="24"/>
          <w:szCs w:val="24"/>
          <w:lang w:val="en-US"/>
        </w:rPr>
        <w:t>1</w:t>
      </w:r>
      <w:r w:rsidR="00BA2B04" w:rsidRPr="00EB64D5">
        <w:rPr>
          <w:sz w:val="24"/>
          <w:szCs w:val="24"/>
          <w:lang w:val="en-US"/>
        </w:rPr>
        <w:t xml:space="preserve"> </w:t>
      </w:r>
      <w:r w:rsidR="00EB64D5" w:rsidRPr="00EB64D5">
        <w:rPr>
          <w:sz w:val="24"/>
          <w:szCs w:val="24"/>
          <w:lang w:val="en-US"/>
        </w:rPr>
        <w:t xml:space="preserve">case of Grade 2 CNS </w:t>
      </w:r>
      <w:proofErr w:type="spellStart"/>
      <w:r w:rsidR="00EB64D5" w:rsidRPr="00EB64D5">
        <w:rPr>
          <w:sz w:val="24"/>
          <w:szCs w:val="24"/>
          <w:lang w:val="en-US"/>
        </w:rPr>
        <w:t>haemorrhage</w:t>
      </w:r>
      <w:proofErr w:type="spellEnd"/>
      <w:r w:rsidR="00EB64D5" w:rsidRPr="00EB64D5">
        <w:rPr>
          <w:sz w:val="24"/>
          <w:szCs w:val="24"/>
          <w:lang w:val="en-US"/>
        </w:rPr>
        <w:t xml:space="preserve"> was reported</w:t>
      </w:r>
      <w:r w:rsidR="00247566">
        <w:rPr>
          <w:sz w:val="24"/>
          <w:szCs w:val="24"/>
          <w:lang w:val="en-US"/>
        </w:rPr>
        <w:t>.</w:t>
      </w:r>
      <w:r w:rsidR="00D733CE">
        <w:rPr>
          <w:sz w:val="24"/>
          <w:szCs w:val="24"/>
          <w:lang w:val="en-US"/>
        </w:rPr>
        <w:t xml:space="preserve"> One patient in the CT + AVASTIN arm of the </w:t>
      </w:r>
      <w:r w:rsidR="00311F5B">
        <w:rPr>
          <w:sz w:val="24"/>
          <w:szCs w:val="24"/>
          <w:lang w:val="en-US"/>
        </w:rPr>
        <w:t xml:space="preserve">recurrent platinum resistant </w:t>
      </w:r>
      <w:r w:rsidR="00D733CE">
        <w:rPr>
          <w:sz w:val="24"/>
          <w:szCs w:val="24"/>
          <w:lang w:val="en-US"/>
        </w:rPr>
        <w:t xml:space="preserve">ovarian cancer study MO22224 experienced a Grade 3 </w:t>
      </w:r>
      <w:proofErr w:type="spellStart"/>
      <w:r w:rsidR="00D733CE">
        <w:rPr>
          <w:sz w:val="24"/>
          <w:szCs w:val="24"/>
          <w:lang w:val="en-US"/>
        </w:rPr>
        <w:t>haemorrhagic</w:t>
      </w:r>
      <w:proofErr w:type="spellEnd"/>
      <w:r w:rsidR="00D733CE">
        <w:rPr>
          <w:sz w:val="24"/>
          <w:szCs w:val="24"/>
          <w:lang w:val="en-US"/>
        </w:rPr>
        <w:t xml:space="preserve"> ascites which subsequently resolved. </w:t>
      </w:r>
    </w:p>
    <w:p w:rsidR="00A0349F" w:rsidRDefault="00D854C0" w:rsidP="00D854C0">
      <w:pPr>
        <w:pStyle w:val="TextTi12"/>
      </w:pPr>
      <w:r w:rsidRPr="00327114">
        <w:t xml:space="preserve">Intracranial </w:t>
      </w:r>
      <w:proofErr w:type="spellStart"/>
      <w:r w:rsidRPr="00327114">
        <w:t>haemorrhage</w:t>
      </w:r>
      <w:proofErr w:type="spellEnd"/>
      <w:r w:rsidRPr="00327114">
        <w:t xml:space="preserve"> can occur in patients with relapsed GBM. In study AVF3708g, CNS </w:t>
      </w:r>
      <w:proofErr w:type="spellStart"/>
      <w:r w:rsidRPr="00327114">
        <w:t>haemorrhage</w:t>
      </w:r>
      <w:proofErr w:type="spellEnd"/>
      <w:r w:rsidRPr="00327114">
        <w:t xml:space="preserve"> was reported in 2.4% (2/84) of patients in the single-agent AVASTIN arm (Grade 1) and in 3.8% (3/79) of patients treated with AVASTIN and </w:t>
      </w:r>
      <w:proofErr w:type="spellStart"/>
      <w:r w:rsidRPr="00327114">
        <w:t>irinotecan</w:t>
      </w:r>
      <w:proofErr w:type="spellEnd"/>
      <w:r w:rsidRPr="00327114">
        <w:t xml:space="preserve"> (Grades 1, 2 and 4).</w:t>
      </w:r>
    </w:p>
    <w:p w:rsidR="00EB64D5" w:rsidRPr="00EB64D5" w:rsidRDefault="00EB64D5" w:rsidP="00BD3577">
      <w:pPr>
        <w:spacing w:before="120" w:after="0"/>
        <w:rPr>
          <w:b/>
          <w:bCs/>
          <w:i/>
          <w:iCs/>
          <w:sz w:val="24"/>
          <w:szCs w:val="24"/>
          <w:lang w:val="en-US"/>
        </w:rPr>
      </w:pPr>
      <w:proofErr w:type="spellStart"/>
      <w:r w:rsidRPr="00EB64D5">
        <w:rPr>
          <w:b/>
          <w:bCs/>
          <w:i/>
          <w:iCs/>
          <w:sz w:val="24"/>
          <w:szCs w:val="24"/>
          <w:lang w:val="en-US"/>
        </w:rPr>
        <w:t>Mucocutaneous</w:t>
      </w:r>
      <w:proofErr w:type="spellEnd"/>
      <w:r w:rsidRPr="00EB64D5">
        <w:rPr>
          <w:b/>
          <w:bCs/>
          <w:i/>
          <w:iCs/>
          <w:sz w:val="24"/>
          <w:szCs w:val="24"/>
          <w:lang w:val="en-US"/>
        </w:rPr>
        <w:t xml:space="preserve"> </w:t>
      </w:r>
      <w:proofErr w:type="spellStart"/>
      <w:r w:rsidRPr="00EB64D5">
        <w:rPr>
          <w:b/>
          <w:bCs/>
          <w:i/>
          <w:iCs/>
          <w:sz w:val="24"/>
          <w:szCs w:val="24"/>
          <w:lang w:val="en-US"/>
        </w:rPr>
        <w:t>haemorrhage</w:t>
      </w:r>
      <w:proofErr w:type="spellEnd"/>
    </w:p>
    <w:p w:rsidR="00EA1309" w:rsidRPr="00EB64D5" w:rsidRDefault="00EB64D5" w:rsidP="00C00E54">
      <w:pPr>
        <w:pStyle w:val="TextTi12"/>
        <w:rPr>
          <w:szCs w:val="24"/>
          <w:lang w:val="en-GB"/>
        </w:rPr>
      </w:pPr>
      <w:proofErr w:type="spellStart"/>
      <w:r w:rsidRPr="00EB64D5">
        <w:rPr>
          <w:szCs w:val="24"/>
        </w:rPr>
        <w:t>Mucocutaneous</w:t>
      </w:r>
      <w:proofErr w:type="spellEnd"/>
      <w:r w:rsidRPr="00EB64D5">
        <w:rPr>
          <w:szCs w:val="24"/>
        </w:rPr>
        <w:t xml:space="preserve"> </w:t>
      </w:r>
      <w:proofErr w:type="spellStart"/>
      <w:r w:rsidRPr="00EB64D5">
        <w:rPr>
          <w:szCs w:val="24"/>
        </w:rPr>
        <w:t>haemorrhages</w:t>
      </w:r>
      <w:proofErr w:type="spellEnd"/>
      <w:r w:rsidRPr="00EB64D5">
        <w:rPr>
          <w:szCs w:val="24"/>
        </w:rPr>
        <w:t xml:space="preserve"> </w:t>
      </w:r>
      <w:r w:rsidR="00AD6752" w:rsidRPr="00EB64D5">
        <w:rPr>
          <w:szCs w:val="24"/>
          <w:lang w:val="en-GB"/>
        </w:rPr>
        <w:t>were seen in up to 50% of patients treated with AVASTIN</w:t>
      </w:r>
      <w:r>
        <w:rPr>
          <w:szCs w:val="24"/>
          <w:lang w:val="en-GB"/>
        </w:rPr>
        <w:t>, across all AVASTIN clinical trials</w:t>
      </w:r>
      <w:r w:rsidR="00EA1309" w:rsidRPr="00EB64D5">
        <w:rPr>
          <w:szCs w:val="24"/>
          <w:lang w:val="en-GB"/>
        </w:rPr>
        <w:t xml:space="preserve">. </w:t>
      </w:r>
      <w:r w:rsidR="00E868E3" w:rsidRPr="00EB64D5">
        <w:rPr>
          <w:szCs w:val="24"/>
          <w:lang w:val="en-GB"/>
        </w:rPr>
        <w:t xml:space="preserve"> </w:t>
      </w:r>
      <w:r w:rsidR="00EA1309" w:rsidRPr="00EB64D5">
        <w:rPr>
          <w:szCs w:val="24"/>
          <w:lang w:val="en-GB"/>
        </w:rPr>
        <w:t xml:space="preserve">These were most commonly </w:t>
      </w:r>
      <w:r>
        <w:rPr>
          <w:szCs w:val="24"/>
          <w:lang w:val="en-GB"/>
        </w:rPr>
        <w:t xml:space="preserve">NCI-CTC </w:t>
      </w:r>
      <w:r w:rsidR="0016021D" w:rsidRPr="00EB64D5">
        <w:rPr>
          <w:szCs w:val="24"/>
          <w:lang w:val="en-GB"/>
        </w:rPr>
        <w:t xml:space="preserve">Grade </w:t>
      </w:r>
      <w:r w:rsidR="00EA1309" w:rsidRPr="00EB64D5">
        <w:rPr>
          <w:szCs w:val="24"/>
          <w:lang w:val="en-GB"/>
        </w:rPr>
        <w:t xml:space="preserve">1 epistaxis that lasted </w:t>
      </w:r>
      <w:r w:rsidR="00BA2B04">
        <w:rPr>
          <w:szCs w:val="24"/>
          <w:lang w:val="en-GB"/>
        </w:rPr>
        <w:t>&lt;</w:t>
      </w:r>
      <w:r w:rsidR="00EA1309" w:rsidRPr="00EB64D5">
        <w:rPr>
          <w:szCs w:val="24"/>
          <w:lang w:val="en-GB"/>
        </w:rPr>
        <w:t xml:space="preserve"> 5 minutes, resolved without medical i</w:t>
      </w:r>
      <w:r w:rsidR="00B0798A" w:rsidRPr="00EB64D5">
        <w:rPr>
          <w:szCs w:val="24"/>
          <w:lang w:val="en-GB"/>
        </w:rPr>
        <w:t>ntervention and did not require</w:t>
      </w:r>
      <w:r w:rsidR="00EA1309" w:rsidRPr="00EB64D5">
        <w:rPr>
          <w:szCs w:val="24"/>
          <w:lang w:val="en-GB"/>
        </w:rPr>
        <w:t xml:space="preserve"> any changes in AVASTIN treatment regimen. </w:t>
      </w:r>
      <w:r w:rsidR="00E868E3" w:rsidRPr="00EB64D5">
        <w:rPr>
          <w:szCs w:val="24"/>
          <w:lang w:val="en-GB"/>
        </w:rPr>
        <w:t xml:space="preserve"> </w:t>
      </w:r>
      <w:r w:rsidR="006F5665" w:rsidRPr="00EB64D5">
        <w:rPr>
          <w:szCs w:val="24"/>
          <w:lang w:val="en-GB"/>
        </w:rPr>
        <w:t xml:space="preserve">Clinical safety data suggest that the incidence of minor </w:t>
      </w:r>
      <w:proofErr w:type="spellStart"/>
      <w:r w:rsidR="006F5665" w:rsidRPr="00EB64D5">
        <w:rPr>
          <w:szCs w:val="24"/>
          <w:lang w:val="en-GB"/>
        </w:rPr>
        <w:t>mucocutaneous</w:t>
      </w:r>
      <w:proofErr w:type="spellEnd"/>
      <w:r w:rsidR="006F5665" w:rsidRPr="00EB64D5">
        <w:rPr>
          <w:szCs w:val="24"/>
          <w:lang w:val="en-GB"/>
        </w:rPr>
        <w:t xml:space="preserve"> haemorrhage (e.g. epistaxis) may be dose-dependent.  </w:t>
      </w:r>
      <w:r w:rsidR="00EA1309" w:rsidRPr="00EB64D5">
        <w:rPr>
          <w:szCs w:val="24"/>
          <w:lang w:val="en-GB"/>
        </w:rPr>
        <w:t xml:space="preserve">There have been less common events of minor </w:t>
      </w:r>
      <w:proofErr w:type="spellStart"/>
      <w:r w:rsidR="00EA1309" w:rsidRPr="00EB64D5">
        <w:rPr>
          <w:szCs w:val="24"/>
          <w:lang w:val="en-GB"/>
        </w:rPr>
        <w:t>mucocutaneous</w:t>
      </w:r>
      <w:proofErr w:type="spellEnd"/>
      <w:r w:rsidR="00EA1309" w:rsidRPr="00EB64D5">
        <w:rPr>
          <w:szCs w:val="24"/>
          <w:lang w:val="en-GB"/>
        </w:rPr>
        <w:t xml:space="preserve"> haemorrhage in other locations such as gingival </w:t>
      </w:r>
      <w:r w:rsidR="0016021D" w:rsidRPr="00EB64D5">
        <w:rPr>
          <w:szCs w:val="24"/>
          <w:lang w:val="en-GB"/>
        </w:rPr>
        <w:t xml:space="preserve">bleeding or </w:t>
      </w:r>
      <w:r w:rsidR="00EA1309" w:rsidRPr="00EB64D5">
        <w:rPr>
          <w:szCs w:val="24"/>
          <w:lang w:val="en-GB"/>
        </w:rPr>
        <w:t>vaginal bleeding.</w:t>
      </w:r>
    </w:p>
    <w:p w:rsidR="006F5665" w:rsidRDefault="006F5665" w:rsidP="00BD3577">
      <w:pPr>
        <w:pStyle w:val="TextTi12"/>
        <w:spacing w:before="120" w:after="0"/>
        <w:rPr>
          <w:b/>
          <w:bCs/>
          <w:i/>
          <w:iCs/>
        </w:rPr>
      </w:pPr>
      <w:r>
        <w:rPr>
          <w:b/>
          <w:bCs/>
          <w:i/>
          <w:iCs/>
        </w:rPr>
        <w:t xml:space="preserve">Pulmonary </w:t>
      </w:r>
      <w:proofErr w:type="spellStart"/>
      <w:r>
        <w:rPr>
          <w:b/>
          <w:bCs/>
          <w:i/>
          <w:iCs/>
        </w:rPr>
        <w:t>h</w:t>
      </w:r>
      <w:r w:rsidRPr="007A7A98">
        <w:rPr>
          <w:b/>
          <w:bCs/>
          <w:i/>
          <w:iCs/>
        </w:rPr>
        <w:t>aemorrhage</w:t>
      </w:r>
      <w:proofErr w:type="spellEnd"/>
      <w:r>
        <w:rPr>
          <w:b/>
          <w:bCs/>
          <w:i/>
          <w:iCs/>
        </w:rPr>
        <w:t>/</w:t>
      </w:r>
      <w:proofErr w:type="spellStart"/>
      <w:r>
        <w:rPr>
          <w:b/>
          <w:bCs/>
          <w:i/>
          <w:iCs/>
        </w:rPr>
        <w:t>haemoptysis</w:t>
      </w:r>
      <w:proofErr w:type="spellEnd"/>
    </w:p>
    <w:p w:rsidR="006F5665" w:rsidRPr="00FC3E1D" w:rsidRDefault="006F5665" w:rsidP="006F5665">
      <w:pPr>
        <w:pStyle w:val="TextTi12"/>
        <w:rPr>
          <w:lang w:val="en-GB"/>
        </w:rPr>
      </w:pPr>
      <w:r>
        <w:rPr>
          <w:lang w:val="en-GB"/>
        </w:rPr>
        <w:t xml:space="preserve">Patients with </w:t>
      </w:r>
      <w:r w:rsidR="00BA2B04">
        <w:rPr>
          <w:lang w:val="en-GB"/>
        </w:rPr>
        <w:t>NSCLC</w:t>
      </w:r>
      <w:r>
        <w:rPr>
          <w:lang w:val="en-GB"/>
        </w:rPr>
        <w:t xml:space="preserve"> treated with AVASTIN may be at risk for serious, and in some cases fatal, pulmonary haemorrhage/haemoptysis.  Patients with recent pulmonary haemorrhage/haemoptysis (&gt; </w:t>
      </w:r>
      <w:r w:rsidRPr="007C58D9">
        <w:rPr>
          <w:vertAlign w:val="superscript"/>
          <w:lang w:val="en-GB"/>
        </w:rPr>
        <w:t>1</w:t>
      </w:r>
      <w:r>
        <w:rPr>
          <w:lang w:val="en-GB"/>
        </w:rPr>
        <w:t>/</w:t>
      </w:r>
      <w:r w:rsidRPr="007C58D9">
        <w:rPr>
          <w:vertAlign w:val="subscript"/>
          <w:lang w:val="en-GB"/>
        </w:rPr>
        <w:t>2</w:t>
      </w:r>
      <w:r>
        <w:rPr>
          <w:lang w:val="en-GB"/>
        </w:rPr>
        <w:t xml:space="preserve"> teaspoon red blood) should not be treated with AVASTIN.</w:t>
      </w:r>
    </w:p>
    <w:p w:rsidR="00455EE8" w:rsidRPr="00C04706" w:rsidRDefault="00455EE8" w:rsidP="00CC2749">
      <w:pPr>
        <w:pStyle w:val="Heading3"/>
      </w:pPr>
      <w:r w:rsidRPr="00C04706">
        <w:t xml:space="preserve">Posterior </w:t>
      </w:r>
      <w:r w:rsidR="00362D75" w:rsidRPr="00C04706">
        <w:t xml:space="preserve">Reversible </w:t>
      </w:r>
      <w:r w:rsidR="00362D75">
        <w:t>Encephalopathy</w:t>
      </w:r>
      <w:r w:rsidR="00362D75" w:rsidRPr="00C04706">
        <w:t xml:space="preserve"> </w:t>
      </w:r>
      <w:r w:rsidRPr="00C04706">
        <w:t>Syndrome (</w:t>
      </w:r>
      <w:r w:rsidR="00362D75">
        <w:t>PRES</w:t>
      </w:r>
      <w:r w:rsidRPr="00C04706">
        <w:t>)</w:t>
      </w:r>
    </w:p>
    <w:p w:rsidR="008F7195" w:rsidRDefault="00455EE8" w:rsidP="00C101CC">
      <w:pPr>
        <w:pStyle w:val="TextTi12"/>
      </w:pPr>
      <w:r>
        <w:t xml:space="preserve">There have been rare reports of AVASTIN-treated patients developing signs and symptoms that are consistent with Posterior </w:t>
      </w:r>
      <w:r w:rsidR="00362D75">
        <w:t xml:space="preserve">Reversible Encephalopathy </w:t>
      </w:r>
      <w:r>
        <w:t>Syndrome (</w:t>
      </w:r>
      <w:r w:rsidR="00362D75">
        <w:t>PRES</w:t>
      </w:r>
      <w:r>
        <w:t>)</w:t>
      </w:r>
      <w:r w:rsidR="008F7195" w:rsidRPr="008F7195">
        <w:t xml:space="preserve"> </w:t>
      </w:r>
      <w:r w:rsidR="008F7195">
        <w:t xml:space="preserve">(see </w:t>
      </w:r>
      <w:r w:rsidR="008F7195" w:rsidRPr="00931AE0">
        <w:rPr>
          <w:i/>
        </w:rPr>
        <w:t>ADVERSE EFFECTS</w:t>
      </w:r>
      <w:r w:rsidR="008F7195">
        <w:rPr>
          <w:i/>
        </w:rPr>
        <w:t xml:space="preserve">; </w:t>
      </w:r>
      <w:r w:rsidR="008F7195" w:rsidRPr="00931AE0">
        <w:rPr>
          <w:i/>
        </w:rPr>
        <w:t>Post-Marketing Experience</w:t>
      </w:r>
      <w:r w:rsidR="008F7195">
        <w:t>)</w:t>
      </w:r>
      <w:r>
        <w:t>, a rare neurologic</w:t>
      </w:r>
      <w:r w:rsidR="00C121AF">
        <w:t>al</w:t>
      </w:r>
      <w:r>
        <w:t xml:space="preserve"> disorder, which can present with the following signs and symptoms among others: seizures, headache, altered mental status, visual disturbance, or cortical blindness, with or without associated hype</w:t>
      </w:r>
      <w:r w:rsidR="005832FE">
        <w:t xml:space="preserve">rtension. </w:t>
      </w:r>
      <w:r w:rsidR="00E868E3">
        <w:t xml:space="preserve"> </w:t>
      </w:r>
    </w:p>
    <w:p w:rsidR="008F7195" w:rsidRDefault="008F7195" w:rsidP="00464088">
      <w:pPr>
        <w:pStyle w:val="TextTi12"/>
        <w:spacing w:after="120" w:line="240" w:lineRule="auto"/>
      </w:pPr>
      <w:r>
        <w:t xml:space="preserve">Two confirmed cases (0.8%) of </w:t>
      </w:r>
      <w:r w:rsidR="00362D75">
        <w:t xml:space="preserve">PRES </w:t>
      </w:r>
      <w:r>
        <w:t xml:space="preserve">were reported in Study AVF4095g (OCEANS). Symptoms usually resolved or improved within days, although some patients experienced neurologic </w:t>
      </w:r>
      <w:proofErr w:type="spellStart"/>
      <w:r>
        <w:t>sequelae</w:t>
      </w:r>
      <w:proofErr w:type="spellEnd"/>
      <w:r>
        <w:t>.</w:t>
      </w:r>
    </w:p>
    <w:p w:rsidR="00FF10B9" w:rsidRDefault="00FF10B9" w:rsidP="00464088">
      <w:pPr>
        <w:pStyle w:val="TextTi12"/>
        <w:spacing w:after="120" w:line="240" w:lineRule="auto"/>
      </w:pPr>
      <w:r>
        <w:t xml:space="preserve">Two confirmed cases of PRES were reported in Study MO22224 (AURELIA). One case occurred during concurrent administration of </w:t>
      </w:r>
      <w:r w:rsidR="00783EB4">
        <w:t xml:space="preserve">CT + </w:t>
      </w:r>
      <w:r>
        <w:t xml:space="preserve">AVASTIN and the other after cross-over from </w:t>
      </w:r>
      <w:r w:rsidR="00783EB4">
        <w:t>CT</w:t>
      </w:r>
      <w:r>
        <w:t xml:space="preserve"> to AVASTIN monotherapy.</w:t>
      </w:r>
    </w:p>
    <w:p w:rsidR="008F7195" w:rsidRDefault="00C121AF" w:rsidP="00C101CC">
      <w:pPr>
        <w:pStyle w:val="TextTi12"/>
      </w:pPr>
      <w:r>
        <w:t xml:space="preserve">A diagnosis of </w:t>
      </w:r>
      <w:r w:rsidR="00362D75">
        <w:t xml:space="preserve">PRES </w:t>
      </w:r>
      <w:r>
        <w:t>requires confirmation by brain imaging</w:t>
      </w:r>
      <w:r w:rsidR="008F7195">
        <w:t xml:space="preserve">, </w:t>
      </w:r>
      <w:r w:rsidR="008F7195">
        <w:rPr>
          <w:rFonts w:cs="Arial"/>
        </w:rPr>
        <w:t xml:space="preserve">preferably </w:t>
      </w:r>
      <w:r w:rsidR="008F7195" w:rsidRPr="008D0A39">
        <w:rPr>
          <w:rFonts w:cs="Arial"/>
        </w:rPr>
        <w:t>magnetic resonance imaging (MRI)</w:t>
      </w:r>
      <w:r w:rsidR="008F7195">
        <w:t>.</w:t>
      </w:r>
      <w:r w:rsidR="00455EE8">
        <w:t xml:space="preserve"> </w:t>
      </w:r>
      <w:r w:rsidR="00E868E3">
        <w:t xml:space="preserve"> </w:t>
      </w:r>
      <w:r w:rsidR="00455EE8">
        <w:t xml:space="preserve">In patients developing </w:t>
      </w:r>
      <w:r w:rsidR="00362D75">
        <w:t>PRES</w:t>
      </w:r>
      <w:r w:rsidR="00455EE8">
        <w:t xml:space="preserve">, treatment of specific symptoms including control of hypertension is recommended along with discontinuation of AVASTIN. </w:t>
      </w:r>
      <w:r w:rsidR="00E868E3">
        <w:t xml:space="preserve"> </w:t>
      </w:r>
      <w:r w:rsidR="00455EE8">
        <w:t xml:space="preserve">The safety of reinitiating AVASTIN therapy in patients previously experiencing </w:t>
      </w:r>
      <w:r w:rsidR="00362D75">
        <w:t xml:space="preserve">PRES </w:t>
      </w:r>
      <w:r w:rsidR="00455EE8">
        <w:t>is not known.</w:t>
      </w:r>
    </w:p>
    <w:p w:rsidR="00982CDA" w:rsidRPr="007B1CE9" w:rsidRDefault="00982CDA" w:rsidP="005B2370">
      <w:pPr>
        <w:pStyle w:val="Heading3"/>
        <w:jc w:val="both"/>
        <w:rPr>
          <w:szCs w:val="24"/>
          <w:lang w:val="en-GB"/>
        </w:rPr>
      </w:pPr>
      <w:r w:rsidRPr="007B1CE9">
        <w:rPr>
          <w:szCs w:val="24"/>
          <w:lang w:val="en-GB"/>
        </w:rPr>
        <w:t xml:space="preserve">Proteinuria </w:t>
      </w:r>
    </w:p>
    <w:p w:rsidR="00883287" w:rsidRDefault="005B2370" w:rsidP="00EE27E2">
      <w:pPr>
        <w:pStyle w:val="TextTi12"/>
      </w:pPr>
      <w:r w:rsidRPr="007B1CE9">
        <w:lastRenderedPageBreak/>
        <w:t xml:space="preserve">Patients with a history of hypertension may be at increased risk for the development of proteinuria when treated with AVASTIN. </w:t>
      </w:r>
      <w:r w:rsidR="00E868E3">
        <w:t xml:space="preserve"> </w:t>
      </w:r>
      <w:r w:rsidRPr="007B1CE9">
        <w:t xml:space="preserve">There is evidence suggesting that </w:t>
      </w:r>
      <w:r w:rsidR="00883287">
        <w:t xml:space="preserve">all </w:t>
      </w:r>
      <w:r w:rsidR="00E741B1">
        <w:t>G</w:t>
      </w:r>
      <w:r w:rsidR="00E741B1" w:rsidRPr="007B1CE9">
        <w:t>rade</w:t>
      </w:r>
      <w:r w:rsidR="00883287">
        <w:t xml:space="preserve"> </w:t>
      </w:r>
      <w:r w:rsidRPr="007B1CE9">
        <w:t>proteinuria may be dose</w:t>
      </w:r>
      <w:r w:rsidR="00037988" w:rsidRPr="007B1CE9">
        <w:t>-dependent</w:t>
      </w:r>
      <w:r w:rsidRPr="007B1CE9">
        <w:t xml:space="preserve">. </w:t>
      </w:r>
      <w:r w:rsidR="00E868E3">
        <w:t xml:space="preserve"> </w:t>
      </w:r>
      <w:r w:rsidR="00EE27E2">
        <w:t xml:space="preserve">Testing for proteinuria is recommended prior to </w:t>
      </w:r>
      <w:r w:rsidR="00771E30">
        <w:t xml:space="preserve">the </w:t>
      </w:r>
      <w:r w:rsidR="00EE27E2">
        <w:t>start of AVASTIN therapy.  In most clinical studies urine protein levels of ≥ 2</w:t>
      </w:r>
      <w:r w:rsidR="007C58D9">
        <w:t xml:space="preserve"> </w:t>
      </w:r>
      <w:r w:rsidR="00EE27E2">
        <w:t xml:space="preserve">g/24 h led to the </w:t>
      </w:r>
      <w:r w:rsidR="00EE27E2" w:rsidRPr="003A03C1">
        <w:t>holding</w:t>
      </w:r>
      <w:r w:rsidR="00EE27E2">
        <w:t xml:space="preserve"> of AVASTIN until recovery to &lt; 2</w:t>
      </w:r>
      <w:r w:rsidR="00FC2CA2">
        <w:t xml:space="preserve"> </w:t>
      </w:r>
      <w:r w:rsidR="00EE27E2">
        <w:t>g/24 h.</w:t>
      </w:r>
    </w:p>
    <w:p w:rsidR="00EE27E2" w:rsidRPr="000B26B9" w:rsidRDefault="00EE27E2" w:rsidP="00EE27E2">
      <w:pPr>
        <w:pStyle w:val="TextTi12"/>
      </w:pPr>
      <w:r w:rsidRPr="005E17B5">
        <w:t xml:space="preserve">In clinical trials, the incidence of proteinuria was higher in patients receiving </w:t>
      </w:r>
      <w:r>
        <w:t>AVASTIN</w:t>
      </w:r>
      <w:r w:rsidRPr="005E17B5">
        <w:t xml:space="preserve"> in combination with chemotherapy compared to those who received chemotherapy alone. </w:t>
      </w:r>
      <w:r>
        <w:t xml:space="preserve"> Grade 4 proteinuria (</w:t>
      </w:r>
      <w:proofErr w:type="spellStart"/>
      <w:r>
        <w:t>nephrotic</w:t>
      </w:r>
      <w:proofErr w:type="spellEnd"/>
      <w:r>
        <w:t xml:space="preserve"> syndrome) was uncommon in patients with AVASTIN.  In the event of Grade 4 proteinuria AVASTIN treatment should be permanently discontinued.</w:t>
      </w:r>
    </w:p>
    <w:p w:rsidR="00156218" w:rsidRDefault="00EE27E2" w:rsidP="00C131C6">
      <w:pPr>
        <w:pStyle w:val="TextTi12"/>
      </w:pPr>
      <w:r w:rsidRPr="00A56D8D">
        <w:t xml:space="preserve">In </w:t>
      </w:r>
      <w:r>
        <w:t>clinical trials</w:t>
      </w:r>
      <w:r w:rsidRPr="00A56D8D">
        <w:t xml:space="preserve">, proteinuria </w:t>
      </w:r>
      <w:r>
        <w:t>has been</w:t>
      </w:r>
      <w:r w:rsidRPr="00A56D8D">
        <w:t xml:space="preserve"> reported </w:t>
      </w:r>
      <w:r>
        <w:t xml:space="preserve">within the range of 0.7% to 38% </w:t>
      </w:r>
      <w:r w:rsidRPr="00A56D8D">
        <w:t>of patients receiving</w:t>
      </w:r>
      <w:r>
        <w:t xml:space="preserve"> AVASTIN</w:t>
      </w:r>
      <w:r w:rsidRPr="00A56D8D">
        <w:t xml:space="preserve">. </w:t>
      </w:r>
      <w:r>
        <w:t xml:space="preserve"> </w:t>
      </w:r>
      <w:r w:rsidRPr="00A56D8D">
        <w:t>Proteinuria</w:t>
      </w:r>
      <w:r>
        <w:t xml:space="preserve"> </w:t>
      </w:r>
      <w:r w:rsidRPr="00A56D8D">
        <w:t xml:space="preserve">ranged in severity from clinically asymptomatic, transient, trace proteinuria to </w:t>
      </w:r>
      <w:proofErr w:type="spellStart"/>
      <w:r w:rsidRPr="00A56D8D">
        <w:t>nephr</w:t>
      </w:r>
      <w:r>
        <w:t>otic</w:t>
      </w:r>
      <w:proofErr w:type="spellEnd"/>
      <w:r>
        <w:t xml:space="preserve"> syndrome.   </w:t>
      </w:r>
      <w:r w:rsidR="00583DAA">
        <w:t xml:space="preserve"> </w:t>
      </w:r>
      <w:r w:rsidR="00906DB1">
        <w:t>Grade 3 proteinuria was reported in up to 8.1% of treated patients</w:t>
      </w:r>
      <w:r w:rsidR="00906DB1" w:rsidRPr="00583DAA">
        <w:t>.</w:t>
      </w:r>
      <w:r w:rsidR="00906DB1">
        <w:t xml:space="preserve"> </w:t>
      </w:r>
      <w:r>
        <w:t>Grade 4 proteinuria (</w:t>
      </w:r>
      <w:proofErr w:type="spellStart"/>
      <w:r>
        <w:t>nephrotic</w:t>
      </w:r>
      <w:proofErr w:type="spellEnd"/>
      <w:r>
        <w:t xml:space="preserve"> syndrome) was seen in up to 1.4% of treated patients.</w:t>
      </w:r>
      <w:r w:rsidRPr="00A56D8D">
        <w:t xml:space="preserve"> The proteinuria seen in </w:t>
      </w:r>
      <w:r>
        <w:t>AVASTIN</w:t>
      </w:r>
      <w:r w:rsidRPr="00A56D8D">
        <w:t xml:space="preserve"> clinical trials was not associated with renal </w:t>
      </w:r>
      <w:r w:rsidRPr="00A230EF">
        <w:t>impairment</w:t>
      </w:r>
      <w:r>
        <w:t xml:space="preserve"> </w:t>
      </w:r>
      <w:r w:rsidRPr="00A56D8D">
        <w:t xml:space="preserve">and rarely required permanent discontinuation of </w:t>
      </w:r>
      <w:r>
        <w:t>AVASTIN</w:t>
      </w:r>
      <w:r w:rsidRPr="00A56D8D">
        <w:t xml:space="preserve"> therapy</w:t>
      </w:r>
      <w:r w:rsidR="00156218">
        <w:t>.</w:t>
      </w:r>
    </w:p>
    <w:p w:rsidR="00E45F19" w:rsidRPr="00156218" w:rsidRDefault="00E45F19" w:rsidP="00156218">
      <w:pPr>
        <w:pStyle w:val="Heading3"/>
        <w:jc w:val="both"/>
        <w:rPr>
          <w:szCs w:val="24"/>
          <w:lang w:val="en-GB"/>
        </w:rPr>
      </w:pPr>
      <w:r w:rsidRPr="00156218">
        <w:rPr>
          <w:szCs w:val="24"/>
          <w:lang w:val="en-GB"/>
        </w:rPr>
        <w:t>Congestive Heart Failure</w:t>
      </w:r>
    </w:p>
    <w:p w:rsidR="001C070C" w:rsidRDefault="001C070C" w:rsidP="001C070C">
      <w:pPr>
        <w:pStyle w:val="TextTi12"/>
      </w:pPr>
      <w:r w:rsidRPr="00FE22C9">
        <w:t xml:space="preserve">Caution should be exercised when treating patients </w:t>
      </w:r>
      <w:r w:rsidRPr="00FE22C9">
        <w:rPr>
          <w:bCs/>
          <w:iCs/>
        </w:rPr>
        <w:t>with clinically significant cardiovascular disease or pre-existing congestive heart failure</w:t>
      </w:r>
      <w:r>
        <w:rPr>
          <w:bCs/>
          <w:iCs/>
        </w:rPr>
        <w:t xml:space="preserve"> (CHF)</w:t>
      </w:r>
      <w:r w:rsidRPr="00FE22C9">
        <w:t>.</w:t>
      </w:r>
    </w:p>
    <w:p w:rsidR="001C070C" w:rsidRDefault="001C070C" w:rsidP="001C070C">
      <w:pPr>
        <w:pStyle w:val="TextTi12"/>
      </w:pPr>
      <w:r w:rsidRPr="00A56D8D">
        <w:t xml:space="preserve">Prior </w:t>
      </w:r>
      <w:proofErr w:type="spellStart"/>
      <w:r w:rsidRPr="00A56D8D">
        <w:t>anthracyclines</w:t>
      </w:r>
      <w:proofErr w:type="spellEnd"/>
      <w:r w:rsidRPr="00A56D8D">
        <w:t xml:space="preserve"> exposure and/or prior radiation to the chest wall may be possible risk factors for the development of CHF. </w:t>
      </w:r>
    </w:p>
    <w:p w:rsidR="00AE7D1B" w:rsidRPr="00FE22C9" w:rsidRDefault="00DD4889" w:rsidP="001C070C">
      <w:pPr>
        <w:pStyle w:val="TextTi12"/>
        <w:rPr>
          <w:bCs/>
          <w:iCs/>
          <w:color w:val="000000"/>
        </w:rPr>
      </w:pPr>
      <w:r w:rsidRPr="00AE7D1B">
        <w:rPr>
          <w:szCs w:val="24"/>
        </w:rPr>
        <w:t xml:space="preserve">Events consistent with CHF were reported in clinical trials in all cancer indications studied to date.  The </w:t>
      </w:r>
      <w:r w:rsidR="001C070C">
        <w:rPr>
          <w:szCs w:val="24"/>
        </w:rPr>
        <w:t>findings</w:t>
      </w:r>
      <w:r w:rsidR="001C070C" w:rsidRPr="00AE7D1B">
        <w:rPr>
          <w:szCs w:val="24"/>
        </w:rPr>
        <w:t xml:space="preserve"> </w:t>
      </w:r>
      <w:r w:rsidRPr="00AE7D1B">
        <w:rPr>
          <w:szCs w:val="24"/>
        </w:rPr>
        <w:t xml:space="preserve">ranged from asymptomatic declines in left ventricular ejection fraction to symptomatic CHF, requiring treatment or </w:t>
      </w:r>
      <w:proofErr w:type="spellStart"/>
      <w:r w:rsidRPr="00AE7D1B">
        <w:rPr>
          <w:szCs w:val="24"/>
        </w:rPr>
        <w:t>hospitalisation</w:t>
      </w:r>
      <w:proofErr w:type="spellEnd"/>
      <w:r w:rsidRPr="00AE7D1B">
        <w:rPr>
          <w:szCs w:val="24"/>
        </w:rPr>
        <w:t xml:space="preserve">.  Most of the patients who experienced CHF had metastatic breast cancer and had received previous treatment with </w:t>
      </w:r>
      <w:proofErr w:type="spellStart"/>
      <w:r w:rsidRPr="00AE7D1B">
        <w:rPr>
          <w:szCs w:val="24"/>
        </w:rPr>
        <w:t>anthracyclines</w:t>
      </w:r>
      <w:proofErr w:type="spellEnd"/>
      <w:r w:rsidRPr="00AE7D1B">
        <w:rPr>
          <w:szCs w:val="24"/>
        </w:rPr>
        <w:t>, prior radiotherapy to the left chest wall or other risk factors for CHF</w:t>
      </w:r>
      <w:r w:rsidR="001C070C">
        <w:rPr>
          <w:szCs w:val="24"/>
        </w:rPr>
        <w:t xml:space="preserve"> were present</w:t>
      </w:r>
      <w:r w:rsidRPr="00AE7D1B">
        <w:rPr>
          <w:szCs w:val="24"/>
        </w:rPr>
        <w:t>.</w:t>
      </w:r>
    </w:p>
    <w:p w:rsidR="00AE7D1B" w:rsidRDefault="00112483" w:rsidP="00E60086">
      <w:pPr>
        <w:pStyle w:val="TextTi12"/>
      </w:pPr>
      <w:r>
        <w:t>In phase III studies in patients with metastatic breast cancer</w:t>
      </w:r>
      <w:r w:rsidR="001C070C">
        <w:t>,</w:t>
      </w:r>
      <w:r w:rsidRPr="00FB4119">
        <w:t xml:space="preserve"> </w:t>
      </w:r>
      <w:r>
        <w:t xml:space="preserve">CHF Grade 3 or </w:t>
      </w:r>
      <w:r w:rsidR="001C070C">
        <w:t xml:space="preserve">higher </w:t>
      </w:r>
      <w:r w:rsidR="00BD030B" w:rsidRPr="00255B60">
        <w:t xml:space="preserve">was reported in up </w:t>
      </w:r>
      <w:r w:rsidRPr="00255B60">
        <w:t xml:space="preserve">to 3.5% </w:t>
      </w:r>
      <w:r w:rsidR="00BD030B" w:rsidRPr="00255B60">
        <w:t xml:space="preserve">of patients treated with AVASTIN </w:t>
      </w:r>
      <w:r w:rsidR="001C070C">
        <w:t xml:space="preserve">in combination with chemotherapy </w:t>
      </w:r>
      <w:r w:rsidRPr="00255B60">
        <w:t xml:space="preserve">compared with up to </w:t>
      </w:r>
      <w:r w:rsidR="00BD030B" w:rsidRPr="00255B60">
        <w:t>0.9</w:t>
      </w:r>
      <w:r w:rsidRPr="00255B60">
        <w:t>% i</w:t>
      </w:r>
      <w:r>
        <w:t xml:space="preserve">n the control arms.  </w:t>
      </w:r>
      <w:r w:rsidRPr="00A56D8D">
        <w:t xml:space="preserve">Most patients </w:t>
      </w:r>
      <w:r w:rsidR="001C070C">
        <w:t xml:space="preserve">who developed CHF during </w:t>
      </w:r>
      <w:proofErr w:type="spellStart"/>
      <w:r w:rsidR="001C070C">
        <w:t>mBC</w:t>
      </w:r>
      <w:proofErr w:type="spellEnd"/>
      <w:r w:rsidR="001C070C">
        <w:t xml:space="preserve"> trials </w:t>
      </w:r>
      <w:r w:rsidRPr="00A56D8D">
        <w:t xml:space="preserve">showed improved symptoms and/or left ventricular function following appropriate medical therapy. </w:t>
      </w:r>
    </w:p>
    <w:p w:rsidR="00112483" w:rsidRDefault="00112483" w:rsidP="00CA5D4C">
      <w:pPr>
        <w:pStyle w:val="TextTi12"/>
      </w:pPr>
      <w:r>
        <w:t>In most clinical trials of AVASTIN,</w:t>
      </w:r>
      <w:r w:rsidRPr="00A56D8D">
        <w:t xml:space="preserve"> patients with pre-existing CHF of NYHA II</w:t>
      </w:r>
      <w:r w:rsidR="001F4DBF">
        <w:t>-</w:t>
      </w:r>
      <w:r w:rsidRPr="00A56D8D">
        <w:t>IV were excluded</w:t>
      </w:r>
      <w:r>
        <w:t>, therefore, no information is available on the risk of CHF in this population</w:t>
      </w:r>
      <w:r w:rsidRPr="00A56D8D">
        <w:t>.</w:t>
      </w:r>
    </w:p>
    <w:p w:rsidR="00CA5D4C" w:rsidRDefault="00CA5D4C" w:rsidP="00CA5D4C">
      <w:pPr>
        <w:pStyle w:val="TextTi12"/>
      </w:pPr>
      <w:r>
        <w:t xml:space="preserve">An increased incidence of CHF has been observed in a </w:t>
      </w:r>
      <w:r w:rsidR="00AB3801">
        <w:t xml:space="preserve">phase III </w:t>
      </w:r>
      <w:r>
        <w:t>clinical trial of patients with diffuse large B-cell lymphoma when receiving AVASTIN with a cumulative doxorubicin dose greater than 300 mg/m</w:t>
      </w:r>
      <w:r w:rsidRPr="00CA5D4C">
        <w:rPr>
          <w:vertAlign w:val="superscript"/>
        </w:rPr>
        <w:t>2</w:t>
      </w:r>
      <w:r>
        <w:t>. This clinical trial compared rituximab</w:t>
      </w:r>
      <w:r w:rsidR="00E8708B">
        <w:t xml:space="preserve"> </w:t>
      </w:r>
      <w:r>
        <w:t>/</w:t>
      </w:r>
      <w:r w:rsidR="00E8708B">
        <w:t xml:space="preserve"> </w:t>
      </w:r>
      <w:r>
        <w:t>cyclophosphamide</w:t>
      </w:r>
      <w:r w:rsidR="00E8708B">
        <w:t xml:space="preserve"> </w:t>
      </w:r>
      <w:r>
        <w:t>/</w:t>
      </w:r>
      <w:r w:rsidR="00E8708B">
        <w:t xml:space="preserve"> </w:t>
      </w:r>
      <w:r w:rsidR="00AB3801">
        <w:t>doxorubicin</w:t>
      </w:r>
      <w:r w:rsidR="00E8708B">
        <w:t xml:space="preserve"> </w:t>
      </w:r>
      <w:r w:rsidR="00AB3801">
        <w:t>/</w:t>
      </w:r>
      <w:r w:rsidR="00E8708B">
        <w:t xml:space="preserve"> </w:t>
      </w:r>
      <w:r>
        <w:t>vincristine</w:t>
      </w:r>
      <w:r w:rsidR="00E8708B">
        <w:t xml:space="preserve"> </w:t>
      </w:r>
      <w:r>
        <w:t>/ prednisone (R-CHOP) plus AVASTIN to R-CHOP without AVASTIN. While the incidence of CHF was, in both arms, above that previously observed for doxorubicin therapy, the rate was higher in the R-CHOP plus AVASTIN arm.</w:t>
      </w:r>
    </w:p>
    <w:p w:rsidR="005C3656" w:rsidRPr="00ED3251" w:rsidRDefault="005C3656" w:rsidP="00CC2749">
      <w:pPr>
        <w:pStyle w:val="Heading3"/>
      </w:pPr>
      <w:r w:rsidRPr="00ED3251">
        <w:t>Neutropenia</w:t>
      </w:r>
    </w:p>
    <w:p w:rsidR="00C101CC" w:rsidRDefault="005C3656" w:rsidP="007B3C77">
      <w:pPr>
        <w:jc w:val="both"/>
      </w:pPr>
      <w:r w:rsidRPr="00E741B1">
        <w:rPr>
          <w:sz w:val="24"/>
          <w:szCs w:val="24"/>
        </w:rPr>
        <w:t xml:space="preserve">Increased rates of severe neutropenia, febrile neutropenia, or infection with severe neutropenia (including some fatalities) have been observed in patients treated with </w:t>
      </w:r>
      <w:r w:rsidRPr="00E741B1">
        <w:rPr>
          <w:iCs/>
          <w:sz w:val="24"/>
          <w:szCs w:val="24"/>
        </w:rPr>
        <w:t>some</w:t>
      </w:r>
      <w:r w:rsidRPr="00E741B1">
        <w:rPr>
          <w:sz w:val="24"/>
          <w:szCs w:val="24"/>
        </w:rPr>
        <w:t xml:space="preserve"> </w:t>
      </w:r>
      <w:proofErr w:type="spellStart"/>
      <w:r w:rsidRPr="00E741B1">
        <w:rPr>
          <w:sz w:val="24"/>
          <w:szCs w:val="24"/>
        </w:rPr>
        <w:t>myelotoxic</w:t>
      </w:r>
      <w:proofErr w:type="spellEnd"/>
      <w:r w:rsidRPr="00E741B1">
        <w:rPr>
          <w:sz w:val="24"/>
          <w:szCs w:val="24"/>
        </w:rPr>
        <w:t xml:space="preserve"> chemotherapy regimens plus AVASTIN in comparison to chemotherapy alone</w:t>
      </w:r>
      <w:r w:rsidR="000A0581">
        <w:rPr>
          <w:sz w:val="24"/>
          <w:szCs w:val="24"/>
        </w:rPr>
        <w:t xml:space="preserve"> (</w:t>
      </w:r>
      <w:proofErr w:type="spellStart"/>
      <w:r w:rsidR="000A0581">
        <w:rPr>
          <w:sz w:val="24"/>
          <w:szCs w:val="24"/>
        </w:rPr>
        <w:t>eg</w:t>
      </w:r>
      <w:proofErr w:type="spellEnd"/>
      <w:r w:rsidR="000A0581">
        <w:rPr>
          <w:sz w:val="24"/>
          <w:szCs w:val="24"/>
        </w:rPr>
        <w:t xml:space="preserve"> AVASTIN with platinum-or </w:t>
      </w:r>
      <w:proofErr w:type="spellStart"/>
      <w:r w:rsidR="000A0581">
        <w:rPr>
          <w:sz w:val="24"/>
          <w:szCs w:val="24"/>
        </w:rPr>
        <w:t>taxane</w:t>
      </w:r>
      <w:proofErr w:type="spellEnd"/>
      <w:r w:rsidR="000A0581">
        <w:rPr>
          <w:sz w:val="24"/>
          <w:szCs w:val="24"/>
        </w:rPr>
        <w:t xml:space="preserve"> based chemotherapies)</w:t>
      </w:r>
      <w:r w:rsidR="006A57A2">
        <w:rPr>
          <w:sz w:val="24"/>
          <w:szCs w:val="24"/>
        </w:rPr>
        <w:t>; (see INTERACTIONS WITH OTHER MEDICINES)</w:t>
      </w:r>
      <w:r w:rsidRPr="00E741B1">
        <w:rPr>
          <w:sz w:val="24"/>
          <w:szCs w:val="24"/>
        </w:rPr>
        <w:t xml:space="preserve">. </w:t>
      </w:r>
      <w:bookmarkStart w:id="15" w:name="OLE_LINK4"/>
    </w:p>
    <w:p w:rsidR="00BC1CE5" w:rsidRPr="00BC1CE5" w:rsidRDefault="00BC1CE5" w:rsidP="00CC2749">
      <w:pPr>
        <w:pStyle w:val="Heading3"/>
      </w:pPr>
      <w:r>
        <w:lastRenderedPageBreak/>
        <w:t>Fistulae</w:t>
      </w:r>
    </w:p>
    <w:p w:rsidR="000872CB" w:rsidRDefault="00BC1CE5" w:rsidP="002B39CA">
      <w:pPr>
        <w:jc w:val="both"/>
        <w:rPr>
          <w:sz w:val="24"/>
          <w:szCs w:val="24"/>
        </w:rPr>
      </w:pPr>
      <w:r w:rsidRPr="007951F9">
        <w:rPr>
          <w:sz w:val="24"/>
          <w:szCs w:val="24"/>
        </w:rPr>
        <w:t>Patients may be at increased risk for the development of fistulae when treated with AVASTIN.</w:t>
      </w:r>
      <w:r w:rsidR="000872CB">
        <w:rPr>
          <w:sz w:val="24"/>
          <w:szCs w:val="24"/>
        </w:rPr>
        <w:t xml:space="preserve">  </w:t>
      </w:r>
      <w:r w:rsidR="007951F9" w:rsidRPr="007951F9">
        <w:rPr>
          <w:sz w:val="24"/>
          <w:szCs w:val="24"/>
        </w:rPr>
        <w:t>AVASTIN use has been associated with serious cases of fistulae includ</w:t>
      </w:r>
      <w:r w:rsidR="007951F9">
        <w:rPr>
          <w:sz w:val="24"/>
          <w:szCs w:val="24"/>
        </w:rPr>
        <w:t xml:space="preserve">ing events resulting in death.  </w:t>
      </w:r>
    </w:p>
    <w:p w:rsidR="00A5562D" w:rsidRPr="007E2972" w:rsidRDefault="00A5562D" w:rsidP="002B39CA">
      <w:pPr>
        <w:jc w:val="both"/>
        <w:rPr>
          <w:sz w:val="24"/>
          <w:szCs w:val="24"/>
        </w:rPr>
      </w:pPr>
      <w:r w:rsidRPr="007E2972">
        <w:rPr>
          <w:rFonts w:eastAsia="SimSun"/>
          <w:sz w:val="24"/>
          <w:szCs w:val="24"/>
          <w:lang w:eastAsia="zh-CN"/>
        </w:rPr>
        <w:t>In AVASTIN clinical trials, gastrointestinal fistulae have been reported with an incidence of up to 2% in patients with metastatic colorectal cancer</w:t>
      </w:r>
      <w:r w:rsidR="00906DB1">
        <w:rPr>
          <w:rFonts w:eastAsia="SimSun"/>
          <w:sz w:val="24"/>
          <w:szCs w:val="24"/>
          <w:lang w:eastAsia="zh-CN"/>
        </w:rPr>
        <w:t xml:space="preserve"> and ovarian cancer</w:t>
      </w:r>
      <w:r w:rsidRPr="007E2972">
        <w:rPr>
          <w:rFonts w:eastAsia="SimSun"/>
          <w:sz w:val="24"/>
          <w:szCs w:val="24"/>
          <w:lang w:eastAsia="zh-CN"/>
        </w:rPr>
        <w:t>, but were also reported less commonly in patients with other types of cancer.</w:t>
      </w:r>
      <w:r w:rsidR="00A64CE8">
        <w:rPr>
          <w:rFonts w:eastAsia="SimSun"/>
          <w:sz w:val="24"/>
          <w:szCs w:val="24"/>
          <w:lang w:eastAsia="zh-CN"/>
        </w:rPr>
        <w:t xml:space="preserve"> </w:t>
      </w:r>
      <w:r w:rsidR="00A64CE8" w:rsidRPr="00A64CE8">
        <w:rPr>
          <w:rFonts w:eastAsia="SimSun"/>
          <w:sz w:val="24"/>
          <w:szCs w:val="24"/>
          <w:lang w:eastAsia="zh-CN"/>
        </w:rPr>
        <w:t>In a study of platinum resistant ovarian cancer (study MO22224), an incidence of up to 2.2% of fistulae involving the urinary bladder and female genital tract (including recto</w:t>
      </w:r>
      <w:r w:rsidR="00A80E40">
        <w:rPr>
          <w:rFonts w:eastAsia="SimSun"/>
          <w:sz w:val="24"/>
          <w:szCs w:val="24"/>
          <w:lang w:eastAsia="zh-CN"/>
        </w:rPr>
        <w:t>-</w:t>
      </w:r>
      <w:r w:rsidR="00A64CE8" w:rsidRPr="00A64CE8">
        <w:rPr>
          <w:rFonts w:eastAsia="SimSun"/>
          <w:sz w:val="24"/>
          <w:szCs w:val="24"/>
          <w:lang w:eastAsia="zh-CN"/>
        </w:rPr>
        <w:t xml:space="preserve">vaginal fistulae) was observed. </w:t>
      </w:r>
      <w:r w:rsidRPr="007E2972">
        <w:rPr>
          <w:rFonts w:eastAsia="SimSun"/>
          <w:sz w:val="24"/>
          <w:szCs w:val="24"/>
          <w:lang w:eastAsia="zh-CN"/>
        </w:rPr>
        <w:t xml:space="preserve"> Uncommon (≥</w:t>
      </w:r>
      <w:r w:rsidRPr="007E2972">
        <w:rPr>
          <w:sz w:val="24"/>
          <w:szCs w:val="24"/>
        </w:rPr>
        <w:t> </w:t>
      </w:r>
      <w:r w:rsidRPr="007E2972">
        <w:rPr>
          <w:rFonts w:eastAsia="SimSun"/>
          <w:sz w:val="24"/>
          <w:szCs w:val="24"/>
          <w:lang w:eastAsia="zh-CN"/>
        </w:rPr>
        <w:t>0.1% to &lt;</w:t>
      </w:r>
      <w:r w:rsidRPr="007E2972">
        <w:rPr>
          <w:sz w:val="24"/>
          <w:szCs w:val="24"/>
        </w:rPr>
        <w:t> </w:t>
      </w:r>
      <w:r w:rsidRPr="007E2972">
        <w:rPr>
          <w:rFonts w:eastAsia="SimSun"/>
          <w:sz w:val="24"/>
          <w:szCs w:val="24"/>
          <w:lang w:eastAsia="zh-CN"/>
        </w:rPr>
        <w:t xml:space="preserve">1%) reports of other types of fistulae that involve areas of the body other than the </w:t>
      </w:r>
      <w:r w:rsidR="00F82834">
        <w:rPr>
          <w:rFonts w:eastAsia="SimSun"/>
          <w:sz w:val="24"/>
          <w:szCs w:val="24"/>
          <w:lang w:eastAsia="zh-CN"/>
        </w:rPr>
        <w:t>GI</w:t>
      </w:r>
      <w:r w:rsidR="00F82834" w:rsidRPr="007E2972">
        <w:rPr>
          <w:rFonts w:eastAsia="SimSun"/>
          <w:sz w:val="24"/>
          <w:szCs w:val="24"/>
          <w:lang w:eastAsia="zh-CN"/>
        </w:rPr>
        <w:t xml:space="preserve"> </w:t>
      </w:r>
      <w:r w:rsidRPr="007E2972">
        <w:rPr>
          <w:rFonts w:eastAsia="SimSun"/>
          <w:sz w:val="24"/>
          <w:szCs w:val="24"/>
          <w:lang w:eastAsia="zh-CN"/>
        </w:rPr>
        <w:t>tract (e</w:t>
      </w:r>
      <w:r w:rsidR="00766E9A">
        <w:rPr>
          <w:rFonts w:eastAsia="SimSun"/>
          <w:sz w:val="24"/>
          <w:szCs w:val="24"/>
          <w:lang w:eastAsia="zh-CN"/>
        </w:rPr>
        <w:t>.</w:t>
      </w:r>
      <w:r w:rsidRPr="007E2972">
        <w:rPr>
          <w:rFonts w:eastAsia="SimSun"/>
          <w:sz w:val="24"/>
          <w:szCs w:val="24"/>
          <w:lang w:eastAsia="zh-CN"/>
        </w:rPr>
        <w:t>g</w:t>
      </w:r>
      <w:r w:rsidR="00766E9A">
        <w:rPr>
          <w:rFonts w:eastAsia="SimSun"/>
          <w:sz w:val="24"/>
          <w:szCs w:val="24"/>
          <w:lang w:eastAsia="zh-CN"/>
        </w:rPr>
        <w:t>.</w:t>
      </w:r>
      <w:r w:rsidRPr="007E2972">
        <w:rPr>
          <w:rFonts w:eastAsia="SimSun"/>
          <w:sz w:val="24"/>
          <w:szCs w:val="24"/>
          <w:lang w:eastAsia="zh-CN"/>
        </w:rPr>
        <w:t xml:space="preserve"> </w:t>
      </w:r>
      <w:proofErr w:type="spellStart"/>
      <w:r w:rsidRPr="007E2972">
        <w:rPr>
          <w:rFonts w:eastAsia="SimSun"/>
          <w:sz w:val="24"/>
          <w:szCs w:val="24"/>
          <w:lang w:eastAsia="zh-CN"/>
        </w:rPr>
        <w:t>bronchopleural</w:t>
      </w:r>
      <w:proofErr w:type="spellEnd"/>
      <w:r w:rsidRPr="007E2972">
        <w:rPr>
          <w:rFonts w:eastAsia="SimSun"/>
          <w:sz w:val="24"/>
          <w:szCs w:val="24"/>
          <w:lang w:eastAsia="zh-CN"/>
        </w:rPr>
        <w:t>, urogenital, biliary fistulae) were obser</w:t>
      </w:r>
      <w:r w:rsidR="00A64CE8">
        <w:rPr>
          <w:rFonts w:eastAsia="SimSun"/>
          <w:sz w:val="24"/>
          <w:szCs w:val="24"/>
          <w:lang w:eastAsia="zh-CN"/>
        </w:rPr>
        <w:t>ved across various indications.</w:t>
      </w:r>
      <w:r w:rsidRPr="007E2972">
        <w:rPr>
          <w:rFonts w:eastAsia="SimSun"/>
          <w:sz w:val="24"/>
          <w:szCs w:val="24"/>
          <w:lang w:eastAsia="zh-CN"/>
        </w:rPr>
        <w:t xml:space="preserve"> Fistulae have also been reported in post-marketing experience. </w:t>
      </w:r>
    </w:p>
    <w:p w:rsidR="007951F9" w:rsidRPr="007951F9" w:rsidRDefault="007951F9" w:rsidP="002B39CA">
      <w:pPr>
        <w:jc w:val="both"/>
        <w:rPr>
          <w:sz w:val="24"/>
          <w:szCs w:val="24"/>
        </w:rPr>
      </w:pPr>
      <w:r w:rsidRPr="007951F9">
        <w:rPr>
          <w:sz w:val="24"/>
          <w:szCs w:val="24"/>
        </w:rPr>
        <w:t xml:space="preserve">Events were reported at various time points during treatment ranging from one week to greater than 1 year from initiation of AVASTIN, with most events occurring within the first </w:t>
      </w:r>
      <w:r w:rsidRPr="007951F9">
        <w:rPr>
          <w:bCs/>
          <w:iCs/>
          <w:sz w:val="24"/>
          <w:szCs w:val="24"/>
        </w:rPr>
        <w:t>6 months</w:t>
      </w:r>
      <w:r w:rsidRPr="007951F9">
        <w:rPr>
          <w:sz w:val="24"/>
          <w:szCs w:val="24"/>
        </w:rPr>
        <w:t xml:space="preserve"> of therapy.</w:t>
      </w:r>
    </w:p>
    <w:p w:rsidR="00BC1CE5" w:rsidRDefault="00BC1CE5" w:rsidP="002B39CA">
      <w:pPr>
        <w:jc w:val="both"/>
        <w:rPr>
          <w:sz w:val="24"/>
          <w:szCs w:val="24"/>
        </w:rPr>
      </w:pPr>
      <w:r w:rsidRPr="007951F9">
        <w:rPr>
          <w:sz w:val="24"/>
          <w:szCs w:val="24"/>
        </w:rPr>
        <w:t xml:space="preserve">Permanently discontinue AVASTIN in patients with </w:t>
      </w:r>
      <w:proofErr w:type="spellStart"/>
      <w:r w:rsidR="007951F9">
        <w:rPr>
          <w:sz w:val="24"/>
          <w:szCs w:val="24"/>
        </w:rPr>
        <w:t>tracheo</w:t>
      </w:r>
      <w:proofErr w:type="spellEnd"/>
      <w:r w:rsidR="007951F9">
        <w:rPr>
          <w:sz w:val="24"/>
          <w:szCs w:val="24"/>
        </w:rPr>
        <w:t>-oesophageal</w:t>
      </w:r>
      <w:r w:rsidRPr="007951F9">
        <w:rPr>
          <w:sz w:val="24"/>
          <w:szCs w:val="24"/>
        </w:rPr>
        <w:t xml:space="preserve"> fistula or any </w:t>
      </w:r>
      <w:r w:rsidR="007951F9" w:rsidRPr="007951F9">
        <w:rPr>
          <w:sz w:val="24"/>
          <w:szCs w:val="24"/>
        </w:rPr>
        <w:t>G</w:t>
      </w:r>
      <w:r w:rsidR="00A64CE8">
        <w:rPr>
          <w:sz w:val="24"/>
          <w:szCs w:val="24"/>
        </w:rPr>
        <w:t>rade 4 fistula.</w:t>
      </w:r>
      <w:r w:rsidRPr="007951F9">
        <w:rPr>
          <w:sz w:val="24"/>
          <w:szCs w:val="24"/>
        </w:rPr>
        <w:t xml:space="preserve"> Limited information is available on the continued use of AVASTIN i</w:t>
      </w:r>
      <w:r w:rsidR="00A64CE8">
        <w:rPr>
          <w:sz w:val="24"/>
          <w:szCs w:val="24"/>
        </w:rPr>
        <w:t>n patients with other fistulae.</w:t>
      </w:r>
      <w:r w:rsidR="007951F9" w:rsidRPr="007951F9">
        <w:rPr>
          <w:sz w:val="24"/>
          <w:szCs w:val="24"/>
        </w:rPr>
        <w:t xml:space="preserve"> </w:t>
      </w:r>
      <w:r w:rsidRPr="007951F9">
        <w:rPr>
          <w:sz w:val="24"/>
          <w:szCs w:val="24"/>
        </w:rPr>
        <w:t xml:space="preserve">In cases of internal fistula not arising in the </w:t>
      </w:r>
      <w:r w:rsidR="00F82834">
        <w:rPr>
          <w:sz w:val="24"/>
          <w:szCs w:val="24"/>
        </w:rPr>
        <w:t>GI</w:t>
      </w:r>
      <w:r w:rsidR="00F82834" w:rsidRPr="007951F9">
        <w:rPr>
          <w:sz w:val="24"/>
          <w:szCs w:val="24"/>
        </w:rPr>
        <w:t xml:space="preserve"> </w:t>
      </w:r>
      <w:r w:rsidRPr="007951F9">
        <w:rPr>
          <w:sz w:val="24"/>
          <w:szCs w:val="24"/>
        </w:rPr>
        <w:t>tract, discontinuation o</w:t>
      </w:r>
      <w:r w:rsidR="007951F9">
        <w:rPr>
          <w:sz w:val="24"/>
          <w:szCs w:val="24"/>
        </w:rPr>
        <w:t>f AVASTIN should be considered.</w:t>
      </w:r>
      <w:r w:rsidRPr="007951F9">
        <w:rPr>
          <w:sz w:val="24"/>
          <w:szCs w:val="24"/>
        </w:rPr>
        <w:t xml:space="preserve"> </w:t>
      </w:r>
    </w:p>
    <w:p w:rsidR="00155B02" w:rsidRPr="00155B02" w:rsidRDefault="00155B02" w:rsidP="00155B02">
      <w:pPr>
        <w:pStyle w:val="Heading3"/>
      </w:pPr>
      <w:r w:rsidRPr="00155B02">
        <w:t xml:space="preserve">Hypersensitivity Reactions, Infusion Reactions </w:t>
      </w:r>
    </w:p>
    <w:p w:rsidR="0020132A" w:rsidRDefault="0020132A" w:rsidP="0020132A">
      <w:pPr>
        <w:autoSpaceDE w:val="0"/>
        <w:autoSpaceDN w:val="0"/>
        <w:adjustRightInd w:val="0"/>
        <w:spacing w:after="0"/>
        <w:jc w:val="both"/>
        <w:rPr>
          <w:rFonts w:ascii="TimesNewRomanPSMT" w:eastAsia="SimSun" w:hAnsi="TimesNewRomanPSMT" w:cs="TimesNewRomanPSMT"/>
          <w:sz w:val="20"/>
          <w:lang w:val="en-US" w:eastAsia="zh-CN"/>
        </w:rPr>
      </w:pPr>
      <w:r>
        <w:rPr>
          <w:rFonts w:ascii="TimesNewRomanPSMT" w:eastAsia="SimSun" w:hAnsi="TimesNewRomanPSMT" w:cs="TimesNewRomanPSMT"/>
          <w:sz w:val="24"/>
          <w:szCs w:val="24"/>
          <w:lang w:val="en-US" w:eastAsia="zh-CN"/>
        </w:rPr>
        <w:t xml:space="preserve">In some clinical trials anaphylactic and </w:t>
      </w:r>
      <w:proofErr w:type="spellStart"/>
      <w:r>
        <w:rPr>
          <w:rFonts w:ascii="TimesNewRomanPSMT" w:eastAsia="SimSun" w:hAnsi="TimesNewRomanPSMT" w:cs="TimesNewRomanPSMT"/>
          <w:sz w:val="24"/>
          <w:szCs w:val="24"/>
          <w:lang w:val="en-US" w:eastAsia="zh-CN"/>
        </w:rPr>
        <w:t>anaphylactoid</w:t>
      </w:r>
      <w:proofErr w:type="spellEnd"/>
      <w:r>
        <w:rPr>
          <w:rFonts w:ascii="TimesNewRomanPSMT" w:eastAsia="SimSun" w:hAnsi="TimesNewRomanPSMT" w:cs="TimesNewRomanPSMT"/>
          <w:sz w:val="24"/>
          <w:szCs w:val="24"/>
          <w:lang w:val="en-US" w:eastAsia="zh-CN"/>
        </w:rPr>
        <w:t>-type reactions were reported more frequently in patients receiving AVASTIN in combination with chemotherapies than with chemotherapy alone.  The incidence of these reactions in some clinical trials of AVASTIN is common (up to 5% in AVASTIN-treated patients).</w:t>
      </w:r>
    </w:p>
    <w:p w:rsidR="0020132A" w:rsidRDefault="0020132A" w:rsidP="00BD3577">
      <w:pPr>
        <w:autoSpaceDE w:val="0"/>
        <w:autoSpaceDN w:val="0"/>
        <w:adjustRightInd w:val="0"/>
        <w:spacing w:after="0"/>
        <w:jc w:val="both"/>
        <w:rPr>
          <w:sz w:val="24"/>
          <w:szCs w:val="24"/>
          <w:lang w:val="en-US"/>
        </w:rPr>
      </w:pPr>
    </w:p>
    <w:p w:rsidR="0080581A" w:rsidRDefault="00155B02" w:rsidP="0070535F">
      <w:pPr>
        <w:autoSpaceDE w:val="0"/>
        <w:autoSpaceDN w:val="0"/>
        <w:adjustRightInd w:val="0"/>
        <w:jc w:val="both"/>
        <w:rPr>
          <w:sz w:val="24"/>
          <w:szCs w:val="24"/>
        </w:rPr>
      </w:pPr>
      <w:r w:rsidRPr="00155B02">
        <w:rPr>
          <w:sz w:val="24"/>
          <w:szCs w:val="24"/>
        </w:rPr>
        <w:t>Patients may be at risk of developing infusion/hypersensitivity reactions. Close observation of the patient during and following the administration of AVASTIN is recommended</w:t>
      </w:r>
      <w:r w:rsidR="0020132A">
        <w:rPr>
          <w:sz w:val="24"/>
          <w:szCs w:val="24"/>
        </w:rPr>
        <w:t xml:space="preserve"> as expected for any infusion of a therapeutic humanised monoclonal antibody</w:t>
      </w:r>
      <w:r w:rsidRPr="00155B02">
        <w:rPr>
          <w:sz w:val="24"/>
          <w:szCs w:val="24"/>
        </w:rPr>
        <w:t>. If a reaction occurs, the infusion should be discontinued and appropriate medical therapies should be administered.</w:t>
      </w:r>
      <w:r w:rsidR="0020132A">
        <w:rPr>
          <w:sz w:val="24"/>
          <w:szCs w:val="24"/>
        </w:rPr>
        <w:t xml:space="preserve"> A systematic premedication is not warranted.</w:t>
      </w:r>
    </w:p>
    <w:p w:rsidR="0070535F" w:rsidRPr="00660953" w:rsidRDefault="0070535F" w:rsidP="0070535F">
      <w:pPr>
        <w:pStyle w:val="Heading3"/>
      </w:pPr>
      <w:r w:rsidRPr="00660953">
        <w:t xml:space="preserve">Severe Eye Infections Following Compounding for Unapproved </w:t>
      </w:r>
      <w:proofErr w:type="spellStart"/>
      <w:r w:rsidRPr="00660953">
        <w:t>Intravitreal</w:t>
      </w:r>
      <w:proofErr w:type="spellEnd"/>
      <w:r w:rsidRPr="00660953">
        <w:t xml:space="preserve"> Use </w:t>
      </w:r>
    </w:p>
    <w:p w:rsidR="0070535F" w:rsidRDefault="0070535F" w:rsidP="0070535F">
      <w:pPr>
        <w:pStyle w:val="TextTi12"/>
        <w:spacing w:after="120" w:line="240" w:lineRule="auto"/>
        <w:rPr>
          <w:b/>
          <w:lang w:val="en-AU"/>
        </w:rPr>
      </w:pPr>
      <w:r w:rsidRPr="00660953">
        <w:t xml:space="preserve">Individual cases and clusters of serious ocular adverse events have been reported (including infectious </w:t>
      </w:r>
      <w:proofErr w:type="spellStart"/>
      <w:r w:rsidRPr="00660953">
        <w:t>endophthalmitis</w:t>
      </w:r>
      <w:proofErr w:type="spellEnd"/>
      <w:r w:rsidRPr="00660953">
        <w:t xml:space="preserve"> and other ocular inflammatory conditions) following unapproved </w:t>
      </w:r>
      <w:proofErr w:type="spellStart"/>
      <w:r w:rsidRPr="00660953">
        <w:t>intravitreal</w:t>
      </w:r>
      <w:proofErr w:type="spellEnd"/>
      <w:r w:rsidRPr="00660953">
        <w:t xml:space="preserve"> use of AVASTIN compounded from vials approved for intravenous administration in cancer patients.  Some of these events have resulted in various degrees of visual loss, including permanent blindness</w:t>
      </w:r>
      <w:r w:rsidRPr="00660953">
        <w:rPr>
          <w:b/>
          <w:lang w:val="en-AU"/>
        </w:rPr>
        <w:t xml:space="preserve"> </w:t>
      </w:r>
      <w:r w:rsidRPr="00660953">
        <w:rPr>
          <w:lang w:val="en-AU"/>
        </w:rPr>
        <w:t xml:space="preserve">(see </w:t>
      </w:r>
      <w:r w:rsidRPr="00AB78DE">
        <w:rPr>
          <w:i/>
          <w:lang w:val="en-AU"/>
        </w:rPr>
        <w:t>ADVERSE EFFECTS</w:t>
      </w:r>
      <w:r w:rsidRPr="00660953">
        <w:rPr>
          <w:lang w:val="en-AU"/>
        </w:rPr>
        <w:t xml:space="preserve">; </w:t>
      </w:r>
      <w:r w:rsidRPr="00660953">
        <w:rPr>
          <w:i/>
          <w:lang w:val="en-AU"/>
        </w:rPr>
        <w:t>Post-marketing Experience</w:t>
      </w:r>
      <w:r w:rsidRPr="00660953">
        <w:rPr>
          <w:lang w:val="en-AU"/>
        </w:rPr>
        <w:t>)</w:t>
      </w:r>
      <w:r w:rsidRPr="00660953">
        <w:rPr>
          <w:b/>
          <w:lang w:val="en-AU"/>
        </w:rPr>
        <w:t>.</w:t>
      </w:r>
    </w:p>
    <w:p w:rsidR="009C31BE" w:rsidRDefault="009C31BE" w:rsidP="0070535F">
      <w:pPr>
        <w:pStyle w:val="TextTi12"/>
        <w:spacing w:after="120" w:line="240" w:lineRule="auto"/>
        <w:rPr>
          <w:b/>
          <w:lang w:val="en-AU"/>
        </w:rPr>
      </w:pPr>
    </w:p>
    <w:p w:rsidR="00C158C8" w:rsidRPr="00A34D7E" w:rsidRDefault="00C158C8" w:rsidP="00A34D7E">
      <w:pPr>
        <w:pStyle w:val="Heading3"/>
      </w:pPr>
      <w:r w:rsidRPr="00A34D7E">
        <w:t>Osteonecrosis of the Jaw (ONJ)</w:t>
      </w:r>
    </w:p>
    <w:p w:rsidR="00C158C8" w:rsidRPr="00464088" w:rsidRDefault="00C158C8" w:rsidP="0070535F">
      <w:pPr>
        <w:pStyle w:val="TextTi12"/>
        <w:spacing w:after="120" w:line="240" w:lineRule="auto"/>
      </w:pPr>
      <w:r w:rsidRPr="00464088">
        <w:t xml:space="preserve">Cases </w:t>
      </w:r>
      <w:r>
        <w:t xml:space="preserve">of ONJ have been reported in cancer patients treated with AVASTIN (see </w:t>
      </w:r>
      <w:r w:rsidRPr="00464088">
        <w:rPr>
          <w:i/>
          <w:lang w:val="en-AU"/>
        </w:rPr>
        <w:t>ADVERSE Effects, Post-Marketing Experience</w:t>
      </w:r>
      <w:r>
        <w:t>). Most had received prior or concomitant intravenous bisphosphonates, for which ONJ is an identified risk. Invasive dental procedures are also an identified risk factor. A dental examination and appropriate preventive dentistry should be considered prior to starting AVASTIN.</w:t>
      </w:r>
    </w:p>
    <w:p w:rsidR="008A7314" w:rsidRPr="007B1CE9" w:rsidRDefault="00874F80">
      <w:pPr>
        <w:pStyle w:val="Heading3"/>
      </w:pPr>
      <w:bookmarkStart w:id="16" w:name="OLE_LINK22"/>
      <w:bookmarkEnd w:id="15"/>
      <w:r w:rsidRPr="007B1CE9">
        <w:t xml:space="preserve">Effects on </w:t>
      </w:r>
      <w:r w:rsidR="008A7314" w:rsidRPr="007B1CE9">
        <w:t>Fertility</w:t>
      </w:r>
    </w:p>
    <w:p w:rsidR="00E12D46" w:rsidRPr="00E947B6" w:rsidRDefault="00E12D46" w:rsidP="00AE1E2B">
      <w:pPr>
        <w:pStyle w:val="TextTi12"/>
        <w:rPr>
          <w:lang w:val="en-GB"/>
        </w:rPr>
      </w:pPr>
      <w:r w:rsidRPr="00E947B6">
        <w:rPr>
          <w:lang w:val="en-GB"/>
        </w:rPr>
        <w:t>AVASTIN may impair female fertility</w:t>
      </w:r>
      <w:r w:rsidR="00E947B6">
        <w:rPr>
          <w:lang w:val="en-GB"/>
        </w:rPr>
        <w:t>, t</w:t>
      </w:r>
      <w:r w:rsidRPr="00E947B6">
        <w:rPr>
          <w:lang w:val="en-GB"/>
        </w:rPr>
        <w:t>herefore fertility preservation strategies should be discussed with women of child-bearing potential prior to starting treatment with AVASTIN.</w:t>
      </w:r>
    </w:p>
    <w:bookmarkEnd w:id="16"/>
    <w:p w:rsidR="00626F30" w:rsidRDefault="00AF5D4F" w:rsidP="00AE1E2B">
      <w:pPr>
        <w:pStyle w:val="TextTi12"/>
        <w:rPr>
          <w:lang w:val="en-GB"/>
        </w:rPr>
      </w:pPr>
      <w:r w:rsidRPr="007B1CE9">
        <w:rPr>
          <w:lang w:val="en-GB"/>
        </w:rPr>
        <w:lastRenderedPageBreak/>
        <w:t xml:space="preserve">No specific studies in animals have been performed to evaluate the effect of </w:t>
      </w:r>
      <w:proofErr w:type="spellStart"/>
      <w:r w:rsidR="00DA0935" w:rsidRPr="007B1CE9">
        <w:rPr>
          <w:lang w:val="en-GB"/>
        </w:rPr>
        <w:t>bevacizumab</w:t>
      </w:r>
      <w:proofErr w:type="spellEnd"/>
      <w:r w:rsidR="00DA0935" w:rsidRPr="007B1CE9">
        <w:rPr>
          <w:lang w:val="en-GB"/>
        </w:rPr>
        <w:t xml:space="preserve"> </w:t>
      </w:r>
      <w:r w:rsidRPr="007B1CE9">
        <w:rPr>
          <w:lang w:val="en-GB"/>
        </w:rPr>
        <w:t xml:space="preserve">on fertility. </w:t>
      </w:r>
      <w:r w:rsidR="00E868E3">
        <w:rPr>
          <w:lang w:val="en-GB"/>
        </w:rPr>
        <w:t xml:space="preserve"> </w:t>
      </w:r>
      <w:r w:rsidRPr="007B1CE9">
        <w:rPr>
          <w:lang w:val="en-GB"/>
        </w:rPr>
        <w:t xml:space="preserve">No adverse effect on </w:t>
      </w:r>
      <w:r w:rsidR="00273B45" w:rsidRPr="007B1CE9">
        <w:rPr>
          <w:lang w:val="en-GB"/>
        </w:rPr>
        <w:t xml:space="preserve">the </w:t>
      </w:r>
      <w:r w:rsidRPr="007B1CE9">
        <w:rPr>
          <w:lang w:val="en-GB"/>
        </w:rPr>
        <w:t xml:space="preserve">male reproductive organ was observed in repeat dose toxicity studies in </w:t>
      </w:r>
      <w:proofErr w:type="spellStart"/>
      <w:r w:rsidRPr="007B1CE9">
        <w:rPr>
          <w:lang w:val="en-GB"/>
        </w:rPr>
        <w:t>cynomolgus</w:t>
      </w:r>
      <w:proofErr w:type="spellEnd"/>
      <w:r w:rsidRPr="007B1CE9">
        <w:rPr>
          <w:lang w:val="en-GB"/>
        </w:rPr>
        <w:t xml:space="preserve"> monkeys</w:t>
      </w:r>
      <w:r w:rsidR="00DA0935" w:rsidRPr="007B1CE9">
        <w:rPr>
          <w:lang w:val="en-GB"/>
        </w:rPr>
        <w:t>, but inhibition of ovarian function was observed in females</w:t>
      </w:r>
      <w:r w:rsidRPr="007B1CE9">
        <w:rPr>
          <w:lang w:val="en-GB"/>
        </w:rPr>
        <w:t>.</w:t>
      </w:r>
      <w:r w:rsidR="00DA0935" w:rsidRPr="007B1CE9">
        <w:rPr>
          <w:lang w:val="en-GB"/>
        </w:rPr>
        <w:t xml:space="preserve"> </w:t>
      </w:r>
      <w:r w:rsidR="00E868E3">
        <w:rPr>
          <w:lang w:val="en-GB"/>
        </w:rPr>
        <w:t xml:space="preserve"> </w:t>
      </w:r>
      <w:r w:rsidR="00DA0935" w:rsidRPr="007B1CE9">
        <w:rPr>
          <w:lang w:val="en-GB"/>
        </w:rPr>
        <w:t xml:space="preserve">This </w:t>
      </w:r>
      <w:r w:rsidRPr="007B1CE9">
        <w:rPr>
          <w:lang w:val="en-GB"/>
        </w:rPr>
        <w:t xml:space="preserve">was characterised by decreases in ovarian and/or uterine weight and the number of corpora </w:t>
      </w:r>
      <w:proofErr w:type="spellStart"/>
      <w:r w:rsidRPr="007B1CE9">
        <w:rPr>
          <w:lang w:val="en-GB"/>
        </w:rPr>
        <w:t>lutea</w:t>
      </w:r>
      <w:proofErr w:type="spellEnd"/>
      <w:r w:rsidRPr="007B1CE9">
        <w:rPr>
          <w:lang w:val="en-GB"/>
        </w:rPr>
        <w:t xml:space="preserve">, a reduction in endometrial proliferation and </w:t>
      </w:r>
      <w:r w:rsidRPr="007B1CE9">
        <w:t xml:space="preserve">an inhibition of follicular maturation in </w:t>
      </w:r>
      <w:proofErr w:type="spellStart"/>
      <w:r w:rsidRPr="007B1CE9">
        <w:t>cynomolgus</w:t>
      </w:r>
      <w:proofErr w:type="spellEnd"/>
      <w:r w:rsidRPr="007B1CE9">
        <w:t xml:space="preserve"> monkeys treated with AVASTIN</w:t>
      </w:r>
      <w:r w:rsidRPr="007B1CE9">
        <w:rPr>
          <w:lang w:val="en-GB"/>
        </w:rPr>
        <w:t xml:space="preserve">. </w:t>
      </w:r>
      <w:r w:rsidR="00E868E3">
        <w:rPr>
          <w:lang w:val="en-GB"/>
        </w:rPr>
        <w:t xml:space="preserve"> </w:t>
      </w:r>
      <w:r w:rsidRPr="007B1CE9">
        <w:rPr>
          <w:lang w:val="en-GB"/>
        </w:rPr>
        <w:t xml:space="preserve">The </w:t>
      </w:r>
      <w:r w:rsidR="00DA0935" w:rsidRPr="007B1CE9">
        <w:rPr>
          <w:lang w:val="en-GB"/>
        </w:rPr>
        <w:t>lowest dose te</w:t>
      </w:r>
      <w:r w:rsidR="00C47331" w:rsidRPr="007B1CE9">
        <w:rPr>
          <w:lang w:val="en-GB"/>
        </w:rPr>
        <w:t>s</w:t>
      </w:r>
      <w:r w:rsidR="00DA0935" w:rsidRPr="007B1CE9">
        <w:rPr>
          <w:lang w:val="en-GB"/>
        </w:rPr>
        <w:t>ted in the 26</w:t>
      </w:r>
      <w:r w:rsidR="008541DA">
        <w:rPr>
          <w:lang w:val="en-GB"/>
        </w:rPr>
        <w:t xml:space="preserve"> </w:t>
      </w:r>
      <w:r w:rsidR="00DA0935" w:rsidRPr="007B1CE9">
        <w:rPr>
          <w:lang w:val="en-GB"/>
        </w:rPr>
        <w:t>week study (2 mg/kg weekly which corresponds to 0.6-fold the human therapeutic dose based on AUC) caused a reduction in uterine weight</w:t>
      </w:r>
      <w:r w:rsidR="00C47331" w:rsidRPr="007B1CE9">
        <w:rPr>
          <w:lang w:val="en-GB"/>
        </w:rPr>
        <w:t>, however the reduction was not statistically significant.</w:t>
      </w:r>
      <w:r w:rsidR="00DA0935" w:rsidRPr="007B1CE9">
        <w:rPr>
          <w:lang w:val="en-GB"/>
        </w:rPr>
        <w:t xml:space="preserve"> </w:t>
      </w:r>
      <w:r w:rsidR="00B35E26">
        <w:rPr>
          <w:lang w:val="en-GB"/>
        </w:rPr>
        <w:t xml:space="preserve"> </w:t>
      </w:r>
      <w:r w:rsidRPr="007B1CE9">
        <w:rPr>
          <w:lang w:val="en-GB"/>
        </w:rPr>
        <w:t xml:space="preserve">In rabbits, administration of 50 mg/kg of </w:t>
      </w:r>
      <w:proofErr w:type="spellStart"/>
      <w:r w:rsidRPr="007B1CE9">
        <w:rPr>
          <w:lang w:val="en-GB"/>
        </w:rPr>
        <w:t>bevacizumab</w:t>
      </w:r>
      <w:proofErr w:type="spellEnd"/>
      <w:r w:rsidRPr="007B1CE9">
        <w:rPr>
          <w:lang w:val="en-GB"/>
        </w:rPr>
        <w:t xml:space="preserve"> </w:t>
      </w:r>
      <w:r w:rsidR="004C5DF7" w:rsidRPr="007B1CE9">
        <w:rPr>
          <w:lang w:val="en-GB"/>
        </w:rPr>
        <w:t xml:space="preserve">IV for 3 or 4 doses every 4 days </w:t>
      </w:r>
      <w:r w:rsidRPr="007B1CE9">
        <w:rPr>
          <w:lang w:val="en-GB"/>
        </w:rPr>
        <w:t>resulted in decreases in ovarian</w:t>
      </w:r>
      <w:r w:rsidR="004C5DF7" w:rsidRPr="007B1CE9">
        <w:rPr>
          <w:lang w:val="en-GB"/>
        </w:rPr>
        <w:t xml:space="preserve"> and/or uterine </w:t>
      </w:r>
      <w:r w:rsidRPr="007B1CE9">
        <w:rPr>
          <w:lang w:val="en-GB"/>
        </w:rPr>
        <w:t xml:space="preserve">weight and number of corpora </w:t>
      </w:r>
      <w:proofErr w:type="spellStart"/>
      <w:r w:rsidRPr="007B1CE9">
        <w:rPr>
          <w:lang w:val="en-GB"/>
        </w:rPr>
        <w:t>lutea</w:t>
      </w:r>
      <w:proofErr w:type="spellEnd"/>
      <w:r w:rsidRPr="007B1CE9">
        <w:rPr>
          <w:lang w:val="en-GB"/>
        </w:rPr>
        <w:t>.</w:t>
      </w:r>
      <w:r w:rsidR="00E868E3">
        <w:rPr>
          <w:lang w:val="en-GB"/>
        </w:rPr>
        <w:t xml:space="preserve">  </w:t>
      </w:r>
      <w:r w:rsidRPr="007B1CE9">
        <w:rPr>
          <w:lang w:val="en-GB"/>
        </w:rPr>
        <w:t xml:space="preserve">The </w:t>
      </w:r>
      <w:r w:rsidR="004C5DF7" w:rsidRPr="007B1CE9">
        <w:rPr>
          <w:lang w:val="en-GB"/>
        </w:rPr>
        <w:t xml:space="preserve">changes </w:t>
      </w:r>
      <w:r w:rsidRPr="007B1CE9">
        <w:rPr>
          <w:lang w:val="en-GB"/>
        </w:rPr>
        <w:t xml:space="preserve">in both monkeys and rabbits were reversible upon cessation of treatment. </w:t>
      </w:r>
      <w:r w:rsidR="00E868E3">
        <w:rPr>
          <w:lang w:val="en-GB"/>
        </w:rPr>
        <w:t xml:space="preserve"> </w:t>
      </w:r>
    </w:p>
    <w:p w:rsidR="00247566" w:rsidRPr="00626F30" w:rsidRDefault="00247566" w:rsidP="00247566">
      <w:pPr>
        <w:pStyle w:val="TextTi12"/>
        <w:rPr>
          <w:lang w:val="en-GB"/>
        </w:rPr>
      </w:pPr>
      <w:r>
        <w:rPr>
          <w:lang w:val="en-GB"/>
        </w:rPr>
        <w:t>T</w:t>
      </w:r>
      <w:r w:rsidRPr="007F4932">
        <w:rPr>
          <w:lang w:val="en-GB"/>
        </w:rPr>
        <w:t xml:space="preserve">he incidence </w:t>
      </w:r>
      <w:r>
        <w:rPr>
          <w:lang w:val="en-GB"/>
        </w:rPr>
        <w:t>of new cases of ovarian failure</w:t>
      </w:r>
      <w:r w:rsidRPr="007F4932">
        <w:rPr>
          <w:lang w:val="en-GB"/>
        </w:rPr>
        <w:t xml:space="preserve"> </w:t>
      </w:r>
      <w:r>
        <w:rPr>
          <w:lang w:val="en-GB"/>
        </w:rPr>
        <w:t>(</w:t>
      </w:r>
      <w:r w:rsidRPr="007F4932">
        <w:rPr>
          <w:lang w:val="en-GB"/>
        </w:rPr>
        <w:t xml:space="preserve">defined as amenorrhoea lasting 3 or more months, FSH level ≥30 </w:t>
      </w:r>
      <w:proofErr w:type="spellStart"/>
      <w:r w:rsidRPr="007F4932">
        <w:rPr>
          <w:lang w:val="en-GB"/>
        </w:rPr>
        <w:t>mIU</w:t>
      </w:r>
      <w:proofErr w:type="spellEnd"/>
      <w:r w:rsidRPr="007F4932">
        <w:rPr>
          <w:lang w:val="en-GB"/>
        </w:rPr>
        <w:t>/mL and a negative serum β-HCG pregnancy test</w:t>
      </w:r>
      <w:r>
        <w:rPr>
          <w:lang w:val="en-GB"/>
        </w:rPr>
        <w:t>) w</w:t>
      </w:r>
      <w:r w:rsidRPr="007F4932">
        <w:rPr>
          <w:lang w:val="en-GB"/>
        </w:rPr>
        <w:t>as evaluated</w:t>
      </w:r>
      <w:r>
        <w:rPr>
          <w:lang w:val="en-GB"/>
        </w:rPr>
        <w:t xml:space="preserve"> in a sub-study of 295 premenopausal women</w:t>
      </w:r>
      <w:r w:rsidR="009230E0">
        <w:rPr>
          <w:lang w:val="en-GB"/>
        </w:rPr>
        <w:t>, treated with or without AVASTIN in adjuvant colon cancer therapy</w:t>
      </w:r>
      <w:r>
        <w:rPr>
          <w:lang w:val="en-GB"/>
        </w:rPr>
        <w:t xml:space="preserve">. </w:t>
      </w:r>
      <w:r w:rsidRPr="007F4932">
        <w:rPr>
          <w:lang w:val="en-GB"/>
        </w:rPr>
        <w:t xml:space="preserve">New cases of ovarian failure were reported </w:t>
      </w:r>
      <w:r>
        <w:rPr>
          <w:lang w:val="en-GB"/>
        </w:rPr>
        <w:t xml:space="preserve">more frequently </w:t>
      </w:r>
      <w:r w:rsidRPr="007F4932">
        <w:rPr>
          <w:lang w:val="en-GB"/>
        </w:rPr>
        <w:t xml:space="preserve">in </w:t>
      </w:r>
      <w:r>
        <w:rPr>
          <w:lang w:val="en-GB"/>
        </w:rPr>
        <w:t>patients receiving AVASTIN</w:t>
      </w:r>
      <w:r w:rsidR="009230E0">
        <w:rPr>
          <w:lang w:val="en-GB"/>
        </w:rPr>
        <w:t xml:space="preserve"> (39% in the AVASTIN group compared to 2.6% in the control)</w:t>
      </w:r>
      <w:r>
        <w:rPr>
          <w:lang w:val="en-GB"/>
        </w:rPr>
        <w:t xml:space="preserve">. </w:t>
      </w:r>
      <w:r w:rsidRPr="007F4932">
        <w:rPr>
          <w:lang w:val="en-GB"/>
        </w:rPr>
        <w:t xml:space="preserve">After discontinuation of </w:t>
      </w:r>
      <w:r>
        <w:rPr>
          <w:lang w:val="en-GB"/>
        </w:rPr>
        <w:t>AVASTIN</w:t>
      </w:r>
      <w:r w:rsidRPr="007F4932">
        <w:rPr>
          <w:lang w:val="en-GB"/>
        </w:rPr>
        <w:t xml:space="preserve">, ovarian function recovered in </w:t>
      </w:r>
      <w:r>
        <w:rPr>
          <w:lang w:val="en-GB"/>
        </w:rPr>
        <w:t>a majority</w:t>
      </w:r>
      <w:r w:rsidRPr="007F4932">
        <w:rPr>
          <w:lang w:val="en-GB"/>
        </w:rPr>
        <w:t xml:space="preserve"> of women. Long term effects of treatment with </w:t>
      </w:r>
      <w:r>
        <w:rPr>
          <w:lang w:val="en-GB"/>
        </w:rPr>
        <w:t>AVASTIN</w:t>
      </w:r>
      <w:r w:rsidRPr="007F4932">
        <w:rPr>
          <w:lang w:val="en-GB"/>
        </w:rPr>
        <w:t xml:space="preserve"> on fertility are unknown</w:t>
      </w:r>
      <w:r w:rsidR="009230E0">
        <w:rPr>
          <w:lang w:val="en-GB"/>
        </w:rPr>
        <w:t xml:space="preserve">, however a higher rate of long-term amenorrhoea following AVASTIN therapy was observed in patients &lt;40 years (40% </w:t>
      </w:r>
      <w:proofErr w:type="spellStart"/>
      <w:r w:rsidR="009230E0">
        <w:rPr>
          <w:lang w:val="en-GB"/>
        </w:rPr>
        <w:t>amenorrhoeic</w:t>
      </w:r>
      <w:proofErr w:type="spellEnd"/>
      <w:r w:rsidR="009230E0">
        <w:rPr>
          <w:lang w:val="en-GB"/>
        </w:rPr>
        <w:t xml:space="preserve"> at 24 months after AVASTIN treatment compared to 6% in the control group)</w:t>
      </w:r>
      <w:r w:rsidRPr="007F4932">
        <w:rPr>
          <w:lang w:val="en-GB"/>
        </w:rPr>
        <w:t>.</w:t>
      </w:r>
    </w:p>
    <w:p w:rsidR="008A7314" w:rsidRPr="001E19FA" w:rsidRDefault="00650543" w:rsidP="00DC1372">
      <w:pPr>
        <w:pStyle w:val="Heading3"/>
      </w:pPr>
      <w:r w:rsidRPr="001E19FA">
        <w:t xml:space="preserve">Use in Pregnancy – Category </w:t>
      </w:r>
      <w:r w:rsidR="00171019" w:rsidRPr="001E19FA">
        <w:t>D</w:t>
      </w:r>
    </w:p>
    <w:p w:rsidR="00285F6C" w:rsidRPr="007B1CE9" w:rsidRDefault="00C71FB7" w:rsidP="00C71FB7">
      <w:pPr>
        <w:pStyle w:val="TextTi12"/>
        <w:rPr>
          <w:lang w:val="en-GB"/>
        </w:rPr>
      </w:pPr>
      <w:r w:rsidRPr="007B1CE9">
        <w:rPr>
          <w:lang w:val="en-GB"/>
        </w:rPr>
        <w:t>There are no adequate and well</w:t>
      </w:r>
      <w:r w:rsidRPr="007B1CE9">
        <w:rPr>
          <w:lang w:val="en-GB"/>
        </w:rPr>
        <w:noBreakHyphen/>
        <w:t xml:space="preserve">controlled studies in pregnant women. </w:t>
      </w:r>
      <w:r w:rsidR="008A43F8">
        <w:rPr>
          <w:lang w:val="en-GB"/>
        </w:rPr>
        <w:t xml:space="preserve"> </w:t>
      </w:r>
      <w:proofErr w:type="spellStart"/>
      <w:r w:rsidRPr="007B1CE9">
        <w:rPr>
          <w:lang w:val="en-GB"/>
        </w:rPr>
        <w:t>IgGs</w:t>
      </w:r>
      <w:proofErr w:type="spellEnd"/>
      <w:r w:rsidRPr="007B1CE9">
        <w:rPr>
          <w:lang w:val="en-GB"/>
        </w:rPr>
        <w:t xml:space="preserve"> are known to cross the placental barrier, and AVASTIN may inhibit angiogenesis in the foetus.</w:t>
      </w:r>
      <w:r w:rsidR="00E868E3">
        <w:rPr>
          <w:lang w:val="en-GB"/>
        </w:rPr>
        <w:t xml:space="preserve"> </w:t>
      </w:r>
      <w:r w:rsidR="00285F6C" w:rsidRPr="007B1CE9">
        <w:rPr>
          <w:lang w:val="en-GB"/>
        </w:rPr>
        <w:t>Angiogenesis has been shown to be critically i</w:t>
      </w:r>
      <w:r w:rsidR="00EA5497">
        <w:rPr>
          <w:lang w:val="en-GB"/>
        </w:rPr>
        <w:t>mportant to foetal development.</w:t>
      </w:r>
      <w:r w:rsidR="00E868E3">
        <w:rPr>
          <w:lang w:val="en-GB"/>
        </w:rPr>
        <w:t xml:space="preserve"> </w:t>
      </w:r>
      <w:r w:rsidR="00285F6C" w:rsidRPr="007B1CE9">
        <w:rPr>
          <w:lang w:val="en-GB"/>
        </w:rPr>
        <w:t>The inhibition of angiogenesis following administration of AVASTIN could result in a</w:t>
      </w:r>
      <w:r w:rsidR="00EA5497">
        <w:rPr>
          <w:lang w:val="en-GB"/>
        </w:rPr>
        <w:t xml:space="preserve">n adverse outcome of pregnancy. </w:t>
      </w:r>
      <w:r w:rsidRPr="007B1CE9">
        <w:rPr>
          <w:lang w:val="en-GB"/>
        </w:rPr>
        <w:t xml:space="preserve">Therefore, AVASTIN should not be used during pregnancy. </w:t>
      </w:r>
      <w:r w:rsidR="00EA5497" w:rsidRPr="00EA5497">
        <w:rPr>
          <w:lang w:val="en-GB"/>
        </w:rPr>
        <w:t xml:space="preserve">In the post-marketing setting, cases of foetal abnormalities in women treated with AVASTIN alone or in combination with known </w:t>
      </w:r>
      <w:proofErr w:type="spellStart"/>
      <w:r w:rsidR="00EA5497" w:rsidRPr="00EA5497">
        <w:rPr>
          <w:lang w:val="en-GB"/>
        </w:rPr>
        <w:t>embryotoxic</w:t>
      </w:r>
      <w:proofErr w:type="spellEnd"/>
      <w:r w:rsidR="00EA5497" w:rsidRPr="00EA5497">
        <w:rPr>
          <w:lang w:val="en-GB"/>
        </w:rPr>
        <w:t xml:space="preserve"> chemotherapeutics have been observed (see Post-marketing experience).</w:t>
      </w:r>
    </w:p>
    <w:p w:rsidR="00C71FB7" w:rsidRPr="007B1CE9" w:rsidRDefault="00C71FB7" w:rsidP="00E65A17">
      <w:pPr>
        <w:pStyle w:val="TextTi12"/>
        <w:rPr>
          <w:lang w:val="en-GB"/>
        </w:rPr>
      </w:pPr>
      <w:r w:rsidRPr="007B1CE9">
        <w:rPr>
          <w:lang w:val="en-GB"/>
        </w:rPr>
        <w:t xml:space="preserve">In women </w:t>
      </w:r>
      <w:r w:rsidR="00AF5D4F" w:rsidRPr="007B1CE9">
        <w:rPr>
          <w:lang w:val="en-GB"/>
        </w:rPr>
        <w:t>with c</w:t>
      </w:r>
      <w:r w:rsidRPr="007B1CE9">
        <w:rPr>
          <w:lang w:val="en-GB"/>
        </w:rPr>
        <w:t xml:space="preserve">hildbearing </w:t>
      </w:r>
      <w:r w:rsidR="00AF5D4F" w:rsidRPr="007B1CE9">
        <w:rPr>
          <w:lang w:val="en-GB"/>
        </w:rPr>
        <w:t>potential</w:t>
      </w:r>
      <w:r w:rsidRPr="007B1CE9">
        <w:rPr>
          <w:lang w:val="en-GB"/>
        </w:rPr>
        <w:t xml:space="preserve">, appropriate contraceptive measures </w:t>
      </w:r>
      <w:r w:rsidR="00EA5497">
        <w:rPr>
          <w:lang w:val="en-GB"/>
        </w:rPr>
        <w:t>should be used during AVASTIN therapy.</w:t>
      </w:r>
      <w:r w:rsidR="00E868E3">
        <w:rPr>
          <w:lang w:val="en-GB"/>
        </w:rPr>
        <w:t xml:space="preserve"> </w:t>
      </w:r>
      <w:r w:rsidRPr="007B1CE9">
        <w:rPr>
          <w:lang w:val="en-GB"/>
        </w:rPr>
        <w:t xml:space="preserve">Based on pharmacokinetic considerations, contraceptive measures </w:t>
      </w:r>
      <w:r w:rsidR="00EA5497">
        <w:rPr>
          <w:lang w:val="en-GB"/>
        </w:rPr>
        <w:t>should be used</w:t>
      </w:r>
      <w:r w:rsidRPr="007B1CE9">
        <w:rPr>
          <w:lang w:val="en-GB"/>
        </w:rPr>
        <w:t xml:space="preserve"> for at least 6 months following the last dose of AVASTIN.</w:t>
      </w:r>
    </w:p>
    <w:p w:rsidR="008A43F8" w:rsidRDefault="00171019" w:rsidP="00E65A17">
      <w:pPr>
        <w:jc w:val="both"/>
        <w:rPr>
          <w:sz w:val="24"/>
          <w:szCs w:val="24"/>
          <w:lang w:val="en-GB"/>
        </w:rPr>
      </w:pPr>
      <w:proofErr w:type="spellStart"/>
      <w:r w:rsidRPr="008A43F8">
        <w:rPr>
          <w:sz w:val="24"/>
          <w:szCs w:val="24"/>
          <w:lang w:val="en-GB"/>
        </w:rPr>
        <w:t>Bevacizumab</w:t>
      </w:r>
      <w:proofErr w:type="spellEnd"/>
      <w:r w:rsidRPr="008A43F8">
        <w:rPr>
          <w:sz w:val="24"/>
          <w:szCs w:val="24"/>
          <w:lang w:val="en-GB"/>
        </w:rPr>
        <w:t xml:space="preserve"> </w:t>
      </w:r>
      <w:r w:rsidR="00820A51" w:rsidRPr="008A43F8">
        <w:rPr>
          <w:sz w:val="24"/>
          <w:szCs w:val="24"/>
          <w:lang w:val="en-GB"/>
        </w:rPr>
        <w:t xml:space="preserve">has been shown to be </w:t>
      </w:r>
      <w:proofErr w:type="spellStart"/>
      <w:r w:rsidR="00820A51" w:rsidRPr="008A43F8">
        <w:rPr>
          <w:sz w:val="24"/>
          <w:szCs w:val="24"/>
          <w:lang w:val="en-GB"/>
        </w:rPr>
        <w:t>embryotoxic</w:t>
      </w:r>
      <w:proofErr w:type="spellEnd"/>
      <w:r w:rsidR="00820A51" w:rsidRPr="008A43F8">
        <w:rPr>
          <w:sz w:val="24"/>
          <w:szCs w:val="24"/>
          <w:lang w:val="en-GB"/>
        </w:rPr>
        <w:t xml:space="preserve"> and teratogenic when administered to rabbits. Observed effects included decreases in foetal body weights, an increased number of foetal </w:t>
      </w:r>
      <w:proofErr w:type="spellStart"/>
      <w:r w:rsidR="00820A51" w:rsidRPr="008A43F8">
        <w:rPr>
          <w:sz w:val="24"/>
          <w:szCs w:val="24"/>
          <w:lang w:val="en-GB"/>
        </w:rPr>
        <w:t>resorptions</w:t>
      </w:r>
      <w:proofErr w:type="spellEnd"/>
      <w:r w:rsidR="00820A51" w:rsidRPr="008A43F8">
        <w:rPr>
          <w:sz w:val="24"/>
          <w:szCs w:val="24"/>
          <w:lang w:val="en-GB"/>
        </w:rPr>
        <w:t xml:space="preserve"> and an increased incidence of specific gross and skeletal foetal alterations.</w:t>
      </w:r>
      <w:r w:rsidR="00E868E3" w:rsidRPr="008A43F8">
        <w:rPr>
          <w:sz w:val="24"/>
          <w:szCs w:val="24"/>
          <w:lang w:val="en-GB"/>
        </w:rPr>
        <w:t xml:space="preserve"> </w:t>
      </w:r>
      <w:r w:rsidR="00820A51" w:rsidRPr="008A43F8">
        <w:rPr>
          <w:sz w:val="24"/>
          <w:szCs w:val="24"/>
          <w:lang w:val="en-GB"/>
        </w:rPr>
        <w:t xml:space="preserve"> Adverse foetal outcomes we</w:t>
      </w:r>
      <w:r w:rsidR="00C47331" w:rsidRPr="008A43F8">
        <w:rPr>
          <w:sz w:val="24"/>
          <w:szCs w:val="24"/>
          <w:lang w:val="en-GB"/>
        </w:rPr>
        <w:t>re observed at all tested doses</w:t>
      </w:r>
      <w:r w:rsidR="00820A51" w:rsidRPr="008A43F8">
        <w:rPr>
          <w:sz w:val="24"/>
          <w:szCs w:val="24"/>
          <w:lang w:val="en-GB"/>
        </w:rPr>
        <w:t>.</w:t>
      </w:r>
      <w:r w:rsidRPr="008A43F8">
        <w:rPr>
          <w:sz w:val="24"/>
          <w:szCs w:val="24"/>
          <w:lang w:val="en-GB"/>
        </w:rPr>
        <w:t xml:space="preserve"> </w:t>
      </w:r>
      <w:r w:rsidR="00E868E3" w:rsidRPr="008A43F8">
        <w:rPr>
          <w:sz w:val="24"/>
          <w:szCs w:val="24"/>
          <w:lang w:val="en-GB"/>
        </w:rPr>
        <w:t xml:space="preserve"> </w:t>
      </w:r>
      <w:r w:rsidRPr="008A43F8">
        <w:rPr>
          <w:sz w:val="24"/>
          <w:szCs w:val="24"/>
          <w:lang w:val="en-GB"/>
        </w:rPr>
        <w:t>At the lowest dose tested, maternal serum AUC values were about 0.7-fold those observed in humans at the recommended clinical dose.</w:t>
      </w:r>
    </w:p>
    <w:p w:rsidR="009C31BE" w:rsidRDefault="009C31BE" w:rsidP="00E65A17">
      <w:pPr>
        <w:jc w:val="both"/>
        <w:rPr>
          <w:sz w:val="24"/>
          <w:szCs w:val="24"/>
          <w:lang w:val="en-GB"/>
        </w:rPr>
      </w:pPr>
    </w:p>
    <w:p w:rsidR="009C31BE" w:rsidRPr="008A43F8" w:rsidRDefault="009C31BE" w:rsidP="00E65A17">
      <w:pPr>
        <w:jc w:val="both"/>
        <w:rPr>
          <w:b/>
          <w:sz w:val="24"/>
          <w:szCs w:val="24"/>
        </w:rPr>
      </w:pPr>
    </w:p>
    <w:p w:rsidR="008A7314" w:rsidRPr="008A43F8" w:rsidRDefault="008A7314" w:rsidP="00E65A17">
      <w:pPr>
        <w:pStyle w:val="Heading3"/>
        <w:jc w:val="both"/>
      </w:pPr>
      <w:r w:rsidRPr="008A43F8">
        <w:t>Use in Lactation</w:t>
      </w:r>
    </w:p>
    <w:p w:rsidR="00CC2749" w:rsidRDefault="00171019" w:rsidP="00E65A17">
      <w:pPr>
        <w:jc w:val="both"/>
      </w:pPr>
      <w:r w:rsidRPr="008A43F8">
        <w:rPr>
          <w:sz w:val="24"/>
          <w:szCs w:val="24"/>
          <w:lang w:val="en-GB"/>
        </w:rPr>
        <w:t xml:space="preserve">Immunoglobulins are </w:t>
      </w:r>
      <w:r w:rsidR="00C71FB7" w:rsidRPr="008A43F8">
        <w:rPr>
          <w:sz w:val="24"/>
          <w:szCs w:val="24"/>
          <w:lang w:val="en-GB"/>
        </w:rPr>
        <w:t>excreted in milk</w:t>
      </w:r>
      <w:r w:rsidRPr="008A43F8">
        <w:rPr>
          <w:sz w:val="24"/>
          <w:szCs w:val="24"/>
          <w:lang w:val="en-GB"/>
        </w:rPr>
        <w:t xml:space="preserve">, although there are no data specifically for </w:t>
      </w:r>
      <w:proofErr w:type="spellStart"/>
      <w:r w:rsidRPr="008A43F8">
        <w:rPr>
          <w:sz w:val="24"/>
          <w:szCs w:val="24"/>
          <w:lang w:val="en-GB"/>
        </w:rPr>
        <w:t>bevacizumab</w:t>
      </w:r>
      <w:proofErr w:type="spellEnd"/>
      <w:r w:rsidRPr="008A43F8">
        <w:rPr>
          <w:sz w:val="24"/>
          <w:szCs w:val="24"/>
          <w:lang w:val="en-GB"/>
        </w:rPr>
        <w:t xml:space="preserve"> </w:t>
      </w:r>
      <w:r w:rsidR="008317EC" w:rsidRPr="008A43F8">
        <w:rPr>
          <w:sz w:val="24"/>
          <w:szCs w:val="24"/>
          <w:lang w:val="en-GB"/>
        </w:rPr>
        <w:t>excretion</w:t>
      </w:r>
      <w:r w:rsidRPr="008A43F8">
        <w:rPr>
          <w:sz w:val="24"/>
          <w:szCs w:val="24"/>
          <w:lang w:val="en-GB"/>
        </w:rPr>
        <w:t xml:space="preserve"> in milk. </w:t>
      </w:r>
      <w:r w:rsidR="00E868E3" w:rsidRPr="008A43F8">
        <w:rPr>
          <w:sz w:val="24"/>
          <w:szCs w:val="24"/>
          <w:lang w:val="en-GB"/>
        </w:rPr>
        <w:t xml:space="preserve"> </w:t>
      </w:r>
      <w:r w:rsidRPr="008A43F8">
        <w:rPr>
          <w:sz w:val="24"/>
          <w:szCs w:val="24"/>
          <w:lang w:val="en-GB"/>
        </w:rPr>
        <w:t xml:space="preserve">Since </w:t>
      </w:r>
      <w:proofErr w:type="spellStart"/>
      <w:r w:rsidR="008317EC" w:rsidRPr="008A43F8">
        <w:rPr>
          <w:sz w:val="24"/>
          <w:szCs w:val="24"/>
          <w:lang w:val="en-GB"/>
        </w:rPr>
        <w:t>bevacizumab</w:t>
      </w:r>
      <w:proofErr w:type="spellEnd"/>
      <w:r w:rsidR="00C71FB7" w:rsidRPr="008A43F8">
        <w:rPr>
          <w:sz w:val="24"/>
          <w:szCs w:val="24"/>
          <w:lang w:val="en-GB"/>
        </w:rPr>
        <w:t xml:space="preserve"> could harm infant growth and development, women should be advised to discontinue</w:t>
      </w:r>
      <w:r w:rsidR="00AF5D4F" w:rsidRPr="008A43F8">
        <w:rPr>
          <w:sz w:val="24"/>
          <w:szCs w:val="24"/>
          <w:lang w:val="en-GB"/>
        </w:rPr>
        <w:t xml:space="preserve"> </w:t>
      </w:r>
      <w:r w:rsidR="00307140" w:rsidRPr="008A43F8">
        <w:rPr>
          <w:sz w:val="24"/>
          <w:szCs w:val="24"/>
          <w:lang w:val="en-GB"/>
        </w:rPr>
        <w:t>breastfeeding</w:t>
      </w:r>
      <w:r w:rsidR="00AF5D4F" w:rsidRPr="008A43F8">
        <w:rPr>
          <w:sz w:val="24"/>
          <w:szCs w:val="24"/>
          <w:lang w:val="en-GB"/>
        </w:rPr>
        <w:t xml:space="preserve"> during AVASTIN therapy and not to breast</w:t>
      </w:r>
      <w:r w:rsidR="00307140" w:rsidRPr="008A43F8">
        <w:rPr>
          <w:sz w:val="24"/>
          <w:szCs w:val="24"/>
          <w:lang w:val="en-GB"/>
        </w:rPr>
        <w:t xml:space="preserve"> </w:t>
      </w:r>
      <w:r w:rsidR="00AF5D4F" w:rsidRPr="008A43F8">
        <w:rPr>
          <w:sz w:val="24"/>
          <w:szCs w:val="24"/>
          <w:lang w:val="en-GB"/>
        </w:rPr>
        <w:t>feed for at least 6 months following the last dose of AVASTIN.</w:t>
      </w:r>
      <w:bookmarkStart w:id="17" w:name="OLE_LINK16"/>
      <w:bookmarkStart w:id="18" w:name="OLE_LINK17"/>
    </w:p>
    <w:bookmarkEnd w:id="17"/>
    <w:bookmarkEnd w:id="18"/>
    <w:p w:rsidR="003F7AF4" w:rsidRDefault="007E367F" w:rsidP="003F7AF4">
      <w:pPr>
        <w:pStyle w:val="Heading3"/>
      </w:pPr>
      <w:r>
        <w:t xml:space="preserve">Paediatric </w:t>
      </w:r>
      <w:r w:rsidR="003F7AF4">
        <w:t xml:space="preserve">Use </w:t>
      </w:r>
    </w:p>
    <w:p w:rsidR="003F7AF4" w:rsidRDefault="00D528C4" w:rsidP="003F7AF4">
      <w:pPr>
        <w:pStyle w:val="TextTi12"/>
        <w:outlineLvl w:val="0"/>
        <w:rPr>
          <w:lang w:val="en-GB"/>
        </w:rPr>
      </w:pPr>
      <w:r>
        <w:rPr>
          <w:lang w:val="en-GB"/>
        </w:rPr>
        <w:lastRenderedPageBreak/>
        <w:t xml:space="preserve">The safety and effectiveness </w:t>
      </w:r>
      <w:r w:rsidR="003F7AF4">
        <w:rPr>
          <w:lang w:val="en-GB"/>
        </w:rPr>
        <w:t xml:space="preserve">of </w:t>
      </w:r>
      <w:r>
        <w:rPr>
          <w:lang w:val="en-GB"/>
        </w:rPr>
        <w:t xml:space="preserve">AVASTIN </w:t>
      </w:r>
      <w:r w:rsidR="003F7AF4">
        <w:rPr>
          <w:lang w:val="en-GB"/>
        </w:rPr>
        <w:t xml:space="preserve">in children and adolescent patients </w:t>
      </w:r>
      <w:r w:rsidR="00285F6C">
        <w:rPr>
          <w:lang w:val="en-GB"/>
        </w:rPr>
        <w:t>have</w:t>
      </w:r>
      <w:r w:rsidR="003F7AF4">
        <w:rPr>
          <w:lang w:val="en-GB"/>
        </w:rPr>
        <w:t xml:space="preserve"> not been </w:t>
      </w:r>
      <w:r w:rsidR="007E367F">
        <w:rPr>
          <w:lang w:val="en-GB"/>
        </w:rPr>
        <w:t>established</w:t>
      </w:r>
      <w:r w:rsidR="003F7AF4">
        <w:rPr>
          <w:lang w:val="en-GB"/>
        </w:rPr>
        <w:t>.</w:t>
      </w:r>
    </w:p>
    <w:p w:rsidR="00135EE9" w:rsidRDefault="00135EE9" w:rsidP="003F7AF4">
      <w:pPr>
        <w:pStyle w:val="TextTi12"/>
        <w:outlineLvl w:val="0"/>
        <w:rPr>
          <w:lang w:val="en-GB"/>
        </w:rPr>
      </w:pPr>
      <w:r w:rsidRPr="00135EE9">
        <w:rPr>
          <w:lang w:val="en-GB"/>
        </w:rPr>
        <w:t xml:space="preserve">In a 26 week pre-clinical study in </w:t>
      </w:r>
      <w:proofErr w:type="spellStart"/>
      <w:r w:rsidRPr="00135EE9">
        <w:rPr>
          <w:lang w:val="en-GB"/>
        </w:rPr>
        <w:t>cynomolgus</w:t>
      </w:r>
      <w:proofErr w:type="spellEnd"/>
      <w:r w:rsidRPr="00135EE9">
        <w:rPr>
          <w:lang w:val="en-GB"/>
        </w:rPr>
        <w:t xml:space="preserve"> monkeys, </w:t>
      </w:r>
      <w:proofErr w:type="spellStart"/>
      <w:r w:rsidRPr="00135EE9">
        <w:rPr>
          <w:lang w:val="en-GB"/>
        </w:rPr>
        <w:t>physeal</w:t>
      </w:r>
      <w:proofErr w:type="spellEnd"/>
      <w:r w:rsidRPr="00135EE9">
        <w:rPr>
          <w:lang w:val="en-GB"/>
        </w:rPr>
        <w:t xml:space="preserve"> dysplasia was observed in young animals with open growth plates, at </w:t>
      </w:r>
      <w:proofErr w:type="spellStart"/>
      <w:r w:rsidRPr="00135EE9">
        <w:rPr>
          <w:lang w:val="en-GB"/>
        </w:rPr>
        <w:t>bevacizumab</w:t>
      </w:r>
      <w:proofErr w:type="spellEnd"/>
      <w:r w:rsidRPr="00135EE9">
        <w:rPr>
          <w:lang w:val="en-GB"/>
        </w:rPr>
        <w:t xml:space="preserve"> average serum concentrations below the expected human therapeutic average serum concentrations.</w:t>
      </w:r>
    </w:p>
    <w:p w:rsidR="003F7AF4" w:rsidRPr="003C1C82" w:rsidRDefault="003F7AF4" w:rsidP="003F7AF4">
      <w:pPr>
        <w:pStyle w:val="Heading3"/>
      </w:pPr>
      <w:r w:rsidRPr="003C1C82">
        <w:t>Use in</w:t>
      </w:r>
      <w:r w:rsidR="007E367F">
        <w:t xml:space="preserve"> the</w:t>
      </w:r>
      <w:r w:rsidRPr="003C1C82">
        <w:t xml:space="preserve"> Elderly</w:t>
      </w:r>
    </w:p>
    <w:p w:rsidR="009D6BAF" w:rsidRDefault="006665F4" w:rsidP="00C25DF6">
      <w:pPr>
        <w:pStyle w:val="TextTi12"/>
        <w:rPr>
          <w:szCs w:val="24"/>
        </w:rPr>
      </w:pPr>
      <w:r w:rsidRPr="00356C8F">
        <w:t xml:space="preserve">In </w:t>
      </w:r>
      <w:proofErr w:type="spellStart"/>
      <w:r w:rsidRPr="00356C8F">
        <w:t>randomised</w:t>
      </w:r>
      <w:proofErr w:type="spellEnd"/>
      <w:r w:rsidRPr="00356C8F">
        <w:t xml:space="preserve"> clinical trials, age &gt;</w:t>
      </w:r>
      <w:r w:rsidR="007E2972">
        <w:t> </w:t>
      </w:r>
      <w:r w:rsidRPr="00356C8F">
        <w:t xml:space="preserve">65 years was associated with an increased risk of developing arterial thromboembolic events including cerebrovascular accidents, transient </w:t>
      </w:r>
      <w:proofErr w:type="spellStart"/>
      <w:r w:rsidRPr="00356C8F">
        <w:t>isch</w:t>
      </w:r>
      <w:r w:rsidR="007E2972">
        <w:t>a</w:t>
      </w:r>
      <w:r w:rsidRPr="00356C8F">
        <w:t>emic</w:t>
      </w:r>
      <w:proofErr w:type="spellEnd"/>
      <w:r w:rsidRPr="00356C8F">
        <w:t xml:space="preserve"> attacks and myocardial infarction</w:t>
      </w:r>
      <w:r w:rsidR="007E2972">
        <w:t>,</w:t>
      </w:r>
      <w:r w:rsidRPr="00356C8F">
        <w:t xml:space="preserve"> as compared to those aged ≤</w:t>
      </w:r>
      <w:r w:rsidR="007E2972">
        <w:t> </w:t>
      </w:r>
      <w:r w:rsidRPr="00356C8F">
        <w:t>65 years when treated with AVASTIN.</w:t>
      </w:r>
      <w:r>
        <w:t xml:space="preserve"> </w:t>
      </w:r>
      <w:r w:rsidRPr="00356C8F">
        <w:t xml:space="preserve"> Other reactions with a higher frequency seen in patients over 65 were </w:t>
      </w:r>
      <w:r>
        <w:t>G</w:t>
      </w:r>
      <w:r w:rsidRPr="00356C8F">
        <w:t xml:space="preserve">rade 3-4 leucopenia and thrombocytopenia; and all grade neutropenia, </w:t>
      </w:r>
      <w:proofErr w:type="spellStart"/>
      <w:r w:rsidRPr="00356C8F">
        <w:t>diarrhoea</w:t>
      </w:r>
      <w:proofErr w:type="spellEnd"/>
      <w:r w:rsidRPr="00356C8F">
        <w:t>, nausea, headache and fatigue.</w:t>
      </w:r>
      <w:r w:rsidR="00C607B9" w:rsidRPr="00C607B9">
        <w:rPr>
          <w:szCs w:val="24"/>
        </w:rPr>
        <w:t xml:space="preserve"> </w:t>
      </w:r>
      <w:r w:rsidR="00E868E3">
        <w:rPr>
          <w:szCs w:val="24"/>
        </w:rPr>
        <w:t xml:space="preserve"> </w:t>
      </w:r>
    </w:p>
    <w:p w:rsidR="006A57A2" w:rsidRPr="006A57A2" w:rsidRDefault="006A57A2" w:rsidP="00C25DF6">
      <w:pPr>
        <w:pStyle w:val="TextTi12"/>
      </w:pPr>
      <w:r w:rsidRPr="00484545">
        <w:t>In study MO22224 alopecia, mucosal inflammation, peripheral sensory neuropathy</w:t>
      </w:r>
      <w:r w:rsidR="00A1012B">
        <w:t>, proteinuria</w:t>
      </w:r>
      <w:r w:rsidRPr="00484545">
        <w:t xml:space="preserve"> and hypertension were observed at a higher incidence in elderly patients (≥ 65 years) receiving </w:t>
      </w:r>
      <w:r w:rsidR="005338DD">
        <w:t xml:space="preserve">CT + </w:t>
      </w:r>
      <w:r w:rsidRPr="00484545">
        <w:t xml:space="preserve">AVASTIN compared to those aged &lt; 65 years treated with </w:t>
      </w:r>
      <w:r w:rsidR="005338DD">
        <w:t xml:space="preserve">CT + </w:t>
      </w:r>
      <w:r w:rsidRPr="00484545">
        <w:t>AVASTIN</w:t>
      </w:r>
      <w:r w:rsidR="005338DD">
        <w:t>.</w:t>
      </w:r>
      <w:r w:rsidR="008B739C">
        <w:t xml:space="preserve"> S</w:t>
      </w:r>
      <w:r w:rsidR="008B739C" w:rsidRPr="008B739C">
        <w:t>erious adverse events also occurred at a higher incidence in patients ≥ 65 years treated with CT + AVASTIN (38.6%) compared to patients &lt; 65 years (26.6%).</w:t>
      </w:r>
    </w:p>
    <w:p w:rsidR="005561F3" w:rsidRDefault="00C607B9" w:rsidP="00D4575A">
      <w:pPr>
        <w:pStyle w:val="TextTi12"/>
      </w:pPr>
      <w:r w:rsidRPr="00C607B9">
        <w:t xml:space="preserve">No </w:t>
      </w:r>
      <w:r w:rsidR="00C35007">
        <w:t>increase in the incidence of other reactions</w:t>
      </w:r>
      <w:r w:rsidRPr="00C607B9">
        <w:t xml:space="preserve"> including </w:t>
      </w:r>
      <w:r w:rsidR="00F82834">
        <w:t>GI</w:t>
      </w:r>
      <w:r w:rsidR="00F82834" w:rsidRPr="00C607B9">
        <w:t xml:space="preserve"> </w:t>
      </w:r>
      <w:r w:rsidRPr="00C607B9">
        <w:t>perforation, wound healing complications,</w:t>
      </w:r>
      <w:r w:rsidR="0092559B">
        <w:t xml:space="preserve"> </w:t>
      </w:r>
      <w:r w:rsidR="00C35007">
        <w:t>congestive heart failure</w:t>
      </w:r>
      <w:r w:rsidR="00C25DF6">
        <w:t xml:space="preserve"> and </w:t>
      </w:r>
      <w:proofErr w:type="spellStart"/>
      <w:r w:rsidRPr="00C607B9">
        <w:t>haemorrhage</w:t>
      </w:r>
      <w:proofErr w:type="spellEnd"/>
      <w:r w:rsidR="00C35007">
        <w:t>,</w:t>
      </w:r>
      <w:r w:rsidRPr="00C607B9">
        <w:t xml:space="preserve"> was observed in elderly patients </w:t>
      </w:r>
      <w:r w:rsidR="0092559B">
        <w:t>(&gt;</w:t>
      </w:r>
      <w:r w:rsidR="009260D0">
        <w:rPr>
          <w:lang w:val="en-GB"/>
        </w:rPr>
        <w:t> </w:t>
      </w:r>
      <w:r w:rsidR="0092559B">
        <w:t xml:space="preserve">65 years) </w:t>
      </w:r>
      <w:r w:rsidRPr="00C607B9">
        <w:t xml:space="preserve">receiving AVASTIN </w:t>
      </w:r>
      <w:r w:rsidR="00C35007">
        <w:t xml:space="preserve">as </w:t>
      </w:r>
      <w:r w:rsidRPr="00C607B9">
        <w:t>co</w:t>
      </w:r>
      <w:r>
        <w:t>mpared to those aged ≤ 65 years</w:t>
      </w:r>
      <w:r w:rsidR="00C35007">
        <w:t xml:space="preserve"> treated with AVASTIN</w:t>
      </w:r>
      <w:r w:rsidRPr="00C607B9">
        <w:t>.</w:t>
      </w:r>
      <w:r w:rsidR="009D13FD">
        <w:t xml:space="preserve"> </w:t>
      </w:r>
    </w:p>
    <w:p w:rsidR="00E26C8F" w:rsidRPr="007B1CE9" w:rsidRDefault="00E26C8F" w:rsidP="00E26C8F">
      <w:pPr>
        <w:pStyle w:val="Heading3"/>
      </w:pPr>
      <w:r w:rsidRPr="007B1CE9">
        <w:t xml:space="preserve">Carcinogenesis and Mutagenesis </w:t>
      </w:r>
    </w:p>
    <w:p w:rsidR="00E26C8F" w:rsidRPr="007B1CE9" w:rsidRDefault="00E26C8F" w:rsidP="00E26C8F">
      <w:pPr>
        <w:pStyle w:val="TextTi12"/>
        <w:rPr>
          <w:lang w:val="en-GB"/>
        </w:rPr>
      </w:pPr>
      <w:r w:rsidRPr="007B1CE9">
        <w:rPr>
          <w:lang w:val="en-GB"/>
        </w:rPr>
        <w:t xml:space="preserve">Studies to evaluate the carcinogenic and mutagenic potential of AVASTIN have not been performed.  </w:t>
      </w:r>
    </w:p>
    <w:p w:rsidR="00C71FB7" w:rsidRDefault="00C71FB7" w:rsidP="00C71FB7">
      <w:pPr>
        <w:pStyle w:val="Heading3"/>
        <w:rPr>
          <w:lang w:val="en-GB"/>
        </w:rPr>
      </w:pPr>
      <w:r>
        <w:rPr>
          <w:lang w:val="en-GB"/>
        </w:rPr>
        <w:t>Effect</w:t>
      </w:r>
      <w:r w:rsidR="00CF5080">
        <w:rPr>
          <w:lang w:val="en-GB"/>
        </w:rPr>
        <w:t>s</w:t>
      </w:r>
      <w:r>
        <w:rPr>
          <w:lang w:val="en-GB"/>
        </w:rPr>
        <w:t xml:space="preserve"> on the </w:t>
      </w:r>
      <w:r w:rsidR="003F7AF4">
        <w:rPr>
          <w:lang w:val="en-GB"/>
        </w:rPr>
        <w:t>A</w:t>
      </w:r>
      <w:r>
        <w:rPr>
          <w:lang w:val="en-GB"/>
        </w:rPr>
        <w:t>bility to Drive or Operate Machines</w:t>
      </w:r>
    </w:p>
    <w:p w:rsidR="00C71FB7" w:rsidRDefault="00C71FB7" w:rsidP="00C71FB7">
      <w:pPr>
        <w:pStyle w:val="TextTi12"/>
        <w:rPr>
          <w:lang w:val="en-GB"/>
        </w:rPr>
      </w:pPr>
      <w:r>
        <w:rPr>
          <w:lang w:val="en-GB"/>
        </w:rPr>
        <w:t xml:space="preserve">No studies on the effects on the ability to drive and use machines have been performed. </w:t>
      </w:r>
      <w:r w:rsidR="00E868E3">
        <w:rPr>
          <w:lang w:val="en-GB"/>
        </w:rPr>
        <w:t xml:space="preserve"> </w:t>
      </w:r>
      <w:r>
        <w:rPr>
          <w:lang w:val="en-GB"/>
        </w:rPr>
        <w:t>However, there is no evidence that AVASTIN treatment results in an increase in adverse events that might lead to impairment of the ability to drive or operate machinery or impairment of mental ability.</w:t>
      </w:r>
    </w:p>
    <w:p w:rsidR="00F22154" w:rsidRPr="008A43F8" w:rsidRDefault="00F22154" w:rsidP="00BD3577">
      <w:pPr>
        <w:pStyle w:val="Heading2"/>
        <w:spacing w:after="170"/>
      </w:pPr>
      <w:r w:rsidRPr="008A43F8">
        <w:t>Interactions with Other Medicines</w:t>
      </w:r>
    </w:p>
    <w:p w:rsidR="00F22154" w:rsidRPr="005A0C2F" w:rsidRDefault="00F22154" w:rsidP="00BD3577">
      <w:pPr>
        <w:pStyle w:val="TextTi12"/>
        <w:spacing w:before="120" w:after="0"/>
        <w:rPr>
          <w:b/>
          <w:i/>
          <w:color w:val="000000"/>
        </w:rPr>
      </w:pPr>
      <w:r w:rsidRPr="005A0C2F">
        <w:rPr>
          <w:b/>
          <w:i/>
          <w:color w:val="000000"/>
        </w:rPr>
        <w:t xml:space="preserve">Effect of antineoplastic agents on </w:t>
      </w:r>
      <w:proofErr w:type="spellStart"/>
      <w:r w:rsidRPr="005A0C2F">
        <w:rPr>
          <w:b/>
          <w:i/>
          <w:color w:val="000000"/>
        </w:rPr>
        <w:t>bevacizumab</w:t>
      </w:r>
      <w:proofErr w:type="spellEnd"/>
      <w:r w:rsidRPr="005A0C2F">
        <w:rPr>
          <w:b/>
          <w:i/>
          <w:color w:val="000000"/>
        </w:rPr>
        <w:t xml:space="preserve"> pharmacokinetics</w:t>
      </w:r>
    </w:p>
    <w:p w:rsidR="00F22154" w:rsidRDefault="00F22154" w:rsidP="00BD3577">
      <w:pPr>
        <w:pStyle w:val="TextTi12"/>
        <w:rPr>
          <w:color w:val="000000"/>
        </w:rPr>
      </w:pPr>
      <w:r w:rsidRPr="003F0C04">
        <w:rPr>
          <w:color w:val="000000"/>
        </w:rPr>
        <w:t xml:space="preserve">No clinically relevant pharmacokinetic interaction of co-administered chemotherapy on </w:t>
      </w:r>
      <w:r>
        <w:rPr>
          <w:color w:val="000000"/>
        </w:rPr>
        <w:t>AVASTIN</w:t>
      </w:r>
      <w:r w:rsidRPr="003F0C04">
        <w:rPr>
          <w:color w:val="000000"/>
        </w:rPr>
        <w:t xml:space="preserve"> </w:t>
      </w:r>
      <w:r>
        <w:rPr>
          <w:color w:val="000000"/>
        </w:rPr>
        <w:t>pharmacokinetics</w:t>
      </w:r>
      <w:r w:rsidRPr="003F0C04">
        <w:rPr>
          <w:color w:val="000000"/>
        </w:rPr>
        <w:t xml:space="preserve"> has been observed</w:t>
      </w:r>
      <w:r>
        <w:rPr>
          <w:color w:val="000000"/>
        </w:rPr>
        <w:t xml:space="preserve"> based on the results of a </w:t>
      </w:r>
      <w:r w:rsidRPr="007A7419">
        <w:rPr>
          <w:color w:val="000000"/>
        </w:rPr>
        <w:t xml:space="preserve">population </w:t>
      </w:r>
      <w:r>
        <w:rPr>
          <w:color w:val="000000"/>
        </w:rPr>
        <w:t>pharmacokinetic</w:t>
      </w:r>
      <w:r w:rsidRPr="007A7419">
        <w:rPr>
          <w:color w:val="000000"/>
        </w:rPr>
        <w:t xml:space="preserve"> analysis</w:t>
      </w:r>
      <w:r>
        <w:rPr>
          <w:color w:val="000000"/>
        </w:rPr>
        <w:t>.</w:t>
      </w:r>
      <w:r w:rsidRPr="007A7419">
        <w:rPr>
          <w:color w:val="000000"/>
        </w:rPr>
        <w:t xml:space="preserve"> </w:t>
      </w:r>
      <w:r w:rsidRPr="00CA1A6A">
        <w:rPr>
          <w:color w:val="000000"/>
        </w:rPr>
        <w:t xml:space="preserve">There was neither statistical significance nor clinically relevant difference in clearance of </w:t>
      </w:r>
      <w:r>
        <w:rPr>
          <w:color w:val="000000"/>
        </w:rPr>
        <w:t>AVASTIN</w:t>
      </w:r>
      <w:r w:rsidRPr="00CA1A6A">
        <w:rPr>
          <w:color w:val="000000"/>
        </w:rPr>
        <w:t xml:space="preserve"> in patients receiving </w:t>
      </w:r>
      <w:r>
        <w:rPr>
          <w:color w:val="000000"/>
        </w:rPr>
        <w:t>AVASTIN</w:t>
      </w:r>
      <w:r w:rsidRPr="00CA1A6A">
        <w:rPr>
          <w:color w:val="000000"/>
        </w:rPr>
        <w:t xml:space="preserve"> monotherapy compared to patients receiving </w:t>
      </w:r>
      <w:r>
        <w:rPr>
          <w:color w:val="000000"/>
        </w:rPr>
        <w:t xml:space="preserve">AVASTIN in combination with IFN </w:t>
      </w:r>
      <w:r w:rsidRPr="00CA1A6A">
        <w:rPr>
          <w:color w:val="000000"/>
        </w:rPr>
        <w:t>al</w:t>
      </w:r>
      <w:r>
        <w:rPr>
          <w:color w:val="000000"/>
        </w:rPr>
        <w:t>f</w:t>
      </w:r>
      <w:r w:rsidRPr="00CA1A6A">
        <w:rPr>
          <w:color w:val="000000"/>
        </w:rPr>
        <w:t>a</w:t>
      </w:r>
      <w:r>
        <w:rPr>
          <w:color w:val="000000"/>
        </w:rPr>
        <w:t>-</w:t>
      </w:r>
      <w:r w:rsidRPr="00CA1A6A">
        <w:rPr>
          <w:color w:val="000000"/>
        </w:rPr>
        <w:t xml:space="preserve">2a or other chemotherapies (IFL, 5-FU/LV, carboplatin-paclitaxel, </w:t>
      </w:r>
      <w:proofErr w:type="spellStart"/>
      <w:r w:rsidRPr="00CA1A6A">
        <w:rPr>
          <w:color w:val="000000"/>
        </w:rPr>
        <w:t>capecitabine</w:t>
      </w:r>
      <w:proofErr w:type="spellEnd"/>
      <w:r>
        <w:rPr>
          <w:color w:val="000000"/>
        </w:rPr>
        <w:t>,</w:t>
      </w:r>
      <w:r w:rsidRPr="00CA1A6A">
        <w:rPr>
          <w:color w:val="000000"/>
        </w:rPr>
        <w:t xml:space="preserve"> doxorubicin or </w:t>
      </w:r>
      <w:proofErr w:type="spellStart"/>
      <w:r w:rsidRPr="00CA1A6A">
        <w:rPr>
          <w:color w:val="000000"/>
        </w:rPr>
        <w:t>cisplatin</w:t>
      </w:r>
      <w:proofErr w:type="spellEnd"/>
      <w:r w:rsidRPr="00CA1A6A">
        <w:rPr>
          <w:color w:val="000000"/>
        </w:rPr>
        <w:t>/gemcitabine).</w:t>
      </w:r>
    </w:p>
    <w:p w:rsidR="009C31BE" w:rsidRDefault="009C31BE" w:rsidP="00BD3577">
      <w:pPr>
        <w:pStyle w:val="TextTi12"/>
        <w:rPr>
          <w:color w:val="000000"/>
        </w:rPr>
      </w:pPr>
    </w:p>
    <w:p w:rsidR="00F22154" w:rsidRPr="000418BB" w:rsidRDefault="00F22154" w:rsidP="00BD3577">
      <w:pPr>
        <w:pStyle w:val="TextTi12"/>
        <w:spacing w:before="120" w:after="0"/>
        <w:rPr>
          <w:b/>
          <w:i/>
          <w:color w:val="000000"/>
        </w:rPr>
      </w:pPr>
      <w:r w:rsidRPr="000418BB">
        <w:rPr>
          <w:b/>
          <w:i/>
          <w:color w:val="000000"/>
        </w:rPr>
        <w:t xml:space="preserve">Effect of </w:t>
      </w:r>
      <w:proofErr w:type="spellStart"/>
      <w:r w:rsidRPr="000418BB">
        <w:rPr>
          <w:b/>
          <w:i/>
          <w:color w:val="000000"/>
        </w:rPr>
        <w:t>bevacizumab</w:t>
      </w:r>
      <w:proofErr w:type="spellEnd"/>
      <w:r w:rsidRPr="000418BB">
        <w:rPr>
          <w:b/>
          <w:i/>
          <w:color w:val="000000"/>
        </w:rPr>
        <w:t xml:space="preserve"> on the pharmacokinetics of other antineoplastic agents</w:t>
      </w:r>
    </w:p>
    <w:p w:rsidR="00F22154" w:rsidRPr="00D41047" w:rsidRDefault="00F22154" w:rsidP="00F22154">
      <w:pPr>
        <w:jc w:val="both"/>
        <w:rPr>
          <w:sz w:val="24"/>
          <w:szCs w:val="24"/>
        </w:rPr>
      </w:pPr>
      <w:r w:rsidRPr="00D41047">
        <w:rPr>
          <w:sz w:val="24"/>
          <w:szCs w:val="24"/>
        </w:rPr>
        <w:t xml:space="preserve">Results from a drug-drug interaction study, AVF3135g, demonstrated no significant effect of </w:t>
      </w:r>
      <w:proofErr w:type="spellStart"/>
      <w:r w:rsidRPr="00D41047">
        <w:rPr>
          <w:sz w:val="24"/>
          <w:szCs w:val="24"/>
        </w:rPr>
        <w:t>bevacizumab</w:t>
      </w:r>
      <w:proofErr w:type="spellEnd"/>
      <w:r w:rsidRPr="00D41047">
        <w:rPr>
          <w:sz w:val="24"/>
          <w:szCs w:val="24"/>
        </w:rPr>
        <w:t xml:space="preserve"> on the pharmacokinetics of </w:t>
      </w:r>
      <w:proofErr w:type="spellStart"/>
      <w:r w:rsidRPr="00D41047">
        <w:rPr>
          <w:sz w:val="24"/>
          <w:szCs w:val="24"/>
        </w:rPr>
        <w:t>irinotecan</w:t>
      </w:r>
      <w:proofErr w:type="spellEnd"/>
      <w:r w:rsidRPr="00D41047">
        <w:rPr>
          <w:sz w:val="24"/>
          <w:szCs w:val="24"/>
        </w:rPr>
        <w:t xml:space="preserve"> and its active metabolite SN38.</w:t>
      </w:r>
    </w:p>
    <w:p w:rsidR="00F22154" w:rsidRPr="00D41047" w:rsidRDefault="00F22154" w:rsidP="00F22154">
      <w:pPr>
        <w:jc w:val="both"/>
        <w:rPr>
          <w:sz w:val="24"/>
          <w:szCs w:val="24"/>
          <w:lang w:eastAsia="de-CH"/>
        </w:rPr>
      </w:pPr>
      <w:r w:rsidRPr="00D41047">
        <w:rPr>
          <w:sz w:val="24"/>
          <w:szCs w:val="24"/>
        </w:rPr>
        <w:t>Results from study NP18587 demonstrated</w:t>
      </w:r>
      <w:r w:rsidRPr="00D41047">
        <w:rPr>
          <w:sz w:val="24"/>
          <w:szCs w:val="24"/>
          <w:lang w:eastAsia="de-CH"/>
        </w:rPr>
        <w:t xml:space="preserve"> no significant effect of </w:t>
      </w:r>
      <w:proofErr w:type="spellStart"/>
      <w:r w:rsidRPr="00D41047">
        <w:rPr>
          <w:sz w:val="24"/>
          <w:szCs w:val="24"/>
          <w:lang w:eastAsia="de-CH"/>
        </w:rPr>
        <w:t>bevacizumab</w:t>
      </w:r>
      <w:proofErr w:type="spellEnd"/>
      <w:r w:rsidRPr="00D41047">
        <w:rPr>
          <w:sz w:val="24"/>
          <w:szCs w:val="24"/>
          <w:lang w:eastAsia="de-CH"/>
        </w:rPr>
        <w:t xml:space="preserve"> on the pharmacokinetic of </w:t>
      </w:r>
      <w:proofErr w:type="spellStart"/>
      <w:r w:rsidRPr="00D41047">
        <w:rPr>
          <w:sz w:val="24"/>
          <w:szCs w:val="24"/>
          <w:lang w:eastAsia="de-CH"/>
        </w:rPr>
        <w:t>capecitabine</w:t>
      </w:r>
      <w:proofErr w:type="spellEnd"/>
      <w:r w:rsidRPr="00D41047">
        <w:rPr>
          <w:sz w:val="24"/>
          <w:szCs w:val="24"/>
          <w:lang w:eastAsia="de-CH"/>
        </w:rPr>
        <w:t xml:space="preserve"> and its metabolites, and on the pharmacokinetics of </w:t>
      </w:r>
      <w:proofErr w:type="spellStart"/>
      <w:r w:rsidRPr="00D41047">
        <w:rPr>
          <w:sz w:val="24"/>
          <w:szCs w:val="24"/>
          <w:lang w:eastAsia="de-CH"/>
        </w:rPr>
        <w:t>oxaliplatin</w:t>
      </w:r>
      <w:proofErr w:type="spellEnd"/>
      <w:r w:rsidRPr="00D41047">
        <w:rPr>
          <w:sz w:val="24"/>
          <w:szCs w:val="24"/>
          <w:lang w:eastAsia="de-CH"/>
        </w:rPr>
        <w:t>, as determined by measurement of free and total platinum.</w:t>
      </w:r>
    </w:p>
    <w:p w:rsidR="00F22154" w:rsidRPr="00D41047" w:rsidRDefault="00F22154" w:rsidP="00F22154">
      <w:pPr>
        <w:jc w:val="both"/>
        <w:rPr>
          <w:sz w:val="24"/>
          <w:szCs w:val="24"/>
          <w:lang w:eastAsia="de-CH"/>
        </w:rPr>
      </w:pPr>
      <w:r w:rsidRPr="00D41047">
        <w:rPr>
          <w:sz w:val="24"/>
          <w:szCs w:val="24"/>
          <w:lang w:eastAsia="de-CH"/>
        </w:rPr>
        <w:lastRenderedPageBreak/>
        <w:t xml:space="preserve">Results from study B017705 demonstrated no significant effect of </w:t>
      </w:r>
      <w:proofErr w:type="spellStart"/>
      <w:r w:rsidRPr="00D41047">
        <w:rPr>
          <w:sz w:val="24"/>
          <w:szCs w:val="24"/>
          <w:lang w:eastAsia="de-CH"/>
        </w:rPr>
        <w:t>bevacizumab</w:t>
      </w:r>
      <w:proofErr w:type="spellEnd"/>
      <w:r w:rsidRPr="00D41047">
        <w:rPr>
          <w:sz w:val="24"/>
          <w:szCs w:val="24"/>
          <w:lang w:eastAsia="de-CH"/>
        </w:rPr>
        <w:t xml:space="preserve"> on the pharmacokinetics of </w:t>
      </w:r>
      <w:r>
        <w:rPr>
          <w:sz w:val="24"/>
          <w:szCs w:val="24"/>
          <w:lang w:eastAsia="de-CH"/>
        </w:rPr>
        <w:t xml:space="preserve">IFN </w:t>
      </w:r>
      <w:r w:rsidRPr="00D41047">
        <w:rPr>
          <w:sz w:val="24"/>
          <w:szCs w:val="24"/>
          <w:lang w:eastAsia="de-CH"/>
        </w:rPr>
        <w:t>alfa-2a.</w:t>
      </w:r>
    </w:p>
    <w:p w:rsidR="00F22154" w:rsidRDefault="00F22154" w:rsidP="00BD3577">
      <w:pPr>
        <w:pStyle w:val="TextTi12"/>
        <w:spacing w:before="120" w:after="0"/>
        <w:rPr>
          <w:b/>
          <w:i/>
        </w:rPr>
      </w:pPr>
      <w:r w:rsidRPr="00A41977">
        <w:rPr>
          <w:b/>
          <w:i/>
        </w:rPr>
        <w:t xml:space="preserve">Combination of </w:t>
      </w:r>
      <w:proofErr w:type="spellStart"/>
      <w:r w:rsidRPr="00A41977">
        <w:rPr>
          <w:b/>
          <w:i/>
        </w:rPr>
        <w:t>bevacizumab</w:t>
      </w:r>
      <w:proofErr w:type="spellEnd"/>
      <w:r w:rsidRPr="00A41977">
        <w:rPr>
          <w:b/>
          <w:i/>
        </w:rPr>
        <w:t xml:space="preserve"> and </w:t>
      </w:r>
      <w:proofErr w:type="spellStart"/>
      <w:r w:rsidRPr="00A41977">
        <w:rPr>
          <w:b/>
          <w:i/>
        </w:rPr>
        <w:t>sunitinib</w:t>
      </w:r>
      <w:proofErr w:type="spellEnd"/>
      <w:r w:rsidRPr="00A41977">
        <w:rPr>
          <w:b/>
          <w:i/>
        </w:rPr>
        <w:t xml:space="preserve"> malate</w:t>
      </w:r>
    </w:p>
    <w:p w:rsidR="00F22154" w:rsidRPr="00A41977" w:rsidRDefault="00F22154" w:rsidP="00F22154">
      <w:pPr>
        <w:pStyle w:val="TextTi12"/>
      </w:pPr>
      <w:r w:rsidRPr="00A41977">
        <w:t xml:space="preserve">In two clinical studies of metastatic renal cell carcinoma, </w:t>
      </w:r>
      <w:proofErr w:type="spellStart"/>
      <w:r w:rsidRPr="00A41977">
        <w:t>microangiopathic</w:t>
      </w:r>
      <w:proofErr w:type="spellEnd"/>
      <w:r w:rsidRPr="00A41977">
        <w:t xml:space="preserve"> </w:t>
      </w:r>
      <w:proofErr w:type="spellStart"/>
      <w:r w:rsidRPr="00A41977">
        <w:t>haemolytic</w:t>
      </w:r>
      <w:proofErr w:type="spellEnd"/>
      <w:r w:rsidRPr="00A41977">
        <w:t xml:space="preserve"> </w:t>
      </w:r>
      <w:proofErr w:type="spellStart"/>
      <w:r w:rsidRPr="00A41977">
        <w:t>anaemia</w:t>
      </w:r>
      <w:proofErr w:type="spellEnd"/>
      <w:r w:rsidRPr="00A41977">
        <w:t xml:space="preserve"> (MAHA) was reported in 7</w:t>
      </w:r>
      <w:r>
        <w:t>/</w:t>
      </w:r>
      <w:r w:rsidRPr="00A41977">
        <w:t xml:space="preserve">19 patients treated with </w:t>
      </w:r>
      <w:proofErr w:type="spellStart"/>
      <w:r w:rsidRPr="00A41977">
        <w:t>bevacizumab</w:t>
      </w:r>
      <w:proofErr w:type="spellEnd"/>
      <w:r w:rsidRPr="00A41977">
        <w:t xml:space="preserve"> (10 mg/kg every two weeks) and </w:t>
      </w:r>
      <w:proofErr w:type="spellStart"/>
      <w:r w:rsidRPr="00A41977">
        <w:t>sunitinib</w:t>
      </w:r>
      <w:proofErr w:type="spellEnd"/>
      <w:r w:rsidRPr="00A41977">
        <w:t xml:space="preserve"> malate (50 mg daily) combination.</w:t>
      </w:r>
    </w:p>
    <w:p w:rsidR="00F22154" w:rsidRPr="00B9265D" w:rsidRDefault="00F22154" w:rsidP="00F22154">
      <w:pPr>
        <w:pStyle w:val="TextTi12"/>
      </w:pPr>
      <w:r w:rsidRPr="00A41977">
        <w:t xml:space="preserve">MAHA is a </w:t>
      </w:r>
      <w:proofErr w:type="spellStart"/>
      <w:r w:rsidRPr="00A41977">
        <w:t>haemolytic</w:t>
      </w:r>
      <w:proofErr w:type="spellEnd"/>
      <w:r w:rsidRPr="00A41977">
        <w:t xml:space="preserve"> disorder which can present with red cell fragmentation, </w:t>
      </w:r>
      <w:proofErr w:type="spellStart"/>
      <w:r w:rsidRPr="00A41977">
        <w:t>anaemia</w:t>
      </w:r>
      <w:proofErr w:type="spellEnd"/>
      <w:r w:rsidRPr="00A41977">
        <w:t xml:space="preserve">, and thrombocytopenia. </w:t>
      </w:r>
      <w:r>
        <w:t xml:space="preserve"> </w:t>
      </w:r>
      <w:r w:rsidRPr="00A41977">
        <w:t xml:space="preserve">In addition, hypertension (including hypertensive crisis), elevated creatinine, and neurological symptoms were observed in some of these patients. </w:t>
      </w:r>
      <w:r>
        <w:t xml:space="preserve"> </w:t>
      </w:r>
      <w:r w:rsidRPr="00A41977">
        <w:t xml:space="preserve">All of these findings were reversible upon discontinuation of </w:t>
      </w:r>
      <w:proofErr w:type="spellStart"/>
      <w:r w:rsidRPr="00A41977">
        <w:t>bevacizumab</w:t>
      </w:r>
      <w:proofErr w:type="spellEnd"/>
      <w:r w:rsidRPr="00A41977">
        <w:t xml:space="preserve"> and </w:t>
      </w:r>
      <w:proofErr w:type="spellStart"/>
      <w:r w:rsidRPr="00A41977">
        <w:t>sunitinib</w:t>
      </w:r>
      <w:proofErr w:type="spellEnd"/>
      <w:r w:rsidRPr="00A41977">
        <w:t xml:space="preserve"> malate </w:t>
      </w:r>
      <w:r w:rsidRPr="00237C25">
        <w:t xml:space="preserve">(see </w:t>
      </w:r>
      <w:r w:rsidRPr="00E65A17">
        <w:rPr>
          <w:i/>
          <w:caps/>
        </w:rPr>
        <w:t>Precautions</w:t>
      </w:r>
      <w:r>
        <w:t xml:space="preserve">; </w:t>
      </w:r>
      <w:r w:rsidRPr="00E65A17">
        <w:rPr>
          <w:i/>
        </w:rPr>
        <w:t xml:space="preserve">Hypertension, Proteinuria and </w:t>
      </w:r>
      <w:r w:rsidR="00362D75">
        <w:rPr>
          <w:i/>
        </w:rPr>
        <w:t>PRES</w:t>
      </w:r>
      <w:r w:rsidRPr="00237C25">
        <w:t>).</w:t>
      </w:r>
    </w:p>
    <w:p w:rsidR="002E2363" w:rsidRDefault="002E2363" w:rsidP="00BD3577">
      <w:pPr>
        <w:pStyle w:val="TextTi12"/>
        <w:spacing w:before="120" w:after="0"/>
        <w:rPr>
          <w:b/>
          <w:bCs/>
          <w:i/>
          <w:iCs/>
          <w:color w:val="000000"/>
        </w:rPr>
      </w:pPr>
      <w:r>
        <w:rPr>
          <w:b/>
          <w:bCs/>
          <w:i/>
          <w:iCs/>
          <w:color w:val="000000"/>
        </w:rPr>
        <w:t xml:space="preserve">Combination of </w:t>
      </w:r>
      <w:proofErr w:type="spellStart"/>
      <w:r>
        <w:rPr>
          <w:b/>
          <w:bCs/>
          <w:i/>
          <w:iCs/>
          <w:color w:val="000000"/>
        </w:rPr>
        <w:t>bevacizumab</w:t>
      </w:r>
      <w:proofErr w:type="spellEnd"/>
      <w:r>
        <w:rPr>
          <w:b/>
          <w:bCs/>
          <w:i/>
          <w:iCs/>
          <w:color w:val="000000"/>
        </w:rPr>
        <w:t xml:space="preserve"> with </w:t>
      </w:r>
      <w:proofErr w:type="spellStart"/>
      <w:r w:rsidR="006A57A2" w:rsidRPr="00750C07">
        <w:rPr>
          <w:b/>
          <w:bCs/>
          <w:i/>
          <w:iCs/>
          <w:color w:val="000000"/>
        </w:rPr>
        <w:t>pegylated</w:t>
      </w:r>
      <w:proofErr w:type="spellEnd"/>
      <w:r w:rsidR="006A57A2" w:rsidRPr="00750C07">
        <w:rPr>
          <w:b/>
          <w:bCs/>
          <w:i/>
          <w:iCs/>
          <w:color w:val="000000"/>
        </w:rPr>
        <w:t xml:space="preserve"> liposomal doxorubicin (PLD),</w:t>
      </w:r>
      <w:r w:rsidR="006A57A2">
        <w:rPr>
          <w:b/>
          <w:bCs/>
          <w:i/>
          <w:iCs/>
          <w:color w:val="000000"/>
        </w:rPr>
        <w:t xml:space="preserve"> </w:t>
      </w:r>
      <w:r>
        <w:rPr>
          <w:b/>
          <w:bCs/>
          <w:i/>
          <w:iCs/>
          <w:color w:val="000000"/>
        </w:rPr>
        <w:t xml:space="preserve">platinum- or </w:t>
      </w:r>
      <w:proofErr w:type="spellStart"/>
      <w:r>
        <w:rPr>
          <w:b/>
          <w:bCs/>
          <w:i/>
          <w:iCs/>
          <w:color w:val="000000"/>
        </w:rPr>
        <w:t>taxane</w:t>
      </w:r>
      <w:proofErr w:type="spellEnd"/>
      <w:r>
        <w:rPr>
          <w:b/>
          <w:bCs/>
          <w:i/>
          <w:iCs/>
          <w:color w:val="000000"/>
        </w:rPr>
        <w:t>-based chemotherapies</w:t>
      </w:r>
    </w:p>
    <w:p w:rsidR="00D04703" w:rsidRPr="00D04703" w:rsidRDefault="006A57A2" w:rsidP="006A57A2">
      <w:pPr>
        <w:pStyle w:val="TextTi12"/>
        <w:spacing w:after="0"/>
        <w:rPr>
          <w:bCs/>
          <w:i/>
          <w:iCs/>
          <w:color w:val="000000"/>
        </w:rPr>
      </w:pPr>
      <w:r w:rsidRPr="007848B4">
        <w:rPr>
          <w:bCs/>
          <w:iCs/>
          <w:color w:val="000000"/>
        </w:rPr>
        <w:t xml:space="preserve">Increased rates of severe neutropenia, febrile neutropenia, or infection with severe neutropenia (including some fatalities) have been observed in patients treated with some </w:t>
      </w:r>
      <w:proofErr w:type="spellStart"/>
      <w:r w:rsidRPr="007848B4">
        <w:rPr>
          <w:bCs/>
          <w:iCs/>
          <w:color w:val="000000"/>
        </w:rPr>
        <w:t>myelotoxic</w:t>
      </w:r>
      <w:proofErr w:type="spellEnd"/>
      <w:r w:rsidRPr="007848B4">
        <w:rPr>
          <w:bCs/>
          <w:iCs/>
          <w:color w:val="000000"/>
        </w:rPr>
        <w:t xml:space="preserve"> chemotherapy regimens plus AVASTIN in comparison to chemotherapy </w:t>
      </w:r>
      <w:r>
        <w:rPr>
          <w:bCs/>
          <w:iCs/>
          <w:color w:val="000000"/>
        </w:rPr>
        <w:t>alone (</w:t>
      </w:r>
      <w:proofErr w:type="spellStart"/>
      <w:r>
        <w:rPr>
          <w:bCs/>
          <w:iCs/>
          <w:color w:val="000000"/>
        </w:rPr>
        <w:t>eg</w:t>
      </w:r>
      <w:proofErr w:type="spellEnd"/>
      <w:r>
        <w:rPr>
          <w:bCs/>
          <w:iCs/>
          <w:color w:val="000000"/>
        </w:rPr>
        <w:t xml:space="preserve"> AVASTIN with platinum</w:t>
      </w:r>
      <w:r w:rsidR="00215158">
        <w:rPr>
          <w:bCs/>
          <w:iCs/>
          <w:color w:val="000000"/>
        </w:rPr>
        <w:t>-</w:t>
      </w:r>
      <w:r>
        <w:rPr>
          <w:bCs/>
          <w:iCs/>
          <w:color w:val="000000"/>
        </w:rPr>
        <w:t xml:space="preserve"> </w:t>
      </w:r>
      <w:r w:rsidR="00215158">
        <w:rPr>
          <w:bCs/>
          <w:iCs/>
          <w:color w:val="000000"/>
        </w:rPr>
        <w:t xml:space="preserve">or </w:t>
      </w:r>
      <w:proofErr w:type="spellStart"/>
      <w:r w:rsidR="00215158">
        <w:rPr>
          <w:bCs/>
          <w:iCs/>
          <w:color w:val="000000"/>
        </w:rPr>
        <w:t>taxane</w:t>
      </w:r>
      <w:proofErr w:type="spellEnd"/>
      <w:r w:rsidR="00215158">
        <w:rPr>
          <w:bCs/>
          <w:iCs/>
          <w:color w:val="000000"/>
        </w:rPr>
        <w:t>-</w:t>
      </w:r>
      <w:r w:rsidRPr="007848B4">
        <w:rPr>
          <w:bCs/>
          <w:iCs/>
          <w:color w:val="000000"/>
        </w:rPr>
        <w:t>based chemotherapies</w:t>
      </w:r>
      <w:r>
        <w:rPr>
          <w:bCs/>
          <w:iCs/>
          <w:color w:val="000000"/>
        </w:rPr>
        <w:t>). AVASTIN may also exacerbate other adverse reactions commonly seen with chemotherapy when combined with chemotherapeutic agents (see ADVERSE EFFECTS).</w:t>
      </w:r>
    </w:p>
    <w:p w:rsidR="00F22154" w:rsidRDefault="00F22154" w:rsidP="00BD3577">
      <w:pPr>
        <w:pStyle w:val="TextTi12"/>
        <w:spacing w:before="120" w:after="0"/>
        <w:rPr>
          <w:b/>
          <w:bCs/>
          <w:i/>
          <w:iCs/>
          <w:color w:val="000000"/>
        </w:rPr>
      </w:pPr>
      <w:r w:rsidRPr="00807BB4">
        <w:rPr>
          <w:b/>
          <w:bCs/>
          <w:i/>
          <w:iCs/>
          <w:color w:val="000000"/>
        </w:rPr>
        <w:t>Radiotherapy</w:t>
      </w:r>
    </w:p>
    <w:p w:rsidR="00F22154" w:rsidRPr="00B9770B" w:rsidRDefault="00F22154" w:rsidP="00F22154">
      <w:pPr>
        <w:pStyle w:val="TextTi12"/>
        <w:rPr>
          <w:color w:val="000000"/>
        </w:rPr>
      </w:pPr>
      <w:r w:rsidRPr="00B960E8">
        <w:rPr>
          <w:color w:val="000000"/>
        </w:rPr>
        <w:t xml:space="preserve">The safety and efficacy of concomitant administration of </w:t>
      </w:r>
      <w:r>
        <w:rPr>
          <w:color w:val="000000"/>
        </w:rPr>
        <w:t>radiotherapy</w:t>
      </w:r>
      <w:r w:rsidRPr="00B960E8">
        <w:rPr>
          <w:color w:val="000000"/>
        </w:rPr>
        <w:t xml:space="preserve"> and </w:t>
      </w:r>
      <w:r>
        <w:rPr>
          <w:color w:val="000000"/>
        </w:rPr>
        <w:t>AVASTIN</w:t>
      </w:r>
      <w:r w:rsidRPr="00B960E8">
        <w:rPr>
          <w:color w:val="000000"/>
        </w:rPr>
        <w:t xml:space="preserve"> </w:t>
      </w:r>
      <w:r>
        <w:rPr>
          <w:color w:val="000000"/>
        </w:rPr>
        <w:t>have not been established.</w:t>
      </w:r>
    </w:p>
    <w:p w:rsidR="008A7314" w:rsidRDefault="008A7314">
      <w:pPr>
        <w:pStyle w:val="Heading2"/>
      </w:pPr>
      <w:r>
        <w:t xml:space="preserve">ADVERSE </w:t>
      </w:r>
      <w:r w:rsidR="00C25538" w:rsidRPr="007B1CE9">
        <w:t>EFFECTS</w:t>
      </w:r>
    </w:p>
    <w:p w:rsidR="00C71FB7" w:rsidRDefault="00C71FB7" w:rsidP="00C71FB7">
      <w:pPr>
        <w:pStyle w:val="Heading3"/>
        <w:keepNext/>
        <w:numPr>
          <w:ilvl w:val="2"/>
          <w:numId w:val="0"/>
        </w:numPr>
        <w:tabs>
          <w:tab w:val="num" w:pos="1134"/>
        </w:tabs>
        <w:spacing w:before="113" w:after="57" w:line="280" w:lineRule="atLeast"/>
        <w:ind w:left="1134" w:hanging="1134"/>
        <w:rPr>
          <w:lang w:val="en-GB"/>
        </w:rPr>
      </w:pPr>
      <w:r>
        <w:rPr>
          <w:lang w:val="en-GB"/>
        </w:rPr>
        <w:t>Experience from Clinical Trials</w:t>
      </w:r>
    </w:p>
    <w:p w:rsidR="00031683" w:rsidRPr="00031683" w:rsidRDefault="00111822" w:rsidP="00AE1E2B">
      <w:pPr>
        <w:pStyle w:val="TextTi12"/>
        <w:rPr>
          <w:lang w:val="en-GB"/>
        </w:rPr>
      </w:pPr>
      <w:r>
        <w:t xml:space="preserve">Clinical trials have been conducted in </w:t>
      </w:r>
      <w:r w:rsidR="00C710E0">
        <w:t xml:space="preserve">approximately 5,000 </w:t>
      </w:r>
      <w:r w:rsidRPr="00FF2B43">
        <w:t>patients</w:t>
      </w:r>
      <w:r>
        <w:t xml:space="preserve"> with various malignancies treated with AVASTIN</w:t>
      </w:r>
      <w:r w:rsidR="00EC5C7E">
        <w:t>, predominantly</w:t>
      </w:r>
      <w:r w:rsidRPr="00A56D8D">
        <w:t xml:space="preserve"> in combination with chemotherapy</w:t>
      </w:r>
      <w:r>
        <w:t xml:space="preserve">.  The safety profile from </w:t>
      </w:r>
      <w:r w:rsidR="00C5151E">
        <w:t xml:space="preserve">the </w:t>
      </w:r>
      <w:r>
        <w:t>clinical trial population is presented in this section</w:t>
      </w:r>
      <w:r w:rsidRPr="00305233">
        <w:t>.</w:t>
      </w:r>
    </w:p>
    <w:p w:rsidR="00C71FB7" w:rsidRDefault="00C71FB7" w:rsidP="00AE1E2B">
      <w:pPr>
        <w:pStyle w:val="TextTi12"/>
        <w:rPr>
          <w:lang w:val="en-GB"/>
        </w:rPr>
      </w:pPr>
      <w:r>
        <w:rPr>
          <w:lang w:val="en-GB"/>
        </w:rPr>
        <w:t xml:space="preserve">The most serious adverse </w:t>
      </w:r>
      <w:r w:rsidR="00111822">
        <w:rPr>
          <w:lang w:val="en-GB"/>
        </w:rPr>
        <w:t xml:space="preserve">drug reactions </w:t>
      </w:r>
      <w:r>
        <w:rPr>
          <w:lang w:val="en-GB"/>
        </w:rPr>
        <w:t>were:</w:t>
      </w:r>
    </w:p>
    <w:p w:rsidR="00982CDA" w:rsidRDefault="00982CDA" w:rsidP="00AE1E2B">
      <w:pPr>
        <w:pStyle w:val="TextTi12"/>
        <w:numPr>
          <w:ilvl w:val="0"/>
          <w:numId w:val="8"/>
        </w:numPr>
        <w:spacing w:after="60"/>
        <w:ind w:left="357" w:hanging="357"/>
        <w:rPr>
          <w:lang w:val="en-GB"/>
        </w:rPr>
      </w:pPr>
      <w:bookmarkStart w:id="19" w:name="OLE_LINK1"/>
      <w:r>
        <w:rPr>
          <w:lang w:val="en-GB"/>
        </w:rPr>
        <w:t xml:space="preserve">Gastrointestinal Perforations (see </w:t>
      </w:r>
      <w:r w:rsidRPr="00E65A17">
        <w:rPr>
          <w:i/>
          <w:caps/>
          <w:lang w:val="en-GB"/>
        </w:rPr>
        <w:t>Precautions</w:t>
      </w:r>
      <w:r>
        <w:rPr>
          <w:lang w:val="en-GB"/>
        </w:rPr>
        <w:t>)</w:t>
      </w:r>
    </w:p>
    <w:p w:rsidR="00982CDA" w:rsidRDefault="00982CDA" w:rsidP="00AE1E2B">
      <w:pPr>
        <w:pStyle w:val="TextTi12"/>
        <w:numPr>
          <w:ilvl w:val="0"/>
          <w:numId w:val="8"/>
        </w:numPr>
        <w:spacing w:after="60"/>
        <w:ind w:left="357" w:hanging="357"/>
        <w:rPr>
          <w:lang w:val="en-GB"/>
        </w:rPr>
      </w:pPr>
      <w:r>
        <w:rPr>
          <w:lang w:val="en-GB"/>
        </w:rPr>
        <w:t>Haemorrhage</w:t>
      </w:r>
      <w:r w:rsidR="00C5151E">
        <w:rPr>
          <w:lang w:val="en-GB"/>
        </w:rPr>
        <w:t xml:space="preserve"> including pulmonary haemorrhage/haemoptysis, which is more common in NSCLC patients</w:t>
      </w:r>
      <w:r>
        <w:rPr>
          <w:lang w:val="en-GB"/>
        </w:rPr>
        <w:t xml:space="preserve"> (see </w:t>
      </w:r>
      <w:r w:rsidRPr="00E65A17">
        <w:rPr>
          <w:i/>
          <w:caps/>
          <w:lang w:val="en-GB"/>
        </w:rPr>
        <w:t>Precautions</w:t>
      </w:r>
      <w:r>
        <w:rPr>
          <w:lang w:val="en-GB"/>
        </w:rPr>
        <w:t>)</w:t>
      </w:r>
    </w:p>
    <w:p w:rsidR="00982CDA" w:rsidRDefault="00982CDA" w:rsidP="00AE1E2B">
      <w:pPr>
        <w:pStyle w:val="TextTi12"/>
        <w:numPr>
          <w:ilvl w:val="0"/>
          <w:numId w:val="8"/>
        </w:numPr>
        <w:spacing w:after="60"/>
        <w:ind w:left="357" w:hanging="357"/>
        <w:rPr>
          <w:lang w:val="en-GB"/>
        </w:rPr>
      </w:pPr>
      <w:r w:rsidRPr="007B1CE9">
        <w:rPr>
          <w:lang w:val="en-GB"/>
        </w:rPr>
        <w:t xml:space="preserve">Arterial </w:t>
      </w:r>
      <w:r w:rsidR="007F329E">
        <w:rPr>
          <w:lang w:val="en-GB"/>
        </w:rPr>
        <w:t xml:space="preserve">and venous </w:t>
      </w:r>
      <w:r w:rsidR="00E9636E">
        <w:rPr>
          <w:lang w:val="en-GB"/>
        </w:rPr>
        <w:t>t</w:t>
      </w:r>
      <w:r w:rsidRPr="007B1CE9">
        <w:rPr>
          <w:lang w:val="en-GB"/>
        </w:rPr>
        <w:t xml:space="preserve">hromboembolism </w:t>
      </w:r>
      <w:r>
        <w:rPr>
          <w:lang w:val="en-GB"/>
        </w:rPr>
        <w:t xml:space="preserve">(see </w:t>
      </w:r>
      <w:r w:rsidRPr="00E65A17">
        <w:rPr>
          <w:i/>
          <w:caps/>
          <w:lang w:val="en-GB"/>
        </w:rPr>
        <w:t>Precautions</w:t>
      </w:r>
      <w:r>
        <w:rPr>
          <w:lang w:val="en-GB"/>
        </w:rPr>
        <w:t>)</w:t>
      </w:r>
    </w:p>
    <w:bookmarkEnd w:id="19"/>
    <w:p w:rsidR="00200237" w:rsidRDefault="00200237" w:rsidP="00200237">
      <w:pPr>
        <w:pStyle w:val="TextTi12"/>
        <w:spacing w:after="0" w:line="240" w:lineRule="auto"/>
        <w:rPr>
          <w:szCs w:val="24"/>
        </w:rPr>
      </w:pPr>
    </w:p>
    <w:p w:rsidR="00111822" w:rsidRPr="00331958" w:rsidRDefault="00111822" w:rsidP="00331958">
      <w:pPr>
        <w:pStyle w:val="TextTi12"/>
        <w:rPr>
          <w:szCs w:val="24"/>
        </w:rPr>
      </w:pPr>
      <w:r w:rsidRPr="00331958">
        <w:rPr>
          <w:szCs w:val="24"/>
        </w:rPr>
        <w:t xml:space="preserve">Analyses of the clinical safety data suggest that the occurrence of hypertension and proteinuria with </w:t>
      </w:r>
      <w:r w:rsidR="00DF101C" w:rsidRPr="00331958">
        <w:rPr>
          <w:szCs w:val="24"/>
        </w:rPr>
        <w:t>AVASTIN</w:t>
      </w:r>
      <w:r w:rsidRPr="00331958">
        <w:rPr>
          <w:szCs w:val="24"/>
        </w:rPr>
        <w:t xml:space="preserve"> therapy are likely to be dose-dependent</w:t>
      </w:r>
      <w:r w:rsidR="00C5151E">
        <w:rPr>
          <w:szCs w:val="24"/>
        </w:rPr>
        <w:t xml:space="preserve"> (see </w:t>
      </w:r>
      <w:r w:rsidR="00C5151E" w:rsidRPr="00E65A17">
        <w:rPr>
          <w:i/>
          <w:caps/>
          <w:szCs w:val="24"/>
        </w:rPr>
        <w:t>Precautions</w:t>
      </w:r>
      <w:r w:rsidR="00C5151E">
        <w:rPr>
          <w:i/>
          <w:szCs w:val="24"/>
        </w:rPr>
        <w:t>)</w:t>
      </w:r>
      <w:r w:rsidRPr="00331958">
        <w:rPr>
          <w:szCs w:val="24"/>
        </w:rPr>
        <w:t xml:space="preserve">. </w:t>
      </w:r>
    </w:p>
    <w:p w:rsidR="00031683" w:rsidRPr="00331958" w:rsidRDefault="00111822" w:rsidP="00331958">
      <w:pPr>
        <w:pStyle w:val="TextTi12"/>
        <w:rPr>
          <w:szCs w:val="24"/>
          <w:highlight w:val="yellow"/>
        </w:rPr>
      </w:pPr>
      <w:r w:rsidRPr="00331958">
        <w:rPr>
          <w:szCs w:val="24"/>
        </w:rPr>
        <w:t xml:space="preserve">The most frequently observed adverse drug reactions across clinical trials in patients receiving </w:t>
      </w:r>
      <w:r w:rsidR="00DF101C" w:rsidRPr="00331958">
        <w:rPr>
          <w:szCs w:val="24"/>
        </w:rPr>
        <w:t xml:space="preserve">AVASTIN </w:t>
      </w:r>
      <w:r w:rsidRPr="00331958">
        <w:rPr>
          <w:szCs w:val="24"/>
        </w:rPr>
        <w:t xml:space="preserve">were hypertension, fatigue or asthenia, </w:t>
      </w:r>
      <w:proofErr w:type="spellStart"/>
      <w:r w:rsidRPr="00331958">
        <w:rPr>
          <w:szCs w:val="24"/>
        </w:rPr>
        <w:t>diarrhoea</w:t>
      </w:r>
      <w:proofErr w:type="spellEnd"/>
      <w:r w:rsidRPr="00331958">
        <w:rPr>
          <w:szCs w:val="24"/>
        </w:rPr>
        <w:t xml:space="preserve"> and abdominal pain.</w:t>
      </w:r>
    </w:p>
    <w:p w:rsidR="00C710E0" w:rsidRPr="00C710E0" w:rsidRDefault="00111822" w:rsidP="00C710E0">
      <w:pPr>
        <w:jc w:val="both"/>
        <w:rPr>
          <w:sz w:val="24"/>
          <w:szCs w:val="24"/>
          <w:lang w:val="en-US"/>
        </w:rPr>
      </w:pPr>
      <w:r w:rsidRPr="00395FA3">
        <w:rPr>
          <w:sz w:val="24"/>
          <w:szCs w:val="24"/>
          <w:lang w:val="en-US"/>
        </w:rPr>
        <w:t xml:space="preserve">Table </w:t>
      </w:r>
      <w:r w:rsidR="009C1769">
        <w:rPr>
          <w:sz w:val="24"/>
          <w:szCs w:val="24"/>
          <w:lang w:val="en-US"/>
        </w:rPr>
        <w:t>1</w:t>
      </w:r>
      <w:r w:rsidR="00540732">
        <w:rPr>
          <w:sz w:val="24"/>
          <w:szCs w:val="24"/>
          <w:lang w:val="en-US"/>
        </w:rPr>
        <w:t>5</w:t>
      </w:r>
      <w:r w:rsidR="009C1769" w:rsidRPr="00395FA3">
        <w:rPr>
          <w:sz w:val="24"/>
          <w:szCs w:val="24"/>
          <w:lang w:val="en-US"/>
        </w:rPr>
        <w:t xml:space="preserve"> </w:t>
      </w:r>
      <w:r w:rsidRPr="00395FA3">
        <w:rPr>
          <w:sz w:val="24"/>
          <w:szCs w:val="24"/>
          <w:lang w:val="en-US"/>
        </w:rPr>
        <w:t xml:space="preserve">lists adverse drug reactions associated with the use of </w:t>
      </w:r>
      <w:r w:rsidR="00DD617D" w:rsidRPr="00395FA3">
        <w:rPr>
          <w:sz w:val="24"/>
          <w:szCs w:val="24"/>
          <w:lang w:val="en-US"/>
        </w:rPr>
        <w:t>AVASTIN</w:t>
      </w:r>
      <w:r w:rsidRPr="00395FA3">
        <w:rPr>
          <w:sz w:val="24"/>
          <w:szCs w:val="24"/>
          <w:lang w:val="en-US"/>
        </w:rPr>
        <w:t xml:space="preserve"> in combination with different chemotherapy regimens in multiple indications.</w:t>
      </w:r>
      <w:r w:rsidR="009935D5" w:rsidRPr="00395FA3">
        <w:rPr>
          <w:sz w:val="24"/>
          <w:szCs w:val="24"/>
          <w:lang w:val="en-US"/>
        </w:rPr>
        <w:t xml:space="preserve"> </w:t>
      </w:r>
      <w:r w:rsidRPr="00395FA3">
        <w:rPr>
          <w:sz w:val="24"/>
          <w:szCs w:val="24"/>
          <w:lang w:val="en-US"/>
        </w:rPr>
        <w:t xml:space="preserve"> These reactions had occurred either with at least a 2% difference compared to the control arm (NCI-CTC </w:t>
      </w:r>
      <w:r w:rsidR="008448CC" w:rsidRPr="00395FA3">
        <w:rPr>
          <w:sz w:val="24"/>
          <w:szCs w:val="24"/>
          <w:lang w:val="en-US"/>
        </w:rPr>
        <w:t>G</w:t>
      </w:r>
      <w:r w:rsidRPr="00395FA3">
        <w:rPr>
          <w:sz w:val="24"/>
          <w:szCs w:val="24"/>
          <w:lang w:val="en-US"/>
        </w:rPr>
        <w:t xml:space="preserve">rade 3-5 reactions) or with at least a 10% difference compared to the control arm (NCI-CTC </w:t>
      </w:r>
      <w:r w:rsidR="008448CC" w:rsidRPr="00395FA3">
        <w:rPr>
          <w:sz w:val="24"/>
          <w:szCs w:val="24"/>
          <w:lang w:val="en-US"/>
        </w:rPr>
        <w:t>G</w:t>
      </w:r>
      <w:r w:rsidRPr="00395FA3">
        <w:rPr>
          <w:sz w:val="24"/>
          <w:szCs w:val="24"/>
          <w:lang w:val="en-US"/>
        </w:rPr>
        <w:t xml:space="preserve">rade 1-5 reactions), in at least one of the major clinical trials. </w:t>
      </w:r>
      <w:r w:rsidR="00DD617D" w:rsidRPr="00395FA3">
        <w:rPr>
          <w:sz w:val="24"/>
          <w:szCs w:val="24"/>
          <w:lang w:val="en-US"/>
        </w:rPr>
        <w:t xml:space="preserve"> </w:t>
      </w:r>
      <w:r w:rsidRPr="00395FA3">
        <w:rPr>
          <w:sz w:val="24"/>
          <w:szCs w:val="24"/>
          <w:lang w:val="en-US"/>
        </w:rPr>
        <w:t xml:space="preserve">The adverse drug reactions listed in </w:t>
      </w:r>
      <w:r w:rsidR="00C710E0">
        <w:rPr>
          <w:sz w:val="24"/>
          <w:szCs w:val="24"/>
          <w:lang w:val="en-US"/>
        </w:rPr>
        <w:t xml:space="preserve">the table below </w:t>
      </w:r>
      <w:r w:rsidRPr="00395FA3">
        <w:rPr>
          <w:sz w:val="24"/>
          <w:szCs w:val="24"/>
          <w:lang w:val="en-US"/>
        </w:rPr>
        <w:t>fall</w:t>
      </w:r>
      <w:r w:rsidR="00E741B1" w:rsidRPr="00395FA3">
        <w:rPr>
          <w:sz w:val="24"/>
          <w:szCs w:val="24"/>
          <w:lang w:val="en-US"/>
        </w:rPr>
        <w:t xml:space="preserve"> into the following categories: </w:t>
      </w:r>
      <w:r w:rsidRPr="00395FA3">
        <w:rPr>
          <w:sz w:val="24"/>
          <w:szCs w:val="24"/>
          <w:lang w:val="en-US"/>
        </w:rPr>
        <w:t>Very Common (≥</w:t>
      </w:r>
      <w:r w:rsidR="00351AFC" w:rsidRPr="00395FA3">
        <w:rPr>
          <w:sz w:val="24"/>
          <w:szCs w:val="24"/>
          <w:lang w:val="en-GB"/>
        </w:rPr>
        <w:t xml:space="preserve"> </w:t>
      </w:r>
      <w:r w:rsidRPr="00395FA3">
        <w:rPr>
          <w:sz w:val="24"/>
          <w:szCs w:val="24"/>
          <w:lang w:val="en-US"/>
        </w:rPr>
        <w:t>10%) and Common (≥</w:t>
      </w:r>
      <w:r w:rsidR="00351AFC" w:rsidRPr="00395FA3">
        <w:rPr>
          <w:sz w:val="24"/>
          <w:szCs w:val="24"/>
          <w:lang w:val="en-GB"/>
        </w:rPr>
        <w:t xml:space="preserve"> </w:t>
      </w:r>
      <w:r w:rsidRPr="00395FA3">
        <w:rPr>
          <w:sz w:val="24"/>
          <w:szCs w:val="24"/>
          <w:lang w:val="en-US"/>
        </w:rPr>
        <w:t>1%-&lt;</w:t>
      </w:r>
      <w:r w:rsidR="00351AFC" w:rsidRPr="00395FA3">
        <w:rPr>
          <w:sz w:val="24"/>
          <w:szCs w:val="24"/>
          <w:lang w:val="en-GB"/>
        </w:rPr>
        <w:t xml:space="preserve"> </w:t>
      </w:r>
      <w:r w:rsidR="00E741B1" w:rsidRPr="00395FA3">
        <w:rPr>
          <w:sz w:val="24"/>
          <w:szCs w:val="24"/>
          <w:lang w:val="en-US"/>
        </w:rPr>
        <w:t>10%)</w:t>
      </w:r>
      <w:r w:rsidRPr="00395FA3">
        <w:rPr>
          <w:sz w:val="24"/>
          <w:szCs w:val="24"/>
          <w:lang w:val="en-US"/>
        </w:rPr>
        <w:t xml:space="preserve">. </w:t>
      </w:r>
      <w:r w:rsidR="00DD617D" w:rsidRPr="00395FA3">
        <w:rPr>
          <w:sz w:val="24"/>
          <w:szCs w:val="24"/>
          <w:lang w:val="en-US"/>
        </w:rPr>
        <w:t xml:space="preserve"> Adverse drug </w:t>
      </w:r>
      <w:r w:rsidR="00DD617D" w:rsidRPr="00395FA3">
        <w:rPr>
          <w:sz w:val="24"/>
          <w:szCs w:val="24"/>
          <w:lang w:val="en-US"/>
        </w:rPr>
        <w:lastRenderedPageBreak/>
        <w:t>reactions have been included in</w:t>
      </w:r>
      <w:r w:rsidRPr="00395FA3">
        <w:rPr>
          <w:sz w:val="24"/>
          <w:szCs w:val="24"/>
          <w:lang w:val="en-US"/>
        </w:rPr>
        <w:t xml:space="preserve"> the appropriate category according to the highest incidence seen in an</w:t>
      </w:r>
      <w:r w:rsidR="00C710E0">
        <w:rPr>
          <w:sz w:val="24"/>
          <w:szCs w:val="24"/>
          <w:lang w:val="en-US"/>
        </w:rPr>
        <w:t>y of the major clinical trials.</w:t>
      </w:r>
      <w:r w:rsidRPr="00395FA3">
        <w:rPr>
          <w:sz w:val="24"/>
          <w:szCs w:val="24"/>
          <w:lang w:val="en-US"/>
        </w:rPr>
        <w:t xml:space="preserve"> Within each frequency grouping adverse drug reactions are presented in order of decreasing seriou</w:t>
      </w:r>
      <w:r w:rsidR="00C710E0">
        <w:rPr>
          <w:sz w:val="24"/>
          <w:szCs w:val="24"/>
          <w:lang w:val="en-US"/>
        </w:rPr>
        <w:t>sness.</w:t>
      </w:r>
      <w:r w:rsidR="00DD617D" w:rsidRPr="00395FA3">
        <w:rPr>
          <w:sz w:val="24"/>
          <w:szCs w:val="24"/>
          <w:lang w:val="en-US"/>
        </w:rPr>
        <w:t xml:space="preserve"> </w:t>
      </w:r>
      <w:r w:rsidR="00451959" w:rsidRPr="00395FA3">
        <w:rPr>
          <w:sz w:val="24"/>
          <w:szCs w:val="24"/>
          <w:lang w:val="en-US"/>
        </w:rPr>
        <w:t xml:space="preserve">Some </w:t>
      </w:r>
      <w:r w:rsidRPr="00395FA3">
        <w:rPr>
          <w:sz w:val="24"/>
          <w:szCs w:val="24"/>
          <w:lang w:val="en-US"/>
        </w:rPr>
        <w:t>of the adverse reactions are reactions commonly seen with chemotherapy</w:t>
      </w:r>
      <w:r w:rsidR="00C710E0">
        <w:rPr>
          <w:sz w:val="24"/>
          <w:szCs w:val="24"/>
          <w:lang w:val="en-US"/>
        </w:rPr>
        <w:t xml:space="preserve"> </w:t>
      </w:r>
      <w:r w:rsidR="00C710E0" w:rsidRPr="00C710E0">
        <w:rPr>
          <w:sz w:val="24"/>
          <w:szCs w:val="24"/>
          <w:lang w:val="en-US"/>
        </w:rPr>
        <w:t xml:space="preserve">however AVASTIN may exacerbate these reactions when combined with chemotherapeutic agents. Examples include palmar-plantar </w:t>
      </w:r>
      <w:proofErr w:type="spellStart"/>
      <w:r w:rsidR="00C710E0" w:rsidRPr="00C710E0">
        <w:rPr>
          <w:sz w:val="24"/>
          <w:szCs w:val="24"/>
          <w:lang w:val="en-US"/>
        </w:rPr>
        <w:t>erythrodysaesthesia</w:t>
      </w:r>
      <w:proofErr w:type="spellEnd"/>
      <w:r w:rsidR="00C710E0" w:rsidRPr="00C710E0">
        <w:rPr>
          <w:sz w:val="24"/>
          <w:szCs w:val="24"/>
          <w:lang w:val="en-US"/>
        </w:rPr>
        <w:t xml:space="preserve"> syndrome with </w:t>
      </w:r>
      <w:proofErr w:type="spellStart"/>
      <w:r w:rsidR="00C710E0" w:rsidRPr="00C710E0">
        <w:rPr>
          <w:sz w:val="24"/>
          <w:szCs w:val="24"/>
          <w:lang w:val="en-US"/>
        </w:rPr>
        <w:t>pegylated</w:t>
      </w:r>
      <w:proofErr w:type="spellEnd"/>
      <w:r w:rsidR="00C710E0" w:rsidRPr="00C710E0">
        <w:rPr>
          <w:sz w:val="24"/>
          <w:szCs w:val="24"/>
          <w:lang w:val="en-US"/>
        </w:rPr>
        <w:t xml:space="preserve"> liposomal doxorubicin or </w:t>
      </w:r>
      <w:proofErr w:type="spellStart"/>
      <w:r w:rsidR="00C710E0" w:rsidRPr="00C710E0">
        <w:rPr>
          <w:sz w:val="24"/>
          <w:szCs w:val="24"/>
          <w:lang w:val="en-US"/>
        </w:rPr>
        <w:t>capecitabine</w:t>
      </w:r>
      <w:proofErr w:type="spellEnd"/>
      <w:r w:rsidR="00C710E0" w:rsidRPr="00C710E0">
        <w:rPr>
          <w:sz w:val="24"/>
          <w:szCs w:val="24"/>
          <w:lang w:val="en-US"/>
        </w:rPr>
        <w:t xml:space="preserve">, peripheral sensory neuropathy with paclitaxel or </w:t>
      </w:r>
      <w:proofErr w:type="spellStart"/>
      <w:r w:rsidR="00C710E0" w:rsidRPr="00C710E0">
        <w:rPr>
          <w:sz w:val="24"/>
          <w:szCs w:val="24"/>
          <w:lang w:val="en-US"/>
        </w:rPr>
        <w:t>oxaliplatin</w:t>
      </w:r>
      <w:proofErr w:type="spellEnd"/>
      <w:r w:rsidR="00C710E0" w:rsidRPr="00C710E0">
        <w:rPr>
          <w:sz w:val="24"/>
          <w:szCs w:val="24"/>
          <w:lang w:val="en-US"/>
        </w:rPr>
        <w:t xml:space="preserve">, and nail disorders or alopecia with paclitaxel. </w:t>
      </w:r>
    </w:p>
    <w:p w:rsidR="00111822" w:rsidRDefault="00111822" w:rsidP="008F4FF8">
      <w:pPr>
        <w:pStyle w:val="HdTab1"/>
        <w:ind w:left="720" w:hanging="720"/>
        <w:rPr>
          <w:rFonts w:ascii="Times New Roman" w:hAnsi="Times New Roman"/>
        </w:rPr>
      </w:pPr>
      <w:r w:rsidRPr="00E40F98">
        <w:rPr>
          <w:rFonts w:ascii="Times New Roman" w:eastAsia="MS Mincho" w:hAnsi="Times New Roman"/>
          <w:color w:val="000000"/>
        </w:rPr>
        <w:t xml:space="preserve">Table </w:t>
      </w:r>
      <w:r w:rsidR="007C7C2C">
        <w:rPr>
          <w:rFonts w:ascii="Times New Roman" w:eastAsia="MS Mincho" w:hAnsi="Times New Roman"/>
          <w:color w:val="000000"/>
        </w:rPr>
        <w:t>1</w:t>
      </w:r>
      <w:r w:rsidR="008B2C52">
        <w:rPr>
          <w:rFonts w:ascii="Times New Roman" w:eastAsia="MS Mincho" w:hAnsi="Times New Roman"/>
          <w:color w:val="000000"/>
        </w:rPr>
        <w:t>5</w:t>
      </w:r>
      <w:r w:rsidRPr="00E40F98">
        <w:rPr>
          <w:rFonts w:ascii="Times New Roman" w:eastAsia="MS Mincho" w:hAnsi="Times New Roman"/>
          <w:color w:val="000000"/>
        </w:rPr>
        <w:t>:</w:t>
      </w:r>
      <w:r w:rsidRPr="00E40F98">
        <w:rPr>
          <w:rFonts w:ascii="Times New Roman" w:hAnsi="Times New Roman"/>
        </w:rPr>
        <w:tab/>
        <w:t>Very Common and Common Adverse Drug Reactions</w:t>
      </w:r>
    </w:p>
    <w:p w:rsidR="00DF77FA" w:rsidRPr="00DF77FA" w:rsidRDefault="00DF77FA" w:rsidP="00BD3577">
      <w:pPr>
        <w:pStyle w:val="TextTi12"/>
        <w:spacing w:after="0"/>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195"/>
        <w:gridCol w:w="2381"/>
        <w:gridCol w:w="2835"/>
      </w:tblGrid>
      <w:tr w:rsidR="00111822" w:rsidRPr="00EF0B36" w:rsidTr="00AE1243">
        <w:tc>
          <w:tcPr>
            <w:tcW w:w="2195" w:type="dxa"/>
            <w:vMerge w:val="restart"/>
            <w:tcBorders>
              <w:left w:val="nil"/>
            </w:tcBorders>
            <w:shd w:val="clear" w:color="auto" w:fill="auto"/>
          </w:tcPr>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r w:rsidRPr="00EF0B36">
              <w:rPr>
                <w:b/>
                <w:i/>
                <w:sz w:val="20"/>
              </w:rPr>
              <w:t>System Organ Class (SOC)</w:t>
            </w:r>
          </w:p>
        </w:tc>
        <w:tc>
          <w:tcPr>
            <w:tcW w:w="4576" w:type="dxa"/>
            <w:gridSpan w:val="2"/>
            <w:shd w:val="clear" w:color="auto" w:fill="auto"/>
          </w:tcPr>
          <w:p w:rsidR="00111822" w:rsidRPr="00EF0B36" w:rsidRDefault="00111822" w:rsidP="00EF0B36">
            <w:pPr>
              <w:pStyle w:val="TextTi12"/>
              <w:spacing w:after="0" w:line="240" w:lineRule="auto"/>
              <w:jc w:val="center"/>
              <w:rPr>
                <w:b/>
                <w:i/>
                <w:sz w:val="20"/>
              </w:rPr>
            </w:pPr>
            <w:r w:rsidRPr="00EF0B36">
              <w:rPr>
                <w:b/>
                <w:i/>
                <w:sz w:val="20"/>
              </w:rPr>
              <w:t>NCI-CTC Grade 3-5 Reactions</w:t>
            </w:r>
          </w:p>
          <w:p w:rsidR="00111822" w:rsidRPr="00EF0B36" w:rsidRDefault="00111822" w:rsidP="00EF0B36">
            <w:pPr>
              <w:pStyle w:val="TextTi12"/>
              <w:spacing w:after="0" w:line="240" w:lineRule="auto"/>
              <w:jc w:val="center"/>
              <w:rPr>
                <w:b/>
                <w:i/>
                <w:sz w:val="20"/>
              </w:rPr>
            </w:pPr>
            <w:r w:rsidRPr="00EF0B36">
              <w:rPr>
                <w:b/>
                <w:i/>
                <w:sz w:val="20"/>
              </w:rPr>
              <w:t>(≥</w:t>
            </w:r>
            <w:r w:rsidR="00331958" w:rsidRPr="00EF0B36">
              <w:rPr>
                <w:b/>
                <w:i/>
                <w:sz w:val="20"/>
              </w:rPr>
              <w:t xml:space="preserve"> </w:t>
            </w:r>
            <w:r w:rsidRPr="00EF0B36">
              <w:rPr>
                <w:b/>
                <w:i/>
                <w:sz w:val="20"/>
              </w:rPr>
              <w:t>2% difference between the study arms in at least one clinical trial)</w:t>
            </w:r>
          </w:p>
        </w:tc>
        <w:tc>
          <w:tcPr>
            <w:tcW w:w="2835" w:type="dxa"/>
            <w:tcBorders>
              <w:righ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All Grade Reactions</w:t>
            </w:r>
            <w:r w:rsidR="007F35EE">
              <w:rPr>
                <w:b/>
                <w:i/>
                <w:sz w:val="20"/>
              </w:rPr>
              <w:t>*</w:t>
            </w:r>
          </w:p>
          <w:p w:rsidR="00111822" w:rsidRPr="00EF0B36" w:rsidRDefault="00111822" w:rsidP="00EF0B36">
            <w:pPr>
              <w:pStyle w:val="TextTi12"/>
              <w:spacing w:after="0" w:line="240" w:lineRule="auto"/>
              <w:jc w:val="center"/>
              <w:rPr>
                <w:b/>
                <w:i/>
                <w:sz w:val="20"/>
              </w:rPr>
            </w:pPr>
            <w:r w:rsidRPr="00EF0B36">
              <w:rPr>
                <w:b/>
                <w:i/>
                <w:sz w:val="20"/>
              </w:rPr>
              <w:t>(≥</w:t>
            </w:r>
            <w:r w:rsidR="00331958" w:rsidRPr="00EF0B36">
              <w:rPr>
                <w:b/>
                <w:i/>
                <w:sz w:val="20"/>
              </w:rPr>
              <w:t xml:space="preserve"> </w:t>
            </w:r>
            <w:r w:rsidRPr="00EF0B36">
              <w:rPr>
                <w:b/>
                <w:i/>
                <w:sz w:val="20"/>
              </w:rPr>
              <w:t>10% difference between the study arms in at least one clinical trial)</w:t>
            </w:r>
          </w:p>
        </w:tc>
      </w:tr>
      <w:tr w:rsidR="00111822" w:rsidRPr="00EF0B36" w:rsidTr="00AE1243">
        <w:tc>
          <w:tcPr>
            <w:tcW w:w="2195" w:type="dxa"/>
            <w:vMerge/>
            <w:tcBorders>
              <w:left w:val="nil"/>
            </w:tcBorders>
            <w:shd w:val="clear" w:color="auto" w:fill="auto"/>
          </w:tcPr>
          <w:p w:rsidR="00111822" w:rsidRPr="00EF0B36" w:rsidRDefault="00111822" w:rsidP="00EF0B36">
            <w:pPr>
              <w:pStyle w:val="TextTi12"/>
              <w:spacing w:after="0" w:line="240" w:lineRule="auto"/>
              <w:jc w:val="center"/>
              <w:rPr>
                <w:b/>
                <w:i/>
                <w:sz w:val="20"/>
              </w:rPr>
            </w:pPr>
          </w:p>
        </w:tc>
        <w:tc>
          <w:tcPr>
            <w:tcW w:w="2195" w:type="dxa"/>
            <w:shd w:val="clear" w:color="auto" w:fill="auto"/>
          </w:tcPr>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r w:rsidRPr="00EF0B36">
              <w:rPr>
                <w:b/>
                <w:i/>
                <w:sz w:val="20"/>
              </w:rPr>
              <w:t>Very common</w:t>
            </w:r>
          </w:p>
          <w:p w:rsidR="00111822" w:rsidRPr="00EF0B36" w:rsidRDefault="00111822" w:rsidP="00EF0B36">
            <w:pPr>
              <w:pStyle w:val="TextTi12"/>
              <w:spacing w:after="0" w:line="240" w:lineRule="auto"/>
              <w:jc w:val="center"/>
              <w:rPr>
                <w:b/>
                <w:i/>
                <w:sz w:val="20"/>
              </w:rPr>
            </w:pPr>
          </w:p>
        </w:tc>
        <w:tc>
          <w:tcPr>
            <w:tcW w:w="2381" w:type="dxa"/>
            <w:shd w:val="clear" w:color="auto" w:fill="auto"/>
          </w:tcPr>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r w:rsidRPr="00EF0B36">
              <w:rPr>
                <w:b/>
                <w:i/>
                <w:sz w:val="20"/>
              </w:rPr>
              <w:t>Common</w:t>
            </w:r>
          </w:p>
          <w:p w:rsidR="00111822" w:rsidRPr="00EF0B36" w:rsidRDefault="00111822" w:rsidP="00EF0B36">
            <w:pPr>
              <w:pStyle w:val="TextTi12"/>
              <w:spacing w:after="0" w:line="240" w:lineRule="auto"/>
              <w:jc w:val="center"/>
              <w:rPr>
                <w:b/>
                <w:i/>
                <w:sz w:val="20"/>
              </w:rPr>
            </w:pPr>
          </w:p>
        </w:tc>
        <w:tc>
          <w:tcPr>
            <w:tcW w:w="2835" w:type="dxa"/>
            <w:tcBorders>
              <w:right w:val="nil"/>
            </w:tcBorders>
            <w:shd w:val="clear" w:color="auto" w:fill="auto"/>
          </w:tcPr>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r w:rsidRPr="00EF0B36">
              <w:rPr>
                <w:b/>
                <w:i/>
                <w:sz w:val="20"/>
              </w:rPr>
              <w:t>Very Common</w:t>
            </w:r>
          </w:p>
          <w:p w:rsidR="00111822" w:rsidRPr="00EF0B36" w:rsidRDefault="00111822" w:rsidP="00EF0B36">
            <w:pPr>
              <w:pStyle w:val="TextTi12"/>
              <w:spacing w:after="0" w:line="240" w:lineRule="auto"/>
              <w:jc w:val="center"/>
              <w:rPr>
                <w:b/>
                <w:i/>
                <w:sz w:val="20"/>
              </w:rPr>
            </w:pPr>
          </w:p>
        </w:tc>
      </w:tr>
      <w:tr w:rsidR="00111822" w:rsidRPr="00EF0B36" w:rsidTr="00AE1243">
        <w:tc>
          <w:tcPr>
            <w:tcW w:w="2195" w:type="dxa"/>
            <w:tcBorders>
              <w:lef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Infections and infestations</w:t>
            </w:r>
          </w:p>
        </w:tc>
        <w:tc>
          <w:tcPr>
            <w:tcW w:w="2195" w:type="dxa"/>
            <w:shd w:val="clear" w:color="auto" w:fill="auto"/>
          </w:tcPr>
          <w:p w:rsidR="00111822" w:rsidRPr="00EF0B36" w:rsidRDefault="00111822" w:rsidP="00EF0B36">
            <w:pPr>
              <w:pStyle w:val="TextTi12"/>
              <w:spacing w:after="0" w:line="240" w:lineRule="auto"/>
              <w:jc w:val="center"/>
              <w:rPr>
                <w:sz w:val="20"/>
              </w:rPr>
            </w:pPr>
          </w:p>
        </w:tc>
        <w:tc>
          <w:tcPr>
            <w:tcW w:w="2381" w:type="dxa"/>
            <w:shd w:val="clear" w:color="auto" w:fill="auto"/>
          </w:tcPr>
          <w:p w:rsidR="00111822" w:rsidRPr="00EF0B36" w:rsidRDefault="00111822" w:rsidP="00EF0B36">
            <w:pPr>
              <w:pStyle w:val="TextTi12"/>
              <w:spacing w:after="0" w:line="240" w:lineRule="auto"/>
              <w:jc w:val="center"/>
              <w:rPr>
                <w:sz w:val="20"/>
              </w:rPr>
            </w:pPr>
            <w:r w:rsidRPr="00EF0B36">
              <w:rPr>
                <w:sz w:val="20"/>
              </w:rPr>
              <w:t>Sepsis</w:t>
            </w:r>
          </w:p>
          <w:p w:rsidR="00111822" w:rsidRPr="00EF0B36" w:rsidRDefault="00111822" w:rsidP="00EF0B36">
            <w:pPr>
              <w:pStyle w:val="TextTi12"/>
              <w:spacing w:after="0" w:line="240" w:lineRule="auto"/>
              <w:jc w:val="center"/>
              <w:rPr>
                <w:sz w:val="20"/>
              </w:rPr>
            </w:pPr>
            <w:r w:rsidRPr="00EF0B36">
              <w:rPr>
                <w:sz w:val="20"/>
              </w:rPr>
              <w:t>Abscess</w:t>
            </w:r>
          </w:p>
          <w:p w:rsidR="00111822" w:rsidRPr="00EF0B36" w:rsidRDefault="00111822" w:rsidP="00EF0B36">
            <w:pPr>
              <w:pStyle w:val="TextTi12"/>
              <w:spacing w:after="0" w:line="240" w:lineRule="auto"/>
              <w:jc w:val="center"/>
              <w:rPr>
                <w:sz w:val="20"/>
              </w:rPr>
            </w:pPr>
            <w:r w:rsidRPr="00EF0B36">
              <w:rPr>
                <w:sz w:val="20"/>
              </w:rPr>
              <w:t>Infection</w:t>
            </w:r>
          </w:p>
        </w:tc>
        <w:tc>
          <w:tcPr>
            <w:tcW w:w="2835" w:type="dxa"/>
            <w:tcBorders>
              <w:right w:val="nil"/>
            </w:tcBorders>
            <w:shd w:val="clear" w:color="auto" w:fill="auto"/>
          </w:tcPr>
          <w:p w:rsidR="00111822" w:rsidRPr="00EF0B36" w:rsidRDefault="00111822" w:rsidP="00EF0B36">
            <w:pPr>
              <w:pStyle w:val="TextTi12"/>
              <w:spacing w:after="0" w:line="240" w:lineRule="auto"/>
              <w:jc w:val="center"/>
              <w:rPr>
                <w:sz w:val="20"/>
              </w:rPr>
            </w:pPr>
          </w:p>
        </w:tc>
      </w:tr>
      <w:tr w:rsidR="00111822" w:rsidRPr="00EF0B36" w:rsidTr="00AE1243">
        <w:tc>
          <w:tcPr>
            <w:tcW w:w="2195" w:type="dxa"/>
            <w:tcBorders>
              <w:lef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Blood and the lymphatic systems disorders</w:t>
            </w:r>
          </w:p>
        </w:tc>
        <w:tc>
          <w:tcPr>
            <w:tcW w:w="2195" w:type="dxa"/>
            <w:shd w:val="clear" w:color="auto" w:fill="auto"/>
          </w:tcPr>
          <w:p w:rsidR="000B5641" w:rsidRPr="00EF0B36" w:rsidRDefault="000B5641" w:rsidP="00EF0B36">
            <w:pPr>
              <w:pStyle w:val="TextTi12"/>
              <w:spacing w:after="0" w:line="240" w:lineRule="auto"/>
              <w:jc w:val="center"/>
              <w:rPr>
                <w:sz w:val="20"/>
              </w:rPr>
            </w:pPr>
            <w:r w:rsidRPr="00EF0B36">
              <w:rPr>
                <w:sz w:val="20"/>
              </w:rPr>
              <w:t>Febrile neutropenia</w:t>
            </w:r>
          </w:p>
          <w:p w:rsidR="00111822" w:rsidRPr="00EF0B36" w:rsidRDefault="00111822" w:rsidP="00EF0B36">
            <w:pPr>
              <w:pStyle w:val="TextTi12"/>
              <w:spacing w:after="0" w:line="240" w:lineRule="auto"/>
              <w:jc w:val="center"/>
              <w:rPr>
                <w:sz w:val="20"/>
              </w:rPr>
            </w:pPr>
            <w:r w:rsidRPr="00EF0B36">
              <w:rPr>
                <w:sz w:val="20"/>
              </w:rPr>
              <w:t>Leu</w:t>
            </w:r>
            <w:r w:rsidR="00C12335" w:rsidRPr="00EF0B36">
              <w:rPr>
                <w:sz w:val="20"/>
              </w:rPr>
              <w:t>c</w:t>
            </w:r>
            <w:r w:rsidRPr="00EF0B36">
              <w:rPr>
                <w:sz w:val="20"/>
              </w:rPr>
              <w:t>openia</w:t>
            </w:r>
          </w:p>
          <w:p w:rsidR="00C5151E" w:rsidRPr="00EF0B36" w:rsidRDefault="00111822" w:rsidP="00EF0B36">
            <w:pPr>
              <w:pStyle w:val="TextTi12"/>
              <w:spacing w:after="0" w:line="240" w:lineRule="auto"/>
              <w:jc w:val="center"/>
              <w:rPr>
                <w:sz w:val="20"/>
              </w:rPr>
            </w:pPr>
            <w:r w:rsidRPr="00EF0B36">
              <w:rPr>
                <w:sz w:val="20"/>
              </w:rPr>
              <w:t>Neutropenia</w:t>
            </w:r>
          </w:p>
          <w:p w:rsidR="00111822" w:rsidRPr="00EF0B36" w:rsidRDefault="00C5151E" w:rsidP="00EF0B36">
            <w:pPr>
              <w:pStyle w:val="TextTi12"/>
              <w:spacing w:after="0" w:line="240" w:lineRule="auto"/>
              <w:jc w:val="center"/>
              <w:rPr>
                <w:sz w:val="20"/>
              </w:rPr>
            </w:pPr>
            <w:r w:rsidRPr="00EF0B36">
              <w:rPr>
                <w:sz w:val="20"/>
              </w:rPr>
              <w:t>Thrombocytopenia</w:t>
            </w:r>
          </w:p>
        </w:tc>
        <w:tc>
          <w:tcPr>
            <w:tcW w:w="2381" w:type="dxa"/>
            <w:shd w:val="clear" w:color="auto" w:fill="auto"/>
          </w:tcPr>
          <w:p w:rsidR="00111822" w:rsidRPr="00EF0B36" w:rsidRDefault="00111822" w:rsidP="00EF0B36">
            <w:pPr>
              <w:pStyle w:val="TextTi12"/>
              <w:spacing w:after="0" w:line="240" w:lineRule="auto"/>
              <w:jc w:val="center"/>
              <w:rPr>
                <w:sz w:val="20"/>
              </w:rPr>
            </w:pPr>
            <w:proofErr w:type="spellStart"/>
            <w:r w:rsidRPr="00EF0B36">
              <w:rPr>
                <w:sz w:val="20"/>
              </w:rPr>
              <w:t>Anaemia</w:t>
            </w:r>
            <w:proofErr w:type="spellEnd"/>
          </w:p>
          <w:p w:rsidR="00111822" w:rsidRPr="00EF0B36" w:rsidRDefault="00111822" w:rsidP="00EF0B36">
            <w:pPr>
              <w:pStyle w:val="TextTi12"/>
              <w:spacing w:after="0" w:line="240" w:lineRule="auto"/>
              <w:jc w:val="center"/>
              <w:rPr>
                <w:sz w:val="20"/>
              </w:rPr>
            </w:pPr>
          </w:p>
        </w:tc>
        <w:tc>
          <w:tcPr>
            <w:tcW w:w="2835" w:type="dxa"/>
            <w:tcBorders>
              <w:right w:val="nil"/>
            </w:tcBorders>
            <w:shd w:val="clear" w:color="auto" w:fill="auto"/>
          </w:tcPr>
          <w:p w:rsidR="00111822" w:rsidRPr="00EF0B36" w:rsidRDefault="00111822" w:rsidP="00EF0B36">
            <w:pPr>
              <w:pStyle w:val="TextTi12"/>
              <w:spacing w:after="0" w:line="240" w:lineRule="auto"/>
              <w:jc w:val="center"/>
              <w:rPr>
                <w:sz w:val="20"/>
              </w:rPr>
            </w:pPr>
          </w:p>
        </w:tc>
      </w:tr>
      <w:tr w:rsidR="00111822" w:rsidRPr="00EF0B36" w:rsidTr="00AE1243">
        <w:tc>
          <w:tcPr>
            <w:tcW w:w="2195" w:type="dxa"/>
            <w:tcBorders>
              <w:lef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Metabolism and nutrition disorders</w:t>
            </w:r>
          </w:p>
          <w:p w:rsidR="00111822" w:rsidRPr="00EF0B36" w:rsidRDefault="00111822" w:rsidP="00EF0B36">
            <w:pPr>
              <w:pStyle w:val="TextTi12"/>
              <w:spacing w:after="0" w:line="240" w:lineRule="auto"/>
              <w:jc w:val="center"/>
              <w:rPr>
                <w:b/>
                <w:i/>
                <w:sz w:val="20"/>
              </w:rPr>
            </w:pPr>
          </w:p>
        </w:tc>
        <w:tc>
          <w:tcPr>
            <w:tcW w:w="2195" w:type="dxa"/>
            <w:shd w:val="clear" w:color="auto" w:fill="auto"/>
          </w:tcPr>
          <w:p w:rsidR="00111822" w:rsidRPr="00EF0B36" w:rsidRDefault="00111822" w:rsidP="00EF0B36">
            <w:pPr>
              <w:pStyle w:val="TextTi12"/>
              <w:spacing w:after="0" w:line="240" w:lineRule="auto"/>
              <w:jc w:val="center"/>
              <w:rPr>
                <w:sz w:val="20"/>
              </w:rPr>
            </w:pPr>
          </w:p>
        </w:tc>
        <w:tc>
          <w:tcPr>
            <w:tcW w:w="2381" w:type="dxa"/>
            <w:shd w:val="clear" w:color="auto" w:fill="auto"/>
          </w:tcPr>
          <w:p w:rsidR="00111822" w:rsidRPr="00EF0B36" w:rsidRDefault="00111822" w:rsidP="00EF0B36">
            <w:pPr>
              <w:pStyle w:val="TextTi12"/>
              <w:spacing w:after="0" w:line="240" w:lineRule="auto"/>
              <w:jc w:val="center"/>
              <w:rPr>
                <w:sz w:val="20"/>
              </w:rPr>
            </w:pPr>
            <w:r w:rsidRPr="00EF0B36">
              <w:rPr>
                <w:sz w:val="20"/>
              </w:rPr>
              <w:t>Dehydration</w:t>
            </w:r>
          </w:p>
          <w:p w:rsidR="00111822" w:rsidRPr="00EF0B36" w:rsidRDefault="00111822" w:rsidP="00EF0B36">
            <w:pPr>
              <w:pStyle w:val="TextTi12"/>
              <w:spacing w:after="0" w:line="240" w:lineRule="auto"/>
              <w:jc w:val="center"/>
              <w:rPr>
                <w:sz w:val="20"/>
              </w:rPr>
            </w:pPr>
          </w:p>
        </w:tc>
        <w:tc>
          <w:tcPr>
            <w:tcW w:w="2835" w:type="dxa"/>
            <w:tcBorders>
              <w:right w:val="nil"/>
            </w:tcBorders>
            <w:shd w:val="clear" w:color="auto" w:fill="auto"/>
          </w:tcPr>
          <w:p w:rsidR="00111822" w:rsidRPr="00EF0B36" w:rsidRDefault="00111822" w:rsidP="00EF0B36">
            <w:pPr>
              <w:pStyle w:val="TextTi12"/>
              <w:spacing w:after="0" w:line="240" w:lineRule="auto"/>
              <w:jc w:val="center"/>
              <w:rPr>
                <w:sz w:val="20"/>
              </w:rPr>
            </w:pPr>
            <w:r w:rsidRPr="00EF0B36">
              <w:rPr>
                <w:sz w:val="20"/>
              </w:rPr>
              <w:t>Anorexia</w:t>
            </w:r>
          </w:p>
        </w:tc>
      </w:tr>
      <w:tr w:rsidR="00111822" w:rsidRPr="00EF0B36" w:rsidTr="00AE1243">
        <w:tc>
          <w:tcPr>
            <w:tcW w:w="2195" w:type="dxa"/>
            <w:tcBorders>
              <w:lef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Nervous system disorders</w:t>
            </w:r>
          </w:p>
        </w:tc>
        <w:tc>
          <w:tcPr>
            <w:tcW w:w="2195" w:type="dxa"/>
            <w:shd w:val="clear" w:color="auto" w:fill="auto"/>
          </w:tcPr>
          <w:p w:rsidR="00111822" w:rsidRPr="00EF0B36" w:rsidRDefault="00111822" w:rsidP="00EF0B36">
            <w:pPr>
              <w:pStyle w:val="TextTi12"/>
              <w:spacing w:after="0" w:line="240" w:lineRule="auto"/>
              <w:jc w:val="center"/>
              <w:rPr>
                <w:sz w:val="20"/>
              </w:rPr>
            </w:pPr>
            <w:r w:rsidRPr="00EF0B36">
              <w:rPr>
                <w:sz w:val="20"/>
              </w:rPr>
              <w:t>Peripheral sensory neuropathy</w:t>
            </w:r>
          </w:p>
        </w:tc>
        <w:tc>
          <w:tcPr>
            <w:tcW w:w="2381" w:type="dxa"/>
            <w:shd w:val="clear" w:color="auto" w:fill="auto"/>
          </w:tcPr>
          <w:p w:rsidR="0055224B" w:rsidRPr="00EF0B36" w:rsidRDefault="00111822" w:rsidP="00EF0B36">
            <w:pPr>
              <w:pStyle w:val="TextTi12"/>
              <w:spacing w:after="0" w:line="240" w:lineRule="auto"/>
              <w:jc w:val="center"/>
              <w:rPr>
                <w:sz w:val="20"/>
              </w:rPr>
            </w:pPr>
            <w:r w:rsidRPr="00EF0B36">
              <w:rPr>
                <w:sz w:val="20"/>
              </w:rPr>
              <w:t>Cerebr</w:t>
            </w:r>
            <w:r w:rsidR="00C5151E" w:rsidRPr="00EF0B36">
              <w:rPr>
                <w:sz w:val="20"/>
              </w:rPr>
              <w:t>ovascular accident</w:t>
            </w:r>
          </w:p>
          <w:p w:rsidR="00111822" w:rsidRPr="00EF0B36" w:rsidRDefault="00111822" w:rsidP="00EF0B36">
            <w:pPr>
              <w:pStyle w:val="TextTi12"/>
              <w:spacing w:after="0" w:line="240" w:lineRule="auto"/>
              <w:jc w:val="center"/>
              <w:rPr>
                <w:sz w:val="20"/>
              </w:rPr>
            </w:pPr>
            <w:r w:rsidRPr="00EF0B36">
              <w:rPr>
                <w:sz w:val="20"/>
              </w:rPr>
              <w:t>Syncope</w:t>
            </w:r>
          </w:p>
          <w:p w:rsidR="00111822" w:rsidRPr="00EF0B36" w:rsidRDefault="00111822" w:rsidP="00EF0B36">
            <w:pPr>
              <w:pStyle w:val="TextTi12"/>
              <w:spacing w:after="0" w:line="240" w:lineRule="auto"/>
              <w:jc w:val="center"/>
              <w:rPr>
                <w:sz w:val="20"/>
              </w:rPr>
            </w:pPr>
            <w:r w:rsidRPr="00EF0B36">
              <w:rPr>
                <w:sz w:val="20"/>
              </w:rPr>
              <w:t>Somnolence</w:t>
            </w:r>
          </w:p>
          <w:p w:rsidR="00111822" w:rsidRPr="00EF0B36" w:rsidRDefault="00111822" w:rsidP="00EF0B36">
            <w:pPr>
              <w:pStyle w:val="TextTi12"/>
              <w:spacing w:after="0" w:line="240" w:lineRule="auto"/>
              <w:jc w:val="center"/>
              <w:rPr>
                <w:sz w:val="20"/>
              </w:rPr>
            </w:pPr>
            <w:r w:rsidRPr="00EF0B36">
              <w:rPr>
                <w:sz w:val="20"/>
              </w:rPr>
              <w:t xml:space="preserve">Headache </w:t>
            </w:r>
          </w:p>
        </w:tc>
        <w:tc>
          <w:tcPr>
            <w:tcW w:w="2835" w:type="dxa"/>
            <w:tcBorders>
              <w:right w:val="nil"/>
            </w:tcBorders>
            <w:shd w:val="clear" w:color="auto" w:fill="auto"/>
          </w:tcPr>
          <w:p w:rsidR="00111822" w:rsidRPr="00EF0B36" w:rsidRDefault="00111822" w:rsidP="00EF0B36">
            <w:pPr>
              <w:pStyle w:val="TextTi12"/>
              <w:spacing w:after="0" w:line="240" w:lineRule="auto"/>
              <w:jc w:val="center"/>
              <w:rPr>
                <w:sz w:val="20"/>
              </w:rPr>
            </w:pPr>
            <w:proofErr w:type="spellStart"/>
            <w:r w:rsidRPr="00EF0B36">
              <w:rPr>
                <w:sz w:val="20"/>
              </w:rPr>
              <w:t>Dysgeusia</w:t>
            </w:r>
            <w:proofErr w:type="spellEnd"/>
          </w:p>
          <w:p w:rsidR="0004186B" w:rsidRPr="00EF0B36" w:rsidRDefault="00C5151E" w:rsidP="00EF0B36">
            <w:pPr>
              <w:pStyle w:val="TextTi12"/>
              <w:spacing w:after="0" w:line="240" w:lineRule="auto"/>
              <w:jc w:val="center"/>
              <w:rPr>
                <w:rFonts w:ascii="Arial" w:hAnsi="Arial" w:cs="Arial"/>
                <w:sz w:val="20"/>
              </w:rPr>
            </w:pPr>
            <w:r w:rsidRPr="00EF0B36">
              <w:rPr>
                <w:sz w:val="20"/>
              </w:rPr>
              <w:t>Headache</w:t>
            </w:r>
            <w:r w:rsidR="0004186B" w:rsidRPr="00EF0B36">
              <w:rPr>
                <w:rFonts w:ascii="Arial" w:hAnsi="Arial" w:cs="Arial"/>
              </w:rPr>
              <w:t xml:space="preserve"> </w:t>
            </w:r>
          </w:p>
          <w:p w:rsidR="00C5151E" w:rsidRDefault="0004186B" w:rsidP="00EF0B36">
            <w:pPr>
              <w:pStyle w:val="TextTi12"/>
              <w:spacing w:after="0" w:line="240" w:lineRule="auto"/>
              <w:jc w:val="center"/>
              <w:rPr>
                <w:sz w:val="20"/>
              </w:rPr>
            </w:pPr>
            <w:r w:rsidRPr="00EF0B36">
              <w:rPr>
                <w:sz w:val="20"/>
              </w:rPr>
              <w:t>Dysarthria</w:t>
            </w:r>
          </w:p>
          <w:p w:rsidR="000A228E" w:rsidRPr="00EF0B36" w:rsidRDefault="007F35EE" w:rsidP="007F35EE">
            <w:pPr>
              <w:pStyle w:val="TextTi12"/>
              <w:spacing w:after="0" w:line="240" w:lineRule="auto"/>
              <w:jc w:val="center"/>
              <w:rPr>
                <w:sz w:val="20"/>
              </w:rPr>
            </w:pPr>
            <w:r>
              <w:rPr>
                <w:sz w:val="20"/>
              </w:rPr>
              <w:t>**P</w:t>
            </w:r>
            <w:r w:rsidR="000A228E" w:rsidRPr="00EF0B36">
              <w:rPr>
                <w:sz w:val="20"/>
              </w:rPr>
              <w:t>eripheral sensory neuropath</w:t>
            </w:r>
            <w:r w:rsidR="00CE15B5">
              <w:rPr>
                <w:sz w:val="20"/>
              </w:rPr>
              <w:t>y</w:t>
            </w: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Eye disorders</w:t>
            </w:r>
          </w:p>
          <w:p w:rsidR="0055224B" w:rsidRPr="00EF0B36" w:rsidRDefault="0055224B" w:rsidP="00EF0B36">
            <w:pPr>
              <w:pStyle w:val="TextTi12"/>
              <w:spacing w:after="0" w:line="240" w:lineRule="auto"/>
              <w:jc w:val="center"/>
              <w:rPr>
                <w:b/>
                <w:i/>
                <w:sz w:val="20"/>
              </w:rPr>
            </w:pPr>
          </w:p>
        </w:tc>
        <w:tc>
          <w:tcPr>
            <w:tcW w:w="2195" w:type="dxa"/>
            <w:shd w:val="clear" w:color="auto" w:fill="auto"/>
          </w:tcPr>
          <w:p w:rsidR="0055224B" w:rsidRPr="00EF0B36" w:rsidRDefault="0055224B" w:rsidP="00EF0B36">
            <w:pPr>
              <w:pStyle w:val="TextTi12"/>
              <w:spacing w:after="0" w:line="240" w:lineRule="auto"/>
              <w:jc w:val="center"/>
              <w:rPr>
                <w:sz w:val="20"/>
              </w:rPr>
            </w:pPr>
          </w:p>
        </w:tc>
        <w:tc>
          <w:tcPr>
            <w:tcW w:w="2381" w:type="dxa"/>
            <w:shd w:val="clear" w:color="auto" w:fill="auto"/>
          </w:tcPr>
          <w:p w:rsidR="0055224B" w:rsidRPr="00EF0B36" w:rsidRDefault="0055224B" w:rsidP="00EF0B36">
            <w:pPr>
              <w:pStyle w:val="TextTi12"/>
              <w:spacing w:after="0" w:line="240" w:lineRule="auto"/>
              <w:jc w:val="center"/>
              <w:rPr>
                <w:sz w:val="20"/>
              </w:rPr>
            </w:pP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r w:rsidRPr="00EF0B36">
              <w:rPr>
                <w:sz w:val="20"/>
              </w:rPr>
              <w:t xml:space="preserve">Eye disorder </w:t>
            </w:r>
          </w:p>
          <w:p w:rsidR="0055224B" w:rsidRPr="00EF0B36" w:rsidRDefault="0055224B"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sz w:val="20"/>
                <w:lang w:val="en-US"/>
              </w:rPr>
              <w:t>Lacrimation increased</w:t>
            </w: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Cardiac disorders</w:t>
            </w:r>
          </w:p>
        </w:tc>
        <w:tc>
          <w:tcPr>
            <w:tcW w:w="2195" w:type="dxa"/>
            <w:shd w:val="clear" w:color="auto" w:fill="auto"/>
          </w:tcPr>
          <w:p w:rsidR="0055224B" w:rsidRPr="00EF0B36" w:rsidRDefault="0055224B" w:rsidP="00EF0B36">
            <w:pPr>
              <w:pStyle w:val="TextTi12"/>
              <w:spacing w:after="0" w:line="240" w:lineRule="auto"/>
              <w:jc w:val="center"/>
              <w:rPr>
                <w:sz w:val="20"/>
              </w:rPr>
            </w:pPr>
          </w:p>
        </w:tc>
        <w:tc>
          <w:tcPr>
            <w:tcW w:w="2381" w:type="dxa"/>
            <w:shd w:val="clear" w:color="auto" w:fill="auto"/>
          </w:tcPr>
          <w:p w:rsidR="0055224B" w:rsidRPr="00EF0B36" w:rsidRDefault="0055224B" w:rsidP="00EF0B36">
            <w:pPr>
              <w:pStyle w:val="TextTi12"/>
              <w:spacing w:after="0" w:line="240" w:lineRule="auto"/>
              <w:jc w:val="center"/>
              <w:rPr>
                <w:sz w:val="20"/>
              </w:rPr>
            </w:pPr>
            <w:r w:rsidRPr="00EF0B36">
              <w:rPr>
                <w:sz w:val="20"/>
              </w:rPr>
              <w:t>Cardiac failure congestive</w:t>
            </w:r>
          </w:p>
          <w:p w:rsidR="0055224B" w:rsidRPr="00EF0B36" w:rsidRDefault="0055224B" w:rsidP="00EF0B36">
            <w:pPr>
              <w:pStyle w:val="TextTi12"/>
              <w:spacing w:after="0" w:line="240" w:lineRule="auto"/>
              <w:jc w:val="center"/>
              <w:rPr>
                <w:sz w:val="20"/>
              </w:rPr>
            </w:pPr>
            <w:r w:rsidRPr="00EF0B36">
              <w:rPr>
                <w:sz w:val="20"/>
              </w:rPr>
              <w:t>Supraventricular tachycardia</w:t>
            </w: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Vascular disorders</w:t>
            </w:r>
          </w:p>
        </w:tc>
        <w:tc>
          <w:tcPr>
            <w:tcW w:w="2195" w:type="dxa"/>
            <w:shd w:val="clear" w:color="auto" w:fill="auto"/>
          </w:tcPr>
          <w:p w:rsidR="0055224B" w:rsidRPr="00EF0B36" w:rsidRDefault="0055224B" w:rsidP="00EF0B36">
            <w:pPr>
              <w:pStyle w:val="TextTi12"/>
              <w:spacing w:after="0" w:line="240" w:lineRule="auto"/>
              <w:jc w:val="center"/>
              <w:rPr>
                <w:sz w:val="20"/>
              </w:rPr>
            </w:pPr>
            <w:r w:rsidRPr="00EF0B36">
              <w:rPr>
                <w:sz w:val="20"/>
              </w:rPr>
              <w:t>Hypertension</w:t>
            </w:r>
          </w:p>
        </w:tc>
        <w:tc>
          <w:tcPr>
            <w:tcW w:w="2381" w:type="dxa"/>
            <w:shd w:val="clear" w:color="auto" w:fill="auto"/>
          </w:tcPr>
          <w:p w:rsidR="0055224B" w:rsidRPr="00EF0B36" w:rsidRDefault="0055224B" w:rsidP="00EF0B36">
            <w:pPr>
              <w:pStyle w:val="TextTi12"/>
              <w:spacing w:after="0" w:line="240" w:lineRule="auto"/>
              <w:jc w:val="center"/>
              <w:rPr>
                <w:sz w:val="20"/>
              </w:rPr>
            </w:pPr>
            <w:r w:rsidRPr="00EF0B36">
              <w:rPr>
                <w:sz w:val="20"/>
              </w:rPr>
              <w:t>Thromboembolism (arterial)</w:t>
            </w:r>
          </w:p>
          <w:p w:rsidR="0055224B" w:rsidRPr="00EF0B36" w:rsidRDefault="0055224B" w:rsidP="00EF0B36">
            <w:pPr>
              <w:pStyle w:val="TextTi12"/>
              <w:spacing w:after="0" w:line="240" w:lineRule="auto"/>
              <w:jc w:val="center"/>
              <w:rPr>
                <w:sz w:val="20"/>
              </w:rPr>
            </w:pPr>
            <w:r w:rsidRPr="00EF0B36">
              <w:rPr>
                <w:sz w:val="20"/>
              </w:rPr>
              <w:t>Deep vein thrombosis</w:t>
            </w:r>
          </w:p>
          <w:p w:rsidR="0055224B" w:rsidRPr="00EF0B36" w:rsidRDefault="0055224B" w:rsidP="00EF0B36">
            <w:pPr>
              <w:pStyle w:val="TextTi12"/>
              <w:spacing w:after="0" w:line="240" w:lineRule="auto"/>
              <w:jc w:val="center"/>
              <w:rPr>
                <w:sz w:val="20"/>
              </w:rPr>
            </w:pPr>
            <w:proofErr w:type="spellStart"/>
            <w:r w:rsidRPr="00EF0B36">
              <w:rPr>
                <w:sz w:val="20"/>
              </w:rPr>
              <w:t>Haemorrhage</w:t>
            </w:r>
            <w:proofErr w:type="spellEnd"/>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r w:rsidRPr="00EF0B36">
              <w:rPr>
                <w:sz w:val="20"/>
              </w:rPr>
              <w:t xml:space="preserve">Hypertension </w:t>
            </w:r>
          </w:p>
          <w:p w:rsidR="0055224B" w:rsidRPr="00EF0B36" w:rsidRDefault="0055224B" w:rsidP="00EF0B36">
            <w:pPr>
              <w:pStyle w:val="TextTi12"/>
              <w:spacing w:after="0" w:line="240" w:lineRule="auto"/>
              <w:jc w:val="center"/>
              <w:rPr>
                <w:sz w:val="20"/>
              </w:rPr>
            </w:pP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 xml:space="preserve">Respiratory, thoracic and </w:t>
            </w:r>
            <w:proofErr w:type="spellStart"/>
            <w:r w:rsidRPr="00EF0B36">
              <w:rPr>
                <w:b/>
                <w:i/>
                <w:sz w:val="20"/>
              </w:rPr>
              <w:t>mediastinal</w:t>
            </w:r>
            <w:proofErr w:type="spellEnd"/>
            <w:r w:rsidRPr="00EF0B36">
              <w:rPr>
                <w:b/>
                <w:i/>
                <w:sz w:val="20"/>
              </w:rPr>
              <w:t xml:space="preserve"> disorders</w:t>
            </w:r>
          </w:p>
        </w:tc>
        <w:tc>
          <w:tcPr>
            <w:tcW w:w="2195" w:type="dxa"/>
            <w:shd w:val="clear" w:color="auto" w:fill="auto"/>
          </w:tcPr>
          <w:p w:rsidR="0055224B" w:rsidRPr="00EF0B36" w:rsidRDefault="0055224B" w:rsidP="00EF0B36">
            <w:pPr>
              <w:pStyle w:val="TextTi12"/>
              <w:spacing w:after="0" w:line="240" w:lineRule="auto"/>
              <w:jc w:val="center"/>
              <w:rPr>
                <w:sz w:val="20"/>
              </w:rPr>
            </w:pPr>
          </w:p>
        </w:tc>
        <w:tc>
          <w:tcPr>
            <w:tcW w:w="2381" w:type="dxa"/>
            <w:shd w:val="clear" w:color="auto" w:fill="auto"/>
          </w:tcPr>
          <w:p w:rsidR="0055224B" w:rsidRPr="00EF0B36" w:rsidRDefault="0055224B" w:rsidP="00EF0B36">
            <w:pPr>
              <w:pStyle w:val="TextTi12"/>
              <w:spacing w:after="0" w:line="240" w:lineRule="auto"/>
              <w:jc w:val="center"/>
              <w:rPr>
                <w:sz w:val="20"/>
              </w:rPr>
            </w:pPr>
            <w:r w:rsidRPr="00EF0B36">
              <w:rPr>
                <w:sz w:val="20"/>
              </w:rPr>
              <w:t>Pulmonary embolism</w:t>
            </w:r>
          </w:p>
          <w:p w:rsidR="0055224B" w:rsidRPr="00EF0B36" w:rsidRDefault="0055224B" w:rsidP="00EF0B36">
            <w:pPr>
              <w:pStyle w:val="TextTi12"/>
              <w:spacing w:after="0" w:line="240" w:lineRule="auto"/>
              <w:jc w:val="center"/>
              <w:rPr>
                <w:sz w:val="20"/>
              </w:rPr>
            </w:pPr>
            <w:proofErr w:type="spellStart"/>
            <w:r w:rsidRPr="00EF0B36">
              <w:rPr>
                <w:sz w:val="20"/>
              </w:rPr>
              <w:t>Dyspnoea</w:t>
            </w:r>
            <w:proofErr w:type="spellEnd"/>
          </w:p>
          <w:p w:rsidR="0055224B" w:rsidRPr="00EF0B36" w:rsidRDefault="0055224B" w:rsidP="00EF0B36">
            <w:pPr>
              <w:pStyle w:val="TextTi12"/>
              <w:spacing w:after="0" w:line="240" w:lineRule="auto"/>
              <w:jc w:val="center"/>
              <w:rPr>
                <w:sz w:val="20"/>
              </w:rPr>
            </w:pPr>
            <w:r w:rsidRPr="00EF0B36">
              <w:rPr>
                <w:sz w:val="20"/>
              </w:rPr>
              <w:t>Hypoxia</w:t>
            </w:r>
          </w:p>
          <w:p w:rsidR="0055224B" w:rsidRPr="00EF0B36" w:rsidRDefault="0055224B" w:rsidP="00EF0B36">
            <w:pPr>
              <w:pStyle w:val="TextTi12"/>
              <w:spacing w:after="0" w:line="240" w:lineRule="auto"/>
              <w:jc w:val="center"/>
              <w:rPr>
                <w:sz w:val="20"/>
              </w:rPr>
            </w:pPr>
            <w:r w:rsidRPr="00EF0B36">
              <w:rPr>
                <w:sz w:val="20"/>
              </w:rPr>
              <w:t>Epistaxis</w:t>
            </w: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proofErr w:type="spellStart"/>
            <w:r w:rsidRPr="00EF0B36">
              <w:rPr>
                <w:sz w:val="20"/>
              </w:rPr>
              <w:t>Dyspnoea</w:t>
            </w:r>
            <w:proofErr w:type="spellEnd"/>
          </w:p>
          <w:p w:rsidR="0055224B" w:rsidRPr="00EF0B36" w:rsidRDefault="0055224B" w:rsidP="00EF0B36">
            <w:pPr>
              <w:pStyle w:val="TextTi12"/>
              <w:spacing w:after="0" w:line="240" w:lineRule="auto"/>
              <w:jc w:val="center"/>
              <w:rPr>
                <w:sz w:val="20"/>
              </w:rPr>
            </w:pPr>
            <w:r w:rsidRPr="00EF0B36">
              <w:rPr>
                <w:sz w:val="20"/>
              </w:rPr>
              <w:t>Epistaxis</w:t>
            </w:r>
          </w:p>
          <w:p w:rsidR="0055224B" w:rsidRPr="00EF0B36" w:rsidRDefault="0055224B" w:rsidP="00EF0B36">
            <w:pPr>
              <w:pStyle w:val="TextTi12"/>
              <w:spacing w:after="0" w:line="240" w:lineRule="auto"/>
              <w:jc w:val="center"/>
              <w:rPr>
                <w:sz w:val="20"/>
              </w:rPr>
            </w:pPr>
            <w:r w:rsidRPr="00EF0B36">
              <w:rPr>
                <w:sz w:val="20"/>
              </w:rPr>
              <w:t xml:space="preserve">Rhinitis </w:t>
            </w: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Gastrointestinal disorders</w:t>
            </w:r>
          </w:p>
        </w:tc>
        <w:tc>
          <w:tcPr>
            <w:tcW w:w="2195" w:type="dxa"/>
            <w:shd w:val="clear" w:color="auto" w:fill="auto"/>
          </w:tcPr>
          <w:p w:rsidR="0055224B" w:rsidRPr="00EF0B36" w:rsidRDefault="0055224B" w:rsidP="00EF0B36">
            <w:pPr>
              <w:pStyle w:val="TextTi12"/>
              <w:spacing w:after="0" w:line="240" w:lineRule="auto"/>
              <w:jc w:val="center"/>
              <w:rPr>
                <w:sz w:val="20"/>
              </w:rPr>
            </w:pPr>
            <w:proofErr w:type="spellStart"/>
            <w:r w:rsidRPr="00EF0B36">
              <w:rPr>
                <w:sz w:val="20"/>
              </w:rPr>
              <w:t>Diarrhoea</w:t>
            </w:r>
            <w:proofErr w:type="spellEnd"/>
          </w:p>
          <w:p w:rsidR="0055224B" w:rsidRPr="00EF0B36" w:rsidRDefault="0055224B" w:rsidP="00EF0B36">
            <w:pPr>
              <w:pStyle w:val="TextTi12"/>
              <w:spacing w:after="0" w:line="240" w:lineRule="auto"/>
              <w:jc w:val="center"/>
              <w:rPr>
                <w:sz w:val="20"/>
              </w:rPr>
            </w:pPr>
            <w:r w:rsidRPr="00EF0B36">
              <w:rPr>
                <w:sz w:val="20"/>
              </w:rPr>
              <w:t>Nausea</w:t>
            </w:r>
          </w:p>
          <w:p w:rsidR="0055224B" w:rsidRPr="00EF0B36" w:rsidRDefault="0055224B" w:rsidP="00EF0B36">
            <w:pPr>
              <w:pStyle w:val="TextTi12"/>
              <w:spacing w:after="0" w:line="240" w:lineRule="auto"/>
              <w:jc w:val="center"/>
              <w:rPr>
                <w:sz w:val="20"/>
              </w:rPr>
            </w:pPr>
            <w:r w:rsidRPr="00EF0B36">
              <w:rPr>
                <w:sz w:val="20"/>
              </w:rPr>
              <w:t>Vomiting</w:t>
            </w:r>
          </w:p>
        </w:tc>
        <w:tc>
          <w:tcPr>
            <w:tcW w:w="2381" w:type="dxa"/>
            <w:shd w:val="clear" w:color="auto" w:fill="auto"/>
          </w:tcPr>
          <w:p w:rsidR="0055224B" w:rsidRPr="00EF0B36" w:rsidRDefault="0055224B" w:rsidP="00EF0B36">
            <w:pPr>
              <w:pStyle w:val="TextTi12"/>
              <w:spacing w:after="0" w:line="240" w:lineRule="auto"/>
              <w:jc w:val="center"/>
              <w:rPr>
                <w:sz w:val="20"/>
                <w:lang w:val="fr-FR"/>
              </w:rPr>
            </w:pPr>
            <w:r w:rsidRPr="00EF0B36">
              <w:rPr>
                <w:sz w:val="20"/>
                <w:lang w:val="fr-FR"/>
              </w:rPr>
              <w:t xml:space="preserve">Intestinal Perforation </w:t>
            </w:r>
            <w:proofErr w:type="spellStart"/>
            <w:r w:rsidRPr="00EF0B36">
              <w:rPr>
                <w:sz w:val="20"/>
                <w:lang w:val="fr-FR"/>
              </w:rPr>
              <w:t>Ileus</w:t>
            </w:r>
            <w:proofErr w:type="spellEnd"/>
            <w:r w:rsidRPr="00EF0B36">
              <w:rPr>
                <w:sz w:val="20"/>
                <w:lang w:val="fr-FR"/>
              </w:rPr>
              <w:t xml:space="preserve"> </w:t>
            </w:r>
          </w:p>
          <w:p w:rsidR="0055224B" w:rsidRPr="00EF0B36" w:rsidRDefault="0055224B" w:rsidP="00EF0B36">
            <w:pPr>
              <w:pStyle w:val="TextTi12"/>
              <w:spacing w:after="0" w:line="240" w:lineRule="auto"/>
              <w:jc w:val="center"/>
              <w:rPr>
                <w:sz w:val="20"/>
                <w:lang w:val="fr-FR"/>
              </w:rPr>
            </w:pPr>
            <w:r w:rsidRPr="00EF0B36">
              <w:rPr>
                <w:sz w:val="20"/>
                <w:lang w:val="fr-FR"/>
              </w:rPr>
              <w:t>Intestinal obstruction</w:t>
            </w:r>
          </w:p>
          <w:p w:rsidR="0055224B" w:rsidRPr="00EF0B36" w:rsidRDefault="0055224B" w:rsidP="00EF0B36">
            <w:pPr>
              <w:pStyle w:val="TextTi12"/>
              <w:spacing w:after="0" w:line="240" w:lineRule="auto"/>
              <w:jc w:val="center"/>
              <w:rPr>
                <w:sz w:val="20"/>
                <w:lang w:val="fr-FR"/>
              </w:rPr>
            </w:pPr>
            <w:r w:rsidRPr="00EF0B36">
              <w:rPr>
                <w:sz w:val="20"/>
                <w:lang w:val="fr-FR"/>
              </w:rPr>
              <w:t xml:space="preserve">Abdominal pain </w:t>
            </w:r>
          </w:p>
          <w:p w:rsidR="0055224B" w:rsidRPr="00EF0B36" w:rsidRDefault="0055224B" w:rsidP="00EF0B36">
            <w:pPr>
              <w:pStyle w:val="TextTi12"/>
              <w:spacing w:after="0" w:line="240" w:lineRule="auto"/>
              <w:jc w:val="center"/>
              <w:rPr>
                <w:sz w:val="20"/>
                <w:lang w:val="fr-FR"/>
              </w:rPr>
            </w:pPr>
            <w:proofErr w:type="spellStart"/>
            <w:r w:rsidRPr="00EF0B36">
              <w:rPr>
                <w:sz w:val="20"/>
                <w:lang w:val="fr-FR"/>
              </w:rPr>
              <w:t>Gastrointestinal</w:t>
            </w:r>
            <w:proofErr w:type="spellEnd"/>
            <w:r w:rsidRPr="00EF0B36">
              <w:rPr>
                <w:sz w:val="20"/>
                <w:lang w:val="fr-FR"/>
              </w:rPr>
              <w:t xml:space="preserve"> </w:t>
            </w:r>
            <w:proofErr w:type="spellStart"/>
            <w:r w:rsidRPr="00EF0B36">
              <w:rPr>
                <w:sz w:val="20"/>
                <w:lang w:val="fr-FR"/>
              </w:rPr>
              <w:t>disorder</w:t>
            </w:r>
            <w:proofErr w:type="spellEnd"/>
          </w:p>
          <w:p w:rsidR="005D495E" w:rsidRPr="00EF0B36" w:rsidRDefault="005D495E" w:rsidP="00EF0B36">
            <w:pPr>
              <w:pStyle w:val="TextTi12"/>
              <w:spacing w:after="0" w:line="240" w:lineRule="auto"/>
              <w:jc w:val="center"/>
              <w:rPr>
                <w:sz w:val="20"/>
              </w:rPr>
            </w:pPr>
            <w:r w:rsidRPr="00EF0B36">
              <w:rPr>
                <w:sz w:val="20"/>
              </w:rPr>
              <w:t xml:space="preserve">Stomatitis </w:t>
            </w: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r w:rsidRPr="00EF0B36">
              <w:rPr>
                <w:sz w:val="20"/>
              </w:rPr>
              <w:t>Constipation</w:t>
            </w:r>
          </w:p>
          <w:p w:rsidR="0055224B" w:rsidRPr="00EF0B36" w:rsidRDefault="0055224B" w:rsidP="00EF0B36">
            <w:pPr>
              <w:pStyle w:val="TextTi12"/>
              <w:spacing w:after="0" w:line="240" w:lineRule="auto"/>
              <w:jc w:val="center"/>
              <w:rPr>
                <w:sz w:val="20"/>
              </w:rPr>
            </w:pPr>
            <w:r w:rsidRPr="00EF0B36">
              <w:rPr>
                <w:sz w:val="20"/>
              </w:rPr>
              <w:t xml:space="preserve">Stomatitis </w:t>
            </w:r>
          </w:p>
          <w:p w:rsidR="0055224B" w:rsidRPr="00EF0B36" w:rsidRDefault="0055224B" w:rsidP="00EF0B36">
            <w:pPr>
              <w:pStyle w:val="TextTi12"/>
              <w:spacing w:after="0" w:line="240" w:lineRule="auto"/>
              <w:jc w:val="center"/>
              <w:rPr>
                <w:sz w:val="20"/>
              </w:rPr>
            </w:pPr>
            <w:r w:rsidRPr="00EF0B36">
              <w:rPr>
                <w:sz w:val="20"/>
              </w:rPr>
              <w:t xml:space="preserve">Rectal </w:t>
            </w:r>
            <w:proofErr w:type="spellStart"/>
            <w:r w:rsidRPr="00EF0B36">
              <w:rPr>
                <w:sz w:val="20"/>
              </w:rPr>
              <w:t>haemorrhage</w:t>
            </w:r>
            <w:proofErr w:type="spellEnd"/>
          </w:p>
          <w:p w:rsidR="0004186B" w:rsidRPr="00EF0B36" w:rsidRDefault="0004186B" w:rsidP="00EF0B36">
            <w:pPr>
              <w:pStyle w:val="TextTi12"/>
              <w:spacing w:after="0" w:line="240" w:lineRule="auto"/>
              <w:jc w:val="center"/>
              <w:rPr>
                <w:sz w:val="20"/>
              </w:rPr>
            </w:pPr>
            <w:proofErr w:type="spellStart"/>
            <w:r w:rsidRPr="00EF0B36">
              <w:rPr>
                <w:sz w:val="20"/>
              </w:rPr>
              <w:t>Diarrhoea</w:t>
            </w:r>
            <w:proofErr w:type="spellEnd"/>
          </w:p>
          <w:p w:rsidR="0055224B" w:rsidRPr="00EF0B36" w:rsidRDefault="0055224B" w:rsidP="00EF0B36">
            <w:pPr>
              <w:pStyle w:val="TextTi12"/>
              <w:spacing w:after="0" w:line="240" w:lineRule="auto"/>
              <w:jc w:val="center"/>
              <w:rPr>
                <w:sz w:val="20"/>
              </w:rPr>
            </w:pPr>
          </w:p>
        </w:tc>
      </w:tr>
      <w:tr w:rsidR="00B5730E" w:rsidRPr="00EF0B36" w:rsidTr="00AE1243">
        <w:tc>
          <w:tcPr>
            <w:tcW w:w="2195" w:type="dxa"/>
            <w:tcBorders>
              <w:left w:val="nil"/>
            </w:tcBorders>
            <w:shd w:val="clear" w:color="auto" w:fill="auto"/>
          </w:tcPr>
          <w:p w:rsidR="00B5730E" w:rsidRPr="00EF0B36" w:rsidRDefault="00B5730E" w:rsidP="00EF0B36">
            <w:pPr>
              <w:pStyle w:val="TextTi12"/>
              <w:spacing w:after="0" w:line="240" w:lineRule="auto"/>
              <w:jc w:val="center"/>
              <w:rPr>
                <w:b/>
                <w:i/>
                <w:sz w:val="20"/>
              </w:rPr>
            </w:pPr>
            <w:r w:rsidRPr="00EF0B36">
              <w:rPr>
                <w:b/>
                <w:i/>
                <w:sz w:val="20"/>
              </w:rPr>
              <w:t>Endocrine disorders</w:t>
            </w:r>
          </w:p>
        </w:tc>
        <w:tc>
          <w:tcPr>
            <w:tcW w:w="2195" w:type="dxa"/>
            <w:shd w:val="clear" w:color="auto" w:fill="auto"/>
          </w:tcPr>
          <w:p w:rsidR="00B5730E" w:rsidRPr="00EF0B36" w:rsidRDefault="00B5730E" w:rsidP="00EF0B36">
            <w:pPr>
              <w:pStyle w:val="TextTi12"/>
              <w:spacing w:after="0" w:line="240" w:lineRule="auto"/>
              <w:jc w:val="center"/>
              <w:rPr>
                <w:sz w:val="20"/>
              </w:rPr>
            </w:pPr>
          </w:p>
        </w:tc>
        <w:tc>
          <w:tcPr>
            <w:tcW w:w="2381" w:type="dxa"/>
            <w:shd w:val="clear" w:color="auto" w:fill="auto"/>
          </w:tcPr>
          <w:p w:rsidR="00B5730E" w:rsidRPr="00EF0B36" w:rsidRDefault="00B5730E" w:rsidP="00EF0B36">
            <w:pPr>
              <w:pStyle w:val="TextTi12"/>
              <w:spacing w:after="0" w:line="240" w:lineRule="auto"/>
              <w:jc w:val="center"/>
              <w:rPr>
                <w:sz w:val="20"/>
                <w:lang w:val="fr-FR"/>
              </w:rPr>
            </w:pPr>
          </w:p>
        </w:tc>
        <w:tc>
          <w:tcPr>
            <w:tcW w:w="2835" w:type="dxa"/>
            <w:tcBorders>
              <w:right w:val="nil"/>
            </w:tcBorders>
            <w:shd w:val="clear" w:color="auto" w:fill="auto"/>
          </w:tcPr>
          <w:p w:rsidR="00E947B6" w:rsidRPr="00EF0B36" w:rsidRDefault="00B5730E" w:rsidP="00DF77FA">
            <w:pPr>
              <w:pStyle w:val="TextTi12"/>
              <w:spacing w:after="0" w:line="240" w:lineRule="auto"/>
              <w:jc w:val="center"/>
              <w:rPr>
                <w:sz w:val="20"/>
              </w:rPr>
            </w:pPr>
            <w:r w:rsidRPr="00EF0B36">
              <w:rPr>
                <w:sz w:val="20"/>
                <w:lang w:val="en-AU"/>
              </w:rPr>
              <w:t>Ovarian failure</w:t>
            </w:r>
          </w:p>
        </w:tc>
      </w:tr>
      <w:tr w:rsidR="00B5730E" w:rsidRPr="00EF0B36" w:rsidTr="00AE1243">
        <w:tc>
          <w:tcPr>
            <w:tcW w:w="2195" w:type="dxa"/>
            <w:tcBorders>
              <w:left w:val="nil"/>
            </w:tcBorders>
            <w:shd w:val="clear" w:color="auto" w:fill="auto"/>
          </w:tcPr>
          <w:p w:rsidR="00B5730E" w:rsidRPr="00EF0B36" w:rsidRDefault="00B5730E" w:rsidP="00EF0B36">
            <w:pPr>
              <w:pStyle w:val="TextTi12"/>
              <w:spacing w:after="0" w:line="240" w:lineRule="auto"/>
              <w:jc w:val="center"/>
              <w:rPr>
                <w:b/>
                <w:i/>
                <w:sz w:val="20"/>
              </w:rPr>
            </w:pPr>
            <w:r w:rsidRPr="00EF0B36">
              <w:rPr>
                <w:b/>
                <w:i/>
                <w:sz w:val="20"/>
              </w:rPr>
              <w:t>Skin and subcutaneous tissue disorders</w:t>
            </w:r>
          </w:p>
        </w:tc>
        <w:tc>
          <w:tcPr>
            <w:tcW w:w="2195" w:type="dxa"/>
            <w:shd w:val="clear" w:color="auto" w:fill="auto"/>
          </w:tcPr>
          <w:p w:rsidR="00B5730E" w:rsidRPr="00EF0B36" w:rsidRDefault="00B5730E" w:rsidP="00EF0B36">
            <w:pPr>
              <w:pStyle w:val="TextTi12"/>
              <w:spacing w:after="0" w:line="240" w:lineRule="auto"/>
              <w:jc w:val="center"/>
              <w:rPr>
                <w:sz w:val="20"/>
              </w:rPr>
            </w:pPr>
          </w:p>
        </w:tc>
        <w:tc>
          <w:tcPr>
            <w:tcW w:w="2381" w:type="dxa"/>
            <w:shd w:val="clear" w:color="auto" w:fill="auto"/>
          </w:tcPr>
          <w:p w:rsidR="00B5730E" w:rsidRPr="00EF0B36" w:rsidRDefault="00B5730E" w:rsidP="00EF0B36">
            <w:pPr>
              <w:pStyle w:val="TextTi12"/>
              <w:spacing w:after="0" w:line="240" w:lineRule="auto"/>
              <w:jc w:val="center"/>
              <w:rPr>
                <w:sz w:val="20"/>
              </w:rPr>
            </w:pPr>
            <w:r w:rsidRPr="00EF0B36">
              <w:rPr>
                <w:sz w:val="20"/>
              </w:rPr>
              <w:t xml:space="preserve">Palmar-plantar </w:t>
            </w:r>
            <w:proofErr w:type="spellStart"/>
            <w:r w:rsidRPr="00EF0B36">
              <w:rPr>
                <w:sz w:val="20"/>
              </w:rPr>
              <w:t>erythrodysaesthesia</w:t>
            </w:r>
            <w:proofErr w:type="spellEnd"/>
            <w:r w:rsidRPr="00EF0B36">
              <w:rPr>
                <w:sz w:val="20"/>
              </w:rPr>
              <w:t xml:space="preserve"> syndrome</w:t>
            </w:r>
          </w:p>
        </w:tc>
        <w:tc>
          <w:tcPr>
            <w:tcW w:w="2835" w:type="dxa"/>
            <w:tcBorders>
              <w:right w:val="nil"/>
            </w:tcBorders>
            <w:shd w:val="clear" w:color="auto" w:fill="auto"/>
          </w:tcPr>
          <w:p w:rsidR="00B5730E" w:rsidRPr="00EF0B36" w:rsidRDefault="00B5730E" w:rsidP="00EF0B36">
            <w:pPr>
              <w:pStyle w:val="TextTi12"/>
              <w:spacing w:after="0" w:line="240" w:lineRule="auto"/>
              <w:jc w:val="center"/>
              <w:rPr>
                <w:sz w:val="20"/>
                <w:lang w:val="fr-FR"/>
              </w:rPr>
            </w:pPr>
            <w:r w:rsidRPr="00EF0B36">
              <w:rPr>
                <w:sz w:val="20"/>
                <w:lang w:val="fr-FR"/>
              </w:rPr>
              <w:t xml:space="preserve">Exfoliative </w:t>
            </w:r>
            <w:proofErr w:type="spellStart"/>
            <w:r w:rsidRPr="00EF0B36">
              <w:rPr>
                <w:sz w:val="20"/>
                <w:lang w:val="fr-FR"/>
              </w:rPr>
              <w:t>dermatitis</w:t>
            </w:r>
            <w:proofErr w:type="spellEnd"/>
          </w:p>
          <w:p w:rsidR="00B5730E" w:rsidRPr="00EF0B36" w:rsidRDefault="00B5730E" w:rsidP="00EF0B36">
            <w:pPr>
              <w:pStyle w:val="TextTi12"/>
              <w:spacing w:after="0" w:line="240" w:lineRule="auto"/>
              <w:jc w:val="center"/>
              <w:rPr>
                <w:sz w:val="20"/>
                <w:lang w:val="fr-FR"/>
              </w:rPr>
            </w:pPr>
            <w:r w:rsidRPr="00EF0B36">
              <w:rPr>
                <w:sz w:val="20"/>
                <w:lang w:val="fr-FR"/>
              </w:rPr>
              <w:t>Dry skin</w:t>
            </w:r>
          </w:p>
          <w:p w:rsidR="00B5730E" w:rsidRPr="00EF0B36" w:rsidRDefault="00B5730E" w:rsidP="00EF0B36">
            <w:pPr>
              <w:pStyle w:val="TextTi12"/>
              <w:spacing w:after="0" w:line="240" w:lineRule="auto"/>
              <w:jc w:val="center"/>
              <w:rPr>
                <w:sz w:val="20"/>
                <w:lang w:val="fr-FR"/>
              </w:rPr>
            </w:pPr>
            <w:r w:rsidRPr="00EF0B36">
              <w:rPr>
                <w:sz w:val="20"/>
                <w:lang w:val="fr-FR"/>
              </w:rPr>
              <w:t xml:space="preserve">Skin </w:t>
            </w:r>
            <w:proofErr w:type="spellStart"/>
            <w:r w:rsidRPr="00EF0B36">
              <w:rPr>
                <w:sz w:val="20"/>
                <w:lang w:val="fr-FR"/>
              </w:rPr>
              <w:t>discolouration</w:t>
            </w:r>
            <w:proofErr w:type="spellEnd"/>
          </w:p>
        </w:tc>
      </w:tr>
      <w:tr w:rsidR="00B5730E" w:rsidRPr="00EF0B36" w:rsidTr="00AE1243">
        <w:tc>
          <w:tcPr>
            <w:tcW w:w="2195" w:type="dxa"/>
            <w:tcBorders>
              <w:left w:val="nil"/>
            </w:tcBorders>
            <w:shd w:val="clear" w:color="auto" w:fill="auto"/>
          </w:tcPr>
          <w:p w:rsidR="00B5730E" w:rsidRPr="00EF0B36" w:rsidRDefault="00B5730E" w:rsidP="00DF77FA">
            <w:pPr>
              <w:pStyle w:val="TextTi12"/>
              <w:spacing w:after="0" w:line="240" w:lineRule="auto"/>
              <w:jc w:val="center"/>
              <w:rPr>
                <w:b/>
                <w:i/>
                <w:sz w:val="20"/>
              </w:rPr>
            </w:pPr>
            <w:r w:rsidRPr="00EF0B36">
              <w:rPr>
                <w:b/>
                <w:i/>
                <w:sz w:val="20"/>
              </w:rPr>
              <w:t>Musculoskeletal, connective tissue and bone disorders</w:t>
            </w:r>
          </w:p>
        </w:tc>
        <w:tc>
          <w:tcPr>
            <w:tcW w:w="2195" w:type="dxa"/>
            <w:shd w:val="clear" w:color="auto" w:fill="auto"/>
          </w:tcPr>
          <w:p w:rsidR="00B5730E" w:rsidRPr="00EF0B36" w:rsidRDefault="00B5730E" w:rsidP="00EF0B36">
            <w:pPr>
              <w:pStyle w:val="TextTi12"/>
              <w:spacing w:after="0" w:line="240" w:lineRule="auto"/>
              <w:jc w:val="center"/>
              <w:rPr>
                <w:sz w:val="20"/>
              </w:rPr>
            </w:pPr>
          </w:p>
        </w:tc>
        <w:tc>
          <w:tcPr>
            <w:tcW w:w="2381" w:type="dxa"/>
            <w:shd w:val="clear" w:color="auto" w:fill="auto"/>
          </w:tcPr>
          <w:p w:rsidR="00B5730E" w:rsidRPr="00EF0B36" w:rsidRDefault="00B5730E" w:rsidP="00EF0B36">
            <w:pPr>
              <w:pStyle w:val="TextTi12"/>
              <w:spacing w:after="0" w:line="240" w:lineRule="auto"/>
              <w:jc w:val="center"/>
              <w:rPr>
                <w:sz w:val="20"/>
              </w:rPr>
            </w:pPr>
            <w:r w:rsidRPr="00EF0B36">
              <w:rPr>
                <w:sz w:val="20"/>
              </w:rPr>
              <w:t>Muscular weakness</w:t>
            </w:r>
          </w:p>
          <w:p w:rsidR="00B5730E" w:rsidRPr="00EF0B36" w:rsidRDefault="00B5730E" w:rsidP="00EF0B36">
            <w:pPr>
              <w:pStyle w:val="TextTi12"/>
              <w:spacing w:after="0" w:line="240" w:lineRule="auto"/>
              <w:jc w:val="center"/>
              <w:rPr>
                <w:sz w:val="20"/>
              </w:rPr>
            </w:pPr>
            <w:r w:rsidRPr="00EF0B36">
              <w:rPr>
                <w:sz w:val="20"/>
              </w:rPr>
              <w:t>Myalgia</w:t>
            </w:r>
          </w:p>
          <w:p w:rsidR="00B5730E" w:rsidRPr="00EF0B36" w:rsidRDefault="00B5730E" w:rsidP="00EF0B36">
            <w:pPr>
              <w:pStyle w:val="TextTi12"/>
              <w:spacing w:after="0" w:line="240" w:lineRule="auto"/>
              <w:jc w:val="center"/>
              <w:rPr>
                <w:sz w:val="20"/>
              </w:rPr>
            </w:pPr>
            <w:r w:rsidRPr="00EF0B36">
              <w:rPr>
                <w:sz w:val="20"/>
              </w:rPr>
              <w:t>Arthralgia</w:t>
            </w:r>
          </w:p>
        </w:tc>
        <w:tc>
          <w:tcPr>
            <w:tcW w:w="2835" w:type="dxa"/>
            <w:tcBorders>
              <w:right w:val="nil"/>
            </w:tcBorders>
            <w:shd w:val="clear" w:color="auto" w:fill="auto"/>
          </w:tcPr>
          <w:p w:rsidR="00B5730E" w:rsidRPr="00EF0B36" w:rsidRDefault="00B5730E" w:rsidP="00EF0B36">
            <w:pPr>
              <w:pStyle w:val="TextTi12"/>
              <w:spacing w:after="0" w:line="240" w:lineRule="auto"/>
              <w:jc w:val="center"/>
              <w:rPr>
                <w:sz w:val="20"/>
              </w:rPr>
            </w:pPr>
            <w:r w:rsidRPr="00EF0B36">
              <w:rPr>
                <w:sz w:val="20"/>
              </w:rPr>
              <w:t>Arthralgia</w:t>
            </w:r>
          </w:p>
          <w:p w:rsidR="00B5730E" w:rsidRPr="00EF0B36" w:rsidRDefault="00B5730E" w:rsidP="00EF0B36">
            <w:pPr>
              <w:pStyle w:val="TextTi12"/>
              <w:spacing w:after="0" w:line="240" w:lineRule="auto"/>
              <w:jc w:val="center"/>
              <w:rPr>
                <w:sz w:val="20"/>
              </w:rPr>
            </w:pPr>
          </w:p>
        </w:tc>
      </w:tr>
      <w:tr w:rsidR="00B5730E" w:rsidRPr="00EF0B36" w:rsidTr="00AE1243">
        <w:tc>
          <w:tcPr>
            <w:tcW w:w="2195" w:type="dxa"/>
            <w:tcBorders>
              <w:left w:val="nil"/>
            </w:tcBorders>
            <w:shd w:val="clear" w:color="auto" w:fill="auto"/>
          </w:tcPr>
          <w:p w:rsidR="00B5730E" w:rsidRPr="00EF0B36" w:rsidRDefault="00B5730E" w:rsidP="00EF0B36">
            <w:pPr>
              <w:pStyle w:val="TextTi12"/>
              <w:spacing w:after="0" w:line="240" w:lineRule="auto"/>
              <w:jc w:val="center"/>
              <w:rPr>
                <w:b/>
                <w:i/>
                <w:sz w:val="20"/>
              </w:rPr>
            </w:pPr>
            <w:r w:rsidRPr="00EF0B36">
              <w:rPr>
                <w:b/>
                <w:i/>
                <w:sz w:val="20"/>
              </w:rPr>
              <w:t>Renal and urinary disorders</w:t>
            </w:r>
          </w:p>
        </w:tc>
        <w:tc>
          <w:tcPr>
            <w:tcW w:w="2195" w:type="dxa"/>
            <w:shd w:val="clear" w:color="auto" w:fill="auto"/>
          </w:tcPr>
          <w:p w:rsidR="00B5730E" w:rsidRPr="00EF0B36" w:rsidRDefault="00B5730E" w:rsidP="00EF0B36">
            <w:pPr>
              <w:pStyle w:val="TextTi12"/>
              <w:spacing w:after="0" w:line="240" w:lineRule="auto"/>
              <w:jc w:val="center"/>
              <w:rPr>
                <w:sz w:val="20"/>
              </w:rPr>
            </w:pPr>
          </w:p>
        </w:tc>
        <w:tc>
          <w:tcPr>
            <w:tcW w:w="2381" w:type="dxa"/>
            <w:shd w:val="clear" w:color="auto" w:fill="auto"/>
          </w:tcPr>
          <w:p w:rsidR="00B5730E" w:rsidRPr="00EF0B36" w:rsidRDefault="00B5730E" w:rsidP="00EF0B36">
            <w:pPr>
              <w:pStyle w:val="TextTi12"/>
              <w:spacing w:after="0" w:line="240" w:lineRule="auto"/>
              <w:jc w:val="center"/>
              <w:rPr>
                <w:sz w:val="20"/>
              </w:rPr>
            </w:pPr>
            <w:r w:rsidRPr="00EF0B36">
              <w:rPr>
                <w:sz w:val="20"/>
              </w:rPr>
              <w:t>Proteinuria</w:t>
            </w:r>
          </w:p>
          <w:p w:rsidR="00B5730E" w:rsidRPr="00EF0B36" w:rsidRDefault="00B5730E" w:rsidP="00EF0B36">
            <w:pPr>
              <w:pStyle w:val="TextTi12"/>
              <w:spacing w:after="0" w:line="240" w:lineRule="auto"/>
              <w:jc w:val="center"/>
              <w:rPr>
                <w:sz w:val="20"/>
              </w:rPr>
            </w:pPr>
            <w:r w:rsidRPr="00EF0B36">
              <w:rPr>
                <w:sz w:val="20"/>
              </w:rPr>
              <w:t>Urinary Tract Infection</w:t>
            </w:r>
          </w:p>
        </w:tc>
        <w:tc>
          <w:tcPr>
            <w:tcW w:w="2835" w:type="dxa"/>
            <w:tcBorders>
              <w:right w:val="nil"/>
            </w:tcBorders>
            <w:shd w:val="clear" w:color="auto" w:fill="auto"/>
          </w:tcPr>
          <w:p w:rsidR="00B5730E" w:rsidRPr="00EF0B36" w:rsidRDefault="00B5730E" w:rsidP="00EF0B36">
            <w:pPr>
              <w:pStyle w:val="TextTi12"/>
              <w:spacing w:after="0" w:line="240" w:lineRule="auto"/>
              <w:jc w:val="center"/>
              <w:rPr>
                <w:sz w:val="20"/>
              </w:rPr>
            </w:pPr>
            <w:r w:rsidRPr="00EF0B36">
              <w:rPr>
                <w:sz w:val="20"/>
              </w:rPr>
              <w:t>Proteinuria</w:t>
            </w:r>
          </w:p>
          <w:p w:rsidR="00B5730E" w:rsidRPr="00EF0B36" w:rsidRDefault="00B5730E" w:rsidP="00EF0B36">
            <w:pPr>
              <w:pStyle w:val="TextTi12"/>
              <w:spacing w:after="0" w:line="240" w:lineRule="auto"/>
              <w:jc w:val="center"/>
              <w:rPr>
                <w:sz w:val="20"/>
              </w:rPr>
            </w:pPr>
          </w:p>
        </w:tc>
      </w:tr>
      <w:tr w:rsidR="00B5730E" w:rsidRPr="00EF0B36" w:rsidTr="00AE1243">
        <w:tc>
          <w:tcPr>
            <w:tcW w:w="2195" w:type="dxa"/>
            <w:tcBorders>
              <w:left w:val="nil"/>
            </w:tcBorders>
            <w:shd w:val="clear" w:color="auto" w:fill="auto"/>
          </w:tcPr>
          <w:p w:rsidR="00B5730E" w:rsidRPr="00EF0B36" w:rsidRDefault="00B5730E" w:rsidP="00EF0B36">
            <w:pPr>
              <w:pStyle w:val="TextTi12"/>
              <w:spacing w:after="0" w:line="240" w:lineRule="auto"/>
              <w:jc w:val="center"/>
              <w:rPr>
                <w:b/>
                <w:i/>
                <w:sz w:val="20"/>
              </w:rPr>
            </w:pPr>
            <w:r w:rsidRPr="00EF0B36">
              <w:rPr>
                <w:b/>
                <w:i/>
                <w:sz w:val="20"/>
              </w:rPr>
              <w:lastRenderedPageBreak/>
              <w:t>General disorders and administration site conditions</w:t>
            </w:r>
          </w:p>
        </w:tc>
        <w:tc>
          <w:tcPr>
            <w:tcW w:w="2195" w:type="dxa"/>
            <w:shd w:val="clear" w:color="auto" w:fill="auto"/>
          </w:tcPr>
          <w:p w:rsidR="00B5730E" w:rsidRPr="00EF0B36" w:rsidRDefault="00B5730E" w:rsidP="00EF0B36">
            <w:pPr>
              <w:pStyle w:val="TextTi12"/>
              <w:spacing w:after="0" w:line="240" w:lineRule="auto"/>
              <w:jc w:val="center"/>
              <w:rPr>
                <w:sz w:val="20"/>
              </w:rPr>
            </w:pPr>
            <w:r w:rsidRPr="00EF0B36">
              <w:rPr>
                <w:sz w:val="20"/>
              </w:rPr>
              <w:t>Asthenia</w:t>
            </w:r>
          </w:p>
          <w:p w:rsidR="00B5730E" w:rsidRPr="00EF0B36" w:rsidRDefault="00B5730E" w:rsidP="00EF0B36">
            <w:pPr>
              <w:pStyle w:val="TextTi12"/>
              <w:spacing w:after="0" w:line="240" w:lineRule="auto"/>
              <w:jc w:val="center"/>
              <w:rPr>
                <w:sz w:val="20"/>
              </w:rPr>
            </w:pPr>
            <w:r w:rsidRPr="00EF0B36">
              <w:rPr>
                <w:sz w:val="20"/>
              </w:rPr>
              <w:t>Fatigue</w:t>
            </w:r>
          </w:p>
        </w:tc>
        <w:tc>
          <w:tcPr>
            <w:tcW w:w="2381" w:type="dxa"/>
            <w:shd w:val="clear" w:color="auto" w:fill="auto"/>
          </w:tcPr>
          <w:p w:rsidR="00B5730E" w:rsidRPr="00EF0B36" w:rsidRDefault="00B5730E" w:rsidP="00EF0B36">
            <w:pPr>
              <w:pStyle w:val="TextTi12"/>
              <w:spacing w:after="0" w:line="240" w:lineRule="auto"/>
              <w:jc w:val="center"/>
              <w:rPr>
                <w:sz w:val="20"/>
              </w:rPr>
            </w:pPr>
            <w:r w:rsidRPr="00EF0B36">
              <w:rPr>
                <w:sz w:val="20"/>
              </w:rPr>
              <w:t>Pain</w:t>
            </w:r>
          </w:p>
          <w:p w:rsidR="00B5730E" w:rsidRPr="00EF0B36" w:rsidRDefault="00B5730E" w:rsidP="00EF0B36">
            <w:pPr>
              <w:pStyle w:val="TextTi12"/>
              <w:spacing w:after="0" w:line="240" w:lineRule="auto"/>
              <w:jc w:val="center"/>
              <w:rPr>
                <w:sz w:val="20"/>
              </w:rPr>
            </w:pPr>
            <w:r w:rsidRPr="00EF0B36">
              <w:rPr>
                <w:sz w:val="20"/>
              </w:rPr>
              <w:t>Lethargy</w:t>
            </w:r>
          </w:p>
          <w:p w:rsidR="00B5730E" w:rsidRDefault="00B5730E" w:rsidP="00EF0B36">
            <w:pPr>
              <w:pStyle w:val="TextTi12"/>
              <w:spacing w:after="0" w:line="240" w:lineRule="auto"/>
              <w:jc w:val="center"/>
              <w:rPr>
                <w:sz w:val="20"/>
              </w:rPr>
            </w:pPr>
            <w:r w:rsidRPr="00EF0B36">
              <w:rPr>
                <w:sz w:val="20"/>
              </w:rPr>
              <w:t>Mucosal inflammation</w:t>
            </w:r>
          </w:p>
          <w:p w:rsidR="0015304C" w:rsidRPr="00EF0B36" w:rsidRDefault="0015304C" w:rsidP="00EF0B36">
            <w:pPr>
              <w:pStyle w:val="TextTi12"/>
              <w:spacing w:after="0" w:line="240" w:lineRule="auto"/>
              <w:jc w:val="center"/>
              <w:rPr>
                <w:sz w:val="20"/>
              </w:rPr>
            </w:pPr>
            <w:r>
              <w:rPr>
                <w:sz w:val="20"/>
              </w:rPr>
              <w:t>General physical health deterioration</w:t>
            </w:r>
          </w:p>
        </w:tc>
        <w:tc>
          <w:tcPr>
            <w:tcW w:w="2835" w:type="dxa"/>
            <w:tcBorders>
              <w:right w:val="nil"/>
            </w:tcBorders>
            <w:shd w:val="clear" w:color="auto" w:fill="auto"/>
          </w:tcPr>
          <w:p w:rsidR="00B5730E" w:rsidRPr="00EF0B36" w:rsidRDefault="00B5730E" w:rsidP="00EF0B36">
            <w:pPr>
              <w:pStyle w:val="TextTi12"/>
              <w:spacing w:after="0" w:line="240" w:lineRule="auto"/>
              <w:jc w:val="center"/>
              <w:rPr>
                <w:sz w:val="20"/>
              </w:rPr>
            </w:pPr>
            <w:r w:rsidRPr="00EF0B36">
              <w:rPr>
                <w:sz w:val="20"/>
              </w:rPr>
              <w:t>Pyrexia</w:t>
            </w:r>
          </w:p>
          <w:p w:rsidR="00B5730E" w:rsidRPr="00EF0B36" w:rsidRDefault="00B5730E" w:rsidP="00EF0B36">
            <w:pPr>
              <w:pStyle w:val="TextTi12"/>
              <w:spacing w:after="0" w:line="240" w:lineRule="auto"/>
              <w:jc w:val="center"/>
              <w:rPr>
                <w:sz w:val="20"/>
              </w:rPr>
            </w:pPr>
            <w:r w:rsidRPr="00EF0B36">
              <w:rPr>
                <w:sz w:val="20"/>
              </w:rPr>
              <w:t>Asthenia</w:t>
            </w:r>
          </w:p>
          <w:p w:rsidR="00B5730E" w:rsidRPr="00EF0B36" w:rsidRDefault="00B5730E" w:rsidP="00EF0B36">
            <w:pPr>
              <w:pStyle w:val="TextTi12"/>
              <w:spacing w:after="0" w:line="240" w:lineRule="auto"/>
              <w:jc w:val="center"/>
              <w:rPr>
                <w:sz w:val="20"/>
              </w:rPr>
            </w:pPr>
            <w:r w:rsidRPr="00EF0B36">
              <w:rPr>
                <w:sz w:val="20"/>
              </w:rPr>
              <w:t>Pain</w:t>
            </w:r>
          </w:p>
          <w:p w:rsidR="00B5730E" w:rsidRPr="00EF0B36" w:rsidRDefault="00B5730E" w:rsidP="00EF0B36">
            <w:pPr>
              <w:pStyle w:val="TextTi12"/>
              <w:spacing w:after="0" w:line="240" w:lineRule="auto"/>
              <w:jc w:val="center"/>
              <w:rPr>
                <w:sz w:val="20"/>
              </w:rPr>
            </w:pPr>
            <w:r w:rsidRPr="00EF0B36">
              <w:rPr>
                <w:sz w:val="20"/>
              </w:rPr>
              <w:t>Mucosal inflammation</w:t>
            </w:r>
          </w:p>
        </w:tc>
      </w:tr>
    </w:tbl>
    <w:p w:rsidR="006C3EB8" w:rsidRDefault="00CE15B5" w:rsidP="00CE15B5">
      <w:pPr>
        <w:pStyle w:val="Heading3"/>
        <w:spacing w:before="0"/>
        <w:rPr>
          <w:b w:val="0"/>
          <w:sz w:val="20"/>
        </w:rPr>
      </w:pPr>
      <w:r w:rsidRPr="00CE15B5">
        <w:rPr>
          <w:b w:val="0"/>
          <w:sz w:val="20"/>
        </w:rPr>
        <w:t>*</w:t>
      </w:r>
      <w:r w:rsidR="006C3EB8">
        <w:rPr>
          <w:b w:val="0"/>
          <w:sz w:val="20"/>
        </w:rPr>
        <w:t>Only Grade 2-5 adverse events were collected in study MO22224</w:t>
      </w:r>
      <w:r w:rsidRPr="00CE15B5">
        <w:rPr>
          <w:b w:val="0"/>
          <w:sz w:val="20"/>
        </w:rPr>
        <w:t xml:space="preserve"> </w:t>
      </w:r>
    </w:p>
    <w:p w:rsidR="00CE15B5" w:rsidRPr="006C3EB8" w:rsidRDefault="006C3EB8" w:rsidP="00CE15B5">
      <w:pPr>
        <w:pStyle w:val="Heading3"/>
        <w:spacing w:before="0"/>
        <w:rPr>
          <w:b w:val="0"/>
          <w:strike/>
          <w:sz w:val="20"/>
        </w:rPr>
      </w:pPr>
      <w:r>
        <w:rPr>
          <w:b w:val="0"/>
          <w:sz w:val="20"/>
        </w:rPr>
        <w:t>**</w:t>
      </w:r>
      <w:r w:rsidR="00CE15B5" w:rsidRPr="00CE15B5">
        <w:rPr>
          <w:b w:val="0"/>
          <w:sz w:val="20"/>
        </w:rPr>
        <w:t>D</w:t>
      </w:r>
      <w:r w:rsidR="00CE15B5">
        <w:rPr>
          <w:b w:val="0"/>
          <w:sz w:val="20"/>
        </w:rPr>
        <w:t>ifference of ≥ 10% was observed in study MO22224</w:t>
      </w:r>
    </w:p>
    <w:p w:rsidR="000F2B77" w:rsidRDefault="000F2B77" w:rsidP="000F2B77">
      <w:pPr>
        <w:pStyle w:val="Heading3"/>
      </w:pPr>
      <w:r>
        <w:t>Laboratory Abnormalities</w:t>
      </w:r>
    </w:p>
    <w:p w:rsidR="000F2B77" w:rsidRDefault="000F2B77" w:rsidP="00AE1E2B">
      <w:pPr>
        <w:pStyle w:val="TextTi12"/>
      </w:pPr>
      <w:r>
        <w:t>Decreased neutrophil count, decreased white blood count and presence of urine protein may</w:t>
      </w:r>
      <w:r w:rsidR="0044329D">
        <w:t xml:space="preserve"> </w:t>
      </w:r>
      <w:r>
        <w:t xml:space="preserve">be associated with AVASTIN </w:t>
      </w:r>
      <w:r w:rsidR="004E7E76">
        <w:t>treatment</w:t>
      </w:r>
      <w:r>
        <w:t>.</w:t>
      </w:r>
    </w:p>
    <w:p w:rsidR="00CC2749" w:rsidRDefault="00F82642" w:rsidP="008F4FF8">
      <w:pPr>
        <w:pStyle w:val="TextTi12"/>
        <w:tabs>
          <w:tab w:val="left" w:pos="3686"/>
          <w:tab w:val="left" w:pos="7088"/>
        </w:tabs>
        <w:rPr>
          <w:b/>
          <w:u w:val="single"/>
        </w:rPr>
      </w:pPr>
      <w:r>
        <w:t>Across clinical trials, the following Grade 3 and 4 laboratory abnormalities were seen with an increased (≥</w:t>
      </w:r>
      <w:r>
        <w:rPr>
          <w:sz w:val="20"/>
        </w:rPr>
        <w:t> </w:t>
      </w:r>
      <w:r>
        <w:t xml:space="preserve">2%) incidence in patients treated with AVASTIN compared to those in the control groups: </w:t>
      </w:r>
      <w:proofErr w:type="spellStart"/>
      <w:r>
        <w:t>hyperglycaemia</w:t>
      </w:r>
      <w:proofErr w:type="spellEnd"/>
      <w:r>
        <w:t xml:space="preserve">, decreased </w:t>
      </w:r>
      <w:proofErr w:type="spellStart"/>
      <w:r>
        <w:t>haemoglobin</w:t>
      </w:r>
      <w:proofErr w:type="spellEnd"/>
      <w:r>
        <w:t xml:space="preserve">, </w:t>
      </w:r>
      <w:proofErr w:type="spellStart"/>
      <w:r w:rsidRPr="00255B60">
        <w:t>hyp</w:t>
      </w:r>
      <w:r w:rsidR="00BD030B" w:rsidRPr="00255B60">
        <w:t>o</w:t>
      </w:r>
      <w:r w:rsidRPr="00255B60">
        <w:t>kalaemia</w:t>
      </w:r>
      <w:proofErr w:type="spellEnd"/>
      <w:r w:rsidRPr="00255B60">
        <w:t>,</w:t>
      </w:r>
      <w:r>
        <w:t xml:space="preserve"> </w:t>
      </w:r>
      <w:proofErr w:type="spellStart"/>
      <w:r>
        <w:t>hyponatraemia</w:t>
      </w:r>
      <w:proofErr w:type="spellEnd"/>
      <w:r>
        <w:t xml:space="preserve">, decreased white blood cell count, increased prothrombin time and </w:t>
      </w:r>
      <w:proofErr w:type="spellStart"/>
      <w:r>
        <w:t>normalised</w:t>
      </w:r>
      <w:proofErr w:type="spellEnd"/>
      <w:r>
        <w:t xml:space="preserve"> ratio.</w:t>
      </w:r>
    </w:p>
    <w:p w:rsidR="00E40F98" w:rsidRPr="006267E5" w:rsidRDefault="006267E5" w:rsidP="00851595">
      <w:pPr>
        <w:pStyle w:val="TextTi12"/>
        <w:rPr>
          <w:b/>
          <w:u w:val="single"/>
        </w:rPr>
      </w:pPr>
      <w:r w:rsidRPr="006267E5">
        <w:rPr>
          <w:b/>
          <w:u w:val="single"/>
        </w:rPr>
        <w:t>Post-Marketing Experience</w:t>
      </w:r>
    </w:p>
    <w:p w:rsidR="00D541ED" w:rsidRDefault="00E40F98" w:rsidP="00E40F98">
      <w:pPr>
        <w:pStyle w:val="HdTab1"/>
        <w:ind w:left="720" w:hanging="720"/>
        <w:rPr>
          <w:rFonts w:ascii="Times New Roman" w:hAnsi="Times New Roman"/>
        </w:rPr>
      </w:pPr>
      <w:r w:rsidRPr="00255B60">
        <w:rPr>
          <w:rFonts w:ascii="Times New Roman" w:hAnsi="Times New Roman"/>
        </w:rPr>
        <w:t xml:space="preserve">Table </w:t>
      </w:r>
      <w:r w:rsidR="007C7C2C">
        <w:rPr>
          <w:rFonts w:ascii="Times New Roman" w:hAnsi="Times New Roman"/>
        </w:rPr>
        <w:t>1</w:t>
      </w:r>
      <w:r w:rsidR="008B2C52">
        <w:rPr>
          <w:rFonts w:ascii="Times New Roman" w:hAnsi="Times New Roman"/>
        </w:rPr>
        <w:t>6</w:t>
      </w:r>
      <w:r w:rsidRPr="00255B60">
        <w:rPr>
          <w:rFonts w:ascii="Times New Roman" w:hAnsi="Times New Roman"/>
        </w:rPr>
        <w:t>: Adverse reactions reported in post-marketing setting</w:t>
      </w:r>
    </w:p>
    <w:p w:rsidR="00DF77FA" w:rsidRPr="00DF77FA" w:rsidRDefault="00DF77FA" w:rsidP="00BD3577">
      <w:pPr>
        <w:pStyle w:val="TextTi12"/>
        <w:spacing w:after="0"/>
      </w:pPr>
    </w:p>
    <w:tbl>
      <w:tblPr>
        <w:tblW w:w="10173" w:type="dxa"/>
        <w:tblCellMar>
          <w:left w:w="0" w:type="dxa"/>
          <w:right w:w="0" w:type="dxa"/>
        </w:tblCellMar>
        <w:tblLook w:val="0000" w:firstRow="0" w:lastRow="0" w:firstColumn="0" w:lastColumn="0" w:noHBand="0" w:noVBand="0"/>
      </w:tblPr>
      <w:tblGrid>
        <w:gridCol w:w="3168"/>
        <w:gridCol w:w="7005"/>
      </w:tblGrid>
      <w:tr w:rsidR="00D541ED" w:rsidRPr="00AE1243" w:rsidTr="00AE1243">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41ED" w:rsidRPr="001B477D" w:rsidRDefault="00D541ED" w:rsidP="00BD3577">
            <w:pPr>
              <w:pStyle w:val="TextTi12"/>
              <w:tabs>
                <w:tab w:val="left" w:pos="3686"/>
                <w:tab w:val="left" w:pos="7088"/>
              </w:tabs>
              <w:spacing w:after="0"/>
              <w:jc w:val="left"/>
              <w:rPr>
                <w:b/>
                <w:szCs w:val="24"/>
              </w:rPr>
            </w:pPr>
            <w:r w:rsidRPr="001B477D">
              <w:rPr>
                <w:b/>
                <w:szCs w:val="24"/>
              </w:rPr>
              <w:t>System Organ Class (SOC)</w:t>
            </w:r>
          </w:p>
        </w:tc>
        <w:tc>
          <w:tcPr>
            <w:tcW w:w="70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41ED" w:rsidRPr="001B477D" w:rsidRDefault="00D541ED" w:rsidP="00BD3577">
            <w:pPr>
              <w:pStyle w:val="TextTi12"/>
              <w:tabs>
                <w:tab w:val="left" w:pos="3686"/>
                <w:tab w:val="left" w:pos="7088"/>
              </w:tabs>
              <w:spacing w:after="0"/>
              <w:jc w:val="left"/>
              <w:rPr>
                <w:b/>
                <w:szCs w:val="24"/>
              </w:rPr>
            </w:pPr>
            <w:r w:rsidRPr="001B477D">
              <w:rPr>
                <w:b/>
                <w:szCs w:val="24"/>
              </w:rPr>
              <w:t>Reactions (frequency</w:t>
            </w:r>
            <w:r w:rsidR="007E367F" w:rsidRPr="001B477D">
              <w:rPr>
                <w:b/>
                <w:szCs w:val="24"/>
              </w:rPr>
              <w:t>^</w:t>
            </w:r>
            <w:r w:rsidRPr="001B477D">
              <w:rPr>
                <w:b/>
                <w:szCs w:val="24"/>
              </w:rPr>
              <w:t>)</w:t>
            </w:r>
          </w:p>
        </w:tc>
      </w:tr>
      <w:tr w:rsidR="00366665" w:rsidRPr="00AE1243" w:rsidTr="00AE1243">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6665" w:rsidRPr="001B477D" w:rsidRDefault="00366665" w:rsidP="00EC188E">
            <w:pPr>
              <w:pStyle w:val="TextTi12"/>
              <w:tabs>
                <w:tab w:val="left" w:pos="3686"/>
                <w:tab w:val="left" w:pos="7088"/>
              </w:tabs>
              <w:spacing w:after="0" w:line="240" w:lineRule="auto"/>
              <w:jc w:val="left"/>
              <w:rPr>
                <w:szCs w:val="24"/>
              </w:rPr>
            </w:pPr>
            <w:r w:rsidRPr="008562DD">
              <w:t>Congenital, familial and genetic disorders</w:t>
            </w:r>
          </w:p>
        </w:tc>
        <w:tc>
          <w:tcPr>
            <w:tcW w:w="7005" w:type="dxa"/>
            <w:tcBorders>
              <w:top w:val="nil"/>
              <w:left w:val="nil"/>
              <w:bottom w:val="single" w:sz="8" w:space="0" w:color="auto"/>
              <w:right w:val="single" w:sz="8" w:space="0" w:color="auto"/>
            </w:tcBorders>
            <w:tcMar>
              <w:top w:w="0" w:type="dxa"/>
              <w:left w:w="108" w:type="dxa"/>
              <w:bottom w:w="0" w:type="dxa"/>
              <w:right w:w="108" w:type="dxa"/>
            </w:tcMar>
          </w:tcPr>
          <w:p w:rsidR="00366665" w:rsidRPr="001B477D" w:rsidRDefault="00366665" w:rsidP="00366665">
            <w:pPr>
              <w:pStyle w:val="TextTi12"/>
              <w:tabs>
                <w:tab w:val="left" w:pos="3686"/>
                <w:tab w:val="left" w:pos="7088"/>
              </w:tabs>
              <w:spacing w:after="0" w:line="240" w:lineRule="auto"/>
              <w:jc w:val="left"/>
              <w:rPr>
                <w:szCs w:val="24"/>
              </w:rPr>
            </w:pPr>
            <w:r w:rsidRPr="008562DD">
              <w:t xml:space="preserve">Cases of </w:t>
            </w:r>
            <w:proofErr w:type="spellStart"/>
            <w:r w:rsidRPr="008562DD">
              <w:t>foetal</w:t>
            </w:r>
            <w:proofErr w:type="spellEnd"/>
            <w:r w:rsidRPr="008562DD">
              <w:t xml:space="preserve"> abnormalities in women treated with AVASTIN alone or in combination with known </w:t>
            </w:r>
            <w:proofErr w:type="spellStart"/>
            <w:r w:rsidRPr="008562DD">
              <w:t>embryotoxic</w:t>
            </w:r>
            <w:proofErr w:type="spellEnd"/>
            <w:r w:rsidRPr="008562DD">
              <w:t xml:space="preserve"> chemotherapeutics have been observed (see </w:t>
            </w:r>
            <w:r w:rsidRPr="00366665">
              <w:rPr>
                <w:i/>
              </w:rPr>
              <w:t>PRECAUTIONS</w:t>
            </w:r>
            <w:r w:rsidRPr="008562DD">
              <w:t>)</w:t>
            </w:r>
          </w:p>
        </w:tc>
      </w:tr>
      <w:tr w:rsidR="00D541ED" w:rsidRPr="00AE1243" w:rsidTr="00AE1243">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41ED" w:rsidRPr="001B477D" w:rsidRDefault="00D541ED" w:rsidP="00EC188E">
            <w:pPr>
              <w:pStyle w:val="TextTi12"/>
              <w:tabs>
                <w:tab w:val="left" w:pos="3686"/>
                <w:tab w:val="left" w:pos="7088"/>
              </w:tabs>
              <w:spacing w:after="0" w:line="240" w:lineRule="auto"/>
              <w:jc w:val="left"/>
              <w:rPr>
                <w:szCs w:val="24"/>
              </w:rPr>
            </w:pPr>
            <w:r w:rsidRPr="001B477D">
              <w:rPr>
                <w:szCs w:val="24"/>
              </w:rPr>
              <w:t>Nervous system disorders</w:t>
            </w:r>
          </w:p>
        </w:tc>
        <w:tc>
          <w:tcPr>
            <w:tcW w:w="7005" w:type="dxa"/>
            <w:tcBorders>
              <w:top w:val="nil"/>
              <w:left w:val="nil"/>
              <w:bottom w:val="single" w:sz="8" w:space="0" w:color="auto"/>
              <w:right w:val="single" w:sz="8" w:space="0" w:color="auto"/>
            </w:tcBorders>
            <w:tcMar>
              <w:top w:w="0" w:type="dxa"/>
              <w:left w:w="108" w:type="dxa"/>
              <w:bottom w:w="0" w:type="dxa"/>
              <w:right w:w="108" w:type="dxa"/>
            </w:tcMar>
          </w:tcPr>
          <w:p w:rsidR="00D541ED" w:rsidRPr="001B477D" w:rsidRDefault="00D541ED" w:rsidP="00EC188E">
            <w:pPr>
              <w:pStyle w:val="TextTi12"/>
              <w:tabs>
                <w:tab w:val="left" w:pos="3686"/>
                <w:tab w:val="left" w:pos="7088"/>
              </w:tabs>
              <w:spacing w:after="0" w:line="240" w:lineRule="auto"/>
              <w:jc w:val="left"/>
              <w:rPr>
                <w:szCs w:val="24"/>
              </w:rPr>
            </w:pPr>
            <w:r w:rsidRPr="001B477D">
              <w:rPr>
                <w:szCs w:val="24"/>
              </w:rPr>
              <w:t xml:space="preserve">Hypertensive encephalopathy (very rare) (see </w:t>
            </w:r>
            <w:r w:rsidR="007E367F" w:rsidRPr="001B477D">
              <w:rPr>
                <w:i/>
                <w:szCs w:val="24"/>
              </w:rPr>
              <w:t>PRECAUTIONS</w:t>
            </w:r>
            <w:r w:rsidRPr="001B477D">
              <w:rPr>
                <w:szCs w:val="24"/>
              </w:rPr>
              <w:t>)</w:t>
            </w:r>
          </w:p>
          <w:p w:rsidR="00D541ED" w:rsidRPr="001B477D" w:rsidRDefault="00D541ED" w:rsidP="00C710E0">
            <w:pPr>
              <w:pStyle w:val="TextTi12"/>
              <w:tabs>
                <w:tab w:val="left" w:pos="3686"/>
                <w:tab w:val="left" w:pos="7088"/>
              </w:tabs>
              <w:spacing w:after="0" w:line="240" w:lineRule="auto"/>
              <w:jc w:val="left"/>
              <w:rPr>
                <w:szCs w:val="24"/>
              </w:rPr>
            </w:pPr>
            <w:r w:rsidRPr="001B477D">
              <w:rPr>
                <w:szCs w:val="24"/>
              </w:rPr>
              <w:t xml:space="preserve">Posterior </w:t>
            </w:r>
            <w:r w:rsidR="00C710E0">
              <w:rPr>
                <w:szCs w:val="24"/>
              </w:rPr>
              <w:t xml:space="preserve">Reversible Encephalopathy </w:t>
            </w:r>
            <w:r w:rsidRPr="001B477D">
              <w:rPr>
                <w:szCs w:val="24"/>
              </w:rPr>
              <w:t>Syndrome (rare) (see</w:t>
            </w:r>
            <w:r w:rsidR="007E367F" w:rsidRPr="001B477D">
              <w:rPr>
                <w:szCs w:val="24"/>
              </w:rPr>
              <w:t xml:space="preserve"> </w:t>
            </w:r>
            <w:r w:rsidR="007E367F" w:rsidRPr="00AE1243">
              <w:rPr>
                <w:i/>
                <w:szCs w:val="24"/>
              </w:rPr>
              <w:t>PRECAUTIONS</w:t>
            </w:r>
            <w:r w:rsidRPr="001B477D">
              <w:rPr>
                <w:szCs w:val="24"/>
              </w:rPr>
              <w:t>)</w:t>
            </w:r>
          </w:p>
        </w:tc>
      </w:tr>
      <w:tr w:rsidR="00D541ED" w:rsidRPr="00AE1243" w:rsidTr="00AE1243">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41ED" w:rsidRPr="001B477D" w:rsidRDefault="003A7178" w:rsidP="00EC188E">
            <w:pPr>
              <w:pStyle w:val="TextTi12"/>
              <w:tabs>
                <w:tab w:val="left" w:pos="3686"/>
                <w:tab w:val="left" w:pos="7088"/>
              </w:tabs>
              <w:spacing w:after="0" w:line="240" w:lineRule="auto"/>
              <w:jc w:val="left"/>
              <w:rPr>
                <w:szCs w:val="24"/>
              </w:rPr>
            </w:pPr>
            <w:r w:rsidRPr="001B477D">
              <w:rPr>
                <w:szCs w:val="24"/>
              </w:rPr>
              <w:t>Vascular disorders</w:t>
            </w:r>
          </w:p>
        </w:tc>
        <w:tc>
          <w:tcPr>
            <w:tcW w:w="7005" w:type="dxa"/>
            <w:tcBorders>
              <w:top w:val="nil"/>
              <w:left w:val="nil"/>
              <w:bottom w:val="single" w:sz="8" w:space="0" w:color="auto"/>
              <w:right w:val="single" w:sz="8" w:space="0" w:color="auto"/>
            </w:tcBorders>
            <w:tcMar>
              <w:top w:w="0" w:type="dxa"/>
              <w:left w:w="108" w:type="dxa"/>
              <w:bottom w:w="0" w:type="dxa"/>
              <w:right w:w="108" w:type="dxa"/>
            </w:tcMar>
          </w:tcPr>
          <w:p w:rsidR="00D541ED" w:rsidRPr="001B477D" w:rsidRDefault="003A7178" w:rsidP="007E367F">
            <w:pPr>
              <w:pStyle w:val="TextTi12"/>
              <w:tabs>
                <w:tab w:val="left" w:pos="3686"/>
                <w:tab w:val="left" w:pos="7088"/>
              </w:tabs>
              <w:spacing w:after="0" w:line="240" w:lineRule="auto"/>
              <w:jc w:val="left"/>
              <w:rPr>
                <w:szCs w:val="24"/>
              </w:rPr>
            </w:pPr>
            <w:r w:rsidRPr="001B477D">
              <w:rPr>
                <w:szCs w:val="24"/>
              </w:rPr>
              <w:t xml:space="preserve">Renal Thrombotic </w:t>
            </w:r>
            <w:proofErr w:type="spellStart"/>
            <w:r w:rsidRPr="001B477D">
              <w:rPr>
                <w:szCs w:val="24"/>
              </w:rPr>
              <w:t>Microangiopathy</w:t>
            </w:r>
            <w:proofErr w:type="spellEnd"/>
            <w:r w:rsidRPr="001B477D">
              <w:rPr>
                <w:szCs w:val="24"/>
              </w:rPr>
              <w:t xml:space="preserve">, clinically manifested as proteinuria (not known). </w:t>
            </w:r>
            <w:r w:rsidR="00302CDC" w:rsidRPr="001B477D">
              <w:rPr>
                <w:szCs w:val="24"/>
              </w:rPr>
              <w:t xml:space="preserve">(See </w:t>
            </w:r>
            <w:r w:rsidR="007E367F" w:rsidRPr="001B477D">
              <w:rPr>
                <w:i/>
                <w:szCs w:val="24"/>
              </w:rPr>
              <w:t>PRECAUTIONS</w:t>
            </w:r>
            <w:r w:rsidRPr="001B477D">
              <w:rPr>
                <w:szCs w:val="24"/>
              </w:rPr>
              <w:t>).</w:t>
            </w:r>
          </w:p>
        </w:tc>
      </w:tr>
      <w:tr w:rsidR="003A7178" w:rsidRPr="00AE1243" w:rsidTr="00AE1243">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7178" w:rsidRPr="001B477D" w:rsidRDefault="003A7178" w:rsidP="00EC188E">
            <w:pPr>
              <w:pStyle w:val="TextTi12"/>
              <w:tabs>
                <w:tab w:val="left" w:pos="3686"/>
                <w:tab w:val="left" w:pos="7088"/>
              </w:tabs>
              <w:spacing w:after="0" w:line="240" w:lineRule="auto"/>
              <w:jc w:val="left"/>
              <w:rPr>
                <w:rFonts w:eastAsia="SimSun"/>
                <w:szCs w:val="24"/>
                <w:lang w:eastAsia="zh-CN"/>
              </w:rPr>
            </w:pPr>
            <w:r w:rsidRPr="001B477D">
              <w:rPr>
                <w:rFonts w:eastAsia="SimSun"/>
                <w:szCs w:val="24"/>
                <w:lang w:eastAsia="zh-CN"/>
              </w:rPr>
              <w:t xml:space="preserve">Respiratory, thoracic and </w:t>
            </w:r>
            <w:proofErr w:type="spellStart"/>
            <w:r w:rsidRPr="001B477D">
              <w:rPr>
                <w:rFonts w:eastAsia="SimSun"/>
                <w:szCs w:val="24"/>
                <w:lang w:eastAsia="zh-CN"/>
              </w:rPr>
              <w:t>mediastinal</w:t>
            </w:r>
            <w:proofErr w:type="spellEnd"/>
            <w:r w:rsidRPr="001B477D">
              <w:rPr>
                <w:rFonts w:eastAsia="SimSun"/>
                <w:szCs w:val="24"/>
                <w:lang w:eastAsia="zh-CN"/>
              </w:rPr>
              <w:t xml:space="preserve"> disorders</w:t>
            </w:r>
          </w:p>
        </w:tc>
        <w:tc>
          <w:tcPr>
            <w:tcW w:w="70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178" w:rsidRPr="001B477D" w:rsidRDefault="003A7178" w:rsidP="00EC188E">
            <w:pPr>
              <w:pStyle w:val="TextTi12"/>
              <w:tabs>
                <w:tab w:val="left" w:pos="3686"/>
                <w:tab w:val="left" w:pos="7088"/>
              </w:tabs>
              <w:spacing w:after="0" w:line="240" w:lineRule="auto"/>
              <w:jc w:val="left"/>
              <w:rPr>
                <w:szCs w:val="24"/>
              </w:rPr>
            </w:pPr>
            <w:r w:rsidRPr="001B477D">
              <w:rPr>
                <w:szCs w:val="24"/>
              </w:rPr>
              <w:t>Nasal septum perforation (not known)</w:t>
            </w:r>
          </w:p>
          <w:p w:rsidR="003A7178" w:rsidRPr="001B477D" w:rsidRDefault="003A7178" w:rsidP="00EC188E">
            <w:pPr>
              <w:pStyle w:val="TextTi12"/>
              <w:tabs>
                <w:tab w:val="left" w:pos="3686"/>
                <w:tab w:val="left" w:pos="7088"/>
              </w:tabs>
              <w:spacing w:after="0" w:line="240" w:lineRule="auto"/>
              <w:jc w:val="left"/>
              <w:rPr>
                <w:szCs w:val="24"/>
              </w:rPr>
            </w:pPr>
            <w:r w:rsidRPr="001B477D">
              <w:rPr>
                <w:szCs w:val="24"/>
              </w:rPr>
              <w:t>Pulmonary hypertension (not known)</w:t>
            </w:r>
          </w:p>
          <w:p w:rsidR="003A7178" w:rsidRPr="001B477D" w:rsidRDefault="003A7178" w:rsidP="00EC188E">
            <w:pPr>
              <w:pStyle w:val="TextTi12"/>
              <w:tabs>
                <w:tab w:val="left" w:pos="3686"/>
                <w:tab w:val="left" w:pos="7088"/>
              </w:tabs>
              <w:spacing w:after="0" w:line="240" w:lineRule="auto"/>
              <w:jc w:val="left"/>
              <w:rPr>
                <w:szCs w:val="24"/>
              </w:rPr>
            </w:pPr>
            <w:r w:rsidRPr="001B477D">
              <w:rPr>
                <w:szCs w:val="24"/>
              </w:rPr>
              <w:t>Dysphonia (common)</w:t>
            </w:r>
          </w:p>
        </w:tc>
      </w:tr>
      <w:tr w:rsidR="00EC188E" w:rsidRPr="00AE1243"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C188E" w:rsidRPr="001B477D" w:rsidRDefault="00EC188E" w:rsidP="00EC188E">
            <w:pPr>
              <w:pStyle w:val="TextTi12"/>
              <w:tabs>
                <w:tab w:val="left" w:pos="3686"/>
                <w:tab w:val="left" w:pos="7088"/>
              </w:tabs>
              <w:spacing w:after="0" w:line="240" w:lineRule="auto"/>
              <w:jc w:val="left"/>
              <w:rPr>
                <w:rFonts w:eastAsia="SimSun"/>
                <w:szCs w:val="24"/>
                <w:lang w:eastAsia="zh-CN"/>
              </w:rPr>
            </w:pPr>
            <w:r w:rsidRPr="001B477D">
              <w:rPr>
                <w:rFonts w:eastAsia="SimSun"/>
                <w:szCs w:val="24"/>
              </w:rPr>
              <w:t>Gastrointestinal disorders</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C188E" w:rsidRPr="00AE1243" w:rsidRDefault="00EC188E" w:rsidP="008F4FF8">
            <w:pPr>
              <w:spacing w:after="0"/>
              <w:rPr>
                <w:sz w:val="24"/>
                <w:szCs w:val="24"/>
              </w:rPr>
            </w:pPr>
            <w:r w:rsidRPr="001B477D">
              <w:rPr>
                <w:sz w:val="24"/>
                <w:szCs w:val="24"/>
              </w:rPr>
              <w:t>Gastrointestinal ulcer (not known)</w:t>
            </w:r>
          </w:p>
        </w:tc>
      </w:tr>
      <w:tr w:rsidR="00996301" w:rsidRPr="00AE1243"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9573E4">
            <w:pPr>
              <w:pStyle w:val="TextTi12"/>
              <w:tabs>
                <w:tab w:val="left" w:pos="3686"/>
                <w:tab w:val="left" w:pos="7088"/>
              </w:tabs>
              <w:spacing w:after="0" w:line="240" w:lineRule="auto"/>
              <w:jc w:val="left"/>
              <w:rPr>
                <w:rFonts w:eastAsia="SimSun"/>
                <w:szCs w:val="24"/>
                <w:shd w:val="clear" w:color="auto" w:fill="E6E6E6"/>
              </w:rPr>
            </w:pPr>
            <w:proofErr w:type="spellStart"/>
            <w:r w:rsidRPr="001B477D">
              <w:rPr>
                <w:szCs w:val="24"/>
              </w:rPr>
              <w:t>Hepatobiliary</w:t>
            </w:r>
            <w:proofErr w:type="spellEnd"/>
            <w:r w:rsidRPr="001B477D">
              <w:rPr>
                <w:szCs w:val="24"/>
              </w:rPr>
              <w:t xml:space="preserve"> </w:t>
            </w:r>
            <w:r w:rsidR="00175D25">
              <w:rPr>
                <w:szCs w:val="24"/>
              </w:rPr>
              <w:t>d</w:t>
            </w:r>
            <w:r w:rsidRPr="001B477D">
              <w:rPr>
                <w:szCs w:val="24"/>
              </w:rPr>
              <w:t>isorders</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EC188E">
            <w:pPr>
              <w:spacing w:after="0"/>
              <w:rPr>
                <w:sz w:val="24"/>
                <w:szCs w:val="24"/>
                <w:shd w:val="clear" w:color="auto" w:fill="E6E6E6"/>
              </w:rPr>
            </w:pPr>
            <w:r w:rsidRPr="00AE1243">
              <w:rPr>
                <w:sz w:val="24"/>
                <w:szCs w:val="24"/>
              </w:rPr>
              <w:t xml:space="preserve">Gallbladder </w:t>
            </w:r>
            <w:r w:rsidR="009573E4">
              <w:rPr>
                <w:sz w:val="24"/>
                <w:szCs w:val="24"/>
              </w:rPr>
              <w:t>p</w:t>
            </w:r>
            <w:r w:rsidRPr="00AE1243">
              <w:rPr>
                <w:sz w:val="24"/>
                <w:szCs w:val="24"/>
              </w:rPr>
              <w:t>erforation (not known)</w:t>
            </w:r>
          </w:p>
        </w:tc>
      </w:tr>
      <w:tr w:rsidR="00996301" w:rsidRPr="00AE1243" w:rsidTr="00F06E30">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CF365B">
            <w:pPr>
              <w:pStyle w:val="TextTi12"/>
              <w:tabs>
                <w:tab w:val="left" w:pos="3686"/>
                <w:tab w:val="left" w:pos="7088"/>
              </w:tabs>
              <w:spacing w:after="0" w:line="240" w:lineRule="auto"/>
              <w:jc w:val="left"/>
              <w:rPr>
                <w:rFonts w:eastAsia="SimSun"/>
                <w:szCs w:val="24"/>
                <w:shd w:val="clear" w:color="auto" w:fill="E6E6E6"/>
              </w:rPr>
            </w:pPr>
            <w:r w:rsidRPr="001B477D">
              <w:rPr>
                <w:rFonts w:eastAsia="SimSun"/>
                <w:szCs w:val="24"/>
              </w:rPr>
              <w:t>Immune system disorders</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9573E4">
            <w:pPr>
              <w:spacing w:after="0"/>
              <w:rPr>
                <w:sz w:val="24"/>
                <w:szCs w:val="24"/>
                <w:shd w:val="clear" w:color="auto" w:fill="E6E6E6"/>
              </w:rPr>
            </w:pPr>
            <w:r w:rsidRPr="001B477D">
              <w:rPr>
                <w:sz w:val="24"/>
                <w:szCs w:val="24"/>
              </w:rPr>
              <w:t>Hypersensitivity, infusion reactions; possibly associated with the following co-manifestations: dyspnoea/difficulty breathing, flushing/redness/rash, hypotension or hypertension, oxygen desaturation, chest pain, rigors and nausea/vomiting</w:t>
            </w:r>
            <w:r w:rsidR="00F06E30">
              <w:rPr>
                <w:sz w:val="24"/>
                <w:szCs w:val="24"/>
              </w:rPr>
              <w:t xml:space="preserve"> </w:t>
            </w:r>
          </w:p>
        </w:tc>
      </w:tr>
      <w:tr w:rsidR="00996301" w:rsidRPr="00AE1243"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CF365B">
            <w:pPr>
              <w:rPr>
                <w:rFonts w:eastAsia="SimSun"/>
                <w:sz w:val="24"/>
                <w:szCs w:val="24"/>
              </w:rPr>
            </w:pPr>
            <w:r w:rsidRPr="001B477D">
              <w:rPr>
                <w:rFonts w:eastAsia="SimSun"/>
                <w:sz w:val="24"/>
                <w:szCs w:val="24"/>
              </w:rPr>
              <w:t>Eye disorders</w:t>
            </w:r>
          </w:p>
          <w:p w:rsidR="00996301" w:rsidRPr="001B477D" w:rsidRDefault="00996301" w:rsidP="00CF365B">
            <w:pPr>
              <w:pStyle w:val="TextTi12"/>
              <w:tabs>
                <w:tab w:val="left" w:pos="3686"/>
                <w:tab w:val="left" w:pos="7088"/>
              </w:tabs>
              <w:spacing w:after="0" w:line="240" w:lineRule="auto"/>
              <w:jc w:val="left"/>
              <w:rPr>
                <w:rFonts w:eastAsia="SimSun"/>
                <w:szCs w:val="24"/>
              </w:rPr>
            </w:pPr>
            <w:r w:rsidRPr="001B477D">
              <w:rPr>
                <w:bCs/>
                <w:szCs w:val="24"/>
              </w:rPr>
              <w:t xml:space="preserve">(reported from unapproved </w:t>
            </w:r>
            <w:proofErr w:type="spellStart"/>
            <w:r w:rsidRPr="001B477D">
              <w:rPr>
                <w:bCs/>
                <w:szCs w:val="24"/>
              </w:rPr>
              <w:t>intravitreal</w:t>
            </w:r>
            <w:proofErr w:type="spellEnd"/>
            <w:r w:rsidRPr="001B477D">
              <w:rPr>
                <w:bCs/>
                <w:szCs w:val="24"/>
              </w:rPr>
              <w:t xml:space="preserve"> use)</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CF365B">
            <w:pPr>
              <w:autoSpaceDE w:val="0"/>
              <w:autoSpaceDN w:val="0"/>
              <w:adjustRightInd w:val="0"/>
              <w:spacing w:after="0"/>
              <w:rPr>
                <w:rFonts w:eastAsia="SimSun"/>
                <w:sz w:val="24"/>
                <w:szCs w:val="24"/>
                <w:lang w:val="en-US" w:eastAsia="zh-CN"/>
              </w:rPr>
            </w:pPr>
            <w:r w:rsidRPr="001B477D">
              <w:rPr>
                <w:rFonts w:eastAsia="SimSun"/>
                <w:sz w:val="24"/>
                <w:szCs w:val="24"/>
                <w:lang w:val="en-US" w:eastAsia="zh-CN"/>
              </w:rPr>
              <w:t xml:space="preserve">Infectious </w:t>
            </w:r>
            <w:proofErr w:type="spellStart"/>
            <w:r w:rsidRPr="001B477D">
              <w:rPr>
                <w:rFonts w:eastAsia="SimSun"/>
                <w:sz w:val="24"/>
                <w:szCs w:val="24"/>
                <w:lang w:val="en-US" w:eastAsia="zh-CN"/>
              </w:rPr>
              <w:t>endophthalmitis</w:t>
            </w:r>
            <w:proofErr w:type="spellEnd"/>
            <w:r w:rsidR="00816A1F" w:rsidRPr="001B477D">
              <w:rPr>
                <w:rFonts w:cs="Arial"/>
                <w:sz w:val="24"/>
                <w:szCs w:val="24"/>
                <w:vertAlign w:val="superscript"/>
              </w:rPr>
              <w:t>1,5</w:t>
            </w:r>
            <w:r w:rsidR="00816A1F" w:rsidRPr="001B477D">
              <w:rPr>
                <w:rFonts w:eastAsia="SimSun"/>
                <w:sz w:val="24"/>
                <w:szCs w:val="24"/>
                <w:lang w:val="en-US" w:eastAsia="zh-CN"/>
              </w:rPr>
              <w:t xml:space="preserve"> (some cases leading to permanent blindness) </w:t>
            </w:r>
            <w:r w:rsidRPr="001B477D">
              <w:rPr>
                <w:rFonts w:eastAsia="SimSun"/>
                <w:sz w:val="24"/>
                <w:szCs w:val="24"/>
                <w:lang w:val="en-US" w:eastAsia="zh-CN"/>
              </w:rPr>
              <w:t>(not known)</w:t>
            </w:r>
          </w:p>
          <w:p w:rsidR="00996301" w:rsidRPr="001B477D" w:rsidRDefault="00996301" w:rsidP="00CF365B">
            <w:pPr>
              <w:autoSpaceDE w:val="0"/>
              <w:autoSpaceDN w:val="0"/>
              <w:adjustRightInd w:val="0"/>
              <w:spacing w:after="0"/>
              <w:rPr>
                <w:rFonts w:eastAsia="SimSun"/>
                <w:sz w:val="24"/>
                <w:szCs w:val="24"/>
                <w:lang w:val="en-US" w:eastAsia="zh-CN"/>
              </w:rPr>
            </w:pPr>
            <w:r w:rsidRPr="001B477D">
              <w:rPr>
                <w:rFonts w:eastAsia="SimSun"/>
                <w:sz w:val="24"/>
                <w:szCs w:val="24"/>
                <w:lang w:val="en-US" w:eastAsia="zh-CN"/>
              </w:rPr>
              <w:t>Intraocular inflammation</w:t>
            </w:r>
            <w:r w:rsidR="00816A1F" w:rsidRPr="001B477D">
              <w:rPr>
                <w:rFonts w:cs="Arial"/>
                <w:sz w:val="24"/>
                <w:szCs w:val="24"/>
                <w:vertAlign w:val="superscript"/>
              </w:rPr>
              <w:t>1,2</w:t>
            </w:r>
            <w:r w:rsidR="00816A1F" w:rsidRPr="001B477D">
              <w:rPr>
                <w:rFonts w:eastAsia="SimSun"/>
                <w:sz w:val="24"/>
                <w:szCs w:val="24"/>
                <w:lang w:val="en-US" w:eastAsia="zh-CN"/>
              </w:rPr>
              <w:t xml:space="preserve"> (some cases leading to permanent blindness)</w:t>
            </w:r>
            <w:r w:rsidRPr="001B477D">
              <w:rPr>
                <w:rFonts w:eastAsia="SimSun"/>
                <w:sz w:val="24"/>
                <w:szCs w:val="24"/>
                <w:lang w:val="en-US" w:eastAsia="zh-CN"/>
              </w:rPr>
              <w:t xml:space="preserve"> such as sterile </w:t>
            </w:r>
            <w:proofErr w:type="spellStart"/>
            <w:r w:rsidRPr="001B477D">
              <w:rPr>
                <w:rFonts w:eastAsia="SimSun"/>
                <w:sz w:val="24"/>
                <w:szCs w:val="24"/>
                <w:lang w:val="en-US" w:eastAsia="zh-CN"/>
              </w:rPr>
              <w:t>endophthalmitis</w:t>
            </w:r>
            <w:proofErr w:type="spellEnd"/>
            <w:r w:rsidRPr="001B477D">
              <w:rPr>
                <w:rFonts w:eastAsia="SimSun"/>
                <w:sz w:val="24"/>
                <w:szCs w:val="24"/>
                <w:lang w:val="en-US" w:eastAsia="zh-CN"/>
              </w:rPr>
              <w:t xml:space="preserve">, uveitis, and </w:t>
            </w:r>
            <w:proofErr w:type="spellStart"/>
            <w:r w:rsidRPr="001B477D">
              <w:rPr>
                <w:rFonts w:eastAsia="SimSun"/>
                <w:sz w:val="24"/>
                <w:szCs w:val="24"/>
                <w:lang w:val="en-US" w:eastAsia="zh-CN"/>
              </w:rPr>
              <w:t>vitritis</w:t>
            </w:r>
            <w:proofErr w:type="spellEnd"/>
            <w:r w:rsidRPr="001B477D">
              <w:rPr>
                <w:rFonts w:eastAsia="SimSun"/>
                <w:sz w:val="24"/>
                <w:szCs w:val="24"/>
                <w:lang w:val="en-US" w:eastAsia="zh-CN"/>
              </w:rPr>
              <w:t xml:space="preserve"> (</w:t>
            </w:r>
            <w:r w:rsidR="00816A1F" w:rsidRPr="001B477D">
              <w:rPr>
                <w:rFonts w:eastAsia="SimSun"/>
                <w:sz w:val="24"/>
                <w:szCs w:val="24"/>
                <w:lang w:val="en-US" w:eastAsia="zh-CN"/>
              </w:rPr>
              <w:t xml:space="preserve">see </w:t>
            </w:r>
            <w:r w:rsidR="001B477D" w:rsidRPr="00AE1243">
              <w:rPr>
                <w:i/>
                <w:sz w:val="24"/>
                <w:szCs w:val="24"/>
              </w:rPr>
              <w:t>PRECAUTIONS</w:t>
            </w:r>
            <w:r w:rsidRPr="001B477D">
              <w:rPr>
                <w:rFonts w:eastAsia="SimSun"/>
                <w:sz w:val="24"/>
                <w:szCs w:val="24"/>
                <w:lang w:val="en-US" w:eastAsia="zh-CN"/>
              </w:rPr>
              <w:t>)</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Retinal detachment (not known)</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Retinal pigment epithelial tear (not known)</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Intraocular pressure increased (not known)</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 xml:space="preserve">Intraocular </w:t>
            </w:r>
            <w:proofErr w:type="spellStart"/>
            <w:r w:rsidRPr="001B477D">
              <w:rPr>
                <w:rFonts w:eastAsia="SimSun"/>
                <w:sz w:val="24"/>
                <w:szCs w:val="24"/>
                <w:lang w:val="en-US" w:eastAsia="zh-CN"/>
              </w:rPr>
              <w:t>haemorrhage</w:t>
            </w:r>
            <w:proofErr w:type="spellEnd"/>
            <w:r w:rsidRPr="001B477D">
              <w:rPr>
                <w:rFonts w:eastAsia="SimSun"/>
                <w:sz w:val="24"/>
                <w:szCs w:val="24"/>
                <w:lang w:val="en-US" w:eastAsia="zh-CN"/>
              </w:rPr>
              <w:t xml:space="preserve"> such as vitreous </w:t>
            </w:r>
            <w:proofErr w:type="spellStart"/>
            <w:r w:rsidRPr="001B477D">
              <w:rPr>
                <w:rFonts w:eastAsia="SimSun"/>
                <w:sz w:val="24"/>
                <w:szCs w:val="24"/>
                <w:lang w:val="en-US" w:eastAsia="zh-CN"/>
              </w:rPr>
              <w:t>haemorrhage</w:t>
            </w:r>
            <w:proofErr w:type="spellEnd"/>
            <w:r w:rsidRPr="001B477D">
              <w:rPr>
                <w:rFonts w:eastAsia="SimSun"/>
                <w:sz w:val="24"/>
                <w:szCs w:val="24"/>
                <w:lang w:val="en-US" w:eastAsia="zh-CN"/>
              </w:rPr>
              <w:t xml:space="preserve"> or retinal </w:t>
            </w:r>
            <w:proofErr w:type="spellStart"/>
            <w:r w:rsidRPr="001B477D">
              <w:rPr>
                <w:rFonts w:eastAsia="SimSun"/>
                <w:sz w:val="24"/>
                <w:szCs w:val="24"/>
                <w:lang w:val="en-US" w:eastAsia="zh-CN"/>
              </w:rPr>
              <w:t>haemorrhage</w:t>
            </w:r>
            <w:proofErr w:type="spellEnd"/>
            <w:r w:rsidRPr="001B477D">
              <w:rPr>
                <w:rFonts w:eastAsia="SimSun"/>
                <w:sz w:val="24"/>
                <w:szCs w:val="24"/>
                <w:lang w:val="en-US" w:eastAsia="zh-CN"/>
              </w:rPr>
              <w:t xml:space="preserve"> (not known)</w:t>
            </w:r>
          </w:p>
          <w:p w:rsidR="00996301" w:rsidRPr="001B477D" w:rsidRDefault="00996301" w:rsidP="00CF365B">
            <w:pPr>
              <w:spacing w:after="0"/>
              <w:rPr>
                <w:rFonts w:eastAsia="SimSun"/>
                <w:sz w:val="24"/>
                <w:szCs w:val="24"/>
                <w:lang w:val="en-US" w:eastAsia="zh-CN"/>
              </w:rPr>
            </w:pPr>
            <w:proofErr w:type="spellStart"/>
            <w:r w:rsidRPr="001B477D">
              <w:rPr>
                <w:rFonts w:eastAsia="SimSun"/>
                <w:sz w:val="24"/>
                <w:szCs w:val="24"/>
                <w:lang w:val="en-US" w:eastAsia="zh-CN"/>
              </w:rPr>
              <w:t>Conjunctival</w:t>
            </w:r>
            <w:proofErr w:type="spellEnd"/>
            <w:r w:rsidRPr="001B477D">
              <w:rPr>
                <w:rFonts w:eastAsia="SimSun"/>
                <w:sz w:val="24"/>
                <w:szCs w:val="24"/>
                <w:lang w:val="en-US" w:eastAsia="zh-CN"/>
              </w:rPr>
              <w:t xml:space="preserve"> </w:t>
            </w:r>
            <w:proofErr w:type="spellStart"/>
            <w:r w:rsidRPr="001B477D">
              <w:rPr>
                <w:rFonts w:eastAsia="SimSun"/>
                <w:sz w:val="24"/>
                <w:szCs w:val="24"/>
                <w:lang w:val="en-US" w:eastAsia="zh-CN"/>
              </w:rPr>
              <w:t>haemorrhage</w:t>
            </w:r>
            <w:proofErr w:type="spellEnd"/>
            <w:r w:rsidRPr="001B477D">
              <w:rPr>
                <w:rFonts w:eastAsia="SimSun"/>
                <w:sz w:val="24"/>
                <w:szCs w:val="24"/>
                <w:lang w:val="en-US" w:eastAsia="zh-CN"/>
              </w:rPr>
              <w:t xml:space="preserve"> (not known)</w:t>
            </w:r>
          </w:p>
          <w:p w:rsidR="00816A1F" w:rsidRPr="001B477D" w:rsidRDefault="00816A1F" w:rsidP="00CF365B">
            <w:pPr>
              <w:spacing w:after="0"/>
              <w:rPr>
                <w:sz w:val="24"/>
                <w:szCs w:val="24"/>
              </w:rPr>
            </w:pPr>
            <w:r w:rsidRPr="001B477D">
              <w:rPr>
                <w:rFonts w:eastAsia="SimSun"/>
                <w:sz w:val="24"/>
                <w:szCs w:val="24"/>
                <w:lang w:val="en-US" w:eastAsia="zh-CN"/>
              </w:rPr>
              <w:t>Increased risk for cataract surgery</w:t>
            </w:r>
            <w:r w:rsidRPr="001B477D">
              <w:rPr>
                <w:rFonts w:cs="Arial"/>
                <w:sz w:val="24"/>
                <w:szCs w:val="24"/>
                <w:vertAlign w:val="superscript"/>
              </w:rPr>
              <w:t xml:space="preserve">1,2 </w:t>
            </w:r>
          </w:p>
        </w:tc>
      </w:tr>
      <w:tr w:rsidR="00816A1F" w:rsidRPr="00AE1243"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6A1F" w:rsidRPr="001B477D" w:rsidRDefault="00816A1F" w:rsidP="00EA3798">
            <w:pPr>
              <w:rPr>
                <w:rFonts w:eastAsia="SimSun"/>
                <w:sz w:val="24"/>
                <w:szCs w:val="24"/>
              </w:rPr>
            </w:pPr>
            <w:r w:rsidRPr="001B477D">
              <w:rPr>
                <w:rFonts w:eastAsia="SimSun"/>
                <w:sz w:val="24"/>
                <w:szCs w:val="24"/>
              </w:rPr>
              <w:t>Systemic events</w:t>
            </w:r>
          </w:p>
          <w:p w:rsidR="00816A1F" w:rsidRPr="001B477D" w:rsidRDefault="00816A1F" w:rsidP="00CF365B">
            <w:pPr>
              <w:rPr>
                <w:rFonts w:eastAsia="SimSun"/>
                <w:sz w:val="24"/>
                <w:szCs w:val="24"/>
              </w:rPr>
            </w:pPr>
            <w:r w:rsidRPr="00343A94">
              <w:rPr>
                <w:rFonts w:eastAsia="SimSun"/>
                <w:sz w:val="24"/>
                <w:szCs w:val="24"/>
              </w:rPr>
              <w:lastRenderedPageBreak/>
              <w:t xml:space="preserve">(reported from unapproved </w:t>
            </w:r>
            <w:proofErr w:type="spellStart"/>
            <w:r w:rsidRPr="00343A94">
              <w:rPr>
                <w:rFonts w:eastAsia="SimSun"/>
                <w:sz w:val="24"/>
                <w:szCs w:val="24"/>
              </w:rPr>
              <w:t>intravitreal</w:t>
            </w:r>
            <w:proofErr w:type="spellEnd"/>
            <w:r w:rsidRPr="00343A94">
              <w:rPr>
                <w:rFonts w:eastAsia="SimSun"/>
                <w:sz w:val="24"/>
                <w:szCs w:val="24"/>
              </w:rPr>
              <w:t xml:space="preserve"> use)</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6A1F" w:rsidRPr="001B477D" w:rsidRDefault="00816A1F" w:rsidP="00EA3798">
            <w:pPr>
              <w:pStyle w:val="Heading3"/>
              <w:spacing w:before="0"/>
              <w:rPr>
                <w:rFonts w:eastAsia="SimSun"/>
                <w:b w:val="0"/>
                <w:szCs w:val="24"/>
                <w:lang w:val="en-US" w:eastAsia="zh-CN"/>
              </w:rPr>
            </w:pPr>
            <w:r w:rsidRPr="001B477D">
              <w:rPr>
                <w:rFonts w:eastAsia="SimSun"/>
                <w:b w:val="0"/>
                <w:szCs w:val="24"/>
                <w:lang w:val="en-US" w:eastAsia="zh-CN"/>
              </w:rPr>
              <w:lastRenderedPageBreak/>
              <w:t xml:space="preserve">Increased risk for </w:t>
            </w:r>
            <w:proofErr w:type="spellStart"/>
            <w:r w:rsidRPr="001B477D">
              <w:rPr>
                <w:rFonts w:eastAsia="SimSun"/>
                <w:b w:val="0"/>
                <w:szCs w:val="24"/>
                <w:lang w:val="en-US" w:eastAsia="zh-CN"/>
              </w:rPr>
              <w:t>haemorrhagic</w:t>
            </w:r>
            <w:proofErr w:type="spellEnd"/>
            <w:r w:rsidRPr="001B477D">
              <w:rPr>
                <w:rFonts w:eastAsia="SimSun"/>
                <w:b w:val="0"/>
                <w:szCs w:val="24"/>
                <w:lang w:val="en-US" w:eastAsia="zh-CN"/>
              </w:rPr>
              <w:t xml:space="preserve"> stroke</w:t>
            </w:r>
            <w:r w:rsidRPr="00343A94">
              <w:rPr>
                <w:rFonts w:cs="Arial"/>
                <w:b w:val="0"/>
                <w:szCs w:val="24"/>
                <w:vertAlign w:val="superscript"/>
              </w:rPr>
              <w:t>1,2</w:t>
            </w:r>
            <w:r w:rsidRPr="00343A94">
              <w:rPr>
                <w:rFonts w:ascii="TimesNewRoman" w:hAnsi="TimesNewRoman" w:cs="TimesNewRoman"/>
                <w:b w:val="0"/>
                <w:color w:val="FF0000"/>
                <w:szCs w:val="24"/>
                <w:lang w:eastAsia="en-AU"/>
              </w:rPr>
              <w:t xml:space="preserve"> </w:t>
            </w:r>
            <w:r w:rsidRPr="001B477D">
              <w:rPr>
                <w:rFonts w:eastAsia="SimSun"/>
                <w:b w:val="0"/>
                <w:szCs w:val="24"/>
                <w:lang w:val="en-US" w:eastAsia="zh-CN"/>
              </w:rPr>
              <w:t xml:space="preserve">(see </w:t>
            </w:r>
            <w:r w:rsidR="00343A94" w:rsidRPr="00343A94">
              <w:rPr>
                <w:b w:val="0"/>
                <w:i/>
                <w:szCs w:val="24"/>
              </w:rPr>
              <w:t>PRECAUTIONS</w:t>
            </w:r>
            <w:r w:rsidRPr="001B477D">
              <w:rPr>
                <w:rFonts w:eastAsia="SimSun"/>
                <w:b w:val="0"/>
                <w:szCs w:val="24"/>
                <w:lang w:val="en-US" w:eastAsia="zh-CN"/>
              </w:rPr>
              <w:t>)</w:t>
            </w:r>
          </w:p>
          <w:p w:rsidR="00816A1F" w:rsidRPr="00343A94" w:rsidRDefault="00816A1F" w:rsidP="00EA3798">
            <w:pPr>
              <w:autoSpaceDE w:val="0"/>
              <w:autoSpaceDN w:val="0"/>
              <w:adjustRightInd w:val="0"/>
              <w:spacing w:after="0"/>
              <w:rPr>
                <w:rFonts w:ascii="TimesNewRoman" w:hAnsi="TimesNewRoman" w:cs="TimesNewRoman"/>
                <w:color w:val="FF0000"/>
                <w:sz w:val="24"/>
                <w:szCs w:val="24"/>
                <w:lang w:eastAsia="en-AU"/>
              </w:rPr>
            </w:pPr>
            <w:r w:rsidRPr="001B477D">
              <w:rPr>
                <w:rFonts w:eastAsia="SimSun"/>
                <w:sz w:val="24"/>
                <w:szCs w:val="24"/>
                <w:lang w:val="en-US" w:eastAsia="zh-CN"/>
              </w:rPr>
              <w:lastRenderedPageBreak/>
              <w:t>Increased risk for overall mortality</w:t>
            </w:r>
            <w:r w:rsidRPr="00343A94">
              <w:rPr>
                <w:rFonts w:cs="Arial"/>
                <w:sz w:val="24"/>
                <w:szCs w:val="24"/>
                <w:vertAlign w:val="superscript"/>
              </w:rPr>
              <w:t>1,2,3</w:t>
            </w:r>
            <w:r w:rsidRPr="00343A94">
              <w:rPr>
                <w:rFonts w:ascii="TimesNewRoman" w:hAnsi="TimesNewRoman" w:cs="TimesNewRoman"/>
                <w:color w:val="FF0000"/>
                <w:sz w:val="24"/>
                <w:szCs w:val="24"/>
                <w:lang w:eastAsia="en-AU"/>
              </w:rPr>
              <w:t xml:space="preserve"> </w:t>
            </w:r>
          </w:p>
          <w:p w:rsidR="00816A1F" w:rsidRPr="001B477D" w:rsidRDefault="00816A1F" w:rsidP="00CF365B">
            <w:pPr>
              <w:autoSpaceDE w:val="0"/>
              <w:autoSpaceDN w:val="0"/>
              <w:adjustRightInd w:val="0"/>
              <w:spacing w:after="0"/>
              <w:rPr>
                <w:rFonts w:eastAsia="SimSun"/>
                <w:sz w:val="24"/>
                <w:szCs w:val="24"/>
                <w:lang w:val="en-US" w:eastAsia="zh-CN"/>
              </w:rPr>
            </w:pPr>
            <w:r w:rsidRPr="001B477D">
              <w:rPr>
                <w:rFonts w:eastAsia="SimSun"/>
                <w:sz w:val="24"/>
                <w:szCs w:val="24"/>
                <w:lang w:val="en-US" w:eastAsia="zh-CN"/>
              </w:rPr>
              <w:t>Increased risk for serious systemic adverse events, most of which resulted in hospitalization (adjusted risk ratio 1.29; 95% CI: 1.01, 1.66) (Incidence 24.1%; comparator 19.0%)</w:t>
            </w:r>
            <w:r w:rsidRPr="00343A94">
              <w:rPr>
                <w:rFonts w:cs="Arial"/>
                <w:sz w:val="24"/>
                <w:szCs w:val="24"/>
                <w:vertAlign w:val="superscript"/>
              </w:rPr>
              <w:t>1,4</w:t>
            </w:r>
          </w:p>
        </w:tc>
      </w:tr>
      <w:tr w:rsidR="00996301" w:rsidRPr="001B477D"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CF365B">
            <w:pPr>
              <w:pStyle w:val="TextTi12"/>
              <w:jc w:val="left"/>
              <w:rPr>
                <w:rFonts w:eastAsia="SimSun"/>
                <w:szCs w:val="24"/>
                <w:lang w:val="en-AU"/>
              </w:rPr>
            </w:pPr>
            <w:r w:rsidRPr="001B477D">
              <w:rPr>
                <w:rFonts w:eastAsia="SimSun"/>
                <w:szCs w:val="24"/>
                <w:lang w:val="en-AU"/>
              </w:rPr>
              <w:lastRenderedPageBreak/>
              <w:t>Muscular, skeletal disorders</w:t>
            </w:r>
          </w:p>
          <w:p w:rsidR="00996301" w:rsidRPr="001B477D" w:rsidRDefault="00996301" w:rsidP="00996301">
            <w:pPr>
              <w:pStyle w:val="TextTi12"/>
              <w:rPr>
                <w:rFonts w:eastAsia="SimSun"/>
                <w:szCs w:val="24"/>
                <w:lang w:val="en-AU"/>
              </w:rPr>
            </w:pP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CF365B">
            <w:pPr>
              <w:autoSpaceDE w:val="0"/>
              <w:autoSpaceDN w:val="0"/>
              <w:adjustRightInd w:val="0"/>
              <w:spacing w:after="0"/>
              <w:rPr>
                <w:rFonts w:eastAsia="SimSun"/>
                <w:sz w:val="24"/>
                <w:szCs w:val="24"/>
                <w:lang w:val="en-US" w:eastAsia="zh-CN"/>
              </w:rPr>
            </w:pPr>
            <w:r w:rsidRPr="001B477D">
              <w:rPr>
                <w:rFonts w:eastAsia="SimSun"/>
                <w:sz w:val="24"/>
                <w:szCs w:val="24"/>
                <w:lang w:val="en-US" w:eastAsia="zh-CN"/>
              </w:rPr>
              <w:t>Cases of osteonecrosis of the jaw (ONJ) have been observed in AVASTIN-treated patients mainly in association with prior or concomitant use of bisphosphonates.</w:t>
            </w:r>
          </w:p>
        </w:tc>
      </w:tr>
      <w:tr w:rsidR="00E26824" w:rsidRPr="001B477D"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26824" w:rsidRPr="001B477D" w:rsidRDefault="00E26824" w:rsidP="00CF365B">
            <w:pPr>
              <w:pStyle w:val="TextTi12"/>
              <w:jc w:val="left"/>
              <w:rPr>
                <w:rFonts w:eastAsia="SimSun"/>
                <w:szCs w:val="24"/>
                <w:lang w:val="en-AU"/>
              </w:rPr>
            </w:pPr>
            <w:r>
              <w:rPr>
                <w:rFonts w:eastAsia="SimSun"/>
                <w:szCs w:val="24"/>
                <w:lang w:val="en-AU"/>
              </w:rPr>
              <w:t>Infections and Infestations</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26824" w:rsidRPr="00DB36B4" w:rsidRDefault="00E26824" w:rsidP="00CF365B">
            <w:pPr>
              <w:autoSpaceDE w:val="0"/>
              <w:autoSpaceDN w:val="0"/>
              <w:adjustRightInd w:val="0"/>
              <w:spacing w:after="0"/>
              <w:rPr>
                <w:rFonts w:eastAsia="SimSun"/>
                <w:sz w:val="24"/>
                <w:szCs w:val="24"/>
                <w:lang w:val="en-US" w:eastAsia="zh-CN"/>
              </w:rPr>
            </w:pPr>
            <w:r w:rsidRPr="00DB36B4">
              <w:rPr>
                <w:rFonts w:cs="Arial"/>
              </w:rPr>
              <w:t xml:space="preserve">Necrotising fasciitis, usually secondary to wound healing complications, gastrointestinal perforation or fistula formation (rare) (see </w:t>
            </w:r>
            <w:r w:rsidRPr="00DB36B4">
              <w:rPr>
                <w:rFonts w:cs="Arial"/>
                <w:i/>
              </w:rPr>
              <w:t>PRECAUTIONS</w:t>
            </w:r>
            <w:r w:rsidRPr="00DB36B4">
              <w:rPr>
                <w:rFonts w:cs="Arial"/>
              </w:rPr>
              <w:t>)</w:t>
            </w:r>
          </w:p>
        </w:tc>
      </w:tr>
    </w:tbl>
    <w:p w:rsidR="001D7B81" w:rsidRDefault="007E367F" w:rsidP="00395FA3">
      <w:pPr>
        <w:pStyle w:val="TextTi10"/>
      </w:pPr>
      <w:r>
        <w:t>^</w:t>
      </w:r>
      <w:r w:rsidR="00D541ED" w:rsidRPr="00255B60">
        <w:t xml:space="preserve"> if specified, the frequency has been derived from clinical trial data</w:t>
      </w:r>
    </w:p>
    <w:p w:rsidR="00816A1F" w:rsidRDefault="00816A1F" w:rsidP="00816A1F">
      <w:pPr>
        <w:pStyle w:val="TableText10"/>
        <w:rPr>
          <w:rFonts w:ascii="Times New Roman" w:hAnsi="Times New Roman"/>
        </w:rPr>
      </w:pPr>
      <w:r w:rsidRPr="003F2D29">
        <w:rPr>
          <w:rFonts w:ascii="Times New Roman" w:hAnsi="Times New Roman"/>
          <w:vertAlign w:val="superscript"/>
        </w:rPr>
        <w:t>1</w:t>
      </w:r>
      <w:r w:rsidRPr="003F2D29">
        <w:rPr>
          <w:rFonts w:ascii="Times New Roman" w:hAnsi="Times New Roman"/>
        </w:rPr>
        <w:t xml:space="preserve"> </w:t>
      </w:r>
      <w:r>
        <w:rPr>
          <w:rFonts w:ascii="Times New Roman" w:hAnsi="Times New Roman"/>
        </w:rPr>
        <w:t xml:space="preserve">As compared to </w:t>
      </w:r>
      <w:r w:rsidRPr="00B0713C">
        <w:rPr>
          <w:rFonts w:ascii="Times New Roman" w:hAnsi="Times New Roman"/>
        </w:rPr>
        <w:t>an approved treatment in patients treated for wet age-related macular degeneration</w:t>
      </w:r>
    </w:p>
    <w:p w:rsidR="00816A1F" w:rsidRPr="003F2D29" w:rsidRDefault="00816A1F" w:rsidP="00816A1F">
      <w:pPr>
        <w:pStyle w:val="TableText10"/>
        <w:rPr>
          <w:rFonts w:ascii="Times New Roman" w:hAnsi="Times New Roman"/>
        </w:rPr>
      </w:pPr>
      <w:r w:rsidRPr="003F2D29">
        <w:rPr>
          <w:rFonts w:ascii="Times New Roman" w:hAnsi="Times New Roman"/>
          <w:vertAlign w:val="superscript"/>
        </w:rPr>
        <w:t>2</w:t>
      </w:r>
      <w:r>
        <w:rPr>
          <w:rFonts w:ascii="Times New Roman" w:hAnsi="Times New Roman"/>
          <w:vertAlign w:val="superscript"/>
        </w:rPr>
        <w:t xml:space="preserve"> </w:t>
      </w:r>
      <w:r w:rsidRPr="003F2D29">
        <w:rPr>
          <w:rFonts w:ascii="Times New Roman" w:hAnsi="Times New Roman"/>
        </w:rPr>
        <w:t xml:space="preserve">Gower et al. Adverse Event Rates Following </w:t>
      </w:r>
      <w:proofErr w:type="spellStart"/>
      <w:r w:rsidRPr="003F2D29">
        <w:rPr>
          <w:rFonts w:ascii="Times New Roman" w:hAnsi="Times New Roman"/>
        </w:rPr>
        <w:t>Intravitreal</w:t>
      </w:r>
      <w:proofErr w:type="spellEnd"/>
      <w:r w:rsidRPr="003F2D29">
        <w:rPr>
          <w:rFonts w:ascii="Times New Roman" w:hAnsi="Times New Roman"/>
        </w:rPr>
        <w:t xml:space="preserve"> Injection of </w:t>
      </w:r>
      <w:proofErr w:type="spellStart"/>
      <w:r w:rsidRPr="003F2D29">
        <w:rPr>
          <w:rFonts w:ascii="Times New Roman" w:hAnsi="Times New Roman"/>
        </w:rPr>
        <w:t>Avastin</w:t>
      </w:r>
      <w:proofErr w:type="spellEnd"/>
      <w:r w:rsidRPr="003F2D29">
        <w:rPr>
          <w:rFonts w:ascii="Times New Roman" w:hAnsi="Times New Roman"/>
        </w:rPr>
        <w:t xml:space="preserve"> or </w:t>
      </w:r>
      <w:proofErr w:type="spellStart"/>
      <w:r w:rsidRPr="003F2D29">
        <w:rPr>
          <w:rFonts w:ascii="Times New Roman" w:hAnsi="Times New Roman"/>
        </w:rPr>
        <w:t>Lucentis</w:t>
      </w:r>
      <w:proofErr w:type="spellEnd"/>
      <w:r w:rsidRPr="003F2D29">
        <w:rPr>
          <w:rFonts w:ascii="Times New Roman" w:hAnsi="Times New Roman"/>
        </w:rPr>
        <w:t xml:space="preserve"> for Treating Age-Related Macular Degeneration ARVO 2011, Poster 6644, Data on file</w:t>
      </w:r>
    </w:p>
    <w:p w:rsidR="00816A1F" w:rsidRPr="003F2D29" w:rsidRDefault="00816A1F" w:rsidP="00816A1F">
      <w:pPr>
        <w:pStyle w:val="TableText10"/>
        <w:rPr>
          <w:rFonts w:ascii="Times New Roman" w:hAnsi="Times New Roman"/>
        </w:rPr>
      </w:pPr>
      <w:r>
        <w:rPr>
          <w:rFonts w:ascii="Times New Roman" w:hAnsi="Times New Roman"/>
          <w:vertAlign w:val="superscript"/>
        </w:rPr>
        <w:t>3</w:t>
      </w:r>
      <w:r w:rsidRPr="003F2D29">
        <w:rPr>
          <w:rFonts w:ascii="Times New Roman" w:hAnsi="Times New Roman"/>
        </w:rPr>
        <w:t xml:space="preserve"> Curtis LH, et al. Risks of mortality, myocardial infarction, bleeding, and stroke associated with therapies for age-related macular degeneration. Arch </w:t>
      </w:r>
      <w:proofErr w:type="spellStart"/>
      <w:r w:rsidRPr="003F2D29">
        <w:rPr>
          <w:rFonts w:ascii="Times New Roman" w:hAnsi="Times New Roman"/>
        </w:rPr>
        <w:t>Ophthalmol</w:t>
      </w:r>
      <w:proofErr w:type="spellEnd"/>
      <w:r w:rsidRPr="003F2D29">
        <w:rPr>
          <w:rFonts w:ascii="Times New Roman" w:hAnsi="Times New Roman"/>
        </w:rPr>
        <w:t>. 2010;128(10):1273-1279</w:t>
      </w:r>
    </w:p>
    <w:p w:rsidR="00816A1F" w:rsidRPr="003F2D29" w:rsidRDefault="00816A1F" w:rsidP="00816A1F">
      <w:pPr>
        <w:pStyle w:val="TableText10"/>
        <w:rPr>
          <w:rFonts w:ascii="Times New Roman" w:hAnsi="Times New Roman"/>
        </w:rPr>
      </w:pPr>
      <w:r>
        <w:rPr>
          <w:rFonts w:ascii="Times New Roman" w:hAnsi="Times New Roman"/>
          <w:vertAlign w:val="superscript"/>
        </w:rPr>
        <w:t>4</w:t>
      </w:r>
      <w:r w:rsidRPr="003F2D29">
        <w:rPr>
          <w:rFonts w:ascii="Times New Roman" w:hAnsi="Times New Roman"/>
        </w:rPr>
        <w:t xml:space="preserve"> CATT Research Group, </w:t>
      </w:r>
      <w:proofErr w:type="spellStart"/>
      <w:r w:rsidRPr="003F2D29">
        <w:rPr>
          <w:rFonts w:ascii="Times New Roman" w:hAnsi="Times New Roman"/>
        </w:rPr>
        <w:t>Ranibizumab</w:t>
      </w:r>
      <w:proofErr w:type="spellEnd"/>
      <w:r w:rsidRPr="003F2D29">
        <w:rPr>
          <w:rFonts w:ascii="Times New Roman" w:hAnsi="Times New Roman"/>
        </w:rPr>
        <w:t xml:space="preserve"> and </w:t>
      </w:r>
      <w:proofErr w:type="spellStart"/>
      <w:r w:rsidRPr="003F2D29">
        <w:rPr>
          <w:rFonts w:ascii="Times New Roman" w:hAnsi="Times New Roman"/>
        </w:rPr>
        <w:t>Bevacizumab</w:t>
      </w:r>
      <w:proofErr w:type="spellEnd"/>
      <w:r w:rsidRPr="003F2D29">
        <w:rPr>
          <w:rFonts w:ascii="Times New Roman" w:hAnsi="Times New Roman"/>
        </w:rPr>
        <w:t xml:space="preserve"> for </w:t>
      </w:r>
      <w:proofErr w:type="spellStart"/>
      <w:r w:rsidRPr="003F2D29">
        <w:rPr>
          <w:rFonts w:ascii="Times New Roman" w:hAnsi="Times New Roman"/>
        </w:rPr>
        <w:t>Neovascular</w:t>
      </w:r>
      <w:proofErr w:type="spellEnd"/>
      <w:r w:rsidRPr="003F2D29">
        <w:rPr>
          <w:rFonts w:ascii="Times New Roman" w:hAnsi="Times New Roman"/>
        </w:rPr>
        <w:t xml:space="preserve"> Age-Related Macular Degeneration. 10.1056/NEJMoa1102673 </w:t>
      </w:r>
    </w:p>
    <w:p w:rsidR="00D06D4C" w:rsidRPr="00C710E0" w:rsidRDefault="00816A1F" w:rsidP="00C710E0">
      <w:pPr>
        <w:pStyle w:val="TableText10"/>
        <w:rPr>
          <w:rFonts w:ascii="Times New Roman" w:hAnsi="Times New Roman"/>
        </w:rPr>
      </w:pPr>
      <w:r>
        <w:rPr>
          <w:rFonts w:ascii="Times New Roman" w:hAnsi="Times New Roman"/>
          <w:vertAlign w:val="superscript"/>
        </w:rPr>
        <w:t>5</w:t>
      </w:r>
      <w:r w:rsidRPr="00CC5B71">
        <w:rPr>
          <w:rFonts w:ascii="Times New Roman" w:hAnsi="Times New Roman"/>
        </w:rPr>
        <w:t xml:space="preserve"> O</w:t>
      </w:r>
      <w:r w:rsidRPr="00667895">
        <w:rPr>
          <w:rFonts w:ascii="Times New Roman" w:hAnsi="Times New Roman"/>
        </w:rPr>
        <w:t xml:space="preserve">ne case reported </w:t>
      </w:r>
      <w:proofErr w:type="spellStart"/>
      <w:r w:rsidRPr="00667895">
        <w:rPr>
          <w:rFonts w:ascii="Times New Roman" w:hAnsi="Times New Roman"/>
        </w:rPr>
        <w:t>extraocular</w:t>
      </w:r>
      <w:proofErr w:type="spellEnd"/>
      <w:r w:rsidRPr="00667895">
        <w:rPr>
          <w:rFonts w:ascii="Times New Roman" w:hAnsi="Times New Roman"/>
        </w:rPr>
        <w:t xml:space="preserve"> extension of infection resulting in </w:t>
      </w:r>
      <w:proofErr w:type="spellStart"/>
      <w:r w:rsidRPr="00667895">
        <w:rPr>
          <w:rFonts w:ascii="Times New Roman" w:hAnsi="Times New Roman"/>
        </w:rPr>
        <w:t>meningoencephalitis</w:t>
      </w:r>
      <w:proofErr w:type="spellEnd"/>
    </w:p>
    <w:p w:rsidR="008A7314" w:rsidRDefault="008A7314">
      <w:pPr>
        <w:pStyle w:val="Heading2"/>
      </w:pPr>
      <w:r>
        <w:t>DOSAGE AND ADMINISTRATION</w:t>
      </w:r>
    </w:p>
    <w:p w:rsidR="00285E10" w:rsidRDefault="00285E10" w:rsidP="00285E10">
      <w:pPr>
        <w:pStyle w:val="Heading3"/>
        <w:spacing w:before="0"/>
        <w:jc w:val="both"/>
        <w:rPr>
          <w:b w:val="0"/>
          <w:lang w:val="en-GB"/>
        </w:rPr>
      </w:pPr>
      <w:r w:rsidRPr="000D41C5">
        <w:rPr>
          <w:b w:val="0"/>
        </w:rPr>
        <w:t>I</w:t>
      </w:r>
      <w:proofErr w:type="spellStart"/>
      <w:r w:rsidRPr="000D41C5">
        <w:rPr>
          <w:b w:val="0"/>
          <w:lang w:val="en-GB"/>
        </w:rPr>
        <w:t>n</w:t>
      </w:r>
      <w:proofErr w:type="spellEnd"/>
      <w:r w:rsidRPr="000D41C5">
        <w:rPr>
          <w:b w:val="0"/>
          <w:lang w:val="en-GB"/>
        </w:rPr>
        <w:t xml:space="preserve"> order to improve traceability of biological medicinal products, the trade name of the</w:t>
      </w:r>
      <w:r>
        <w:rPr>
          <w:b w:val="0"/>
          <w:lang w:val="en-GB"/>
        </w:rPr>
        <w:t xml:space="preserve"> </w:t>
      </w:r>
      <w:r w:rsidRPr="000D41C5">
        <w:rPr>
          <w:b w:val="0"/>
          <w:lang w:val="en-GB"/>
        </w:rPr>
        <w:t xml:space="preserve">administered product should be clearly recorded in the patient </w:t>
      </w:r>
      <w:r>
        <w:rPr>
          <w:b w:val="0"/>
          <w:lang w:val="en-GB"/>
        </w:rPr>
        <w:t>dispensing</w:t>
      </w:r>
      <w:r w:rsidRPr="000D41C5">
        <w:rPr>
          <w:b w:val="0"/>
          <w:lang w:val="en-GB"/>
        </w:rPr>
        <w:t xml:space="preserve"> record.</w:t>
      </w:r>
    </w:p>
    <w:p w:rsidR="00285E10" w:rsidRDefault="00285E10" w:rsidP="00285E10">
      <w:pPr>
        <w:spacing w:before="120"/>
        <w:jc w:val="both"/>
        <w:rPr>
          <w:sz w:val="24"/>
          <w:szCs w:val="24"/>
          <w:lang w:val="en-GB"/>
        </w:rPr>
      </w:pPr>
      <w:r w:rsidRPr="00484545">
        <w:rPr>
          <w:sz w:val="24"/>
          <w:szCs w:val="24"/>
          <w:lang w:val="en-GB"/>
        </w:rPr>
        <w:t>Substitution by any other biological medicinal product requires the consent of the prescribing physician.</w:t>
      </w:r>
    </w:p>
    <w:p w:rsidR="00C710E0" w:rsidRPr="00285E10" w:rsidRDefault="00C710E0" w:rsidP="00285E10">
      <w:pPr>
        <w:spacing w:before="120"/>
        <w:jc w:val="both"/>
        <w:rPr>
          <w:sz w:val="24"/>
          <w:szCs w:val="24"/>
          <w:lang w:val="en-GB"/>
        </w:rPr>
      </w:pPr>
      <w:r w:rsidRPr="00285E10">
        <w:rPr>
          <w:sz w:val="24"/>
          <w:szCs w:val="24"/>
          <w:lang w:val="en-GB"/>
        </w:rPr>
        <w:t xml:space="preserve">AVASTIN </w:t>
      </w:r>
      <w:r w:rsidR="005D4040">
        <w:rPr>
          <w:sz w:val="24"/>
          <w:szCs w:val="24"/>
          <w:lang w:val="en-GB"/>
        </w:rPr>
        <w:t>should</w:t>
      </w:r>
      <w:r w:rsidRPr="00285E10">
        <w:rPr>
          <w:sz w:val="24"/>
          <w:szCs w:val="24"/>
          <w:lang w:val="en-GB"/>
        </w:rPr>
        <w:t xml:space="preserve"> be administered under the supervision of a physician experienced in the use of antineoplastic medicinal products.</w:t>
      </w:r>
    </w:p>
    <w:p w:rsidR="00E81770" w:rsidRDefault="00E81770" w:rsidP="00E81770">
      <w:pPr>
        <w:pStyle w:val="Heading3"/>
        <w:rPr>
          <w:lang w:val="en-GB"/>
        </w:rPr>
      </w:pPr>
      <w:r>
        <w:rPr>
          <w:lang w:val="en-GB"/>
        </w:rPr>
        <w:t>Recommended Dose</w:t>
      </w:r>
    </w:p>
    <w:p w:rsidR="004E5CB3" w:rsidRPr="006B25DE" w:rsidRDefault="004E5CB3" w:rsidP="00BD3577">
      <w:pPr>
        <w:spacing w:before="120" w:after="0" w:line="280" w:lineRule="exact"/>
        <w:rPr>
          <w:b/>
          <w:i/>
          <w:sz w:val="24"/>
          <w:szCs w:val="24"/>
          <w:lang w:val="en-GB"/>
        </w:rPr>
      </w:pPr>
      <w:r w:rsidRPr="006B25DE">
        <w:rPr>
          <w:b/>
          <w:i/>
          <w:sz w:val="24"/>
          <w:szCs w:val="24"/>
          <w:lang w:val="en-GB"/>
        </w:rPr>
        <w:t xml:space="preserve">Metastatic </w:t>
      </w:r>
      <w:r w:rsidR="006B25DE" w:rsidRPr="006B25DE">
        <w:rPr>
          <w:b/>
          <w:i/>
          <w:sz w:val="24"/>
          <w:szCs w:val="24"/>
          <w:lang w:val="en-GB"/>
        </w:rPr>
        <w:t>C</w:t>
      </w:r>
      <w:r w:rsidRPr="006B25DE">
        <w:rPr>
          <w:b/>
          <w:i/>
          <w:sz w:val="24"/>
          <w:szCs w:val="24"/>
          <w:lang w:val="en-GB"/>
        </w:rPr>
        <w:t xml:space="preserve">olorectal </w:t>
      </w:r>
      <w:r w:rsidR="006B25DE" w:rsidRPr="006B25DE">
        <w:rPr>
          <w:b/>
          <w:i/>
          <w:sz w:val="24"/>
          <w:szCs w:val="24"/>
          <w:lang w:val="en-GB"/>
        </w:rPr>
        <w:t>C</w:t>
      </w:r>
      <w:r w:rsidRPr="006B25DE">
        <w:rPr>
          <w:b/>
          <w:i/>
          <w:sz w:val="24"/>
          <w:szCs w:val="24"/>
          <w:lang w:val="en-GB"/>
        </w:rPr>
        <w:t>ancer</w:t>
      </w:r>
      <w:r w:rsidR="00816D18">
        <w:rPr>
          <w:b/>
          <w:i/>
          <w:sz w:val="24"/>
          <w:szCs w:val="24"/>
          <w:lang w:val="en-GB"/>
        </w:rPr>
        <w:t xml:space="preserve"> </w:t>
      </w:r>
    </w:p>
    <w:p w:rsidR="004C30AF" w:rsidRDefault="004C30AF" w:rsidP="00BD3577">
      <w:pPr>
        <w:spacing w:after="170" w:line="280" w:lineRule="exact"/>
        <w:rPr>
          <w:sz w:val="24"/>
          <w:szCs w:val="24"/>
          <w:u w:val="single"/>
        </w:rPr>
      </w:pPr>
      <w:r w:rsidRPr="00255B60">
        <w:rPr>
          <w:sz w:val="24"/>
          <w:szCs w:val="24"/>
          <w:lang w:val="en-GB"/>
        </w:rPr>
        <w:t>The recommended dose of A</w:t>
      </w:r>
      <w:r w:rsidR="00E80C02" w:rsidRPr="00255B60">
        <w:rPr>
          <w:sz w:val="24"/>
          <w:szCs w:val="24"/>
          <w:lang w:val="en-GB"/>
        </w:rPr>
        <w:t>VASTIN</w:t>
      </w:r>
      <w:r w:rsidRPr="00255B60">
        <w:rPr>
          <w:sz w:val="24"/>
          <w:szCs w:val="24"/>
          <w:lang w:val="en-GB"/>
        </w:rPr>
        <w:t xml:space="preserve">, </w:t>
      </w:r>
      <w:r w:rsidRPr="00255B60">
        <w:rPr>
          <w:sz w:val="24"/>
          <w:szCs w:val="24"/>
        </w:rPr>
        <w:t xml:space="preserve">administered </w:t>
      </w:r>
      <w:r w:rsidRPr="00255B60">
        <w:rPr>
          <w:sz w:val="24"/>
          <w:szCs w:val="24"/>
          <w:lang w:val="en-GB"/>
        </w:rPr>
        <w:t xml:space="preserve">as an </w:t>
      </w:r>
      <w:r w:rsidR="00492314">
        <w:rPr>
          <w:sz w:val="24"/>
          <w:szCs w:val="24"/>
          <w:lang w:val="en-GB"/>
        </w:rPr>
        <w:t>IV</w:t>
      </w:r>
      <w:r w:rsidR="00492314" w:rsidRPr="00255B60">
        <w:rPr>
          <w:sz w:val="24"/>
          <w:szCs w:val="24"/>
          <w:lang w:val="en-GB"/>
        </w:rPr>
        <w:t xml:space="preserve"> </w:t>
      </w:r>
      <w:r w:rsidRPr="00255B60">
        <w:rPr>
          <w:sz w:val="24"/>
          <w:szCs w:val="24"/>
          <w:lang w:val="en-GB"/>
        </w:rPr>
        <w:t xml:space="preserve">infusion, </w:t>
      </w:r>
      <w:r w:rsidRPr="00255B60">
        <w:rPr>
          <w:sz w:val="24"/>
          <w:szCs w:val="24"/>
        </w:rPr>
        <w:t xml:space="preserve">is </w:t>
      </w:r>
      <w:r w:rsidR="00762289">
        <w:rPr>
          <w:sz w:val="24"/>
          <w:szCs w:val="24"/>
        </w:rPr>
        <w:t>as follows;</w:t>
      </w:r>
    </w:p>
    <w:p w:rsidR="00762289" w:rsidRPr="00D75C7A" w:rsidRDefault="00762289" w:rsidP="00BD3577">
      <w:pPr>
        <w:pStyle w:val="TextTi12"/>
        <w:spacing w:line="280" w:lineRule="exact"/>
        <w:jc w:val="left"/>
        <w:rPr>
          <w:szCs w:val="24"/>
          <w:lang w:val="en-GB"/>
        </w:rPr>
      </w:pPr>
      <w:r w:rsidRPr="00D75C7A">
        <w:rPr>
          <w:szCs w:val="24"/>
          <w:lang w:val="en-GB"/>
        </w:rPr>
        <w:t>First-line treatment:</w:t>
      </w:r>
      <w:r w:rsidRPr="00D75C7A">
        <w:rPr>
          <w:szCs w:val="24"/>
          <w:lang w:val="en-GB"/>
        </w:rPr>
        <w:tab/>
      </w:r>
      <w:r w:rsidRPr="00D75C7A">
        <w:rPr>
          <w:szCs w:val="24"/>
          <w:lang w:val="en-GB"/>
        </w:rPr>
        <w:tab/>
        <w:t xml:space="preserve">5 mg/kg of body weight given once every 2 weeks or </w:t>
      </w:r>
      <w:r w:rsidRPr="00D75C7A">
        <w:rPr>
          <w:szCs w:val="24"/>
          <w:lang w:val="en-GB"/>
        </w:rPr>
        <w:br/>
      </w:r>
      <w:r w:rsidRPr="00D75C7A">
        <w:rPr>
          <w:szCs w:val="24"/>
          <w:lang w:val="en-GB"/>
        </w:rPr>
        <w:tab/>
      </w:r>
      <w:r w:rsidRPr="00D75C7A">
        <w:rPr>
          <w:szCs w:val="24"/>
          <w:lang w:val="en-GB"/>
        </w:rPr>
        <w:tab/>
      </w:r>
      <w:r w:rsidRPr="00D75C7A">
        <w:rPr>
          <w:szCs w:val="24"/>
          <w:lang w:val="en-GB"/>
        </w:rPr>
        <w:tab/>
      </w:r>
      <w:r w:rsidRPr="00D75C7A">
        <w:rPr>
          <w:szCs w:val="24"/>
          <w:lang w:val="en-GB"/>
        </w:rPr>
        <w:tab/>
      </w:r>
      <w:r w:rsidR="00DF77FA">
        <w:rPr>
          <w:szCs w:val="24"/>
          <w:lang w:val="en-GB"/>
        </w:rPr>
        <w:tab/>
      </w:r>
      <w:r w:rsidRPr="00D75C7A">
        <w:rPr>
          <w:szCs w:val="24"/>
          <w:lang w:val="en-GB"/>
        </w:rPr>
        <w:t>7.5 mg/kg of body weight</w:t>
      </w:r>
      <w:r>
        <w:rPr>
          <w:szCs w:val="24"/>
          <w:lang w:val="en-GB"/>
        </w:rPr>
        <w:t xml:space="preserve"> </w:t>
      </w:r>
      <w:r w:rsidRPr="00D75C7A">
        <w:rPr>
          <w:szCs w:val="24"/>
          <w:lang w:val="en-GB"/>
        </w:rPr>
        <w:t xml:space="preserve">given once every 3 weeks </w:t>
      </w:r>
    </w:p>
    <w:p w:rsidR="00762289" w:rsidRPr="00762289" w:rsidRDefault="00762289" w:rsidP="00BD3577">
      <w:pPr>
        <w:pStyle w:val="TextTi12"/>
        <w:spacing w:line="280" w:lineRule="exact"/>
        <w:ind w:left="2694" w:hanging="2694"/>
        <w:jc w:val="left"/>
        <w:rPr>
          <w:u w:val="single"/>
        </w:rPr>
      </w:pPr>
      <w:r w:rsidRPr="00D75C7A">
        <w:t>Second-line treatment:</w:t>
      </w:r>
      <w:r w:rsidRPr="00D75C7A">
        <w:tab/>
        <w:t xml:space="preserve">10 mg/kg of body weight given every 2 weeks or </w:t>
      </w:r>
      <w:r w:rsidRPr="00D75C7A">
        <w:br/>
        <w:t>15 mg/kg of body weight given once every 3 weeks.</w:t>
      </w:r>
    </w:p>
    <w:p w:rsidR="00D46105" w:rsidRDefault="00D46105" w:rsidP="00BD3577">
      <w:pPr>
        <w:pStyle w:val="TextTi12"/>
        <w:spacing w:line="280" w:lineRule="exact"/>
        <w:rPr>
          <w:szCs w:val="24"/>
          <w:lang w:val="en-GB"/>
        </w:rPr>
      </w:pPr>
      <w:r w:rsidRPr="00255B60">
        <w:rPr>
          <w:szCs w:val="24"/>
        </w:rPr>
        <w:t>It i</w:t>
      </w:r>
      <w:r w:rsidRPr="009D336C">
        <w:rPr>
          <w:szCs w:val="24"/>
        </w:rPr>
        <w:t xml:space="preserve">s recommended that AVASTIN treatment be continued </w:t>
      </w:r>
      <w:r w:rsidRPr="009D336C">
        <w:rPr>
          <w:szCs w:val="24"/>
          <w:lang w:val="en-GB"/>
        </w:rPr>
        <w:t>until progression of the underlying disease.</w:t>
      </w:r>
    </w:p>
    <w:p w:rsidR="00221C5B" w:rsidRPr="00D4575A" w:rsidRDefault="00221C5B" w:rsidP="00BD3577">
      <w:pPr>
        <w:spacing w:before="120" w:after="0" w:line="280" w:lineRule="exact"/>
        <w:rPr>
          <w:b/>
          <w:i/>
          <w:color w:val="000000"/>
          <w:sz w:val="24"/>
          <w:szCs w:val="24"/>
          <w:lang w:val="en-GB"/>
        </w:rPr>
      </w:pPr>
      <w:r w:rsidRPr="00D4575A">
        <w:rPr>
          <w:b/>
          <w:i/>
          <w:color w:val="000000"/>
          <w:sz w:val="24"/>
          <w:szCs w:val="24"/>
        </w:rPr>
        <w:t>Locally recurrent or metastatic Breast Cancer</w:t>
      </w:r>
    </w:p>
    <w:p w:rsidR="00221C5B" w:rsidRDefault="00221C5B" w:rsidP="00BD3577">
      <w:pPr>
        <w:pStyle w:val="TextTi12"/>
        <w:spacing w:line="280" w:lineRule="exact"/>
      </w:pPr>
      <w:bookmarkStart w:id="20" w:name="OLE_LINK2"/>
      <w:r w:rsidRPr="00DC426B">
        <w:t xml:space="preserve">The recommended dose of </w:t>
      </w:r>
      <w:r>
        <w:t>AVASTIN</w:t>
      </w:r>
      <w:r w:rsidRPr="00DC426B">
        <w:t xml:space="preserve"> is </w:t>
      </w:r>
      <w:r>
        <w:t>10</w:t>
      </w:r>
      <w:r w:rsidRPr="00DC426B">
        <w:t> mg/kg</w:t>
      </w:r>
      <w:r>
        <w:t xml:space="preserve"> of body weight given once </w:t>
      </w:r>
      <w:r w:rsidRPr="00FE4A60">
        <w:rPr>
          <w:u w:val="single"/>
        </w:rPr>
        <w:t>every 2 weeks</w:t>
      </w:r>
      <w:r>
        <w:t xml:space="preserve"> or 15 mg/kg of body weight given once </w:t>
      </w:r>
      <w:r w:rsidRPr="00FE4A60">
        <w:rPr>
          <w:u w:val="single"/>
        </w:rPr>
        <w:t>every 3 weeks</w:t>
      </w:r>
      <w:r>
        <w:t xml:space="preserve"> </w:t>
      </w:r>
      <w:r w:rsidRPr="00DC426B">
        <w:t xml:space="preserve">as an </w:t>
      </w:r>
      <w:r w:rsidR="00492314">
        <w:t xml:space="preserve">IV </w:t>
      </w:r>
      <w:r>
        <w:t>infusion.</w:t>
      </w:r>
    </w:p>
    <w:p w:rsidR="00221C5B" w:rsidRDefault="00221C5B" w:rsidP="00BD3577">
      <w:pPr>
        <w:pStyle w:val="TextTi12"/>
        <w:spacing w:line="280" w:lineRule="exact"/>
        <w:rPr>
          <w:lang w:val="en-GB"/>
        </w:rPr>
      </w:pPr>
      <w:r>
        <w:t xml:space="preserve">It is recommended that AVASTIN treatment be continued </w:t>
      </w:r>
      <w:r>
        <w:rPr>
          <w:lang w:val="en-GB"/>
        </w:rPr>
        <w:t>until progression of the underlying disease.</w:t>
      </w:r>
    </w:p>
    <w:p w:rsidR="00C05BF9" w:rsidRDefault="00C05BF9" w:rsidP="00BD3577">
      <w:pPr>
        <w:pStyle w:val="TextTi12"/>
        <w:spacing w:before="120" w:after="0" w:line="280" w:lineRule="exact"/>
        <w:jc w:val="left"/>
        <w:rPr>
          <w:b/>
          <w:i/>
        </w:rPr>
      </w:pPr>
      <w:bookmarkStart w:id="21" w:name="OLE_LINK20"/>
      <w:bookmarkStart w:id="22" w:name="OLE_LINK21"/>
      <w:r>
        <w:rPr>
          <w:b/>
          <w:i/>
          <w:lang w:val="en-GB"/>
        </w:rPr>
        <w:t>A</w:t>
      </w:r>
      <w:proofErr w:type="spellStart"/>
      <w:r>
        <w:rPr>
          <w:b/>
          <w:i/>
        </w:rPr>
        <w:t>dvanced</w:t>
      </w:r>
      <w:proofErr w:type="spellEnd"/>
      <w:r>
        <w:rPr>
          <w:b/>
          <w:i/>
        </w:rPr>
        <w:t>, m</w:t>
      </w:r>
      <w:r w:rsidRPr="00A56F1B">
        <w:rPr>
          <w:b/>
          <w:i/>
        </w:rPr>
        <w:t>etastatic</w:t>
      </w:r>
      <w:r>
        <w:rPr>
          <w:b/>
          <w:i/>
        </w:rPr>
        <w:t xml:space="preserve"> or recurrent </w:t>
      </w:r>
      <w:r w:rsidR="002A198F">
        <w:rPr>
          <w:b/>
          <w:i/>
        </w:rPr>
        <w:t xml:space="preserve">non-squamous </w:t>
      </w:r>
      <w:r>
        <w:rPr>
          <w:b/>
          <w:i/>
        </w:rPr>
        <w:t>Non-Small Cell Lung Cancer</w:t>
      </w:r>
    </w:p>
    <w:p w:rsidR="00C05BF9" w:rsidRDefault="00C05BF9" w:rsidP="00BD3577">
      <w:pPr>
        <w:pStyle w:val="TextTi12"/>
        <w:spacing w:line="280" w:lineRule="exact"/>
      </w:pPr>
      <w:r>
        <w:t xml:space="preserve">The recommended dose of AVASTIN </w:t>
      </w:r>
      <w:r w:rsidR="00DA21AD">
        <w:t>in combination with</w:t>
      </w:r>
      <w:r>
        <w:t xml:space="preserve"> carboplatin</w:t>
      </w:r>
      <w:r w:rsidR="002A198F">
        <w:t xml:space="preserve"> and paclitaxel</w:t>
      </w:r>
      <w:r>
        <w:t xml:space="preserve"> is 15 mg/kg of body weight given once every 3 weeks as an </w:t>
      </w:r>
      <w:r w:rsidR="00492314">
        <w:t xml:space="preserve">IV </w:t>
      </w:r>
      <w:r>
        <w:t>infusion.</w:t>
      </w:r>
    </w:p>
    <w:p w:rsidR="003C1D49" w:rsidRDefault="00C05BF9" w:rsidP="00BD3577">
      <w:pPr>
        <w:pStyle w:val="TextTi12"/>
        <w:spacing w:line="280" w:lineRule="exact"/>
      </w:pPr>
      <w:r>
        <w:t>AVASTIN is administered in addition to carboplatin</w:t>
      </w:r>
      <w:r w:rsidR="002A198F">
        <w:t xml:space="preserve"> and paclitaxel</w:t>
      </w:r>
      <w:r>
        <w:t xml:space="preserve"> for up to 6 cycles of treatment followed by AVASTIN as a single agent until disease progression.</w:t>
      </w:r>
    </w:p>
    <w:bookmarkEnd w:id="20"/>
    <w:bookmarkEnd w:id="21"/>
    <w:bookmarkEnd w:id="22"/>
    <w:p w:rsidR="004C30AF" w:rsidRPr="002C7BB0" w:rsidRDefault="004C30AF" w:rsidP="00BD3577">
      <w:pPr>
        <w:pStyle w:val="TextTi12"/>
        <w:spacing w:before="120" w:after="0" w:line="280" w:lineRule="exact"/>
        <w:jc w:val="left"/>
        <w:rPr>
          <w:b/>
          <w:i/>
          <w:szCs w:val="24"/>
          <w:lang w:val="en-GB"/>
        </w:rPr>
      </w:pPr>
      <w:r w:rsidRPr="002C7BB0">
        <w:rPr>
          <w:b/>
          <w:i/>
          <w:szCs w:val="24"/>
          <w:lang w:val="en-GB"/>
        </w:rPr>
        <w:lastRenderedPageBreak/>
        <w:t>Advanced and/or me</w:t>
      </w:r>
      <w:r w:rsidR="00F72865">
        <w:rPr>
          <w:b/>
          <w:i/>
          <w:szCs w:val="24"/>
          <w:lang w:val="en-GB"/>
        </w:rPr>
        <w:t>tasta</w:t>
      </w:r>
      <w:r w:rsidR="002E31F0">
        <w:rPr>
          <w:b/>
          <w:i/>
          <w:szCs w:val="24"/>
          <w:lang w:val="en-GB"/>
        </w:rPr>
        <w:t>t</w:t>
      </w:r>
      <w:r w:rsidR="00F72865">
        <w:rPr>
          <w:b/>
          <w:i/>
          <w:szCs w:val="24"/>
          <w:lang w:val="en-GB"/>
        </w:rPr>
        <w:t>ic Renal Cell Cancer</w:t>
      </w:r>
    </w:p>
    <w:p w:rsidR="004C30AF" w:rsidRPr="0044329D" w:rsidRDefault="004C30AF" w:rsidP="00BD3577">
      <w:pPr>
        <w:spacing w:after="170" w:line="280" w:lineRule="exact"/>
        <w:jc w:val="both"/>
        <w:rPr>
          <w:sz w:val="24"/>
          <w:szCs w:val="24"/>
        </w:rPr>
      </w:pPr>
      <w:r w:rsidRPr="0044329D">
        <w:rPr>
          <w:sz w:val="24"/>
          <w:szCs w:val="24"/>
        </w:rPr>
        <w:t xml:space="preserve">The recommended dose of AVASTIN is 10 mg/kg given once every 2 weeks as an </w:t>
      </w:r>
      <w:r w:rsidR="00492314">
        <w:rPr>
          <w:sz w:val="24"/>
          <w:szCs w:val="24"/>
        </w:rPr>
        <w:t>IV</w:t>
      </w:r>
      <w:r w:rsidR="00492314" w:rsidRPr="0044329D">
        <w:rPr>
          <w:sz w:val="24"/>
          <w:szCs w:val="24"/>
        </w:rPr>
        <w:t xml:space="preserve"> </w:t>
      </w:r>
      <w:r w:rsidRPr="0044329D">
        <w:rPr>
          <w:sz w:val="24"/>
          <w:szCs w:val="24"/>
        </w:rPr>
        <w:t>infusion.</w:t>
      </w:r>
    </w:p>
    <w:p w:rsidR="00221C5B" w:rsidRPr="0044329D" w:rsidRDefault="004C30AF" w:rsidP="00BD3577">
      <w:pPr>
        <w:spacing w:after="170" w:line="280" w:lineRule="exact"/>
        <w:jc w:val="both"/>
        <w:rPr>
          <w:sz w:val="24"/>
          <w:szCs w:val="24"/>
        </w:rPr>
      </w:pPr>
      <w:r w:rsidRPr="0044329D">
        <w:rPr>
          <w:sz w:val="24"/>
          <w:szCs w:val="24"/>
        </w:rPr>
        <w:t>It is recommended that AVASTIN treatment be continued until progression of the underlying disease.</w:t>
      </w:r>
    </w:p>
    <w:p w:rsidR="006806AF" w:rsidRDefault="00E80C02" w:rsidP="00BD3577">
      <w:pPr>
        <w:spacing w:after="170" w:line="280" w:lineRule="exact"/>
        <w:jc w:val="both"/>
        <w:rPr>
          <w:sz w:val="24"/>
          <w:szCs w:val="24"/>
        </w:rPr>
      </w:pPr>
      <w:r w:rsidRPr="006806AF">
        <w:rPr>
          <w:sz w:val="24"/>
          <w:szCs w:val="24"/>
        </w:rPr>
        <w:t>AVASTIN should be given in combination with IFN</w:t>
      </w:r>
      <w:r w:rsidR="0018322D">
        <w:rPr>
          <w:sz w:val="24"/>
          <w:szCs w:val="24"/>
        </w:rPr>
        <w:t xml:space="preserve"> </w:t>
      </w:r>
      <w:r w:rsidRPr="006806AF">
        <w:rPr>
          <w:sz w:val="24"/>
          <w:szCs w:val="24"/>
        </w:rPr>
        <w:t>alfa-2a (</w:t>
      </w:r>
      <w:r w:rsidR="009E0D83" w:rsidRPr="006806AF">
        <w:rPr>
          <w:sz w:val="24"/>
          <w:szCs w:val="24"/>
        </w:rPr>
        <w:t>ROFERON-A</w:t>
      </w:r>
      <w:r w:rsidRPr="006806AF">
        <w:rPr>
          <w:vertAlign w:val="superscript"/>
        </w:rPr>
        <w:t>®</w:t>
      </w:r>
      <w:r w:rsidRPr="006806AF">
        <w:rPr>
          <w:sz w:val="24"/>
          <w:szCs w:val="24"/>
        </w:rPr>
        <w:t>)</w:t>
      </w:r>
      <w:r w:rsidR="006806AF">
        <w:rPr>
          <w:sz w:val="24"/>
          <w:szCs w:val="24"/>
        </w:rPr>
        <w:t>.</w:t>
      </w:r>
      <w:r w:rsidRPr="006806AF">
        <w:rPr>
          <w:sz w:val="24"/>
          <w:szCs w:val="24"/>
        </w:rPr>
        <w:t xml:space="preserve"> </w:t>
      </w:r>
      <w:r w:rsidR="0040476B">
        <w:rPr>
          <w:sz w:val="24"/>
          <w:szCs w:val="24"/>
        </w:rPr>
        <w:t xml:space="preserve"> </w:t>
      </w:r>
      <w:r w:rsidR="006806AF">
        <w:rPr>
          <w:sz w:val="24"/>
          <w:szCs w:val="24"/>
        </w:rPr>
        <w:t xml:space="preserve">The </w:t>
      </w:r>
      <w:r w:rsidRPr="006806AF">
        <w:rPr>
          <w:sz w:val="24"/>
          <w:szCs w:val="24"/>
        </w:rPr>
        <w:t>recommended</w:t>
      </w:r>
      <w:r w:rsidR="00FE4A60">
        <w:rPr>
          <w:sz w:val="24"/>
          <w:szCs w:val="24"/>
        </w:rPr>
        <w:t xml:space="preserve"> IFN</w:t>
      </w:r>
      <w:r w:rsidR="0018322D">
        <w:rPr>
          <w:sz w:val="24"/>
          <w:szCs w:val="24"/>
        </w:rPr>
        <w:t xml:space="preserve"> </w:t>
      </w:r>
      <w:r w:rsidR="00FE4A60" w:rsidRPr="006806AF">
        <w:rPr>
          <w:sz w:val="24"/>
          <w:szCs w:val="24"/>
        </w:rPr>
        <w:t>alfa-2a</w:t>
      </w:r>
      <w:r w:rsidR="006806AF">
        <w:rPr>
          <w:sz w:val="24"/>
          <w:szCs w:val="24"/>
        </w:rPr>
        <w:t xml:space="preserve"> </w:t>
      </w:r>
      <w:r w:rsidRPr="006806AF">
        <w:rPr>
          <w:sz w:val="24"/>
          <w:szCs w:val="24"/>
        </w:rPr>
        <w:t xml:space="preserve">dose </w:t>
      </w:r>
      <w:r w:rsidR="006806AF" w:rsidRPr="006806AF">
        <w:rPr>
          <w:sz w:val="24"/>
          <w:szCs w:val="24"/>
        </w:rPr>
        <w:t xml:space="preserve">is </w:t>
      </w:r>
      <w:r w:rsidRPr="006806AF">
        <w:rPr>
          <w:sz w:val="24"/>
          <w:szCs w:val="24"/>
        </w:rPr>
        <w:t>9 MIU</w:t>
      </w:r>
      <w:r w:rsidR="006806AF" w:rsidRPr="006806AF">
        <w:rPr>
          <w:sz w:val="24"/>
          <w:szCs w:val="24"/>
        </w:rPr>
        <w:t xml:space="preserve"> three times </w:t>
      </w:r>
      <w:r w:rsidR="008B2603">
        <w:rPr>
          <w:sz w:val="24"/>
          <w:szCs w:val="24"/>
        </w:rPr>
        <w:t>a week,</w:t>
      </w:r>
      <w:r w:rsidR="00BF4E80">
        <w:rPr>
          <w:sz w:val="24"/>
          <w:szCs w:val="24"/>
        </w:rPr>
        <w:t xml:space="preserve"> </w:t>
      </w:r>
      <w:r w:rsidR="00BF4E80" w:rsidRPr="00E947B6">
        <w:rPr>
          <w:sz w:val="24"/>
          <w:szCs w:val="24"/>
        </w:rPr>
        <w:t>however</w:t>
      </w:r>
      <w:r w:rsidR="008B2603" w:rsidRPr="00E947B6">
        <w:rPr>
          <w:sz w:val="24"/>
          <w:szCs w:val="24"/>
        </w:rPr>
        <w:t>,</w:t>
      </w:r>
      <w:r w:rsidR="006806AF" w:rsidRPr="00E947B6">
        <w:rPr>
          <w:sz w:val="24"/>
          <w:szCs w:val="24"/>
        </w:rPr>
        <w:t xml:space="preserve"> </w:t>
      </w:r>
      <w:r w:rsidR="00F974EF" w:rsidRPr="00E947B6">
        <w:rPr>
          <w:sz w:val="24"/>
          <w:szCs w:val="24"/>
        </w:rPr>
        <w:t>i</w:t>
      </w:r>
      <w:r w:rsidR="006806AF" w:rsidRPr="00E947B6">
        <w:rPr>
          <w:sz w:val="24"/>
          <w:szCs w:val="24"/>
        </w:rPr>
        <w:t>f</w:t>
      </w:r>
      <w:r w:rsidR="008B2603" w:rsidRPr="00E947B6">
        <w:rPr>
          <w:sz w:val="24"/>
          <w:szCs w:val="24"/>
        </w:rPr>
        <w:t xml:space="preserve"> </w:t>
      </w:r>
      <w:r w:rsidR="006806AF" w:rsidRPr="00E947B6">
        <w:rPr>
          <w:sz w:val="24"/>
          <w:szCs w:val="24"/>
        </w:rPr>
        <w:t xml:space="preserve">9 MIU is not tolerated, the dosage may be reduced to </w:t>
      </w:r>
      <w:r w:rsidR="00F974EF" w:rsidRPr="00E947B6">
        <w:rPr>
          <w:sz w:val="24"/>
          <w:szCs w:val="24"/>
        </w:rPr>
        <w:t>6</w:t>
      </w:r>
      <w:r w:rsidR="00390C5A" w:rsidRPr="00E947B6">
        <w:rPr>
          <w:sz w:val="24"/>
          <w:szCs w:val="24"/>
        </w:rPr>
        <w:t xml:space="preserve"> </w:t>
      </w:r>
      <w:r w:rsidR="00F974EF" w:rsidRPr="00E947B6">
        <w:rPr>
          <w:sz w:val="24"/>
          <w:szCs w:val="24"/>
        </w:rPr>
        <w:t xml:space="preserve">MIU and further to </w:t>
      </w:r>
      <w:r w:rsidR="006806AF" w:rsidRPr="00E947B6">
        <w:rPr>
          <w:sz w:val="24"/>
          <w:szCs w:val="24"/>
        </w:rPr>
        <w:t xml:space="preserve">3 MIU three times </w:t>
      </w:r>
      <w:r w:rsidR="0079484D" w:rsidRPr="00E947B6">
        <w:rPr>
          <w:sz w:val="24"/>
          <w:szCs w:val="24"/>
        </w:rPr>
        <w:t>a</w:t>
      </w:r>
      <w:r w:rsidR="006806AF" w:rsidRPr="00E947B6">
        <w:rPr>
          <w:sz w:val="24"/>
          <w:szCs w:val="24"/>
        </w:rPr>
        <w:t xml:space="preserve"> week</w:t>
      </w:r>
      <w:r w:rsidR="00607B0A">
        <w:rPr>
          <w:sz w:val="24"/>
          <w:szCs w:val="24"/>
        </w:rPr>
        <w:t xml:space="preserve"> (see </w:t>
      </w:r>
      <w:r w:rsidR="00607B0A" w:rsidRPr="0040476B">
        <w:rPr>
          <w:i/>
          <w:caps/>
          <w:sz w:val="24"/>
          <w:szCs w:val="24"/>
        </w:rPr>
        <w:t>Clinical Trials</w:t>
      </w:r>
      <w:r w:rsidR="00607B0A">
        <w:rPr>
          <w:sz w:val="24"/>
          <w:szCs w:val="24"/>
        </w:rPr>
        <w:t>)</w:t>
      </w:r>
      <w:r w:rsidR="00B27D02">
        <w:rPr>
          <w:i/>
          <w:sz w:val="24"/>
          <w:lang w:val="en-GB"/>
        </w:rPr>
        <w:t>.</w:t>
      </w:r>
      <w:r w:rsidR="00BF4E80" w:rsidRPr="00BF4E80">
        <w:rPr>
          <w:sz w:val="24"/>
          <w:lang w:val="en-GB"/>
        </w:rPr>
        <w:t xml:space="preserve"> </w:t>
      </w:r>
      <w:r w:rsidR="0040476B">
        <w:rPr>
          <w:sz w:val="24"/>
          <w:lang w:val="en-GB"/>
        </w:rPr>
        <w:t xml:space="preserve"> </w:t>
      </w:r>
      <w:r w:rsidR="00B27D02">
        <w:rPr>
          <w:sz w:val="24"/>
          <w:lang w:val="en-GB"/>
        </w:rPr>
        <w:t>P</w:t>
      </w:r>
      <w:r w:rsidR="008B2603">
        <w:rPr>
          <w:sz w:val="24"/>
          <w:lang w:val="en-GB"/>
        </w:rPr>
        <w:t xml:space="preserve">lease also refer to the </w:t>
      </w:r>
      <w:r w:rsidR="00BF4E80">
        <w:rPr>
          <w:sz w:val="24"/>
          <w:lang w:val="en-GB"/>
        </w:rPr>
        <w:t>ROFERON-A</w:t>
      </w:r>
      <w:r w:rsidR="00BF4E80" w:rsidRPr="00BF4E80">
        <w:rPr>
          <w:sz w:val="24"/>
          <w:lang w:val="en-GB"/>
        </w:rPr>
        <w:t xml:space="preserve"> Product Information</w:t>
      </w:r>
      <w:r w:rsidR="006806AF" w:rsidRPr="006806AF">
        <w:rPr>
          <w:sz w:val="24"/>
          <w:szCs w:val="24"/>
        </w:rPr>
        <w:t>.</w:t>
      </w:r>
    </w:p>
    <w:p w:rsidR="004055CF" w:rsidRPr="00D072E9" w:rsidRDefault="004055CF" w:rsidP="00BD3577">
      <w:pPr>
        <w:pStyle w:val="Heading4"/>
        <w:spacing w:line="280" w:lineRule="exact"/>
        <w:ind w:left="0"/>
      </w:pPr>
      <w:r w:rsidRPr="00B310FF">
        <w:t xml:space="preserve">Grade IV </w:t>
      </w:r>
      <w:proofErr w:type="spellStart"/>
      <w:r w:rsidRPr="00B310FF">
        <w:t>Glioma</w:t>
      </w:r>
      <w:proofErr w:type="spellEnd"/>
      <w:r w:rsidRPr="007B52E1">
        <w:rPr>
          <w:shd w:val="clear" w:color="auto" w:fill="E6E6E6"/>
        </w:rPr>
        <w:t xml:space="preserve"> </w:t>
      </w:r>
    </w:p>
    <w:p w:rsidR="004055CF" w:rsidRPr="00200237" w:rsidRDefault="004055CF" w:rsidP="00BD3577">
      <w:pPr>
        <w:pStyle w:val="TextTi12"/>
        <w:spacing w:line="280" w:lineRule="exact"/>
        <w:rPr>
          <w:szCs w:val="24"/>
          <w:lang w:val="en-AU"/>
        </w:rPr>
      </w:pPr>
      <w:r w:rsidRPr="00200237">
        <w:rPr>
          <w:szCs w:val="24"/>
          <w:lang w:val="en-AU"/>
        </w:rPr>
        <w:t xml:space="preserve">The recommended dose of AVASTIN is 10 mg/kg of body weight given </w:t>
      </w:r>
      <w:r w:rsidRPr="00200237">
        <w:rPr>
          <w:szCs w:val="24"/>
          <w:u w:val="single"/>
          <w:lang w:val="en-AU"/>
        </w:rPr>
        <w:t>once every 2 weeks</w:t>
      </w:r>
      <w:r w:rsidRPr="00200237">
        <w:rPr>
          <w:szCs w:val="24"/>
          <w:lang w:val="en-AU"/>
        </w:rPr>
        <w:t xml:space="preserve"> or 15 mg/kg of body weight given </w:t>
      </w:r>
      <w:r w:rsidRPr="00200237">
        <w:rPr>
          <w:szCs w:val="24"/>
          <w:u w:val="single"/>
          <w:lang w:val="en-AU"/>
        </w:rPr>
        <w:t>once every 3 weeks</w:t>
      </w:r>
      <w:r w:rsidRPr="00200237">
        <w:rPr>
          <w:szCs w:val="24"/>
          <w:lang w:val="en-AU"/>
        </w:rPr>
        <w:t xml:space="preserve"> as an </w:t>
      </w:r>
      <w:r w:rsidR="007E367F">
        <w:rPr>
          <w:szCs w:val="24"/>
          <w:lang w:val="en-AU"/>
        </w:rPr>
        <w:t>IV</w:t>
      </w:r>
      <w:r w:rsidR="007E367F" w:rsidRPr="00200237">
        <w:rPr>
          <w:szCs w:val="24"/>
          <w:lang w:val="en-AU"/>
        </w:rPr>
        <w:t xml:space="preserve"> </w:t>
      </w:r>
      <w:r w:rsidRPr="00200237">
        <w:rPr>
          <w:szCs w:val="24"/>
          <w:lang w:val="en-AU"/>
        </w:rPr>
        <w:t>infusion.</w:t>
      </w:r>
    </w:p>
    <w:p w:rsidR="007E367F" w:rsidRPr="00C36A36" w:rsidRDefault="004055CF" w:rsidP="00C36A36">
      <w:pPr>
        <w:spacing w:after="170" w:line="280" w:lineRule="exact"/>
        <w:rPr>
          <w:sz w:val="24"/>
          <w:szCs w:val="24"/>
        </w:rPr>
      </w:pPr>
      <w:r w:rsidRPr="00200237">
        <w:rPr>
          <w:sz w:val="24"/>
          <w:szCs w:val="24"/>
        </w:rPr>
        <w:t>It is recommended that AVASTIN treatment be continued until progression of the underlying disease.</w:t>
      </w:r>
      <w:r w:rsidR="00D06D4C">
        <w:rPr>
          <w:lang w:val="en-US"/>
        </w:rPr>
        <w:br/>
      </w:r>
      <w:r w:rsidR="00D06D4C">
        <w:rPr>
          <w:lang w:val="en-US"/>
        </w:rPr>
        <w:br/>
      </w:r>
      <w:r w:rsidR="007E367F" w:rsidRPr="00C36A36">
        <w:rPr>
          <w:rStyle w:val="Heading4Char"/>
        </w:rPr>
        <w:t>Epithelial Ovarian, Fallopian Tube or Primary Peritoneal Cancer</w:t>
      </w:r>
    </w:p>
    <w:p w:rsidR="007E367F" w:rsidRDefault="007E367F" w:rsidP="00BD3577">
      <w:pPr>
        <w:spacing w:after="170" w:line="280" w:lineRule="exact"/>
        <w:jc w:val="both"/>
        <w:rPr>
          <w:sz w:val="24"/>
          <w:szCs w:val="24"/>
        </w:rPr>
      </w:pPr>
      <w:r w:rsidRPr="000A5E78">
        <w:rPr>
          <w:sz w:val="24"/>
          <w:szCs w:val="24"/>
        </w:rPr>
        <w:t xml:space="preserve">The recommended dose of AVASTIN </w:t>
      </w:r>
      <w:r w:rsidR="00C36A36">
        <w:rPr>
          <w:sz w:val="24"/>
          <w:szCs w:val="24"/>
        </w:rPr>
        <w:t xml:space="preserve">administered </w:t>
      </w:r>
      <w:r w:rsidRPr="000A5E78">
        <w:rPr>
          <w:sz w:val="24"/>
          <w:szCs w:val="24"/>
        </w:rPr>
        <w:t>as an IV infusion</w:t>
      </w:r>
      <w:r w:rsidR="00906DB1">
        <w:rPr>
          <w:sz w:val="24"/>
          <w:szCs w:val="24"/>
        </w:rPr>
        <w:t xml:space="preserve"> </w:t>
      </w:r>
      <w:r w:rsidR="00C36A36">
        <w:rPr>
          <w:sz w:val="24"/>
          <w:szCs w:val="24"/>
        </w:rPr>
        <w:t xml:space="preserve">is </w:t>
      </w:r>
      <w:r w:rsidR="00906DB1">
        <w:rPr>
          <w:sz w:val="24"/>
          <w:szCs w:val="24"/>
        </w:rPr>
        <w:t>as follows:</w:t>
      </w:r>
    </w:p>
    <w:p w:rsidR="00906DB1" w:rsidRPr="00906DB1" w:rsidRDefault="00906DB1" w:rsidP="00906DB1">
      <w:pPr>
        <w:jc w:val="both"/>
        <w:rPr>
          <w:sz w:val="24"/>
          <w:szCs w:val="24"/>
          <w:u w:val="single"/>
        </w:rPr>
      </w:pPr>
      <w:r w:rsidRPr="00FD0334">
        <w:rPr>
          <w:sz w:val="24"/>
          <w:szCs w:val="24"/>
          <w:u w:val="single"/>
        </w:rPr>
        <w:t>First line treatment</w:t>
      </w:r>
    </w:p>
    <w:p w:rsidR="007E367F" w:rsidRDefault="00C36A36" w:rsidP="00BD3577">
      <w:pPr>
        <w:spacing w:after="170" w:line="280" w:lineRule="exact"/>
        <w:jc w:val="both"/>
        <w:rPr>
          <w:sz w:val="24"/>
          <w:szCs w:val="24"/>
        </w:rPr>
      </w:pPr>
      <w:r>
        <w:rPr>
          <w:sz w:val="24"/>
          <w:szCs w:val="24"/>
        </w:rPr>
        <w:t xml:space="preserve">15 mg/kg of body weight given once every 3 weeks </w:t>
      </w:r>
      <w:r w:rsidR="007E367F" w:rsidRPr="000A5E78">
        <w:rPr>
          <w:sz w:val="24"/>
          <w:szCs w:val="24"/>
        </w:rPr>
        <w:t>in combination with carboplatin and paclitaxel for up to 6 cycles of treatment</w:t>
      </w:r>
      <w:r w:rsidR="007E367F">
        <w:rPr>
          <w:sz w:val="24"/>
          <w:szCs w:val="24"/>
        </w:rPr>
        <w:t>,</w:t>
      </w:r>
      <w:r w:rsidR="007E367F" w:rsidRPr="000A5E78">
        <w:rPr>
          <w:sz w:val="24"/>
          <w:szCs w:val="24"/>
        </w:rPr>
        <w:t xml:space="preserve"> followed by </w:t>
      </w:r>
      <w:r w:rsidR="007E367F">
        <w:rPr>
          <w:sz w:val="24"/>
          <w:szCs w:val="24"/>
        </w:rPr>
        <w:t xml:space="preserve">continued use of </w:t>
      </w:r>
      <w:r w:rsidR="007E367F" w:rsidRPr="000A5E78">
        <w:rPr>
          <w:sz w:val="24"/>
          <w:szCs w:val="24"/>
        </w:rPr>
        <w:t xml:space="preserve">AVASTIN </w:t>
      </w:r>
      <w:r w:rsidR="007E367F">
        <w:rPr>
          <w:sz w:val="24"/>
          <w:szCs w:val="24"/>
        </w:rPr>
        <w:t xml:space="preserve">as </w:t>
      </w:r>
      <w:r w:rsidR="007E367F" w:rsidRPr="000A5E78">
        <w:rPr>
          <w:sz w:val="24"/>
          <w:szCs w:val="24"/>
        </w:rPr>
        <w:t>single agent</w:t>
      </w:r>
      <w:r w:rsidR="007E367F">
        <w:rPr>
          <w:sz w:val="24"/>
          <w:szCs w:val="24"/>
        </w:rPr>
        <w:t>.</w:t>
      </w:r>
    </w:p>
    <w:p w:rsidR="004055CF" w:rsidRDefault="007E367F" w:rsidP="00BD3577">
      <w:pPr>
        <w:spacing w:after="170" w:line="280" w:lineRule="exact"/>
        <w:jc w:val="both"/>
        <w:rPr>
          <w:sz w:val="24"/>
          <w:szCs w:val="24"/>
        </w:rPr>
      </w:pPr>
      <w:r>
        <w:rPr>
          <w:sz w:val="24"/>
          <w:szCs w:val="24"/>
        </w:rPr>
        <w:t>It is recommended that AVASTIN treatment be continued for a total of 15 months therapy or until disease progression, whichever occurs earlier.</w:t>
      </w:r>
    </w:p>
    <w:p w:rsidR="00906DB1" w:rsidRDefault="00906DB1" w:rsidP="00906DB1">
      <w:pPr>
        <w:jc w:val="both"/>
        <w:rPr>
          <w:sz w:val="24"/>
          <w:szCs w:val="24"/>
        </w:rPr>
      </w:pPr>
      <w:r>
        <w:rPr>
          <w:sz w:val="24"/>
          <w:szCs w:val="24"/>
          <w:u w:val="single"/>
        </w:rPr>
        <w:t>T</w:t>
      </w:r>
      <w:r w:rsidRPr="00FD0334">
        <w:rPr>
          <w:sz w:val="24"/>
          <w:szCs w:val="24"/>
          <w:u w:val="single"/>
        </w:rPr>
        <w:t>reatment</w:t>
      </w:r>
      <w:r>
        <w:rPr>
          <w:sz w:val="24"/>
          <w:szCs w:val="24"/>
          <w:u w:val="single"/>
        </w:rPr>
        <w:t xml:space="preserve"> of recurrent disease</w:t>
      </w:r>
    </w:p>
    <w:p w:rsidR="00C36A36" w:rsidRPr="00C36A36" w:rsidRDefault="00C36A36" w:rsidP="00C36A36">
      <w:pPr>
        <w:spacing w:after="0"/>
        <w:jc w:val="both"/>
        <w:rPr>
          <w:i/>
          <w:sz w:val="24"/>
          <w:szCs w:val="24"/>
        </w:rPr>
      </w:pPr>
      <w:r w:rsidRPr="00C36A36">
        <w:rPr>
          <w:i/>
          <w:sz w:val="24"/>
          <w:szCs w:val="24"/>
        </w:rPr>
        <w:t>Platinum sensitive</w:t>
      </w:r>
    </w:p>
    <w:p w:rsidR="00906DB1" w:rsidRDefault="00C36A36" w:rsidP="00906DB1">
      <w:pPr>
        <w:jc w:val="both"/>
        <w:rPr>
          <w:sz w:val="24"/>
          <w:szCs w:val="24"/>
        </w:rPr>
      </w:pPr>
      <w:r>
        <w:rPr>
          <w:sz w:val="24"/>
          <w:szCs w:val="24"/>
        </w:rPr>
        <w:t xml:space="preserve">15 mg/kg of body weight given once every 3 weeks </w:t>
      </w:r>
      <w:r w:rsidR="00906DB1" w:rsidRPr="000A5E78">
        <w:rPr>
          <w:sz w:val="24"/>
          <w:szCs w:val="24"/>
        </w:rPr>
        <w:t>in combination with carboplatin</w:t>
      </w:r>
      <w:r w:rsidR="00906DB1">
        <w:rPr>
          <w:sz w:val="24"/>
          <w:szCs w:val="24"/>
        </w:rPr>
        <w:t xml:space="preserve"> </w:t>
      </w:r>
      <w:r w:rsidR="00906DB1" w:rsidRPr="000A5E78">
        <w:rPr>
          <w:sz w:val="24"/>
          <w:szCs w:val="24"/>
        </w:rPr>
        <w:t xml:space="preserve">and </w:t>
      </w:r>
      <w:r w:rsidR="00906DB1">
        <w:rPr>
          <w:sz w:val="24"/>
          <w:szCs w:val="24"/>
        </w:rPr>
        <w:t>gemcitabine</w:t>
      </w:r>
      <w:r w:rsidR="00906DB1" w:rsidRPr="000A5E78">
        <w:rPr>
          <w:sz w:val="24"/>
          <w:szCs w:val="24"/>
        </w:rPr>
        <w:t xml:space="preserve"> for 6 cycles </w:t>
      </w:r>
      <w:r w:rsidR="00906DB1">
        <w:rPr>
          <w:sz w:val="24"/>
          <w:szCs w:val="24"/>
        </w:rPr>
        <w:t>(up to 10 cycles),</w:t>
      </w:r>
      <w:r w:rsidR="00906DB1" w:rsidRPr="000A5E78">
        <w:rPr>
          <w:sz w:val="24"/>
          <w:szCs w:val="24"/>
        </w:rPr>
        <w:t xml:space="preserve"> followed by </w:t>
      </w:r>
      <w:r w:rsidR="00906DB1">
        <w:rPr>
          <w:sz w:val="24"/>
          <w:szCs w:val="24"/>
        </w:rPr>
        <w:t xml:space="preserve">continued use of </w:t>
      </w:r>
      <w:r w:rsidR="00906DB1" w:rsidRPr="000A5E78">
        <w:rPr>
          <w:sz w:val="24"/>
          <w:szCs w:val="24"/>
        </w:rPr>
        <w:t xml:space="preserve">AVASTIN </w:t>
      </w:r>
      <w:r w:rsidR="00906DB1">
        <w:rPr>
          <w:sz w:val="24"/>
          <w:szCs w:val="24"/>
        </w:rPr>
        <w:t xml:space="preserve">as </w:t>
      </w:r>
      <w:r w:rsidR="00906DB1" w:rsidRPr="000A5E78">
        <w:rPr>
          <w:sz w:val="24"/>
          <w:szCs w:val="24"/>
        </w:rPr>
        <w:t>single agent</w:t>
      </w:r>
      <w:r w:rsidR="00906DB1">
        <w:rPr>
          <w:sz w:val="24"/>
          <w:szCs w:val="24"/>
        </w:rPr>
        <w:t xml:space="preserve"> until disease progression.</w:t>
      </w:r>
    </w:p>
    <w:p w:rsidR="00C36A36" w:rsidRPr="00484545" w:rsidRDefault="00C36A36" w:rsidP="00C36A36">
      <w:pPr>
        <w:spacing w:after="0"/>
        <w:jc w:val="both"/>
        <w:rPr>
          <w:i/>
          <w:sz w:val="24"/>
          <w:szCs w:val="24"/>
        </w:rPr>
      </w:pPr>
      <w:r w:rsidRPr="00484545">
        <w:rPr>
          <w:i/>
          <w:sz w:val="24"/>
          <w:szCs w:val="24"/>
        </w:rPr>
        <w:t>Platinum resistant</w:t>
      </w:r>
    </w:p>
    <w:p w:rsidR="00C36A36" w:rsidRDefault="00C36A36" w:rsidP="00C36A36">
      <w:pPr>
        <w:jc w:val="both"/>
        <w:rPr>
          <w:sz w:val="24"/>
          <w:szCs w:val="24"/>
        </w:rPr>
      </w:pPr>
      <w:r w:rsidRPr="00FD4CF0">
        <w:rPr>
          <w:sz w:val="24"/>
          <w:szCs w:val="24"/>
        </w:rPr>
        <w:t>10 mg/</w:t>
      </w:r>
      <w:r w:rsidRPr="00492188">
        <w:rPr>
          <w:sz w:val="24"/>
          <w:szCs w:val="24"/>
        </w:rPr>
        <w:t xml:space="preserve">kg body weight given once </w:t>
      </w:r>
      <w:r w:rsidRPr="00492188">
        <w:rPr>
          <w:sz w:val="24"/>
          <w:szCs w:val="24"/>
          <w:u w:val="single"/>
        </w:rPr>
        <w:t>every 2 weeks</w:t>
      </w:r>
      <w:r w:rsidRPr="00492188">
        <w:rPr>
          <w:sz w:val="24"/>
          <w:szCs w:val="24"/>
        </w:rPr>
        <w:t xml:space="preserve"> when administered in combination with one of the</w:t>
      </w:r>
      <w:r w:rsidR="00750C07" w:rsidRPr="00492188">
        <w:rPr>
          <w:sz w:val="24"/>
          <w:szCs w:val="24"/>
        </w:rPr>
        <w:t xml:space="preserve"> following agents – paclitaxel or </w:t>
      </w:r>
      <w:proofErr w:type="spellStart"/>
      <w:r w:rsidRPr="00492188">
        <w:rPr>
          <w:sz w:val="24"/>
          <w:szCs w:val="24"/>
        </w:rPr>
        <w:t>topotecan</w:t>
      </w:r>
      <w:proofErr w:type="spellEnd"/>
      <w:r w:rsidRPr="00492188">
        <w:rPr>
          <w:sz w:val="24"/>
          <w:szCs w:val="24"/>
        </w:rPr>
        <w:t xml:space="preserve"> (given weekly) or </w:t>
      </w:r>
      <w:proofErr w:type="spellStart"/>
      <w:r w:rsidRPr="00492188">
        <w:rPr>
          <w:sz w:val="24"/>
          <w:szCs w:val="24"/>
        </w:rPr>
        <w:t>pegylated</w:t>
      </w:r>
      <w:proofErr w:type="spellEnd"/>
      <w:r w:rsidRPr="00492188">
        <w:rPr>
          <w:sz w:val="24"/>
          <w:szCs w:val="24"/>
        </w:rPr>
        <w:t xml:space="preserve"> liposomal doxorubicin</w:t>
      </w:r>
      <w:r w:rsidRPr="00FD4CF0">
        <w:rPr>
          <w:sz w:val="24"/>
          <w:szCs w:val="24"/>
        </w:rPr>
        <w:t xml:space="preserve">. Alternatively, 15 mg/kg </w:t>
      </w:r>
      <w:r w:rsidRPr="00B577CC">
        <w:rPr>
          <w:sz w:val="24"/>
          <w:szCs w:val="24"/>
          <w:u w:val="single"/>
        </w:rPr>
        <w:t>every 3 weeks</w:t>
      </w:r>
      <w:r w:rsidRPr="00FD4CF0">
        <w:rPr>
          <w:sz w:val="24"/>
          <w:szCs w:val="24"/>
        </w:rPr>
        <w:t xml:space="preserve"> when administered in combination with </w:t>
      </w:r>
      <w:proofErr w:type="spellStart"/>
      <w:r w:rsidRPr="00FD4CF0">
        <w:rPr>
          <w:sz w:val="24"/>
          <w:szCs w:val="24"/>
        </w:rPr>
        <w:t>topotecan</w:t>
      </w:r>
      <w:proofErr w:type="spellEnd"/>
      <w:r w:rsidRPr="00FD4CF0">
        <w:rPr>
          <w:sz w:val="24"/>
          <w:szCs w:val="24"/>
        </w:rPr>
        <w:t xml:space="preserve"> given on days 1-5, </w:t>
      </w:r>
      <w:r w:rsidRPr="00B577CC">
        <w:rPr>
          <w:sz w:val="24"/>
          <w:szCs w:val="24"/>
          <w:u w:val="single"/>
        </w:rPr>
        <w:t>every 3 weeks</w:t>
      </w:r>
      <w:r w:rsidRPr="00FD4CF0">
        <w:rPr>
          <w:sz w:val="24"/>
          <w:szCs w:val="24"/>
        </w:rPr>
        <w:t>. (</w:t>
      </w:r>
      <w:r w:rsidRPr="000E3D6A">
        <w:rPr>
          <w:i/>
          <w:sz w:val="24"/>
          <w:szCs w:val="24"/>
        </w:rPr>
        <w:t>See CLINICAL TRIALS Study MO22224 f</w:t>
      </w:r>
      <w:r w:rsidRPr="00FD4CF0">
        <w:rPr>
          <w:sz w:val="24"/>
          <w:szCs w:val="24"/>
        </w:rPr>
        <w:t>or descriptions of the chemotherapy regimens).</w:t>
      </w:r>
    </w:p>
    <w:p w:rsidR="00C36A36" w:rsidRDefault="00C36A36" w:rsidP="00906DB1">
      <w:pPr>
        <w:jc w:val="both"/>
        <w:rPr>
          <w:sz w:val="24"/>
          <w:szCs w:val="24"/>
        </w:rPr>
      </w:pPr>
      <w:r>
        <w:rPr>
          <w:sz w:val="24"/>
          <w:szCs w:val="24"/>
        </w:rPr>
        <w:t>It is recommended that treatment be continued until disease progression.</w:t>
      </w:r>
    </w:p>
    <w:p w:rsidR="00906DB1" w:rsidRDefault="00906DB1" w:rsidP="00906DB1">
      <w:pPr>
        <w:jc w:val="both"/>
        <w:rPr>
          <w:sz w:val="24"/>
          <w:szCs w:val="24"/>
        </w:rPr>
      </w:pPr>
    </w:p>
    <w:p w:rsidR="00221C5B" w:rsidRPr="00221C5B" w:rsidRDefault="00221C5B" w:rsidP="004B6EB0">
      <w:pPr>
        <w:pStyle w:val="TextTi12"/>
        <w:rPr>
          <w:b/>
          <w:lang w:val="en-GB"/>
        </w:rPr>
      </w:pPr>
      <w:r w:rsidRPr="00221C5B">
        <w:rPr>
          <w:b/>
          <w:lang w:val="en-GB"/>
        </w:rPr>
        <w:t>Dose reduction</w:t>
      </w:r>
    </w:p>
    <w:p w:rsidR="008527A6" w:rsidRDefault="008527A6" w:rsidP="004B6EB0">
      <w:pPr>
        <w:pStyle w:val="TextTi12"/>
        <w:rPr>
          <w:b/>
          <w:i/>
          <w:lang w:val="en-GB"/>
        </w:rPr>
      </w:pPr>
      <w:r w:rsidRPr="007B1CE9">
        <w:rPr>
          <w:lang w:val="en-GB"/>
        </w:rPr>
        <w:t xml:space="preserve">Dose reduction of AVASTIN for adverse reactions is not recommended. </w:t>
      </w:r>
      <w:r w:rsidR="00E868E3">
        <w:rPr>
          <w:lang w:val="en-GB"/>
        </w:rPr>
        <w:t xml:space="preserve"> </w:t>
      </w:r>
      <w:r w:rsidRPr="007B1CE9">
        <w:rPr>
          <w:lang w:val="en-GB"/>
        </w:rPr>
        <w:t>If indicated, AVASTIN should either be discontinued or temporarily suspended</w:t>
      </w:r>
      <w:r w:rsidR="00D46105" w:rsidRPr="007B1CE9">
        <w:rPr>
          <w:lang w:val="en-GB"/>
        </w:rPr>
        <w:t xml:space="preserve"> (see</w:t>
      </w:r>
      <w:r w:rsidRPr="007B1CE9">
        <w:rPr>
          <w:lang w:val="en-GB"/>
        </w:rPr>
        <w:t xml:space="preserve"> </w:t>
      </w:r>
      <w:r w:rsidRPr="0040476B">
        <w:rPr>
          <w:i/>
          <w:caps/>
          <w:lang w:val="en-GB"/>
        </w:rPr>
        <w:t>Precautions</w:t>
      </w:r>
      <w:r w:rsidR="00D46105" w:rsidRPr="007B1CE9">
        <w:rPr>
          <w:lang w:val="en-GB"/>
        </w:rPr>
        <w:t>)</w:t>
      </w:r>
      <w:r w:rsidRPr="007B1CE9">
        <w:rPr>
          <w:b/>
          <w:i/>
          <w:lang w:val="en-GB"/>
        </w:rPr>
        <w:t>.</w:t>
      </w:r>
    </w:p>
    <w:p w:rsidR="009A7E28" w:rsidRPr="00BD3577" w:rsidRDefault="009A7E28" w:rsidP="00AE1243">
      <w:pPr>
        <w:pStyle w:val="TextTi12"/>
        <w:spacing w:after="0"/>
        <w:rPr>
          <w:b/>
          <w:lang w:val="en-GB"/>
        </w:rPr>
      </w:pPr>
    </w:p>
    <w:p w:rsidR="00820C18" w:rsidRPr="00371215" w:rsidRDefault="00820C18" w:rsidP="00820C18">
      <w:pPr>
        <w:rPr>
          <w:b/>
          <w:sz w:val="24"/>
          <w:szCs w:val="24"/>
        </w:rPr>
      </w:pPr>
      <w:r w:rsidRPr="00371215">
        <w:rPr>
          <w:b/>
          <w:sz w:val="24"/>
          <w:szCs w:val="24"/>
        </w:rPr>
        <w:t>Special Dosage Instructions</w:t>
      </w:r>
    </w:p>
    <w:p w:rsidR="00820C18" w:rsidRPr="00371215" w:rsidRDefault="00820C18" w:rsidP="003A630D">
      <w:pPr>
        <w:jc w:val="both"/>
        <w:rPr>
          <w:b/>
          <w:i/>
          <w:sz w:val="24"/>
          <w:szCs w:val="24"/>
        </w:rPr>
      </w:pPr>
      <w:r w:rsidRPr="00371215">
        <w:rPr>
          <w:b/>
          <w:i/>
          <w:sz w:val="24"/>
          <w:szCs w:val="24"/>
        </w:rPr>
        <w:lastRenderedPageBreak/>
        <w:t xml:space="preserve">Children and adolescents:  </w:t>
      </w:r>
      <w:r w:rsidRPr="00371215">
        <w:rPr>
          <w:sz w:val="24"/>
          <w:szCs w:val="24"/>
        </w:rPr>
        <w:t xml:space="preserve">The safety and efficacy of </w:t>
      </w:r>
      <w:r>
        <w:rPr>
          <w:sz w:val="24"/>
          <w:szCs w:val="24"/>
        </w:rPr>
        <w:t>AVASTIN</w:t>
      </w:r>
      <w:r w:rsidRPr="00371215">
        <w:rPr>
          <w:sz w:val="24"/>
          <w:szCs w:val="24"/>
        </w:rPr>
        <w:t xml:space="preserve"> in children and adolescents ha</w:t>
      </w:r>
      <w:r w:rsidR="00E92091">
        <w:rPr>
          <w:sz w:val="24"/>
          <w:szCs w:val="24"/>
        </w:rPr>
        <w:t>ve</w:t>
      </w:r>
      <w:r w:rsidRPr="00371215">
        <w:rPr>
          <w:sz w:val="24"/>
          <w:szCs w:val="24"/>
        </w:rPr>
        <w:t xml:space="preserve"> not been </w:t>
      </w:r>
      <w:r w:rsidR="007E367F">
        <w:rPr>
          <w:sz w:val="24"/>
          <w:szCs w:val="24"/>
        </w:rPr>
        <w:t>established</w:t>
      </w:r>
      <w:r w:rsidRPr="00371215">
        <w:rPr>
          <w:sz w:val="24"/>
          <w:szCs w:val="24"/>
        </w:rPr>
        <w:t>.</w:t>
      </w:r>
    </w:p>
    <w:p w:rsidR="00820C18" w:rsidRPr="00371215" w:rsidRDefault="00820C18" w:rsidP="003A630D">
      <w:pPr>
        <w:jc w:val="both"/>
        <w:rPr>
          <w:color w:val="000000"/>
          <w:sz w:val="24"/>
          <w:szCs w:val="24"/>
        </w:rPr>
      </w:pPr>
      <w:r w:rsidRPr="00371215">
        <w:rPr>
          <w:b/>
          <w:i/>
          <w:sz w:val="24"/>
          <w:szCs w:val="24"/>
        </w:rPr>
        <w:t xml:space="preserve">Elderly: </w:t>
      </w:r>
      <w:r w:rsidRPr="00371215">
        <w:rPr>
          <w:i/>
          <w:sz w:val="24"/>
          <w:szCs w:val="24"/>
        </w:rPr>
        <w:t xml:space="preserve"> </w:t>
      </w:r>
      <w:r w:rsidRPr="00371215">
        <w:rPr>
          <w:sz w:val="24"/>
          <w:szCs w:val="24"/>
        </w:rPr>
        <w:t>No dose adjustment is required in the elderly.</w:t>
      </w:r>
    </w:p>
    <w:p w:rsidR="00820C18" w:rsidRPr="00371215" w:rsidRDefault="00820C18" w:rsidP="003A630D">
      <w:pPr>
        <w:pStyle w:val="TextTi12"/>
        <w:outlineLvl w:val="0"/>
        <w:rPr>
          <w:szCs w:val="24"/>
        </w:rPr>
      </w:pPr>
      <w:r w:rsidRPr="00371215">
        <w:rPr>
          <w:b/>
          <w:i/>
          <w:szCs w:val="24"/>
        </w:rPr>
        <w:t>Renal impairment</w:t>
      </w:r>
      <w:r w:rsidRPr="0040476B">
        <w:rPr>
          <w:i/>
          <w:szCs w:val="24"/>
        </w:rPr>
        <w:t>:</w:t>
      </w:r>
      <w:r w:rsidRPr="00371215">
        <w:rPr>
          <w:szCs w:val="24"/>
        </w:rPr>
        <w:t xml:space="preserve">  The safety and efficacy of </w:t>
      </w:r>
      <w:r>
        <w:rPr>
          <w:szCs w:val="24"/>
        </w:rPr>
        <w:t>AVASTIN</w:t>
      </w:r>
      <w:r w:rsidRPr="00371215">
        <w:rPr>
          <w:szCs w:val="24"/>
        </w:rPr>
        <w:t xml:space="preserve"> ha</w:t>
      </w:r>
      <w:r>
        <w:rPr>
          <w:szCs w:val="24"/>
        </w:rPr>
        <w:t>ve</w:t>
      </w:r>
      <w:r w:rsidRPr="00371215">
        <w:rPr>
          <w:szCs w:val="24"/>
        </w:rPr>
        <w:t xml:space="preserve"> not been studied in patients with renal impairment.</w:t>
      </w:r>
    </w:p>
    <w:p w:rsidR="00820C18" w:rsidRDefault="00820C18" w:rsidP="003A630D">
      <w:pPr>
        <w:pStyle w:val="TextTi12"/>
        <w:outlineLvl w:val="0"/>
        <w:rPr>
          <w:szCs w:val="24"/>
        </w:rPr>
      </w:pPr>
      <w:r w:rsidRPr="00371215">
        <w:rPr>
          <w:b/>
          <w:i/>
          <w:szCs w:val="24"/>
        </w:rPr>
        <w:t>Hepatic impairment</w:t>
      </w:r>
      <w:r w:rsidRPr="0040476B">
        <w:rPr>
          <w:i/>
          <w:szCs w:val="24"/>
        </w:rPr>
        <w:t>:</w:t>
      </w:r>
      <w:r w:rsidRPr="00371215">
        <w:rPr>
          <w:szCs w:val="24"/>
        </w:rPr>
        <w:t xml:space="preserve">  The safety and efficacy of </w:t>
      </w:r>
      <w:r>
        <w:rPr>
          <w:szCs w:val="24"/>
        </w:rPr>
        <w:t>AVASTIN</w:t>
      </w:r>
      <w:r w:rsidRPr="00371215">
        <w:rPr>
          <w:szCs w:val="24"/>
        </w:rPr>
        <w:t xml:space="preserve"> h</w:t>
      </w:r>
      <w:r>
        <w:rPr>
          <w:szCs w:val="24"/>
        </w:rPr>
        <w:t>ave</w:t>
      </w:r>
      <w:r w:rsidRPr="00371215">
        <w:rPr>
          <w:szCs w:val="24"/>
        </w:rPr>
        <w:t xml:space="preserve"> not been studied in patients with hepatic impairment.</w:t>
      </w:r>
    </w:p>
    <w:p w:rsidR="00200237" w:rsidRDefault="00200237" w:rsidP="00200237">
      <w:pPr>
        <w:pStyle w:val="TextTi12"/>
        <w:spacing w:after="0" w:line="240" w:lineRule="auto"/>
        <w:outlineLvl w:val="0"/>
        <w:rPr>
          <w:szCs w:val="24"/>
        </w:rPr>
      </w:pPr>
    </w:p>
    <w:p w:rsidR="00870A2A" w:rsidRDefault="00D4575A" w:rsidP="00AE1E2B">
      <w:pPr>
        <w:pStyle w:val="Heading3"/>
        <w:spacing w:before="0" w:after="170" w:line="280" w:lineRule="atLeast"/>
      </w:pPr>
      <w:r>
        <w:t>P</w:t>
      </w:r>
      <w:r w:rsidR="00870A2A">
        <w:t xml:space="preserve">reparing the Infusion </w:t>
      </w:r>
    </w:p>
    <w:p w:rsidR="00D14F49" w:rsidRDefault="00D14F49" w:rsidP="00D14F49">
      <w:pPr>
        <w:pStyle w:val="TextTi12"/>
      </w:pPr>
      <w:r w:rsidRPr="00A56D8D">
        <w:t xml:space="preserve">AVASTIN should be prepared by a healthcare professional using aseptic technique. </w:t>
      </w:r>
      <w:r>
        <w:t xml:space="preserve"> </w:t>
      </w:r>
      <w:r w:rsidRPr="00A56D8D">
        <w:t xml:space="preserve">Withdraw the necessary amount </w:t>
      </w:r>
      <w:r w:rsidRPr="00ED6899">
        <w:t xml:space="preserve">of </w:t>
      </w:r>
      <w:r w:rsidR="007E367F">
        <w:t>AVASTIN</w:t>
      </w:r>
      <w:r w:rsidR="007E367F" w:rsidRPr="00ED6899">
        <w:t xml:space="preserve"> </w:t>
      </w:r>
      <w:r w:rsidRPr="00ED6899">
        <w:t xml:space="preserve">and dilute to the required administration volume with 0.9% sodium chloride solution. </w:t>
      </w:r>
      <w:r>
        <w:t xml:space="preserve"> </w:t>
      </w:r>
      <w:r w:rsidRPr="00ED6899">
        <w:t xml:space="preserve">The concentration of the final </w:t>
      </w:r>
      <w:r w:rsidR="007E367F">
        <w:t xml:space="preserve">AVASTIN </w:t>
      </w:r>
      <w:r>
        <w:t>solution should be kept within the range of 1.4-16.5 mg/</w:t>
      </w:r>
      <w:proofErr w:type="spellStart"/>
      <w:r>
        <w:t>mL.</w:t>
      </w:r>
      <w:proofErr w:type="spellEnd"/>
    </w:p>
    <w:p w:rsidR="00870A2A" w:rsidRDefault="00870A2A" w:rsidP="00AE1E2B">
      <w:pPr>
        <w:pStyle w:val="TextTi12"/>
        <w:rPr>
          <w:lang w:val="en-GB"/>
        </w:rPr>
      </w:pPr>
      <w:r>
        <w:rPr>
          <w:lang w:val="en-GB"/>
        </w:rPr>
        <w:t>No incompatibilities between AVASTIN and polyvinyl chloride or polyolefin bags have been observed.</w:t>
      </w:r>
    </w:p>
    <w:p w:rsidR="00421925" w:rsidRPr="00870A2A" w:rsidRDefault="00870A2A" w:rsidP="00AE1E2B">
      <w:pPr>
        <w:pStyle w:val="TextTi12"/>
        <w:outlineLvl w:val="0"/>
        <w:rPr>
          <w:lang w:val="en-GB"/>
        </w:rPr>
      </w:pPr>
      <w:r w:rsidRPr="00870A2A">
        <w:rPr>
          <w:b/>
          <w:lang w:val="en-GB"/>
        </w:rPr>
        <w:t>AVASTIN infusions should not be administered or mixed with dextrose or glucose solutions</w:t>
      </w:r>
      <w:r w:rsidR="00395FA3">
        <w:rPr>
          <w:b/>
          <w:lang w:val="en-GB"/>
        </w:rPr>
        <w:t>.</w:t>
      </w:r>
    </w:p>
    <w:p w:rsidR="00E81770" w:rsidRDefault="00E81770" w:rsidP="00BD3577">
      <w:pPr>
        <w:pStyle w:val="Heading3"/>
        <w:spacing w:after="170"/>
        <w:rPr>
          <w:lang w:val="en-GB"/>
        </w:rPr>
      </w:pPr>
      <w:r>
        <w:rPr>
          <w:lang w:val="en-GB"/>
        </w:rPr>
        <w:t>Method of Administration</w:t>
      </w:r>
    </w:p>
    <w:p w:rsidR="0064702E" w:rsidRPr="0064702E" w:rsidRDefault="00E81770" w:rsidP="00E81770">
      <w:pPr>
        <w:pStyle w:val="TextTi12"/>
        <w:rPr>
          <w:b/>
          <w:i/>
          <w:lang w:val="en-GB"/>
        </w:rPr>
      </w:pPr>
      <w:r>
        <w:rPr>
          <w:lang w:val="en-GB"/>
        </w:rPr>
        <w:t>The initial AVASTIN</w:t>
      </w:r>
      <w:r>
        <w:rPr>
          <w:rFonts w:ascii="Arial" w:hAnsi="Arial"/>
          <w:lang w:val="en-GB"/>
        </w:rPr>
        <w:t xml:space="preserve"> </w:t>
      </w:r>
      <w:r>
        <w:rPr>
          <w:lang w:val="en-GB"/>
        </w:rPr>
        <w:t xml:space="preserve">dose should be delivered over 90 minutes as an </w:t>
      </w:r>
      <w:r w:rsidR="00492314">
        <w:rPr>
          <w:lang w:val="en-GB"/>
        </w:rPr>
        <w:t xml:space="preserve">IV </w:t>
      </w:r>
      <w:r>
        <w:rPr>
          <w:lang w:val="en-GB"/>
        </w:rPr>
        <w:t xml:space="preserve">infusion. </w:t>
      </w:r>
      <w:r w:rsidR="00E868E3">
        <w:rPr>
          <w:lang w:val="en-GB"/>
        </w:rPr>
        <w:t xml:space="preserve"> </w:t>
      </w:r>
      <w:r>
        <w:rPr>
          <w:lang w:val="en-GB"/>
        </w:rPr>
        <w:t xml:space="preserve">If the first infusion is well tolerated, the second infusion may be administered over 60 minutes. </w:t>
      </w:r>
      <w:r w:rsidR="00E868E3">
        <w:rPr>
          <w:lang w:val="en-GB"/>
        </w:rPr>
        <w:t xml:space="preserve"> </w:t>
      </w:r>
      <w:r>
        <w:rPr>
          <w:lang w:val="en-GB"/>
        </w:rPr>
        <w:t>If the 60 minute infusion is well tolerated, all subsequent infusions may be administered over 30 minutes.</w:t>
      </w:r>
    </w:p>
    <w:p w:rsidR="001D7B81" w:rsidRDefault="00EB43B0" w:rsidP="00EB43B0">
      <w:pPr>
        <w:pStyle w:val="TextTi12"/>
        <w:outlineLvl w:val="0"/>
        <w:rPr>
          <w:b/>
          <w:lang w:val="en-GB"/>
        </w:rPr>
      </w:pPr>
      <w:r w:rsidRPr="00870A2A">
        <w:rPr>
          <w:b/>
          <w:lang w:val="en-GB"/>
        </w:rPr>
        <w:t>Do not administer as an intravenous push or bolus.</w:t>
      </w:r>
    </w:p>
    <w:p w:rsidR="009A7E28" w:rsidRDefault="009A7E28" w:rsidP="009A7E28">
      <w:pPr>
        <w:pStyle w:val="TextTi12"/>
        <w:outlineLvl w:val="0"/>
        <w:rPr>
          <w:b/>
          <w:lang w:val="en-GB"/>
        </w:rPr>
      </w:pPr>
      <w:r>
        <w:rPr>
          <w:color w:val="000000"/>
        </w:rPr>
        <w:t>AVASTIN</w:t>
      </w:r>
      <w:r w:rsidRPr="00893AC3">
        <w:rPr>
          <w:color w:val="000000"/>
        </w:rPr>
        <w:t xml:space="preserve"> is not formulated for </w:t>
      </w:r>
      <w:proofErr w:type="spellStart"/>
      <w:r w:rsidRPr="00893AC3">
        <w:rPr>
          <w:color w:val="000000"/>
        </w:rPr>
        <w:t>intravitreal</w:t>
      </w:r>
      <w:proofErr w:type="spellEnd"/>
      <w:r w:rsidRPr="00893AC3">
        <w:rPr>
          <w:color w:val="000000"/>
        </w:rPr>
        <w:t xml:space="preserve"> use </w:t>
      </w:r>
      <w:r w:rsidRPr="00893AC3">
        <w:rPr>
          <w:i/>
          <w:color w:val="000000"/>
        </w:rPr>
        <w:t>(</w:t>
      </w:r>
      <w:r w:rsidRPr="00893AC3">
        <w:rPr>
          <w:color w:val="000000"/>
        </w:rPr>
        <w:t xml:space="preserve">see </w:t>
      </w:r>
      <w:r w:rsidRPr="00A937FC">
        <w:rPr>
          <w:i/>
          <w:color w:val="000000"/>
        </w:rPr>
        <w:t>PRECAUTIONS;</w:t>
      </w:r>
      <w:r w:rsidRPr="00893AC3">
        <w:rPr>
          <w:color w:val="000000"/>
        </w:rPr>
        <w:t xml:space="preserve"> </w:t>
      </w:r>
      <w:r w:rsidRPr="00893AC3">
        <w:rPr>
          <w:i/>
          <w:lang w:val="en-AU"/>
        </w:rPr>
        <w:t xml:space="preserve">Severe Eye Infections Following Compounding for Unapproved </w:t>
      </w:r>
      <w:proofErr w:type="spellStart"/>
      <w:r w:rsidRPr="00893AC3">
        <w:rPr>
          <w:i/>
          <w:lang w:val="en-AU"/>
        </w:rPr>
        <w:t>Intravitreal</w:t>
      </w:r>
      <w:proofErr w:type="spellEnd"/>
      <w:r w:rsidRPr="00893AC3">
        <w:rPr>
          <w:i/>
          <w:lang w:val="en-AU"/>
        </w:rPr>
        <w:t xml:space="preserve"> Use</w:t>
      </w:r>
      <w:r w:rsidRPr="00893AC3">
        <w:rPr>
          <w:color w:val="000000"/>
        </w:rPr>
        <w:t>).</w:t>
      </w:r>
    </w:p>
    <w:p w:rsidR="008A7314" w:rsidRDefault="008A7314">
      <w:pPr>
        <w:pStyle w:val="Heading2"/>
      </w:pPr>
      <w:r>
        <w:t>OVERDOSAGE</w:t>
      </w:r>
    </w:p>
    <w:p w:rsidR="00B9361A" w:rsidRPr="005561F3" w:rsidRDefault="00810904" w:rsidP="003A630D">
      <w:pPr>
        <w:pStyle w:val="TextTi12"/>
        <w:tabs>
          <w:tab w:val="left" w:pos="3686"/>
          <w:tab w:val="left" w:pos="7088"/>
        </w:tabs>
        <w:rPr>
          <w:szCs w:val="24"/>
          <w:lang w:val="en-GB"/>
        </w:rPr>
      </w:pPr>
      <w:r w:rsidRPr="005561F3">
        <w:rPr>
          <w:szCs w:val="24"/>
          <w:lang w:val="en-GB"/>
        </w:rPr>
        <w:t>The highest dose tested in humans (20 mg/kg body weight, IV) was associated with severe migraine in several patients.</w:t>
      </w:r>
    </w:p>
    <w:p w:rsidR="00B9361A" w:rsidRPr="005561F3" w:rsidRDefault="00B9361A" w:rsidP="003A630D">
      <w:pPr>
        <w:autoSpaceDE w:val="0"/>
        <w:autoSpaceDN w:val="0"/>
        <w:adjustRightInd w:val="0"/>
        <w:spacing w:after="0"/>
        <w:jc w:val="both"/>
        <w:rPr>
          <w:rFonts w:eastAsia="MS Mincho"/>
          <w:sz w:val="24"/>
          <w:szCs w:val="24"/>
          <w:lang w:eastAsia="zh-CN"/>
        </w:rPr>
      </w:pPr>
      <w:r w:rsidRPr="005561F3">
        <w:rPr>
          <w:rFonts w:eastAsia="MS Mincho"/>
          <w:sz w:val="24"/>
          <w:szCs w:val="24"/>
          <w:lang w:eastAsia="zh-CN"/>
        </w:rPr>
        <w:t>Treatment of overdose should consist of general supportive measures.</w:t>
      </w:r>
    </w:p>
    <w:p w:rsidR="00E868E3" w:rsidRPr="005561F3" w:rsidRDefault="00E868E3" w:rsidP="003A630D">
      <w:pPr>
        <w:autoSpaceDE w:val="0"/>
        <w:autoSpaceDN w:val="0"/>
        <w:adjustRightInd w:val="0"/>
        <w:spacing w:after="0"/>
        <w:jc w:val="both"/>
        <w:rPr>
          <w:rFonts w:eastAsia="MS Mincho"/>
          <w:bCs/>
          <w:sz w:val="24"/>
          <w:szCs w:val="24"/>
          <w:lang w:val="en-US" w:eastAsia="zh-CN"/>
        </w:rPr>
      </w:pPr>
    </w:p>
    <w:p w:rsidR="00001D57" w:rsidRDefault="00B9361A" w:rsidP="003A630D">
      <w:pPr>
        <w:autoSpaceDE w:val="0"/>
        <w:autoSpaceDN w:val="0"/>
        <w:adjustRightInd w:val="0"/>
        <w:spacing w:after="0"/>
        <w:jc w:val="both"/>
        <w:rPr>
          <w:rFonts w:eastAsia="MS Mincho"/>
          <w:sz w:val="24"/>
          <w:szCs w:val="24"/>
          <w:lang w:eastAsia="zh-CN"/>
        </w:rPr>
      </w:pPr>
      <w:r w:rsidRPr="005561F3">
        <w:rPr>
          <w:rFonts w:eastAsia="MS Mincho"/>
          <w:sz w:val="24"/>
          <w:szCs w:val="24"/>
          <w:lang w:eastAsia="zh-CN"/>
        </w:rPr>
        <w:t xml:space="preserve">Contact the Poisons Information Centre </w:t>
      </w:r>
      <w:r w:rsidR="00906DB1" w:rsidRPr="005D09BA">
        <w:rPr>
          <w:rFonts w:eastAsia="MS Mincho"/>
          <w:sz w:val="24"/>
          <w:szCs w:val="24"/>
          <w:lang w:eastAsia="zh-CN"/>
        </w:rPr>
        <w:t xml:space="preserve">on </w:t>
      </w:r>
      <w:r w:rsidR="00906DB1" w:rsidRPr="005D09BA">
        <w:rPr>
          <w:sz w:val="24"/>
          <w:szCs w:val="24"/>
        </w:rPr>
        <w:t>13 11 26</w:t>
      </w:r>
      <w:r w:rsidR="00906DB1">
        <w:t xml:space="preserve"> </w:t>
      </w:r>
      <w:r w:rsidRPr="005561F3">
        <w:rPr>
          <w:rFonts w:eastAsia="MS Mincho"/>
          <w:sz w:val="24"/>
          <w:szCs w:val="24"/>
          <w:lang w:eastAsia="zh-CN"/>
        </w:rPr>
        <w:t xml:space="preserve">for advice on management of </w:t>
      </w:r>
      <w:proofErr w:type="spellStart"/>
      <w:r w:rsidRPr="005561F3">
        <w:rPr>
          <w:rFonts w:eastAsia="MS Mincho"/>
          <w:sz w:val="24"/>
          <w:szCs w:val="24"/>
          <w:lang w:eastAsia="zh-CN"/>
        </w:rPr>
        <w:t>overdosage</w:t>
      </w:r>
      <w:proofErr w:type="spellEnd"/>
      <w:r w:rsidRPr="005561F3">
        <w:rPr>
          <w:rFonts w:eastAsia="MS Mincho"/>
          <w:sz w:val="24"/>
          <w:szCs w:val="24"/>
          <w:lang w:eastAsia="zh-CN"/>
        </w:rPr>
        <w:t>.</w:t>
      </w:r>
    </w:p>
    <w:p w:rsidR="008A7314" w:rsidRDefault="008A7314">
      <w:pPr>
        <w:pStyle w:val="Heading2"/>
      </w:pPr>
      <w:r>
        <w:t>PRESENTATION</w:t>
      </w:r>
      <w:r w:rsidR="00D46105">
        <w:t xml:space="preserve"> and storage</w:t>
      </w:r>
      <w:r w:rsidR="0040476B">
        <w:t xml:space="preserve"> CONDITIONS</w:t>
      </w:r>
    </w:p>
    <w:p w:rsidR="00650C2A" w:rsidRDefault="00D7775F" w:rsidP="00650C2A">
      <w:pPr>
        <w:pStyle w:val="PIexplanation"/>
        <w:rPr>
          <w:i w:val="0"/>
          <w:color w:val="auto"/>
          <w:sz w:val="24"/>
          <w:szCs w:val="24"/>
        </w:rPr>
      </w:pPr>
      <w:r w:rsidRPr="00806A57">
        <w:rPr>
          <w:i w:val="0"/>
          <w:color w:val="auto"/>
          <w:sz w:val="24"/>
          <w:szCs w:val="24"/>
        </w:rPr>
        <w:t>AVASTIN is available</w:t>
      </w:r>
      <w:r w:rsidR="00A613F2" w:rsidRPr="00806A57">
        <w:rPr>
          <w:i w:val="0"/>
          <w:color w:val="auto"/>
          <w:sz w:val="24"/>
          <w:szCs w:val="24"/>
        </w:rPr>
        <w:t xml:space="preserve"> as</w:t>
      </w:r>
      <w:r w:rsidR="00650C2A">
        <w:rPr>
          <w:i w:val="0"/>
          <w:color w:val="auto"/>
          <w:sz w:val="24"/>
          <w:szCs w:val="24"/>
        </w:rPr>
        <w:t>:</w:t>
      </w:r>
    </w:p>
    <w:p w:rsidR="00650C2A" w:rsidRDefault="00870A2A" w:rsidP="003778E2">
      <w:pPr>
        <w:pStyle w:val="TextTi12"/>
        <w:numPr>
          <w:ilvl w:val="0"/>
          <w:numId w:val="11"/>
        </w:numPr>
      </w:pPr>
      <w:r>
        <w:t>100 mg pack contain</w:t>
      </w:r>
      <w:r w:rsidR="00650C2A">
        <w:t>ing</w:t>
      </w:r>
      <w:r>
        <w:t xml:space="preserve"> one 4 mL single-dose vial </w:t>
      </w:r>
    </w:p>
    <w:p w:rsidR="008A7314" w:rsidRPr="00806A57" w:rsidRDefault="00870A2A" w:rsidP="003778E2">
      <w:pPr>
        <w:pStyle w:val="TextTi12"/>
        <w:numPr>
          <w:ilvl w:val="0"/>
          <w:numId w:val="11"/>
        </w:numPr>
      </w:pPr>
      <w:r>
        <w:t>400 mg pack contain</w:t>
      </w:r>
      <w:r w:rsidR="00650C2A">
        <w:t>ing</w:t>
      </w:r>
      <w:r>
        <w:t xml:space="preserve"> one 16 mL single-dose vial</w:t>
      </w:r>
    </w:p>
    <w:p w:rsidR="00A613F2" w:rsidRPr="004742E2" w:rsidRDefault="00810904" w:rsidP="004742E2">
      <w:pPr>
        <w:pStyle w:val="TextTi12"/>
      </w:pPr>
      <w:r w:rsidRPr="004742E2">
        <w:t>Store vials at 2-8°C.</w:t>
      </w:r>
      <w:r w:rsidR="00A613F2" w:rsidRPr="004742E2">
        <w:t xml:space="preserve"> </w:t>
      </w:r>
      <w:r w:rsidR="00395FA3">
        <w:t xml:space="preserve"> </w:t>
      </w:r>
      <w:r w:rsidR="00A613F2" w:rsidRPr="004742E2">
        <w:t xml:space="preserve">(Refrigerate. Do not freeze.)  Do not shake. </w:t>
      </w:r>
    </w:p>
    <w:p w:rsidR="00810904" w:rsidRPr="004742E2" w:rsidRDefault="00F4185A" w:rsidP="00AE1E2B">
      <w:pPr>
        <w:pStyle w:val="TextTi12"/>
      </w:pPr>
      <w:r>
        <w:t>Protect from light.</w:t>
      </w:r>
      <w:r w:rsidR="0040476B">
        <w:t xml:space="preserve"> </w:t>
      </w:r>
      <w:r>
        <w:t xml:space="preserve"> </w:t>
      </w:r>
      <w:r w:rsidR="00A613F2" w:rsidRPr="004742E2">
        <w:t>Keep vial in outer carton due to light sensitivity</w:t>
      </w:r>
      <w:r w:rsidR="00870A2A">
        <w:t xml:space="preserve"> until use</w:t>
      </w:r>
      <w:r w:rsidR="00A613F2" w:rsidRPr="004742E2">
        <w:t xml:space="preserve">. </w:t>
      </w:r>
    </w:p>
    <w:p w:rsidR="005E7920" w:rsidRPr="004742E2" w:rsidRDefault="005E7920" w:rsidP="00200237">
      <w:pPr>
        <w:pStyle w:val="TextTi12"/>
        <w:spacing w:after="120" w:line="240" w:lineRule="auto"/>
      </w:pPr>
      <w:r w:rsidRPr="004742E2">
        <w:lastRenderedPageBreak/>
        <w:t xml:space="preserve">AVASTIN does not contain any antimicrobial </w:t>
      </w:r>
      <w:r>
        <w:t>agent;</w:t>
      </w:r>
      <w:r w:rsidRPr="004742E2">
        <w:t xml:space="preserve"> therefore care must be taken to ensure the sterility of the prepared solution.</w:t>
      </w:r>
      <w:r>
        <w:t xml:space="preserve"> </w:t>
      </w:r>
      <w:r w:rsidR="00E868E3">
        <w:t xml:space="preserve"> </w:t>
      </w:r>
      <w:r>
        <w:t>Product is for single use in one patient only.</w:t>
      </w:r>
      <w:r w:rsidR="004C30AF">
        <w:t xml:space="preserve"> </w:t>
      </w:r>
      <w:r>
        <w:t xml:space="preserve"> Discard any residue.</w:t>
      </w:r>
      <w:r w:rsidR="00696713">
        <w:t xml:space="preserve">  </w:t>
      </w:r>
      <w:r w:rsidR="00696713" w:rsidRPr="00255B60">
        <w:t xml:space="preserve">Parenteral drug products should be inspected visually for particulate matter and </w:t>
      </w:r>
      <w:proofErr w:type="spellStart"/>
      <w:r w:rsidR="00696713" w:rsidRPr="00255B60">
        <w:t>discolouration</w:t>
      </w:r>
      <w:proofErr w:type="spellEnd"/>
      <w:r w:rsidR="00696713" w:rsidRPr="00255B60">
        <w:t xml:space="preserve"> prior to administration.</w:t>
      </w:r>
    </w:p>
    <w:p w:rsidR="005E7920" w:rsidRDefault="00A613F2" w:rsidP="00200237">
      <w:pPr>
        <w:pStyle w:val="TextTi12"/>
        <w:spacing w:after="120" w:line="240" w:lineRule="auto"/>
      </w:pPr>
      <w:r w:rsidRPr="004742E2">
        <w:rPr>
          <w:snapToGrid w:val="0"/>
          <w:lang w:eastAsia="en-US"/>
        </w:rPr>
        <w:t xml:space="preserve">Chemical and physical in-use stability has been </w:t>
      </w:r>
      <w:r w:rsidR="00824A48">
        <w:rPr>
          <w:snapToGrid w:val="0"/>
          <w:lang w:eastAsia="en-US"/>
        </w:rPr>
        <w:t>demonstrated for 48 hours at 2</w:t>
      </w:r>
      <w:r w:rsidR="00273B45">
        <w:rPr>
          <w:snapToGrid w:val="0"/>
          <w:lang w:eastAsia="en-US"/>
        </w:rPr>
        <w:t>-</w:t>
      </w:r>
      <w:r w:rsidRPr="004742E2">
        <w:rPr>
          <w:snapToGrid w:val="0"/>
          <w:lang w:eastAsia="en-US"/>
        </w:rPr>
        <w:t xml:space="preserve">30°C in 0.9% sodium chloride solution. </w:t>
      </w:r>
      <w:r w:rsidR="00E868E3">
        <w:rPr>
          <w:snapToGrid w:val="0"/>
          <w:lang w:eastAsia="en-US"/>
        </w:rPr>
        <w:t xml:space="preserve"> </w:t>
      </w:r>
      <w:r w:rsidR="005E7920">
        <w:rPr>
          <w:snapToGrid w:val="0"/>
          <w:lang w:eastAsia="en-US"/>
        </w:rPr>
        <w:t>To reduce mi</w:t>
      </w:r>
      <w:r w:rsidR="005E7920" w:rsidRPr="004742E2">
        <w:rPr>
          <w:snapToGrid w:val="0"/>
          <w:lang w:eastAsia="en-US"/>
        </w:rPr>
        <w:t xml:space="preserve">crobiological </w:t>
      </w:r>
      <w:r w:rsidR="005E7920">
        <w:rPr>
          <w:snapToGrid w:val="0"/>
          <w:lang w:eastAsia="en-US"/>
        </w:rPr>
        <w:t>hazard</w:t>
      </w:r>
      <w:r w:rsidR="005E7920" w:rsidRPr="004742E2">
        <w:rPr>
          <w:snapToGrid w:val="0"/>
          <w:lang w:eastAsia="en-US"/>
        </w:rPr>
        <w:t xml:space="preserve">, the product should be used </w:t>
      </w:r>
      <w:r w:rsidR="005E7920">
        <w:rPr>
          <w:snapToGrid w:val="0"/>
          <w:lang w:eastAsia="en-US"/>
        </w:rPr>
        <w:t>as soon as practicable after preparation</w:t>
      </w:r>
      <w:r w:rsidR="005E7920" w:rsidRPr="004742E2">
        <w:rPr>
          <w:snapToGrid w:val="0"/>
          <w:lang w:eastAsia="en-US"/>
        </w:rPr>
        <w:t xml:space="preserve">. </w:t>
      </w:r>
      <w:r w:rsidR="00E868E3">
        <w:rPr>
          <w:snapToGrid w:val="0"/>
          <w:lang w:eastAsia="en-US"/>
        </w:rPr>
        <w:t xml:space="preserve"> </w:t>
      </w:r>
      <w:r w:rsidR="005E7920" w:rsidRPr="004742E2">
        <w:rPr>
          <w:snapToGrid w:val="0"/>
          <w:lang w:eastAsia="en-US"/>
        </w:rPr>
        <w:t xml:space="preserve">If </w:t>
      </w:r>
      <w:r w:rsidR="005E7920">
        <w:rPr>
          <w:snapToGrid w:val="0"/>
          <w:lang w:eastAsia="en-US"/>
        </w:rPr>
        <w:t>storage is necessary</w:t>
      </w:r>
      <w:r w:rsidR="005E7920" w:rsidRPr="004742E2">
        <w:rPr>
          <w:snapToGrid w:val="0"/>
          <w:lang w:eastAsia="en-US"/>
        </w:rPr>
        <w:t>, in-use storage times and conditions are the responsibility of the user and would not be longer than 24 hours at 2-8°C</w:t>
      </w:r>
      <w:r w:rsidR="005E7920" w:rsidRPr="004742E2">
        <w:t>.</w:t>
      </w:r>
    </w:p>
    <w:p w:rsidR="00200237" w:rsidRDefault="00200237" w:rsidP="00200237">
      <w:pPr>
        <w:pStyle w:val="TextTi12"/>
        <w:spacing w:after="120" w:line="240" w:lineRule="auto"/>
      </w:pPr>
    </w:p>
    <w:p w:rsidR="00AA171F" w:rsidRPr="00AA171F" w:rsidRDefault="00AA171F" w:rsidP="00200237">
      <w:pPr>
        <w:adjustRightInd w:val="0"/>
        <w:rPr>
          <w:b/>
          <w:snapToGrid w:val="0"/>
          <w:sz w:val="24"/>
          <w:u w:val="single"/>
          <w:lang w:val="en-US" w:eastAsia="en-US"/>
        </w:rPr>
      </w:pPr>
      <w:r w:rsidRPr="00AA171F">
        <w:rPr>
          <w:b/>
          <w:snapToGrid w:val="0"/>
          <w:sz w:val="24"/>
          <w:u w:val="single"/>
          <w:lang w:val="en-US" w:eastAsia="en-US"/>
        </w:rPr>
        <w:t xml:space="preserve">Disposal of Medicines </w:t>
      </w:r>
    </w:p>
    <w:p w:rsidR="00AA171F" w:rsidRPr="004742E2" w:rsidRDefault="00AA171F" w:rsidP="00BD3577">
      <w:pPr>
        <w:adjustRightInd w:val="0"/>
        <w:jc w:val="both"/>
      </w:pPr>
      <w:r w:rsidRPr="00AA171F">
        <w:rPr>
          <w:snapToGrid w:val="0"/>
          <w:sz w:val="24"/>
          <w:lang w:val="en-US" w:eastAsia="en-US"/>
        </w:rPr>
        <w:t xml:space="preserve">The release of medicines into the environment should be </w:t>
      </w:r>
      <w:proofErr w:type="spellStart"/>
      <w:r w:rsidRPr="00AA171F">
        <w:rPr>
          <w:snapToGrid w:val="0"/>
          <w:sz w:val="24"/>
          <w:lang w:val="en-US" w:eastAsia="en-US"/>
        </w:rPr>
        <w:t>minimised</w:t>
      </w:r>
      <w:proofErr w:type="spellEnd"/>
      <w:r w:rsidRPr="00AA171F">
        <w:rPr>
          <w:snapToGrid w:val="0"/>
          <w:sz w:val="24"/>
          <w:lang w:val="en-US" w:eastAsia="en-US"/>
        </w:rPr>
        <w:t xml:space="preserve">.  Medicines should not be disposed of via wastewater and disposal through household waste should be avoided. Unused or expired medicine should be returned to a pharmacy for disposal. </w:t>
      </w:r>
    </w:p>
    <w:p w:rsidR="00D46105" w:rsidRPr="00C75363" w:rsidRDefault="00D46105" w:rsidP="00D46105">
      <w:pPr>
        <w:pStyle w:val="Heading3"/>
        <w:rPr>
          <w:rStyle w:val="Heading2Char"/>
        </w:rPr>
      </w:pPr>
      <w:r w:rsidRPr="00C75363">
        <w:rPr>
          <w:rStyle w:val="Heading2Char"/>
        </w:rPr>
        <w:t>POISON SCHEDULE</w:t>
      </w:r>
      <w:r w:rsidR="0040476B">
        <w:rPr>
          <w:rStyle w:val="Heading2Char"/>
        </w:rPr>
        <w:t xml:space="preserve"> OF THE MEDICINE</w:t>
      </w:r>
    </w:p>
    <w:p w:rsidR="00395FA3" w:rsidRDefault="00D46105" w:rsidP="00395FA3">
      <w:pPr>
        <w:pStyle w:val="TextTi12"/>
      </w:pPr>
      <w:r>
        <w:t>Prescription Only Medicine</w:t>
      </w:r>
      <w:r w:rsidR="00DD6A23">
        <w:t xml:space="preserve"> (S4)</w:t>
      </w:r>
    </w:p>
    <w:p w:rsidR="008A7314" w:rsidRDefault="0040476B">
      <w:pPr>
        <w:pStyle w:val="Heading2"/>
      </w:pPr>
      <w:r>
        <w:t xml:space="preserve">NAME AND ADDRESS OF THE </w:t>
      </w:r>
      <w:r w:rsidR="008A7314">
        <w:t>SPONSOR</w:t>
      </w:r>
    </w:p>
    <w:p w:rsidR="008A7314" w:rsidRDefault="0040476B" w:rsidP="004B6EB0">
      <w:pPr>
        <w:pStyle w:val="TextTi12"/>
        <w:spacing w:after="0"/>
      </w:pPr>
      <w:r>
        <w:t>Roche Products Pty Limited</w:t>
      </w:r>
    </w:p>
    <w:p w:rsidR="008A7314" w:rsidRDefault="00273B45" w:rsidP="0040476B">
      <w:pPr>
        <w:pStyle w:val="TextTi12"/>
        <w:spacing w:after="0"/>
      </w:pPr>
      <w:r>
        <w:t>AB</w:t>
      </w:r>
      <w:r w:rsidR="008A7314">
        <w:t>N</w:t>
      </w:r>
      <w:r>
        <w:t xml:space="preserve"> 70</w:t>
      </w:r>
      <w:r w:rsidR="008A7314">
        <w:t xml:space="preserve"> 000 132 865</w:t>
      </w:r>
    </w:p>
    <w:p w:rsidR="008A7314" w:rsidRDefault="008A7314" w:rsidP="0040476B">
      <w:pPr>
        <w:pStyle w:val="TextTi12"/>
        <w:spacing w:after="0"/>
      </w:pPr>
      <w:smartTag w:uri="urn:schemas-microsoft-com:office:smarttags" w:element="Street">
        <w:smartTag w:uri="urn:schemas-microsoft-com:office:smarttags" w:element="country-region">
          <w:r>
            <w:t>4</w:t>
          </w:r>
          <w:r>
            <w:sym w:font="Symbol" w:char="F02D"/>
          </w:r>
          <w:r>
            <w:t xml:space="preserve">10 </w:t>
          </w:r>
          <w:r w:rsidR="0040476B">
            <w:t xml:space="preserve">Inman </w:t>
          </w:r>
          <w:r>
            <w:t>R</w:t>
          </w:r>
          <w:r w:rsidR="0040476B">
            <w:t>oad</w:t>
          </w:r>
        </w:smartTag>
      </w:smartTag>
    </w:p>
    <w:p w:rsidR="008A7314" w:rsidRDefault="008A7314" w:rsidP="0040476B">
      <w:pPr>
        <w:pStyle w:val="TextTi12"/>
        <w:spacing w:after="0"/>
      </w:pPr>
      <w:r>
        <w:t>D</w:t>
      </w:r>
      <w:r w:rsidR="0040476B">
        <w:t>ee Why</w:t>
      </w:r>
      <w:r>
        <w:t xml:space="preserve">   NSW   2099</w:t>
      </w:r>
    </w:p>
    <w:p w:rsidR="0040476B" w:rsidRDefault="0040476B" w:rsidP="0040476B">
      <w:pPr>
        <w:suppressAutoHyphens/>
        <w:rPr>
          <w:spacing w:val="-3"/>
          <w:sz w:val="24"/>
          <w:szCs w:val="24"/>
        </w:rPr>
      </w:pPr>
      <w:smartTag w:uri="urn:schemas-microsoft-com:office:smarttags" w:element="address">
        <w:smartTag w:uri="urn:schemas-microsoft-com:office:smarttags" w:element="City">
          <w:r>
            <w:rPr>
              <w:spacing w:val="-3"/>
              <w:sz w:val="24"/>
              <w:szCs w:val="24"/>
            </w:rPr>
            <w:t>AUSTRALIA</w:t>
          </w:r>
        </w:smartTag>
      </w:smartTag>
    </w:p>
    <w:p w:rsidR="00F97551" w:rsidRPr="00F97551" w:rsidRDefault="007D0A07" w:rsidP="00F97551">
      <w:pPr>
        <w:pStyle w:val="TextTi12"/>
        <w:spacing w:after="0" w:line="240" w:lineRule="auto"/>
      </w:pPr>
      <w:r>
        <w:t>Medical</w:t>
      </w:r>
      <w:r w:rsidR="00F97551" w:rsidRPr="00F97551">
        <w:t xml:space="preserve"> enquiries: 1800 233 950</w:t>
      </w:r>
    </w:p>
    <w:p w:rsidR="00F97551" w:rsidRDefault="00F97551" w:rsidP="0040476B">
      <w:pPr>
        <w:suppressAutoHyphens/>
        <w:rPr>
          <w:spacing w:val="-3"/>
          <w:sz w:val="24"/>
          <w:szCs w:val="24"/>
        </w:rPr>
      </w:pPr>
    </w:p>
    <w:p w:rsidR="00996301" w:rsidRPr="00996301" w:rsidRDefault="00996301" w:rsidP="00996301">
      <w:pPr>
        <w:suppressAutoHyphens/>
        <w:rPr>
          <w:b/>
          <w:sz w:val="24"/>
        </w:rPr>
      </w:pPr>
      <w:r w:rsidRPr="00996301">
        <w:rPr>
          <w:b/>
          <w:sz w:val="24"/>
        </w:rPr>
        <w:t>DATE OF FIRST INCLUSION IN THE AUSTRALIAN REGISTER OF</w:t>
      </w:r>
    </w:p>
    <w:p w:rsidR="00996301" w:rsidRDefault="00996301" w:rsidP="002C4E86">
      <w:pPr>
        <w:autoSpaceDE w:val="0"/>
        <w:autoSpaceDN w:val="0"/>
        <w:adjustRightInd w:val="0"/>
        <w:rPr>
          <w:b/>
          <w:sz w:val="24"/>
        </w:rPr>
      </w:pPr>
      <w:r w:rsidRPr="00996301">
        <w:rPr>
          <w:b/>
          <w:sz w:val="24"/>
        </w:rPr>
        <w:t>THERAPEUTIC GOODS (THE ARTG)</w:t>
      </w:r>
    </w:p>
    <w:p w:rsidR="00F70332" w:rsidRPr="007F7A9C" w:rsidRDefault="00F70332" w:rsidP="00F70332">
      <w:pPr>
        <w:rPr>
          <w:spacing w:val="-3"/>
          <w:sz w:val="24"/>
          <w:szCs w:val="24"/>
        </w:rPr>
      </w:pPr>
      <w:r w:rsidRPr="007F7A9C">
        <w:rPr>
          <w:spacing w:val="-3"/>
          <w:sz w:val="24"/>
          <w:szCs w:val="24"/>
        </w:rPr>
        <w:t>24 February 2005</w:t>
      </w:r>
    </w:p>
    <w:p w:rsidR="00996301" w:rsidRPr="00996301" w:rsidRDefault="00996301" w:rsidP="002C4E86">
      <w:pPr>
        <w:autoSpaceDE w:val="0"/>
        <w:autoSpaceDN w:val="0"/>
        <w:adjustRightInd w:val="0"/>
        <w:rPr>
          <w:b/>
          <w:sz w:val="24"/>
          <w:szCs w:val="24"/>
        </w:rPr>
      </w:pPr>
    </w:p>
    <w:p w:rsidR="00F70332" w:rsidRPr="00BD3577" w:rsidRDefault="00996301" w:rsidP="002C4E86">
      <w:pPr>
        <w:autoSpaceDE w:val="0"/>
        <w:autoSpaceDN w:val="0"/>
        <w:adjustRightInd w:val="0"/>
        <w:rPr>
          <w:b/>
          <w:bCs/>
          <w:sz w:val="24"/>
          <w:szCs w:val="24"/>
          <w:lang w:eastAsia="zh-TW"/>
        </w:rPr>
      </w:pPr>
      <w:r w:rsidRPr="00BD3577">
        <w:rPr>
          <w:b/>
          <w:bCs/>
          <w:sz w:val="24"/>
          <w:szCs w:val="24"/>
          <w:lang w:eastAsia="zh-TW"/>
        </w:rPr>
        <w:t>DATE OF MOST RECENT AMENDMENT</w:t>
      </w:r>
    </w:p>
    <w:p w:rsidR="0056625A" w:rsidRPr="00AE1243" w:rsidRDefault="009E2FF8" w:rsidP="00BD3577">
      <w:pPr>
        <w:rPr>
          <w:spacing w:val="-3"/>
          <w:sz w:val="24"/>
          <w:szCs w:val="24"/>
        </w:rPr>
      </w:pPr>
      <w:r>
        <w:rPr>
          <w:spacing w:val="-3"/>
          <w:sz w:val="24"/>
          <w:szCs w:val="24"/>
        </w:rPr>
        <w:t>19 November 2014</w:t>
      </w:r>
    </w:p>
    <w:sectPr w:rsidR="0056625A" w:rsidRPr="00AE1243" w:rsidSect="005678D6">
      <w:pgSz w:w="11907" w:h="16840" w:code="9"/>
      <w:pgMar w:top="454" w:right="1247" w:bottom="284" w:left="1247" w:header="397" w:footer="284"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00" w:rsidRDefault="000F3600">
      <w:r>
        <w:separator/>
      </w:r>
    </w:p>
  </w:endnote>
  <w:endnote w:type="continuationSeparator" w:id="0">
    <w:p w:rsidR="000F3600" w:rsidRDefault="000F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Roche">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BoldOblique">
    <w:altName w:val="Times New Roman"/>
    <w:panose1 w:val="00000000000000000000"/>
    <w:charset w:val="4D"/>
    <w:family w:val="swiss"/>
    <w:notTrueType/>
    <w:pitch w:val="default"/>
    <w:sig w:usb0="03000000" w:usb1="00000000" w:usb2="00000000" w:usb3="00000000" w:csb0="00000001"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24" w:rsidRDefault="00E26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217">
      <w:rPr>
        <w:rStyle w:val="PageNumber"/>
      </w:rPr>
      <w:t>33</w:t>
    </w:r>
    <w:r>
      <w:rPr>
        <w:rStyle w:val="PageNumber"/>
      </w:rPr>
      <w:fldChar w:fldCharType="end"/>
    </w:r>
  </w:p>
  <w:p w:rsidR="00E26824" w:rsidRDefault="00E26824">
    <w:pPr>
      <w:pStyle w:val="Footer"/>
      <w:ind w:right="360"/>
    </w:pPr>
  </w:p>
  <w:p w:rsidR="00E26824" w:rsidRDefault="00E268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24" w:rsidRPr="006B1303" w:rsidRDefault="00E26824" w:rsidP="00827C7D">
    <w:pPr>
      <w:pStyle w:val="Header"/>
      <w:rPr>
        <w:rFonts w:ascii="Arial" w:hAnsi="Arial" w:cs="Arial"/>
        <w:sz w:val="16"/>
        <w:szCs w:val="16"/>
      </w:rPr>
    </w:pPr>
    <w:r w:rsidRPr="006B1303">
      <w:rPr>
        <w:rFonts w:ascii="Arial" w:hAnsi="Arial" w:cs="Arial"/>
        <w:sz w:val="16"/>
        <w:szCs w:val="16"/>
      </w:rPr>
      <w:t>AVASTIN</w:t>
    </w:r>
    <w:r w:rsidRPr="006B1303">
      <w:rPr>
        <w:rFonts w:ascii="Arial" w:hAnsi="Arial" w:cs="Arial"/>
        <w:sz w:val="16"/>
        <w:szCs w:val="16"/>
        <w:vertAlign w:val="superscript"/>
      </w:rPr>
      <w:t>®</w:t>
    </w:r>
    <w:r w:rsidRPr="006B1303">
      <w:rPr>
        <w:rFonts w:ascii="Arial" w:hAnsi="Arial" w:cs="Arial"/>
        <w:sz w:val="16"/>
        <w:szCs w:val="16"/>
      </w:rPr>
      <w:t xml:space="preserve"> PI </w:t>
    </w:r>
    <w:r w:rsidR="008344BF">
      <w:rPr>
        <w:rFonts w:ascii="Arial" w:hAnsi="Arial" w:cs="Arial"/>
        <w:sz w:val="16"/>
        <w:szCs w:val="16"/>
      </w:rPr>
      <w:t>141</w:t>
    </w:r>
    <w:r w:rsidR="009E2FF8">
      <w:rPr>
        <w:rFonts w:ascii="Arial" w:hAnsi="Arial" w:cs="Arial"/>
        <w:sz w:val="16"/>
        <w:szCs w:val="16"/>
      </w:rPr>
      <w:t>119</w:t>
    </w:r>
  </w:p>
  <w:p w:rsidR="00E26824" w:rsidRPr="00827C7D" w:rsidRDefault="00E26824" w:rsidP="00827C7D">
    <w:pPr>
      <w:pStyle w:val="Header"/>
      <w:tabs>
        <w:tab w:val="clear" w:pos="8640"/>
        <w:tab w:val="right" w:pos="9214"/>
      </w:tabs>
      <w:rPr>
        <w:rFonts w:ascii="Arial" w:hAnsi="Arial" w:cs="Arial"/>
        <w:sz w:val="16"/>
        <w:szCs w:val="16"/>
      </w:rPr>
    </w:pPr>
    <w:r w:rsidRPr="006B1303">
      <w:rPr>
        <w:rFonts w:ascii="Arial" w:hAnsi="Arial" w:cs="Arial"/>
        <w:sz w:val="16"/>
        <w:szCs w:val="16"/>
      </w:rPr>
      <w:tab/>
    </w:r>
    <w:r w:rsidRPr="006B1303">
      <w:rPr>
        <w:rFonts w:ascii="Arial" w:hAnsi="Arial" w:cs="Arial"/>
        <w:sz w:val="16"/>
        <w:szCs w:val="16"/>
      </w:rPr>
      <w:tab/>
    </w:r>
    <w:r w:rsidRPr="00827C7D">
      <w:rPr>
        <w:rStyle w:val="PageNumber"/>
        <w:rFonts w:ascii="Arial" w:hAnsi="Arial" w:cs="Arial"/>
        <w:smallCaps w:val="0"/>
        <w:sz w:val="16"/>
        <w:szCs w:val="16"/>
      </w:rPr>
      <w:fldChar w:fldCharType="begin"/>
    </w:r>
    <w:r w:rsidRPr="00827C7D">
      <w:rPr>
        <w:rStyle w:val="PageNumber"/>
        <w:rFonts w:ascii="Arial" w:hAnsi="Arial" w:cs="Arial"/>
        <w:smallCaps w:val="0"/>
        <w:sz w:val="16"/>
        <w:szCs w:val="16"/>
      </w:rPr>
      <w:instrText xml:space="preserve"> PAGE </w:instrText>
    </w:r>
    <w:r w:rsidRPr="00827C7D">
      <w:rPr>
        <w:rStyle w:val="PageNumber"/>
        <w:rFonts w:ascii="Arial" w:hAnsi="Arial" w:cs="Arial"/>
        <w:smallCaps w:val="0"/>
        <w:sz w:val="16"/>
        <w:szCs w:val="16"/>
      </w:rPr>
      <w:fldChar w:fldCharType="separate"/>
    </w:r>
    <w:r w:rsidR="001C3D2C">
      <w:rPr>
        <w:rStyle w:val="PageNumber"/>
        <w:rFonts w:ascii="Arial" w:hAnsi="Arial" w:cs="Arial"/>
        <w:smallCaps w:val="0"/>
        <w:sz w:val="16"/>
        <w:szCs w:val="16"/>
      </w:rPr>
      <w:t>35</w:t>
    </w:r>
    <w:r w:rsidRPr="00827C7D">
      <w:rPr>
        <w:rStyle w:val="PageNumber"/>
        <w:rFonts w:ascii="Arial" w:hAnsi="Arial" w:cs="Arial"/>
        <w:smallCaps w:val="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24" w:rsidRPr="00827C7D" w:rsidRDefault="00E26824" w:rsidP="00827C7D">
    <w:pPr>
      <w:pStyle w:val="Header"/>
      <w:rPr>
        <w:rFonts w:ascii="Arial" w:hAnsi="Arial" w:cs="Arial"/>
        <w:sz w:val="16"/>
        <w:szCs w:val="16"/>
      </w:rPr>
    </w:pPr>
    <w:r w:rsidRPr="00827C7D">
      <w:rPr>
        <w:rFonts w:ascii="Arial" w:hAnsi="Arial" w:cs="Arial"/>
        <w:sz w:val="16"/>
        <w:szCs w:val="16"/>
      </w:rPr>
      <w:t>AVASTIN</w:t>
    </w:r>
    <w:r w:rsidRPr="00827C7D">
      <w:rPr>
        <w:rFonts w:ascii="Arial" w:hAnsi="Arial" w:cs="Arial"/>
        <w:sz w:val="16"/>
        <w:szCs w:val="16"/>
        <w:vertAlign w:val="superscript"/>
      </w:rPr>
      <w:t>®</w:t>
    </w:r>
    <w:r w:rsidRPr="00827C7D">
      <w:rPr>
        <w:rFonts w:ascii="Arial" w:hAnsi="Arial" w:cs="Arial"/>
        <w:sz w:val="16"/>
        <w:szCs w:val="16"/>
      </w:rPr>
      <w:t xml:space="preserve"> PI </w:t>
    </w:r>
    <w:r>
      <w:rPr>
        <w:rFonts w:ascii="Arial" w:hAnsi="Arial" w:cs="Arial"/>
        <w:sz w:val="16"/>
        <w:szCs w:val="16"/>
      </w:rPr>
      <w:t>090824_D</w:t>
    </w:r>
  </w:p>
  <w:p w:rsidR="00E26824" w:rsidRPr="00827C7D" w:rsidRDefault="00E26824" w:rsidP="00827C7D">
    <w:pPr>
      <w:pStyle w:val="Header"/>
      <w:tabs>
        <w:tab w:val="clear" w:pos="8640"/>
        <w:tab w:val="right" w:pos="9072"/>
      </w:tabs>
      <w:rPr>
        <w:rFonts w:ascii="Arial" w:hAnsi="Arial" w:cs="Arial"/>
        <w:sz w:val="16"/>
        <w:szCs w:val="16"/>
      </w:rPr>
    </w:pPr>
    <w:r w:rsidRPr="00827C7D">
      <w:rPr>
        <w:rFonts w:ascii="Arial" w:hAnsi="Arial" w:cs="Arial"/>
        <w:sz w:val="16"/>
        <w:szCs w:val="16"/>
      </w:rPr>
      <w:t xml:space="preserve">CDS </w:t>
    </w:r>
    <w:r>
      <w:rPr>
        <w:rFonts w:ascii="Arial" w:hAnsi="Arial" w:cs="Arial"/>
        <w:sz w:val="16"/>
        <w:szCs w:val="16"/>
      </w:rPr>
      <w:t>11.0, 14.0</w:t>
    </w:r>
    <w:r>
      <w:tab/>
    </w:r>
    <w:r>
      <w:tab/>
    </w:r>
    <w:r w:rsidRPr="00827C7D">
      <w:rPr>
        <w:rStyle w:val="PageNumber"/>
        <w:rFonts w:ascii="Arial" w:hAnsi="Arial" w:cs="Arial"/>
        <w:smallCaps w:val="0"/>
        <w:sz w:val="16"/>
        <w:szCs w:val="16"/>
      </w:rPr>
      <w:t xml:space="preserve">Page </w:t>
    </w:r>
    <w:r w:rsidRPr="00827C7D">
      <w:rPr>
        <w:rStyle w:val="PageNumber"/>
        <w:rFonts w:ascii="Arial" w:hAnsi="Arial" w:cs="Arial"/>
        <w:smallCaps w:val="0"/>
        <w:sz w:val="16"/>
        <w:szCs w:val="16"/>
      </w:rPr>
      <w:fldChar w:fldCharType="begin"/>
    </w:r>
    <w:r w:rsidRPr="00827C7D">
      <w:rPr>
        <w:rStyle w:val="PageNumber"/>
        <w:rFonts w:ascii="Arial" w:hAnsi="Arial" w:cs="Arial"/>
        <w:smallCaps w:val="0"/>
        <w:sz w:val="16"/>
        <w:szCs w:val="16"/>
      </w:rPr>
      <w:instrText xml:space="preserve"> PAGE </w:instrText>
    </w:r>
    <w:r w:rsidRPr="00827C7D">
      <w:rPr>
        <w:rStyle w:val="PageNumber"/>
        <w:rFonts w:ascii="Arial" w:hAnsi="Arial" w:cs="Arial"/>
        <w:smallCaps w:val="0"/>
        <w:sz w:val="16"/>
        <w:szCs w:val="16"/>
      </w:rPr>
      <w:fldChar w:fldCharType="separate"/>
    </w:r>
    <w:r w:rsidR="00E15217">
      <w:rPr>
        <w:rStyle w:val="PageNumber"/>
        <w:rFonts w:ascii="Arial" w:hAnsi="Arial" w:cs="Arial"/>
        <w:smallCaps w:val="0"/>
        <w:sz w:val="16"/>
        <w:szCs w:val="16"/>
      </w:rPr>
      <w:t>33</w:t>
    </w:r>
    <w:r w:rsidRPr="00827C7D">
      <w:rPr>
        <w:rStyle w:val="PageNumber"/>
        <w:rFonts w:ascii="Arial" w:hAnsi="Arial" w:cs="Arial"/>
        <w:smallCaps w:val="0"/>
        <w:sz w:val="16"/>
        <w:szCs w:val="16"/>
      </w:rPr>
      <w:fldChar w:fldCharType="end"/>
    </w:r>
    <w:r w:rsidRPr="00827C7D">
      <w:rPr>
        <w:rStyle w:val="PageNumber"/>
        <w:rFonts w:ascii="Arial" w:hAnsi="Arial" w:cs="Arial"/>
        <w:smallCaps w:val="0"/>
        <w:sz w:val="16"/>
        <w:szCs w:val="16"/>
      </w:rPr>
      <w:t xml:space="preserve"> of </w:t>
    </w:r>
    <w:r w:rsidRPr="00827C7D">
      <w:rPr>
        <w:rStyle w:val="PageNumber"/>
        <w:rFonts w:ascii="Arial" w:hAnsi="Arial" w:cs="Arial"/>
        <w:smallCaps w:val="0"/>
        <w:sz w:val="16"/>
        <w:szCs w:val="16"/>
      </w:rPr>
      <w:fldChar w:fldCharType="begin"/>
    </w:r>
    <w:r w:rsidRPr="00827C7D">
      <w:rPr>
        <w:rStyle w:val="PageNumber"/>
        <w:rFonts w:ascii="Arial" w:hAnsi="Arial" w:cs="Arial"/>
        <w:smallCaps w:val="0"/>
        <w:sz w:val="16"/>
        <w:szCs w:val="16"/>
      </w:rPr>
      <w:instrText xml:space="preserve"> NUMPAGES </w:instrText>
    </w:r>
    <w:r w:rsidRPr="00827C7D">
      <w:rPr>
        <w:rStyle w:val="PageNumber"/>
        <w:rFonts w:ascii="Arial" w:hAnsi="Arial" w:cs="Arial"/>
        <w:smallCaps w:val="0"/>
        <w:sz w:val="16"/>
        <w:szCs w:val="16"/>
      </w:rPr>
      <w:fldChar w:fldCharType="separate"/>
    </w:r>
    <w:r w:rsidR="00E15217">
      <w:rPr>
        <w:rStyle w:val="PageNumber"/>
        <w:rFonts w:ascii="Arial" w:hAnsi="Arial" w:cs="Arial"/>
        <w:smallCaps w:val="0"/>
        <w:sz w:val="16"/>
        <w:szCs w:val="16"/>
      </w:rPr>
      <w:t>33</w:t>
    </w:r>
    <w:r w:rsidRPr="00827C7D">
      <w:rPr>
        <w:rStyle w:val="PageNumber"/>
        <w:rFonts w:ascii="Arial" w:hAnsi="Arial" w:cs="Arial"/>
        <w:smallCaps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00" w:rsidRDefault="000F3600">
      <w:r>
        <w:separator/>
      </w:r>
    </w:p>
  </w:footnote>
  <w:footnote w:type="continuationSeparator" w:id="0">
    <w:p w:rsidR="000F3600" w:rsidRDefault="000F3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E" w:rsidRDefault="00901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2E0"/>
      <w:tblLook w:val="04A0" w:firstRow="1" w:lastRow="0" w:firstColumn="1" w:lastColumn="0" w:noHBand="0" w:noVBand="1"/>
    </w:tblPr>
    <w:tblGrid>
      <w:gridCol w:w="8720"/>
    </w:tblGrid>
    <w:tr w:rsidR="0090161E" w:rsidTr="000F3600">
      <w:tc>
        <w:tcPr>
          <w:tcW w:w="8720" w:type="dxa"/>
          <w:shd w:val="clear" w:color="auto" w:fill="E4F2E0"/>
        </w:tcPr>
        <w:p w:rsidR="0090161E" w:rsidRPr="000F3600" w:rsidRDefault="0090161E" w:rsidP="000F3600">
          <w:pPr>
            <w:spacing w:before="40" w:after="40" w:line="280" w:lineRule="atLeast"/>
            <w:rPr>
              <w:rFonts w:ascii="Cambria" w:hAnsi="Cambria"/>
              <w:b/>
              <w:sz w:val="20"/>
            </w:rPr>
          </w:pPr>
          <w:r w:rsidRPr="000F3600">
            <w:rPr>
              <w:rFonts w:ascii="Cambria" w:hAnsi="Cambria"/>
              <w:b/>
              <w:sz w:val="20"/>
            </w:rPr>
            <w:t xml:space="preserve">Attachment 1: Product information for </w:t>
          </w:r>
          <w:proofErr w:type="spellStart"/>
          <w:r w:rsidRPr="000F3600">
            <w:rPr>
              <w:rFonts w:ascii="Cambria" w:hAnsi="Cambria"/>
              <w:b/>
              <w:sz w:val="20"/>
            </w:rPr>
            <w:t>AusPAR</w:t>
          </w:r>
          <w:proofErr w:type="spellEnd"/>
          <w:r w:rsidRPr="000F3600">
            <w:rPr>
              <w:rFonts w:ascii="Cambria" w:hAnsi="Cambria"/>
              <w:b/>
              <w:sz w:val="20"/>
            </w:rPr>
            <w:t xml:space="preserve"> </w:t>
          </w:r>
          <w:proofErr w:type="spellStart"/>
          <w:r w:rsidRPr="000F3600">
            <w:rPr>
              <w:rFonts w:ascii="Cambria" w:hAnsi="Cambria"/>
              <w:b/>
              <w:sz w:val="20"/>
            </w:rPr>
            <w:t>Avastin</w:t>
          </w:r>
          <w:proofErr w:type="spellEnd"/>
          <w:r w:rsidRPr="000F3600">
            <w:rPr>
              <w:rFonts w:ascii="Cambria" w:hAnsi="Cambria"/>
              <w:b/>
              <w:sz w:val="20"/>
            </w:rPr>
            <w:t xml:space="preserve"> </w:t>
          </w:r>
          <w:proofErr w:type="spellStart"/>
          <w:r w:rsidRPr="000F3600">
            <w:rPr>
              <w:rFonts w:ascii="Cambria" w:hAnsi="Cambria"/>
              <w:b/>
              <w:sz w:val="20"/>
            </w:rPr>
            <w:t>Bevacizumab</w:t>
          </w:r>
          <w:proofErr w:type="spellEnd"/>
          <w:r w:rsidRPr="000F3600">
            <w:rPr>
              <w:rFonts w:ascii="Cambria" w:hAnsi="Cambria"/>
              <w:b/>
              <w:sz w:val="20"/>
            </w:rPr>
            <w:t xml:space="preserve"> </w:t>
          </w:r>
          <w:r w:rsidRPr="000F3600">
            <w:rPr>
              <w:rFonts w:ascii="Cambria" w:hAnsi="Cambria" w:cs="Arial"/>
              <w:b/>
              <w:sz w:val="20"/>
            </w:rPr>
            <w:t>Roche Products Pty Ltd</w:t>
          </w:r>
          <w:r w:rsidRPr="000F3600">
            <w:rPr>
              <w:rFonts w:ascii="Cambria" w:hAnsi="Cambria"/>
              <w:b/>
              <w:sz w:val="20"/>
            </w:rPr>
            <w:t xml:space="preserve"> PM-2013-03227-1-4 Final 11 March 2015 This Product Information was approved at the time this </w:t>
          </w:r>
          <w:proofErr w:type="spellStart"/>
          <w:r w:rsidRPr="000F3600">
            <w:rPr>
              <w:rFonts w:ascii="Cambria" w:hAnsi="Cambria"/>
              <w:b/>
              <w:sz w:val="20"/>
            </w:rPr>
            <w:t>AusPAR</w:t>
          </w:r>
          <w:proofErr w:type="spellEnd"/>
          <w:r w:rsidRPr="000F3600">
            <w:rPr>
              <w:rFonts w:ascii="Cambria" w:hAnsi="Cambria"/>
              <w:b/>
              <w:sz w:val="20"/>
            </w:rPr>
            <w:t xml:space="preserve"> was published.</w:t>
          </w:r>
        </w:p>
      </w:tc>
    </w:tr>
  </w:tbl>
  <w:p w:rsidR="00E26824" w:rsidRPr="005C4E9C" w:rsidRDefault="0087418D" w:rsidP="0090161E">
    <w:pPr>
      <w:rPr>
        <w:sz w:val="48"/>
        <w:szCs w:val="48"/>
      </w:rPr>
    </w:pPr>
    <w:r>
      <w:rPr>
        <w:noProof/>
        <w:sz w:val="48"/>
        <w:szCs w:val="48"/>
        <w:lang w:eastAsia="en-AU"/>
      </w:rPr>
      <w:drawing>
        <wp:inline distT="0" distB="0" distL="0" distR="0">
          <wp:extent cx="552450" cy="285750"/>
          <wp:effectExtent l="0" t="0" r="0" b="0"/>
          <wp:docPr id="1" name="Picture 1" descr="roch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24" w:rsidRDefault="00E26824" w:rsidP="005025C3">
    <w:pPr>
      <w:jc w:val="right"/>
    </w:pPr>
    <w:r w:rsidRPr="005025C3">
      <w:rPr>
        <w:rFonts w:ascii="Roche" w:hAnsi="Roche"/>
        <w:sz w:val="48"/>
        <w:szCs w:val="4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613"/>
    <w:multiLevelType w:val="singleLevel"/>
    <w:tmpl w:val="B89E21EA"/>
    <w:lvl w:ilvl="0">
      <w:start w:val="1"/>
      <w:numFmt w:val="bullet"/>
      <w:lvlText w:val=""/>
      <w:lvlJc w:val="left"/>
      <w:pPr>
        <w:tabs>
          <w:tab w:val="num" w:pos="360"/>
        </w:tabs>
        <w:ind w:left="360" w:hanging="360"/>
      </w:pPr>
      <w:rPr>
        <w:rFonts w:ascii="Wingdings" w:hAnsi="Wingdings" w:hint="default"/>
      </w:rPr>
    </w:lvl>
  </w:abstractNum>
  <w:abstractNum w:abstractNumId="1">
    <w:nsid w:val="03FA3A14"/>
    <w:multiLevelType w:val="singleLevel"/>
    <w:tmpl w:val="B89E21EA"/>
    <w:lvl w:ilvl="0">
      <w:start w:val="1"/>
      <w:numFmt w:val="bullet"/>
      <w:lvlText w:val=""/>
      <w:lvlJc w:val="left"/>
      <w:pPr>
        <w:tabs>
          <w:tab w:val="num" w:pos="360"/>
        </w:tabs>
        <w:ind w:left="360" w:hanging="360"/>
      </w:pPr>
      <w:rPr>
        <w:rFonts w:ascii="Wingdings" w:hAnsi="Wingdings" w:hint="default"/>
      </w:rPr>
    </w:lvl>
  </w:abstractNum>
  <w:abstractNum w:abstractNumId="2">
    <w:nsid w:val="04F55EF5"/>
    <w:multiLevelType w:val="hybridMultilevel"/>
    <w:tmpl w:val="75A49874"/>
    <w:lvl w:ilvl="0" w:tplc="A2FACC9C">
      <w:start w:val="1"/>
      <w:numFmt w:val="bullet"/>
      <w:pStyle w:val="TextBull"/>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07E3D78"/>
    <w:multiLevelType w:val="singleLevel"/>
    <w:tmpl w:val="E43EDEE6"/>
    <w:lvl w:ilvl="0">
      <w:start w:val="1"/>
      <w:numFmt w:val="decimal"/>
      <w:pStyle w:val="TextRef"/>
      <w:lvlText w:val="%1."/>
      <w:lvlJc w:val="left"/>
      <w:pPr>
        <w:tabs>
          <w:tab w:val="num" w:pos="360"/>
        </w:tabs>
        <w:ind w:left="360" w:hanging="360"/>
      </w:pPr>
    </w:lvl>
  </w:abstractNum>
  <w:abstractNum w:abstractNumId="4">
    <w:nsid w:val="222E0919"/>
    <w:multiLevelType w:val="hybridMultilevel"/>
    <w:tmpl w:val="220A4C6E"/>
    <w:lvl w:ilvl="0" w:tplc="637282C4">
      <w:start w:val="1"/>
      <w:numFmt w:val="lowerRoman"/>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nsid w:val="2F5C2BE0"/>
    <w:multiLevelType w:val="singleLevel"/>
    <w:tmpl w:val="B89E21EA"/>
    <w:lvl w:ilvl="0">
      <w:start w:val="1"/>
      <w:numFmt w:val="bullet"/>
      <w:lvlText w:val=""/>
      <w:lvlJc w:val="left"/>
      <w:pPr>
        <w:tabs>
          <w:tab w:val="num" w:pos="360"/>
        </w:tabs>
        <w:ind w:left="360" w:hanging="360"/>
      </w:pPr>
      <w:rPr>
        <w:rFonts w:ascii="Wingdings" w:hAnsi="Wingdings" w:hint="default"/>
      </w:rPr>
    </w:lvl>
  </w:abstractNum>
  <w:abstractNum w:abstractNumId="6">
    <w:nsid w:val="2F7D0F78"/>
    <w:multiLevelType w:val="singleLevel"/>
    <w:tmpl w:val="40E632E2"/>
    <w:lvl w:ilvl="0">
      <w:start w:val="1"/>
      <w:numFmt w:val="decimal"/>
      <w:lvlText w:val="%1."/>
      <w:legacy w:legacy="1" w:legacySpace="0" w:legacyIndent="283"/>
      <w:lvlJc w:val="left"/>
      <w:pPr>
        <w:ind w:left="283" w:hanging="283"/>
      </w:pPr>
    </w:lvl>
  </w:abstractNum>
  <w:abstractNum w:abstractNumId="7">
    <w:nsid w:val="32576CBF"/>
    <w:multiLevelType w:val="hybridMultilevel"/>
    <w:tmpl w:val="4690989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327B5D71"/>
    <w:multiLevelType w:val="hybridMultilevel"/>
    <w:tmpl w:val="E1307B76"/>
    <w:lvl w:ilvl="0" w:tplc="04090001">
      <w:start w:val="1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1C0CFA"/>
    <w:multiLevelType w:val="hybridMultilevel"/>
    <w:tmpl w:val="CD561BD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5A1528A2"/>
    <w:multiLevelType w:val="hybridMultilevel"/>
    <w:tmpl w:val="FD6CB6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A554AD4"/>
    <w:multiLevelType w:val="hybridMultilevel"/>
    <w:tmpl w:val="E1B6A8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CC420CB"/>
    <w:multiLevelType w:val="hybridMultilevel"/>
    <w:tmpl w:val="7AFED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FE93A88"/>
    <w:multiLevelType w:val="hybridMultilevel"/>
    <w:tmpl w:val="5D7CB3C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6CB1090A"/>
    <w:multiLevelType w:val="singleLevel"/>
    <w:tmpl w:val="B89E21EA"/>
    <w:lvl w:ilvl="0">
      <w:start w:val="1"/>
      <w:numFmt w:val="bullet"/>
      <w:lvlText w:val=""/>
      <w:lvlJc w:val="left"/>
      <w:pPr>
        <w:tabs>
          <w:tab w:val="num" w:pos="360"/>
        </w:tabs>
        <w:ind w:left="360" w:hanging="360"/>
      </w:pPr>
      <w:rPr>
        <w:rFonts w:ascii="Wingdings" w:hAnsi="Wingdings" w:hint="default"/>
      </w:rPr>
    </w:lvl>
  </w:abstractNum>
  <w:abstractNum w:abstractNumId="15">
    <w:nsid w:val="6DBA4DB7"/>
    <w:multiLevelType w:val="hybridMultilevel"/>
    <w:tmpl w:val="6B4E197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13"/>
  </w:num>
  <w:num w:numId="4">
    <w:abstractNumId w:val="5"/>
  </w:num>
  <w:num w:numId="5">
    <w:abstractNumId w:val="14"/>
  </w:num>
  <w:num w:numId="6">
    <w:abstractNumId w:val="1"/>
  </w:num>
  <w:num w:numId="7">
    <w:abstractNumId w:val="9"/>
  </w:num>
  <w:num w:numId="8">
    <w:abstractNumId w:val="7"/>
  </w:num>
  <w:num w:numId="9">
    <w:abstractNumId w:val="11"/>
  </w:num>
  <w:num w:numId="10">
    <w:abstractNumId w:val="10"/>
  </w:num>
  <w:num w:numId="11">
    <w:abstractNumId w:val="15"/>
  </w:num>
  <w:num w:numId="12">
    <w:abstractNumId w:val="4"/>
  </w:num>
  <w:num w:numId="13">
    <w:abstractNumId w:val="2"/>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39"/>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14"/>
    <w:rsid w:val="00001D57"/>
    <w:rsid w:val="00002205"/>
    <w:rsid w:val="00003709"/>
    <w:rsid w:val="00003BCC"/>
    <w:rsid w:val="0000421B"/>
    <w:rsid w:val="00004DEE"/>
    <w:rsid w:val="000105FB"/>
    <w:rsid w:val="00010FB5"/>
    <w:rsid w:val="00013009"/>
    <w:rsid w:val="00013AF2"/>
    <w:rsid w:val="000147A0"/>
    <w:rsid w:val="00014E4F"/>
    <w:rsid w:val="00014E8E"/>
    <w:rsid w:val="00017C21"/>
    <w:rsid w:val="00021C8E"/>
    <w:rsid w:val="00023B4E"/>
    <w:rsid w:val="000252FF"/>
    <w:rsid w:val="00025D05"/>
    <w:rsid w:val="00025D9E"/>
    <w:rsid w:val="00025E9B"/>
    <w:rsid w:val="00025EC0"/>
    <w:rsid w:val="00027EC2"/>
    <w:rsid w:val="00031683"/>
    <w:rsid w:val="00033EEB"/>
    <w:rsid w:val="00037988"/>
    <w:rsid w:val="00040E3D"/>
    <w:rsid w:val="000413A5"/>
    <w:rsid w:val="0004186B"/>
    <w:rsid w:val="0004225A"/>
    <w:rsid w:val="000432E5"/>
    <w:rsid w:val="0004429E"/>
    <w:rsid w:val="00047557"/>
    <w:rsid w:val="0005071F"/>
    <w:rsid w:val="000525C5"/>
    <w:rsid w:val="000540B3"/>
    <w:rsid w:val="00055220"/>
    <w:rsid w:val="000577CF"/>
    <w:rsid w:val="0006090B"/>
    <w:rsid w:val="0006191D"/>
    <w:rsid w:val="00062C50"/>
    <w:rsid w:val="00063D56"/>
    <w:rsid w:val="000647B1"/>
    <w:rsid w:val="00066331"/>
    <w:rsid w:val="00066C62"/>
    <w:rsid w:val="000704E1"/>
    <w:rsid w:val="00072074"/>
    <w:rsid w:val="000779CE"/>
    <w:rsid w:val="0008156B"/>
    <w:rsid w:val="000838D1"/>
    <w:rsid w:val="00084DE4"/>
    <w:rsid w:val="000872CB"/>
    <w:rsid w:val="00091E76"/>
    <w:rsid w:val="000920C0"/>
    <w:rsid w:val="000938CC"/>
    <w:rsid w:val="00094952"/>
    <w:rsid w:val="00095E94"/>
    <w:rsid w:val="00096068"/>
    <w:rsid w:val="00096DB5"/>
    <w:rsid w:val="00096DC6"/>
    <w:rsid w:val="000A0581"/>
    <w:rsid w:val="000A0B8C"/>
    <w:rsid w:val="000A1BCD"/>
    <w:rsid w:val="000A217C"/>
    <w:rsid w:val="000A228E"/>
    <w:rsid w:val="000A2EC9"/>
    <w:rsid w:val="000A427F"/>
    <w:rsid w:val="000A4D21"/>
    <w:rsid w:val="000A6277"/>
    <w:rsid w:val="000A74B2"/>
    <w:rsid w:val="000B05D8"/>
    <w:rsid w:val="000B0F13"/>
    <w:rsid w:val="000B3641"/>
    <w:rsid w:val="000B44DC"/>
    <w:rsid w:val="000B5087"/>
    <w:rsid w:val="000B5641"/>
    <w:rsid w:val="000B5CA0"/>
    <w:rsid w:val="000C0B36"/>
    <w:rsid w:val="000C174A"/>
    <w:rsid w:val="000C2D40"/>
    <w:rsid w:val="000C38EC"/>
    <w:rsid w:val="000C45C4"/>
    <w:rsid w:val="000C731C"/>
    <w:rsid w:val="000C7976"/>
    <w:rsid w:val="000D056A"/>
    <w:rsid w:val="000D0C46"/>
    <w:rsid w:val="000D2D35"/>
    <w:rsid w:val="000D323D"/>
    <w:rsid w:val="000D3E96"/>
    <w:rsid w:val="000D4626"/>
    <w:rsid w:val="000D49B8"/>
    <w:rsid w:val="000E0D2B"/>
    <w:rsid w:val="000E1789"/>
    <w:rsid w:val="000E39EB"/>
    <w:rsid w:val="000E4872"/>
    <w:rsid w:val="000E67F1"/>
    <w:rsid w:val="000F1C1D"/>
    <w:rsid w:val="000F26E9"/>
    <w:rsid w:val="000F2B77"/>
    <w:rsid w:val="000F3273"/>
    <w:rsid w:val="000F3600"/>
    <w:rsid w:val="001007FA"/>
    <w:rsid w:val="001023EB"/>
    <w:rsid w:val="001065CD"/>
    <w:rsid w:val="001106D1"/>
    <w:rsid w:val="001116D8"/>
    <w:rsid w:val="00111822"/>
    <w:rsid w:val="00111A61"/>
    <w:rsid w:val="00111EA1"/>
    <w:rsid w:val="00112483"/>
    <w:rsid w:val="001131D8"/>
    <w:rsid w:val="001172CB"/>
    <w:rsid w:val="00122522"/>
    <w:rsid w:val="00126433"/>
    <w:rsid w:val="001269F3"/>
    <w:rsid w:val="001300B4"/>
    <w:rsid w:val="00131C7D"/>
    <w:rsid w:val="0013300D"/>
    <w:rsid w:val="00133889"/>
    <w:rsid w:val="0013422D"/>
    <w:rsid w:val="00134393"/>
    <w:rsid w:val="001352F0"/>
    <w:rsid w:val="00135EE9"/>
    <w:rsid w:val="0014127F"/>
    <w:rsid w:val="00143673"/>
    <w:rsid w:val="0014402E"/>
    <w:rsid w:val="0014666F"/>
    <w:rsid w:val="001466AB"/>
    <w:rsid w:val="00147696"/>
    <w:rsid w:val="00150143"/>
    <w:rsid w:val="001501D0"/>
    <w:rsid w:val="00151485"/>
    <w:rsid w:val="00152AF7"/>
    <w:rsid w:val="0015303C"/>
    <w:rsid w:val="0015304C"/>
    <w:rsid w:val="001545E4"/>
    <w:rsid w:val="001553A0"/>
    <w:rsid w:val="00155B02"/>
    <w:rsid w:val="00155E81"/>
    <w:rsid w:val="00156218"/>
    <w:rsid w:val="0016021D"/>
    <w:rsid w:val="00164246"/>
    <w:rsid w:val="00164B1A"/>
    <w:rsid w:val="00165369"/>
    <w:rsid w:val="001655A0"/>
    <w:rsid w:val="00165EE1"/>
    <w:rsid w:val="00167AB9"/>
    <w:rsid w:val="00170187"/>
    <w:rsid w:val="00170507"/>
    <w:rsid w:val="00170D0A"/>
    <w:rsid w:val="00171019"/>
    <w:rsid w:val="00171172"/>
    <w:rsid w:val="001722B5"/>
    <w:rsid w:val="001729DD"/>
    <w:rsid w:val="00173281"/>
    <w:rsid w:val="0017452F"/>
    <w:rsid w:val="00175D25"/>
    <w:rsid w:val="0017791D"/>
    <w:rsid w:val="0018322D"/>
    <w:rsid w:val="0018383B"/>
    <w:rsid w:val="00183DB7"/>
    <w:rsid w:val="00185460"/>
    <w:rsid w:val="00185C20"/>
    <w:rsid w:val="0018718C"/>
    <w:rsid w:val="00190905"/>
    <w:rsid w:val="001915FD"/>
    <w:rsid w:val="00192298"/>
    <w:rsid w:val="001922CA"/>
    <w:rsid w:val="001929D5"/>
    <w:rsid w:val="001960A0"/>
    <w:rsid w:val="0019649D"/>
    <w:rsid w:val="0019697A"/>
    <w:rsid w:val="0019740C"/>
    <w:rsid w:val="001A1975"/>
    <w:rsid w:val="001A2FB5"/>
    <w:rsid w:val="001A399C"/>
    <w:rsid w:val="001A3F97"/>
    <w:rsid w:val="001A4F92"/>
    <w:rsid w:val="001A5D3A"/>
    <w:rsid w:val="001A5E2D"/>
    <w:rsid w:val="001A6168"/>
    <w:rsid w:val="001A68DB"/>
    <w:rsid w:val="001B10AE"/>
    <w:rsid w:val="001B1AB2"/>
    <w:rsid w:val="001B218A"/>
    <w:rsid w:val="001B477D"/>
    <w:rsid w:val="001B6E60"/>
    <w:rsid w:val="001C070C"/>
    <w:rsid w:val="001C1B4D"/>
    <w:rsid w:val="001C1BE6"/>
    <w:rsid w:val="001C2047"/>
    <w:rsid w:val="001C38B9"/>
    <w:rsid w:val="001C3CFA"/>
    <w:rsid w:val="001C3D2C"/>
    <w:rsid w:val="001C41D7"/>
    <w:rsid w:val="001C4673"/>
    <w:rsid w:val="001C5A82"/>
    <w:rsid w:val="001D0AC5"/>
    <w:rsid w:val="001D0C03"/>
    <w:rsid w:val="001D2951"/>
    <w:rsid w:val="001D3450"/>
    <w:rsid w:val="001D392D"/>
    <w:rsid w:val="001D4AE0"/>
    <w:rsid w:val="001D75D8"/>
    <w:rsid w:val="001D7B81"/>
    <w:rsid w:val="001E01A7"/>
    <w:rsid w:val="001E08C9"/>
    <w:rsid w:val="001E19FA"/>
    <w:rsid w:val="001E1B61"/>
    <w:rsid w:val="001E58AE"/>
    <w:rsid w:val="001E64E5"/>
    <w:rsid w:val="001E7820"/>
    <w:rsid w:val="001E7F8D"/>
    <w:rsid w:val="001F215F"/>
    <w:rsid w:val="001F4DBF"/>
    <w:rsid w:val="001F5192"/>
    <w:rsid w:val="001F62B7"/>
    <w:rsid w:val="001F64B2"/>
    <w:rsid w:val="00200237"/>
    <w:rsid w:val="0020132A"/>
    <w:rsid w:val="00201D21"/>
    <w:rsid w:val="00202F9B"/>
    <w:rsid w:val="00203787"/>
    <w:rsid w:val="0020560D"/>
    <w:rsid w:val="00205E05"/>
    <w:rsid w:val="00206106"/>
    <w:rsid w:val="00210D66"/>
    <w:rsid w:val="00211720"/>
    <w:rsid w:val="0021207A"/>
    <w:rsid w:val="00215158"/>
    <w:rsid w:val="00216CAC"/>
    <w:rsid w:val="00217D49"/>
    <w:rsid w:val="00221737"/>
    <w:rsid w:val="00221C5B"/>
    <w:rsid w:val="00222872"/>
    <w:rsid w:val="00230C6F"/>
    <w:rsid w:val="00232CBD"/>
    <w:rsid w:val="0023646E"/>
    <w:rsid w:val="00236DAF"/>
    <w:rsid w:val="00241AD4"/>
    <w:rsid w:val="00243B03"/>
    <w:rsid w:val="00245066"/>
    <w:rsid w:val="002466B1"/>
    <w:rsid w:val="002471A5"/>
    <w:rsid w:val="00247566"/>
    <w:rsid w:val="002517AF"/>
    <w:rsid w:val="002529FF"/>
    <w:rsid w:val="00254427"/>
    <w:rsid w:val="00255B19"/>
    <w:rsid w:val="00255B60"/>
    <w:rsid w:val="002574CB"/>
    <w:rsid w:val="002625C0"/>
    <w:rsid w:val="002632C0"/>
    <w:rsid w:val="002657A6"/>
    <w:rsid w:val="00266240"/>
    <w:rsid w:val="0026773C"/>
    <w:rsid w:val="00267CAF"/>
    <w:rsid w:val="00271CDF"/>
    <w:rsid w:val="00273661"/>
    <w:rsid w:val="00273B45"/>
    <w:rsid w:val="00276920"/>
    <w:rsid w:val="00280EAA"/>
    <w:rsid w:val="00283B2D"/>
    <w:rsid w:val="00284781"/>
    <w:rsid w:val="00285E10"/>
    <w:rsid w:val="00285F6C"/>
    <w:rsid w:val="0029212B"/>
    <w:rsid w:val="0029213A"/>
    <w:rsid w:val="00292ED9"/>
    <w:rsid w:val="002947BF"/>
    <w:rsid w:val="00295604"/>
    <w:rsid w:val="00296EDC"/>
    <w:rsid w:val="002973AA"/>
    <w:rsid w:val="00297A4B"/>
    <w:rsid w:val="002A0B89"/>
    <w:rsid w:val="002A198F"/>
    <w:rsid w:val="002A349A"/>
    <w:rsid w:val="002A40C3"/>
    <w:rsid w:val="002A437F"/>
    <w:rsid w:val="002A43E8"/>
    <w:rsid w:val="002A46FC"/>
    <w:rsid w:val="002B1276"/>
    <w:rsid w:val="002B1CF5"/>
    <w:rsid w:val="002B1DFE"/>
    <w:rsid w:val="002B225A"/>
    <w:rsid w:val="002B2BE6"/>
    <w:rsid w:val="002B3680"/>
    <w:rsid w:val="002B36B8"/>
    <w:rsid w:val="002B39CA"/>
    <w:rsid w:val="002B3BC1"/>
    <w:rsid w:val="002B61A7"/>
    <w:rsid w:val="002C04A6"/>
    <w:rsid w:val="002C04F8"/>
    <w:rsid w:val="002C1E98"/>
    <w:rsid w:val="002C1FAD"/>
    <w:rsid w:val="002C23BE"/>
    <w:rsid w:val="002C256C"/>
    <w:rsid w:val="002C44B9"/>
    <w:rsid w:val="002C4E86"/>
    <w:rsid w:val="002C69DB"/>
    <w:rsid w:val="002C746F"/>
    <w:rsid w:val="002D55DE"/>
    <w:rsid w:val="002D6246"/>
    <w:rsid w:val="002D6327"/>
    <w:rsid w:val="002D65A6"/>
    <w:rsid w:val="002D7222"/>
    <w:rsid w:val="002D7B55"/>
    <w:rsid w:val="002E2363"/>
    <w:rsid w:val="002E2E6C"/>
    <w:rsid w:val="002E31F0"/>
    <w:rsid w:val="002E5BEE"/>
    <w:rsid w:val="002F1621"/>
    <w:rsid w:val="002F28A7"/>
    <w:rsid w:val="002F4020"/>
    <w:rsid w:val="002F4323"/>
    <w:rsid w:val="002F5237"/>
    <w:rsid w:val="002F57D1"/>
    <w:rsid w:val="002F673B"/>
    <w:rsid w:val="002F78B5"/>
    <w:rsid w:val="003020E3"/>
    <w:rsid w:val="003026AD"/>
    <w:rsid w:val="00302CDC"/>
    <w:rsid w:val="0030498D"/>
    <w:rsid w:val="003059AF"/>
    <w:rsid w:val="00307140"/>
    <w:rsid w:val="003101C7"/>
    <w:rsid w:val="00310854"/>
    <w:rsid w:val="00311F5B"/>
    <w:rsid w:val="003150A9"/>
    <w:rsid w:val="0031548A"/>
    <w:rsid w:val="00316AD2"/>
    <w:rsid w:val="003206D2"/>
    <w:rsid w:val="00320C47"/>
    <w:rsid w:val="0032107E"/>
    <w:rsid w:val="003217D5"/>
    <w:rsid w:val="00325AFF"/>
    <w:rsid w:val="00331958"/>
    <w:rsid w:val="0033212C"/>
    <w:rsid w:val="00334D3B"/>
    <w:rsid w:val="00334DE1"/>
    <w:rsid w:val="003355D8"/>
    <w:rsid w:val="00335F72"/>
    <w:rsid w:val="00340153"/>
    <w:rsid w:val="003404AB"/>
    <w:rsid w:val="00340EC5"/>
    <w:rsid w:val="003435A2"/>
    <w:rsid w:val="00343A94"/>
    <w:rsid w:val="00347B4A"/>
    <w:rsid w:val="00347B8C"/>
    <w:rsid w:val="003502A9"/>
    <w:rsid w:val="00351182"/>
    <w:rsid w:val="00351AFC"/>
    <w:rsid w:val="00351B27"/>
    <w:rsid w:val="003545C3"/>
    <w:rsid w:val="00354EB2"/>
    <w:rsid w:val="00354ED9"/>
    <w:rsid w:val="00354F61"/>
    <w:rsid w:val="00356F25"/>
    <w:rsid w:val="00360B1A"/>
    <w:rsid w:val="00361CB1"/>
    <w:rsid w:val="00361EFA"/>
    <w:rsid w:val="00361FE4"/>
    <w:rsid w:val="0036271C"/>
    <w:rsid w:val="00362D75"/>
    <w:rsid w:val="0036445A"/>
    <w:rsid w:val="00366665"/>
    <w:rsid w:val="00366F84"/>
    <w:rsid w:val="003677DA"/>
    <w:rsid w:val="0037038D"/>
    <w:rsid w:val="00374C15"/>
    <w:rsid w:val="00375081"/>
    <w:rsid w:val="003757BE"/>
    <w:rsid w:val="003758C4"/>
    <w:rsid w:val="0037685F"/>
    <w:rsid w:val="00376D86"/>
    <w:rsid w:val="003778E2"/>
    <w:rsid w:val="00377CA0"/>
    <w:rsid w:val="00377D29"/>
    <w:rsid w:val="00381CC9"/>
    <w:rsid w:val="00381D47"/>
    <w:rsid w:val="00384767"/>
    <w:rsid w:val="00384FD8"/>
    <w:rsid w:val="00390C5A"/>
    <w:rsid w:val="00391EDB"/>
    <w:rsid w:val="00392ADA"/>
    <w:rsid w:val="00395FA3"/>
    <w:rsid w:val="003963FF"/>
    <w:rsid w:val="00396AFF"/>
    <w:rsid w:val="00397E45"/>
    <w:rsid w:val="003A3108"/>
    <w:rsid w:val="003A38E6"/>
    <w:rsid w:val="003A3AB9"/>
    <w:rsid w:val="003A3D10"/>
    <w:rsid w:val="003A630D"/>
    <w:rsid w:val="003A7178"/>
    <w:rsid w:val="003B13F1"/>
    <w:rsid w:val="003B1843"/>
    <w:rsid w:val="003B1DCB"/>
    <w:rsid w:val="003B513E"/>
    <w:rsid w:val="003B560C"/>
    <w:rsid w:val="003B6219"/>
    <w:rsid w:val="003B6747"/>
    <w:rsid w:val="003C0982"/>
    <w:rsid w:val="003C1130"/>
    <w:rsid w:val="003C1C82"/>
    <w:rsid w:val="003C1D49"/>
    <w:rsid w:val="003C33CC"/>
    <w:rsid w:val="003C38E8"/>
    <w:rsid w:val="003C449B"/>
    <w:rsid w:val="003C555A"/>
    <w:rsid w:val="003C77BC"/>
    <w:rsid w:val="003D114B"/>
    <w:rsid w:val="003D1BDA"/>
    <w:rsid w:val="003D27A8"/>
    <w:rsid w:val="003D28FD"/>
    <w:rsid w:val="003D335E"/>
    <w:rsid w:val="003D3653"/>
    <w:rsid w:val="003D6ACB"/>
    <w:rsid w:val="003D78F6"/>
    <w:rsid w:val="003E023B"/>
    <w:rsid w:val="003E13A0"/>
    <w:rsid w:val="003E27E7"/>
    <w:rsid w:val="003E33B7"/>
    <w:rsid w:val="003E36F1"/>
    <w:rsid w:val="003E572B"/>
    <w:rsid w:val="003E5B5A"/>
    <w:rsid w:val="003F032C"/>
    <w:rsid w:val="003F086B"/>
    <w:rsid w:val="003F0E68"/>
    <w:rsid w:val="003F158B"/>
    <w:rsid w:val="003F2C49"/>
    <w:rsid w:val="003F2D8F"/>
    <w:rsid w:val="003F3495"/>
    <w:rsid w:val="003F556A"/>
    <w:rsid w:val="003F5959"/>
    <w:rsid w:val="003F64E4"/>
    <w:rsid w:val="003F6936"/>
    <w:rsid w:val="003F7AF4"/>
    <w:rsid w:val="003F7E42"/>
    <w:rsid w:val="0040176E"/>
    <w:rsid w:val="00402F1B"/>
    <w:rsid w:val="004033C0"/>
    <w:rsid w:val="0040476B"/>
    <w:rsid w:val="0040551F"/>
    <w:rsid w:val="004055CF"/>
    <w:rsid w:val="00406346"/>
    <w:rsid w:val="00406D99"/>
    <w:rsid w:val="00407C3F"/>
    <w:rsid w:val="0041077C"/>
    <w:rsid w:val="004109F2"/>
    <w:rsid w:val="00412EB7"/>
    <w:rsid w:val="00413842"/>
    <w:rsid w:val="00415F6F"/>
    <w:rsid w:val="00417460"/>
    <w:rsid w:val="00417707"/>
    <w:rsid w:val="00421925"/>
    <w:rsid w:val="00425D4B"/>
    <w:rsid w:val="00426FD5"/>
    <w:rsid w:val="00431624"/>
    <w:rsid w:val="00434F51"/>
    <w:rsid w:val="0043560E"/>
    <w:rsid w:val="00435F14"/>
    <w:rsid w:val="004367D0"/>
    <w:rsid w:val="004367FE"/>
    <w:rsid w:val="004400B1"/>
    <w:rsid w:val="004401E5"/>
    <w:rsid w:val="00440586"/>
    <w:rsid w:val="00440E5B"/>
    <w:rsid w:val="00441DF9"/>
    <w:rsid w:val="0044329D"/>
    <w:rsid w:val="00443DA6"/>
    <w:rsid w:val="0044568F"/>
    <w:rsid w:val="004468F6"/>
    <w:rsid w:val="00451959"/>
    <w:rsid w:val="0045243C"/>
    <w:rsid w:val="00455EE8"/>
    <w:rsid w:val="00456239"/>
    <w:rsid w:val="00456FD5"/>
    <w:rsid w:val="004627E4"/>
    <w:rsid w:val="00464088"/>
    <w:rsid w:val="004642A1"/>
    <w:rsid w:val="00465D03"/>
    <w:rsid w:val="00466A96"/>
    <w:rsid w:val="00470BA7"/>
    <w:rsid w:val="00470E38"/>
    <w:rsid w:val="00472AE7"/>
    <w:rsid w:val="004742E2"/>
    <w:rsid w:val="00474921"/>
    <w:rsid w:val="004829FB"/>
    <w:rsid w:val="00482A5E"/>
    <w:rsid w:val="00483C0B"/>
    <w:rsid w:val="00483DFD"/>
    <w:rsid w:val="00491EC7"/>
    <w:rsid w:val="00492188"/>
    <w:rsid w:val="00492314"/>
    <w:rsid w:val="00494020"/>
    <w:rsid w:val="0049563F"/>
    <w:rsid w:val="004A11E8"/>
    <w:rsid w:val="004A1694"/>
    <w:rsid w:val="004A3170"/>
    <w:rsid w:val="004A6C65"/>
    <w:rsid w:val="004B08FC"/>
    <w:rsid w:val="004B1974"/>
    <w:rsid w:val="004B2600"/>
    <w:rsid w:val="004B31D8"/>
    <w:rsid w:val="004B3270"/>
    <w:rsid w:val="004B48F6"/>
    <w:rsid w:val="004B5C2F"/>
    <w:rsid w:val="004B5E8F"/>
    <w:rsid w:val="004B6EB0"/>
    <w:rsid w:val="004C30AF"/>
    <w:rsid w:val="004C3272"/>
    <w:rsid w:val="004C5DF7"/>
    <w:rsid w:val="004C5F8B"/>
    <w:rsid w:val="004C6AB0"/>
    <w:rsid w:val="004C756D"/>
    <w:rsid w:val="004D0010"/>
    <w:rsid w:val="004D74DF"/>
    <w:rsid w:val="004D7EA2"/>
    <w:rsid w:val="004E2A49"/>
    <w:rsid w:val="004E49B1"/>
    <w:rsid w:val="004E4B72"/>
    <w:rsid w:val="004E50CD"/>
    <w:rsid w:val="004E5CB3"/>
    <w:rsid w:val="004E7E76"/>
    <w:rsid w:val="004F1F65"/>
    <w:rsid w:val="004F34C8"/>
    <w:rsid w:val="004F3DB3"/>
    <w:rsid w:val="005025C3"/>
    <w:rsid w:val="00506342"/>
    <w:rsid w:val="005073A0"/>
    <w:rsid w:val="00512BC1"/>
    <w:rsid w:val="00515288"/>
    <w:rsid w:val="0051708B"/>
    <w:rsid w:val="00517906"/>
    <w:rsid w:val="0052028A"/>
    <w:rsid w:val="0052316B"/>
    <w:rsid w:val="0052381C"/>
    <w:rsid w:val="005254D2"/>
    <w:rsid w:val="005255AE"/>
    <w:rsid w:val="00527847"/>
    <w:rsid w:val="00527F4B"/>
    <w:rsid w:val="005305AD"/>
    <w:rsid w:val="00532E63"/>
    <w:rsid w:val="0053323C"/>
    <w:rsid w:val="00533539"/>
    <w:rsid w:val="005338DD"/>
    <w:rsid w:val="00533C74"/>
    <w:rsid w:val="005342B5"/>
    <w:rsid w:val="00540732"/>
    <w:rsid w:val="0054109A"/>
    <w:rsid w:val="0054411A"/>
    <w:rsid w:val="0055188B"/>
    <w:rsid w:val="00552180"/>
    <w:rsid w:val="0055224B"/>
    <w:rsid w:val="00552350"/>
    <w:rsid w:val="00555522"/>
    <w:rsid w:val="005561F3"/>
    <w:rsid w:val="005573C0"/>
    <w:rsid w:val="005577FE"/>
    <w:rsid w:val="00560B97"/>
    <w:rsid w:val="005652CC"/>
    <w:rsid w:val="0056625A"/>
    <w:rsid w:val="00566B20"/>
    <w:rsid w:val="005676B9"/>
    <w:rsid w:val="005678D6"/>
    <w:rsid w:val="00570284"/>
    <w:rsid w:val="0057050A"/>
    <w:rsid w:val="00570AF4"/>
    <w:rsid w:val="005718DB"/>
    <w:rsid w:val="005741B7"/>
    <w:rsid w:val="00574494"/>
    <w:rsid w:val="00576181"/>
    <w:rsid w:val="0057752B"/>
    <w:rsid w:val="005777B2"/>
    <w:rsid w:val="00577BDC"/>
    <w:rsid w:val="00580609"/>
    <w:rsid w:val="00580803"/>
    <w:rsid w:val="005809E4"/>
    <w:rsid w:val="00582D1B"/>
    <w:rsid w:val="005830B5"/>
    <w:rsid w:val="005832FE"/>
    <w:rsid w:val="00583DAA"/>
    <w:rsid w:val="00585EFA"/>
    <w:rsid w:val="00586857"/>
    <w:rsid w:val="005869BC"/>
    <w:rsid w:val="00586EAB"/>
    <w:rsid w:val="00590703"/>
    <w:rsid w:val="00591F59"/>
    <w:rsid w:val="00592234"/>
    <w:rsid w:val="00593B06"/>
    <w:rsid w:val="00593EC0"/>
    <w:rsid w:val="00595D33"/>
    <w:rsid w:val="00596004"/>
    <w:rsid w:val="00596024"/>
    <w:rsid w:val="00596F77"/>
    <w:rsid w:val="00596FA4"/>
    <w:rsid w:val="00597E36"/>
    <w:rsid w:val="005A0F31"/>
    <w:rsid w:val="005A2FE0"/>
    <w:rsid w:val="005A34CB"/>
    <w:rsid w:val="005A3DA1"/>
    <w:rsid w:val="005A65B6"/>
    <w:rsid w:val="005B1CE6"/>
    <w:rsid w:val="005B2370"/>
    <w:rsid w:val="005B2A98"/>
    <w:rsid w:val="005B4A8D"/>
    <w:rsid w:val="005B6907"/>
    <w:rsid w:val="005C1833"/>
    <w:rsid w:val="005C18D2"/>
    <w:rsid w:val="005C3656"/>
    <w:rsid w:val="005C40DE"/>
    <w:rsid w:val="005C4E23"/>
    <w:rsid w:val="005C4E33"/>
    <w:rsid w:val="005C4E9C"/>
    <w:rsid w:val="005D12E9"/>
    <w:rsid w:val="005D2062"/>
    <w:rsid w:val="005D297F"/>
    <w:rsid w:val="005D2B5E"/>
    <w:rsid w:val="005D4040"/>
    <w:rsid w:val="005D495E"/>
    <w:rsid w:val="005D5458"/>
    <w:rsid w:val="005E0A61"/>
    <w:rsid w:val="005E0AC2"/>
    <w:rsid w:val="005E0EA7"/>
    <w:rsid w:val="005E1E57"/>
    <w:rsid w:val="005E2E28"/>
    <w:rsid w:val="005E5741"/>
    <w:rsid w:val="005E7920"/>
    <w:rsid w:val="005F1CDC"/>
    <w:rsid w:val="005F1E53"/>
    <w:rsid w:val="005F3F32"/>
    <w:rsid w:val="005F40C2"/>
    <w:rsid w:val="005F5887"/>
    <w:rsid w:val="00602B5A"/>
    <w:rsid w:val="00602D1B"/>
    <w:rsid w:val="00603426"/>
    <w:rsid w:val="00603EC3"/>
    <w:rsid w:val="00604684"/>
    <w:rsid w:val="00605E58"/>
    <w:rsid w:val="00607423"/>
    <w:rsid w:val="00607473"/>
    <w:rsid w:val="00607B0A"/>
    <w:rsid w:val="00611A1B"/>
    <w:rsid w:val="00611E98"/>
    <w:rsid w:val="00612771"/>
    <w:rsid w:val="006163E2"/>
    <w:rsid w:val="006174FC"/>
    <w:rsid w:val="00620BAB"/>
    <w:rsid w:val="00622481"/>
    <w:rsid w:val="006267E5"/>
    <w:rsid w:val="00626F30"/>
    <w:rsid w:val="00627A7D"/>
    <w:rsid w:val="00630739"/>
    <w:rsid w:val="0063097A"/>
    <w:rsid w:val="0063313A"/>
    <w:rsid w:val="006367BD"/>
    <w:rsid w:val="006377C6"/>
    <w:rsid w:val="00640021"/>
    <w:rsid w:val="006409EB"/>
    <w:rsid w:val="00642D5F"/>
    <w:rsid w:val="0064415F"/>
    <w:rsid w:val="00646DCA"/>
    <w:rsid w:val="0064702E"/>
    <w:rsid w:val="006501B5"/>
    <w:rsid w:val="00650543"/>
    <w:rsid w:val="00650C2A"/>
    <w:rsid w:val="006516FE"/>
    <w:rsid w:val="006525D5"/>
    <w:rsid w:val="00655EAF"/>
    <w:rsid w:val="006567B3"/>
    <w:rsid w:val="006605D1"/>
    <w:rsid w:val="0066206A"/>
    <w:rsid w:val="00663093"/>
    <w:rsid w:val="00663662"/>
    <w:rsid w:val="006641B8"/>
    <w:rsid w:val="00665850"/>
    <w:rsid w:val="006665F4"/>
    <w:rsid w:val="00666B56"/>
    <w:rsid w:val="0066770E"/>
    <w:rsid w:val="006678F8"/>
    <w:rsid w:val="006679E7"/>
    <w:rsid w:val="00667E13"/>
    <w:rsid w:val="00670022"/>
    <w:rsid w:val="00672458"/>
    <w:rsid w:val="006724DB"/>
    <w:rsid w:val="0067309F"/>
    <w:rsid w:val="0067401C"/>
    <w:rsid w:val="006740A7"/>
    <w:rsid w:val="00674439"/>
    <w:rsid w:val="006754D3"/>
    <w:rsid w:val="00675F9F"/>
    <w:rsid w:val="006806AF"/>
    <w:rsid w:val="00680F9E"/>
    <w:rsid w:val="006815FD"/>
    <w:rsid w:val="00685D78"/>
    <w:rsid w:val="0068747C"/>
    <w:rsid w:val="00690AAF"/>
    <w:rsid w:val="00690D2A"/>
    <w:rsid w:val="006923D0"/>
    <w:rsid w:val="00693F2B"/>
    <w:rsid w:val="006942A0"/>
    <w:rsid w:val="0069505B"/>
    <w:rsid w:val="00695BC6"/>
    <w:rsid w:val="00696713"/>
    <w:rsid w:val="0069796C"/>
    <w:rsid w:val="006A007B"/>
    <w:rsid w:val="006A484D"/>
    <w:rsid w:val="006A57A2"/>
    <w:rsid w:val="006A66F3"/>
    <w:rsid w:val="006B1303"/>
    <w:rsid w:val="006B25DE"/>
    <w:rsid w:val="006B7E0D"/>
    <w:rsid w:val="006C1D13"/>
    <w:rsid w:val="006C2B47"/>
    <w:rsid w:val="006C3EB8"/>
    <w:rsid w:val="006C4398"/>
    <w:rsid w:val="006C524C"/>
    <w:rsid w:val="006C712E"/>
    <w:rsid w:val="006C74E7"/>
    <w:rsid w:val="006D06E4"/>
    <w:rsid w:val="006D074F"/>
    <w:rsid w:val="006D09CF"/>
    <w:rsid w:val="006D1E86"/>
    <w:rsid w:val="006D53CE"/>
    <w:rsid w:val="006D6312"/>
    <w:rsid w:val="006E14F7"/>
    <w:rsid w:val="006E18F5"/>
    <w:rsid w:val="006E1D49"/>
    <w:rsid w:val="006E3D3F"/>
    <w:rsid w:val="006E3F9B"/>
    <w:rsid w:val="006E5873"/>
    <w:rsid w:val="006E69CD"/>
    <w:rsid w:val="006E72DB"/>
    <w:rsid w:val="006F0775"/>
    <w:rsid w:val="006F0AC5"/>
    <w:rsid w:val="006F1852"/>
    <w:rsid w:val="006F2684"/>
    <w:rsid w:val="006F3259"/>
    <w:rsid w:val="006F3B40"/>
    <w:rsid w:val="006F472E"/>
    <w:rsid w:val="006F5665"/>
    <w:rsid w:val="006F669F"/>
    <w:rsid w:val="006F73A4"/>
    <w:rsid w:val="007010FD"/>
    <w:rsid w:val="007012F0"/>
    <w:rsid w:val="0070161E"/>
    <w:rsid w:val="00701936"/>
    <w:rsid w:val="00701A3E"/>
    <w:rsid w:val="00702078"/>
    <w:rsid w:val="00702EC5"/>
    <w:rsid w:val="0070535F"/>
    <w:rsid w:val="0070745E"/>
    <w:rsid w:val="00713967"/>
    <w:rsid w:val="00714343"/>
    <w:rsid w:val="00715963"/>
    <w:rsid w:val="00715B30"/>
    <w:rsid w:val="007169FF"/>
    <w:rsid w:val="0071738F"/>
    <w:rsid w:val="0071740E"/>
    <w:rsid w:val="00720B61"/>
    <w:rsid w:val="00723906"/>
    <w:rsid w:val="00724850"/>
    <w:rsid w:val="00724903"/>
    <w:rsid w:val="00725838"/>
    <w:rsid w:val="00726428"/>
    <w:rsid w:val="00726586"/>
    <w:rsid w:val="007274AB"/>
    <w:rsid w:val="007276BE"/>
    <w:rsid w:val="007301A1"/>
    <w:rsid w:val="0073069E"/>
    <w:rsid w:val="007321C6"/>
    <w:rsid w:val="0073346B"/>
    <w:rsid w:val="00736E71"/>
    <w:rsid w:val="00741CF4"/>
    <w:rsid w:val="00745809"/>
    <w:rsid w:val="00745B2A"/>
    <w:rsid w:val="0074644F"/>
    <w:rsid w:val="00746F6F"/>
    <w:rsid w:val="007475D1"/>
    <w:rsid w:val="0075098C"/>
    <w:rsid w:val="00750C07"/>
    <w:rsid w:val="00750FEE"/>
    <w:rsid w:val="00752A6C"/>
    <w:rsid w:val="007530FF"/>
    <w:rsid w:val="00754432"/>
    <w:rsid w:val="007554CD"/>
    <w:rsid w:val="007561F0"/>
    <w:rsid w:val="007568DB"/>
    <w:rsid w:val="00756F3A"/>
    <w:rsid w:val="007607C6"/>
    <w:rsid w:val="00762289"/>
    <w:rsid w:val="00764F11"/>
    <w:rsid w:val="00766651"/>
    <w:rsid w:val="00766890"/>
    <w:rsid w:val="00766E9A"/>
    <w:rsid w:val="007704FA"/>
    <w:rsid w:val="00771A07"/>
    <w:rsid w:val="00771E30"/>
    <w:rsid w:val="00772116"/>
    <w:rsid w:val="00772141"/>
    <w:rsid w:val="00775C13"/>
    <w:rsid w:val="00776B32"/>
    <w:rsid w:val="00777824"/>
    <w:rsid w:val="007802CC"/>
    <w:rsid w:val="00780E02"/>
    <w:rsid w:val="00782D7E"/>
    <w:rsid w:val="00783EB4"/>
    <w:rsid w:val="00784FD3"/>
    <w:rsid w:val="00786582"/>
    <w:rsid w:val="00790320"/>
    <w:rsid w:val="0079081F"/>
    <w:rsid w:val="00791129"/>
    <w:rsid w:val="00791A6A"/>
    <w:rsid w:val="00791C8E"/>
    <w:rsid w:val="0079484D"/>
    <w:rsid w:val="007951F9"/>
    <w:rsid w:val="007953DC"/>
    <w:rsid w:val="00795C72"/>
    <w:rsid w:val="007A01C1"/>
    <w:rsid w:val="007A13EC"/>
    <w:rsid w:val="007A17E0"/>
    <w:rsid w:val="007A3A0C"/>
    <w:rsid w:val="007A4A37"/>
    <w:rsid w:val="007A7A98"/>
    <w:rsid w:val="007A7E0D"/>
    <w:rsid w:val="007B1CE9"/>
    <w:rsid w:val="007B360D"/>
    <w:rsid w:val="007B3C77"/>
    <w:rsid w:val="007B4FAF"/>
    <w:rsid w:val="007C1FE3"/>
    <w:rsid w:val="007C3644"/>
    <w:rsid w:val="007C42FC"/>
    <w:rsid w:val="007C58D9"/>
    <w:rsid w:val="007C7C2C"/>
    <w:rsid w:val="007C7E49"/>
    <w:rsid w:val="007D0A07"/>
    <w:rsid w:val="007D46C4"/>
    <w:rsid w:val="007D796B"/>
    <w:rsid w:val="007D7E19"/>
    <w:rsid w:val="007E182A"/>
    <w:rsid w:val="007E2889"/>
    <w:rsid w:val="007E2972"/>
    <w:rsid w:val="007E367F"/>
    <w:rsid w:val="007E394D"/>
    <w:rsid w:val="007E758B"/>
    <w:rsid w:val="007E7691"/>
    <w:rsid w:val="007F03C3"/>
    <w:rsid w:val="007F1D24"/>
    <w:rsid w:val="007F329E"/>
    <w:rsid w:val="007F35EE"/>
    <w:rsid w:val="007F3CA1"/>
    <w:rsid w:val="007F43B7"/>
    <w:rsid w:val="0080581A"/>
    <w:rsid w:val="00806A47"/>
    <w:rsid w:val="00806A57"/>
    <w:rsid w:val="00807050"/>
    <w:rsid w:val="00810904"/>
    <w:rsid w:val="00813DD2"/>
    <w:rsid w:val="008146F1"/>
    <w:rsid w:val="00815202"/>
    <w:rsid w:val="00816937"/>
    <w:rsid w:val="00816A1F"/>
    <w:rsid w:val="00816D18"/>
    <w:rsid w:val="008173B5"/>
    <w:rsid w:val="00820A51"/>
    <w:rsid w:val="00820C18"/>
    <w:rsid w:val="0082146C"/>
    <w:rsid w:val="00821D15"/>
    <w:rsid w:val="00822F6F"/>
    <w:rsid w:val="00823389"/>
    <w:rsid w:val="00824A48"/>
    <w:rsid w:val="00824BE9"/>
    <w:rsid w:val="00825715"/>
    <w:rsid w:val="00825BB4"/>
    <w:rsid w:val="0082658C"/>
    <w:rsid w:val="00827491"/>
    <w:rsid w:val="00827C7D"/>
    <w:rsid w:val="008317EC"/>
    <w:rsid w:val="008326B9"/>
    <w:rsid w:val="00833E5D"/>
    <w:rsid w:val="008344BF"/>
    <w:rsid w:val="00834C1B"/>
    <w:rsid w:val="0083557A"/>
    <w:rsid w:val="00837600"/>
    <w:rsid w:val="00837F92"/>
    <w:rsid w:val="00840E18"/>
    <w:rsid w:val="00841278"/>
    <w:rsid w:val="008418F6"/>
    <w:rsid w:val="008448CC"/>
    <w:rsid w:val="0084730D"/>
    <w:rsid w:val="00851595"/>
    <w:rsid w:val="00852405"/>
    <w:rsid w:val="008527A6"/>
    <w:rsid w:val="00852953"/>
    <w:rsid w:val="00852AC8"/>
    <w:rsid w:val="008541DA"/>
    <w:rsid w:val="008544C2"/>
    <w:rsid w:val="0085532E"/>
    <w:rsid w:val="00862070"/>
    <w:rsid w:val="00862CAB"/>
    <w:rsid w:val="008637DA"/>
    <w:rsid w:val="008653F5"/>
    <w:rsid w:val="00866978"/>
    <w:rsid w:val="00867065"/>
    <w:rsid w:val="00870A2A"/>
    <w:rsid w:val="008712D8"/>
    <w:rsid w:val="00871B41"/>
    <w:rsid w:val="00872A38"/>
    <w:rsid w:val="00873550"/>
    <w:rsid w:val="0087376A"/>
    <w:rsid w:val="0087418D"/>
    <w:rsid w:val="00874F80"/>
    <w:rsid w:val="008755C9"/>
    <w:rsid w:val="00876BFE"/>
    <w:rsid w:val="008814D8"/>
    <w:rsid w:val="00883287"/>
    <w:rsid w:val="0088600C"/>
    <w:rsid w:val="0088619E"/>
    <w:rsid w:val="00890ACA"/>
    <w:rsid w:val="008A023F"/>
    <w:rsid w:val="008A1B6E"/>
    <w:rsid w:val="008A22C2"/>
    <w:rsid w:val="008A241A"/>
    <w:rsid w:val="008A3F19"/>
    <w:rsid w:val="008A4048"/>
    <w:rsid w:val="008A43F8"/>
    <w:rsid w:val="008A7314"/>
    <w:rsid w:val="008B0329"/>
    <w:rsid w:val="008B054F"/>
    <w:rsid w:val="008B0622"/>
    <w:rsid w:val="008B0716"/>
    <w:rsid w:val="008B2603"/>
    <w:rsid w:val="008B2C52"/>
    <w:rsid w:val="008B37B3"/>
    <w:rsid w:val="008B4911"/>
    <w:rsid w:val="008B4A85"/>
    <w:rsid w:val="008B62C3"/>
    <w:rsid w:val="008B70BB"/>
    <w:rsid w:val="008B739C"/>
    <w:rsid w:val="008C143A"/>
    <w:rsid w:val="008C2201"/>
    <w:rsid w:val="008C4F74"/>
    <w:rsid w:val="008C5945"/>
    <w:rsid w:val="008C62A3"/>
    <w:rsid w:val="008C642E"/>
    <w:rsid w:val="008C6798"/>
    <w:rsid w:val="008D0053"/>
    <w:rsid w:val="008D032C"/>
    <w:rsid w:val="008D0DA9"/>
    <w:rsid w:val="008D2F78"/>
    <w:rsid w:val="008D4284"/>
    <w:rsid w:val="008D72F0"/>
    <w:rsid w:val="008E46DF"/>
    <w:rsid w:val="008F01EE"/>
    <w:rsid w:val="008F4FF8"/>
    <w:rsid w:val="008F7195"/>
    <w:rsid w:val="00900EE6"/>
    <w:rsid w:val="00900F15"/>
    <w:rsid w:val="009013BF"/>
    <w:rsid w:val="0090161E"/>
    <w:rsid w:val="009035D3"/>
    <w:rsid w:val="0090450F"/>
    <w:rsid w:val="00906763"/>
    <w:rsid w:val="00906DB1"/>
    <w:rsid w:val="0091170E"/>
    <w:rsid w:val="00912B1E"/>
    <w:rsid w:val="0091356E"/>
    <w:rsid w:val="0091498A"/>
    <w:rsid w:val="0091614E"/>
    <w:rsid w:val="009174C1"/>
    <w:rsid w:val="009179C6"/>
    <w:rsid w:val="00917CBF"/>
    <w:rsid w:val="009205C9"/>
    <w:rsid w:val="0092214A"/>
    <w:rsid w:val="009230E0"/>
    <w:rsid w:val="0092417A"/>
    <w:rsid w:val="0092449C"/>
    <w:rsid w:val="00924B41"/>
    <w:rsid w:val="0092559B"/>
    <w:rsid w:val="00925675"/>
    <w:rsid w:val="00925BA0"/>
    <w:rsid w:val="009260D0"/>
    <w:rsid w:val="009270E1"/>
    <w:rsid w:val="00927278"/>
    <w:rsid w:val="00927BAE"/>
    <w:rsid w:val="00930400"/>
    <w:rsid w:val="00931AE0"/>
    <w:rsid w:val="009351DE"/>
    <w:rsid w:val="00935723"/>
    <w:rsid w:val="00937AF9"/>
    <w:rsid w:val="00937C36"/>
    <w:rsid w:val="00940339"/>
    <w:rsid w:val="00940704"/>
    <w:rsid w:val="00941F9B"/>
    <w:rsid w:val="00942A46"/>
    <w:rsid w:val="0094311E"/>
    <w:rsid w:val="009431B6"/>
    <w:rsid w:val="009440B6"/>
    <w:rsid w:val="0094644F"/>
    <w:rsid w:val="00946473"/>
    <w:rsid w:val="0094692E"/>
    <w:rsid w:val="00946E34"/>
    <w:rsid w:val="009512B2"/>
    <w:rsid w:val="00954804"/>
    <w:rsid w:val="00955D1B"/>
    <w:rsid w:val="009573E4"/>
    <w:rsid w:val="009613D1"/>
    <w:rsid w:val="00961DDF"/>
    <w:rsid w:val="0096447B"/>
    <w:rsid w:val="009664CD"/>
    <w:rsid w:val="009669C0"/>
    <w:rsid w:val="00966F4B"/>
    <w:rsid w:val="0097243F"/>
    <w:rsid w:val="00975EE0"/>
    <w:rsid w:val="00977E0B"/>
    <w:rsid w:val="00982C03"/>
    <w:rsid w:val="00982C07"/>
    <w:rsid w:val="00982CDA"/>
    <w:rsid w:val="00987F5B"/>
    <w:rsid w:val="00987F90"/>
    <w:rsid w:val="00987FD3"/>
    <w:rsid w:val="00990A79"/>
    <w:rsid w:val="009935D5"/>
    <w:rsid w:val="00996301"/>
    <w:rsid w:val="00997A30"/>
    <w:rsid w:val="00997B6F"/>
    <w:rsid w:val="009A7196"/>
    <w:rsid w:val="009A7E28"/>
    <w:rsid w:val="009B1B38"/>
    <w:rsid w:val="009B1E3B"/>
    <w:rsid w:val="009B2893"/>
    <w:rsid w:val="009B3607"/>
    <w:rsid w:val="009B47BD"/>
    <w:rsid w:val="009B4893"/>
    <w:rsid w:val="009B4FC8"/>
    <w:rsid w:val="009B733E"/>
    <w:rsid w:val="009B780A"/>
    <w:rsid w:val="009C1769"/>
    <w:rsid w:val="009C2D52"/>
    <w:rsid w:val="009C31BE"/>
    <w:rsid w:val="009C410E"/>
    <w:rsid w:val="009C4D48"/>
    <w:rsid w:val="009C55FA"/>
    <w:rsid w:val="009C5C78"/>
    <w:rsid w:val="009C5E95"/>
    <w:rsid w:val="009D00BC"/>
    <w:rsid w:val="009D13FD"/>
    <w:rsid w:val="009D1E75"/>
    <w:rsid w:val="009D24AE"/>
    <w:rsid w:val="009D32F2"/>
    <w:rsid w:val="009D336C"/>
    <w:rsid w:val="009D6150"/>
    <w:rsid w:val="009D67FE"/>
    <w:rsid w:val="009D6BAF"/>
    <w:rsid w:val="009D70B4"/>
    <w:rsid w:val="009D7FCA"/>
    <w:rsid w:val="009E06EE"/>
    <w:rsid w:val="009E0D83"/>
    <w:rsid w:val="009E2FF8"/>
    <w:rsid w:val="009E7689"/>
    <w:rsid w:val="009F041E"/>
    <w:rsid w:val="009F23E7"/>
    <w:rsid w:val="009F24B4"/>
    <w:rsid w:val="009F2A1E"/>
    <w:rsid w:val="009F4435"/>
    <w:rsid w:val="009F4E32"/>
    <w:rsid w:val="009F4FAF"/>
    <w:rsid w:val="009F6922"/>
    <w:rsid w:val="009F6AC7"/>
    <w:rsid w:val="00A00395"/>
    <w:rsid w:val="00A013D3"/>
    <w:rsid w:val="00A02405"/>
    <w:rsid w:val="00A0349F"/>
    <w:rsid w:val="00A06437"/>
    <w:rsid w:val="00A06A22"/>
    <w:rsid w:val="00A07841"/>
    <w:rsid w:val="00A1012B"/>
    <w:rsid w:val="00A1033B"/>
    <w:rsid w:val="00A10653"/>
    <w:rsid w:val="00A11930"/>
    <w:rsid w:val="00A12027"/>
    <w:rsid w:val="00A1350C"/>
    <w:rsid w:val="00A135F6"/>
    <w:rsid w:val="00A14EA1"/>
    <w:rsid w:val="00A16953"/>
    <w:rsid w:val="00A16E22"/>
    <w:rsid w:val="00A17447"/>
    <w:rsid w:val="00A2040D"/>
    <w:rsid w:val="00A214A4"/>
    <w:rsid w:val="00A22ECF"/>
    <w:rsid w:val="00A25F39"/>
    <w:rsid w:val="00A25FFA"/>
    <w:rsid w:val="00A26C1C"/>
    <w:rsid w:val="00A276CF"/>
    <w:rsid w:val="00A30746"/>
    <w:rsid w:val="00A3252E"/>
    <w:rsid w:val="00A34D7E"/>
    <w:rsid w:val="00A36A33"/>
    <w:rsid w:val="00A37D23"/>
    <w:rsid w:val="00A4085C"/>
    <w:rsid w:val="00A40865"/>
    <w:rsid w:val="00A41305"/>
    <w:rsid w:val="00A42AF6"/>
    <w:rsid w:val="00A42FAC"/>
    <w:rsid w:val="00A433D2"/>
    <w:rsid w:val="00A46338"/>
    <w:rsid w:val="00A52332"/>
    <w:rsid w:val="00A528D2"/>
    <w:rsid w:val="00A539C8"/>
    <w:rsid w:val="00A5562D"/>
    <w:rsid w:val="00A5755E"/>
    <w:rsid w:val="00A600AC"/>
    <w:rsid w:val="00A60267"/>
    <w:rsid w:val="00A613F2"/>
    <w:rsid w:val="00A63F6D"/>
    <w:rsid w:val="00A6445D"/>
    <w:rsid w:val="00A64CE8"/>
    <w:rsid w:val="00A65583"/>
    <w:rsid w:val="00A655DF"/>
    <w:rsid w:val="00A659DB"/>
    <w:rsid w:val="00A66BDF"/>
    <w:rsid w:val="00A67203"/>
    <w:rsid w:val="00A71179"/>
    <w:rsid w:val="00A75990"/>
    <w:rsid w:val="00A76619"/>
    <w:rsid w:val="00A80E40"/>
    <w:rsid w:val="00A80F4B"/>
    <w:rsid w:val="00A81588"/>
    <w:rsid w:val="00A816C4"/>
    <w:rsid w:val="00A828F9"/>
    <w:rsid w:val="00A8481D"/>
    <w:rsid w:val="00A85836"/>
    <w:rsid w:val="00A87884"/>
    <w:rsid w:val="00A9126C"/>
    <w:rsid w:val="00A91C27"/>
    <w:rsid w:val="00A92BCA"/>
    <w:rsid w:val="00A93BB8"/>
    <w:rsid w:val="00A95661"/>
    <w:rsid w:val="00A96480"/>
    <w:rsid w:val="00AA0053"/>
    <w:rsid w:val="00AA171F"/>
    <w:rsid w:val="00AA4808"/>
    <w:rsid w:val="00AA4AE5"/>
    <w:rsid w:val="00AA4E29"/>
    <w:rsid w:val="00AA5C76"/>
    <w:rsid w:val="00AA5F68"/>
    <w:rsid w:val="00AA61EB"/>
    <w:rsid w:val="00AB06A7"/>
    <w:rsid w:val="00AB1969"/>
    <w:rsid w:val="00AB3801"/>
    <w:rsid w:val="00AB60DE"/>
    <w:rsid w:val="00AC668C"/>
    <w:rsid w:val="00AC6A3E"/>
    <w:rsid w:val="00AD262A"/>
    <w:rsid w:val="00AD28E4"/>
    <w:rsid w:val="00AD31C2"/>
    <w:rsid w:val="00AD411C"/>
    <w:rsid w:val="00AD4168"/>
    <w:rsid w:val="00AD4D98"/>
    <w:rsid w:val="00AD6752"/>
    <w:rsid w:val="00AE1243"/>
    <w:rsid w:val="00AE1E2B"/>
    <w:rsid w:val="00AE2F8D"/>
    <w:rsid w:val="00AE3646"/>
    <w:rsid w:val="00AE3FD8"/>
    <w:rsid w:val="00AE4AE4"/>
    <w:rsid w:val="00AE7D1B"/>
    <w:rsid w:val="00AF0DBD"/>
    <w:rsid w:val="00AF23D7"/>
    <w:rsid w:val="00AF36A3"/>
    <w:rsid w:val="00AF3DC3"/>
    <w:rsid w:val="00AF56D3"/>
    <w:rsid w:val="00AF56DB"/>
    <w:rsid w:val="00AF5A96"/>
    <w:rsid w:val="00AF5D4F"/>
    <w:rsid w:val="00AF5F32"/>
    <w:rsid w:val="00B00D7A"/>
    <w:rsid w:val="00B00D92"/>
    <w:rsid w:val="00B021D3"/>
    <w:rsid w:val="00B0300A"/>
    <w:rsid w:val="00B030F2"/>
    <w:rsid w:val="00B068B1"/>
    <w:rsid w:val="00B0798A"/>
    <w:rsid w:val="00B105DA"/>
    <w:rsid w:val="00B108CA"/>
    <w:rsid w:val="00B125A9"/>
    <w:rsid w:val="00B17315"/>
    <w:rsid w:val="00B17836"/>
    <w:rsid w:val="00B2175B"/>
    <w:rsid w:val="00B222D6"/>
    <w:rsid w:val="00B22930"/>
    <w:rsid w:val="00B22F59"/>
    <w:rsid w:val="00B27A60"/>
    <w:rsid w:val="00B27D02"/>
    <w:rsid w:val="00B32FC8"/>
    <w:rsid w:val="00B33841"/>
    <w:rsid w:val="00B34858"/>
    <w:rsid w:val="00B35621"/>
    <w:rsid w:val="00B35C2A"/>
    <w:rsid w:val="00B35E26"/>
    <w:rsid w:val="00B36A3B"/>
    <w:rsid w:val="00B3779D"/>
    <w:rsid w:val="00B37B3F"/>
    <w:rsid w:val="00B41521"/>
    <w:rsid w:val="00B4154D"/>
    <w:rsid w:val="00B42989"/>
    <w:rsid w:val="00B43ECE"/>
    <w:rsid w:val="00B4621D"/>
    <w:rsid w:val="00B47D48"/>
    <w:rsid w:val="00B509ED"/>
    <w:rsid w:val="00B50E63"/>
    <w:rsid w:val="00B50FF4"/>
    <w:rsid w:val="00B515AD"/>
    <w:rsid w:val="00B52C01"/>
    <w:rsid w:val="00B53047"/>
    <w:rsid w:val="00B53810"/>
    <w:rsid w:val="00B55499"/>
    <w:rsid w:val="00B5730E"/>
    <w:rsid w:val="00B60A31"/>
    <w:rsid w:val="00B62A93"/>
    <w:rsid w:val="00B63571"/>
    <w:rsid w:val="00B63666"/>
    <w:rsid w:val="00B70274"/>
    <w:rsid w:val="00B704EE"/>
    <w:rsid w:val="00B718E3"/>
    <w:rsid w:val="00B71F28"/>
    <w:rsid w:val="00B74875"/>
    <w:rsid w:val="00B75AC2"/>
    <w:rsid w:val="00B764C7"/>
    <w:rsid w:val="00B77B58"/>
    <w:rsid w:val="00B8026E"/>
    <w:rsid w:val="00B8404C"/>
    <w:rsid w:val="00B856DF"/>
    <w:rsid w:val="00B87940"/>
    <w:rsid w:val="00B9361A"/>
    <w:rsid w:val="00B93FCD"/>
    <w:rsid w:val="00B941F4"/>
    <w:rsid w:val="00B965A5"/>
    <w:rsid w:val="00B9770B"/>
    <w:rsid w:val="00B97729"/>
    <w:rsid w:val="00BA1D8F"/>
    <w:rsid w:val="00BA268B"/>
    <w:rsid w:val="00BA2B04"/>
    <w:rsid w:val="00BA46BA"/>
    <w:rsid w:val="00BA48DC"/>
    <w:rsid w:val="00BA4982"/>
    <w:rsid w:val="00BA4DE5"/>
    <w:rsid w:val="00BA6EAD"/>
    <w:rsid w:val="00BB01B2"/>
    <w:rsid w:val="00BB1CD9"/>
    <w:rsid w:val="00BB4B88"/>
    <w:rsid w:val="00BB7DF4"/>
    <w:rsid w:val="00BC09C0"/>
    <w:rsid w:val="00BC1CE5"/>
    <w:rsid w:val="00BC2115"/>
    <w:rsid w:val="00BC2319"/>
    <w:rsid w:val="00BC2C4E"/>
    <w:rsid w:val="00BC3408"/>
    <w:rsid w:val="00BC6729"/>
    <w:rsid w:val="00BC72D1"/>
    <w:rsid w:val="00BC7AA0"/>
    <w:rsid w:val="00BD030B"/>
    <w:rsid w:val="00BD0332"/>
    <w:rsid w:val="00BD06BD"/>
    <w:rsid w:val="00BD0720"/>
    <w:rsid w:val="00BD0C41"/>
    <w:rsid w:val="00BD3577"/>
    <w:rsid w:val="00BD4A77"/>
    <w:rsid w:val="00BD5D96"/>
    <w:rsid w:val="00BD6B06"/>
    <w:rsid w:val="00BD7BDA"/>
    <w:rsid w:val="00BE2C51"/>
    <w:rsid w:val="00BE4DD3"/>
    <w:rsid w:val="00BE7E48"/>
    <w:rsid w:val="00BF0605"/>
    <w:rsid w:val="00BF12F3"/>
    <w:rsid w:val="00BF4E80"/>
    <w:rsid w:val="00BF6081"/>
    <w:rsid w:val="00BF787E"/>
    <w:rsid w:val="00BF7FA2"/>
    <w:rsid w:val="00C00E54"/>
    <w:rsid w:val="00C02984"/>
    <w:rsid w:val="00C02A0A"/>
    <w:rsid w:val="00C03057"/>
    <w:rsid w:val="00C0467C"/>
    <w:rsid w:val="00C04706"/>
    <w:rsid w:val="00C05223"/>
    <w:rsid w:val="00C05BF9"/>
    <w:rsid w:val="00C063C4"/>
    <w:rsid w:val="00C068F2"/>
    <w:rsid w:val="00C06C3F"/>
    <w:rsid w:val="00C101CC"/>
    <w:rsid w:val="00C10229"/>
    <w:rsid w:val="00C121AF"/>
    <w:rsid w:val="00C12335"/>
    <w:rsid w:val="00C12842"/>
    <w:rsid w:val="00C131C6"/>
    <w:rsid w:val="00C158C8"/>
    <w:rsid w:val="00C161D0"/>
    <w:rsid w:val="00C173CC"/>
    <w:rsid w:val="00C22250"/>
    <w:rsid w:val="00C24967"/>
    <w:rsid w:val="00C25538"/>
    <w:rsid w:val="00C25DF6"/>
    <w:rsid w:val="00C30378"/>
    <w:rsid w:val="00C304DB"/>
    <w:rsid w:val="00C3091B"/>
    <w:rsid w:val="00C31B59"/>
    <w:rsid w:val="00C337C9"/>
    <w:rsid w:val="00C35007"/>
    <w:rsid w:val="00C35D46"/>
    <w:rsid w:val="00C35E4A"/>
    <w:rsid w:val="00C36A36"/>
    <w:rsid w:val="00C36E1A"/>
    <w:rsid w:val="00C40654"/>
    <w:rsid w:val="00C41D54"/>
    <w:rsid w:val="00C43482"/>
    <w:rsid w:val="00C453D4"/>
    <w:rsid w:val="00C45D20"/>
    <w:rsid w:val="00C47331"/>
    <w:rsid w:val="00C474B5"/>
    <w:rsid w:val="00C50148"/>
    <w:rsid w:val="00C50332"/>
    <w:rsid w:val="00C50808"/>
    <w:rsid w:val="00C5151E"/>
    <w:rsid w:val="00C51FEA"/>
    <w:rsid w:val="00C52909"/>
    <w:rsid w:val="00C54A78"/>
    <w:rsid w:val="00C55313"/>
    <w:rsid w:val="00C5646A"/>
    <w:rsid w:val="00C56C7E"/>
    <w:rsid w:val="00C56D33"/>
    <w:rsid w:val="00C607B9"/>
    <w:rsid w:val="00C61E45"/>
    <w:rsid w:val="00C62473"/>
    <w:rsid w:val="00C62807"/>
    <w:rsid w:val="00C62F68"/>
    <w:rsid w:val="00C63770"/>
    <w:rsid w:val="00C64B8B"/>
    <w:rsid w:val="00C65275"/>
    <w:rsid w:val="00C710E0"/>
    <w:rsid w:val="00C71FB7"/>
    <w:rsid w:val="00C72BD4"/>
    <w:rsid w:val="00C72D04"/>
    <w:rsid w:val="00C74C3C"/>
    <w:rsid w:val="00C74FE4"/>
    <w:rsid w:val="00C75932"/>
    <w:rsid w:val="00C75A5B"/>
    <w:rsid w:val="00C7673E"/>
    <w:rsid w:val="00C80525"/>
    <w:rsid w:val="00C80E46"/>
    <w:rsid w:val="00C83D19"/>
    <w:rsid w:val="00C84A45"/>
    <w:rsid w:val="00C84FDE"/>
    <w:rsid w:val="00C85955"/>
    <w:rsid w:val="00C85A50"/>
    <w:rsid w:val="00C90437"/>
    <w:rsid w:val="00C911E1"/>
    <w:rsid w:val="00C95530"/>
    <w:rsid w:val="00C97B97"/>
    <w:rsid w:val="00CA011A"/>
    <w:rsid w:val="00CA1A6A"/>
    <w:rsid w:val="00CA31A0"/>
    <w:rsid w:val="00CA46E9"/>
    <w:rsid w:val="00CA522C"/>
    <w:rsid w:val="00CA5D4C"/>
    <w:rsid w:val="00CB083B"/>
    <w:rsid w:val="00CB105A"/>
    <w:rsid w:val="00CB288C"/>
    <w:rsid w:val="00CB2AE6"/>
    <w:rsid w:val="00CB2C14"/>
    <w:rsid w:val="00CB4FFB"/>
    <w:rsid w:val="00CB6441"/>
    <w:rsid w:val="00CB7067"/>
    <w:rsid w:val="00CC02C0"/>
    <w:rsid w:val="00CC0E18"/>
    <w:rsid w:val="00CC2463"/>
    <w:rsid w:val="00CC2604"/>
    <w:rsid w:val="00CC2749"/>
    <w:rsid w:val="00CC2F96"/>
    <w:rsid w:val="00CC2FA8"/>
    <w:rsid w:val="00CC4ED1"/>
    <w:rsid w:val="00CD1EED"/>
    <w:rsid w:val="00CD2612"/>
    <w:rsid w:val="00CD5025"/>
    <w:rsid w:val="00CD7554"/>
    <w:rsid w:val="00CD7806"/>
    <w:rsid w:val="00CE11DA"/>
    <w:rsid w:val="00CE13D4"/>
    <w:rsid w:val="00CE149D"/>
    <w:rsid w:val="00CE15B5"/>
    <w:rsid w:val="00CE24B9"/>
    <w:rsid w:val="00CE411C"/>
    <w:rsid w:val="00CE483A"/>
    <w:rsid w:val="00CE51CA"/>
    <w:rsid w:val="00CE63FA"/>
    <w:rsid w:val="00CE7711"/>
    <w:rsid w:val="00CE7BA1"/>
    <w:rsid w:val="00CF0AE5"/>
    <w:rsid w:val="00CF19B2"/>
    <w:rsid w:val="00CF2441"/>
    <w:rsid w:val="00CF2576"/>
    <w:rsid w:val="00CF365B"/>
    <w:rsid w:val="00CF4408"/>
    <w:rsid w:val="00CF4E4E"/>
    <w:rsid w:val="00CF5080"/>
    <w:rsid w:val="00CF61E4"/>
    <w:rsid w:val="00CF6989"/>
    <w:rsid w:val="00CF7B29"/>
    <w:rsid w:val="00CF7CAC"/>
    <w:rsid w:val="00D01E74"/>
    <w:rsid w:val="00D04637"/>
    <w:rsid w:val="00D04703"/>
    <w:rsid w:val="00D04E79"/>
    <w:rsid w:val="00D04F06"/>
    <w:rsid w:val="00D06940"/>
    <w:rsid w:val="00D06D4C"/>
    <w:rsid w:val="00D07D05"/>
    <w:rsid w:val="00D118F2"/>
    <w:rsid w:val="00D12338"/>
    <w:rsid w:val="00D14970"/>
    <w:rsid w:val="00D14D5C"/>
    <w:rsid w:val="00D14F49"/>
    <w:rsid w:val="00D15DB0"/>
    <w:rsid w:val="00D16B76"/>
    <w:rsid w:val="00D20B45"/>
    <w:rsid w:val="00D22AFC"/>
    <w:rsid w:val="00D238D8"/>
    <w:rsid w:val="00D23BCF"/>
    <w:rsid w:val="00D247F4"/>
    <w:rsid w:val="00D25771"/>
    <w:rsid w:val="00D25B6B"/>
    <w:rsid w:val="00D2672C"/>
    <w:rsid w:val="00D267E6"/>
    <w:rsid w:val="00D27F42"/>
    <w:rsid w:val="00D301EE"/>
    <w:rsid w:val="00D317AB"/>
    <w:rsid w:val="00D32529"/>
    <w:rsid w:val="00D333DE"/>
    <w:rsid w:val="00D334A3"/>
    <w:rsid w:val="00D33A85"/>
    <w:rsid w:val="00D34552"/>
    <w:rsid w:val="00D35CAF"/>
    <w:rsid w:val="00D414D1"/>
    <w:rsid w:val="00D434D3"/>
    <w:rsid w:val="00D43F27"/>
    <w:rsid w:val="00D44C88"/>
    <w:rsid w:val="00D4575A"/>
    <w:rsid w:val="00D45DC6"/>
    <w:rsid w:val="00D46105"/>
    <w:rsid w:val="00D46A8A"/>
    <w:rsid w:val="00D505F6"/>
    <w:rsid w:val="00D50D23"/>
    <w:rsid w:val="00D528C4"/>
    <w:rsid w:val="00D528FB"/>
    <w:rsid w:val="00D541ED"/>
    <w:rsid w:val="00D542F0"/>
    <w:rsid w:val="00D54301"/>
    <w:rsid w:val="00D5449E"/>
    <w:rsid w:val="00D551B4"/>
    <w:rsid w:val="00D5611E"/>
    <w:rsid w:val="00D57A79"/>
    <w:rsid w:val="00D619A4"/>
    <w:rsid w:val="00D61FCB"/>
    <w:rsid w:val="00D62C2E"/>
    <w:rsid w:val="00D63161"/>
    <w:rsid w:val="00D66E63"/>
    <w:rsid w:val="00D705FC"/>
    <w:rsid w:val="00D7124F"/>
    <w:rsid w:val="00D723BF"/>
    <w:rsid w:val="00D733CE"/>
    <w:rsid w:val="00D7678D"/>
    <w:rsid w:val="00D774E6"/>
    <w:rsid w:val="00D7775F"/>
    <w:rsid w:val="00D8036C"/>
    <w:rsid w:val="00D82705"/>
    <w:rsid w:val="00D82F33"/>
    <w:rsid w:val="00D84CF6"/>
    <w:rsid w:val="00D854C0"/>
    <w:rsid w:val="00D864DC"/>
    <w:rsid w:val="00D91710"/>
    <w:rsid w:val="00D9300B"/>
    <w:rsid w:val="00D94FB0"/>
    <w:rsid w:val="00D9504B"/>
    <w:rsid w:val="00D96E36"/>
    <w:rsid w:val="00DA0935"/>
    <w:rsid w:val="00DA0938"/>
    <w:rsid w:val="00DA21AD"/>
    <w:rsid w:val="00DA229B"/>
    <w:rsid w:val="00DA2D3B"/>
    <w:rsid w:val="00DA403D"/>
    <w:rsid w:val="00DB0A89"/>
    <w:rsid w:val="00DB0F61"/>
    <w:rsid w:val="00DB1E80"/>
    <w:rsid w:val="00DB315B"/>
    <w:rsid w:val="00DB36B4"/>
    <w:rsid w:val="00DB4096"/>
    <w:rsid w:val="00DB4822"/>
    <w:rsid w:val="00DB4F56"/>
    <w:rsid w:val="00DB683D"/>
    <w:rsid w:val="00DB711C"/>
    <w:rsid w:val="00DB7DB1"/>
    <w:rsid w:val="00DB7FB3"/>
    <w:rsid w:val="00DC0204"/>
    <w:rsid w:val="00DC07F5"/>
    <w:rsid w:val="00DC0A62"/>
    <w:rsid w:val="00DC1372"/>
    <w:rsid w:val="00DC1E0A"/>
    <w:rsid w:val="00DC2FA8"/>
    <w:rsid w:val="00DC3518"/>
    <w:rsid w:val="00DC3FFB"/>
    <w:rsid w:val="00DC51B4"/>
    <w:rsid w:val="00DC6B57"/>
    <w:rsid w:val="00DC73BD"/>
    <w:rsid w:val="00DD1A71"/>
    <w:rsid w:val="00DD2441"/>
    <w:rsid w:val="00DD2890"/>
    <w:rsid w:val="00DD2E91"/>
    <w:rsid w:val="00DD40AA"/>
    <w:rsid w:val="00DD4889"/>
    <w:rsid w:val="00DD4E72"/>
    <w:rsid w:val="00DD617D"/>
    <w:rsid w:val="00DD6A23"/>
    <w:rsid w:val="00DE2EAB"/>
    <w:rsid w:val="00DE322E"/>
    <w:rsid w:val="00DE4B4C"/>
    <w:rsid w:val="00DE59B6"/>
    <w:rsid w:val="00DE6021"/>
    <w:rsid w:val="00DE61E1"/>
    <w:rsid w:val="00DE781F"/>
    <w:rsid w:val="00DF101C"/>
    <w:rsid w:val="00DF3103"/>
    <w:rsid w:val="00DF4FD8"/>
    <w:rsid w:val="00DF77FA"/>
    <w:rsid w:val="00DF7B4A"/>
    <w:rsid w:val="00E00DC9"/>
    <w:rsid w:val="00E0201D"/>
    <w:rsid w:val="00E02088"/>
    <w:rsid w:val="00E04740"/>
    <w:rsid w:val="00E058FB"/>
    <w:rsid w:val="00E10A73"/>
    <w:rsid w:val="00E10E4D"/>
    <w:rsid w:val="00E10FEE"/>
    <w:rsid w:val="00E12D46"/>
    <w:rsid w:val="00E131F2"/>
    <w:rsid w:val="00E14D5C"/>
    <w:rsid w:val="00E15217"/>
    <w:rsid w:val="00E15F84"/>
    <w:rsid w:val="00E206A8"/>
    <w:rsid w:val="00E20E8D"/>
    <w:rsid w:val="00E21E44"/>
    <w:rsid w:val="00E229DD"/>
    <w:rsid w:val="00E24BF3"/>
    <w:rsid w:val="00E26824"/>
    <w:rsid w:val="00E26C8F"/>
    <w:rsid w:val="00E2785D"/>
    <w:rsid w:val="00E367E4"/>
    <w:rsid w:val="00E40F98"/>
    <w:rsid w:val="00E440A0"/>
    <w:rsid w:val="00E4472F"/>
    <w:rsid w:val="00E45F19"/>
    <w:rsid w:val="00E51738"/>
    <w:rsid w:val="00E51CA5"/>
    <w:rsid w:val="00E5484C"/>
    <w:rsid w:val="00E54B5B"/>
    <w:rsid w:val="00E56172"/>
    <w:rsid w:val="00E569FB"/>
    <w:rsid w:val="00E60086"/>
    <w:rsid w:val="00E61811"/>
    <w:rsid w:val="00E61829"/>
    <w:rsid w:val="00E62DE3"/>
    <w:rsid w:val="00E635B0"/>
    <w:rsid w:val="00E64CE2"/>
    <w:rsid w:val="00E65493"/>
    <w:rsid w:val="00E65A17"/>
    <w:rsid w:val="00E70CF2"/>
    <w:rsid w:val="00E71A61"/>
    <w:rsid w:val="00E741B1"/>
    <w:rsid w:val="00E757BA"/>
    <w:rsid w:val="00E76EC9"/>
    <w:rsid w:val="00E776F0"/>
    <w:rsid w:val="00E77C55"/>
    <w:rsid w:val="00E80C02"/>
    <w:rsid w:val="00E80F45"/>
    <w:rsid w:val="00E81770"/>
    <w:rsid w:val="00E8290F"/>
    <w:rsid w:val="00E83042"/>
    <w:rsid w:val="00E84336"/>
    <w:rsid w:val="00E84B6A"/>
    <w:rsid w:val="00E85563"/>
    <w:rsid w:val="00E86015"/>
    <w:rsid w:val="00E861F7"/>
    <w:rsid w:val="00E868E3"/>
    <w:rsid w:val="00E8708B"/>
    <w:rsid w:val="00E92091"/>
    <w:rsid w:val="00E9254C"/>
    <w:rsid w:val="00E945E1"/>
    <w:rsid w:val="00E947B6"/>
    <w:rsid w:val="00E9636E"/>
    <w:rsid w:val="00E96FBC"/>
    <w:rsid w:val="00EA0D4D"/>
    <w:rsid w:val="00EA1309"/>
    <w:rsid w:val="00EA16CC"/>
    <w:rsid w:val="00EA26F6"/>
    <w:rsid w:val="00EA2EAF"/>
    <w:rsid w:val="00EA3798"/>
    <w:rsid w:val="00EA4C91"/>
    <w:rsid w:val="00EA5497"/>
    <w:rsid w:val="00EA765B"/>
    <w:rsid w:val="00EA79E5"/>
    <w:rsid w:val="00EB02E2"/>
    <w:rsid w:val="00EB2DAD"/>
    <w:rsid w:val="00EB43B0"/>
    <w:rsid w:val="00EB64D5"/>
    <w:rsid w:val="00EB67E5"/>
    <w:rsid w:val="00EB6FED"/>
    <w:rsid w:val="00EC018E"/>
    <w:rsid w:val="00EC128D"/>
    <w:rsid w:val="00EC188E"/>
    <w:rsid w:val="00EC2D37"/>
    <w:rsid w:val="00EC3DD4"/>
    <w:rsid w:val="00EC40B3"/>
    <w:rsid w:val="00EC555C"/>
    <w:rsid w:val="00EC5C7E"/>
    <w:rsid w:val="00ED0AB5"/>
    <w:rsid w:val="00ED317B"/>
    <w:rsid w:val="00ED4923"/>
    <w:rsid w:val="00ED5D20"/>
    <w:rsid w:val="00ED6069"/>
    <w:rsid w:val="00ED72B2"/>
    <w:rsid w:val="00EE0613"/>
    <w:rsid w:val="00EE2493"/>
    <w:rsid w:val="00EE27E2"/>
    <w:rsid w:val="00EE2D1B"/>
    <w:rsid w:val="00EE7102"/>
    <w:rsid w:val="00EE7109"/>
    <w:rsid w:val="00EF0B36"/>
    <w:rsid w:val="00EF1950"/>
    <w:rsid w:val="00EF3348"/>
    <w:rsid w:val="00EF4156"/>
    <w:rsid w:val="00EF4A1B"/>
    <w:rsid w:val="00EF5173"/>
    <w:rsid w:val="00EF6883"/>
    <w:rsid w:val="00EF7C56"/>
    <w:rsid w:val="00F005AA"/>
    <w:rsid w:val="00F06E30"/>
    <w:rsid w:val="00F11708"/>
    <w:rsid w:val="00F1222F"/>
    <w:rsid w:val="00F12809"/>
    <w:rsid w:val="00F1526F"/>
    <w:rsid w:val="00F161B9"/>
    <w:rsid w:val="00F1639C"/>
    <w:rsid w:val="00F1783D"/>
    <w:rsid w:val="00F22154"/>
    <w:rsid w:val="00F22512"/>
    <w:rsid w:val="00F26711"/>
    <w:rsid w:val="00F26BB5"/>
    <w:rsid w:val="00F2795B"/>
    <w:rsid w:val="00F31022"/>
    <w:rsid w:val="00F31B0F"/>
    <w:rsid w:val="00F32996"/>
    <w:rsid w:val="00F32A5F"/>
    <w:rsid w:val="00F33FB3"/>
    <w:rsid w:val="00F34582"/>
    <w:rsid w:val="00F369C6"/>
    <w:rsid w:val="00F402E7"/>
    <w:rsid w:val="00F4185A"/>
    <w:rsid w:val="00F42088"/>
    <w:rsid w:val="00F44544"/>
    <w:rsid w:val="00F44EF7"/>
    <w:rsid w:val="00F45A4D"/>
    <w:rsid w:val="00F47D0F"/>
    <w:rsid w:val="00F5050E"/>
    <w:rsid w:val="00F5100B"/>
    <w:rsid w:val="00F510D5"/>
    <w:rsid w:val="00F5194F"/>
    <w:rsid w:val="00F51A6A"/>
    <w:rsid w:val="00F51DA1"/>
    <w:rsid w:val="00F5360B"/>
    <w:rsid w:val="00F53B06"/>
    <w:rsid w:val="00F53D06"/>
    <w:rsid w:val="00F54D6D"/>
    <w:rsid w:val="00F559A8"/>
    <w:rsid w:val="00F55C37"/>
    <w:rsid w:val="00F55FAD"/>
    <w:rsid w:val="00F56098"/>
    <w:rsid w:val="00F56C60"/>
    <w:rsid w:val="00F57478"/>
    <w:rsid w:val="00F6182C"/>
    <w:rsid w:val="00F65ABC"/>
    <w:rsid w:val="00F65C33"/>
    <w:rsid w:val="00F65F17"/>
    <w:rsid w:val="00F665D6"/>
    <w:rsid w:val="00F70332"/>
    <w:rsid w:val="00F71068"/>
    <w:rsid w:val="00F72865"/>
    <w:rsid w:val="00F7410B"/>
    <w:rsid w:val="00F746CB"/>
    <w:rsid w:val="00F812D1"/>
    <w:rsid w:val="00F82234"/>
    <w:rsid w:val="00F82642"/>
    <w:rsid w:val="00F82834"/>
    <w:rsid w:val="00F846FD"/>
    <w:rsid w:val="00F862BE"/>
    <w:rsid w:val="00F86C1B"/>
    <w:rsid w:val="00F9043A"/>
    <w:rsid w:val="00F91CEA"/>
    <w:rsid w:val="00F93AB5"/>
    <w:rsid w:val="00F9411C"/>
    <w:rsid w:val="00F95D16"/>
    <w:rsid w:val="00F9682C"/>
    <w:rsid w:val="00F974EF"/>
    <w:rsid w:val="00F97551"/>
    <w:rsid w:val="00F97BC7"/>
    <w:rsid w:val="00FA074A"/>
    <w:rsid w:val="00FA1170"/>
    <w:rsid w:val="00FA4799"/>
    <w:rsid w:val="00FB0273"/>
    <w:rsid w:val="00FB1135"/>
    <w:rsid w:val="00FB24FC"/>
    <w:rsid w:val="00FB3831"/>
    <w:rsid w:val="00FB65BA"/>
    <w:rsid w:val="00FC1943"/>
    <w:rsid w:val="00FC2CA2"/>
    <w:rsid w:val="00FC38CD"/>
    <w:rsid w:val="00FC44DB"/>
    <w:rsid w:val="00FC45F4"/>
    <w:rsid w:val="00FC4871"/>
    <w:rsid w:val="00FC6015"/>
    <w:rsid w:val="00FC7741"/>
    <w:rsid w:val="00FC7F8C"/>
    <w:rsid w:val="00FD0064"/>
    <w:rsid w:val="00FD032A"/>
    <w:rsid w:val="00FD16D9"/>
    <w:rsid w:val="00FD2E4F"/>
    <w:rsid w:val="00FD39D8"/>
    <w:rsid w:val="00FD676D"/>
    <w:rsid w:val="00FD6C18"/>
    <w:rsid w:val="00FD6D60"/>
    <w:rsid w:val="00FD6DED"/>
    <w:rsid w:val="00FE14C5"/>
    <w:rsid w:val="00FE29E5"/>
    <w:rsid w:val="00FE2C02"/>
    <w:rsid w:val="00FE34CF"/>
    <w:rsid w:val="00FE4210"/>
    <w:rsid w:val="00FE4248"/>
    <w:rsid w:val="00FE4A60"/>
    <w:rsid w:val="00FE52E0"/>
    <w:rsid w:val="00FE58D8"/>
    <w:rsid w:val="00FE79CD"/>
    <w:rsid w:val="00FF10B9"/>
    <w:rsid w:val="00FF3BA8"/>
    <w:rsid w:val="00FF5BE4"/>
    <w:rsid w:val="00FF6070"/>
    <w:rsid w:val="00FF6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2"/>
      <w:lang w:eastAsia="ja-JP"/>
    </w:rPr>
  </w:style>
  <w:style w:type="paragraph" w:styleId="Heading1">
    <w:name w:val="heading 1"/>
    <w:next w:val="Normal"/>
    <w:link w:val="Heading1Char"/>
    <w:qFormat/>
    <w:pPr>
      <w:keepNext/>
      <w:spacing w:before="240" w:after="60"/>
      <w:outlineLvl w:val="0"/>
    </w:pPr>
    <w:rPr>
      <w:rFonts w:ascii="Arial" w:hAnsi="Arial"/>
      <w:b/>
      <w:caps/>
      <w:noProof/>
      <w:kern w:val="28"/>
      <w:sz w:val="34"/>
      <w:lang w:eastAsia="ja-JP"/>
    </w:rPr>
  </w:style>
  <w:style w:type="paragraph" w:styleId="Heading2">
    <w:name w:val="heading 2"/>
    <w:basedOn w:val="Normal"/>
    <w:next w:val="Normal"/>
    <w:link w:val="Heading2Char"/>
    <w:qFormat/>
    <w:pPr>
      <w:spacing w:before="360" w:after="60"/>
      <w:outlineLvl w:val="1"/>
    </w:pPr>
    <w:rPr>
      <w:b/>
      <w:caps/>
      <w:sz w:val="28"/>
    </w:rPr>
  </w:style>
  <w:style w:type="paragraph" w:styleId="Heading3">
    <w:name w:val="heading 3"/>
    <w:basedOn w:val="Normal"/>
    <w:next w:val="Normal"/>
    <w:qFormat/>
    <w:pPr>
      <w:spacing w:before="240" w:after="0"/>
      <w:outlineLvl w:val="2"/>
    </w:pPr>
    <w:rPr>
      <w:b/>
      <w:sz w:val="24"/>
    </w:rPr>
  </w:style>
  <w:style w:type="paragraph" w:styleId="Heading4">
    <w:name w:val="heading 4"/>
    <w:basedOn w:val="Normal"/>
    <w:next w:val="Normal"/>
    <w:link w:val="Heading4Char"/>
    <w:qFormat/>
    <w:pPr>
      <w:spacing w:before="120" w:after="0"/>
      <w:ind w:left="567"/>
      <w:outlineLvl w:val="3"/>
    </w:pPr>
    <w:rPr>
      <w:b/>
      <w:i/>
      <w:sz w:val="24"/>
    </w:rPr>
  </w:style>
  <w:style w:type="paragraph" w:styleId="Heading5">
    <w:name w:val="heading 5"/>
    <w:basedOn w:val="Normal"/>
    <w:next w:val="Normal"/>
    <w:link w:val="Heading5Char"/>
    <w:qFormat/>
    <w:pPr>
      <w:spacing w:before="120" w:after="0"/>
      <w:ind w:left="907"/>
      <w:outlineLvl w:val="4"/>
    </w:pPr>
    <w:rPr>
      <w:i/>
      <w:sz w:val="24"/>
    </w:rPr>
  </w:style>
  <w:style w:type="paragraph" w:styleId="Heading6">
    <w:name w:val="heading 6"/>
    <w:basedOn w:val="Normal"/>
    <w:next w:val="Normal"/>
    <w:qFormat/>
    <w:pPr>
      <w:spacing w:before="240" w:after="60"/>
      <w:outlineLvl w:val="5"/>
    </w:pPr>
    <w:rPr>
      <w:rFonts w:ascii="Arial" w:hAnsi="Arial"/>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320"/>
        <w:tab w:val="right" w:pos="8640"/>
      </w:tabs>
    </w:pPr>
    <w:rPr>
      <w:smallCaps/>
      <w:noProof/>
      <w:lang w:eastAsia="ja-JP"/>
    </w:rPr>
  </w:style>
  <w:style w:type="paragraph" w:styleId="Footer">
    <w:name w:val="footer"/>
    <w:pPr>
      <w:tabs>
        <w:tab w:val="center" w:pos="4320"/>
        <w:tab w:val="right" w:pos="8640"/>
      </w:tabs>
    </w:pPr>
    <w:rPr>
      <w:noProof/>
      <w:sz w:val="16"/>
      <w:lang w:eastAsia="ja-JP"/>
    </w:rPr>
  </w:style>
  <w:style w:type="character" w:styleId="PageNumber">
    <w:name w:val="page number"/>
    <w:basedOn w:val="DefaultParagraphFont"/>
  </w:style>
  <w:style w:type="paragraph" w:customStyle="1" w:styleId="TextTi12">
    <w:name w:val="Text:Ti12"/>
    <w:basedOn w:val="Normal"/>
    <w:link w:val="TextTi12Char1"/>
    <w:rsid w:val="00E81770"/>
    <w:pPr>
      <w:spacing w:after="170" w:line="280" w:lineRule="atLeast"/>
      <w:jc w:val="both"/>
    </w:pPr>
    <w:rPr>
      <w:sz w:val="24"/>
      <w:lang w:val="en-US"/>
    </w:rPr>
  </w:style>
  <w:style w:type="paragraph" w:customStyle="1" w:styleId="PIexplanation">
    <w:name w:val="PI explanation"/>
    <w:basedOn w:val="Normal"/>
    <w:rPr>
      <w:i/>
      <w:color w:val="FF0000"/>
    </w:rPr>
  </w:style>
  <w:style w:type="character" w:styleId="CommentReference">
    <w:name w:val="annotation reference"/>
    <w:semiHidden/>
    <w:rsid w:val="00E81770"/>
    <w:rPr>
      <w:sz w:val="16"/>
    </w:rPr>
  </w:style>
  <w:style w:type="paragraph" w:styleId="CommentText">
    <w:name w:val="annotation text"/>
    <w:basedOn w:val="Normal"/>
    <w:link w:val="CommentTextChar"/>
    <w:semiHidden/>
    <w:rsid w:val="00E81770"/>
    <w:pPr>
      <w:spacing w:after="0" w:line="280" w:lineRule="atLeast"/>
    </w:pPr>
    <w:rPr>
      <w:sz w:val="20"/>
      <w:lang w:val="en-US"/>
    </w:rPr>
  </w:style>
  <w:style w:type="character" w:styleId="EndnoteReference">
    <w:name w:val="endnote reference"/>
    <w:semiHidden/>
    <w:rsid w:val="00C71FB7"/>
    <w:rPr>
      <w:vertAlign w:val="superscript"/>
    </w:rPr>
  </w:style>
  <w:style w:type="paragraph" w:customStyle="1" w:styleId="HdTab1">
    <w:name w:val="Hd:Tab:1"/>
    <w:basedOn w:val="Caption"/>
    <w:next w:val="TextTi12"/>
    <w:link w:val="HdTab1Char"/>
    <w:rsid w:val="00C71FB7"/>
    <w:pPr>
      <w:keepNext/>
      <w:spacing w:before="113" w:after="57" w:line="280" w:lineRule="atLeast"/>
      <w:ind w:left="1701" w:hanging="1701"/>
      <w:outlineLvl w:val="4"/>
    </w:pPr>
    <w:rPr>
      <w:rFonts w:ascii="Arial" w:hAnsi="Arial"/>
      <w:bCs w:val="0"/>
      <w:sz w:val="24"/>
      <w:lang w:val="en-US"/>
    </w:rPr>
  </w:style>
  <w:style w:type="paragraph" w:customStyle="1" w:styleId="TableCellCenter">
    <w:name w:val="Table Cell Center"/>
    <w:basedOn w:val="Normal"/>
    <w:rsid w:val="00C71FB7"/>
    <w:pPr>
      <w:keepNext/>
      <w:keepLines/>
      <w:spacing w:before="50" w:after="50" w:line="240" w:lineRule="exact"/>
      <w:jc w:val="center"/>
    </w:pPr>
    <w:rPr>
      <w:sz w:val="20"/>
      <w:lang w:val="en-US"/>
    </w:rPr>
  </w:style>
  <w:style w:type="paragraph" w:customStyle="1" w:styleId="TableCellLeft">
    <w:name w:val="Table Cell Left"/>
    <w:basedOn w:val="Normal"/>
    <w:rsid w:val="00C71FB7"/>
    <w:pPr>
      <w:keepNext/>
      <w:keepLines/>
      <w:spacing w:before="50" w:after="50" w:line="240" w:lineRule="exact"/>
    </w:pPr>
    <w:rPr>
      <w:sz w:val="20"/>
      <w:lang w:val="en-US"/>
    </w:rPr>
  </w:style>
  <w:style w:type="paragraph" w:customStyle="1" w:styleId="TableCellHead">
    <w:name w:val="Table Cell Head"/>
    <w:basedOn w:val="Normal"/>
    <w:next w:val="Normal"/>
    <w:rsid w:val="00C71FB7"/>
    <w:pPr>
      <w:keepNext/>
      <w:keepLines/>
      <w:spacing w:before="100" w:after="0" w:line="240" w:lineRule="exact"/>
    </w:pPr>
    <w:rPr>
      <w:sz w:val="20"/>
      <w:u w:val="single"/>
      <w:lang w:val="en-US"/>
    </w:rPr>
  </w:style>
  <w:style w:type="paragraph" w:customStyle="1" w:styleId="TableFooter">
    <w:name w:val="Table Footer"/>
    <w:basedOn w:val="Normal"/>
    <w:link w:val="TableFooterChar"/>
    <w:rsid w:val="00C71FB7"/>
    <w:pPr>
      <w:keepNext/>
      <w:keepLines/>
      <w:tabs>
        <w:tab w:val="right" w:pos="144"/>
      </w:tabs>
      <w:spacing w:before="60" w:after="0" w:line="240" w:lineRule="exact"/>
      <w:ind w:left="216" w:hanging="216"/>
    </w:pPr>
    <w:rPr>
      <w:sz w:val="20"/>
      <w:lang w:val="en-US"/>
    </w:rPr>
  </w:style>
  <w:style w:type="paragraph" w:customStyle="1" w:styleId="TableFigureSpace">
    <w:name w:val="Table/Figure Space"/>
    <w:basedOn w:val="Normal"/>
    <w:next w:val="Normal"/>
    <w:rsid w:val="00C71FB7"/>
    <w:pPr>
      <w:spacing w:after="40" w:line="240" w:lineRule="exact"/>
    </w:pPr>
    <w:rPr>
      <w:sz w:val="24"/>
      <w:lang w:val="en-US"/>
    </w:rPr>
  </w:style>
  <w:style w:type="paragraph" w:styleId="Caption">
    <w:name w:val="caption"/>
    <w:basedOn w:val="Normal"/>
    <w:next w:val="Normal"/>
    <w:link w:val="CaptionChar"/>
    <w:qFormat/>
    <w:rsid w:val="00C71FB7"/>
    <w:pPr>
      <w:spacing w:before="120"/>
    </w:pPr>
    <w:rPr>
      <w:b/>
      <w:bCs/>
      <w:sz w:val="20"/>
    </w:rPr>
  </w:style>
  <w:style w:type="paragraph" w:styleId="BodyText">
    <w:name w:val="Body Text"/>
    <w:basedOn w:val="Normal"/>
    <w:rsid w:val="00C71FB7"/>
    <w:pPr>
      <w:spacing w:after="0" w:line="280" w:lineRule="atLeast"/>
    </w:pPr>
    <w:rPr>
      <w:sz w:val="24"/>
      <w:lang w:val="en-US"/>
    </w:rPr>
  </w:style>
  <w:style w:type="paragraph" w:customStyle="1" w:styleId="TextTi10">
    <w:name w:val="Text:Ti10"/>
    <w:basedOn w:val="Normal"/>
    <w:rsid w:val="00810904"/>
    <w:pPr>
      <w:spacing w:after="0"/>
    </w:pPr>
    <w:rPr>
      <w:sz w:val="20"/>
      <w:lang w:val="en-US"/>
    </w:rPr>
  </w:style>
  <w:style w:type="paragraph" w:customStyle="1" w:styleId="Paragraph">
    <w:name w:val="Paragraph"/>
    <w:basedOn w:val="Normal"/>
    <w:link w:val="ParagraphChar"/>
    <w:rsid w:val="00810904"/>
    <w:pPr>
      <w:widowControl w:val="0"/>
      <w:spacing w:after="300" w:line="400" w:lineRule="exact"/>
    </w:pPr>
    <w:rPr>
      <w:rFonts w:ascii="Helvetica" w:hAnsi="Helvetica"/>
      <w:sz w:val="24"/>
      <w:lang w:val="en-US"/>
    </w:rPr>
  </w:style>
  <w:style w:type="paragraph" w:customStyle="1" w:styleId="FigureTitle">
    <w:name w:val="Figure Title"/>
    <w:basedOn w:val="Paragraph"/>
    <w:next w:val="FigureHolder"/>
    <w:rsid w:val="00810904"/>
    <w:pPr>
      <w:keepNext/>
      <w:keepLines/>
      <w:widowControl/>
      <w:spacing w:before="40" w:after="240" w:line="300" w:lineRule="exact"/>
      <w:jc w:val="center"/>
    </w:pPr>
    <w:rPr>
      <w:rFonts w:ascii="Times New Roman" w:hAnsi="Times New Roman"/>
    </w:rPr>
  </w:style>
  <w:style w:type="paragraph" w:customStyle="1" w:styleId="FigureHolder">
    <w:name w:val="Figure Holder"/>
    <w:basedOn w:val="Paragraph"/>
    <w:next w:val="FigureCaption"/>
    <w:rsid w:val="00810904"/>
    <w:pPr>
      <w:keepNext/>
      <w:keepLines/>
      <w:widowControl/>
      <w:spacing w:after="120" w:line="240" w:lineRule="atLeast"/>
      <w:jc w:val="center"/>
    </w:pPr>
    <w:rPr>
      <w:rFonts w:ascii="Times New Roman" w:hAnsi="Times New Roman"/>
    </w:rPr>
  </w:style>
  <w:style w:type="paragraph" w:customStyle="1" w:styleId="FigureCaption">
    <w:name w:val="Figure Caption"/>
    <w:basedOn w:val="Paragraph"/>
    <w:next w:val="TableFigureSpace"/>
    <w:rsid w:val="00810904"/>
    <w:pPr>
      <w:keepNext/>
      <w:keepLines/>
      <w:widowControl/>
      <w:spacing w:before="20" w:after="80" w:line="240" w:lineRule="exact"/>
    </w:pPr>
    <w:rPr>
      <w:rFonts w:ascii="Times New Roman" w:hAnsi="Times New Roman"/>
      <w:sz w:val="20"/>
    </w:rPr>
  </w:style>
  <w:style w:type="paragraph" w:styleId="CommentSubject">
    <w:name w:val="annotation subject"/>
    <w:basedOn w:val="CommentText"/>
    <w:next w:val="CommentText"/>
    <w:semiHidden/>
    <w:rsid w:val="00E85563"/>
    <w:pPr>
      <w:spacing w:after="120" w:line="240" w:lineRule="auto"/>
    </w:pPr>
    <w:rPr>
      <w:b/>
      <w:bCs/>
      <w:lang w:val="en-AU"/>
    </w:rPr>
  </w:style>
  <w:style w:type="paragraph" w:styleId="BalloonText">
    <w:name w:val="Balloon Text"/>
    <w:basedOn w:val="Normal"/>
    <w:semiHidden/>
    <w:rsid w:val="00E85563"/>
    <w:rPr>
      <w:rFonts w:ascii="Tahoma" w:hAnsi="Tahoma" w:cs="Tahoma"/>
      <w:sz w:val="16"/>
      <w:szCs w:val="16"/>
    </w:rPr>
  </w:style>
  <w:style w:type="paragraph" w:styleId="DocumentMap">
    <w:name w:val="Document Map"/>
    <w:basedOn w:val="Normal"/>
    <w:semiHidden/>
    <w:rsid w:val="000E1789"/>
    <w:pPr>
      <w:shd w:val="clear" w:color="auto" w:fill="000080"/>
    </w:pPr>
    <w:rPr>
      <w:rFonts w:ascii="Tahoma" w:hAnsi="Tahoma" w:cs="Tahoma"/>
    </w:rPr>
  </w:style>
  <w:style w:type="paragraph" w:customStyle="1" w:styleId="TextTi12Char">
    <w:name w:val="Text:Ti12 Char"/>
    <w:basedOn w:val="Normal"/>
    <w:link w:val="TextTi12CharChar"/>
    <w:rsid w:val="008527A6"/>
    <w:pPr>
      <w:spacing w:after="170" w:line="280" w:lineRule="atLeast"/>
      <w:jc w:val="both"/>
    </w:pPr>
    <w:rPr>
      <w:sz w:val="24"/>
      <w:lang w:val="en-US"/>
    </w:rPr>
  </w:style>
  <w:style w:type="character" w:customStyle="1" w:styleId="TextTi12CharChar">
    <w:name w:val="Text:Ti12 Char Char"/>
    <w:link w:val="TextTi12Char"/>
    <w:rsid w:val="008527A6"/>
    <w:rPr>
      <w:sz w:val="24"/>
      <w:lang w:val="en-US" w:eastAsia="ja-JP" w:bidi="ar-SA"/>
    </w:rPr>
  </w:style>
  <w:style w:type="table" w:styleId="TableGrid">
    <w:name w:val="Table Grid"/>
    <w:basedOn w:val="TableNormal"/>
    <w:uiPriority w:val="59"/>
    <w:rsid w:val="00715B3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46105"/>
    <w:rPr>
      <w:b/>
      <w:caps/>
      <w:sz w:val="28"/>
      <w:lang w:val="en-AU" w:eastAsia="ja-JP" w:bidi="ar-SA"/>
    </w:rPr>
  </w:style>
  <w:style w:type="character" w:customStyle="1" w:styleId="Heading1Char">
    <w:name w:val="Heading 1 Char"/>
    <w:link w:val="Heading1"/>
    <w:rsid w:val="00004DEE"/>
    <w:rPr>
      <w:rFonts w:ascii="Arial" w:hAnsi="Arial"/>
      <w:b/>
      <w:caps/>
      <w:noProof/>
      <w:kern w:val="28"/>
      <w:sz w:val="34"/>
      <w:lang w:val="en-AU" w:eastAsia="ja-JP" w:bidi="ar-SA"/>
    </w:rPr>
  </w:style>
  <w:style w:type="character" w:customStyle="1" w:styleId="TextTi12Char1">
    <w:name w:val="Text:Ti12 Char1"/>
    <w:link w:val="TextTi12"/>
    <w:rsid w:val="004B6EB0"/>
    <w:rPr>
      <w:sz w:val="24"/>
      <w:lang w:val="en-US" w:eastAsia="ja-JP" w:bidi="ar-SA"/>
    </w:rPr>
  </w:style>
  <w:style w:type="character" w:customStyle="1" w:styleId="TableFooterChar">
    <w:name w:val="Table Footer Char"/>
    <w:link w:val="TableFooter"/>
    <w:rsid w:val="00014E4F"/>
    <w:rPr>
      <w:lang w:val="en-US" w:eastAsia="ja-JP" w:bidi="ar-SA"/>
    </w:rPr>
  </w:style>
  <w:style w:type="character" w:customStyle="1" w:styleId="ParagraphChar">
    <w:name w:val="Paragraph Char"/>
    <w:link w:val="Paragraph"/>
    <w:rsid w:val="004E5CB3"/>
    <w:rPr>
      <w:rFonts w:ascii="Helvetica" w:hAnsi="Helvetica"/>
      <w:sz w:val="24"/>
      <w:lang w:val="en-US" w:eastAsia="ja-JP" w:bidi="ar-SA"/>
    </w:rPr>
  </w:style>
  <w:style w:type="paragraph" w:styleId="FootnoteText">
    <w:name w:val="footnote text"/>
    <w:basedOn w:val="Normal"/>
    <w:semiHidden/>
    <w:rsid w:val="00111822"/>
    <w:pPr>
      <w:spacing w:after="0" w:line="280" w:lineRule="atLeast"/>
    </w:pPr>
    <w:rPr>
      <w:sz w:val="20"/>
      <w:szCs w:val="24"/>
      <w:lang w:val="en-GB" w:eastAsia="de-DE"/>
    </w:rPr>
  </w:style>
  <w:style w:type="character" w:styleId="FollowedHyperlink">
    <w:name w:val="FollowedHyperlink"/>
    <w:rsid w:val="005255AE"/>
    <w:rPr>
      <w:color w:val="800080"/>
      <w:u w:val="single"/>
    </w:rPr>
  </w:style>
  <w:style w:type="paragraph" w:customStyle="1" w:styleId="HdCont">
    <w:name w:val="Hd:Cont"/>
    <w:basedOn w:val="Normal"/>
    <w:next w:val="TextTi12"/>
    <w:rsid w:val="00772141"/>
    <w:pPr>
      <w:keepNext/>
      <w:widowControl w:val="0"/>
      <w:spacing w:after="57" w:line="288" w:lineRule="auto"/>
      <w:ind w:left="1701" w:hanging="1701"/>
      <w:outlineLvl w:val="6"/>
    </w:pPr>
    <w:rPr>
      <w:rFonts w:ascii="Arial" w:hAnsi="Arial"/>
      <w:b/>
      <w:sz w:val="24"/>
      <w:lang w:val="en-US"/>
    </w:rPr>
  </w:style>
  <w:style w:type="paragraph" w:customStyle="1" w:styleId="HdFig1">
    <w:name w:val="Hd:Fig:1"/>
    <w:basedOn w:val="Caption"/>
    <w:next w:val="TextTi12"/>
    <w:rsid w:val="00772141"/>
    <w:pPr>
      <w:keepNext/>
      <w:widowControl w:val="0"/>
      <w:spacing w:before="113" w:after="57" w:line="288" w:lineRule="auto"/>
      <w:ind w:left="1701" w:hanging="1701"/>
      <w:outlineLvl w:val="6"/>
    </w:pPr>
    <w:rPr>
      <w:rFonts w:ascii="Arial" w:hAnsi="Arial"/>
      <w:bCs w:val="0"/>
      <w:sz w:val="24"/>
      <w:lang w:val="en-US"/>
    </w:rPr>
  </w:style>
  <w:style w:type="paragraph" w:customStyle="1" w:styleId="TableText12">
    <w:name w:val="TableText:12"/>
    <w:basedOn w:val="Normal"/>
    <w:rsid w:val="00827491"/>
    <w:pPr>
      <w:widowControl w:val="0"/>
      <w:spacing w:before="60" w:after="60"/>
    </w:pPr>
    <w:rPr>
      <w:rFonts w:eastAsia="MS Mincho"/>
      <w:sz w:val="24"/>
      <w:lang w:val="en-US"/>
    </w:rPr>
  </w:style>
  <w:style w:type="paragraph" w:styleId="TOC8">
    <w:name w:val="toc 8"/>
    <w:basedOn w:val="TOC7"/>
    <w:next w:val="Normal"/>
    <w:rsid w:val="009D7FCA"/>
    <w:pPr>
      <w:widowControl w:val="0"/>
      <w:tabs>
        <w:tab w:val="right" w:leader="dot" w:pos="8640"/>
      </w:tabs>
      <w:spacing w:after="0" w:line="288" w:lineRule="auto"/>
      <w:ind w:left="2721" w:right="567" w:hanging="2211"/>
    </w:pPr>
    <w:rPr>
      <w:sz w:val="24"/>
      <w:szCs w:val="24"/>
      <w:lang w:val="en-US" w:eastAsia="de-DE"/>
    </w:rPr>
  </w:style>
  <w:style w:type="paragraph" w:styleId="TOC9">
    <w:name w:val="toc 9"/>
    <w:basedOn w:val="TOC8"/>
    <w:next w:val="Normal"/>
    <w:rsid w:val="009D7FCA"/>
  </w:style>
  <w:style w:type="paragraph" w:styleId="TOC7">
    <w:name w:val="toc 7"/>
    <w:basedOn w:val="Normal"/>
    <w:next w:val="Normal"/>
    <w:autoRedefine/>
    <w:semiHidden/>
    <w:rsid w:val="009D7FCA"/>
    <w:pPr>
      <w:ind w:left="1320"/>
    </w:pPr>
  </w:style>
  <w:style w:type="paragraph" w:customStyle="1" w:styleId="Hd1">
    <w:name w:val="Hd:1"/>
    <w:basedOn w:val="Normal"/>
    <w:next w:val="Normal"/>
    <w:rsid w:val="001655A0"/>
    <w:pPr>
      <w:keepNext/>
      <w:spacing w:before="113" w:after="57" w:line="280" w:lineRule="atLeast"/>
      <w:ind w:left="1134" w:hanging="1134"/>
    </w:pPr>
    <w:rPr>
      <w:rFonts w:ascii="Arial" w:hAnsi="Arial"/>
      <w:b/>
      <w:smallCaps/>
      <w:sz w:val="28"/>
      <w:szCs w:val="28"/>
      <w:lang w:val="en-US" w:eastAsia="de-DE"/>
    </w:rPr>
  </w:style>
  <w:style w:type="character" w:customStyle="1" w:styleId="EmailStyle56">
    <w:name w:val="EmailStyle56"/>
    <w:semiHidden/>
    <w:rsid w:val="00D5611E"/>
    <w:rPr>
      <w:rFonts w:ascii="Verdana" w:hAnsi="Verdana" w:cs="Times New Roman"/>
      <w:color w:val="000000"/>
      <w:sz w:val="20"/>
      <w:szCs w:val="20"/>
      <w:u w:val="none"/>
    </w:rPr>
  </w:style>
  <w:style w:type="character" w:customStyle="1" w:styleId="CaptionChar">
    <w:name w:val="Caption Char"/>
    <w:link w:val="Caption"/>
    <w:rsid w:val="008755C9"/>
    <w:rPr>
      <w:b/>
      <w:bCs/>
      <w:lang w:val="en-AU" w:eastAsia="ja-JP" w:bidi="ar-SA"/>
    </w:rPr>
  </w:style>
  <w:style w:type="paragraph" w:customStyle="1" w:styleId="CM16">
    <w:name w:val="CM16"/>
    <w:basedOn w:val="Normal"/>
    <w:next w:val="Normal"/>
    <w:rsid w:val="00031683"/>
    <w:pPr>
      <w:autoSpaceDE w:val="0"/>
      <w:autoSpaceDN w:val="0"/>
      <w:adjustRightInd w:val="0"/>
      <w:spacing w:after="0" w:line="278" w:lineRule="atLeast"/>
    </w:pPr>
    <w:rPr>
      <w:rFonts w:eastAsia="SimSun"/>
      <w:sz w:val="24"/>
      <w:szCs w:val="24"/>
      <w:lang w:val="en-US" w:eastAsia="zh-CN"/>
    </w:rPr>
  </w:style>
  <w:style w:type="paragraph" w:customStyle="1" w:styleId="CM51">
    <w:name w:val="CM51"/>
    <w:basedOn w:val="Normal"/>
    <w:next w:val="Normal"/>
    <w:rsid w:val="00031683"/>
    <w:pPr>
      <w:autoSpaceDE w:val="0"/>
      <w:autoSpaceDN w:val="0"/>
      <w:adjustRightInd w:val="0"/>
      <w:spacing w:after="135"/>
    </w:pPr>
    <w:rPr>
      <w:rFonts w:eastAsia="SimSun"/>
      <w:sz w:val="24"/>
      <w:szCs w:val="24"/>
      <w:lang w:val="en-US" w:eastAsia="zh-CN"/>
    </w:rPr>
  </w:style>
  <w:style w:type="paragraph" w:customStyle="1" w:styleId="CM55">
    <w:name w:val="CM55"/>
    <w:basedOn w:val="Normal"/>
    <w:next w:val="Normal"/>
    <w:rsid w:val="00031683"/>
    <w:pPr>
      <w:autoSpaceDE w:val="0"/>
      <w:autoSpaceDN w:val="0"/>
      <w:adjustRightInd w:val="0"/>
      <w:spacing w:after="287"/>
    </w:pPr>
    <w:rPr>
      <w:rFonts w:eastAsia="SimSun"/>
      <w:sz w:val="24"/>
      <w:szCs w:val="24"/>
      <w:lang w:val="en-US" w:eastAsia="zh-CN"/>
    </w:rPr>
  </w:style>
  <w:style w:type="paragraph" w:customStyle="1" w:styleId="CM52">
    <w:name w:val="CM52"/>
    <w:basedOn w:val="Normal"/>
    <w:next w:val="Normal"/>
    <w:rsid w:val="00031683"/>
    <w:pPr>
      <w:autoSpaceDE w:val="0"/>
      <w:autoSpaceDN w:val="0"/>
      <w:adjustRightInd w:val="0"/>
      <w:spacing w:after="195"/>
    </w:pPr>
    <w:rPr>
      <w:rFonts w:eastAsia="SimSun"/>
      <w:sz w:val="24"/>
      <w:szCs w:val="24"/>
      <w:lang w:val="en-US" w:eastAsia="zh-CN"/>
    </w:rPr>
  </w:style>
  <w:style w:type="paragraph" w:styleId="ListBullet">
    <w:name w:val="List Bullet"/>
    <w:basedOn w:val="Normal"/>
    <w:autoRedefine/>
    <w:rsid w:val="0004186B"/>
    <w:pPr>
      <w:spacing w:after="0" w:line="280" w:lineRule="exact"/>
    </w:pPr>
    <w:rPr>
      <w:rFonts w:ascii="Arial" w:hAnsi="Arial"/>
      <w:sz w:val="20"/>
      <w:lang w:val="en-GB"/>
    </w:rPr>
  </w:style>
  <w:style w:type="character" w:customStyle="1" w:styleId="Heading4Char">
    <w:name w:val="Heading 4 Char"/>
    <w:link w:val="Heading4"/>
    <w:rsid w:val="00354EB2"/>
    <w:rPr>
      <w:b/>
      <w:i/>
      <w:sz w:val="24"/>
      <w:lang w:val="en-AU" w:eastAsia="ja-JP" w:bidi="ar-SA"/>
    </w:rPr>
  </w:style>
  <w:style w:type="character" w:customStyle="1" w:styleId="Heading5Char">
    <w:name w:val="Heading 5 Char"/>
    <w:link w:val="Heading5"/>
    <w:rsid w:val="00354EB2"/>
    <w:rPr>
      <w:i/>
      <w:sz w:val="24"/>
      <w:lang w:val="en-AU" w:eastAsia="ja-JP" w:bidi="ar-SA"/>
    </w:rPr>
  </w:style>
  <w:style w:type="paragraph" w:styleId="Revision">
    <w:name w:val="Revision"/>
    <w:hidden/>
    <w:uiPriority w:val="99"/>
    <w:semiHidden/>
    <w:rsid w:val="00580803"/>
    <w:rPr>
      <w:sz w:val="22"/>
      <w:lang w:eastAsia="ja-JP"/>
    </w:rPr>
  </w:style>
  <w:style w:type="character" w:customStyle="1" w:styleId="CommentTextChar">
    <w:name w:val="Comment Text Char"/>
    <w:link w:val="CommentText"/>
    <w:semiHidden/>
    <w:rsid w:val="00B3779D"/>
    <w:rPr>
      <w:lang w:val="en-US" w:eastAsia="ja-JP"/>
    </w:rPr>
  </w:style>
  <w:style w:type="paragraph" w:customStyle="1" w:styleId="TextBull">
    <w:name w:val="Text:Bull"/>
    <w:basedOn w:val="Normal"/>
    <w:link w:val="TextBullChar"/>
    <w:rsid w:val="00B3779D"/>
    <w:pPr>
      <w:numPr>
        <w:numId w:val="13"/>
      </w:numPr>
      <w:tabs>
        <w:tab w:val="clear" w:pos="357"/>
        <w:tab w:val="num" w:pos="360"/>
      </w:tabs>
      <w:spacing w:after="0" w:line="280" w:lineRule="atLeast"/>
      <w:ind w:left="360" w:hanging="360"/>
    </w:pPr>
    <w:rPr>
      <w:sz w:val="24"/>
      <w:szCs w:val="24"/>
      <w:lang w:val="en-US" w:eastAsia="de-DE"/>
    </w:rPr>
  </w:style>
  <w:style w:type="paragraph" w:styleId="NormalWeb">
    <w:name w:val="Normal (Web)"/>
    <w:basedOn w:val="Normal"/>
    <w:rsid w:val="00B3779D"/>
    <w:pPr>
      <w:spacing w:before="100" w:beforeAutospacing="1" w:after="100" w:afterAutospacing="1"/>
    </w:pPr>
    <w:rPr>
      <w:rFonts w:eastAsia="SimSun"/>
      <w:sz w:val="24"/>
      <w:szCs w:val="24"/>
      <w:lang w:val="en-US" w:eastAsia="zh-CN"/>
    </w:rPr>
  </w:style>
  <w:style w:type="character" w:customStyle="1" w:styleId="TextBullChar">
    <w:name w:val="Text:Bull Char"/>
    <w:link w:val="TextBull"/>
    <w:rsid w:val="00B3779D"/>
    <w:rPr>
      <w:sz w:val="24"/>
      <w:szCs w:val="24"/>
      <w:lang w:val="en-US" w:eastAsia="de-DE"/>
    </w:rPr>
  </w:style>
  <w:style w:type="character" w:customStyle="1" w:styleId="HdTab1Char">
    <w:name w:val="Hd:Tab:1 Char"/>
    <w:link w:val="HdTab1"/>
    <w:rsid w:val="00B3779D"/>
    <w:rPr>
      <w:rFonts w:ascii="Arial" w:hAnsi="Arial"/>
      <w:b/>
      <w:bCs w:val="0"/>
      <w:sz w:val="24"/>
      <w:lang w:val="en-US" w:eastAsia="ja-JP" w:bidi="ar-SA"/>
    </w:rPr>
  </w:style>
  <w:style w:type="paragraph" w:customStyle="1" w:styleId="TextRef">
    <w:name w:val="Text:Ref"/>
    <w:basedOn w:val="Normal"/>
    <w:rsid w:val="00816A1F"/>
    <w:pPr>
      <w:numPr>
        <w:numId w:val="14"/>
      </w:numPr>
      <w:tabs>
        <w:tab w:val="clear" w:pos="360"/>
        <w:tab w:val="left" w:pos="1134"/>
      </w:tabs>
      <w:spacing w:after="170" w:line="280" w:lineRule="atLeast"/>
      <w:ind w:left="1134" w:hanging="1134"/>
    </w:pPr>
    <w:rPr>
      <w:sz w:val="24"/>
      <w:lang w:val="en-US"/>
    </w:rPr>
  </w:style>
  <w:style w:type="paragraph" w:customStyle="1" w:styleId="TableText10">
    <w:name w:val="TableText:10"/>
    <w:basedOn w:val="Normal"/>
    <w:rsid w:val="00816A1F"/>
    <w:pPr>
      <w:spacing w:after="0"/>
    </w:pPr>
    <w:rPr>
      <w:rFonts w:ascii="Arial" w:eastAsia="SimSun" w:hAnsi="Arial"/>
      <w:sz w:val="20"/>
      <w:lang w:val="en-US"/>
    </w:rPr>
  </w:style>
  <w:style w:type="character" w:styleId="Emphasis">
    <w:name w:val="Emphasis"/>
    <w:uiPriority w:val="20"/>
    <w:qFormat/>
    <w:rsid w:val="001722B5"/>
    <w:rPr>
      <w:i/>
      <w:iCs/>
    </w:rPr>
  </w:style>
  <w:style w:type="table" w:customStyle="1" w:styleId="TableGrid1">
    <w:name w:val="Table Grid1"/>
    <w:basedOn w:val="TableNormal"/>
    <w:next w:val="TableGrid"/>
    <w:uiPriority w:val="59"/>
    <w:rsid w:val="006516FE"/>
    <w:rPr>
      <w:rFonts w:ascii="Calibri" w:eastAsia="PMingLiU"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B7FB3"/>
    <w:rPr>
      <w:rFonts w:ascii="Calibri" w:eastAsia="PMingLiU" w:hAnsi="Calibr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2"/>
      <w:lang w:eastAsia="ja-JP"/>
    </w:rPr>
  </w:style>
  <w:style w:type="paragraph" w:styleId="Heading1">
    <w:name w:val="heading 1"/>
    <w:next w:val="Normal"/>
    <w:link w:val="Heading1Char"/>
    <w:qFormat/>
    <w:pPr>
      <w:keepNext/>
      <w:spacing w:before="240" w:after="60"/>
      <w:outlineLvl w:val="0"/>
    </w:pPr>
    <w:rPr>
      <w:rFonts w:ascii="Arial" w:hAnsi="Arial"/>
      <w:b/>
      <w:caps/>
      <w:noProof/>
      <w:kern w:val="28"/>
      <w:sz w:val="34"/>
      <w:lang w:eastAsia="ja-JP"/>
    </w:rPr>
  </w:style>
  <w:style w:type="paragraph" w:styleId="Heading2">
    <w:name w:val="heading 2"/>
    <w:basedOn w:val="Normal"/>
    <w:next w:val="Normal"/>
    <w:link w:val="Heading2Char"/>
    <w:qFormat/>
    <w:pPr>
      <w:spacing w:before="360" w:after="60"/>
      <w:outlineLvl w:val="1"/>
    </w:pPr>
    <w:rPr>
      <w:b/>
      <w:caps/>
      <w:sz w:val="28"/>
    </w:rPr>
  </w:style>
  <w:style w:type="paragraph" w:styleId="Heading3">
    <w:name w:val="heading 3"/>
    <w:basedOn w:val="Normal"/>
    <w:next w:val="Normal"/>
    <w:qFormat/>
    <w:pPr>
      <w:spacing w:before="240" w:after="0"/>
      <w:outlineLvl w:val="2"/>
    </w:pPr>
    <w:rPr>
      <w:b/>
      <w:sz w:val="24"/>
    </w:rPr>
  </w:style>
  <w:style w:type="paragraph" w:styleId="Heading4">
    <w:name w:val="heading 4"/>
    <w:basedOn w:val="Normal"/>
    <w:next w:val="Normal"/>
    <w:link w:val="Heading4Char"/>
    <w:qFormat/>
    <w:pPr>
      <w:spacing w:before="120" w:after="0"/>
      <w:ind w:left="567"/>
      <w:outlineLvl w:val="3"/>
    </w:pPr>
    <w:rPr>
      <w:b/>
      <w:i/>
      <w:sz w:val="24"/>
    </w:rPr>
  </w:style>
  <w:style w:type="paragraph" w:styleId="Heading5">
    <w:name w:val="heading 5"/>
    <w:basedOn w:val="Normal"/>
    <w:next w:val="Normal"/>
    <w:link w:val="Heading5Char"/>
    <w:qFormat/>
    <w:pPr>
      <w:spacing w:before="120" w:after="0"/>
      <w:ind w:left="907"/>
      <w:outlineLvl w:val="4"/>
    </w:pPr>
    <w:rPr>
      <w:i/>
      <w:sz w:val="24"/>
    </w:rPr>
  </w:style>
  <w:style w:type="paragraph" w:styleId="Heading6">
    <w:name w:val="heading 6"/>
    <w:basedOn w:val="Normal"/>
    <w:next w:val="Normal"/>
    <w:qFormat/>
    <w:pPr>
      <w:spacing w:before="240" w:after="60"/>
      <w:outlineLvl w:val="5"/>
    </w:pPr>
    <w:rPr>
      <w:rFonts w:ascii="Arial" w:hAnsi="Arial"/>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320"/>
        <w:tab w:val="right" w:pos="8640"/>
      </w:tabs>
    </w:pPr>
    <w:rPr>
      <w:smallCaps/>
      <w:noProof/>
      <w:lang w:eastAsia="ja-JP"/>
    </w:rPr>
  </w:style>
  <w:style w:type="paragraph" w:styleId="Footer">
    <w:name w:val="footer"/>
    <w:pPr>
      <w:tabs>
        <w:tab w:val="center" w:pos="4320"/>
        <w:tab w:val="right" w:pos="8640"/>
      </w:tabs>
    </w:pPr>
    <w:rPr>
      <w:noProof/>
      <w:sz w:val="16"/>
      <w:lang w:eastAsia="ja-JP"/>
    </w:rPr>
  </w:style>
  <w:style w:type="character" w:styleId="PageNumber">
    <w:name w:val="page number"/>
    <w:basedOn w:val="DefaultParagraphFont"/>
  </w:style>
  <w:style w:type="paragraph" w:customStyle="1" w:styleId="TextTi12">
    <w:name w:val="Text:Ti12"/>
    <w:basedOn w:val="Normal"/>
    <w:link w:val="TextTi12Char1"/>
    <w:rsid w:val="00E81770"/>
    <w:pPr>
      <w:spacing w:after="170" w:line="280" w:lineRule="atLeast"/>
      <w:jc w:val="both"/>
    </w:pPr>
    <w:rPr>
      <w:sz w:val="24"/>
      <w:lang w:val="en-US"/>
    </w:rPr>
  </w:style>
  <w:style w:type="paragraph" w:customStyle="1" w:styleId="PIexplanation">
    <w:name w:val="PI explanation"/>
    <w:basedOn w:val="Normal"/>
    <w:rPr>
      <w:i/>
      <w:color w:val="FF0000"/>
    </w:rPr>
  </w:style>
  <w:style w:type="character" w:styleId="CommentReference">
    <w:name w:val="annotation reference"/>
    <w:semiHidden/>
    <w:rsid w:val="00E81770"/>
    <w:rPr>
      <w:sz w:val="16"/>
    </w:rPr>
  </w:style>
  <w:style w:type="paragraph" w:styleId="CommentText">
    <w:name w:val="annotation text"/>
    <w:basedOn w:val="Normal"/>
    <w:link w:val="CommentTextChar"/>
    <w:semiHidden/>
    <w:rsid w:val="00E81770"/>
    <w:pPr>
      <w:spacing w:after="0" w:line="280" w:lineRule="atLeast"/>
    </w:pPr>
    <w:rPr>
      <w:sz w:val="20"/>
      <w:lang w:val="en-US"/>
    </w:rPr>
  </w:style>
  <w:style w:type="character" w:styleId="EndnoteReference">
    <w:name w:val="endnote reference"/>
    <w:semiHidden/>
    <w:rsid w:val="00C71FB7"/>
    <w:rPr>
      <w:vertAlign w:val="superscript"/>
    </w:rPr>
  </w:style>
  <w:style w:type="paragraph" w:customStyle="1" w:styleId="HdTab1">
    <w:name w:val="Hd:Tab:1"/>
    <w:basedOn w:val="Caption"/>
    <w:next w:val="TextTi12"/>
    <w:link w:val="HdTab1Char"/>
    <w:rsid w:val="00C71FB7"/>
    <w:pPr>
      <w:keepNext/>
      <w:spacing w:before="113" w:after="57" w:line="280" w:lineRule="atLeast"/>
      <w:ind w:left="1701" w:hanging="1701"/>
      <w:outlineLvl w:val="4"/>
    </w:pPr>
    <w:rPr>
      <w:rFonts w:ascii="Arial" w:hAnsi="Arial"/>
      <w:bCs w:val="0"/>
      <w:sz w:val="24"/>
      <w:lang w:val="en-US"/>
    </w:rPr>
  </w:style>
  <w:style w:type="paragraph" w:customStyle="1" w:styleId="TableCellCenter">
    <w:name w:val="Table Cell Center"/>
    <w:basedOn w:val="Normal"/>
    <w:rsid w:val="00C71FB7"/>
    <w:pPr>
      <w:keepNext/>
      <w:keepLines/>
      <w:spacing w:before="50" w:after="50" w:line="240" w:lineRule="exact"/>
      <w:jc w:val="center"/>
    </w:pPr>
    <w:rPr>
      <w:sz w:val="20"/>
      <w:lang w:val="en-US"/>
    </w:rPr>
  </w:style>
  <w:style w:type="paragraph" w:customStyle="1" w:styleId="TableCellLeft">
    <w:name w:val="Table Cell Left"/>
    <w:basedOn w:val="Normal"/>
    <w:rsid w:val="00C71FB7"/>
    <w:pPr>
      <w:keepNext/>
      <w:keepLines/>
      <w:spacing w:before="50" w:after="50" w:line="240" w:lineRule="exact"/>
    </w:pPr>
    <w:rPr>
      <w:sz w:val="20"/>
      <w:lang w:val="en-US"/>
    </w:rPr>
  </w:style>
  <w:style w:type="paragraph" w:customStyle="1" w:styleId="TableCellHead">
    <w:name w:val="Table Cell Head"/>
    <w:basedOn w:val="Normal"/>
    <w:next w:val="Normal"/>
    <w:rsid w:val="00C71FB7"/>
    <w:pPr>
      <w:keepNext/>
      <w:keepLines/>
      <w:spacing w:before="100" w:after="0" w:line="240" w:lineRule="exact"/>
    </w:pPr>
    <w:rPr>
      <w:sz w:val="20"/>
      <w:u w:val="single"/>
      <w:lang w:val="en-US"/>
    </w:rPr>
  </w:style>
  <w:style w:type="paragraph" w:customStyle="1" w:styleId="TableFooter">
    <w:name w:val="Table Footer"/>
    <w:basedOn w:val="Normal"/>
    <w:link w:val="TableFooterChar"/>
    <w:rsid w:val="00C71FB7"/>
    <w:pPr>
      <w:keepNext/>
      <w:keepLines/>
      <w:tabs>
        <w:tab w:val="right" w:pos="144"/>
      </w:tabs>
      <w:spacing w:before="60" w:after="0" w:line="240" w:lineRule="exact"/>
      <w:ind w:left="216" w:hanging="216"/>
    </w:pPr>
    <w:rPr>
      <w:sz w:val="20"/>
      <w:lang w:val="en-US"/>
    </w:rPr>
  </w:style>
  <w:style w:type="paragraph" w:customStyle="1" w:styleId="TableFigureSpace">
    <w:name w:val="Table/Figure Space"/>
    <w:basedOn w:val="Normal"/>
    <w:next w:val="Normal"/>
    <w:rsid w:val="00C71FB7"/>
    <w:pPr>
      <w:spacing w:after="40" w:line="240" w:lineRule="exact"/>
    </w:pPr>
    <w:rPr>
      <w:sz w:val="24"/>
      <w:lang w:val="en-US"/>
    </w:rPr>
  </w:style>
  <w:style w:type="paragraph" w:styleId="Caption">
    <w:name w:val="caption"/>
    <w:basedOn w:val="Normal"/>
    <w:next w:val="Normal"/>
    <w:link w:val="CaptionChar"/>
    <w:qFormat/>
    <w:rsid w:val="00C71FB7"/>
    <w:pPr>
      <w:spacing w:before="120"/>
    </w:pPr>
    <w:rPr>
      <w:b/>
      <w:bCs/>
      <w:sz w:val="20"/>
    </w:rPr>
  </w:style>
  <w:style w:type="paragraph" w:styleId="BodyText">
    <w:name w:val="Body Text"/>
    <w:basedOn w:val="Normal"/>
    <w:rsid w:val="00C71FB7"/>
    <w:pPr>
      <w:spacing w:after="0" w:line="280" w:lineRule="atLeast"/>
    </w:pPr>
    <w:rPr>
      <w:sz w:val="24"/>
      <w:lang w:val="en-US"/>
    </w:rPr>
  </w:style>
  <w:style w:type="paragraph" w:customStyle="1" w:styleId="TextTi10">
    <w:name w:val="Text:Ti10"/>
    <w:basedOn w:val="Normal"/>
    <w:rsid w:val="00810904"/>
    <w:pPr>
      <w:spacing w:after="0"/>
    </w:pPr>
    <w:rPr>
      <w:sz w:val="20"/>
      <w:lang w:val="en-US"/>
    </w:rPr>
  </w:style>
  <w:style w:type="paragraph" w:customStyle="1" w:styleId="Paragraph">
    <w:name w:val="Paragraph"/>
    <w:basedOn w:val="Normal"/>
    <w:link w:val="ParagraphChar"/>
    <w:rsid w:val="00810904"/>
    <w:pPr>
      <w:widowControl w:val="0"/>
      <w:spacing w:after="300" w:line="400" w:lineRule="exact"/>
    </w:pPr>
    <w:rPr>
      <w:rFonts w:ascii="Helvetica" w:hAnsi="Helvetica"/>
      <w:sz w:val="24"/>
      <w:lang w:val="en-US"/>
    </w:rPr>
  </w:style>
  <w:style w:type="paragraph" w:customStyle="1" w:styleId="FigureTitle">
    <w:name w:val="Figure Title"/>
    <w:basedOn w:val="Paragraph"/>
    <w:next w:val="FigureHolder"/>
    <w:rsid w:val="00810904"/>
    <w:pPr>
      <w:keepNext/>
      <w:keepLines/>
      <w:widowControl/>
      <w:spacing w:before="40" w:after="240" w:line="300" w:lineRule="exact"/>
      <w:jc w:val="center"/>
    </w:pPr>
    <w:rPr>
      <w:rFonts w:ascii="Times New Roman" w:hAnsi="Times New Roman"/>
    </w:rPr>
  </w:style>
  <w:style w:type="paragraph" w:customStyle="1" w:styleId="FigureHolder">
    <w:name w:val="Figure Holder"/>
    <w:basedOn w:val="Paragraph"/>
    <w:next w:val="FigureCaption"/>
    <w:rsid w:val="00810904"/>
    <w:pPr>
      <w:keepNext/>
      <w:keepLines/>
      <w:widowControl/>
      <w:spacing w:after="120" w:line="240" w:lineRule="atLeast"/>
      <w:jc w:val="center"/>
    </w:pPr>
    <w:rPr>
      <w:rFonts w:ascii="Times New Roman" w:hAnsi="Times New Roman"/>
    </w:rPr>
  </w:style>
  <w:style w:type="paragraph" w:customStyle="1" w:styleId="FigureCaption">
    <w:name w:val="Figure Caption"/>
    <w:basedOn w:val="Paragraph"/>
    <w:next w:val="TableFigureSpace"/>
    <w:rsid w:val="00810904"/>
    <w:pPr>
      <w:keepNext/>
      <w:keepLines/>
      <w:widowControl/>
      <w:spacing w:before="20" w:after="80" w:line="240" w:lineRule="exact"/>
    </w:pPr>
    <w:rPr>
      <w:rFonts w:ascii="Times New Roman" w:hAnsi="Times New Roman"/>
      <w:sz w:val="20"/>
    </w:rPr>
  </w:style>
  <w:style w:type="paragraph" w:styleId="CommentSubject">
    <w:name w:val="annotation subject"/>
    <w:basedOn w:val="CommentText"/>
    <w:next w:val="CommentText"/>
    <w:semiHidden/>
    <w:rsid w:val="00E85563"/>
    <w:pPr>
      <w:spacing w:after="120" w:line="240" w:lineRule="auto"/>
    </w:pPr>
    <w:rPr>
      <w:b/>
      <w:bCs/>
      <w:lang w:val="en-AU"/>
    </w:rPr>
  </w:style>
  <w:style w:type="paragraph" w:styleId="BalloonText">
    <w:name w:val="Balloon Text"/>
    <w:basedOn w:val="Normal"/>
    <w:semiHidden/>
    <w:rsid w:val="00E85563"/>
    <w:rPr>
      <w:rFonts w:ascii="Tahoma" w:hAnsi="Tahoma" w:cs="Tahoma"/>
      <w:sz w:val="16"/>
      <w:szCs w:val="16"/>
    </w:rPr>
  </w:style>
  <w:style w:type="paragraph" w:styleId="DocumentMap">
    <w:name w:val="Document Map"/>
    <w:basedOn w:val="Normal"/>
    <w:semiHidden/>
    <w:rsid w:val="000E1789"/>
    <w:pPr>
      <w:shd w:val="clear" w:color="auto" w:fill="000080"/>
    </w:pPr>
    <w:rPr>
      <w:rFonts w:ascii="Tahoma" w:hAnsi="Tahoma" w:cs="Tahoma"/>
    </w:rPr>
  </w:style>
  <w:style w:type="paragraph" w:customStyle="1" w:styleId="TextTi12Char">
    <w:name w:val="Text:Ti12 Char"/>
    <w:basedOn w:val="Normal"/>
    <w:link w:val="TextTi12CharChar"/>
    <w:rsid w:val="008527A6"/>
    <w:pPr>
      <w:spacing w:after="170" w:line="280" w:lineRule="atLeast"/>
      <w:jc w:val="both"/>
    </w:pPr>
    <w:rPr>
      <w:sz w:val="24"/>
      <w:lang w:val="en-US"/>
    </w:rPr>
  </w:style>
  <w:style w:type="character" w:customStyle="1" w:styleId="TextTi12CharChar">
    <w:name w:val="Text:Ti12 Char Char"/>
    <w:link w:val="TextTi12Char"/>
    <w:rsid w:val="008527A6"/>
    <w:rPr>
      <w:sz w:val="24"/>
      <w:lang w:val="en-US" w:eastAsia="ja-JP" w:bidi="ar-SA"/>
    </w:rPr>
  </w:style>
  <w:style w:type="table" w:styleId="TableGrid">
    <w:name w:val="Table Grid"/>
    <w:basedOn w:val="TableNormal"/>
    <w:uiPriority w:val="59"/>
    <w:rsid w:val="00715B3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46105"/>
    <w:rPr>
      <w:b/>
      <w:caps/>
      <w:sz w:val="28"/>
      <w:lang w:val="en-AU" w:eastAsia="ja-JP" w:bidi="ar-SA"/>
    </w:rPr>
  </w:style>
  <w:style w:type="character" w:customStyle="1" w:styleId="Heading1Char">
    <w:name w:val="Heading 1 Char"/>
    <w:link w:val="Heading1"/>
    <w:rsid w:val="00004DEE"/>
    <w:rPr>
      <w:rFonts w:ascii="Arial" w:hAnsi="Arial"/>
      <w:b/>
      <w:caps/>
      <w:noProof/>
      <w:kern w:val="28"/>
      <w:sz w:val="34"/>
      <w:lang w:val="en-AU" w:eastAsia="ja-JP" w:bidi="ar-SA"/>
    </w:rPr>
  </w:style>
  <w:style w:type="character" w:customStyle="1" w:styleId="TextTi12Char1">
    <w:name w:val="Text:Ti12 Char1"/>
    <w:link w:val="TextTi12"/>
    <w:rsid w:val="004B6EB0"/>
    <w:rPr>
      <w:sz w:val="24"/>
      <w:lang w:val="en-US" w:eastAsia="ja-JP" w:bidi="ar-SA"/>
    </w:rPr>
  </w:style>
  <w:style w:type="character" w:customStyle="1" w:styleId="TableFooterChar">
    <w:name w:val="Table Footer Char"/>
    <w:link w:val="TableFooter"/>
    <w:rsid w:val="00014E4F"/>
    <w:rPr>
      <w:lang w:val="en-US" w:eastAsia="ja-JP" w:bidi="ar-SA"/>
    </w:rPr>
  </w:style>
  <w:style w:type="character" w:customStyle="1" w:styleId="ParagraphChar">
    <w:name w:val="Paragraph Char"/>
    <w:link w:val="Paragraph"/>
    <w:rsid w:val="004E5CB3"/>
    <w:rPr>
      <w:rFonts w:ascii="Helvetica" w:hAnsi="Helvetica"/>
      <w:sz w:val="24"/>
      <w:lang w:val="en-US" w:eastAsia="ja-JP" w:bidi="ar-SA"/>
    </w:rPr>
  </w:style>
  <w:style w:type="paragraph" w:styleId="FootnoteText">
    <w:name w:val="footnote text"/>
    <w:basedOn w:val="Normal"/>
    <w:semiHidden/>
    <w:rsid w:val="00111822"/>
    <w:pPr>
      <w:spacing w:after="0" w:line="280" w:lineRule="atLeast"/>
    </w:pPr>
    <w:rPr>
      <w:sz w:val="20"/>
      <w:szCs w:val="24"/>
      <w:lang w:val="en-GB" w:eastAsia="de-DE"/>
    </w:rPr>
  </w:style>
  <w:style w:type="character" w:styleId="FollowedHyperlink">
    <w:name w:val="FollowedHyperlink"/>
    <w:rsid w:val="005255AE"/>
    <w:rPr>
      <w:color w:val="800080"/>
      <w:u w:val="single"/>
    </w:rPr>
  </w:style>
  <w:style w:type="paragraph" w:customStyle="1" w:styleId="HdCont">
    <w:name w:val="Hd:Cont"/>
    <w:basedOn w:val="Normal"/>
    <w:next w:val="TextTi12"/>
    <w:rsid w:val="00772141"/>
    <w:pPr>
      <w:keepNext/>
      <w:widowControl w:val="0"/>
      <w:spacing w:after="57" w:line="288" w:lineRule="auto"/>
      <w:ind w:left="1701" w:hanging="1701"/>
      <w:outlineLvl w:val="6"/>
    </w:pPr>
    <w:rPr>
      <w:rFonts w:ascii="Arial" w:hAnsi="Arial"/>
      <w:b/>
      <w:sz w:val="24"/>
      <w:lang w:val="en-US"/>
    </w:rPr>
  </w:style>
  <w:style w:type="paragraph" w:customStyle="1" w:styleId="HdFig1">
    <w:name w:val="Hd:Fig:1"/>
    <w:basedOn w:val="Caption"/>
    <w:next w:val="TextTi12"/>
    <w:rsid w:val="00772141"/>
    <w:pPr>
      <w:keepNext/>
      <w:widowControl w:val="0"/>
      <w:spacing w:before="113" w:after="57" w:line="288" w:lineRule="auto"/>
      <w:ind w:left="1701" w:hanging="1701"/>
      <w:outlineLvl w:val="6"/>
    </w:pPr>
    <w:rPr>
      <w:rFonts w:ascii="Arial" w:hAnsi="Arial"/>
      <w:bCs w:val="0"/>
      <w:sz w:val="24"/>
      <w:lang w:val="en-US"/>
    </w:rPr>
  </w:style>
  <w:style w:type="paragraph" w:customStyle="1" w:styleId="TableText12">
    <w:name w:val="TableText:12"/>
    <w:basedOn w:val="Normal"/>
    <w:rsid w:val="00827491"/>
    <w:pPr>
      <w:widowControl w:val="0"/>
      <w:spacing w:before="60" w:after="60"/>
    </w:pPr>
    <w:rPr>
      <w:rFonts w:eastAsia="MS Mincho"/>
      <w:sz w:val="24"/>
      <w:lang w:val="en-US"/>
    </w:rPr>
  </w:style>
  <w:style w:type="paragraph" w:styleId="TOC8">
    <w:name w:val="toc 8"/>
    <w:basedOn w:val="TOC7"/>
    <w:next w:val="Normal"/>
    <w:rsid w:val="009D7FCA"/>
    <w:pPr>
      <w:widowControl w:val="0"/>
      <w:tabs>
        <w:tab w:val="right" w:leader="dot" w:pos="8640"/>
      </w:tabs>
      <w:spacing w:after="0" w:line="288" w:lineRule="auto"/>
      <w:ind w:left="2721" w:right="567" w:hanging="2211"/>
    </w:pPr>
    <w:rPr>
      <w:sz w:val="24"/>
      <w:szCs w:val="24"/>
      <w:lang w:val="en-US" w:eastAsia="de-DE"/>
    </w:rPr>
  </w:style>
  <w:style w:type="paragraph" w:styleId="TOC9">
    <w:name w:val="toc 9"/>
    <w:basedOn w:val="TOC8"/>
    <w:next w:val="Normal"/>
    <w:rsid w:val="009D7FCA"/>
  </w:style>
  <w:style w:type="paragraph" w:styleId="TOC7">
    <w:name w:val="toc 7"/>
    <w:basedOn w:val="Normal"/>
    <w:next w:val="Normal"/>
    <w:autoRedefine/>
    <w:semiHidden/>
    <w:rsid w:val="009D7FCA"/>
    <w:pPr>
      <w:ind w:left="1320"/>
    </w:pPr>
  </w:style>
  <w:style w:type="paragraph" w:customStyle="1" w:styleId="Hd1">
    <w:name w:val="Hd:1"/>
    <w:basedOn w:val="Normal"/>
    <w:next w:val="Normal"/>
    <w:rsid w:val="001655A0"/>
    <w:pPr>
      <w:keepNext/>
      <w:spacing w:before="113" w:after="57" w:line="280" w:lineRule="atLeast"/>
      <w:ind w:left="1134" w:hanging="1134"/>
    </w:pPr>
    <w:rPr>
      <w:rFonts w:ascii="Arial" w:hAnsi="Arial"/>
      <w:b/>
      <w:smallCaps/>
      <w:sz w:val="28"/>
      <w:szCs w:val="28"/>
      <w:lang w:val="en-US" w:eastAsia="de-DE"/>
    </w:rPr>
  </w:style>
  <w:style w:type="character" w:customStyle="1" w:styleId="EmailStyle56">
    <w:name w:val="EmailStyle56"/>
    <w:semiHidden/>
    <w:rsid w:val="00D5611E"/>
    <w:rPr>
      <w:rFonts w:ascii="Verdana" w:hAnsi="Verdana" w:cs="Times New Roman"/>
      <w:color w:val="000000"/>
      <w:sz w:val="20"/>
      <w:szCs w:val="20"/>
      <w:u w:val="none"/>
    </w:rPr>
  </w:style>
  <w:style w:type="character" w:customStyle="1" w:styleId="CaptionChar">
    <w:name w:val="Caption Char"/>
    <w:link w:val="Caption"/>
    <w:rsid w:val="008755C9"/>
    <w:rPr>
      <w:b/>
      <w:bCs/>
      <w:lang w:val="en-AU" w:eastAsia="ja-JP" w:bidi="ar-SA"/>
    </w:rPr>
  </w:style>
  <w:style w:type="paragraph" w:customStyle="1" w:styleId="CM16">
    <w:name w:val="CM16"/>
    <w:basedOn w:val="Normal"/>
    <w:next w:val="Normal"/>
    <w:rsid w:val="00031683"/>
    <w:pPr>
      <w:autoSpaceDE w:val="0"/>
      <w:autoSpaceDN w:val="0"/>
      <w:adjustRightInd w:val="0"/>
      <w:spacing w:after="0" w:line="278" w:lineRule="atLeast"/>
    </w:pPr>
    <w:rPr>
      <w:rFonts w:eastAsia="SimSun"/>
      <w:sz w:val="24"/>
      <w:szCs w:val="24"/>
      <w:lang w:val="en-US" w:eastAsia="zh-CN"/>
    </w:rPr>
  </w:style>
  <w:style w:type="paragraph" w:customStyle="1" w:styleId="CM51">
    <w:name w:val="CM51"/>
    <w:basedOn w:val="Normal"/>
    <w:next w:val="Normal"/>
    <w:rsid w:val="00031683"/>
    <w:pPr>
      <w:autoSpaceDE w:val="0"/>
      <w:autoSpaceDN w:val="0"/>
      <w:adjustRightInd w:val="0"/>
      <w:spacing w:after="135"/>
    </w:pPr>
    <w:rPr>
      <w:rFonts w:eastAsia="SimSun"/>
      <w:sz w:val="24"/>
      <w:szCs w:val="24"/>
      <w:lang w:val="en-US" w:eastAsia="zh-CN"/>
    </w:rPr>
  </w:style>
  <w:style w:type="paragraph" w:customStyle="1" w:styleId="CM55">
    <w:name w:val="CM55"/>
    <w:basedOn w:val="Normal"/>
    <w:next w:val="Normal"/>
    <w:rsid w:val="00031683"/>
    <w:pPr>
      <w:autoSpaceDE w:val="0"/>
      <w:autoSpaceDN w:val="0"/>
      <w:adjustRightInd w:val="0"/>
      <w:spacing w:after="287"/>
    </w:pPr>
    <w:rPr>
      <w:rFonts w:eastAsia="SimSun"/>
      <w:sz w:val="24"/>
      <w:szCs w:val="24"/>
      <w:lang w:val="en-US" w:eastAsia="zh-CN"/>
    </w:rPr>
  </w:style>
  <w:style w:type="paragraph" w:customStyle="1" w:styleId="CM52">
    <w:name w:val="CM52"/>
    <w:basedOn w:val="Normal"/>
    <w:next w:val="Normal"/>
    <w:rsid w:val="00031683"/>
    <w:pPr>
      <w:autoSpaceDE w:val="0"/>
      <w:autoSpaceDN w:val="0"/>
      <w:adjustRightInd w:val="0"/>
      <w:spacing w:after="195"/>
    </w:pPr>
    <w:rPr>
      <w:rFonts w:eastAsia="SimSun"/>
      <w:sz w:val="24"/>
      <w:szCs w:val="24"/>
      <w:lang w:val="en-US" w:eastAsia="zh-CN"/>
    </w:rPr>
  </w:style>
  <w:style w:type="paragraph" w:styleId="ListBullet">
    <w:name w:val="List Bullet"/>
    <w:basedOn w:val="Normal"/>
    <w:autoRedefine/>
    <w:rsid w:val="0004186B"/>
    <w:pPr>
      <w:spacing w:after="0" w:line="280" w:lineRule="exact"/>
    </w:pPr>
    <w:rPr>
      <w:rFonts w:ascii="Arial" w:hAnsi="Arial"/>
      <w:sz w:val="20"/>
      <w:lang w:val="en-GB"/>
    </w:rPr>
  </w:style>
  <w:style w:type="character" w:customStyle="1" w:styleId="Heading4Char">
    <w:name w:val="Heading 4 Char"/>
    <w:link w:val="Heading4"/>
    <w:rsid w:val="00354EB2"/>
    <w:rPr>
      <w:b/>
      <w:i/>
      <w:sz w:val="24"/>
      <w:lang w:val="en-AU" w:eastAsia="ja-JP" w:bidi="ar-SA"/>
    </w:rPr>
  </w:style>
  <w:style w:type="character" w:customStyle="1" w:styleId="Heading5Char">
    <w:name w:val="Heading 5 Char"/>
    <w:link w:val="Heading5"/>
    <w:rsid w:val="00354EB2"/>
    <w:rPr>
      <w:i/>
      <w:sz w:val="24"/>
      <w:lang w:val="en-AU" w:eastAsia="ja-JP" w:bidi="ar-SA"/>
    </w:rPr>
  </w:style>
  <w:style w:type="paragraph" w:styleId="Revision">
    <w:name w:val="Revision"/>
    <w:hidden/>
    <w:uiPriority w:val="99"/>
    <w:semiHidden/>
    <w:rsid w:val="00580803"/>
    <w:rPr>
      <w:sz w:val="22"/>
      <w:lang w:eastAsia="ja-JP"/>
    </w:rPr>
  </w:style>
  <w:style w:type="character" w:customStyle="1" w:styleId="CommentTextChar">
    <w:name w:val="Comment Text Char"/>
    <w:link w:val="CommentText"/>
    <w:semiHidden/>
    <w:rsid w:val="00B3779D"/>
    <w:rPr>
      <w:lang w:val="en-US" w:eastAsia="ja-JP"/>
    </w:rPr>
  </w:style>
  <w:style w:type="paragraph" w:customStyle="1" w:styleId="TextBull">
    <w:name w:val="Text:Bull"/>
    <w:basedOn w:val="Normal"/>
    <w:link w:val="TextBullChar"/>
    <w:rsid w:val="00B3779D"/>
    <w:pPr>
      <w:numPr>
        <w:numId w:val="13"/>
      </w:numPr>
      <w:tabs>
        <w:tab w:val="clear" w:pos="357"/>
        <w:tab w:val="num" w:pos="360"/>
      </w:tabs>
      <w:spacing w:after="0" w:line="280" w:lineRule="atLeast"/>
      <w:ind w:left="360" w:hanging="360"/>
    </w:pPr>
    <w:rPr>
      <w:sz w:val="24"/>
      <w:szCs w:val="24"/>
      <w:lang w:val="en-US" w:eastAsia="de-DE"/>
    </w:rPr>
  </w:style>
  <w:style w:type="paragraph" w:styleId="NormalWeb">
    <w:name w:val="Normal (Web)"/>
    <w:basedOn w:val="Normal"/>
    <w:rsid w:val="00B3779D"/>
    <w:pPr>
      <w:spacing w:before="100" w:beforeAutospacing="1" w:after="100" w:afterAutospacing="1"/>
    </w:pPr>
    <w:rPr>
      <w:rFonts w:eastAsia="SimSun"/>
      <w:sz w:val="24"/>
      <w:szCs w:val="24"/>
      <w:lang w:val="en-US" w:eastAsia="zh-CN"/>
    </w:rPr>
  </w:style>
  <w:style w:type="character" w:customStyle="1" w:styleId="TextBullChar">
    <w:name w:val="Text:Bull Char"/>
    <w:link w:val="TextBull"/>
    <w:rsid w:val="00B3779D"/>
    <w:rPr>
      <w:sz w:val="24"/>
      <w:szCs w:val="24"/>
      <w:lang w:val="en-US" w:eastAsia="de-DE"/>
    </w:rPr>
  </w:style>
  <w:style w:type="character" w:customStyle="1" w:styleId="HdTab1Char">
    <w:name w:val="Hd:Tab:1 Char"/>
    <w:link w:val="HdTab1"/>
    <w:rsid w:val="00B3779D"/>
    <w:rPr>
      <w:rFonts w:ascii="Arial" w:hAnsi="Arial"/>
      <w:b/>
      <w:bCs w:val="0"/>
      <w:sz w:val="24"/>
      <w:lang w:val="en-US" w:eastAsia="ja-JP" w:bidi="ar-SA"/>
    </w:rPr>
  </w:style>
  <w:style w:type="paragraph" w:customStyle="1" w:styleId="TextRef">
    <w:name w:val="Text:Ref"/>
    <w:basedOn w:val="Normal"/>
    <w:rsid w:val="00816A1F"/>
    <w:pPr>
      <w:numPr>
        <w:numId w:val="14"/>
      </w:numPr>
      <w:tabs>
        <w:tab w:val="clear" w:pos="360"/>
        <w:tab w:val="left" w:pos="1134"/>
      </w:tabs>
      <w:spacing w:after="170" w:line="280" w:lineRule="atLeast"/>
      <w:ind w:left="1134" w:hanging="1134"/>
    </w:pPr>
    <w:rPr>
      <w:sz w:val="24"/>
      <w:lang w:val="en-US"/>
    </w:rPr>
  </w:style>
  <w:style w:type="paragraph" w:customStyle="1" w:styleId="TableText10">
    <w:name w:val="TableText:10"/>
    <w:basedOn w:val="Normal"/>
    <w:rsid w:val="00816A1F"/>
    <w:pPr>
      <w:spacing w:after="0"/>
    </w:pPr>
    <w:rPr>
      <w:rFonts w:ascii="Arial" w:eastAsia="SimSun" w:hAnsi="Arial"/>
      <w:sz w:val="20"/>
      <w:lang w:val="en-US"/>
    </w:rPr>
  </w:style>
  <w:style w:type="character" w:styleId="Emphasis">
    <w:name w:val="Emphasis"/>
    <w:uiPriority w:val="20"/>
    <w:qFormat/>
    <w:rsid w:val="001722B5"/>
    <w:rPr>
      <w:i/>
      <w:iCs/>
    </w:rPr>
  </w:style>
  <w:style w:type="table" w:customStyle="1" w:styleId="TableGrid1">
    <w:name w:val="Table Grid1"/>
    <w:basedOn w:val="TableNormal"/>
    <w:next w:val="TableGrid"/>
    <w:uiPriority w:val="59"/>
    <w:rsid w:val="006516FE"/>
    <w:rPr>
      <w:rFonts w:ascii="Calibri" w:eastAsia="PMingLiU"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B7FB3"/>
    <w:rPr>
      <w:rFonts w:ascii="Calibri" w:eastAsia="PMingLiU" w:hAnsi="Calibr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32484">
      <w:bodyDiv w:val="1"/>
      <w:marLeft w:val="0"/>
      <w:marRight w:val="0"/>
      <w:marTop w:val="0"/>
      <w:marBottom w:val="0"/>
      <w:divBdr>
        <w:top w:val="none" w:sz="0" w:space="0" w:color="auto"/>
        <w:left w:val="none" w:sz="0" w:space="0" w:color="auto"/>
        <w:bottom w:val="none" w:sz="0" w:space="0" w:color="auto"/>
        <w:right w:val="none" w:sz="0" w:space="0" w:color="auto"/>
      </w:divBdr>
    </w:div>
    <w:div w:id="1260404894">
      <w:bodyDiv w:val="1"/>
      <w:marLeft w:val="0"/>
      <w:marRight w:val="0"/>
      <w:marTop w:val="0"/>
      <w:marBottom w:val="0"/>
      <w:divBdr>
        <w:top w:val="none" w:sz="0" w:space="0" w:color="auto"/>
        <w:left w:val="none" w:sz="0" w:space="0" w:color="auto"/>
        <w:bottom w:val="none" w:sz="0" w:space="0" w:color="auto"/>
        <w:right w:val="none" w:sz="0" w:space="0" w:color="auto"/>
      </w:divBdr>
    </w:div>
    <w:div w:id="1558860874">
      <w:bodyDiv w:val="1"/>
      <w:marLeft w:val="0"/>
      <w:marRight w:val="0"/>
      <w:marTop w:val="0"/>
      <w:marBottom w:val="0"/>
      <w:divBdr>
        <w:top w:val="none" w:sz="0" w:space="0" w:color="auto"/>
        <w:left w:val="none" w:sz="0" w:space="0" w:color="auto"/>
        <w:bottom w:val="none" w:sz="0" w:space="0" w:color="auto"/>
        <w:right w:val="none" w:sz="0" w:space="0" w:color="auto"/>
      </w:divBdr>
    </w:div>
    <w:div w:id="184728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70C3-6D1B-4896-9B17-306CF63B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13239</Words>
  <Characters>77600</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AusPAR Attachment 1. Product Information for Bevacizumab</vt:lpstr>
    </vt:vector>
  </TitlesOfParts>
  <Company>Roche Products Pty Ltd</Company>
  <LinksUpToDate>false</LinksUpToDate>
  <CharactersWithSpaces>90658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Bevacizumab</dc:title>
  <dc:subject>prescription medicine regulation</dc:subject>
  <dc:creator>Roche Products Pty Ltd</dc:creator>
  <cp:keywords>product, information, prescription, medicine, regulation, bevacizumab, avastin, roche, products</cp:keywords>
  <cp:lastModifiedBy>Dixon, Jenna</cp:lastModifiedBy>
  <cp:revision>3</cp:revision>
  <cp:lastPrinted>2014-10-23T23:20:00Z</cp:lastPrinted>
  <dcterms:created xsi:type="dcterms:W3CDTF">2015-03-31T04:31:00Z</dcterms:created>
  <dcterms:modified xsi:type="dcterms:W3CDTF">2015-04-01T00:30:00Z</dcterms:modified>
</cp:coreProperties>
</file>