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4A" w:rsidRPr="00BE2A26" w:rsidRDefault="00AF514A" w:rsidP="00AB03B7">
      <w:pPr>
        <w:rPr>
          <w:rFonts w:ascii="Wingdings 3" w:hAnsi="Wingdings 3"/>
          <w:sz w:val="24"/>
        </w:rPr>
      </w:pPr>
      <w:r w:rsidRPr="00BE2A26">
        <w:rPr>
          <w:rFonts w:ascii="SimSun" w:eastAsia="SimSun" w:hAnsi="SimSun" w:cs="Arial" w:hint="eastAsia"/>
          <w:sz w:val="40"/>
        </w:rPr>
        <w:t>▼</w:t>
      </w:r>
      <w:r w:rsidRPr="008F298E">
        <w:rPr>
          <w:rFonts w:ascii="Times New Roman" w:hAnsi="Times New Roman"/>
        </w:rPr>
        <w:t xml:space="preserve">This medicinal product is subject to additional monitoring in Australia. This will allow quick identification of new safety information. Healthcare professionals are asked to report any suspected adverse events at </w:t>
      </w:r>
      <w:hyperlink r:id="rId13" w:history="1">
        <w:r w:rsidRPr="008F298E">
          <w:rPr>
            <w:rStyle w:val="Hyperlink"/>
            <w:rFonts w:ascii="Times New Roman" w:hAnsi="Times New Roman"/>
          </w:rPr>
          <w:t>www.tga.gov.au/reporting-problems</w:t>
        </w:r>
      </w:hyperlink>
      <w:r w:rsidRPr="008F298E">
        <w:rPr>
          <w:rFonts w:ascii="Times New Roman" w:hAnsi="Times New Roman"/>
        </w:rPr>
        <w:t>.</w:t>
      </w:r>
    </w:p>
    <w:p w:rsidR="00AF514A" w:rsidRDefault="00AF514A" w:rsidP="007254DD">
      <w:pPr>
        <w:widowControl w:val="0"/>
        <w:jc w:val="center"/>
        <w:rPr>
          <w:rFonts w:ascii="Times New Roman" w:hAnsi="Times New Roman"/>
          <w:b/>
          <w:noProof/>
          <w:sz w:val="24"/>
          <w:szCs w:val="24"/>
        </w:rPr>
      </w:pPr>
    </w:p>
    <w:p w:rsidR="00AF514A" w:rsidRDefault="00AF514A" w:rsidP="007254DD">
      <w:pPr>
        <w:widowControl w:val="0"/>
        <w:jc w:val="center"/>
        <w:rPr>
          <w:rFonts w:ascii="Times New Roman" w:hAnsi="Times New Roman"/>
          <w:b/>
          <w:noProof/>
          <w:sz w:val="24"/>
          <w:szCs w:val="24"/>
        </w:rPr>
      </w:pPr>
    </w:p>
    <w:p w:rsidR="006B33CC" w:rsidRDefault="002D4762" w:rsidP="00FE6F9D">
      <w:pPr>
        <w:widowControl w:val="0"/>
        <w:rPr>
          <w:rFonts w:ascii="Times New Roman" w:hAnsi="Times New Roman"/>
          <w:b/>
          <w:noProof/>
          <w:sz w:val="24"/>
          <w:szCs w:val="24"/>
          <w:lang w:val="en-US"/>
        </w:rPr>
      </w:pPr>
      <w:r>
        <w:rPr>
          <w:rFonts w:ascii="Times New Roman" w:hAnsi="Times New Roman"/>
          <w:b/>
          <w:noProof/>
          <w:sz w:val="24"/>
          <w:szCs w:val="24"/>
        </w:rPr>
        <w:t xml:space="preserve">AUSTRALIAN </w:t>
      </w:r>
      <w:r w:rsidR="007254DD" w:rsidRPr="006B33CC">
        <w:rPr>
          <w:rFonts w:ascii="Times New Roman Bold" w:hAnsi="Times New Roman Bold"/>
          <w:b/>
          <w:caps/>
          <w:noProof/>
          <w:sz w:val="24"/>
          <w:szCs w:val="24"/>
        </w:rPr>
        <w:t>Product Information</w:t>
      </w:r>
      <w:r>
        <w:rPr>
          <w:rFonts w:ascii="Times New Roman" w:hAnsi="Times New Roman"/>
          <w:b/>
          <w:noProof/>
          <w:sz w:val="24"/>
          <w:szCs w:val="24"/>
          <w:lang w:val="en-US"/>
        </w:rPr>
        <w:t xml:space="preserve"> </w:t>
      </w:r>
    </w:p>
    <w:p w:rsidR="007D2219" w:rsidRPr="007D2219" w:rsidRDefault="002F43D2" w:rsidP="00FE6F9D">
      <w:pPr>
        <w:widowControl w:val="0"/>
        <w:rPr>
          <w:rFonts w:ascii="Times New Roman" w:hAnsi="Times New Roman"/>
          <w:b/>
          <w:noProof/>
          <w:sz w:val="24"/>
          <w:szCs w:val="24"/>
        </w:rPr>
      </w:pPr>
      <w:r>
        <w:rPr>
          <w:rFonts w:ascii="Times New Roman" w:hAnsi="Times New Roman"/>
          <w:b/>
          <w:noProof/>
          <w:sz w:val="24"/>
          <w:szCs w:val="24"/>
          <w:lang w:val="en-US"/>
        </w:rPr>
        <w:t>BIKTARVY</w:t>
      </w:r>
      <w:r w:rsidR="002B2915">
        <w:rPr>
          <w:rFonts w:ascii="Times New Roman" w:hAnsi="Times New Roman"/>
          <w:b/>
          <w:noProof/>
          <w:sz w:val="24"/>
          <w:szCs w:val="24"/>
          <w:vertAlign w:val="superscript"/>
          <w:lang w:val="en-US"/>
        </w:rPr>
        <w:t>®</w:t>
      </w:r>
      <w:r w:rsidR="002A7279">
        <w:rPr>
          <w:rFonts w:ascii="Times New Roman" w:hAnsi="Times New Roman"/>
          <w:b/>
          <w:noProof/>
          <w:sz w:val="24"/>
          <w:szCs w:val="24"/>
          <w:lang w:val="en-US"/>
        </w:rPr>
        <w:t xml:space="preserve"> </w:t>
      </w:r>
      <w:r w:rsidR="007D2219" w:rsidRPr="007D2219">
        <w:rPr>
          <w:rFonts w:ascii="Times New Roman" w:hAnsi="Times New Roman"/>
          <w:b/>
          <w:noProof/>
          <w:sz w:val="24"/>
          <w:szCs w:val="24"/>
          <w:lang w:val="en-US"/>
        </w:rPr>
        <w:t>(</w:t>
      </w:r>
      <w:r w:rsidR="00B74793">
        <w:rPr>
          <w:rFonts w:ascii="Times New Roman" w:hAnsi="Times New Roman"/>
          <w:b/>
          <w:noProof/>
          <w:sz w:val="24"/>
          <w:szCs w:val="24"/>
          <w:lang w:val="en-US"/>
        </w:rPr>
        <w:t>bictegravir/</w:t>
      </w:r>
      <w:r w:rsidR="00F1794C" w:rsidRPr="007D2219">
        <w:rPr>
          <w:rFonts w:ascii="Times New Roman" w:hAnsi="Times New Roman"/>
          <w:b/>
          <w:bCs/>
          <w:noProof/>
          <w:sz w:val="24"/>
          <w:szCs w:val="24"/>
        </w:rPr>
        <w:t>emtricitabine</w:t>
      </w:r>
      <w:r w:rsidR="00F1794C">
        <w:rPr>
          <w:rFonts w:ascii="Times New Roman" w:hAnsi="Times New Roman"/>
          <w:b/>
          <w:bCs/>
          <w:noProof/>
          <w:sz w:val="24"/>
          <w:szCs w:val="24"/>
        </w:rPr>
        <w:t>/</w:t>
      </w:r>
      <w:r w:rsidR="00F1794C" w:rsidRPr="007D2219">
        <w:rPr>
          <w:rFonts w:ascii="Times New Roman" w:hAnsi="Times New Roman"/>
          <w:b/>
          <w:bCs/>
          <w:noProof/>
          <w:sz w:val="24"/>
          <w:szCs w:val="24"/>
        </w:rPr>
        <w:t xml:space="preserve">tenofovir </w:t>
      </w:r>
      <w:r w:rsidR="00162092" w:rsidRPr="00162092">
        <w:rPr>
          <w:rFonts w:ascii="Times New Roman" w:hAnsi="Times New Roman"/>
          <w:b/>
          <w:bCs/>
          <w:noProof/>
          <w:sz w:val="24"/>
          <w:szCs w:val="24"/>
        </w:rPr>
        <w:t>alafenamide</w:t>
      </w:r>
      <w:r w:rsidR="007D2219" w:rsidRPr="007D2219">
        <w:rPr>
          <w:rFonts w:ascii="Times New Roman" w:hAnsi="Times New Roman"/>
          <w:b/>
          <w:noProof/>
          <w:sz w:val="24"/>
          <w:szCs w:val="24"/>
        </w:rPr>
        <w:t>)</w:t>
      </w:r>
      <w:r w:rsidR="007D2219" w:rsidRPr="007D2219">
        <w:rPr>
          <w:rFonts w:ascii="Times New Roman" w:hAnsi="Times New Roman"/>
          <w:b/>
          <w:noProof/>
          <w:sz w:val="24"/>
          <w:szCs w:val="24"/>
          <w:lang w:val="en-US"/>
        </w:rPr>
        <w:t xml:space="preserve"> </w:t>
      </w:r>
      <w:r w:rsidR="00E85954" w:rsidRPr="00E85954">
        <w:rPr>
          <w:rFonts w:ascii="Times New Roman" w:hAnsi="Times New Roman"/>
          <w:b/>
          <w:bCs/>
          <w:noProof/>
          <w:sz w:val="24"/>
          <w:szCs w:val="24"/>
        </w:rPr>
        <w:t xml:space="preserve">film-coated </w:t>
      </w:r>
      <w:r w:rsidR="00E85954" w:rsidRPr="00E85954">
        <w:rPr>
          <w:rFonts w:ascii="Times New Roman" w:hAnsi="Times New Roman"/>
          <w:b/>
          <w:noProof/>
          <w:sz w:val="24"/>
          <w:szCs w:val="24"/>
          <w:lang w:val="en-US"/>
        </w:rPr>
        <w:t>tablets</w:t>
      </w:r>
    </w:p>
    <w:p w:rsidR="009F536A" w:rsidRPr="008B7865" w:rsidRDefault="009F536A" w:rsidP="00FE6F9D">
      <w:pPr>
        <w:widowControl w:val="0"/>
        <w:rPr>
          <w:rFonts w:ascii="Times New Roman" w:hAnsi="Times New Roman"/>
          <w:bCs/>
          <w:noProof/>
          <w:color w:val="FF0000"/>
          <w:sz w:val="24"/>
          <w:szCs w:val="24"/>
        </w:rPr>
      </w:pPr>
    </w:p>
    <w:p w:rsidR="007254DD" w:rsidRPr="000E1BC3" w:rsidRDefault="00CC2083" w:rsidP="00F279CD">
      <w:pPr>
        <w:widowControl w:val="0"/>
        <w:spacing w:after="120"/>
        <w:rPr>
          <w:rFonts w:ascii="Times New Roman" w:hAnsi="Times New Roman"/>
          <w:noProof/>
          <w:sz w:val="24"/>
          <w:szCs w:val="24"/>
        </w:rPr>
      </w:pPr>
      <w:r w:rsidRPr="000E1BC3">
        <w:rPr>
          <w:rFonts w:ascii="Times New Roman" w:hAnsi="Times New Roman"/>
          <w:b/>
          <w:noProof/>
          <w:sz w:val="24"/>
          <w:szCs w:val="24"/>
        </w:rPr>
        <w:t xml:space="preserve">1. </w:t>
      </w:r>
      <w:r w:rsidR="007254DD" w:rsidRPr="000E1BC3">
        <w:rPr>
          <w:rFonts w:ascii="Times New Roman" w:hAnsi="Times New Roman"/>
          <w:b/>
          <w:noProof/>
          <w:sz w:val="24"/>
          <w:szCs w:val="24"/>
        </w:rPr>
        <w:t>NAME OF THE MEDICINE</w:t>
      </w:r>
    </w:p>
    <w:p w:rsidR="00A31D2F" w:rsidRPr="000E1BC3" w:rsidRDefault="002F43D2" w:rsidP="00FE6F9D">
      <w:pPr>
        <w:rPr>
          <w:rFonts w:ascii="Times New Roman" w:hAnsi="Times New Roman"/>
          <w:noProof/>
          <w:sz w:val="24"/>
          <w:szCs w:val="24"/>
        </w:rPr>
      </w:pPr>
      <w:r>
        <w:rPr>
          <w:rFonts w:ascii="Times New Roman" w:hAnsi="Times New Roman"/>
          <w:noProof/>
          <w:sz w:val="24"/>
          <w:szCs w:val="24"/>
          <w:lang w:val="en-US"/>
        </w:rPr>
        <w:t>BIKTARVY</w:t>
      </w:r>
      <w:r w:rsidR="00BA554F">
        <w:rPr>
          <w:rFonts w:ascii="Times New Roman" w:hAnsi="Times New Roman"/>
          <w:b/>
          <w:noProof/>
          <w:sz w:val="24"/>
          <w:szCs w:val="24"/>
          <w:vertAlign w:val="superscript"/>
          <w:lang w:val="en-US"/>
        </w:rPr>
        <w:t>®</w:t>
      </w:r>
      <w:r w:rsidR="007D2219" w:rsidRPr="000E1BC3">
        <w:rPr>
          <w:rFonts w:ascii="Times New Roman" w:hAnsi="Times New Roman"/>
          <w:noProof/>
          <w:sz w:val="24"/>
          <w:szCs w:val="24"/>
          <w:lang w:val="en-US"/>
        </w:rPr>
        <w:t xml:space="preserve"> (</w:t>
      </w:r>
      <w:r w:rsidR="00B74793" w:rsidRPr="000E1BC3">
        <w:rPr>
          <w:rFonts w:ascii="Times New Roman" w:hAnsi="Times New Roman"/>
          <w:noProof/>
          <w:sz w:val="24"/>
          <w:szCs w:val="24"/>
          <w:lang w:val="en-US"/>
        </w:rPr>
        <w:t>50 mg bictegravir</w:t>
      </w:r>
      <w:r w:rsidR="002A7279" w:rsidRPr="000E1BC3">
        <w:rPr>
          <w:rFonts w:ascii="Times New Roman" w:hAnsi="Times New Roman"/>
          <w:noProof/>
          <w:sz w:val="24"/>
          <w:szCs w:val="24"/>
          <w:lang w:val="en-US"/>
        </w:rPr>
        <w:t xml:space="preserve"> (BIC) </w:t>
      </w:r>
      <w:r w:rsidR="00B74793" w:rsidRPr="000E1BC3">
        <w:rPr>
          <w:rFonts w:ascii="Times New Roman" w:hAnsi="Times New Roman"/>
          <w:noProof/>
          <w:sz w:val="24"/>
          <w:szCs w:val="24"/>
          <w:lang w:val="en-US"/>
        </w:rPr>
        <w:t>/</w:t>
      </w:r>
      <w:r w:rsidR="007B32E6" w:rsidRPr="000E1BC3">
        <w:rPr>
          <w:rFonts w:ascii="Times New Roman" w:hAnsi="Times New Roman"/>
          <w:noProof/>
          <w:sz w:val="24"/>
          <w:szCs w:val="24"/>
          <w:lang w:val="en-US"/>
        </w:rPr>
        <w:t xml:space="preserve">200 mg </w:t>
      </w:r>
      <w:r w:rsidR="00F1794C" w:rsidRPr="000E1BC3">
        <w:rPr>
          <w:rFonts w:ascii="Times New Roman" w:hAnsi="Times New Roman"/>
          <w:bCs/>
          <w:noProof/>
          <w:sz w:val="24"/>
          <w:szCs w:val="24"/>
        </w:rPr>
        <w:t>emtricitabine</w:t>
      </w:r>
      <w:r w:rsidR="004D399F">
        <w:rPr>
          <w:rFonts w:ascii="Times New Roman" w:hAnsi="Times New Roman"/>
          <w:bCs/>
          <w:noProof/>
          <w:sz w:val="24"/>
          <w:szCs w:val="24"/>
        </w:rPr>
        <w:t xml:space="preserve"> </w:t>
      </w:r>
      <w:r w:rsidR="002A7279" w:rsidRPr="000E1BC3">
        <w:rPr>
          <w:rFonts w:ascii="Times New Roman" w:hAnsi="Times New Roman"/>
          <w:bCs/>
          <w:noProof/>
          <w:sz w:val="24"/>
          <w:szCs w:val="24"/>
        </w:rPr>
        <w:t>(FTC)</w:t>
      </w:r>
      <w:r w:rsidR="00E21D66">
        <w:rPr>
          <w:rFonts w:ascii="Times New Roman" w:hAnsi="Times New Roman"/>
          <w:bCs/>
          <w:noProof/>
          <w:sz w:val="24"/>
          <w:szCs w:val="24"/>
        </w:rPr>
        <w:t xml:space="preserve"> /</w:t>
      </w:r>
      <w:r w:rsidR="007B32E6" w:rsidRPr="000E1BC3">
        <w:rPr>
          <w:rFonts w:ascii="Times New Roman" w:hAnsi="Times New Roman"/>
          <w:bCs/>
          <w:noProof/>
          <w:sz w:val="24"/>
          <w:szCs w:val="24"/>
        </w:rPr>
        <w:t xml:space="preserve">25 mg </w:t>
      </w:r>
      <w:r w:rsidR="00F1794C" w:rsidRPr="000E1BC3">
        <w:rPr>
          <w:rFonts w:ascii="Times New Roman" w:hAnsi="Times New Roman"/>
          <w:bCs/>
          <w:noProof/>
          <w:sz w:val="24"/>
          <w:szCs w:val="24"/>
        </w:rPr>
        <w:t xml:space="preserve">tenofovir </w:t>
      </w:r>
      <w:r w:rsidR="00162092" w:rsidRPr="000E1BC3">
        <w:rPr>
          <w:rFonts w:ascii="Times New Roman" w:hAnsi="Times New Roman"/>
          <w:bCs/>
          <w:noProof/>
          <w:sz w:val="24"/>
          <w:szCs w:val="24"/>
        </w:rPr>
        <w:t>alafenamide</w:t>
      </w:r>
      <w:r w:rsidR="002A7279" w:rsidRPr="000E1BC3">
        <w:rPr>
          <w:rFonts w:ascii="Times New Roman" w:hAnsi="Times New Roman"/>
          <w:bCs/>
          <w:noProof/>
          <w:sz w:val="24"/>
          <w:szCs w:val="24"/>
        </w:rPr>
        <w:t xml:space="preserve"> (TAF)</w:t>
      </w:r>
      <w:r w:rsidR="007254DD" w:rsidRPr="000E1BC3">
        <w:rPr>
          <w:rFonts w:ascii="Times New Roman" w:hAnsi="Times New Roman"/>
          <w:noProof/>
          <w:sz w:val="24"/>
          <w:szCs w:val="24"/>
        </w:rPr>
        <w:t xml:space="preserve">.  </w:t>
      </w:r>
    </w:p>
    <w:p w:rsidR="00A31D2F" w:rsidRPr="000E1BC3" w:rsidRDefault="00A31D2F" w:rsidP="00FE6F9D">
      <w:pPr>
        <w:rPr>
          <w:rFonts w:ascii="Times New Roman" w:hAnsi="Times New Roman"/>
          <w:noProof/>
          <w:sz w:val="24"/>
          <w:szCs w:val="24"/>
        </w:rPr>
      </w:pPr>
    </w:p>
    <w:p w:rsidR="00CC2083" w:rsidRPr="000E1BC3" w:rsidRDefault="009110D7" w:rsidP="009D4C0D">
      <w:pPr>
        <w:spacing w:after="120"/>
        <w:rPr>
          <w:rFonts w:ascii="Times New Roman" w:hAnsi="Times New Roman"/>
          <w:b/>
          <w:sz w:val="24"/>
          <w:szCs w:val="24"/>
        </w:rPr>
      </w:pPr>
      <w:r w:rsidRPr="009110D7">
        <w:rPr>
          <w:rFonts w:ascii="Times New Roman" w:hAnsi="Times New Roman"/>
          <w:b/>
          <w:sz w:val="24"/>
          <w:szCs w:val="24"/>
        </w:rPr>
        <w:t>2</w:t>
      </w:r>
      <w:r>
        <w:rPr>
          <w:rFonts w:ascii="Times New Roman" w:hAnsi="Times New Roman"/>
          <w:b/>
          <w:sz w:val="24"/>
          <w:szCs w:val="24"/>
        </w:rPr>
        <w:t>.</w:t>
      </w:r>
      <w:r w:rsidR="001E3BBA">
        <w:rPr>
          <w:rFonts w:ascii="Times New Roman" w:hAnsi="Times New Roman"/>
          <w:b/>
          <w:sz w:val="24"/>
          <w:szCs w:val="24"/>
        </w:rPr>
        <w:t xml:space="preserve"> </w:t>
      </w:r>
      <w:r w:rsidRPr="009110D7">
        <w:rPr>
          <w:rFonts w:ascii="Times New Roman" w:hAnsi="Times New Roman"/>
          <w:b/>
          <w:sz w:val="24"/>
          <w:szCs w:val="24"/>
        </w:rPr>
        <w:t>QUALITATIVE AND QUANTITATIVE COMPOSITION</w:t>
      </w:r>
    </w:p>
    <w:p w:rsidR="00F144E5" w:rsidRDefault="00F144E5" w:rsidP="00F144E5">
      <w:pPr>
        <w:rPr>
          <w:rFonts w:ascii="Times New Roman" w:hAnsi="Times New Roman"/>
          <w:noProof/>
          <w:sz w:val="24"/>
          <w:szCs w:val="24"/>
          <w:lang w:val="en-US"/>
        </w:rPr>
      </w:pPr>
      <w:r w:rsidRPr="000E1BC3">
        <w:rPr>
          <w:rFonts w:ascii="Times New Roman" w:hAnsi="Times New Roman"/>
          <w:noProof/>
          <w:sz w:val="24"/>
          <w:szCs w:val="24"/>
        </w:rPr>
        <w:t>Each</w:t>
      </w:r>
      <w:r w:rsidR="00B01477" w:rsidRPr="000E1BC3">
        <w:rPr>
          <w:rFonts w:ascii="Times New Roman" w:hAnsi="Times New Roman"/>
          <w:noProof/>
          <w:sz w:val="24"/>
          <w:szCs w:val="24"/>
        </w:rPr>
        <w:t xml:space="preserve"> </w:t>
      </w:r>
      <w:r w:rsidR="004D399F">
        <w:rPr>
          <w:rFonts w:ascii="Times New Roman" w:hAnsi="Times New Roman"/>
          <w:noProof/>
          <w:sz w:val="24"/>
          <w:szCs w:val="24"/>
        </w:rPr>
        <w:t xml:space="preserve">film-coated </w:t>
      </w:r>
      <w:r w:rsidR="00B01477" w:rsidRPr="000E1BC3">
        <w:rPr>
          <w:rFonts w:ascii="Times New Roman" w:hAnsi="Times New Roman"/>
          <w:noProof/>
          <w:sz w:val="24"/>
          <w:szCs w:val="24"/>
        </w:rPr>
        <w:t>tablet contain</w:t>
      </w:r>
      <w:r w:rsidRPr="000E1BC3">
        <w:rPr>
          <w:rFonts w:ascii="Times New Roman" w:hAnsi="Times New Roman"/>
          <w:noProof/>
          <w:sz w:val="24"/>
          <w:szCs w:val="24"/>
        </w:rPr>
        <w:t>s</w:t>
      </w:r>
      <w:r w:rsidR="00B01477" w:rsidRPr="000E1BC3">
        <w:rPr>
          <w:rFonts w:ascii="Times New Roman" w:hAnsi="Times New Roman"/>
          <w:noProof/>
          <w:sz w:val="24"/>
          <w:szCs w:val="24"/>
        </w:rPr>
        <w:t xml:space="preserve"> </w:t>
      </w:r>
      <w:r w:rsidR="004D399F" w:rsidRPr="000E1BC3">
        <w:rPr>
          <w:rFonts w:ascii="Times New Roman" w:hAnsi="Times New Roman"/>
          <w:noProof/>
          <w:sz w:val="24"/>
          <w:szCs w:val="24"/>
        </w:rPr>
        <w:t xml:space="preserve">bictegravir sodium equivalent to </w:t>
      </w:r>
      <w:r w:rsidR="00B01477" w:rsidRPr="000E1BC3">
        <w:rPr>
          <w:rFonts w:ascii="Times New Roman" w:hAnsi="Times New Roman"/>
          <w:noProof/>
          <w:sz w:val="24"/>
          <w:szCs w:val="24"/>
        </w:rPr>
        <w:t xml:space="preserve">50 mg of </w:t>
      </w:r>
      <w:r w:rsidR="004D399F" w:rsidRPr="000E1BC3">
        <w:rPr>
          <w:rFonts w:ascii="Times New Roman" w:hAnsi="Times New Roman"/>
          <w:noProof/>
          <w:sz w:val="24"/>
          <w:szCs w:val="24"/>
          <w:lang w:val="en-US"/>
        </w:rPr>
        <w:t>bictegravir</w:t>
      </w:r>
      <w:r w:rsidR="00BC758D" w:rsidRPr="000E1BC3">
        <w:rPr>
          <w:rFonts w:ascii="Times New Roman" w:hAnsi="Times New Roman"/>
          <w:noProof/>
          <w:sz w:val="24"/>
          <w:szCs w:val="24"/>
        </w:rPr>
        <w:t xml:space="preserve">, </w:t>
      </w:r>
      <w:r w:rsidR="00B01477" w:rsidRPr="000E1BC3">
        <w:rPr>
          <w:rFonts w:ascii="Times New Roman" w:hAnsi="Times New Roman"/>
          <w:noProof/>
          <w:sz w:val="24"/>
          <w:szCs w:val="24"/>
        </w:rPr>
        <w:t xml:space="preserve">200 mg of </w:t>
      </w:r>
      <w:r w:rsidR="004D399F" w:rsidRPr="000E1BC3">
        <w:rPr>
          <w:rFonts w:ascii="Times New Roman" w:hAnsi="Times New Roman"/>
          <w:bCs/>
          <w:noProof/>
          <w:sz w:val="24"/>
          <w:szCs w:val="24"/>
        </w:rPr>
        <w:t>emtricitabine</w:t>
      </w:r>
      <w:r w:rsidR="00B01477" w:rsidRPr="000E1BC3">
        <w:rPr>
          <w:rFonts w:ascii="Times New Roman" w:hAnsi="Times New Roman"/>
          <w:noProof/>
          <w:sz w:val="24"/>
          <w:szCs w:val="24"/>
        </w:rPr>
        <w:t xml:space="preserve">, and </w:t>
      </w:r>
      <w:r w:rsidR="004D399F" w:rsidRPr="000E1BC3">
        <w:rPr>
          <w:rFonts w:ascii="Times New Roman" w:hAnsi="Times New Roman"/>
          <w:noProof/>
          <w:sz w:val="24"/>
          <w:szCs w:val="24"/>
          <w:lang w:val="en-US"/>
        </w:rPr>
        <w:t>tenofovir alafenamide fumarate</w:t>
      </w:r>
      <w:r w:rsidR="004D399F" w:rsidRPr="000E1BC3">
        <w:rPr>
          <w:rFonts w:ascii="Times New Roman" w:hAnsi="Times New Roman"/>
          <w:noProof/>
          <w:sz w:val="24"/>
          <w:szCs w:val="24"/>
        </w:rPr>
        <w:t xml:space="preserve"> </w:t>
      </w:r>
      <w:r w:rsidR="004D399F" w:rsidRPr="000E1BC3">
        <w:rPr>
          <w:rFonts w:ascii="Times New Roman" w:hAnsi="Times New Roman"/>
          <w:noProof/>
          <w:sz w:val="24"/>
          <w:szCs w:val="24"/>
          <w:lang w:val="en-US"/>
        </w:rPr>
        <w:t xml:space="preserve">equivalent to </w:t>
      </w:r>
      <w:r w:rsidR="00E261F6" w:rsidRPr="000E1BC3">
        <w:rPr>
          <w:rFonts w:ascii="Times New Roman" w:hAnsi="Times New Roman"/>
          <w:noProof/>
          <w:sz w:val="24"/>
          <w:szCs w:val="24"/>
        </w:rPr>
        <w:t xml:space="preserve">25 mg of </w:t>
      </w:r>
      <w:r w:rsidR="004D399F" w:rsidRPr="000E1BC3">
        <w:rPr>
          <w:rFonts w:ascii="Times New Roman" w:hAnsi="Times New Roman"/>
          <w:bCs/>
          <w:noProof/>
          <w:sz w:val="24"/>
          <w:szCs w:val="24"/>
        </w:rPr>
        <w:t>tenofovir alafenamide</w:t>
      </w:r>
      <w:r w:rsidRPr="000E1BC3">
        <w:rPr>
          <w:rFonts w:ascii="Times New Roman" w:hAnsi="Times New Roman"/>
          <w:noProof/>
          <w:sz w:val="24"/>
          <w:szCs w:val="24"/>
          <w:lang w:val="en-US"/>
        </w:rPr>
        <w:t xml:space="preserve"> and the following inactive ingredients: croscarmellose sodium, magnesium stearate, and microcrystalline cellulose</w:t>
      </w:r>
      <w:r w:rsidR="00B01477" w:rsidRPr="000E1BC3">
        <w:rPr>
          <w:rFonts w:ascii="Times New Roman" w:hAnsi="Times New Roman"/>
          <w:noProof/>
          <w:sz w:val="24"/>
          <w:szCs w:val="24"/>
          <w:lang w:val="en-US"/>
        </w:rPr>
        <w:t>.</w:t>
      </w:r>
      <w:r w:rsidR="00B01477" w:rsidRPr="000E1BC3">
        <w:rPr>
          <w:rFonts w:ascii="Times New Roman" w:hAnsi="Times New Roman"/>
          <w:noProof/>
          <w:sz w:val="24"/>
          <w:szCs w:val="24"/>
        </w:rPr>
        <w:t xml:space="preserve">  </w:t>
      </w:r>
      <w:r w:rsidRPr="000E1BC3">
        <w:rPr>
          <w:rFonts w:ascii="Times New Roman" w:hAnsi="Times New Roman"/>
          <w:noProof/>
          <w:sz w:val="24"/>
          <w:szCs w:val="24"/>
        </w:rPr>
        <w:t>The tablets are film</w:t>
      </w:r>
      <w:r w:rsidRPr="000E1BC3">
        <w:rPr>
          <w:rFonts w:ascii="Times New Roman" w:hAnsi="Times New Roman"/>
          <w:noProof/>
          <w:sz w:val="24"/>
          <w:szCs w:val="24"/>
        </w:rPr>
        <w:noBreakHyphen/>
        <w:t>coated with  a coating material containing</w:t>
      </w:r>
      <w:r w:rsidRPr="000E1BC3">
        <w:rPr>
          <w:rFonts w:ascii="Times New Roman" w:hAnsi="Times New Roman"/>
          <w:noProof/>
          <w:sz w:val="24"/>
          <w:szCs w:val="24"/>
          <w:lang w:val="en-US"/>
        </w:rPr>
        <w:t xml:space="preserve"> iron oxide black, iron oxide red, polyethylene glycol</w:t>
      </w:r>
      <w:r w:rsidR="00745165" w:rsidRPr="000E1BC3">
        <w:rPr>
          <w:rFonts w:ascii="Times New Roman" w:hAnsi="Times New Roman"/>
          <w:noProof/>
          <w:sz w:val="24"/>
          <w:szCs w:val="24"/>
        </w:rPr>
        <w:t xml:space="preserve">, </w:t>
      </w:r>
      <w:r w:rsidRPr="000E1BC3">
        <w:rPr>
          <w:rFonts w:ascii="Times New Roman" w:hAnsi="Times New Roman"/>
          <w:noProof/>
          <w:sz w:val="24"/>
          <w:szCs w:val="24"/>
          <w:lang w:val="en-US"/>
        </w:rPr>
        <w:t>polyvinyl alcohol</w:t>
      </w:r>
      <w:r w:rsidR="00745165" w:rsidRPr="000E1BC3">
        <w:rPr>
          <w:rFonts w:ascii="Times New Roman" w:hAnsi="Times New Roman"/>
          <w:noProof/>
          <w:sz w:val="24"/>
          <w:szCs w:val="24"/>
          <w:lang w:val="en-US"/>
        </w:rPr>
        <w:t>, talc</w:t>
      </w:r>
      <w:r w:rsidRPr="000E1BC3">
        <w:rPr>
          <w:rFonts w:ascii="Times New Roman" w:hAnsi="Times New Roman"/>
          <w:noProof/>
          <w:sz w:val="24"/>
          <w:szCs w:val="24"/>
          <w:lang w:val="en-US"/>
        </w:rPr>
        <w:t xml:space="preserve">, </w:t>
      </w:r>
      <w:r w:rsidR="00745165" w:rsidRPr="000E1BC3">
        <w:rPr>
          <w:rFonts w:ascii="Times New Roman" w:hAnsi="Times New Roman"/>
          <w:noProof/>
          <w:sz w:val="24"/>
          <w:szCs w:val="24"/>
          <w:lang w:val="en-US"/>
        </w:rPr>
        <w:t xml:space="preserve">and </w:t>
      </w:r>
      <w:r w:rsidRPr="000E1BC3">
        <w:rPr>
          <w:rFonts w:ascii="Times New Roman" w:hAnsi="Times New Roman"/>
          <w:noProof/>
          <w:sz w:val="24"/>
          <w:szCs w:val="24"/>
          <w:lang w:val="en-US"/>
        </w:rPr>
        <w:t>titanium dioxide</w:t>
      </w:r>
      <w:r w:rsidR="00745165" w:rsidRPr="000E1BC3">
        <w:rPr>
          <w:rFonts w:ascii="Times New Roman" w:hAnsi="Times New Roman"/>
          <w:noProof/>
          <w:sz w:val="24"/>
          <w:szCs w:val="24"/>
          <w:lang w:val="en-US"/>
        </w:rPr>
        <w:t xml:space="preserve">. </w:t>
      </w:r>
      <w:r w:rsidRPr="000E1BC3">
        <w:rPr>
          <w:rFonts w:ascii="Times New Roman" w:hAnsi="Times New Roman"/>
          <w:noProof/>
          <w:sz w:val="24"/>
          <w:szCs w:val="24"/>
          <w:lang w:val="en-US"/>
        </w:rPr>
        <w:t xml:space="preserve">  </w:t>
      </w:r>
    </w:p>
    <w:p w:rsidR="00721524" w:rsidRDefault="00721524" w:rsidP="00F144E5">
      <w:pPr>
        <w:rPr>
          <w:rFonts w:ascii="Times New Roman" w:hAnsi="Times New Roman"/>
          <w:noProof/>
          <w:sz w:val="24"/>
          <w:szCs w:val="24"/>
          <w:lang w:val="en-US"/>
        </w:rPr>
      </w:pPr>
    </w:p>
    <w:p w:rsidR="00721524" w:rsidRPr="000E1BC3" w:rsidRDefault="00721524" w:rsidP="00F144E5">
      <w:pPr>
        <w:rPr>
          <w:rFonts w:ascii="Times New Roman" w:hAnsi="Times New Roman"/>
          <w:noProof/>
          <w:sz w:val="24"/>
          <w:szCs w:val="24"/>
          <w:lang w:val="en-US"/>
        </w:rPr>
      </w:pPr>
      <w:r w:rsidRPr="00721524">
        <w:rPr>
          <w:rFonts w:ascii="Times New Roman" w:hAnsi="Times New Roman"/>
          <w:noProof/>
          <w:sz w:val="24"/>
          <w:szCs w:val="24"/>
          <w:lang w:val="en-US"/>
        </w:rPr>
        <w:t>For the full list of excipients, see Section 6.1 List of excipients.</w:t>
      </w:r>
    </w:p>
    <w:p w:rsidR="00F144E5" w:rsidRPr="000E1BC3" w:rsidRDefault="00F144E5" w:rsidP="00F144E5">
      <w:pPr>
        <w:rPr>
          <w:rFonts w:ascii="Times New Roman" w:hAnsi="Times New Roman"/>
          <w:noProof/>
          <w:sz w:val="24"/>
          <w:szCs w:val="24"/>
          <w:lang w:val="en-US"/>
        </w:rPr>
      </w:pPr>
    </w:p>
    <w:p w:rsidR="00A20B03" w:rsidRPr="000E1BC3" w:rsidRDefault="00CC2083" w:rsidP="00150372">
      <w:pPr>
        <w:spacing w:after="120"/>
        <w:rPr>
          <w:rFonts w:ascii="Times New Roman" w:hAnsi="Times New Roman"/>
          <w:b/>
          <w:noProof/>
          <w:sz w:val="24"/>
          <w:szCs w:val="24"/>
        </w:rPr>
      </w:pPr>
      <w:r w:rsidRPr="000E1BC3">
        <w:rPr>
          <w:rFonts w:ascii="Times New Roman" w:hAnsi="Times New Roman"/>
          <w:b/>
          <w:noProof/>
          <w:sz w:val="24"/>
          <w:szCs w:val="24"/>
        </w:rPr>
        <w:t>3. PHARMACEUTICAL FORM</w:t>
      </w:r>
    </w:p>
    <w:p w:rsidR="00461288" w:rsidRPr="000E1BC3" w:rsidRDefault="00461288" w:rsidP="007B71AD">
      <w:pPr>
        <w:numPr>
          <w:ilvl w:val="12"/>
          <w:numId w:val="0"/>
        </w:numPr>
        <w:ind w:right="-2"/>
        <w:rPr>
          <w:rFonts w:ascii="Times New Roman" w:hAnsi="Times New Roman"/>
          <w:noProof/>
          <w:sz w:val="24"/>
          <w:szCs w:val="24"/>
        </w:rPr>
      </w:pPr>
      <w:r w:rsidRPr="000E1BC3">
        <w:rPr>
          <w:rFonts w:ascii="Times New Roman" w:hAnsi="Times New Roman"/>
          <w:noProof/>
          <w:sz w:val="24"/>
          <w:szCs w:val="24"/>
        </w:rPr>
        <w:t xml:space="preserve">The tablets are film-coated, capsule shaped and purplish-brown in colour.  Each tablet is debossed with ‘GSI’ on one side and </w:t>
      </w:r>
      <w:r w:rsidRPr="000E1BC3">
        <w:rPr>
          <w:rFonts w:ascii="Times New Roman" w:hAnsi="Times New Roman"/>
          <w:sz w:val="24"/>
          <w:szCs w:val="24"/>
        </w:rPr>
        <w:t>the number “9883” on the other side</w:t>
      </w:r>
      <w:r w:rsidRPr="000E1BC3">
        <w:rPr>
          <w:rFonts w:ascii="Times New Roman" w:hAnsi="Times New Roman"/>
          <w:noProof/>
          <w:sz w:val="24"/>
          <w:szCs w:val="24"/>
        </w:rPr>
        <w:t>.</w:t>
      </w:r>
    </w:p>
    <w:p w:rsidR="00461288" w:rsidRPr="000E1BC3" w:rsidRDefault="00461288" w:rsidP="000431CF">
      <w:pPr>
        <w:rPr>
          <w:rFonts w:ascii="Times New Roman" w:hAnsi="Times New Roman"/>
          <w:noProof/>
          <w:sz w:val="24"/>
          <w:szCs w:val="24"/>
        </w:rPr>
      </w:pPr>
    </w:p>
    <w:p w:rsidR="00E21D66" w:rsidRDefault="00CC2083" w:rsidP="000431CF">
      <w:pPr>
        <w:rPr>
          <w:rFonts w:ascii="Times New Roman" w:hAnsi="Times New Roman"/>
          <w:b/>
          <w:noProof/>
          <w:sz w:val="24"/>
          <w:szCs w:val="24"/>
        </w:rPr>
      </w:pPr>
      <w:r w:rsidRPr="000E1BC3">
        <w:rPr>
          <w:rFonts w:ascii="Times New Roman" w:hAnsi="Times New Roman"/>
          <w:b/>
          <w:noProof/>
          <w:sz w:val="24"/>
          <w:szCs w:val="24"/>
        </w:rPr>
        <w:t>4.CLINICAL PARTICULARS</w:t>
      </w:r>
    </w:p>
    <w:p w:rsidR="00CC2083" w:rsidRPr="000E1BC3" w:rsidRDefault="00CC2083" w:rsidP="000431CF">
      <w:pPr>
        <w:rPr>
          <w:rFonts w:ascii="Times New Roman" w:hAnsi="Times New Roman"/>
          <w:b/>
          <w:noProof/>
          <w:sz w:val="24"/>
          <w:szCs w:val="24"/>
        </w:rPr>
      </w:pPr>
      <w:r w:rsidRPr="000E1BC3">
        <w:rPr>
          <w:rFonts w:ascii="Times New Roman" w:hAnsi="Times New Roman"/>
          <w:b/>
          <w:noProof/>
          <w:sz w:val="24"/>
          <w:szCs w:val="24"/>
        </w:rPr>
        <w:t xml:space="preserve"> </w:t>
      </w:r>
    </w:p>
    <w:p w:rsidR="00CC2083" w:rsidRPr="000E1BC3" w:rsidRDefault="00CC2083" w:rsidP="00150372">
      <w:pPr>
        <w:spacing w:after="120"/>
        <w:rPr>
          <w:rFonts w:ascii="Times New Roman" w:hAnsi="Times New Roman"/>
          <w:b/>
          <w:noProof/>
          <w:sz w:val="24"/>
          <w:szCs w:val="24"/>
        </w:rPr>
      </w:pPr>
      <w:r w:rsidRPr="000E1BC3">
        <w:rPr>
          <w:rFonts w:ascii="Times New Roman" w:hAnsi="Times New Roman"/>
          <w:b/>
          <w:noProof/>
          <w:sz w:val="24"/>
          <w:szCs w:val="24"/>
        </w:rPr>
        <w:t xml:space="preserve">4.1 </w:t>
      </w:r>
      <w:r w:rsidR="009110D7">
        <w:rPr>
          <w:rFonts w:ascii="Times New Roman" w:hAnsi="Times New Roman"/>
          <w:b/>
          <w:noProof/>
          <w:sz w:val="24"/>
          <w:szCs w:val="24"/>
        </w:rPr>
        <w:t xml:space="preserve">THERAPEUTIC </w:t>
      </w:r>
      <w:r w:rsidRPr="000E1BC3">
        <w:rPr>
          <w:rFonts w:ascii="Times New Roman" w:hAnsi="Times New Roman"/>
          <w:b/>
          <w:noProof/>
          <w:sz w:val="24"/>
          <w:szCs w:val="24"/>
        </w:rPr>
        <w:t>INDICATIONS</w:t>
      </w:r>
    </w:p>
    <w:p w:rsidR="00CC2083" w:rsidRPr="000E1BC3" w:rsidRDefault="002F43D2" w:rsidP="00CC2083">
      <w:pPr>
        <w:rPr>
          <w:rFonts w:ascii="Times New Roman" w:hAnsi="Times New Roman"/>
          <w:noProof/>
          <w:sz w:val="24"/>
          <w:szCs w:val="24"/>
          <w:lang w:val="en-US"/>
        </w:rPr>
      </w:pPr>
      <w:r>
        <w:rPr>
          <w:rFonts w:ascii="Times New Roman" w:hAnsi="Times New Roman"/>
          <w:noProof/>
          <w:sz w:val="24"/>
          <w:szCs w:val="24"/>
        </w:rPr>
        <w:t>BIKTARVY</w:t>
      </w:r>
      <w:r w:rsidR="00CC2083" w:rsidRPr="000E1BC3">
        <w:rPr>
          <w:rFonts w:ascii="Times New Roman" w:hAnsi="Times New Roman"/>
          <w:noProof/>
          <w:sz w:val="24"/>
          <w:szCs w:val="24"/>
        </w:rPr>
        <w:t xml:space="preserve"> is </w:t>
      </w:r>
      <w:r w:rsidR="00276BCB">
        <w:rPr>
          <w:rFonts w:ascii="Times New Roman" w:hAnsi="Times New Roman"/>
          <w:noProof/>
          <w:sz w:val="24"/>
          <w:szCs w:val="24"/>
        </w:rPr>
        <w:t xml:space="preserve">indicated </w:t>
      </w:r>
      <w:r w:rsidR="00CC2083" w:rsidRPr="000E1BC3">
        <w:rPr>
          <w:rFonts w:ascii="Times New Roman" w:hAnsi="Times New Roman"/>
          <w:noProof/>
          <w:sz w:val="24"/>
          <w:szCs w:val="24"/>
        </w:rPr>
        <w:t>for the treatment of HIV-1 infection in adults</w:t>
      </w:r>
      <w:r w:rsidR="003271DB" w:rsidRPr="000E1BC3">
        <w:rPr>
          <w:rFonts w:ascii="Times New Roman" w:hAnsi="Times New Roman"/>
          <w:noProof/>
          <w:sz w:val="24"/>
          <w:szCs w:val="24"/>
        </w:rPr>
        <w:t xml:space="preserve"> </w:t>
      </w:r>
      <w:r w:rsidR="00A9227A">
        <w:rPr>
          <w:rFonts w:ascii="Times New Roman" w:hAnsi="Times New Roman"/>
          <w:noProof/>
          <w:sz w:val="24"/>
          <w:szCs w:val="24"/>
        </w:rPr>
        <w:t xml:space="preserve">who are </w:t>
      </w:r>
      <w:r w:rsidR="0048309A">
        <w:rPr>
          <w:rFonts w:ascii="Times New Roman" w:hAnsi="Times New Roman"/>
          <w:noProof/>
          <w:sz w:val="24"/>
          <w:szCs w:val="24"/>
        </w:rPr>
        <w:t>antiretroviral therapy (</w:t>
      </w:r>
      <w:r w:rsidR="00A9227A">
        <w:rPr>
          <w:rFonts w:ascii="Times New Roman" w:hAnsi="Times New Roman"/>
          <w:noProof/>
          <w:sz w:val="24"/>
          <w:szCs w:val="24"/>
        </w:rPr>
        <w:t>ART</w:t>
      </w:r>
      <w:r w:rsidR="0048309A">
        <w:rPr>
          <w:rFonts w:ascii="Times New Roman" w:hAnsi="Times New Roman"/>
          <w:noProof/>
          <w:sz w:val="24"/>
          <w:szCs w:val="24"/>
        </w:rPr>
        <w:t>)</w:t>
      </w:r>
      <w:r w:rsidR="00635869">
        <w:rPr>
          <w:rFonts w:ascii="Times New Roman" w:hAnsi="Times New Roman"/>
          <w:noProof/>
          <w:sz w:val="24"/>
          <w:szCs w:val="24"/>
        </w:rPr>
        <w:t>-</w:t>
      </w:r>
      <w:r w:rsidR="00A9227A">
        <w:rPr>
          <w:rFonts w:ascii="Times New Roman" w:hAnsi="Times New Roman"/>
          <w:noProof/>
          <w:sz w:val="24"/>
          <w:szCs w:val="24"/>
        </w:rPr>
        <w:t>naïve or</w:t>
      </w:r>
      <w:r w:rsidR="00664CE0">
        <w:rPr>
          <w:rFonts w:ascii="Times New Roman" w:hAnsi="Times New Roman"/>
          <w:noProof/>
          <w:sz w:val="24"/>
          <w:szCs w:val="24"/>
        </w:rPr>
        <w:t xml:space="preserve"> to replace the current antiretroviral regimen in those who are</w:t>
      </w:r>
      <w:r w:rsidR="00A9227A">
        <w:rPr>
          <w:rFonts w:ascii="Times New Roman" w:hAnsi="Times New Roman"/>
          <w:noProof/>
          <w:sz w:val="24"/>
          <w:szCs w:val="24"/>
        </w:rPr>
        <w:t xml:space="preserve"> virologically</w:t>
      </w:r>
      <w:r w:rsidR="00635869">
        <w:rPr>
          <w:rFonts w:ascii="Times New Roman" w:hAnsi="Times New Roman"/>
          <w:noProof/>
          <w:sz w:val="24"/>
          <w:szCs w:val="24"/>
        </w:rPr>
        <w:t>-</w:t>
      </w:r>
      <w:r w:rsidR="00A9227A">
        <w:rPr>
          <w:rFonts w:ascii="Times New Roman" w:hAnsi="Times New Roman"/>
          <w:noProof/>
          <w:sz w:val="24"/>
          <w:szCs w:val="24"/>
        </w:rPr>
        <w:t>suppresse</w:t>
      </w:r>
      <w:r w:rsidR="00A11678">
        <w:rPr>
          <w:rFonts w:ascii="Times New Roman" w:hAnsi="Times New Roman"/>
          <w:noProof/>
          <w:sz w:val="24"/>
          <w:szCs w:val="24"/>
        </w:rPr>
        <w:t>d</w:t>
      </w:r>
      <w:r w:rsidR="00A9227A">
        <w:rPr>
          <w:rFonts w:ascii="Times New Roman" w:hAnsi="Times New Roman"/>
          <w:noProof/>
          <w:sz w:val="24"/>
          <w:szCs w:val="24"/>
        </w:rPr>
        <w:t xml:space="preserve"> </w:t>
      </w:r>
      <w:r w:rsidR="00664CE0">
        <w:rPr>
          <w:rFonts w:ascii="Times New Roman" w:hAnsi="Times New Roman"/>
          <w:noProof/>
          <w:sz w:val="24"/>
          <w:szCs w:val="24"/>
        </w:rPr>
        <w:t>(HIV-1 RNA &lt; 50 copies per mL) on a stable antiretroviral regimen at the start of ther</w:t>
      </w:r>
      <w:r w:rsidR="009F7F3B">
        <w:rPr>
          <w:rFonts w:ascii="Times New Roman" w:hAnsi="Times New Roman"/>
          <w:noProof/>
          <w:sz w:val="24"/>
          <w:szCs w:val="24"/>
        </w:rPr>
        <w:t>ap</w:t>
      </w:r>
      <w:r w:rsidR="00664CE0">
        <w:rPr>
          <w:rFonts w:ascii="Times New Roman" w:hAnsi="Times New Roman"/>
          <w:noProof/>
          <w:sz w:val="24"/>
          <w:szCs w:val="24"/>
        </w:rPr>
        <w:t>y with no history of treatment failure</w:t>
      </w:r>
      <w:r w:rsidR="00276BCB">
        <w:rPr>
          <w:rFonts w:ascii="Times New Roman" w:hAnsi="Times New Roman"/>
          <w:noProof/>
          <w:sz w:val="24"/>
          <w:szCs w:val="24"/>
        </w:rPr>
        <w:t>,</w:t>
      </w:r>
      <w:r w:rsidR="00664CE0">
        <w:rPr>
          <w:rFonts w:ascii="Times New Roman" w:hAnsi="Times New Roman"/>
          <w:noProof/>
          <w:sz w:val="24"/>
          <w:szCs w:val="24"/>
        </w:rPr>
        <w:t xml:space="preserve"> and no </w:t>
      </w:r>
      <w:r w:rsidR="00CC2083" w:rsidRPr="000E1BC3">
        <w:rPr>
          <w:rFonts w:ascii="Times New Roman" w:hAnsi="Times New Roman"/>
          <w:noProof/>
          <w:sz w:val="24"/>
          <w:szCs w:val="24"/>
        </w:rPr>
        <w:t xml:space="preserve">known </w:t>
      </w:r>
      <w:r w:rsidR="00664CE0">
        <w:rPr>
          <w:rFonts w:ascii="Times New Roman" w:hAnsi="Times New Roman"/>
          <w:noProof/>
          <w:sz w:val="24"/>
          <w:szCs w:val="24"/>
        </w:rPr>
        <w:t>substitutions</w:t>
      </w:r>
      <w:r w:rsidR="00664CE0" w:rsidRPr="000E1BC3">
        <w:rPr>
          <w:rFonts w:ascii="Times New Roman" w:hAnsi="Times New Roman"/>
          <w:noProof/>
          <w:sz w:val="24"/>
          <w:szCs w:val="24"/>
        </w:rPr>
        <w:t xml:space="preserve"> </w:t>
      </w:r>
      <w:r w:rsidR="00CC2083" w:rsidRPr="000E1BC3">
        <w:rPr>
          <w:rFonts w:ascii="Times New Roman" w:hAnsi="Times New Roman"/>
          <w:noProof/>
          <w:sz w:val="24"/>
          <w:szCs w:val="24"/>
        </w:rPr>
        <w:t xml:space="preserve">associated with resistance to the individual components of </w:t>
      </w:r>
      <w:r>
        <w:rPr>
          <w:rFonts w:ascii="Times New Roman" w:hAnsi="Times New Roman"/>
          <w:noProof/>
          <w:sz w:val="24"/>
          <w:szCs w:val="24"/>
        </w:rPr>
        <w:t>BIKTARVY</w:t>
      </w:r>
      <w:r w:rsidR="00CC2083" w:rsidRPr="000E1BC3">
        <w:rPr>
          <w:rFonts w:ascii="Times New Roman" w:hAnsi="Times New Roman"/>
          <w:noProof/>
          <w:sz w:val="24"/>
          <w:szCs w:val="24"/>
        </w:rPr>
        <w:t xml:space="preserve">.   </w:t>
      </w:r>
    </w:p>
    <w:p w:rsidR="00CC2083" w:rsidRPr="000E1BC3" w:rsidRDefault="00CC2083" w:rsidP="00CC2083">
      <w:pPr>
        <w:rPr>
          <w:rFonts w:ascii="Times New Roman" w:hAnsi="Times New Roman"/>
          <w:noProof/>
          <w:sz w:val="24"/>
          <w:szCs w:val="24"/>
          <w:lang w:val="en-US"/>
        </w:rPr>
      </w:pPr>
    </w:p>
    <w:p w:rsidR="00CC2083" w:rsidRPr="000E1BC3" w:rsidRDefault="00CC2083" w:rsidP="00F279CD">
      <w:pPr>
        <w:spacing w:after="120"/>
        <w:rPr>
          <w:rFonts w:ascii="Times New Roman" w:hAnsi="Times New Roman"/>
          <w:b/>
          <w:noProof/>
          <w:sz w:val="24"/>
          <w:szCs w:val="24"/>
        </w:rPr>
      </w:pPr>
      <w:r w:rsidRPr="000E1BC3">
        <w:rPr>
          <w:rFonts w:ascii="Times New Roman" w:hAnsi="Times New Roman"/>
          <w:b/>
          <w:noProof/>
          <w:sz w:val="24"/>
          <w:szCs w:val="24"/>
        </w:rPr>
        <w:t xml:space="preserve">4.2 DOSE AND </w:t>
      </w:r>
      <w:r w:rsidR="009110D7">
        <w:rPr>
          <w:rFonts w:ascii="Times New Roman" w:hAnsi="Times New Roman"/>
          <w:b/>
          <w:noProof/>
          <w:sz w:val="24"/>
          <w:szCs w:val="24"/>
        </w:rPr>
        <w:t xml:space="preserve">METHOD OF </w:t>
      </w:r>
      <w:r w:rsidRPr="000E1BC3">
        <w:rPr>
          <w:rFonts w:ascii="Times New Roman" w:hAnsi="Times New Roman"/>
          <w:b/>
          <w:noProof/>
          <w:sz w:val="24"/>
          <w:szCs w:val="24"/>
        </w:rPr>
        <w:t xml:space="preserve">ADMINISTRATION </w:t>
      </w:r>
    </w:p>
    <w:p w:rsidR="00A6786A" w:rsidRPr="000E1BC3" w:rsidRDefault="002F43D2" w:rsidP="00921C3E">
      <w:pPr>
        <w:outlineLvl w:val="0"/>
        <w:rPr>
          <w:rFonts w:ascii="Times New Roman" w:hAnsi="Times New Roman"/>
          <w:noProof/>
          <w:sz w:val="24"/>
          <w:szCs w:val="24"/>
        </w:rPr>
      </w:pPr>
      <w:r>
        <w:rPr>
          <w:rFonts w:ascii="Times New Roman" w:hAnsi="Times New Roman"/>
          <w:sz w:val="24"/>
          <w:lang w:val="en-US"/>
        </w:rPr>
        <w:t>BIKTARVY</w:t>
      </w:r>
      <w:r w:rsidR="00A6786A" w:rsidRPr="000E1BC3">
        <w:rPr>
          <w:rFonts w:ascii="Times New Roman" w:hAnsi="Times New Roman"/>
          <w:noProof/>
          <w:sz w:val="24"/>
          <w:szCs w:val="24"/>
        </w:rPr>
        <w:t xml:space="preserve"> is taken orally once daily with or without food.</w:t>
      </w:r>
    </w:p>
    <w:p w:rsidR="00A6786A" w:rsidRPr="000E1BC3" w:rsidRDefault="00A6786A" w:rsidP="006769AE">
      <w:pPr>
        <w:ind w:firstLine="720"/>
        <w:jc w:val="both"/>
        <w:rPr>
          <w:rFonts w:ascii="Times New Roman" w:hAnsi="Times New Roman"/>
          <w:noProof/>
          <w:sz w:val="24"/>
          <w:szCs w:val="24"/>
        </w:rPr>
      </w:pPr>
    </w:p>
    <w:p w:rsidR="00A6786A" w:rsidRPr="000E1BC3" w:rsidRDefault="002411DD" w:rsidP="00A53059">
      <w:pPr>
        <w:numPr>
          <w:ilvl w:val="0"/>
          <w:numId w:val="22"/>
        </w:numPr>
        <w:spacing w:after="120"/>
        <w:ind w:left="357" w:hanging="357"/>
        <w:jc w:val="both"/>
        <w:rPr>
          <w:rFonts w:ascii="Times New Roman" w:hAnsi="Times New Roman"/>
          <w:b/>
          <w:noProof/>
          <w:sz w:val="24"/>
          <w:szCs w:val="24"/>
        </w:rPr>
      </w:pPr>
      <w:r>
        <w:rPr>
          <w:rFonts w:ascii="Times New Roman" w:hAnsi="Times New Roman"/>
          <w:b/>
          <w:noProof/>
          <w:sz w:val="24"/>
          <w:szCs w:val="24"/>
        </w:rPr>
        <w:t>Dosage adjustment</w:t>
      </w:r>
    </w:p>
    <w:p w:rsidR="00CB7BB9" w:rsidRPr="000E1BC3" w:rsidRDefault="00CB7BB9" w:rsidP="00921C3E">
      <w:pPr>
        <w:rPr>
          <w:rFonts w:ascii="Times New Roman" w:hAnsi="Times New Roman"/>
          <w:noProof/>
          <w:sz w:val="24"/>
          <w:szCs w:val="24"/>
        </w:rPr>
      </w:pPr>
      <w:r w:rsidRPr="000E1BC3">
        <w:rPr>
          <w:rFonts w:ascii="Times New Roman" w:hAnsi="Times New Roman"/>
          <w:b/>
          <w:i/>
          <w:noProof/>
          <w:sz w:val="24"/>
          <w:szCs w:val="24"/>
          <w:lang w:val="en-US"/>
        </w:rPr>
        <w:t>Children:</w:t>
      </w:r>
      <w:r w:rsidRPr="000E1BC3">
        <w:rPr>
          <w:rFonts w:ascii="Times New Roman" w:hAnsi="Times New Roman"/>
          <w:noProof/>
          <w:sz w:val="24"/>
          <w:szCs w:val="24"/>
          <w:lang w:val="en-US"/>
        </w:rPr>
        <w:t xml:space="preserve"> Insufficient data are available on which to recommend admin</w:t>
      </w:r>
      <w:r w:rsidR="003B7956">
        <w:rPr>
          <w:rFonts w:ascii="Times New Roman" w:hAnsi="Times New Roman"/>
          <w:noProof/>
          <w:sz w:val="24"/>
          <w:szCs w:val="24"/>
          <w:lang w:val="en-US"/>
        </w:rPr>
        <w:t>i</w:t>
      </w:r>
      <w:r w:rsidRPr="000E1BC3">
        <w:rPr>
          <w:rFonts w:ascii="Times New Roman" w:hAnsi="Times New Roman"/>
          <w:noProof/>
          <w:sz w:val="24"/>
          <w:szCs w:val="24"/>
          <w:lang w:val="en-US"/>
        </w:rPr>
        <w:t>stration to p</w:t>
      </w:r>
      <w:r w:rsidR="00921C3E" w:rsidRPr="000E1BC3">
        <w:rPr>
          <w:rFonts w:ascii="Times New Roman" w:hAnsi="Times New Roman"/>
          <w:noProof/>
          <w:sz w:val="24"/>
          <w:szCs w:val="24"/>
          <w:lang w:val="en-US"/>
        </w:rPr>
        <w:t>a</w:t>
      </w:r>
      <w:r w:rsidRPr="000E1BC3">
        <w:rPr>
          <w:rFonts w:ascii="Times New Roman" w:hAnsi="Times New Roman"/>
          <w:noProof/>
          <w:sz w:val="24"/>
          <w:szCs w:val="24"/>
          <w:lang w:val="en-US"/>
        </w:rPr>
        <w:t>ediatric patients less than 18 years of age.</w:t>
      </w:r>
    </w:p>
    <w:p w:rsidR="00CB7BB9" w:rsidRPr="000E1BC3" w:rsidRDefault="00CB7BB9" w:rsidP="00A6786A">
      <w:pPr>
        <w:jc w:val="both"/>
        <w:rPr>
          <w:rFonts w:ascii="Times New Roman" w:hAnsi="Times New Roman"/>
          <w:b/>
          <w:i/>
          <w:noProof/>
          <w:sz w:val="24"/>
          <w:szCs w:val="24"/>
        </w:rPr>
      </w:pPr>
    </w:p>
    <w:p w:rsidR="00A6786A" w:rsidRPr="000E1BC3" w:rsidRDefault="00A6786A" w:rsidP="00A6786A">
      <w:pPr>
        <w:jc w:val="both"/>
        <w:rPr>
          <w:rFonts w:ascii="Times New Roman" w:hAnsi="Times New Roman"/>
          <w:i/>
          <w:noProof/>
          <w:sz w:val="24"/>
          <w:szCs w:val="24"/>
        </w:rPr>
      </w:pPr>
      <w:r w:rsidRPr="000E1BC3">
        <w:rPr>
          <w:rFonts w:ascii="Times New Roman" w:hAnsi="Times New Roman"/>
          <w:b/>
          <w:i/>
          <w:noProof/>
          <w:sz w:val="24"/>
          <w:szCs w:val="24"/>
        </w:rPr>
        <w:t>Elderly:</w:t>
      </w:r>
      <w:r w:rsidRPr="000E1BC3">
        <w:rPr>
          <w:rFonts w:ascii="Times New Roman" w:hAnsi="Times New Roman"/>
          <w:i/>
          <w:noProof/>
          <w:sz w:val="24"/>
          <w:szCs w:val="24"/>
        </w:rPr>
        <w:t xml:space="preserve"> </w:t>
      </w:r>
      <w:r w:rsidRPr="000E1BC3">
        <w:rPr>
          <w:rFonts w:ascii="Times New Roman" w:hAnsi="Times New Roman"/>
          <w:noProof/>
          <w:sz w:val="24"/>
          <w:szCs w:val="24"/>
          <w:lang w:val="en-US"/>
        </w:rPr>
        <w:t xml:space="preserve">No dose adjustment is required for elderly patients.  </w:t>
      </w:r>
    </w:p>
    <w:p w:rsidR="00A6786A" w:rsidRPr="000E1BC3" w:rsidRDefault="00A6786A" w:rsidP="00A6786A">
      <w:pPr>
        <w:jc w:val="both"/>
        <w:rPr>
          <w:rFonts w:ascii="Times New Roman" w:hAnsi="Times New Roman"/>
          <w:i/>
          <w:noProof/>
          <w:sz w:val="24"/>
          <w:szCs w:val="24"/>
        </w:rPr>
      </w:pPr>
    </w:p>
    <w:p w:rsidR="00A6786A" w:rsidRPr="000E1BC3" w:rsidRDefault="00A6786A" w:rsidP="00A6786A">
      <w:pPr>
        <w:jc w:val="both"/>
        <w:rPr>
          <w:rFonts w:ascii="Times New Roman" w:hAnsi="Times New Roman"/>
          <w:noProof/>
          <w:sz w:val="24"/>
          <w:szCs w:val="24"/>
          <w:lang w:val="en-US"/>
        </w:rPr>
      </w:pPr>
      <w:r w:rsidRPr="000E1BC3">
        <w:rPr>
          <w:rFonts w:ascii="Times New Roman" w:hAnsi="Times New Roman"/>
          <w:b/>
          <w:i/>
          <w:noProof/>
          <w:sz w:val="24"/>
          <w:szCs w:val="24"/>
        </w:rPr>
        <w:t>Renal impairment:</w:t>
      </w:r>
      <w:r w:rsidRPr="000E1BC3">
        <w:rPr>
          <w:rFonts w:ascii="Times New Roman" w:hAnsi="Times New Roman"/>
          <w:noProof/>
          <w:sz w:val="24"/>
          <w:szCs w:val="24"/>
        </w:rPr>
        <w:t xml:space="preserve"> </w:t>
      </w:r>
      <w:r w:rsidRPr="000E1BC3">
        <w:rPr>
          <w:rFonts w:ascii="Times New Roman" w:hAnsi="Times New Roman"/>
          <w:noProof/>
          <w:sz w:val="24"/>
          <w:szCs w:val="24"/>
          <w:lang w:val="en-US"/>
        </w:rPr>
        <w:t xml:space="preserve">No dose adjustment of </w:t>
      </w:r>
      <w:r w:rsidR="002F43D2">
        <w:rPr>
          <w:rFonts w:ascii="Times New Roman" w:hAnsi="Times New Roman"/>
          <w:sz w:val="24"/>
          <w:lang w:val="en-US"/>
        </w:rPr>
        <w:t>BIKTARVY</w:t>
      </w:r>
      <w:r w:rsidRPr="000E1BC3">
        <w:rPr>
          <w:rFonts w:ascii="Times New Roman" w:hAnsi="Times New Roman"/>
          <w:noProof/>
          <w:sz w:val="24"/>
          <w:szCs w:val="24"/>
          <w:lang w:val="en-US"/>
        </w:rPr>
        <w:t xml:space="preserve"> is required in adult patients with estimated creatinine clearance greater than or equal to 30 mL per minute.   </w:t>
      </w:r>
    </w:p>
    <w:p w:rsidR="00A6786A" w:rsidRPr="000E1BC3" w:rsidRDefault="00A6786A" w:rsidP="00A6786A">
      <w:pPr>
        <w:jc w:val="both"/>
        <w:rPr>
          <w:rFonts w:ascii="Times New Roman" w:hAnsi="Times New Roman"/>
          <w:noProof/>
          <w:sz w:val="24"/>
          <w:szCs w:val="24"/>
          <w:lang w:val="en-US"/>
        </w:rPr>
      </w:pPr>
    </w:p>
    <w:p w:rsidR="00A6786A" w:rsidRPr="00F731ED" w:rsidRDefault="00A6786A" w:rsidP="00921C3E">
      <w:pPr>
        <w:rPr>
          <w:rFonts w:ascii="Times New Roman" w:hAnsi="Times New Roman"/>
          <w:noProof/>
          <w:sz w:val="24"/>
          <w:szCs w:val="24"/>
          <w:lang w:val="en-US"/>
        </w:rPr>
      </w:pPr>
      <w:r w:rsidRPr="000E1BC3">
        <w:rPr>
          <w:rFonts w:ascii="Times New Roman" w:hAnsi="Times New Roman"/>
          <w:sz w:val="24"/>
          <w:lang w:val="en-US"/>
        </w:rPr>
        <w:lastRenderedPageBreak/>
        <w:t xml:space="preserve">Initiation of </w:t>
      </w:r>
      <w:r w:rsidR="002F43D2">
        <w:rPr>
          <w:rFonts w:ascii="Times New Roman" w:hAnsi="Times New Roman"/>
          <w:sz w:val="24"/>
          <w:lang w:val="en-US"/>
        </w:rPr>
        <w:t>BIKTARVY</w:t>
      </w:r>
      <w:r w:rsidRPr="000E1BC3">
        <w:rPr>
          <w:rFonts w:ascii="Times New Roman" w:hAnsi="Times New Roman"/>
          <w:noProof/>
          <w:sz w:val="24"/>
          <w:szCs w:val="24"/>
          <w:lang w:val="en-US"/>
        </w:rPr>
        <w:t xml:space="preserve"> is not recommended in patients with estimated creatinine clearance below 30 mL per minute as there are insufficient data available regarding the use of </w:t>
      </w:r>
      <w:r w:rsidR="002F43D2">
        <w:rPr>
          <w:rFonts w:ascii="Times New Roman" w:hAnsi="Times New Roman"/>
          <w:sz w:val="24"/>
          <w:lang w:val="en-US"/>
        </w:rPr>
        <w:t>BIKTARVY</w:t>
      </w:r>
      <w:r w:rsidRPr="000E1BC3">
        <w:rPr>
          <w:rFonts w:ascii="Times New Roman" w:hAnsi="Times New Roman"/>
          <w:noProof/>
          <w:sz w:val="24"/>
          <w:szCs w:val="24"/>
          <w:lang w:val="en-US"/>
        </w:rPr>
        <w:t xml:space="preserve"> in this population.</w:t>
      </w:r>
    </w:p>
    <w:p w:rsidR="00A6786A" w:rsidRPr="000E1BC3" w:rsidRDefault="00A6786A" w:rsidP="00921C3E">
      <w:pPr>
        <w:rPr>
          <w:rFonts w:ascii="Times New Roman" w:hAnsi="Times New Roman"/>
          <w:noProof/>
          <w:sz w:val="24"/>
          <w:szCs w:val="24"/>
        </w:rPr>
      </w:pPr>
      <w:r w:rsidRPr="000E1BC3">
        <w:rPr>
          <w:rFonts w:ascii="Times New Roman" w:hAnsi="Times New Roman"/>
          <w:b/>
          <w:i/>
          <w:noProof/>
          <w:sz w:val="24"/>
          <w:szCs w:val="24"/>
        </w:rPr>
        <w:t>Hepatic Impairment</w:t>
      </w:r>
      <w:r w:rsidRPr="000E1BC3">
        <w:rPr>
          <w:rFonts w:ascii="Times New Roman" w:hAnsi="Times New Roman"/>
          <w:b/>
          <w:noProof/>
          <w:sz w:val="24"/>
          <w:szCs w:val="24"/>
        </w:rPr>
        <w:t>:</w:t>
      </w:r>
      <w:r w:rsidRPr="000E1BC3">
        <w:rPr>
          <w:lang w:val="en-US"/>
        </w:rPr>
        <w:t xml:space="preserve"> </w:t>
      </w:r>
      <w:r w:rsidRPr="000E1BC3">
        <w:rPr>
          <w:rFonts w:ascii="Times New Roman" w:hAnsi="Times New Roman"/>
          <w:noProof/>
          <w:sz w:val="24"/>
          <w:szCs w:val="24"/>
          <w:lang w:val="en-US"/>
        </w:rPr>
        <w:t xml:space="preserve">No dose adjustment of </w:t>
      </w:r>
      <w:r w:rsidR="002F43D2">
        <w:rPr>
          <w:rFonts w:ascii="Times New Roman" w:hAnsi="Times New Roman"/>
          <w:sz w:val="24"/>
          <w:lang w:val="en-US"/>
        </w:rPr>
        <w:t>BIKTARVY</w:t>
      </w:r>
      <w:r w:rsidRPr="000E1BC3">
        <w:rPr>
          <w:rFonts w:ascii="Times New Roman" w:hAnsi="Times New Roman"/>
          <w:noProof/>
          <w:sz w:val="24"/>
          <w:szCs w:val="24"/>
          <w:lang w:val="en-US"/>
        </w:rPr>
        <w:t xml:space="preserve"> is required in patients with mild (Child-Pugh Class A) or moderate (Child-Pugh Class B) hepatic impairment. </w:t>
      </w:r>
      <w:r w:rsidR="002F43D2">
        <w:rPr>
          <w:rFonts w:ascii="Times New Roman" w:hAnsi="Times New Roman"/>
          <w:sz w:val="24"/>
          <w:lang w:val="en-US"/>
        </w:rPr>
        <w:t>BIKTARVY</w:t>
      </w:r>
      <w:r w:rsidRPr="000E1BC3">
        <w:rPr>
          <w:rFonts w:ascii="Times New Roman" w:hAnsi="Times New Roman"/>
          <w:noProof/>
          <w:sz w:val="24"/>
          <w:szCs w:val="24"/>
          <w:lang w:val="en-US"/>
        </w:rPr>
        <w:t xml:space="preserve"> has not been studied in patients with severe hepatic impairment (Child-Pugh Class C) (see </w:t>
      </w:r>
      <w:r w:rsidR="00D84B4B" w:rsidRPr="000E1BC3">
        <w:rPr>
          <w:rFonts w:ascii="Times New Roman" w:hAnsi="Times New Roman"/>
          <w:noProof/>
          <w:sz w:val="24"/>
          <w:szCs w:val="24"/>
          <w:lang w:val="en-US"/>
        </w:rPr>
        <w:t xml:space="preserve">Section 5.2 </w:t>
      </w:r>
      <w:r w:rsidR="002F4B7F" w:rsidRPr="000E1BC3">
        <w:rPr>
          <w:rFonts w:ascii="Times New Roman" w:hAnsi="Times New Roman"/>
          <w:noProof/>
          <w:sz w:val="24"/>
          <w:szCs w:val="24"/>
          <w:lang w:val="en-US"/>
        </w:rPr>
        <w:t xml:space="preserve">Pharmacokinetic </w:t>
      </w:r>
      <w:r w:rsidRPr="000E1BC3">
        <w:rPr>
          <w:rFonts w:ascii="Times New Roman" w:hAnsi="Times New Roman"/>
          <w:noProof/>
          <w:sz w:val="24"/>
          <w:szCs w:val="24"/>
          <w:lang w:val="en-US"/>
        </w:rPr>
        <w:t>Properties: Pharmacokinetics in Special Populations).</w:t>
      </w:r>
    </w:p>
    <w:p w:rsidR="00D94439" w:rsidRPr="000E1BC3" w:rsidRDefault="00D94439" w:rsidP="00FE6F9D">
      <w:pPr>
        <w:rPr>
          <w:rFonts w:ascii="Times New Roman" w:hAnsi="Times New Roman"/>
          <w:b/>
          <w:noProof/>
          <w:sz w:val="24"/>
          <w:szCs w:val="24"/>
        </w:rPr>
      </w:pPr>
    </w:p>
    <w:p w:rsidR="00A6786A" w:rsidRPr="000E1BC3" w:rsidRDefault="00A6786A" w:rsidP="00BC41C2">
      <w:pPr>
        <w:spacing w:after="120"/>
        <w:rPr>
          <w:rFonts w:ascii="Times New Roman" w:hAnsi="Times New Roman"/>
          <w:b/>
          <w:noProof/>
          <w:sz w:val="24"/>
          <w:szCs w:val="24"/>
        </w:rPr>
      </w:pPr>
      <w:r w:rsidRPr="000E1BC3">
        <w:rPr>
          <w:rFonts w:ascii="Times New Roman" w:hAnsi="Times New Roman"/>
          <w:b/>
          <w:noProof/>
          <w:sz w:val="24"/>
          <w:szCs w:val="24"/>
        </w:rPr>
        <w:t>4.3 CONTRAINDICATIONS</w:t>
      </w:r>
    </w:p>
    <w:p w:rsidR="00A6786A" w:rsidRPr="000E1BC3" w:rsidRDefault="002F43D2" w:rsidP="00921C3E">
      <w:pPr>
        <w:rPr>
          <w:rFonts w:ascii="Times New Roman" w:hAnsi="Times New Roman"/>
          <w:noProof/>
          <w:sz w:val="24"/>
          <w:szCs w:val="24"/>
        </w:rPr>
      </w:pPr>
      <w:r>
        <w:rPr>
          <w:rFonts w:ascii="Times New Roman" w:hAnsi="Times New Roman"/>
          <w:noProof/>
          <w:sz w:val="24"/>
          <w:szCs w:val="24"/>
        </w:rPr>
        <w:t>BIKTARVY</w:t>
      </w:r>
      <w:r w:rsidR="00A6786A" w:rsidRPr="000E1BC3">
        <w:rPr>
          <w:rFonts w:ascii="Times New Roman" w:hAnsi="Times New Roman"/>
          <w:noProof/>
          <w:sz w:val="24"/>
          <w:szCs w:val="24"/>
        </w:rPr>
        <w:t xml:space="preserve"> is contraindicated in patients with known hypersensitivity to BIC, FTC, TAF or to any of the excipients.</w:t>
      </w:r>
    </w:p>
    <w:p w:rsidR="00A6786A" w:rsidRPr="000E1BC3" w:rsidRDefault="00A6786A" w:rsidP="00921C3E">
      <w:pPr>
        <w:ind w:left="567" w:hanging="567"/>
        <w:outlineLvl w:val="0"/>
        <w:rPr>
          <w:rFonts w:ascii="Times New Roman" w:hAnsi="Times New Roman"/>
          <w:noProof/>
          <w:sz w:val="24"/>
          <w:szCs w:val="24"/>
          <w:lang w:val="en-US"/>
        </w:rPr>
      </w:pPr>
    </w:p>
    <w:p w:rsidR="00A6786A" w:rsidRPr="000E1BC3" w:rsidRDefault="00A6786A" w:rsidP="00921C3E">
      <w:pPr>
        <w:outlineLvl w:val="0"/>
        <w:rPr>
          <w:rFonts w:ascii="Times New Roman" w:hAnsi="Times New Roman"/>
          <w:noProof/>
          <w:sz w:val="24"/>
          <w:szCs w:val="24"/>
          <w:lang w:val="en-US"/>
        </w:rPr>
      </w:pPr>
      <w:r w:rsidRPr="000E1BC3">
        <w:rPr>
          <w:rFonts w:ascii="Times New Roman" w:hAnsi="Times New Roman"/>
          <w:noProof/>
          <w:sz w:val="24"/>
          <w:szCs w:val="24"/>
          <w:lang w:val="en-US"/>
        </w:rPr>
        <w:t>Coadministration with dofetilide is contraindicated due to the potential for increased dofetilide plasma concentrations and associated serious and/or life-threatening events.</w:t>
      </w:r>
    </w:p>
    <w:p w:rsidR="00A6786A" w:rsidRPr="000E1BC3" w:rsidRDefault="00A6786A" w:rsidP="00921C3E">
      <w:pPr>
        <w:outlineLvl w:val="0"/>
        <w:rPr>
          <w:rFonts w:ascii="Times New Roman" w:hAnsi="Times New Roman"/>
          <w:noProof/>
          <w:sz w:val="24"/>
          <w:szCs w:val="24"/>
          <w:lang w:val="en-US"/>
        </w:rPr>
      </w:pPr>
    </w:p>
    <w:p w:rsidR="00A6786A" w:rsidRPr="000E1BC3" w:rsidRDefault="00A6786A" w:rsidP="00921C3E">
      <w:pPr>
        <w:outlineLvl w:val="0"/>
        <w:rPr>
          <w:rFonts w:ascii="Times New Roman" w:hAnsi="Times New Roman"/>
          <w:noProof/>
          <w:sz w:val="24"/>
          <w:szCs w:val="24"/>
          <w:lang w:val="en-US"/>
        </w:rPr>
      </w:pPr>
      <w:r w:rsidRPr="000E1BC3">
        <w:rPr>
          <w:rFonts w:ascii="Times New Roman" w:hAnsi="Times New Roman"/>
          <w:noProof/>
          <w:sz w:val="24"/>
          <w:szCs w:val="24"/>
          <w:lang w:val="en-US"/>
        </w:rPr>
        <w:t>Coadministration with rifampi</w:t>
      </w:r>
      <w:r w:rsidR="00D76FB5">
        <w:rPr>
          <w:rFonts w:ascii="Times New Roman" w:hAnsi="Times New Roman"/>
          <w:noProof/>
          <w:sz w:val="24"/>
          <w:szCs w:val="24"/>
          <w:lang w:val="en-US"/>
        </w:rPr>
        <w:t>ci</w:t>
      </w:r>
      <w:r w:rsidRPr="000E1BC3">
        <w:rPr>
          <w:rFonts w:ascii="Times New Roman" w:hAnsi="Times New Roman"/>
          <w:noProof/>
          <w:sz w:val="24"/>
          <w:szCs w:val="24"/>
          <w:lang w:val="en-US"/>
        </w:rPr>
        <w:t xml:space="preserve">n is contraindicated due to decreased BIC plasma concentrations, which may result in the loss of therapeutic effect and development of resistance to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w:t>
      </w:r>
    </w:p>
    <w:p w:rsidR="00A6786A" w:rsidRPr="000E1BC3" w:rsidRDefault="00A6786A" w:rsidP="00921C3E">
      <w:pPr>
        <w:ind w:left="567" w:hanging="567"/>
        <w:outlineLvl w:val="0"/>
        <w:rPr>
          <w:rFonts w:ascii="Times New Roman" w:hAnsi="Times New Roman"/>
          <w:noProof/>
          <w:sz w:val="24"/>
          <w:szCs w:val="24"/>
          <w:lang w:val="en-US"/>
        </w:rPr>
      </w:pPr>
    </w:p>
    <w:p w:rsidR="00A6786A" w:rsidRPr="000E1BC3" w:rsidRDefault="00A6786A" w:rsidP="00921C3E">
      <w:pPr>
        <w:rPr>
          <w:rFonts w:ascii="Times New Roman" w:hAnsi="Times New Roman"/>
          <w:noProof/>
          <w:sz w:val="24"/>
          <w:szCs w:val="24"/>
        </w:rPr>
      </w:pPr>
      <w:r w:rsidRPr="000E1BC3">
        <w:rPr>
          <w:rFonts w:ascii="Times New Roman" w:hAnsi="Times New Roman"/>
          <w:noProof/>
          <w:sz w:val="24"/>
          <w:szCs w:val="24"/>
        </w:rPr>
        <w:t xml:space="preserve">Please see Table </w:t>
      </w:r>
      <w:r w:rsidR="00A026BA" w:rsidRPr="000E1BC3">
        <w:rPr>
          <w:rFonts w:ascii="Times New Roman" w:hAnsi="Times New Roman"/>
          <w:noProof/>
          <w:sz w:val="24"/>
          <w:szCs w:val="24"/>
        </w:rPr>
        <w:t>4</w:t>
      </w:r>
      <w:r w:rsidRPr="000E1BC3">
        <w:rPr>
          <w:rFonts w:ascii="Times New Roman" w:hAnsi="Times New Roman"/>
          <w:noProof/>
          <w:sz w:val="24"/>
          <w:szCs w:val="24"/>
        </w:rPr>
        <w:t xml:space="preserve"> for Established and Other Potentially Significant Drug Interactions.  In addition, prescribing information for any drug coadministered with </w:t>
      </w:r>
      <w:r w:rsidR="002F43D2">
        <w:rPr>
          <w:rFonts w:ascii="Times New Roman" w:hAnsi="Times New Roman"/>
          <w:noProof/>
          <w:sz w:val="24"/>
          <w:szCs w:val="24"/>
        </w:rPr>
        <w:t>BIKTARVY</w:t>
      </w:r>
      <w:r w:rsidRPr="000E1BC3">
        <w:rPr>
          <w:rFonts w:ascii="Times New Roman" w:hAnsi="Times New Roman"/>
          <w:noProof/>
          <w:sz w:val="24"/>
          <w:szCs w:val="24"/>
        </w:rPr>
        <w:t xml:space="preserve"> should be consulted to exclude significant interaction or contraindication.</w:t>
      </w:r>
    </w:p>
    <w:p w:rsidR="00A6786A" w:rsidRPr="000E1BC3" w:rsidRDefault="00A6786A" w:rsidP="00FE6F9D">
      <w:pPr>
        <w:rPr>
          <w:rFonts w:ascii="Times New Roman" w:hAnsi="Times New Roman"/>
          <w:b/>
          <w:noProof/>
          <w:sz w:val="24"/>
          <w:szCs w:val="24"/>
        </w:rPr>
      </w:pPr>
    </w:p>
    <w:p w:rsidR="00A6786A" w:rsidRPr="000E1BC3" w:rsidRDefault="00A6786A" w:rsidP="003E4915">
      <w:pPr>
        <w:spacing w:before="120" w:after="120"/>
        <w:rPr>
          <w:rFonts w:ascii="Times New Roman" w:hAnsi="Times New Roman"/>
          <w:b/>
          <w:noProof/>
          <w:sz w:val="24"/>
          <w:szCs w:val="24"/>
        </w:rPr>
      </w:pPr>
      <w:r w:rsidRPr="000E1BC3">
        <w:rPr>
          <w:rFonts w:ascii="Times New Roman" w:hAnsi="Times New Roman"/>
          <w:b/>
          <w:noProof/>
          <w:sz w:val="24"/>
          <w:szCs w:val="24"/>
        </w:rPr>
        <w:t xml:space="preserve">4.4 </w:t>
      </w:r>
      <w:r w:rsidR="009110D7">
        <w:rPr>
          <w:rFonts w:ascii="Times New Roman" w:hAnsi="Times New Roman"/>
          <w:b/>
          <w:noProof/>
          <w:sz w:val="24"/>
          <w:szCs w:val="24"/>
        </w:rPr>
        <w:t xml:space="preserve">SPECIAL WARNINGS AND </w:t>
      </w:r>
      <w:r w:rsidRPr="000E1BC3">
        <w:rPr>
          <w:rFonts w:ascii="Times New Roman" w:hAnsi="Times New Roman"/>
          <w:b/>
          <w:noProof/>
          <w:sz w:val="24"/>
          <w:szCs w:val="24"/>
        </w:rPr>
        <w:t>PRECAUTIONS</w:t>
      </w:r>
      <w:r w:rsidR="009110D7">
        <w:rPr>
          <w:rFonts w:ascii="Times New Roman" w:hAnsi="Times New Roman"/>
          <w:b/>
          <w:noProof/>
          <w:sz w:val="24"/>
          <w:szCs w:val="24"/>
        </w:rPr>
        <w:t xml:space="preserve"> FOR USE</w:t>
      </w:r>
    </w:p>
    <w:p w:rsidR="00A6786A" w:rsidRPr="000E1BC3" w:rsidRDefault="00A6786A" w:rsidP="00F53665">
      <w:pPr>
        <w:numPr>
          <w:ilvl w:val="0"/>
          <w:numId w:val="20"/>
        </w:numPr>
        <w:spacing w:after="120"/>
        <w:ind w:left="357" w:hanging="357"/>
        <w:jc w:val="both"/>
        <w:rPr>
          <w:rFonts w:ascii="Times New Roman" w:hAnsi="Times New Roman"/>
          <w:b/>
          <w:color w:val="000000"/>
          <w:sz w:val="24"/>
          <w:szCs w:val="24"/>
        </w:rPr>
      </w:pPr>
      <w:r w:rsidRPr="000E1BC3">
        <w:rPr>
          <w:rFonts w:ascii="Times New Roman" w:hAnsi="Times New Roman"/>
          <w:b/>
          <w:color w:val="000000"/>
          <w:sz w:val="24"/>
          <w:szCs w:val="24"/>
        </w:rPr>
        <w:t>General</w:t>
      </w:r>
    </w:p>
    <w:p w:rsidR="00A6786A" w:rsidRPr="000E1BC3" w:rsidRDefault="00A6786A" w:rsidP="00A6786A">
      <w:pPr>
        <w:rPr>
          <w:rFonts w:ascii="Times New Roman" w:hAnsi="Times New Roman"/>
          <w:color w:val="000000"/>
          <w:sz w:val="24"/>
          <w:szCs w:val="24"/>
        </w:rPr>
      </w:pPr>
      <w:r w:rsidRPr="000E1BC3">
        <w:rPr>
          <w:rFonts w:ascii="Times New Roman" w:hAnsi="Times New Roman"/>
          <w:color w:val="000000"/>
          <w:sz w:val="24"/>
          <w:szCs w:val="24"/>
        </w:rPr>
        <w:t xml:space="preserve">Patients receiving </w:t>
      </w:r>
      <w:r w:rsidR="002F43D2">
        <w:rPr>
          <w:rFonts w:ascii="Times New Roman" w:hAnsi="Times New Roman"/>
          <w:noProof/>
          <w:sz w:val="24"/>
          <w:szCs w:val="24"/>
        </w:rPr>
        <w:t>BIKTARVY</w:t>
      </w:r>
      <w:r w:rsidRPr="000E1BC3">
        <w:rPr>
          <w:rFonts w:ascii="Times New Roman" w:hAnsi="Times New Roman"/>
          <w:color w:val="000000"/>
          <w:sz w:val="24"/>
          <w:szCs w:val="24"/>
        </w:rPr>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A6786A" w:rsidRPr="000E1BC3" w:rsidRDefault="00A6786A" w:rsidP="00A6786A">
      <w:pPr>
        <w:rPr>
          <w:rFonts w:ascii="Times New Roman" w:hAnsi="Times New Roman"/>
          <w:color w:val="000000"/>
          <w:sz w:val="24"/>
          <w:szCs w:val="24"/>
        </w:rPr>
      </w:pPr>
    </w:p>
    <w:p w:rsidR="00A6786A" w:rsidRPr="000E1BC3" w:rsidRDefault="00A6786A" w:rsidP="00A6786A">
      <w:pPr>
        <w:rPr>
          <w:rFonts w:ascii="Times New Roman" w:hAnsi="Times New Roman"/>
          <w:color w:val="000000"/>
          <w:sz w:val="24"/>
          <w:szCs w:val="24"/>
        </w:rPr>
      </w:pPr>
      <w:r w:rsidRPr="000E1BC3">
        <w:rPr>
          <w:rFonts w:ascii="Times New Roman" w:hAnsi="Times New Roman"/>
          <w:color w:val="000000"/>
          <w:sz w:val="24"/>
          <w:szCs w:val="24"/>
        </w:rPr>
        <w:t xml:space="preserve">While effective viral suppression with antiretroviral therapy has been proven to substantially reduce the risk of HIV transmission, a residual risk cannot be excluded.  Appropriate precautions must continue to be used.  Patients should also be informed that </w:t>
      </w:r>
      <w:r w:rsidR="002F43D2">
        <w:rPr>
          <w:rFonts w:ascii="Times New Roman" w:hAnsi="Times New Roman"/>
          <w:noProof/>
          <w:sz w:val="24"/>
          <w:szCs w:val="24"/>
        </w:rPr>
        <w:t>BIKTARVY</w:t>
      </w:r>
      <w:r w:rsidRPr="000E1BC3">
        <w:rPr>
          <w:rFonts w:ascii="Times New Roman" w:hAnsi="Times New Roman"/>
          <w:color w:val="000000"/>
          <w:sz w:val="24"/>
          <w:szCs w:val="24"/>
        </w:rPr>
        <w:t xml:space="preserve"> is not a cure for HIV infection.</w:t>
      </w:r>
    </w:p>
    <w:p w:rsidR="00A6786A" w:rsidRPr="000E1BC3" w:rsidRDefault="00A6786A" w:rsidP="00A6786A">
      <w:pPr>
        <w:rPr>
          <w:rFonts w:ascii="Times New Roman" w:hAnsi="Times New Roman"/>
          <w:b/>
          <w:color w:val="000000"/>
          <w:sz w:val="24"/>
          <w:szCs w:val="24"/>
        </w:rPr>
      </w:pPr>
    </w:p>
    <w:p w:rsidR="00A6786A" w:rsidRPr="000E1BC3" w:rsidRDefault="00A6786A" w:rsidP="00A53059">
      <w:pPr>
        <w:pStyle w:val="text1Char0"/>
        <w:numPr>
          <w:ilvl w:val="0"/>
          <w:numId w:val="20"/>
        </w:numPr>
        <w:spacing w:before="120" w:after="120"/>
        <w:ind w:left="357" w:hanging="357"/>
        <w:rPr>
          <w:rFonts w:ascii="Times New Roman" w:hAnsi="Times New Roman"/>
          <w:b/>
          <w:snapToGrid w:val="0"/>
          <w:szCs w:val="24"/>
        </w:rPr>
      </w:pPr>
      <w:r w:rsidRPr="000E1BC3">
        <w:rPr>
          <w:rFonts w:ascii="Times New Roman" w:hAnsi="Times New Roman"/>
          <w:b/>
          <w:snapToGrid w:val="0"/>
          <w:szCs w:val="24"/>
        </w:rPr>
        <w:t xml:space="preserve">HIV and Hepatitis B Virus (HBV) Co-infection  </w:t>
      </w:r>
    </w:p>
    <w:p w:rsidR="00A6786A" w:rsidRDefault="00A6786A" w:rsidP="00A6786A">
      <w:pPr>
        <w:autoSpaceDE w:val="0"/>
        <w:autoSpaceDN w:val="0"/>
        <w:adjustRightInd w:val="0"/>
        <w:rPr>
          <w:rFonts w:ascii="Times New Roman" w:hAnsi="Times New Roman"/>
          <w:sz w:val="24"/>
          <w:szCs w:val="24"/>
        </w:rPr>
      </w:pPr>
      <w:r w:rsidRPr="000E1BC3">
        <w:rPr>
          <w:rFonts w:ascii="Times New Roman" w:hAnsi="Times New Roman"/>
          <w:sz w:val="24"/>
          <w:szCs w:val="24"/>
        </w:rPr>
        <w:t xml:space="preserve">Discontinuation of </w:t>
      </w:r>
      <w:r w:rsidR="002F43D2">
        <w:rPr>
          <w:rFonts w:ascii="Times New Roman" w:hAnsi="Times New Roman"/>
          <w:noProof/>
          <w:sz w:val="24"/>
          <w:szCs w:val="24"/>
        </w:rPr>
        <w:t>BIKTARVY</w:t>
      </w:r>
      <w:r w:rsidRPr="000E1BC3">
        <w:rPr>
          <w:rFonts w:ascii="Times New Roman" w:hAnsi="Times New Roman"/>
          <w:sz w:val="24"/>
          <w:szCs w:val="24"/>
        </w:rPr>
        <w:t xml:space="preserve"> therapy in patients co-infected with HIV-1 and HBV may be associated with severe acute exacerbations of hepatitis due to the FTC and </w:t>
      </w:r>
      <w:r w:rsidRPr="000E1BC3">
        <w:rPr>
          <w:rFonts w:ascii="Times New Roman" w:hAnsi="Times New Roman"/>
          <w:sz w:val="24"/>
          <w:szCs w:val="24"/>
          <w:lang w:val="en-US"/>
        </w:rPr>
        <w:t>TAF</w:t>
      </w:r>
      <w:r w:rsidRPr="000E1BC3">
        <w:rPr>
          <w:rFonts w:ascii="Times New Roman" w:hAnsi="Times New Roman"/>
          <w:sz w:val="24"/>
          <w:szCs w:val="24"/>
        </w:rPr>
        <w:t xml:space="preserve"> components of </w:t>
      </w:r>
      <w:r w:rsidR="002F43D2">
        <w:rPr>
          <w:rFonts w:ascii="Times New Roman" w:hAnsi="Times New Roman"/>
          <w:noProof/>
          <w:sz w:val="24"/>
          <w:szCs w:val="24"/>
        </w:rPr>
        <w:t>BIKTARVY</w:t>
      </w:r>
      <w:r w:rsidRPr="000E1BC3">
        <w:rPr>
          <w:rFonts w:ascii="Times New Roman" w:hAnsi="Times New Roman"/>
          <w:sz w:val="24"/>
          <w:szCs w:val="24"/>
        </w:rPr>
        <w:t xml:space="preserve">. Patients co-infected with HIV-1 and HBV should be closely monitored with both clinical and laboratory follow-up for at least several months after stopping </w:t>
      </w:r>
      <w:r w:rsidR="002F43D2">
        <w:rPr>
          <w:rFonts w:ascii="Times New Roman" w:hAnsi="Times New Roman"/>
          <w:noProof/>
          <w:sz w:val="24"/>
          <w:szCs w:val="24"/>
        </w:rPr>
        <w:t>BIKTARVY</w:t>
      </w:r>
      <w:r w:rsidRPr="000E1BC3">
        <w:rPr>
          <w:rFonts w:ascii="Times New Roman" w:hAnsi="Times New Roman"/>
          <w:sz w:val="24"/>
          <w:szCs w:val="24"/>
        </w:rPr>
        <w:t xml:space="preserve"> treatment.  If appropriate, anti-hepatitis B therapy may be warranted, especially in HBV co</w:t>
      </w:r>
      <w:r w:rsidR="0004205D" w:rsidRPr="000E1BC3">
        <w:rPr>
          <w:rFonts w:ascii="Times New Roman" w:hAnsi="Times New Roman"/>
          <w:sz w:val="24"/>
          <w:szCs w:val="24"/>
        </w:rPr>
        <w:t>-</w:t>
      </w:r>
      <w:r w:rsidRPr="000E1BC3">
        <w:rPr>
          <w:rFonts w:ascii="Times New Roman" w:hAnsi="Times New Roman"/>
          <w:sz w:val="24"/>
          <w:szCs w:val="24"/>
        </w:rPr>
        <w:t>infected patients with advanced liver disease or cirrhosis since post-treatment exacerbation of hepatitis may lead to hepatic decompensation</w:t>
      </w:r>
      <w:r w:rsidR="00AB56FA">
        <w:rPr>
          <w:rFonts w:ascii="Times New Roman" w:hAnsi="Times New Roman"/>
          <w:sz w:val="24"/>
          <w:szCs w:val="24"/>
        </w:rPr>
        <w:t>.</w:t>
      </w:r>
    </w:p>
    <w:p w:rsidR="001D505E" w:rsidRPr="000E1BC3" w:rsidRDefault="001D505E" w:rsidP="00A6786A">
      <w:pPr>
        <w:autoSpaceDE w:val="0"/>
        <w:autoSpaceDN w:val="0"/>
        <w:adjustRightInd w:val="0"/>
        <w:rPr>
          <w:rFonts w:ascii="Times New Roman" w:hAnsi="Times New Roman"/>
          <w:sz w:val="24"/>
          <w:szCs w:val="24"/>
          <w:lang w:val="en-US"/>
        </w:rPr>
      </w:pPr>
    </w:p>
    <w:p w:rsidR="00A6786A" w:rsidRPr="000E1BC3" w:rsidRDefault="00A6786A" w:rsidP="00A53059">
      <w:pPr>
        <w:numPr>
          <w:ilvl w:val="0"/>
          <w:numId w:val="20"/>
        </w:numPr>
        <w:autoSpaceDE w:val="0"/>
        <w:autoSpaceDN w:val="0"/>
        <w:adjustRightInd w:val="0"/>
        <w:spacing w:before="120" w:after="120"/>
        <w:ind w:left="357" w:hanging="357"/>
        <w:rPr>
          <w:rFonts w:ascii="Times New Roman" w:hAnsi="Times New Roman"/>
          <w:b/>
          <w:sz w:val="24"/>
          <w:szCs w:val="24"/>
          <w:lang w:val="en-US"/>
        </w:rPr>
      </w:pPr>
      <w:r w:rsidRPr="000E1BC3">
        <w:rPr>
          <w:rFonts w:ascii="Times New Roman" w:hAnsi="Times New Roman"/>
          <w:b/>
          <w:sz w:val="24"/>
          <w:szCs w:val="24"/>
          <w:lang w:val="en-US"/>
        </w:rPr>
        <w:t>Use with Other Antiretroviral Products</w:t>
      </w:r>
    </w:p>
    <w:p w:rsidR="00A6786A" w:rsidRPr="000E1BC3" w:rsidRDefault="002F43D2" w:rsidP="00A6786A">
      <w:pPr>
        <w:autoSpaceDE w:val="0"/>
        <w:autoSpaceDN w:val="0"/>
        <w:adjustRightInd w:val="0"/>
        <w:rPr>
          <w:rFonts w:ascii="Times New Roman" w:hAnsi="Times New Roman"/>
          <w:sz w:val="24"/>
          <w:szCs w:val="24"/>
          <w:lang w:val="en-US"/>
        </w:rPr>
      </w:pPr>
      <w:r>
        <w:rPr>
          <w:rFonts w:ascii="Times New Roman" w:hAnsi="Times New Roman"/>
          <w:noProof/>
          <w:sz w:val="24"/>
          <w:szCs w:val="24"/>
        </w:rPr>
        <w:t>BIKTARVY</w:t>
      </w:r>
      <w:r w:rsidR="00A6786A" w:rsidRPr="000E1BC3">
        <w:rPr>
          <w:rFonts w:ascii="Times New Roman" w:hAnsi="Times New Roman"/>
          <w:noProof/>
          <w:sz w:val="24"/>
          <w:szCs w:val="24"/>
        </w:rPr>
        <w:t xml:space="preserve"> should not be coadministered with products containing any of the same components, BIC, TAF or FTC; or with </w:t>
      </w:r>
      <w:r w:rsidR="00A6786A" w:rsidRPr="000E1BC3">
        <w:rPr>
          <w:rFonts w:ascii="Times New Roman" w:hAnsi="Times New Roman"/>
          <w:sz w:val="24"/>
          <w:szCs w:val="24"/>
          <w:lang w:val="en-US"/>
        </w:rPr>
        <w:t xml:space="preserve">products containing lamivudine or tenofovir </w:t>
      </w:r>
      <w:r w:rsidR="00A6786A" w:rsidRPr="000E1BC3">
        <w:rPr>
          <w:rFonts w:ascii="Times New Roman" w:hAnsi="Times New Roman"/>
          <w:sz w:val="24"/>
          <w:szCs w:val="24"/>
          <w:lang w:val="en-US"/>
        </w:rPr>
        <w:lastRenderedPageBreak/>
        <w:t xml:space="preserve">disoproxil fumarate (TDF). </w:t>
      </w:r>
      <w:r>
        <w:rPr>
          <w:rFonts w:ascii="Times New Roman" w:hAnsi="Times New Roman"/>
          <w:noProof/>
          <w:sz w:val="24"/>
          <w:szCs w:val="24"/>
        </w:rPr>
        <w:t>BIKTARVY</w:t>
      </w:r>
      <w:r w:rsidR="00A6786A" w:rsidRPr="000E1BC3">
        <w:rPr>
          <w:rFonts w:ascii="Times New Roman" w:hAnsi="Times New Roman"/>
          <w:sz w:val="24"/>
          <w:szCs w:val="24"/>
          <w:lang w:val="en-US"/>
        </w:rPr>
        <w:t xml:space="preserve"> should not be administered with adefovir dipivoxil.</w:t>
      </w:r>
    </w:p>
    <w:p w:rsidR="00A6786A" w:rsidRPr="002F34B8" w:rsidRDefault="00A6786A" w:rsidP="00A6786A">
      <w:pPr>
        <w:pStyle w:val="text1"/>
        <w:spacing w:after="0"/>
        <w:rPr>
          <w:szCs w:val="24"/>
          <w:lang w:val="en-AU"/>
        </w:rPr>
      </w:pPr>
    </w:p>
    <w:p w:rsidR="00A6786A" w:rsidRPr="000E1BC3" w:rsidRDefault="00A6786A" w:rsidP="00A53059">
      <w:pPr>
        <w:numPr>
          <w:ilvl w:val="0"/>
          <w:numId w:val="20"/>
        </w:numPr>
        <w:autoSpaceDE w:val="0"/>
        <w:autoSpaceDN w:val="0"/>
        <w:adjustRightInd w:val="0"/>
        <w:spacing w:before="120" w:after="120"/>
        <w:ind w:left="357" w:hanging="357"/>
        <w:rPr>
          <w:rFonts w:ascii="Times New Roman" w:hAnsi="Times New Roman"/>
          <w:b/>
          <w:bCs/>
          <w:sz w:val="24"/>
          <w:szCs w:val="24"/>
        </w:rPr>
      </w:pPr>
      <w:r w:rsidRPr="000E1BC3">
        <w:rPr>
          <w:rFonts w:ascii="Times New Roman" w:hAnsi="Times New Roman"/>
          <w:b/>
          <w:bCs/>
          <w:sz w:val="24"/>
          <w:szCs w:val="24"/>
        </w:rPr>
        <w:t>Immune Reconstitution Syndrome</w:t>
      </w:r>
    </w:p>
    <w:p w:rsidR="00A6786A" w:rsidRPr="000E1BC3" w:rsidRDefault="00A6786A" w:rsidP="00A6786A">
      <w:pPr>
        <w:autoSpaceDE w:val="0"/>
        <w:autoSpaceDN w:val="0"/>
        <w:adjustRightInd w:val="0"/>
        <w:rPr>
          <w:rFonts w:ascii="Times New Roman" w:hAnsi="Times New Roman"/>
          <w:sz w:val="24"/>
          <w:szCs w:val="24"/>
        </w:rPr>
      </w:pPr>
      <w:r w:rsidRPr="000E1BC3">
        <w:rPr>
          <w:rFonts w:ascii="Times New Roman" w:hAnsi="Times New Roman"/>
          <w:sz w:val="24"/>
          <w:szCs w:val="24"/>
        </w:rPr>
        <w:t xml:space="preserve">Immune reconstitution syndrome has been reported in patients treated with combination antiretroviral therapy, including FTC, </w:t>
      </w:r>
      <w:r w:rsidRPr="000E1BC3">
        <w:rPr>
          <w:rFonts w:ascii="Times New Roman" w:hAnsi="Times New Roman"/>
          <w:sz w:val="24"/>
          <w:szCs w:val="24"/>
          <w:lang w:val="en-US"/>
        </w:rPr>
        <w:t xml:space="preserve">a component of </w:t>
      </w:r>
      <w:r w:rsidR="002F43D2">
        <w:rPr>
          <w:rFonts w:ascii="Times New Roman" w:hAnsi="Times New Roman"/>
          <w:noProof/>
          <w:sz w:val="24"/>
          <w:szCs w:val="24"/>
        </w:rPr>
        <w:t>BIKTARVY</w:t>
      </w:r>
      <w:r w:rsidRPr="000E1BC3">
        <w:rPr>
          <w:rFonts w:ascii="Times New Roman" w:hAnsi="Times New Roman"/>
          <w:sz w:val="24"/>
          <w:szCs w:val="24"/>
        </w:rPr>
        <w:t>.  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include cytomegalovirus retinitis, generalised and/or focal mycobacterial infections</w:t>
      </w:r>
      <w:r w:rsidR="00151F87">
        <w:rPr>
          <w:rFonts w:ascii="Times New Roman" w:hAnsi="Times New Roman"/>
          <w:sz w:val="24"/>
          <w:szCs w:val="24"/>
        </w:rPr>
        <w:t>, HBV</w:t>
      </w:r>
      <w:r w:rsidRPr="000E1BC3">
        <w:rPr>
          <w:rFonts w:ascii="Times New Roman" w:hAnsi="Times New Roman"/>
          <w:sz w:val="24"/>
          <w:szCs w:val="24"/>
        </w:rPr>
        <w:t xml:space="preserve"> and </w:t>
      </w:r>
      <w:r w:rsidRPr="000E1BC3">
        <w:rPr>
          <w:rFonts w:ascii="Times New Roman" w:hAnsi="Times New Roman"/>
          <w:i/>
          <w:sz w:val="24"/>
          <w:szCs w:val="24"/>
        </w:rPr>
        <w:t>Pneumocystis jirovecii</w:t>
      </w:r>
      <w:r w:rsidRPr="000E1BC3">
        <w:rPr>
          <w:rFonts w:ascii="Times New Roman" w:hAnsi="Times New Roman"/>
          <w:sz w:val="24"/>
          <w:szCs w:val="24"/>
        </w:rPr>
        <w:t xml:space="preserve"> pneumonia.  Any inflammatory symptoms should be evaluated and treatment instituted when necessary.</w:t>
      </w:r>
    </w:p>
    <w:p w:rsidR="00A6786A" w:rsidRPr="000E1BC3" w:rsidRDefault="00A6786A" w:rsidP="00A6786A">
      <w:pPr>
        <w:autoSpaceDE w:val="0"/>
        <w:autoSpaceDN w:val="0"/>
        <w:adjustRightInd w:val="0"/>
        <w:rPr>
          <w:rFonts w:ascii="Times New Roman" w:hAnsi="Times New Roman"/>
          <w:sz w:val="24"/>
          <w:szCs w:val="24"/>
        </w:rPr>
      </w:pPr>
    </w:p>
    <w:p w:rsidR="00A6786A" w:rsidRDefault="00A6786A" w:rsidP="00A6786A">
      <w:pPr>
        <w:pStyle w:val="Default"/>
        <w:spacing w:after="240"/>
        <w:rPr>
          <w:color w:val="auto"/>
        </w:rPr>
      </w:pPr>
      <w:r w:rsidRPr="000E1BC3">
        <w:rPr>
          <w:color w:val="auto"/>
        </w:rPr>
        <w:t>Autoimmune disorders have also been reported to occur in the setting of immune reconstitution; however, the reported time to onset is more variable, and these events can occur many months after initiation of treatment.</w:t>
      </w:r>
    </w:p>
    <w:p w:rsidR="003F5301" w:rsidRPr="000E1BC3" w:rsidRDefault="003F5301" w:rsidP="00706577">
      <w:pPr>
        <w:numPr>
          <w:ilvl w:val="0"/>
          <w:numId w:val="20"/>
        </w:numPr>
        <w:spacing w:before="120" w:after="120"/>
        <w:ind w:left="357" w:hanging="357"/>
        <w:jc w:val="both"/>
        <w:rPr>
          <w:rFonts w:ascii="Times New Roman" w:hAnsi="Times New Roman"/>
          <w:b/>
          <w:sz w:val="24"/>
          <w:szCs w:val="24"/>
        </w:rPr>
      </w:pPr>
      <w:r w:rsidRPr="000E1BC3">
        <w:rPr>
          <w:rFonts w:ascii="Times New Roman" w:hAnsi="Times New Roman"/>
          <w:b/>
          <w:sz w:val="24"/>
          <w:szCs w:val="24"/>
        </w:rPr>
        <w:t>Paediatric Use</w:t>
      </w:r>
    </w:p>
    <w:p w:rsidR="003F5301" w:rsidRPr="000E1BC3" w:rsidRDefault="003F5301" w:rsidP="003F5301">
      <w:pPr>
        <w:jc w:val="both"/>
        <w:rPr>
          <w:rFonts w:ascii="Times New Roman" w:hAnsi="Times New Roman"/>
          <w:b/>
          <w:sz w:val="24"/>
          <w:szCs w:val="24"/>
        </w:rPr>
      </w:pPr>
      <w:r w:rsidRPr="000E1BC3">
        <w:rPr>
          <w:rFonts w:ascii="Times New Roman" w:hAnsi="Times New Roman"/>
          <w:sz w:val="24"/>
        </w:rPr>
        <w:t>Insufficient data are available on which to recommend administration to p</w:t>
      </w:r>
      <w:r w:rsidR="006D5DFE" w:rsidRPr="000E1BC3">
        <w:rPr>
          <w:rFonts w:ascii="Times New Roman" w:hAnsi="Times New Roman"/>
          <w:sz w:val="24"/>
        </w:rPr>
        <w:t>a</w:t>
      </w:r>
      <w:r w:rsidRPr="000E1BC3">
        <w:rPr>
          <w:rFonts w:ascii="Times New Roman" w:hAnsi="Times New Roman"/>
          <w:sz w:val="24"/>
        </w:rPr>
        <w:t>ediatric patients less than 18 years of age</w:t>
      </w:r>
      <w:r w:rsidRPr="000E1BC3">
        <w:rPr>
          <w:rFonts w:ascii="Times New Roman" w:hAnsi="Times New Roman"/>
        </w:rPr>
        <w:t>.</w:t>
      </w:r>
    </w:p>
    <w:p w:rsidR="003F5301" w:rsidRPr="000E1BC3" w:rsidRDefault="003F5301" w:rsidP="003F5301">
      <w:pPr>
        <w:jc w:val="both"/>
        <w:rPr>
          <w:rFonts w:ascii="Times New Roman" w:hAnsi="Times New Roman"/>
          <w:b/>
          <w:sz w:val="24"/>
          <w:szCs w:val="24"/>
        </w:rPr>
      </w:pPr>
    </w:p>
    <w:p w:rsidR="003F5301" w:rsidRPr="000E1BC3" w:rsidRDefault="003F5301" w:rsidP="00706577">
      <w:pPr>
        <w:widowControl w:val="0"/>
        <w:numPr>
          <w:ilvl w:val="0"/>
          <w:numId w:val="20"/>
        </w:numPr>
        <w:spacing w:before="120" w:after="120"/>
        <w:ind w:left="357" w:hanging="357"/>
        <w:rPr>
          <w:rFonts w:ascii="Times New Roman" w:hAnsi="Times New Roman"/>
          <w:color w:val="000000"/>
          <w:sz w:val="24"/>
          <w:szCs w:val="24"/>
        </w:rPr>
      </w:pPr>
      <w:r w:rsidRPr="000E1BC3">
        <w:rPr>
          <w:rFonts w:ascii="Times New Roman" w:hAnsi="Times New Roman"/>
          <w:b/>
          <w:color w:val="000000"/>
          <w:sz w:val="24"/>
          <w:szCs w:val="24"/>
        </w:rPr>
        <w:t>Use in the Elderly</w:t>
      </w:r>
    </w:p>
    <w:p w:rsidR="003F5301" w:rsidRPr="000E1BC3" w:rsidRDefault="003F5301" w:rsidP="003F5301">
      <w:pPr>
        <w:rPr>
          <w:rFonts w:ascii="Times New Roman" w:hAnsi="Times New Roman"/>
          <w:noProof/>
          <w:color w:val="FF0000"/>
          <w:sz w:val="24"/>
          <w:szCs w:val="24"/>
        </w:rPr>
      </w:pPr>
      <w:r w:rsidRPr="000E1BC3">
        <w:rPr>
          <w:rFonts w:ascii="Times New Roman" w:hAnsi="Times New Roman"/>
          <w:color w:val="000000"/>
          <w:sz w:val="24"/>
          <w:szCs w:val="24"/>
          <w:lang w:val="en-US"/>
        </w:rPr>
        <w:t xml:space="preserve">No dose adjustment of </w:t>
      </w:r>
      <w:r w:rsidR="002F43D2">
        <w:rPr>
          <w:rFonts w:ascii="Times New Roman" w:hAnsi="Times New Roman"/>
          <w:color w:val="000000"/>
          <w:sz w:val="24"/>
          <w:szCs w:val="24"/>
          <w:lang w:val="en-US"/>
        </w:rPr>
        <w:t>BIKTARVY</w:t>
      </w:r>
      <w:r w:rsidRPr="000E1BC3">
        <w:rPr>
          <w:rFonts w:ascii="Times New Roman" w:hAnsi="Times New Roman"/>
          <w:color w:val="000000"/>
          <w:sz w:val="24"/>
          <w:szCs w:val="24"/>
          <w:lang w:val="en-US"/>
        </w:rPr>
        <w:t xml:space="preserve"> is required for elderly patients.  </w:t>
      </w:r>
    </w:p>
    <w:p w:rsidR="003F5301" w:rsidRPr="000E1BC3" w:rsidRDefault="003F5301" w:rsidP="003F5301">
      <w:pPr>
        <w:ind w:left="567" w:hanging="567"/>
        <w:outlineLvl w:val="0"/>
        <w:rPr>
          <w:rFonts w:ascii="Times New Roman" w:hAnsi="Times New Roman"/>
          <w:b/>
          <w:noProof/>
          <w:sz w:val="24"/>
          <w:szCs w:val="24"/>
        </w:rPr>
      </w:pPr>
    </w:p>
    <w:p w:rsidR="003F5301" w:rsidRPr="000E1BC3" w:rsidRDefault="00014A05" w:rsidP="00706577">
      <w:pPr>
        <w:numPr>
          <w:ilvl w:val="0"/>
          <w:numId w:val="20"/>
        </w:numPr>
        <w:spacing w:before="120" w:after="120"/>
        <w:ind w:left="357" w:hanging="357"/>
        <w:outlineLvl w:val="0"/>
        <w:rPr>
          <w:rFonts w:ascii="Times New Roman" w:hAnsi="Times New Roman"/>
          <w:b/>
          <w:noProof/>
          <w:sz w:val="24"/>
          <w:szCs w:val="24"/>
        </w:rPr>
      </w:pPr>
      <w:r>
        <w:rPr>
          <w:rFonts w:ascii="Times New Roman" w:hAnsi="Times New Roman"/>
          <w:b/>
          <w:noProof/>
          <w:sz w:val="24"/>
          <w:szCs w:val="24"/>
        </w:rPr>
        <w:t xml:space="preserve">Use in </w:t>
      </w:r>
      <w:r w:rsidR="003F5301" w:rsidRPr="000E1BC3">
        <w:rPr>
          <w:rFonts w:ascii="Times New Roman" w:hAnsi="Times New Roman"/>
          <w:b/>
          <w:noProof/>
          <w:sz w:val="24"/>
          <w:szCs w:val="24"/>
        </w:rPr>
        <w:t>Renal Impairment</w:t>
      </w:r>
    </w:p>
    <w:p w:rsidR="003F5301" w:rsidRPr="000E1BC3" w:rsidRDefault="003F5301" w:rsidP="003F5301">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No dose adjustment of </w:t>
      </w:r>
      <w:r w:rsidR="002F43D2">
        <w:rPr>
          <w:rFonts w:ascii="Times New Roman" w:hAnsi="Times New Roman"/>
          <w:noProof/>
          <w:sz w:val="24"/>
          <w:szCs w:val="24"/>
        </w:rPr>
        <w:t>BIKTARVY</w:t>
      </w:r>
      <w:r w:rsidRPr="000E1BC3">
        <w:rPr>
          <w:rFonts w:ascii="Times New Roman" w:hAnsi="Times New Roman"/>
          <w:noProof/>
          <w:sz w:val="24"/>
          <w:szCs w:val="24"/>
          <w:lang w:val="en-US"/>
        </w:rPr>
        <w:t xml:space="preserve"> is required in adult patients with estimated creatinine clearance greater than or equal to 30 mL per min.  </w:t>
      </w:r>
    </w:p>
    <w:p w:rsidR="003F5301" w:rsidRPr="000E1BC3" w:rsidRDefault="003F5301" w:rsidP="003F5301">
      <w:pPr>
        <w:outlineLvl w:val="0"/>
        <w:rPr>
          <w:rFonts w:ascii="Times New Roman" w:hAnsi="Times New Roman"/>
          <w:noProof/>
          <w:sz w:val="24"/>
          <w:szCs w:val="24"/>
          <w:lang w:val="en-US"/>
        </w:rPr>
      </w:pPr>
    </w:p>
    <w:p w:rsidR="003F5301" w:rsidRPr="000E1BC3" w:rsidRDefault="00413580" w:rsidP="003F5301">
      <w:pPr>
        <w:outlineLvl w:val="0"/>
        <w:rPr>
          <w:rFonts w:ascii="Times New Roman" w:hAnsi="Times New Roman"/>
          <w:noProof/>
          <w:sz w:val="24"/>
          <w:szCs w:val="24"/>
          <w:lang w:val="en-US"/>
        </w:rPr>
      </w:pPr>
      <w:r w:rsidRPr="000E1BC3">
        <w:rPr>
          <w:rFonts w:ascii="Times New Roman" w:hAnsi="Times New Roman"/>
          <w:noProof/>
          <w:sz w:val="24"/>
          <w:szCs w:val="24"/>
        </w:rPr>
        <w:t xml:space="preserve">Initiation of </w:t>
      </w:r>
      <w:r w:rsidR="002F43D2">
        <w:rPr>
          <w:rFonts w:ascii="Times New Roman" w:hAnsi="Times New Roman"/>
          <w:noProof/>
          <w:sz w:val="24"/>
          <w:szCs w:val="24"/>
        </w:rPr>
        <w:t>BIKTARVY</w:t>
      </w:r>
      <w:r w:rsidR="003F5301" w:rsidRPr="000E1BC3">
        <w:rPr>
          <w:rFonts w:ascii="Times New Roman" w:hAnsi="Times New Roman"/>
          <w:noProof/>
          <w:sz w:val="24"/>
          <w:szCs w:val="24"/>
          <w:lang w:val="en-US"/>
        </w:rPr>
        <w:t xml:space="preserve"> </w:t>
      </w:r>
      <w:r w:rsidR="00A77238" w:rsidRPr="000E1BC3">
        <w:rPr>
          <w:rFonts w:ascii="Times New Roman" w:hAnsi="Times New Roman"/>
          <w:noProof/>
          <w:sz w:val="24"/>
          <w:szCs w:val="24"/>
          <w:lang w:val="en-US"/>
        </w:rPr>
        <w:t>i</w:t>
      </w:r>
      <w:r w:rsidR="003F5301" w:rsidRPr="000E1BC3">
        <w:rPr>
          <w:rFonts w:ascii="Times New Roman" w:hAnsi="Times New Roman"/>
          <w:noProof/>
          <w:sz w:val="24"/>
          <w:szCs w:val="24"/>
          <w:lang w:val="en-US"/>
        </w:rPr>
        <w:t xml:space="preserve">s not </w:t>
      </w:r>
      <w:r w:rsidR="00A77238" w:rsidRPr="000E1BC3">
        <w:rPr>
          <w:rFonts w:ascii="Times New Roman" w:hAnsi="Times New Roman"/>
          <w:noProof/>
          <w:sz w:val="24"/>
          <w:szCs w:val="24"/>
          <w:lang w:val="en-US"/>
        </w:rPr>
        <w:t>recommended</w:t>
      </w:r>
      <w:r w:rsidR="003F5301" w:rsidRPr="000E1BC3">
        <w:rPr>
          <w:rFonts w:ascii="Times New Roman" w:hAnsi="Times New Roman"/>
          <w:noProof/>
          <w:sz w:val="24"/>
          <w:szCs w:val="24"/>
          <w:lang w:val="en-US"/>
        </w:rPr>
        <w:t xml:space="preserve"> in patients with estimated creatinine clearance below 30 mL per minute as there are no data available regarding the use of </w:t>
      </w:r>
      <w:r w:rsidR="002F43D2">
        <w:rPr>
          <w:rFonts w:ascii="Times New Roman" w:hAnsi="Times New Roman"/>
          <w:noProof/>
          <w:sz w:val="24"/>
          <w:szCs w:val="24"/>
        </w:rPr>
        <w:t>BIKTARVY</w:t>
      </w:r>
      <w:r w:rsidR="003F5301" w:rsidRPr="000E1BC3">
        <w:rPr>
          <w:rFonts w:ascii="Times New Roman" w:hAnsi="Times New Roman"/>
          <w:noProof/>
          <w:sz w:val="24"/>
          <w:szCs w:val="24"/>
          <w:lang w:val="en-US"/>
        </w:rPr>
        <w:t xml:space="preserve"> in this population (see </w:t>
      </w:r>
      <w:r w:rsidR="00D84B4B" w:rsidRPr="000E1BC3">
        <w:rPr>
          <w:rFonts w:ascii="Times New Roman" w:hAnsi="Times New Roman"/>
          <w:noProof/>
          <w:sz w:val="24"/>
          <w:szCs w:val="24"/>
          <w:lang w:val="en-US"/>
        </w:rPr>
        <w:t xml:space="preserve">Section 4.2 Dose and </w:t>
      </w:r>
      <w:r w:rsidR="00346E0B">
        <w:rPr>
          <w:rFonts w:ascii="Times New Roman" w:hAnsi="Times New Roman"/>
          <w:noProof/>
          <w:sz w:val="24"/>
          <w:szCs w:val="24"/>
          <w:lang w:val="en-US"/>
        </w:rPr>
        <w:t>m</w:t>
      </w:r>
      <w:r w:rsidR="00014A05">
        <w:rPr>
          <w:rFonts w:ascii="Times New Roman" w:hAnsi="Times New Roman"/>
          <w:noProof/>
          <w:sz w:val="24"/>
          <w:szCs w:val="24"/>
          <w:lang w:val="en-US"/>
        </w:rPr>
        <w:t>ethod of administration)</w:t>
      </w:r>
      <w:r w:rsidR="003F5301" w:rsidRPr="000E1BC3">
        <w:rPr>
          <w:rFonts w:ascii="Times New Roman" w:hAnsi="Times New Roman"/>
          <w:noProof/>
          <w:sz w:val="24"/>
          <w:szCs w:val="24"/>
          <w:lang w:val="en-US"/>
        </w:rPr>
        <w:t xml:space="preserve">. </w:t>
      </w:r>
    </w:p>
    <w:p w:rsidR="003F5301" w:rsidRPr="000E1BC3" w:rsidRDefault="003F5301" w:rsidP="003F5301">
      <w:pPr>
        <w:outlineLvl w:val="0"/>
        <w:rPr>
          <w:rFonts w:ascii="Times New Roman" w:hAnsi="Times New Roman"/>
          <w:noProof/>
          <w:sz w:val="24"/>
          <w:szCs w:val="24"/>
          <w:lang w:val="en-US"/>
        </w:rPr>
      </w:pPr>
    </w:p>
    <w:p w:rsidR="003F5301" w:rsidRPr="000E1BC3" w:rsidRDefault="003F5301" w:rsidP="003F5301">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The safety, virologic, and immunologic responses of FTC+TAF was evaluated through </w:t>
      </w:r>
      <w:r w:rsidR="00303EFA" w:rsidRPr="000E1BC3">
        <w:rPr>
          <w:rFonts w:ascii="Times New Roman" w:hAnsi="Times New Roman"/>
          <w:noProof/>
          <w:sz w:val="24"/>
          <w:szCs w:val="24"/>
          <w:lang w:val="en-US"/>
        </w:rPr>
        <w:t xml:space="preserve">144 </w:t>
      </w:r>
      <w:r w:rsidRPr="000E1BC3">
        <w:rPr>
          <w:rFonts w:ascii="Times New Roman" w:hAnsi="Times New Roman"/>
          <w:noProof/>
          <w:sz w:val="24"/>
          <w:szCs w:val="24"/>
          <w:lang w:val="en-US"/>
        </w:rPr>
        <w:t xml:space="preserve">weeks in an open-label clinical study </w:t>
      </w:r>
      <w:r w:rsidR="003809BB">
        <w:rPr>
          <w:rFonts w:ascii="Times New Roman" w:hAnsi="Times New Roman"/>
          <w:noProof/>
          <w:sz w:val="24"/>
          <w:szCs w:val="24"/>
          <w:lang w:val="en-US"/>
        </w:rPr>
        <w:t xml:space="preserve">GS-US-292-0112 </w:t>
      </w:r>
      <w:r w:rsidRPr="000E1BC3">
        <w:rPr>
          <w:rFonts w:ascii="Times New Roman" w:hAnsi="Times New Roman"/>
          <w:noProof/>
          <w:sz w:val="24"/>
          <w:szCs w:val="24"/>
          <w:lang w:val="en-US"/>
        </w:rPr>
        <w:t>(Study 0112) in which 248 HIV-1 infected adult patients who were either treatment-naïve (N=6) or virologically suppressed (N=242) with mild to moderate renal impairment (eGFR by Cockcroft-Gault method 30 - 69 mL per min) received FTC+TAF in combination with EVG+COBI as a fixed-dose combination tablet.  The safety profile of FTC+TAF in patients with mild to moderate renal impairment was similar to safety data that from patients with normal renal function.</w:t>
      </w:r>
    </w:p>
    <w:p w:rsidR="003F5301" w:rsidRPr="000E1BC3" w:rsidRDefault="003F5301" w:rsidP="003F5301">
      <w:pPr>
        <w:jc w:val="both"/>
        <w:outlineLvl w:val="0"/>
        <w:rPr>
          <w:rFonts w:ascii="Times New Roman" w:hAnsi="Times New Roman"/>
          <w:noProof/>
          <w:sz w:val="24"/>
          <w:szCs w:val="24"/>
          <w:lang w:val="en-US"/>
        </w:rPr>
      </w:pPr>
    </w:p>
    <w:p w:rsidR="003F5301" w:rsidRPr="000E1BC3" w:rsidRDefault="00F72885" w:rsidP="00706577">
      <w:pPr>
        <w:numPr>
          <w:ilvl w:val="0"/>
          <w:numId w:val="20"/>
        </w:numPr>
        <w:spacing w:before="120" w:after="120"/>
        <w:ind w:left="357" w:hanging="357"/>
        <w:jc w:val="both"/>
        <w:outlineLvl w:val="0"/>
        <w:rPr>
          <w:rFonts w:ascii="Times New Roman" w:hAnsi="Times New Roman"/>
          <w:b/>
          <w:noProof/>
          <w:sz w:val="24"/>
          <w:szCs w:val="24"/>
        </w:rPr>
      </w:pPr>
      <w:r>
        <w:rPr>
          <w:rFonts w:ascii="Times New Roman" w:hAnsi="Times New Roman"/>
          <w:b/>
          <w:noProof/>
          <w:sz w:val="24"/>
          <w:szCs w:val="24"/>
        </w:rPr>
        <w:t xml:space="preserve">Use in </w:t>
      </w:r>
      <w:r w:rsidR="003F5301" w:rsidRPr="000E1BC3">
        <w:rPr>
          <w:rFonts w:ascii="Times New Roman" w:hAnsi="Times New Roman"/>
          <w:b/>
          <w:noProof/>
          <w:sz w:val="24"/>
          <w:szCs w:val="24"/>
        </w:rPr>
        <w:t>Hepatic Impairment</w:t>
      </w:r>
    </w:p>
    <w:p w:rsidR="003F5301" w:rsidRDefault="003F5301" w:rsidP="00921C3E">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No dose adjustment of </w:t>
      </w:r>
      <w:r w:rsidR="002F43D2">
        <w:rPr>
          <w:rFonts w:ascii="Times New Roman" w:hAnsi="Times New Roman"/>
          <w:noProof/>
          <w:sz w:val="24"/>
          <w:szCs w:val="24"/>
        </w:rPr>
        <w:t>BIKTARVY</w:t>
      </w:r>
      <w:r w:rsidRPr="000E1BC3">
        <w:rPr>
          <w:rFonts w:ascii="Times New Roman" w:hAnsi="Times New Roman"/>
          <w:noProof/>
          <w:sz w:val="24"/>
          <w:szCs w:val="24"/>
          <w:lang w:val="en-US"/>
        </w:rPr>
        <w:t xml:space="preserve"> is required in patients with mild (Child-Pugh Class A) or moderate (Child-Pugh Class B) hepatic impairment. </w:t>
      </w:r>
      <w:r w:rsidR="002F43D2">
        <w:rPr>
          <w:rFonts w:ascii="Times New Roman" w:hAnsi="Times New Roman"/>
          <w:noProof/>
          <w:sz w:val="24"/>
          <w:szCs w:val="24"/>
        </w:rPr>
        <w:t>BIKTARVY</w:t>
      </w:r>
      <w:r w:rsidRPr="000E1BC3">
        <w:rPr>
          <w:rFonts w:ascii="Times New Roman" w:hAnsi="Times New Roman"/>
          <w:noProof/>
          <w:sz w:val="24"/>
          <w:szCs w:val="24"/>
        </w:rPr>
        <w:t xml:space="preserve"> has not been studied</w:t>
      </w:r>
      <w:r w:rsidRPr="000E1BC3">
        <w:rPr>
          <w:rFonts w:ascii="Times New Roman" w:hAnsi="Times New Roman"/>
          <w:noProof/>
          <w:sz w:val="24"/>
          <w:szCs w:val="24"/>
          <w:lang w:val="en-US"/>
        </w:rPr>
        <w:t xml:space="preserve"> in patients with severe hepatic impairment (Child-Pugh Class C) (see </w:t>
      </w:r>
      <w:r w:rsidR="00D84B4B" w:rsidRPr="000E1BC3">
        <w:rPr>
          <w:rFonts w:ascii="Times New Roman" w:hAnsi="Times New Roman"/>
          <w:noProof/>
          <w:sz w:val="24"/>
          <w:szCs w:val="24"/>
          <w:lang w:val="en-US"/>
        </w:rPr>
        <w:t xml:space="preserve">Section </w:t>
      </w:r>
      <w:r w:rsidR="001777AE">
        <w:rPr>
          <w:rFonts w:ascii="Times New Roman" w:hAnsi="Times New Roman"/>
          <w:noProof/>
          <w:sz w:val="24"/>
          <w:szCs w:val="24"/>
          <w:lang w:val="en-US"/>
        </w:rPr>
        <w:t>5.1</w:t>
      </w:r>
      <w:r w:rsidR="00D84B4B" w:rsidRPr="000E1BC3">
        <w:rPr>
          <w:rFonts w:ascii="Times New Roman" w:hAnsi="Times New Roman"/>
          <w:noProof/>
          <w:sz w:val="24"/>
          <w:szCs w:val="24"/>
          <w:lang w:val="en-US"/>
        </w:rPr>
        <w:t xml:space="preserve"> Clinical Trial</w:t>
      </w:r>
      <w:r w:rsidR="00447E48" w:rsidRPr="000E1BC3">
        <w:rPr>
          <w:rFonts w:ascii="Times New Roman" w:hAnsi="Times New Roman"/>
          <w:noProof/>
          <w:sz w:val="24"/>
          <w:szCs w:val="24"/>
          <w:lang w:val="en-US"/>
        </w:rPr>
        <w:t>s</w:t>
      </w:r>
      <w:r w:rsidRPr="000E1BC3">
        <w:rPr>
          <w:rFonts w:ascii="Times New Roman" w:hAnsi="Times New Roman"/>
          <w:noProof/>
          <w:sz w:val="24"/>
          <w:szCs w:val="24"/>
          <w:lang w:val="en-US"/>
        </w:rPr>
        <w:t xml:space="preserve"> and </w:t>
      </w:r>
      <w:r w:rsidR="00D84B4B" w:rsidRPr="000E1BC3">
        <w:rPr>
          <w:rFonts w:ascii="Times New Roman" w:hAnsi="Times New Roman"/>
          <w:noProof/>
          <w:sz w:val="24"/>
          <w:szCs w:val="24"/>
          <w:lang w:val="en-US"/>
        </w:rPr>
        <w:t>Section 5.2 Pharmacokinetic Properties</w:t>
      </w:r>
      <w:r w:rsidRPr="000E1BC3">
        <w:rPr>
          <w:rFonts w:ascii="Times New Roman" w:hAnsi="Times New Roman"/>
          <w:noProof/>
          <w:sz w:val="24"/>
          <w:szCs w:val="24"/>
          <w:lang w:val="en-US"/>
        </w:rPr>
        <w:t>).</w:t>
      </w:r>
    </w:p>
    <w:p w:rsidR="00F94199" w:rsidRPr="00D8635C" w:rsidRDefault="00F94199" w:rsidP="00706577">
      <w:pPr>
        <w:pStyle w:val="Heading3"/>
        <w:numPr>
          <w:ilvl w:val="0"/>
          <w:numId w:val="28"/>
        </w:numPr>
        <w:spacing w:before="120" w:after="120"/>
        <w:ind w:left="357" w:hanging="357"/>
        <w:rPr>
          <w:szCs w:val="24"/>
        </w:rPr>
      </w:pPr>
      <w:r w:rsidRPr="00D8635C">
        <w:rPr>
          <w:szCs w:val="24"/>
        </w:rPr>
        <w:lastRenderedPageBreak/>
        <w:t>Lactic Acidosis/Severe Hepatomegaly with Steatosis</w:t>
      </w:r>
    </w:p>
    <w:p w:rsidR="00F94199" w:rsidRDefault="00F94199" w:rsidP="00F94199">
      <w:pPr>
        <w:pStyle w:val="Heading3"/>
        <w:rPr>
          <w:b w:val="0"/>
          <w:szCs w:val="24"/>
        </w:rPr>
      </w:pPr>
      <w:r w:rsidRPr="00D8635C">
        <w:rPr>
          <w:b w:val="0"/>
          <w:szCs w:val="24"/>
        </w:rPr>
        <w:t xml:space="preserve">Lactic acidosis and severe hepatomegaly with steatosis, including fatal cases, have been reported with the use of nucleoside analogs, including emtricitabine, a component of </w:t>
      </w:r>
      <w:r>
        <w:rPr>
          <w:b w:val="0"/>
          <w:szCs w:val="24"/>
        </w:rPr>
        <w:t>BIKTARVY</w:t>
      </w:r>
      <w:r w:rsidRPr="00D8635C">
        <w:rPr>
          <w:b w:val="0"/>
          <w:szCs w:val="24"/>
        </w:rPr>
        <w:t xml:space="preserve">, and tenofovir DF, another prodrug of tenofovir, alone or in combination with other antiretrovirals. Treatment with </w:t>
      </w:r>
      <w:r>
        <w:rPr>
          <w:b w:val="0"/>
          <w:szCs w:val="24"/>
        </w:rPr>
        <w:t>BIKTARVY</w:t>
      </w:r>
      <w:r w:rsidRPr="00D8635C">
        <w:rPr>
          <w:b w:val="0"/>
          <w:szCs w:val="24"/>
        </w:rPr>
        <w:t xml:space="preserve"> should be suspended in any patient who develops clinical or laboratory findings suggestive of lactic acidosis or pronounced hepatotoxicity (which may include hepatomegaly and steatosis even in the absence of marked transaminase elevations).</w:t>
      </w:r>
    </w:p>
    <w:p w:rsidR="007460C7" w:rsidRPr="007460C7" w:rsidRDefault="007460C7" w:rsidP="007460C7"/>
    <w:p w:rsidR="00A35E67" w:rsidRPr="00A35E67" w:rsidRDefault="00A35E67" w:rsidP="007460C7">
      <w:pPr>
        <w:numPr>
          <w:ilvl w:val="0"/>
          <w:numId w:val="28"/>
        </w:numPr>
        <w:autoSpaceDE w:val="0"/>
        <w:autoSpaceDN w:val="0"/>
        <w:adjustRightInd w:val="0"/>
        <w:spacing w:before="120" w:after="120"/>
        <w:ind w:left="357" w:hanging="357"/>
        <w:rPr>
          <w:rFonts w:ascii="Times New Roman" w:hAnsi="Times New Roman"/>
          <w:b/>
          <w:sz w:val="24"/>
          <w:szCs w:val="22"/>
          <w:lang w:eastAsia="en-AU"/>
        </w:rPr>
      </w:pPr>
      <w:r w:rsidRPr="00A35E67">
        <w:rPr>
          <w:rFonts w:ascii="Times New Roman" w:hAnsi="Times New Roman"/>
          <w:b/>
          <w:sz w:val="24"/>
          <w:szCs w:val="22"/>
          <w:lang w:eastAsia="en-AU"/>
        </w:rPr>
        <w:t>Co-administration of other medicinal products</w:t>
      </w:r>
    </w:p>
    <w:p w:rsidR="007460C7" w:rsidRPr="00147693" w:rsidRDefault="007460C7" w:rsidP="007460C7">
      <w:pPr>
        <w:pStyle w:val="CommentText"/>
        <w:rPr>
          <w:b/>
          <w:sz w:val="24"/>
          <w:szCs w:val="24"/>
          <w:lang w:eastAsia="en-AU"/>
        </w:rPr>
      </w:pPr>
      <w:r w:rsidRPr="00147693">
        <w:rPr>
          <w:sz w:val="24"/>
          <w:szCs w:val="24"/>
          <w:lang w:eastAsia="en-AU"/>
        </w:rPr>
        <w:t>Under fasted conditions,</w:t>
      </w:r>
      <w:r w:rsidRPr="00147693">
        <w:rPr>
          <w:b/>
          <w:sz w:val="24"/>
          <w:szCs w:val="24"/>
          <w:lang w:eastAsia="en-AU"/>
        </w:rPr>
        <w:t xml:space="preserve"> </w:t>
      </w:r>
      <w:r w:rsidRPr="00147693">
        <w:rPr>
          <w:sz w:val="24"/>
          <w:szCs w:val="24"/>
          <w:lang w:eastAsia="en-AU"/>
        </w:rPr>
        <w:t>BIKTARVY should not be co-administered simultaneously with magnesium/aluminium-containing antacids due to the expected substantial decrease of BIC exposure.</w:t>
      </w:r>
    </w:p>
    <w:p w:rsidR="007460C7" w:rsidRPr="00147693" w:rsidRDefault="007460C7" w:rsidP="007460C7">
      <w:pPr>
        <w:pStyle w:val="CommentText"/>
        <w:rPr>
          <w:sz w:val="24"/>
          <w:szCs w:val="24"/>
          <w:lang w:eastAsia="en-AU"/>
        </w:rPr>
      </w:pPr>
      <w:r w:rsidRPr="00147693">
        <w:rPr>
          <w:sz w:val="24"/>
          <w:szCs w:val="24"/>
          <w:lang w:eastAsia="en-AU"/>
        </w:rPr>
        <w:t>Under fasted conditions, BIKTARVY should be administered at least 2 hours before taking antacids containing magnesium and/or aluminium (see section 4.5).</w:t>
      </w:r>
    </w:p>
    <w:p w:rsidR="007460C7" w:rsidRPr="00147693" w:rsidRDefault="007460C7" w:rsidP="007460C7">
      <w:pPr>
        <w:pStyle w:val="CommentText"/>
        <w:rPr>
          <w:sz w:val="24"/>
          <w:szCs w:val="24"/>
          <w:lang w:eastAsia="en-AU"/>
        </w:rPr>
      </w:pPr>
    </w:p>
    <w:p w:rsidR="007460C7" w:rsidRPr="00147693" w:rsidRDefault="007460C7" w:rsidP="007460C7">
      <w:pPr>
        <w:pStyle w:val="CommentText"/>
        <w:rPr>
          <w:sz w:val="24"/>
          <w:szCs w:val="24"/>
        </w:rPr>
      </w:pPr>
      <w:r w:rsidRPr="00147693">
        <w:rPr>
          <w:sz w:val="24"/>
          <w:szCs w:val="24"/>
        </w:rPr>
        <w:t xml:space="preserve">If taken together with food, BIKTARVY and </w:t>
      </w:r>
      <w:r w:rsidRPr="00147693">
        <w:rPr>
          <w:sz w:val="24"/>
          <w:szCs w:val="24"/>
          <w:lang w:eastAsia="en-AU"/>
        </w:rPr>
        <w:t xml:space="preserve">magnesium/aluminium-containing antacids </w:t>
      </w:r>
      <w:r w:rsidRPr="00147693">
        <w:rPr>
          <w:sz w:val="24"/>
          <w:szCs w:val="24"/>
        </w:rPr>
        <w:t xml:space="preserve">can be co-administered simultaneously </w:t>
      </w:r>
      <w:r w:rsidRPr="00147693">
        <w:rPr>
          <w:sz w:val="24"/>
          <w:szCs w:val="24"/>
          <w:lang w:eastAsia="en-AU"/>
        </w:rPr>
        <w:t>(see section 4.5)</w:t>
      </w:r>
      <w:r w:rsidRPr="00147693">
        <w:rPr>
          <w:sz w:val="24"/>
          <w:szCs w:val="24"/>
        </w:rPr>
        <w:t>.</w:t>
      </w:r>
    </w:p>
    <w:p w:rsidR="004D399F" w:rsidRDefault="004D399F" w:rsidP="003F5301">
      <w:pPr>
        <w:jc w:val="both"/>
        <w:outlineLvl w:val="0"/>
        <w:rPr>
          <w:rFonts w:ascii="Times New Roman" w:hAnsi="Times New Roman"/>
          <w:noProof/>
          <w:sz w:val="24"/>
          <w:szCs w:val="24"/>
        </w:rPr>
      </w:pPr>
    </w:p>
    <w:p w:rsidR="00F72885" w:rsidRPr="00F72885" w:rsidRDefault="00F72885" w:rsidP="00346E0B">
      <w:pPr>
        <w:numPr>
          <w:ilvl w:val="0"/>
          <w:numId w:val="28"/>
        </w:numPr>
        <w:spacing w:after="120"/>
        <w:ind w:left="357" w:hanging="357"/>
        <w:jc w:val="both"/>
        <w:outlineLvl w:val="0"/>
        <w:rPr>
          <w:rFonts w:ascii="Times New Roman" w:hAnsi="Times New Roman"/>
          <w:b/>
          <w:sz w:val="24"/>
          <w:szCs w:val="22"/>
          <w:lang w:eastAsia="en-AU"/>
        </w:rPr>
      </w:pPr>
      <w:r w:rsidRPr="00F72885">
        <w:rPr>
          <w:rFonts w:ascii="Times New Roman" w:hAnsi="Times New Roman"/>
          <w:b/>
          <w:sz w:val="24"/>
          <w:szCs w:val="22"/>
          <w:lang w:eastAsia="en-AU"/>
        </w:rPr>
        <w:t>Effects on laboratory tests</w:t>
      </w:r>
    </w:p>
    <w:p w:rsidR="00F72885" w:rsidRDefault="00F72885" w:rsidP="003F5301">
      <w:pPr>
        <w:jc w:val="both"/>
        <w:outlineLvl w:val="0"/>
        <w:rPr>
          <w:rFonts w:ascii="Times New Roman" w:hAnsi="Times New Roman"/>
          <w:noProof/>
          <w:sz w:val="24"/>
          <w:szCs w:val="24"/>
        </w:rPr>
      </w:pPr>
      <w:r>
        <w:rPr>
          <w:rFonts w:ascii="Times New Roman" w:hAnsi="Times New Roman"/>
          <w:noProof/>
          <w:sz w:val="24"/>
          <w:szCs w:val="24"/>
        </w:rPr>
        <w:t xml:space="preserve">No data available </w:t>
      </w:r>
    </w:p>
    <w:p w:rsidR="00346E0B" w:rsidRPr="000E1BC3" w:rsidRDefault="00346E0B" w:rsidP="003F5301">
      <w:pPr>
        <w:jc w:val="both"/>
        <w:outlineLvl w:val="0"/>
        <w:rPr>
          <w:rFonts w:ascii="Times New Roman" w:hAnsi="Times New Roman"/>
          <w:noProof/>
          <w:sz w:val="24"/>
          <w:szCs w:val="24"/>
        </w:rPr>
      </w:pPr>
    </w:p>
    <w:p w:rsidR="00211590" w:rsidRPr="000E1BC3" w:rsidRDefault="00211590" w:rsidP="007460C7">
      <w:pPr>
        <w:pStyle w:val="Default"/>
        <w:spacing w:before="120" w:after="120"/>
        <w:rPr>
          <w:b/>
          <w:color w:val="auto"/>
        </w:rPr>
      </w:pPr>
      <w:r w:rsidRPr="000E1BC3">
        <w:rPr>
          <w:b/>
          <w:color w:val="auto"/>
        </w:rPr>
        <w:t>4.5 INTERACTIONS WITH OTHER MEDICINES</w:t>
      </w:r>
      <w:r w:rsidR="009110D7">
        <w:rPr>
          <w:b/>
          <w:color w:val="auto"/>
        </w:rPr>
        <w:t xml:space="preserve"> AND OTHER FORMS OF INTERACTIONS</w:t>
      </w:r>
    </w:p>
    <w:p w:rsidR="005D0BF5" w:rsidRPr="000E1BC3" w:rsidRDefault="005D0BF5" w:rsidP="00F53665">
      <w:pPr>
        <w:numPr>
          <w:ilvl w:val="0"/>
          <w:numId w:val="20"/>
        </w:numPr>
        <w:spacing w:after="120"/>
        <w:ind w:left="357" w:hanging="357"/>
        <w:jc w:val="both"/>
        <w:rPr>
          <w:rFonts w:ascii="Times New Roman" w:hAnsi="Times New Roman"/>
          <w:b/>
          <w:noProof/>
          <w:sz w:val="24"/>
          <w:szCs w:val="24"/>
        </w:rPr>
      </w:pPr>
      <w:r w:rsidRPr="000E1BC3">
        <w:rPr>
          <w:rFonts w:ascii="Times New Roman" w:hAnsi="Times New Roman"/>
          <w:b/>
          <w:noProof/>
          <w:sz w:val="24"/>
          <w:szCs w:val="24"/>
        </w:rPr>
        <w:t>General</w:t>
      </w:r>
    </w:p>
    <w:p w:rsidR="005D0BF5" w:rsidRPr="000E1BC3" w:rsidRDefault="005D0BF5" w:rsidP="005D0BF5">
      <w:pPr>
        <w:jc w:val="both"/>
        <w:rPr>
          <w:rFonts w:ascii="Times New Roman" w:hAnsi="Times New Roman"/>
          <w:noProof/>
          <w:sz w:val="24"/>
          <w:szCs w:val="24"/>
        </w:rPr>
      </w:pPr>
      <w:r w:rsidRPr="000E1BC3">
        <w:rPr>
          <w:rFonts w:ascii="Times New Roman" w:hAnsi="Times New Roman"/>
          <w:noProof/>
          <w:sz w:val="24"/>
          <w:szCs w:val="24"/>
        </w:rPr>
        <w:t xml:space="preserve">As </w:t>
      </w:r>
      <w:r w:rsidR="002F43D2">
        <w:rPr>
          <w:rFonts w:ascii="Times New Roman" w:hAnsi="Times New Roman"/>
          <w:noProof/>
          <w:sz w:val="24"/>
          <w:szCs w:val="24"/>
        </w:rPr>
        <w:t>BIKTARVY</w:t>
      </w:r>
      <w:r w:rsidRPr="000E1BC3">
        <w:t xml:space="preserve"> </w:t>
      </w:r>
      <w:r w:rsidRPr="000E1BC3">
        <w:rPr>
          <w:rFonts w:ascii="Times New Roman" w:hAnsi="Times New Roman"/>
          <w:noProof/>
          <w:sz w:val="24"/>
          <w:szCs w:val="24"/>
        </w:rPr>
        <w:t xml:space="preserve">contains BIC, FTC and TAF any interactions that have been identified with these agents  individually may occur with </w:t>
      </w:r>
      <w:r w:rsidR="002F43D2">
        <w:rPr>
          <w:rFonts w:ascii="Times New Roman" w:hAnsi="Times New Roman"/>
          <w:noProof/>
          <w:sz w:val="24"/>
          <w:szCs w:val="24"/>
        </w:rPr>
        <w:t>BIKTARVY</w:t>
      </w:r>
      <w:r w:rsidRPr="000E1BC3">
        <w:rPr>
          <w:rFonts w:ascii="Times New Roman" w:hAnsi="Times New Roman"/>
          <w:sz w:val="24"/>
          <w:szCs w:val="24"/>
        </w:rPr>
        <w:t>.</w:t>
      </w:r>
    </w:p>
    <w:p w:rsidR="005D0BF5" w:rsidRPr="000E1BC3" w:rsidRDefault="005D0BF5" w:rsidP="005D0BF5">
      <w:pPr>
        <w:jc w:val="both"/>
        <w:rPr>
          <w:rFonts w:ascii="Times New Roman" w:hAnsi="Times New Roman"/>
          <w:noProof/>
          <w:sz w:val="24"/>
          <w:szCs w:val="24"/>
        </w:rPr>
      </w:pPr>
    </w:p>
    <w:p w:rsidR="00F51A05" w:rsidRDefault="00F51A05" w:rsidP="00F51A05">
      <w:pPr>
        <w:spacing w:before="120" w:after="120"/>
        <w:rPr>
          <w:rFonts w:ascii="Times New Roman" w:hAnsi="Times New Roman"/>
          <w:color w:val="000000"/>
          <w:sz w:val="24"/>
        </w:rPr>
      </w:pPr>
      <w:r w:rsidRPr="000E1BC3">
        <w:rPr>
          <w:rFonts w:ascii="Times New Roman" w:hAnsi="Times New Roman"/>
          <w:b/>
          <w:i/>
          <w:sz w:val="24"/>
          <w:szCs w:val="24"/>
        </w:rPr>
        <w:t xml:space="preserve">Bictegravir: </w:t>
      </w:r>
      <w:r w:rsidRPr="000E1BC3">
        <w:rPr>
          <w:rFonts w:ascii="Times New Roman" w:hAnsi="Times New Roman"/>
          <w:color w:val="000000"/>
          <w:sz w:val="24"/>
        </w:rPr>
        <w:t xml:space="preserve">BIC inhibits organic cation transporter 2 (OCT2) and multidrug and toxin extrusion transporter 1 (MATE1) </w:t>
      </w:r>
      <w:r w:rsidRPr="000E1BC3">
        <w:rPr>
          <w:rFonts w:ascii="Times New Roman" w:hAnsi="Times New Roman"/>
          <w:i/>
          <w:color w:val="000000"/>
          <w:sz w:val="24"/>
        </w:rPr>
        <w:t>in vitro</w:t>
      </w:r>
      <w:r w:rsidRPr="000E1BC3">
        <w:rPr>
          <w:rFonts w:ascii="Times New Roman" w:hAnsi="Times New Roman"/>
          <w:color w:val="000000"/>
          <w:sz w:val="24"/>
        </w:rPr>
        <w:t xml:space="preserve">. Coadministration of </w:t>
      </w:r>
      <w:r w:rsidR="002F43D2">
        <w:rPr>
          <w:rFonts w:ascii="Times New Roman" w:hAnsi="Times New Roman"/>
          <w:color w:val="000000"/>
          <w:sz w:val="24"/>
        </w:rPr>
        <w:t>BIKTARVY</w:t>
      </w:r>
      <w:r w:rsidRPr="000E1BC3">
        <w:rPr>
          <w:rFonts w:ascii="Times New Roman" w:hAnsi="Times New Roman"/>
          <w:color w:val="000000"/>
          <w:sz w:val="24"/>
        </w:rPr>
        <w:t xml:space="preserve"> with the OCT2 and MATE1 substrate metformin did not result in a clinically significant increase in metformin exposure.  </w:t>
      </w:r>
      <w:r w:rsidR="002F43D2">
        <w:rPr>
          <w:rFonts w:ascii="Times New Roman" w:hAnsi="Times New Roman"/>
          <w:color w:val="000000"/>
          <w:sz w:val="24"/>
        </w:rPr>
        <w:t>BIKTARVY</w:t>
      </w:r>
      <w:r w:rsidRPr="000E1BC3">
        <w:rPr>
          <w:rFonts w:ascii="Times New Roman" w:hAnsi="Times New Roman"/>
          <w:color w:val="000000"/>
          <w:sz w:val="24"/>
        </w:rPr>
        <w:t xml:space="preserve"> may be coadministered with substrates of OCT2 and MATE1 except dofetilide, which is contraindicated due to the potential for increased dofetilide plasma concentrations and associated serious and/or life-threatening events</w:t>
      </w:r>
      <w:r w:rsidR="00FC1BFD">
        <w:rPr>
          <w:rFonts w:ascii="Times New Roman" w:hAnsi="Times New Roman"/>
          <w:color w:val="000000"/>
          <w:sz w:val="24"/>
        </w:rPr>
        <w:t xml:space="preserve"> (</w:t>
      </w:r>
      <w:r w:rsidR="00FC1BFD" w:rsidRPr="00FC1BFD">
        <w:rPr>
          <w:rFonts w:ascii="Times New Roman" w:hAnsi="Times New Roman"/>
          <w:color w:val="000000"/>
          <w:sz w:val="24"/>
        </w:rPr>
        <w:t>see Section 4.3 Contraindications</w:t>
      </w:r>
      <w:r w:rsidR="00FC1BFD">
        <w:rPr>
          <w:rFonts w:ascii="Times New Roman" w:hAnsi="Times New Roman"/>
          <w:color w:val="000000"/>
          <w:sz w:val="24"/>
        </w:rPr>
        <w:t>)</w:t>
      </w:r>
      <w:r w:rsidRPr="000E1BC3">
        <w:rPr>
          <w:rFonts w:ascii="Times New Roman" w:hAnsi="Times New Roman"/>
          <w:color w:val="000000"/>
          <w:sz w:val="24"/>
        </w:rPr>
        <w:t>.</w:t>
      </w:r>
    </w:p>
    <w:p w:rsidR="00A7118E" w:rsidRDefault="00A7118E" w:rsidP="00F51A05">
      <w:pPr>
        <w:autoSpaceDE w:val="0"/>
        <w:autoSpaceDN w:val="0"/>
        <w:adjustRightInd w:val="0"/>
        <w:spacing w:before="120" w:after="120"/>
        <w:rPr>
          <w:rFonts w:ascii="Times New Roman" w:hAnsi="Times New Roman"/>
          <w:color w:val="000000"/>
          <w:sz w:val="24"/>
        </w:rPr>
      </w:pPr>
      <w:r w:rsidRPr="00A7118E">
        <w:rPr>
          <w:rFonts w:ascii="Times New Roman" w:hAnsi="Times New Roman"/>
          <w:color w:val="000000"/>
          <w:sz w:val="24"/>
        </w:rPr>
        <w:t xml:space="preserve">Bictegravir is a substrate of P-gp and BCRP </w:t>
      </w:r>
      <w:r w:rsidRPr="00371060">
        <w:rPr>
          <w:rFonts w:ascii="Times New Roman" w:hAnsi="Times New Roman"/>
          <w:i/>
          <w:color w:val="000000"/>
          <w:sz w:val="24"/>
        </w:rPr>
        <w:t>in vitro</w:t>
      </w:r>
      <w:r w:rsidRPr="00A7118E">
        <w:rPr>
          <w:rFonts w:ascii="Times New Roman" w:hAnsi="Times New Roman"/>
          <w:color w:val="000000"/>
          <w:sz w:val="24"/>
        </w:rPr>
        <w:t>.  However, clinical drug interaction data show that P-gp/BCRP does not play a clinically significant role in the disposition of bictegravir.</w:t>
      </w:r>
    </w:p>
    <w:p w:rsidR="00DE067B" w:rsidRPr="000E1BC3" w:rsidRDefault="00F51A05" w:rsidP="00F51A05">
      <w:pPr>
        <w:autoSpaceDE w:val="0"/>
        <w:autoSpaceDN w:val="0"/>
        <w:adjustRightInd w:val="0"/>
        <w:spacing w:before="120" w:after="120"/>
        <w:rPr>
          <w:rFonts w:ascii="Times New Roman" w:hAnsi="Times New Roman"/>
          <w:color w:val="000000"/>
          <w:sz w:val="24"/>
        </w:rPr>
      </w:pPr>
      <w:r w:rsidRPr="000E1BC3">
        <w:rPr>
          <w:rFonts w:ascii="Times New Roman" w:hAnsi="Times New Roman"/>
          <w:color w:val="000000"/>
          <w:sz w:val="24"/>
        </w:rPr>
        <w:t>BIC is primarily eliminated through hepatic metabolism by CYP3A and UGT1A1. Drugs that are potent inducers of both CYP3A and UGT1A1, such as rifampi</w:t>
      </w:r>
      <w:r w:rsidR="00D76FB5">
        <w:rPr>
          <w:rFonts w:ascii="Times New Roman" w:hAnsi="Times New Roman"/>
          <w:color w:val="000000"/>
          <w:sz w:val="24"/>
        </w:rPr>
        <w:t>ci</w:t>
      </w:r>
      <w:r w:rsidRPr="000E1BC3">
        <w:rPr>
          <w:rFonts w:ascii="Times New Roman" w:hAnsi="Times New Roman"/>
          <w:color w:val="000000"/>
          <w:sz w:val="24"/>
        </w:rPr>
        <w:t>n, may significantly decrease plasma exposures of BIC leading to reduced therapeutic effect of BIC. Coadministration with rifampi</w:t>
      </w:r>
      <w:r w:rsidR="00D76FB5">
        <w:rPr>
          <w:rFonts w:ascii="Times New Roman" w:hAnsi="Times New Roman"/>
          <w:color w:val="000000"/>
          <w:sz w:val="24"/>
        </w:rPr>
        <w:t>ci</w:t>
      </w:r>
      <w:r w:rsidRPr="000E1BC3">
        <w:rPr>
          <w:rFonts w:ascii="Times New Roman" w:hAnsi="Times New Roman"/>
          <w:color w:val="000000"/>
          <w:sz w:val="24"/>
        </w:rPr>
        <w:t xml:space="preserve">n is contraindicated.  Potent inhibitors of both CYP3A and UGT1A1, such as atazanavir, may significantly increase BIC exposure, and coadministration is not recommended. </w:t>
      </w:r>
    </w:p>
    <w:p w:rsidR="00F51A05" w:rsidRPr="000E1BC3" w:rsidRDefault="00F51A05" w:rsidP="00624F91">
      <w:pPr>
        <w:autoSpaceDE w:val="0"/>
        <w:autoSpaceDN w:val="0"/>
        <w:adjustRightInd w:val="0"/>
        <w:spacing w:before="120" w:after="120"/>
        <w:rPr>
          <w:rFonts w:ascii="Times New Roman" w:hAnsi="Times New Roman"/>
          <w:color w:val="000000"/>
          <w:sz w:val="24"/>
        </w:rPr>
      </w:pPr>
      <w:r w:rsidRPr="000E1BC3">
        <w:rPr>
          <w:rFonts w:ascii="Times New Roman" w:hAnsi="Times New Roman"/>
          <w:color w:val="000000"/>
          <w:sz w:val="24"/>
        </w:rPr>
        <w:t xml:space="preserve">BIC is not an inhibitor or inducer of CYP3A </w:t>
      </w:r>
      <w:r w:rsidRPr="000E1BC3">
        <w:rPr>
          <w:rFonts w:ascii="Times New Roman" w:hAnsi="Times New Roman"/>
          <w:i/>
          <w:color w:val="000000"/>
          <w:sz w:val="24"/>
        </w:rPr>
        <w:t>in vivo</w:t>
      </w:r>
      <w:r w:rsidRPr="000E1BC3">
        <w:rPr>
          <w:rFonts w:ascii="Times New Roman" w:hAnsi="Times New Roman"/>
          <w:color w:val="000000"/>
          <w:sz w:val="24"/>
        </w:rPr>
        <w:t>.</w:t>
      </w:r>
    </w:p>
    <w:p w:rsidR="00DE067B" w:rsidRDefault="00F51A05" w:rsidP="00F51A05">
      <w:pPr>
        <w:rPr>
          <w:rFonts w:ascii="Times New Roman" w:hAnsi="Times New Roman"/>
          <w:sz w:val="24"/>
          <w:szCs w:val="24"/>
          <w:lang w:val="en-US"/>
        </w:rPr>
      </w:pPr>
      <w:r w:rsidRPr="000E1BC3">
        <w:rPr>
          <w:rFonts w:ascii="Times New Roman" w:hAnsi="Times New Roman"/>
          <w:b/>
          <w:i/>
          <w:sz w:val="24"/>
          <w:szCs w:val="24"/>
          <w:lang w:val="en-US"/>
        </w:rPr>
        <w:lastRenderedPageBreak/>
        <w:t>Emtricitabine</w:t>
      </w:r>
      <w:r w:rsidRPr="000E1BC3">
        <w:rPr>
          <w:rFonts w:ascii="Times New Roman" w:hAnsi="Times New Roman"/>
          <w:sz w:val="24"/>
          <w:szCs w:val="24"/>
          <w:lang w:val="en-US"/>
        </w:rPr>
        <w:t xml:space="preserve">: </w:t>
      </w:r>
      <w:r w:rsidRPr="000E1BC3">
        <w:rPr>
          <w:rFonts w:ascii="Times New Roman" w:hAnsi="Times New Roman"/>
          <w:i/>
          <w:sz w:val="24"/>
          <w:szCs w:val="24"/>
          <w:lang w:val="en-US"/>
        </w:rPr>
        <w:t>In vitro</w:t>
      </w:r>
      <w:r w:rsidRPr="000E1BC3">
        <w:rPr>
          <w:rFonts w:ascii="Times New Roman" w:hAnsi="Times New Roman"/>
          <w:sz w:val="24"/>
          <w:szCs w:val="24"/>
          <w:lang w:val="en-US"/>
        </w:rPr>
        <w:t xml:space="preserve"> and clinical pharmacokinetic drug-drug interaction studies have shown that the potential for CYP-mediated interactions involving FTC with other medicinal products is low. FTC is primarily excreted by the kidneys by a combination of glomerular filtration and active tubular secretion. No drug-drug interactions due to competition for renal excretion have been observed; however, coadministration of FTC with drugs that are eliminated by active tubular secretion may increase concentrations of FTC, and/or the coadministered drug.</w:t>
      </w:r>
      <w:r w:rsidR="00624F91">
        <w:rPr>
          <w:rFonts w:ascii="Times New Roman" w:hAnsi="Times New Roman"/>
          <w:sz w:val="24"/>
          <w:szCs w:val="24"/>
          <w:lang w:val="en-US"/>
        </w:rPr>
        <w:t xml:space="preserve"> </w:t>
      </w:r>
    </w:p>
    <w:p w:rsidR="00DE067B" w:rsidRPr="000E1BC3" w:rsidRDefault="00DE067B" w:rsidP="00F51A05">
      <w:pPr>
        <w:rPr>
          <w:rFonts w:ascii="Times New Roman" w:hAnsi="Times New Roman"/>
          <w:sz w:val="24"/>
          <w:szCs w:val="24"/>
          <w:lang w:val="en-US"/>
        </w:rPr>
      </w:pPr>
    </w:p>
    <w:p w:rsidR="00F51A05" w:rsidRPr="000E1BC3" w:rsidRDefault="00F51A05" w:rsidP="00624F91">
      <w:pPr>
        <w:rPr>
          <w:rFonts w:ascii="Times New Roman" w:hAnsi="Times New Roman"/>
          <w:sz w:val="24"/>
          <w:szCs w:val="24"/>
          <w:lang w:val="en-US"/>
        </w:rPr>
      </w:pPr>
      <w:r w:rsidRPr="000E1BC3">
        <w:rPr>
          <w:rFonts w:ascii="Times New Roman" w:hAnsi="Times New Roman"/>
          <w:sz w:val="24"/>
          <w:szCs w:val="24"/>
          <w:lang w:val="en-US"/>
        </w:rPr>
        <w:t>Drugs that decrease renal function may increase concentrations of FTC.</w:t>
      </w:r>
    </w:p>
    <w:p w:rsidR="00F51A05" w:rsidRPr="000E1BC3" w:rsidRDefault="00F51A05" w:rsidP="00F51A05">
      <w:pPr>
        <w:jc w:val="both"/>
        <w:rPr>
          <w:rFonts w:ascii="Times New Roman" w:hAnsi="Times New Roman"/>
          <w:sz w:val="24"/>
          <w:szCs w:val="24"/>
          <w:lang w:val="en-US"/>
        </w:rPr>
      </w:pPr>
    </w:p>
    <w:p w:rsidR="00F51A05" w:rsidRPr="000E1BC3" w:rsidRDefault="00F51A05" w:rsidP="00F51A05">
      <w:pPr>
        <w:rPr>
          <w:rFonts w:ascii="Times New Roman" w:hAnsi="Times New Roman"/>
          <w:sz w:val="24"/>
          <w:szCs w:val="24"/>
          <w:lang w:val="en-US"/>
        </w:rPr>
      </w:pPr>
      <w:r w:rsidRPr="000E1BC3">
        <w:rPr>
          <w:rFonts w:ascii="Times New Roman" w:hAnsi="Times New Roman"/>
          <w:sz w:val="24"/>
          <w:szCs w:val="24"/>
          <w:lang w:val="en-US"/>
        </w:rPr>
        <w:t>In drug interaction studies conducted with FTC and with TDF, coadministration of FTC and famciclovir had no effect on the C</w:t>
      </w:r>
      <w:r w:rsidRPr="000E1BC3">
        <w:rPr>
          <w:rFonts w:ascii="Times New Roman" w:hAnsi="Times New Roman"/>
          <w:sz w:val="24"/>
          <w:szCs w:val="24"/>
          <w:vertAlign w:val="subscript"/>
          <w:lang w:val="en-US"/>
        </w:rPr>
        <w:t>max</w:t>
      </w:r>
      <w:r w:rsidRPr="000E1BC3">
        <w:rPr>
          <w:rFonts w:ascii="Times New Roman" w:hAnsi="Times New Roman"/>
          <w:sz w:val="24"/>
          <w:szCs w:val="24"/>
          <w:lang w:val="en-US"/>
        </w:rPr>
        <w:t xml:space="preserve"> or AUC of either drug.</w:t>
      </w:r>
    </w:p>
    <w:p w:rsidR="00F51A05" w:rsidRPr="000E1BC3" w:rsidRDefault="00F51A05" w:rsidP="00F51A05">
      <w:pPr>
        <w:rPr>
          <w:rFonts w:ascii="Times New Roman" w:hAnsi="Times New Roman"/>
          <w:sz w:val="24"/>
          <w:szCs w:val="24"/>
          <w:lang w:val="en-US"/>
        </w:rPr>
      </w:pPr>
    </w:p>
    <w:p w:rsidR="00F51A05" w:rsidRPr="000E1BC3" w:rsidRDefault="00F51A05" w:rsidP="00F51A05">
      <w:pPr>
        <w:rPr>
          <w:rFonts w:ascii="Times New Roman" w:hAnsi="Times New Roman"/>
          <w:sz w:val="24"/>
          <w:szCs w:val="24"/>
          <w:lang w:val="en-US"/>
        </w:rPr>
      </w:pPr>
      <w:r w:rsidRPr="000E1BC3">
        <w:rPr>
          <w:rFonts w:ascii="Times New Roman" w:hAnsi="Times New Roman"/>
          <w:b/>
          <w:i/>
          <w:sz w:val="24"/>
          <w:szCs w:val="24"/>
          <w:lang w:val="en-US"/>
        </w:rPr>
        <w:t>Tenofovir Alafenamide:</w:t>
      </w:r>
      <w:r w:rsidRPr="000E1BC3">
        <w:rPr>
          <w:rFonts w:ascii="Times New Roman" w:hAnsi="Times New Roman"/>
          <w:sz w:val="24"/>
          <w:szCs w:val="24"/>
          <w:lang w:val="en-US"/>
        </w:rPr>
        <w:t xml:space="preserve"> TAF is a substrate of P-glycoprotein (P-gp) and BCRP. Drugs that strongly affect P-gp and BCRP activity may lead to changes in TAF absorption.</w:t>
      </w:r>
      <w:r w:rsidR="0053142A">
        <w:rPr>
          <w:rFonts w:ascii="Times New Roman" w:hAnsi="Times New Roman"/>
          <w:sz w:val="24"/>
          <w:szCs w:val="24"/>
          <w:lang w:val="en-US"/>
        </w:rPr>
        <w:t xml:space="preserve"> </w:t>
      </w:r>
      <w:r w:rsidRPr="000E1BC3">
        <w:rPr>
          <w:rFonts w:ascii="Times New Roman" w:hAnsi="Times New Roman"/>
          <w:sz w:val="24"/>
          <w:szCs w:val="24"/>
          <w:lang w:val="en-US"/>
        </w:rPr>
        <w:t xml:space="preserve">TAF is not an inhibitor or inducer of CYP3A </w:t>
      </w:r>
      <w:r w:rsidRPr="000E1BC3">
        <w:rPr>
          <w:rFonts w:ascii="Times New Roman" w:hAnsi="Times New Roman"/>
          <w:i/>
          <w:sz w:val="24"/>
          <w:szCs w:val="24"/>
          <w:lang w:val="en-US"/>
        </w:rPr>
        <w:t>in</w:t>
      </w:r>
      <w:r w:rsidRPr="000E1BC3">
        <w:rPr>
          <w:rFonts w:ascii="Times New Roman" w:hAnsi="Times New Roman"/>
          <w:sz w:val="24"/>
          <w:szCs w:val="24"/>
          <w:lang w:val="en-US"/>
        </w:rPr>
        <w:t xml:space="preserve"> </w:t>
      </w:r>
      <w:r w:rsidRPr="000E1BC3">
        <w:rPr>
          <w:rFonts w:ascii="Times New Roman" w:hAnsi="Times New Roman"/>
          <w:i/>
          <w:sz w:val="24"/>
          <w:szCs w:val="24"/>
          <w:lang w:val="en-US"/>
        </w:rPr>
        <w:t>vivo.</w:t>
      </w:r>
    </w:p>
    <w:p w:rsidR="00D40911" w:rsidRDefault="00D40911" w:rsidP="00F51A05">
      <w:pPr>
        <w:rPr>
          <w:rFonts w:ascii="Times New Roman" w:hAnsi="Times New Roman"/>
          <w:sz w:val="24"/>
          <w:szCs w:val="24"/>
          <w:lang w:val="en-US"/>
        </w:rPr>
      </w:pPr>
    </w:p>
    <w:p w:rsidR="00F51A05" w:rsidRPr="000E1BC3" w:rsidRDefault="00F51A05" w:rsidP="00706577">
      <w:pPr>
        <w:numPr>
          <w:ilvl w:val="0"/>
          <w:numId w:val="20"/>
        </w:numPr>
        <w:spacing w:before="120" w:after="120"/>
        <w:ind w:left="357" w:hanging="357"/>
        <w:rPr>
          <w:rFonts w:ascii="Times New Roman" w:hAnsi="Times New Roman"/>
          <w:b/>
          <w:sz w:val="24"/>
          <w:szCs w:val="24"/>
          <w:lang w:val="en-US"/>
        </w:rPr>
      </w:pPr>
      <w:r w:rsidRPr="000E1BC3">
        <w:rPr>
          <w:rFonts w:ascii="Times New Roman" w:hAnsi="Times New Roman"/>
          <w:b/>
          <w:sz w:val="24"/>
          <w:szCs w:val="24"/>
          <w:lang w:val="en-US"/>
        </w:rPr>
        <w:t>Drug Interaction Studies</w:t>
      </w:r>
    </w:p>
    <w:p w:rsidR="00F51A05" w:rsidRPr="000E1BC3" w:rsidRDefault="00F51A05" w:rsidP="00F51A05">
      <w:pPr>
        <w:rPr>
          <w:rFonts w:ascii="Times New Roman" w:hAnsi="Times New Roman"/>
          <w:bCs/>
          <w:sz w:val="24"/>
          <w:szCs w:val="24"/>
          <w:lang w:val="en-US"/>
        </w:rPr>
      </w:pPr>
      <w:r w:rsidRPr="000E1BC3">
        <w:rPr>
          <w:rFonts w:ascii="Times New Roman" w:hAnsi="Times New Roman"/>
          <w:bCs/>
          <w:sz w:val="24"/>
          <w:szCs w:val="24"/>
          <w:lang w:val="en-US"/>
        </w:rPr>
        <w:t xml:space="preserve">Drug-drug interaction studies were conducted with </w:t>
      </w:r>
      <w:r w:rsidR="002F43D2">
        <w:rPr>
          <w:rFonts w:ascii="Times New Roman" w:hAnsi="Times New Roman"/>
          <w:bCs/>
          <w:sz w:val="24"/>
          <w:szCs w:val="24"/>
          <w:lang w:val="en-US"/>
        </w:rPr>
        <w:t>BIKTARVY</w:t>
      </w:r>
      <w:r w:rsidRPr="000E1BC3">
        <w:rPr>
          <w:rFonts w:ascii="Times New Roman" w:hAnsi="Times New Roman"/>
          <w:bCs/>
          <w:sz w:val="24"/>
          <w:szCs w:val="24"/>
          <w:lang w:val="en-US"/>
        </w:rPr>
        <w:t xml:space="preserve"> or </w:t>
      </w:r>
      <w:r w:rsidR="00921443" w:rsidRPr="00921443">
        <w:rPr>
          <w:rFonts w:ascii="Times New Roman" w:hAnsi="Times New Roman"/>
          <w:bCs/>
          <w:sz w:val="24"/>
          <w:szCs w:val="24"/>
          <w:lang w:val="en-US"/>
        </w:rPr>
        <w:t xml:space="preserve">various combinations of </w:t>
      </w:r>
      <w:r w:rsidRPr="000E1BC3">
        <w:rPr>
          <w:rFonts w:ascii="Times New Roman" w:hAnsi="Times New Roman"/>
          <w:bCs/>
          <w:sz w:val="24"/>
          <w:szCs w:val="24"/>
          <w:lang w:val="en-US"/>
        </w:rPr>
        <w:t xml:space="preserve">the components of </w:t>
      </w:r>
      <w:r w:rsidR="002F43D2">
        <w:rPr>
          <w:rFonts w:ascii="Times New Roman" w:hAnsi="Times New Roman"/>
          <w:bCs/>
          <w:sz w:val="24"/>
          <w:szCs w:val="24"/>
          <w:lang w:val="en-US"/>
        </w:rPr>
        <w:t>BIKTARVY</w:t>
      </w:r>
      <w:r w:rsidRPr="000E1BC3">
        <w:rPr>
          <w:rFonts w:ascii="Times New Roman" w:hAnsi="Times New Roman"/>
          <w:bCs/>
          <w:sz w:val="24"/>
          <w:szCs w:val="24"/>
          <w:lang w:val="en-US"/>
        </w:rPr>
        <w:t xml:space="preserve"> (BIC, FTC or TAF).</w:t>
      </w:r>
    </w:p>
    <w:p w:rsidR="00F51A05" w:rsidRPr="000E1BC3" w:rsidRDefault="00F51A05" w:rsidP="00F51A05">
      <w:pPr>
        <w:rPr>
          <w:rFonts w:ascii="Times New Roman" w:hAnsi="Times New Roman"/>
          <w:bCs/>
          <w:sz w:val="24"/>
          <w:szCs w:val="24"/>
          <w:lang w:val="en-US"/>
        </w:rPr>
      </w:pPr>
    </w:p>
    <w:p w:rsidR="00F51A05" w:rsidRDefault="00F51A05" w:rsidP="00F51A05">
      <w:pPr>
        <w:rPr>
          <w:rFonts w:ascii="Times New Roman" w:hAnsi="Times New Roman"/>
          <w:color w:val="000000"/>
          <w:sz w:val="24"/>
        </w:rPr>
      </w:pPr>
      <w:r w:rsidRPr="000E1BC3">
        <w:rPr>
          <w:rFonts w:ascii="Times New Roman" w:hAnsi="Times New Roman"/>
          <w:color w:val="000000"/>
          <w:sz w:val="24"/>
        </w:rPr>
        <w:t xml:space="preserve">The effects of coadministered drugs on the exposure of BIC are shown in Table </w:t>
      </w:r>
      <w:r w:rsidR="00D3190F" w:rsidRPr="000E1BC3">
        <w:rPr>
          <w:rFonts w:ascii="Times New Roman" w:hAnsi="Times New Roman"/>
          <w:color w:val="000000"/>
          <w:sz w:val="24"/>
        </w:rPr>
        <w:t>1</w:t>
      </w:r>
      <w:r w:rsidRPr="000E1BC3">
        <w:rPr>
          <w:rFonts w:ascii="Times New Roman" w:hAnsi="Times New Roman"/>
          <w:color w:val="000000"/>
          <w:sz w:val="24"/>
        </w:rPr>
        <w:t xml:space="preserve">. The effects of coadministered drugs on the exposure of TAF are shown in Table </w:t>
      </w:r>
      <w:r w:rsidR="00D3190F" w:rsidRPr="000E1BC3">
        <w:rPr>
          <w:rFonts w:ascii="Times New Roman" w:hAnsi="Times New Roman"/>
          <w:color w:val="000000"/>
          <w:sz w:val="24"/>
        </w:rPr>
        <w:t>2</w:t>
      </w:r>
      <w:r w:rsidRPr="000E1BC3">
        <w:rPr>
          <w:rFonts w:ascii="Times New Roman" w:hAnsi="Times New Roman"/>
          <w:color w:val="000000"/>
          <w:sz w:val="24"/>
        </w:rPr>
        <w:t xml:space="preserve">. The effects of BIC and/or TAF on the exposure of coadministered drugs are shown in Table </w:t>
      </w:r>
      <w:r w:rsidR="00D3190F" w:rsidRPr="000E1BC3">
        <w:rPr>
          <w:rFonts w:ascii="Times New Roman" w:hAnsi="Times New Roman"/>
          <w:color w:val="000000"/>
          <w:sz w:val="24"/>
        </w:rPr>
        <w:t>3</w:t>
      </w:r>
      <w:r w:rsidRPr="000E1BC3">
        <w:rPr>
          <w:rFonts w:ascii="Times New Roman" w:hAnsi="Times New Roman"/>
          <w:color w:val="000000"/>
          <w:sz w:val="24"/>
        </w:rPr>
        <w:t>.</w:t>
      </w:r>
    </w:p>
    <w:p w:rsidR="00DD64CE" w:rsidRPr="000E1BC3" w:rsidRDefault="00DD64CE" w:rsidP="00F51A05">
      <w:pPr>
        <w:rPr>
          <w:rFonts w:ascii="Times New Roman" w:hAnsi="Times New Roman"/>
          <w:sz w:val="24"/>
          <w:szCs w:val="24"/>
          <w:lang w:val="en-US"/>
        </w:rPr>
      </w:pPr>
    </w:p>
    <w:p w:rsidR="00F51A05" w:rsidRPr="000E1BC3" w:rsidRDefault="00F51A05" w:rsidP="00F51A05">
      <w:pPr>
        <w:keepNext/>
        <w:keepLines/>
        <w:tabs>
          <w:tab w:val="left" w:pos="2160"/>
        </w:tabs>
        <w:spacing w:before="60" w:after="60"/>
        <w:ind w:left="2160" w:hanging="2160"/>
        <w:rPr>
          <w:rFonts w:ascii="Times New Roman" w:hAnsi="Times New Roman"/>
          <w:b/>
          <w:color w:val="000000"/>
          <w:sz w:val="24"/>
          <w:shd w:val="clear" w:color="auto" w:fill="FFFFFF"/>
        </w:rPr>
      </w:pPr>
      <w:r w:rsidRPr="000E1BC3">
        <w:rPr>
          <w:rFonts w:ascii="Times New Roman" w:hAnsi="Times New Roman"/>
          <w:b/>
          <w:color w:val="000000"/>
          <w:sz w:val="24"/>
          <w:shd w:val="clear" w:color="auto" w:fill="FFFFFF"/>
        </w:rPr>
        <w:t>Table </w:t>
      </w:r>
      <w:r w:rsidR="00D3190F" w:rsidRPr="000E1BC3">
        <w:rPr>
          <w:rFonts w:ascii="Times New Roman" w:hAnsi="Times New Roman"/>
          <w:b/>
          <w:color w:val="000000"/>
          <w:sz w:val="24"/>
          <w:shd w:val="clear" w:color="auto" w:fill="FFFFFF"/>
        </w:rPr>
        <w:t>1</w:t>
      </w:r>
      <w:r w:rsidRPr="000E1BC3">
        <w:rPr>
          <w:rFonts w:ascii="Times New Roman" w:hAnsi="Times New Roman"/>
          <w:b/>
          <w:color w:val="000000"/>
          <w:sz w:val="24"/>
          <w:shd w:val="clear" w:color="auto" w:fill="FFFFFF"/>
        </w:rPr>
        <w:t>.</w:t>
      </w:r>
      <w:r w:rsidRPr="000E1BC3">
        <w:rPr>
          <w:rFonts w:ascii="Times New Roman" w:hAnsi="Times New Roman"/>
          <w:b/>
          <w:color w:val="000000"/>
          <w:sz w:val="24"/>
          <w:shd w:val="clear" w:color="auto" w:fill="FFFFFF"/>
        </w:rPr>
        <w:tab/>
        <w:t>Drug Interactions: Changes in Pharmacokinetic Parameters for BIC in the Presence of the Coadministered Drug</w:t>
      </w:r>
      <w:r w:rsidRPr="000E1BC3">
        <w:rPr>
          <w:rFonts w:ascii="Times New Roman" w:hAnsi="Times New Roman"/>
          <w:b/>
          <w:color w:val="000000"/>
          <w:sz w:val="24"/>
          <w:shd w:val="clear" w:color="auto" w:fill="FFFFFF"/>
          <w:vertAlign w:val="superscript"/>
        </w:rPr>
        <w:t>a</w:t>
      </w:r>
    </w:p>
    <w:tbl>
      <w:tblPr>
        <w:tblW w:w="9480" w:type="dxa"/>
        <w:tblBorders>
          <w:top w:val="single" w:sz="12" w:space="0" w:color="auto"/>
          <w:bottom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908"/>
        <w:gridCol w:w="1718"/>
        <w:gridCol w:w="1350"/>
        <w:gridCol w:w="540"/>
        <w:gridCol w:w="1439"/>
        <w:gridCol w:w="1348"/>
        <w:gridCol w:w="1177"/>
      </w:tblGrid>
      <w:tr w:rsidR="00F51A05" w:rsidRPr="000E1BC3" w:rsidTr="00044223">
        <w:trPr>
          <w:cantSplit/>
          <w:trHeight w:val="210"/>
          <w:tblHeader/>
        </w:trPr>
        <w:tc>
          <w:tcPr>
            <w:tcW w:w="1006"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hAnsi="Times New Roman"/>
                <w:b/>
                <w:color w:val="000000"/>
                <w:shd w:val="clear" w:color="auto" w:fill="FFFFFF"/>
              </w:rPr>
            </w:pPr>
            <w:r w:rsidRPr="000E1BC3">
              <w:rPr>
                <w:rFonts w:ascii="Times New Roman" w:hAnsi="Times New Roman"/>
                <w:b/>
                <w:color w:val="000000"/>
                <w:shd w:val="clear" w:color="auto" w:fill="FFFFFF"/>
              </w:rPr>
              <w:t>Coadministered Drug</w:t>
            </w:r>
          </w:p>
        </w:tc>
        <w:tc>
          <w:tcPr>
            <w:tcW w:w="906"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Dose of Coadministered Drug (mg)</w:t>
            </w:r>
          </w:p>
        </w:tc>
        <w:tc>
          <w:tcPr>
            <w:tcW w:w="712"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Bictegravir (mg)</w:t>
            </w:r>
          </w:p>
        </w:tc>
        <w:tc>
          <w:tcPr>
            <w:tcW w:w="285"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N</w:t>
            </w:r>
          </w:p>
        </w:tc>
        <w:tc>
          <w:tcPr>
            <w:tcW w:w="2091" w:type="pct"/>
            <w:gridSpan w:val="3"/>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Mean Ratio of Bictegravir Pharmacokinetic Parameters (90% CI)</w:t>
            </w:r>
            <w:r w:rsidRPr="000E1BC3">
              <w:rPr>
                <w:rFonts w:ascii="Times New Roman" w:eastAsia="Arial Unicode MS" w:hAnsi="Times New Roman"/>
                <w:b/>
                <w:color w:val="000000"/>
                <w:shd w:val="clear" w:color="auto" w:fill="FFFFFF"/>
                <w:vertAlign w:val="superscript"/>
              </w:rPr>
              <w:t>b</w:t>
            </w:r>
            <w:r w:rsidRPr="000E1BC3">
              <w:rPr>
                <w:rFonts w:ascii="Times New Roman" w:eastAsia="Arial Unicode MS" w:hAnsi="Times New Roman"/>
                <w:b/>
                <w:color w:val="000000"/>
                <w:shd w:val="clear" w:color="auto" w:fill="FFFFFF"/>
              </w:rPr>
              <w:t>; No effect = 1.00</w:t>
            </w:r>
          </w:p>
        </w:tc>
      </w:tr>
      <w:tr w:rsidR="00F51A05" w:rsidRPr="000E1BC3" w:rsidTr="00044223">
        <w:trPr>
          <w:cantSplit/>
          <w:trHeight w:val="66"/>
          <w:tblHeader/>
        </w:trPr>
        <w:tc>
          <w:tcPr>
            <w:tcW w:w="1006" w:type="pct"/>
            <w:vMerge/>
            <w:tcBorders>
              <w:top w:val="single" w:sz="6" w:space="0" w:color="auto"/>
              <w:bottom w:val="single" w:sz="12" w:space="0" w:color="auto"/>
            </w:tcBorders>
          </w:tcPr>
          <w:p w:rsidR="00F51A05" w:rsidRPr="000E1BC3" w:rsidRDefault="00F51A05" w:rsidP="002F34B8">
            <w:pPr>
              <w:keepNext/>
              <w:keepLines/>
              <w:widowControl w:val="0"/>
              <w:numPr>
                <w:ilvl w:val="0"/>
                <w:numId w:val="17"/>
              </w:numPr>
              <w:ind w:left="0" w:firstLine="0"/>
              <w:jc w:val="center"/>
              <w:rPr>
                <w:rFonts w:ascii="Times New Roman" w:hAnsi="Times New Roman"/>
                <w:b/>
                <w:strike/>
                <w:shd w:val="clear" w:color="auto" w:fill="FFFFFF"/>
              </w:rPr>
            </w:pPr>
          </w:p>
        </w:tc>
        <w:tc>
          <w:tcPr>
            <w:tcW w:w="906" w:type="pct"/>
            <w:vMerge/>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strike/>
                <w:color w:val="000000"/>
                <w:shd w:val="clear" w:color="auto" w:fill="FFFFFF"/>
              </w:rPr>
            </w:pPr>
          </w:p>
        </w:tc>
        <w:tc>
          <w:tcPr>
            <w:tcW w:w="712" w:type="pct"/>
            <w:vMerge/>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strike/>
                <w:color w:val="000000"/>
                <w:shd w:val="clear" w:color="auto" w:fill="FFFFFF"/>
              </w:rPr>
            </w:pPr>
          </w:p>
        </w:tc>
        <w:tc>
          <w:tcPr>
            <w:tcW w:w="285" w:type="pct"/>
            <w:vMerge/>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strike/>
                <w:color w:val="000000"/>
                <w:shd w:val="clear" w:color="auto" w:fill="FFFFFF"/>
              </w:rPr>
            </w:pPr>
          </w:p>
        </w:tc>
        <w:tc>
          <w:tcPr>
            <w:tcW w:w="759" w:type="pct"/>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C</w:t>
            </w:r>
            <w:r w:rsidRPr="000E1BC3">
              <w:rPr>
                <w:rFonts w:ascii="Times New Roman" w:eastAsia="Arial Unicode MS" w:hAnsi="Times New Roman"/>
                <w:b/>
                <w:color w:val="000000"/>
                <w:shd w:val="clear" w:color="auto" w:fill="FFFFFF"/>
                <w:vertAlign w:val="subscript"/>
              </w:rPr>
              <w:t>max</w:t>
            </w:r>
          </w:p>
        </w:tc>
        <w:tc>
          <w:tcPr>
            <w:tcW w:w="711" w:type="pct"/>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AUC</w:t>
            </w:r>
          </w:p>
        </w:tc>
        <w:tc>
          <w:tcPr>
            <w:tcW w:w="621" w:type="pct"/>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C</w:t>
            </w:r>
            <w:r w:rsidRPr="000E1BC3">
              <w:rPr>
                <w:rFonts w:ascii="Times New Roman" w:eastAsia="Arial Unicode MS" w:hAnsi="Times New Roman"/>
                <w:b/>
                <w:color w:val="000000"/>
                <w:shd w:val="clear" w:color="auto" w:fill="FFFFFF"/>
                <w:vertAlign w:val="subscript"/>
              </w:rPr>
              <w:t>min</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Atazanavir</w:t>
            </w:r>
            <w:r w:rsidRPr="000E1BC3">
              <w:rPr>
                <w:rFonts w:ascii="Times New Roman" w:hAnsi="Times New Roman" w:cs="Times New Roman"/>
                <w:vertAlign w:val="superscript"/>
              </w:rPr>
              <w:t xml:space="preserve">c </w:t>
            </w:r>
            <w:r w:rsidRPr="000E1BC3">
              <w:rPr>
                <w:rFonts w:ascii="Times New Roman" w:hAnsi="Times New Roman" w:cs="Times New Roman"/>
              </w:rPr>
              <w:t>(fed)</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300+150 cobicistat once daily</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75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15</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1.31</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(1.23, 1.40)</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 xml:space="preserve">4.06 </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(3.76, 4.37)</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Atazanavir</w:t>
            </w:r>
            <w:r w:rsidRPr="000E1BC3">
              <w:rPr>
                <w:rFonts w:ascii="Times New Roman" w:hAnsi="Times New Roman" w:cs="Times New Roman"/>
                <w:vertAlign w:val="superscript"/>
              </w:rPr>
              <w:t xml:space="preserve">d </w:t>
            </w:r>
            <w:r w:rsidRPr="000E1BC3">
              <w:rPr>
                <w:rFonts w:ascii="Times New Roman" w:hAnsi="Times New Roman" w:cs="Times New Roman"/>
              </w:rPr>
              <w:t>(fed)</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400 once daily</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75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15</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1.28</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(1.23, 1.33)</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4.15</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(3.81, 4.51)</w:t>
            </w:r>
          </w:p>
        </w:tc>
        <w:tc>
          <w:tcPr>
            <w:tcW w:w="621" w:type="pct"/>
            <w:tcBorders>
              <w:top w:val="single" w:sz="6" w:space="0" w:color="auto"/>
              <w:bottom w:val="single" w:sz="6" w:space="0" w:color="auto"/>
            </w:tcBorders>
            <w:vAlign w:val="center"/>
          </w:tcPr>
          <w:p w:rsidR="00F51A05" w:rsidRPr="000E1BC3" w:rsidRDefault="00F51A05" w:rsidP="00044223">
            <w:pPr>
              <w:pStyle w:val="TOCHeadings"/>
              <w:keepNext/>
              <w:keepLines/>
              <w:widowControl/>
              <w:jc w:val="center"/>
              <w:rPr>
                <w:rFonts w:ascii="Times New Roman" w:hAnsi="Times New Roman"/>
                <w:b w:val="0"/>
                <w:sz w:val="20"/>
              </w:rPr>
            </w:pPr>
            <w:r w:rsidRPr="000E1BC3">
              <w:rPr>
                <w:rFonts w:ascii="Times New Roman" w:hAnsi="Times New Roman"/>
                <w:b w:val="0"/>
                <w:sz w:val="20"/>
              </w:rPr>
              <w:t>NA</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Darunavir</w:t>
            </w:r>
            <w:r w:rsidRPr="000E1BC3">
              <w:rPr>
                <w:rFonts w:ascii="Times New Roman" w:hAnsi="Times New Roman" w:cs="Times New Roman"/>
                <w:vertAlign w:val="superscript"/>
              </w:rPr>
              <w:t>e</w:t>
            </w:r>
            <w:r w:rsidRPr="000E1BC3">
              <w:rPr>
                <w:rFonts w:ascii="Times New Roman" w:hAnsi="Times New Roman" w:cs="Times New Roman"/>
              </w:rPr>
              <w:t xml:space="preserve"> (fed)</w:t>
            </w:r>
          </w:p>
        </w:tc>
        <w:tc>
          <w:tcPr>
            <w:tcW w:w="906"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800+150 cobicistat once daily</w:t>
            </w:r>
          </w:p>
        </w:tc>
        <w:tc>
          <w:tcPr>
            <w:tcW w:w="712"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75 once daily</w:t>
            </w:r>
          </w:p>
        </w:tc>
        <w:tc>
          <w:tcPr>
            <w:tcW w:w="285"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13</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1.52</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(1.40, 1.64)</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1.74</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(1.62, 1.87)</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2.11</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(1.95, 2.29)</w:t>
            </w:r>
          </w:p>
        </w:tc>
      </w:tr>
      <w:tr w:rsidR="00F51A05" w:rsidRPr="000E1BC3" w:rsidTr="00044223">
        <w:trPr>
          <w:cantSplit/>
          <w:trHeight w:val="432"/>
        </w:trPr>
        <w:tc>
          <w:tcPr>
            <w:tcW w:w="1006" w:type="pct"/>
            <w:shd w:val="clear" w:color="auto" w:fill="auto"/>
            <w:vAlign w:val="center"/>
          </w:tcPr>
          <w:p w:rsidR="00F51A05" w:rsidRPr="000E1BC3" w:rsidRDefault="00F51A05" w:rsidP="00044223">
            <w:pPr>
              <w:pStyle w:val="TableText"/>
              <w:keepNext w:val="0"/>
              <w:keepLines w:val="0"/>
              <w:widowControl w:val="0"/>
              <w:ind w:left="90"/>
              <w:jc w:val="left"/>
              <w:rPr>
                <w:rFonts w:ascii="Times New Roman" w:hAnsi="Times New Roman" w:cs="Times New Roman"/>
              </w:rPr>
            </w:pPr>
            <w:r w:rsidRPr="000E1BC3">
              <w:rPr>
                <w:rFonts w:ascii="Times New Roman" w:hAnsi="Times New Roman" w:cs="Times New Roman"/>
              </w:rPr>
              <w:t>Ledipasvir/</w:t>
            </w:r>
          </w:p>
          <w:p w:rsidR="00F51A05" w:rsidRPr="000E1BC3" w:rsidRDefault="00F51A05" w:rsidP="00044223">
            <w:pPr>
              <w:pStyle w:val="TableText"/>
              <w:keepNext w:val="0"/>
              <w:keepLines w:val="0"/>
              <w:widowControl w:val="0"/>
              <w:ind w:left="90"/>
              <w:jc w:val="left"/>
              <w:rPr>
                <w:rFonts w:ascii="Times New Roman" w:hAnsi="Times New Roman" w:cs="Times New Roman"/>
                <w:b/>
              </w:rPr>
            </w:pPr>
            <w:r w:rsidRPr="000E1BC3">
              <w:rPr>
                <w:rFonts w:ascii="Times New Roman" w:hAnsi="Times New Roman" w:cs="Times New Roman"/>
              </w:rPr>
              <w:t>Sofosbuvir (fed)</w:t>
            </w:r>
          </w:p>
        </w:tc>
        <w:tc>
          <w:tcPr>
            <w:tcW w:w="906"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90/400 once daily</w:t>
            </w:r>
          </w:p>
        </w:tc>
        <w:tc>
          <w:tcPr>
            <w:tcW w:w="712"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75 once daily</w:t>
            </w:r>
          </w:p>
        </w:tc>
        <w:tc>
          <w:tcPr>
            <w:tcW w:w="285" w:type="pct"/>
            <w:vAlign w:val="center"/>
          </w:tcPr>
          <w:p w:rsidR="00F51A05" w:rsidRPr="000E1BC3" w:rsidRDefault="00F51A05" w:rsidP="00044223">
            <w:pPr>
              <w:keepNext/>
              <w:keepLines/>
              <w:spacing w:before="180"/>
              <w:jc w:val="center"/>
              <w:rPr>
                <w:rFonts w:ascii="Times New Roman" w:hAnsi="Times New Roman"/>
              </w:rPr>
            </w:pPr>
            <w:r w:rsidRPr="000E1BC3">
              <w:rPr>
                <w:rFonts w:ascii="Times New Roman" w:hAnsi="Times New Roman"/>
              </w:rPr>
              <w:t>30</w:t>
            </w:r>
          </w:p>
        </w:tc>
        <w:tc>
          <w:tcPr>
            <w:tcW w:w="759"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0.98</w:t>
            </w:r>
          </w:p>
          <w:p w:rsidR="00F51A05" w:rsidRPr="000E1BC3" w:rsidRDefault="00F51A05" w:rsidP="00044223">
            <w:pPr>
              <w:pStyle w:val="TOCHeadings"/>
              <w:spacing w:before="60" w:after="60"/>
              <w:jc w:val="center"/>
              <w:rPr>
                <w:rFonts w:ascii="Times New Roman" w:hAnsi="Times New Roman"/>
                <w:b w:val="0"/>
                <w:sz w:val="20"/>
              </w:rPr>
            </w:pPr>
            <w:r w:rsidRPr="000E1BC3">
              <w:rPr>
                <w:rFonts w:ascii="Times New Roman" w:hAnsi="Times New Roman"/>
                <w:b w:val="0"/>
                <w:sz w:val="20"/>
              </w:rPr>
              <w:t>(0.94, 1.03)</w:t>
            </w:r>
          </w:p>
        </w:tc>
        <w:tc>
          <w:tcPr>
            <w:tcW w:w="71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1.00</w:t>
            </w:r>
          </w:p>
          <w:p w:rsidR="00F51A05" w:rsidRPr="000E1BC3" w:rsidRDefault="00F51A05" w:rsidP="00044223">
            <w:pPr>
              <w:pStyle w:val="TOCHeadings"/>
              <w:spacing w:before="60" w:after="60"/>
              <w:jc w:val="center"/>
              <w:rPr>
                <w:rFonts w:ascii="Times New Roman" w:hAnsi="Times New Roman"/>
                <w:b w:val="0"/>
                <w:sz w:val="20"/>
              </w:rPr>
            </w:pPr>
            <w:r w:rsidRPr="000E1BC3">
              <w:rPr>
                <w:rFonts w:ascii="Times New Roman" w:hAnsi="Times New Roman"/>
                <w:b w:val="0"/>
                <w:sz w:val="20"/>
              </w:rPr>
              <w:t>(0.97, 1.03)</w:t>
            </w:r>
          </w:p>
        </w:tc>
        <w:tc>
          <w:tcPr>
            <w:tcW w:w="62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1.04</w:t>
            </w:r>
          </w:p>
          <w:p w:rsidR="00F51A05" w:rsidRPr="000E1BC3" w:rsidRDefault="00F51A05" w:rsidP="00044223">
            <w:pPr>
              <w:pStyle w:val="TOCHeadings"/>
              <w:spacing w:before="60" w:after="60"/>
              <w:jc w:val="center"/>
              <w:rPr>
                <w:rFonts w:ascii="Times New Roman" w:hAnsi="Times New Roman"/>
                <w:b w:val="0"/>
                <w:sz w:val="20"/>
              </w:rPr>
            </w:pPr>
            <w:r w:rsidRPr="000E1BC3">
              <w:rPr>
                <w:rFonts w:ascii="Times New Roman" w:hAnsi="Times New Roman"/>
                <w:b w:val="0"/>
                <w:sz w:val="20"/>
              </w:rPr>
              <w:t>(0.99, 1.09)</w:t>
            </w:r>
          </w:p>
        </w:tc>
      </w:tr>
      <w:tr w:rsidR="00F51A05" w:rsidRPr="000E1BC3" w:rsidTr="00044223">
        <w:trPr>
          <w:cantSplit/>
          <w:trHeight w:val="399"/>
        </w:trPr>
        <w:tc>
          <w:tcPr>
            <w:tcW w:w="1006" w:type="pct"/>
            <w:shd w:val="clear" w:color="auto" w:fill="auto"/>
            <w:vAlign w:val="center"/>
          </w:tcPr>
          <w:p w:rsidR="00F51A05" w:rsidRPr="000E1BC3" w:rsidRDefault="00F51A05" w:rsidP="00044223">
            <w:pPr>
              <w:pStyle w:val="TableText"/>
              <w:keepNext w:val="0"/>
              <w:keepLines w:val="0"/>
              <w:widowControl w:val="0"/>
              <w:ind w:left="90"/>
              <w:jc w:val="left"/>
              <w:rPr>
                <w:rFonts w:ascii="Times New Roman" w:hAnsi="Times New Roman" w:cs="Times New Roman"/>
              </w:rPr>
            </w:pPr>
            <w:r w:rsidRPr="000E1BC3">
              <w:rPr>
                <w:rFonts w:ascii="Times New Roman" w:hAnsi="Times New Roman" w:cs="Times New Roman"/>
              </w:rPr>
              <w:t>Rifabutin</w:t>
            </w:r>
          </w:p>
          <w:p w:rsidR="00F51A05" w:rsidRPr="000E1BC3" w:rsidRDefault="00F51A05" w:rsidP="00044223">
            <w:pPr>
              <w:pStyle w:val="TableText"/>
              <w:keepNext w:val="0"/>
              <w:keepLines w:val="0"/>
              <w:widowControl w:val="0"/>
              <w:ind w:left="90"/>
              <w:jc w:val="left"/>
              <w:rPr>
                <w:rFonts w:ascii="Times New Roman" w:hAnsi="Times New Roman" w:cs="Times New Roman"/>
              </w:rPr>
            </w:pPr>
            <w:r w:rsidRPr="000E1BC3">
              <w:rPr>
                <w:rFonts w:ascii="Times New Roman" w:hAnsi="Times New Roman" w:cs="Times New Roman"/>
              </w:rPr>
              <w:t>(fasted)</w:t>
            </w:r>
          </w:p>
        </w:tc>
        <w:tc>
          <w:tcPr>
            <w:tcW w:w="906"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300 once daily</w:t>
            </w:r>
          </w:p>
        </w:tc>
        <w:tc>
          <w:tcPr>
            <w:tcW w:w="712"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75 once daily</w:t>
            </w:r>
          </w:p>
        </w:tc>
        <w:tc>
          <w:tcPr>
            <w:tcW w:w="285"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13</w:t>
            </w:r>
          </w:p>
        </w:tc>
        <w:tc>
          <w:tcPr>
            <w:tcW w:w="759"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0.80</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(0.67, 0.97)</w:t>
            </w:r>
          </w:p>
        </w:tc>
        <w:tc>
          <w:tcPr>
            <w:tcW w:w="71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 0.62</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(0.53, 0.72)</w:t>
            </w:r>
          </w:p>
        </w:tc>
        <w:tc>
          <w:tcPr>
            <w:tcW w:w="621" w:type="pct"/>
            <w:vAlign w:val="center"/>
          </w:tcPr>
          <w:p w:rsidR="00F51A05" w:rsidRPr="000E1BC3" w:rsidRDefault="00F51A05" w:rsidP="00044223">
            <w:pPr>
              <w:pStyle w:val="TOCHeadings"/>
              <w:spacing w:before="60" w:after="60"/>
              <w:jc w:val="center"/>
              <w:rPr>
                <w:rFonts w:ascii="Times New Roman" w:hAnsi="Times New Roman"/>
                <w:b w:val="0"/>
                <w:sz w:val="20"/>
              </w:rPr>
            </w:pPr>
            <w:r w:rsidRPr="000E1BC3">
              <w:rPr>
                <w:rFonts w:ascii="Times New Roman" w:hAnsi="Times New Roman"/>
                <w:b w:val="0"/>
                <w:sz w:val="20"/>
              </w:rPr>
              <w:t>0.44</w:t>
            </w:r>
          </w:p>
          <w:p w:rsidR="00F51A05" w:rsidRPr="000E1BC3" w:rsidRDefault="00F51A05" w:rsidP="00044223">
            <w:pPr>
              <w:pStyle w:val="TOCHeadings"/>
              <w:spacing w:before="60" w:after="60"/>
              <w:jc w:val="center"/>
              <w:rPr>
                <w:rFonts w:ascii="Times New Roman" w:hAnsi="Times New Roman"/>
                <w:b w:val="0"/>
                <w:sz w:val="20"/>
              </w:rPr>
            </w:pPr>
            <w:r w:rsidRPr="000E1BC3">
              <w:rPr>
                <w:rFonts w:ascii="Times New Roman" w:hAnsi="Times New Roman"/>
                <w:b w:val="0"/>
                <w:sz w:val="20"/>
              </w:rPr>
              <w:t>(0.37, 0.52)</w:t>
            </w:r>
          </w:p>
        </w:tc>
      </w:tr>
      <w:tr w:rsidR="00F51A05" w:rsidRPr="000E1BC3" w:rsidTr="00044223">
        <w:trPr>
          <w:cantSplit/>
          <w:trHeight w:val="404"/>
        </w:trPr>
        <w:tc>
          <w:tcPr>
            <w:tcW w:w="1006" w:type="pct"/>
            <w:shd w:val="clear" w:color="auto" w:fill="auto"/>
            <w:vAlign w:val="center"/>
          </w:tcPr>
          <w:p w:rsidR="00F51A05" w:rsidRPr="000E1BC3" w:rsidRDefault="00F51A05" w:rsidP="00044223">
            <w:pPr>
              <w:pStyle w:val="TableText"/>
              <w:keepNext w:val="0"/>
              <w:keepLines w:val="0"/>
              <w:widowControl w:val="0"/>
              <w:ind w:left="90"/>
              <w:jc w:val="left"/>
              <w:rPr>
                <w:rFonts w:ascii="Times New Roman" w:hAnsi="Times New Roman" w:cs="Times New Roman"/>
              </w:rPr>
            </w:pPr>
            <w:r w:rsidRPr="000E1BC3">
              <w:rPr>
                <w:rFonts w:ascii="Times New Roman" w:hAnsi="Times New Roman" w:cs="Times New Roman"/>
              </w:rPr>
              <w:t>Rifampi</w:t>
            </w:r>
            <w:r w:rsidR="00D76FB5">
              <w:rPr>
                <w:rFonts w:ascii="Times New Roman" w:hAnsi="Times New Roman" w:cs="Times New Roman"/>
              </w:rPr>
              <w:t>ci</w:t>
            </w:r>
            <w:r w:rsidRPr="000E1BC3">
              <w:rPr>
                <w:rFonts w:ascii="Times New Roman" w:hAnsi="Times New Roman" w:cs="Times New Roman"/>
              </w:rPr>
              <w:t>n</w:t>
            </w:r>
          </w:p>
          <w:p w:rsidR="00F51A05" w:rsidRPr="000E1BC3" w:rsidRDefault="00F51A05" w:rsidP="00044223">
            <w:pPr>
              <w:pStyle w:val="TableText"/>
              <w:keepNext w:val="0"/>
              <w:keepLines w:val="0"/>
              <w:widowControl w:val="0"/>
              <w:ind w:left="90"/>
              <w:jc w:val="left"/>
              <w:rPr>
                <w:rFonts w:ascii="Times New Roman" w:hAnsi="Times New Roman" w:cs="Times New Roman"/>
              </w:rPr>
            </w:pPr>
            <w:r w:rsidRPr="000E1BC3">
              <w:rPr>
                <w:rFonts w:ascii="Times New Roman" w:hAnsi="Times New Roman" w:cs="Times New Roman"/>
              </w:rPr>
              <w:t>(fed)</w:t>
            </w:r>
          </w:p>
        </w:tc>
        <w:tc>
          <w:tcPr>
            <w:tcW w:w="906"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600 once daily</w:t>
            </w:r>
          </w:p>
        </w:tc>
        <w:tc>
          <w:tcPr>
            <w:tcW w:w="712"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75 single dose</w:t>
            </w:r>
          </w:p>
        </w:tc>
        <w:tc>
          <w:tcPr>
            <w:tcW w:w="285"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15</w:t>
            </w:r>
          </w:p>
        </w:tc>
        <w:tc>
          <w:tcPr>
            <w:tcW w:w="759"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0.72</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(0.67, 0.78)</w:t>
            </w:r>
          </w:p>
        </w:tc>
        <w:tc>
          <w:tcPr>
            <w:tcW w:w="71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0.25</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rPr>
              <w:t>(</w:t>
            </w:r>
            <w:r w:rsidRPr="000E1BC3">
              <w:rPr>
                <w:rFonts w:ascii="Times New Roman" w:hAnsi="Times New Roman" w:cs="Times New Roman"/>
              </w:rPr>
              <w:t>0.22, 0.27)</w:t>
            </w:r>
          </w:p>
        </w:tc>
        <w:tc>
          <w:tcPr>
            <w:tcW w:w="62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rPr>
              <w:t>NA</w:t>
            </w:r>
          </w:p>
        </w:tc>
      </w:tr>
      <w:tr w:rsidR="00F51A05" w:rsidRPr="000E1BC3" w:rsidTr="00044223">
        <w:trPr>
          <w:cantSplit/>
          <w:trHeight w:val="537"/>
        </w:trPr>
        <w:tc>
          <w:tcPr>
            <w:tcW w:w="1006" w:type="pct"/>
            <w:shd w:val="clear" w:color="auto" w:fill="auto"/>
            <w:vAlign w:val="center"/>
          </w:tcPr>
          <w:p w:rsidR="00F51A05" w:rsidRPr="000E1BC3" w:rsidRDefault="00F51A05" w:rsidP="00044223">
            <w:pPr>
              <w:pStyle w:val="TableText"/>
              <w:keepNext w:val="0"/>
              <w:keepLines w:val="0"/>
              <w:widowControl w:val="0"/>
              <w:ind w:left="86"/>
              <w:jc w:val="left"/>
              <w:rPr>
                <w:rFonts w:ascii="Times New Roman" w:hAnsi="Times New Roman" w:cs="Times New Roman"/>
              </w:rPr>
            </w:pPr>
            <w:r w:rsidRPr="000E1BC3">
              <w:rPr>
                <w:rFonts w:ascii="Times New Roman" w:hAnsi="Times New Roman" w:cs="Times New Roman"/>
              </w:rPr>
              <w:t>Sofosbuvir/ velpatasvir/ voxilaprevir (fed)</w:t>
            </w:r>
          </w:p>
        </w:tc>
        <w:tc>
          <w:tcPr>
            <w:tcW w:w="906"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400/100/100+100 voxilaprevir</w:t>
            </w:r>
            <w:r w:rsidRPr="000E1BC3">
              <w:rPr>
                <w:rFonts w:ascii="Times New Roman" w:hAnsi="Times New Roman"/>
                <w:vertAlign w:val="superscript"/>
              </w:rPr>
              <w:t>f</w:t>
            </w:r>
            <w:r w:rsidRPr="000E1BC3">
              <w:rPr>
                <w:rFonts w:ascii="Times New Roman" w:hAnsi="Times New Roman"/>
              </w:rPr>
              <w:t xml:space="preserve"> once daily</w:t>
            </w:r>
          </w:p>
        </w:tc>
        <w:tc>
          <w:tcPr>
            <w:tcW w:w="712"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once daily</w:t>
            </w:r>
          </w:p>
        </w:tc>
        <w:tc>
          <w:tcPr>
            <w:tcW w:w="285" w:type="pct"/>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30</w:t>
            </w:r>
          </w:p>
        </w:tc>
        <w:tc>
          <w:tcPr>
            <w:tcW w:w="759"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0.98</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(0.94, 1.01)</w:t>
            </w:r>
          </w:p>
        </w:tc>
        <w:tc>
          <w:tcPr>
            <w:tcW w:w="71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1.07</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(1.03, 1.10)</w:t>
            </w:r>
          </w:p>
        </w:tc>
        <w:tc>
          <w:tcPr>
            <w:tcW w:w="621"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1.10</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(1.05, 1.17)</w:t>
            </w:r>
          </w:p>
        </w:tc>
      </w:tr>
      <w:tr w:rsidR="00F51A05" w:rsidRPr="000E1BC3" w:rsidTr="00044223">
        <w:trPr>
          <w:cantSplit/>
          <w:trHeight w:val="600"/>
        </w:trPr>
        <w:tc>
          <w:tcPr>
            <w:tcW w:w="1006" w:type="pct"/>
            <w:shd w:val="clear" w:color="auto" w:fill="auto"/>
            <w:vAlign w:val="center"/>
          </w:tcPr>
          <w:p w:rsidR="00F51A05" w:rsidRPr="000E1BC3" w:rsidRDefault="00F51A05" w:rsidP="00044223">
            <w:pPr>
              <w:pStyle w:val="TableText"/>
              <w:keepNext w:val="0"/>
              <w:keepLines w:val="0"/>
              <w:widowControl w:val="0"/>
              <w:spacing w:after="0"/>
              <w:ind w:left="86"/>
              <w:jc w:val="left"/>
              <w:rPr>
                <w:rFonts w:ascii="Times New Roman" w:hAnsi="Times New Roman" w:cs="Times New Roman"/>
              </w:rPr>
            </w:pPr>
            <w:r w:rsidRPr="000E1BC3">
              <w:rPr>
                <w:rFonts w:ascii="Times New Roman" w:hAnsi="Times New Roman" w:cs="Times New Roman"/>
              </w:rPr>
              <w:lastRenderedPageBreak/>
              <w:t>Voriconazole</w:t>
            </w:r>
            <w:r w:rsidRPr="000E1BC3">
              <w:rPr>
                <w:rFonts w:ascii="Times New Roman" w:hAnsi="Times New Roman" w:cs="Times New Roman"/>
                <w:vertAlign w:val="superscript"/>
              </w:rPr>
              <w:t>e</w:t>
            </w:r>
          </w:p>
          <w:p w:rsidR="00F51A05" w:rsidRPr="000E1BC3" w:rsidRDefault="00F51A05" w:rsidP="00044223">
            <w:pPr>
              <w:pStyle w:val="TableText"/>
              <w:keepNext w:val="0"/>
              <w:keepLines w:val="0"/>
              <w:widowControl w:val="0"/>
              <w:spacing w:after="0"/>
              <w:ind w:left="86"/>
              <w:jc w:val="left"/>
              <w:rPr>
                <w:rFonts w:ascii="Times New Roman" w:hAnsi="Times New Roman" w:cs="Times New Roman"/>
              </w:rPr>
            </w:pPr>
            <w:r w:rsidRPr="000E1BC3">
              <w:rPr>
                <w:rFonts w:ascii="Times New Roman" w:hAnsi="Times New Roman" w:cs="Times New Roman"/>
              </w:rPr>
              <w:t>(fasted)</w:t>
            </w:r>
          </w:p>
        </w:tc>
        <w:tc>
          <w:tcPr>
            <w:tcW w:w="906" w:type="pct"/>
            <w:vAlign w:val="center"/>
          </w:tcPr>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300 twice daily</w:t>
            </w:r>
          </w:p>
        </w:tc>
        <w:tc>
          <w:tcPr>
            <w:tcW w:w="712" w:type="pct"/>
            <w:vAlign w:val="center"/>
          </w:tcPr>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75 single dose</w:t>
            </w:r>
          </w:p>
        </w:tc>
        <w:tc>
          <w:tcPr>
            <w:tcW w:w="285" w:type="pct"/>
            <w:vAlign w:val="center"/>
          </w:tcPr>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15</w:t>
            </w:r>
          </w:p>
        </w:tc>
        <w:tc>
          <w:tcPr>
            <w:tcW w:w="759" w:type="pct"/>
            <w:vAlign w:val="center"/>
          </w:tcPr>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1.09</w:t>
            </w:r>
          </w:p>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(0.96, 1.23)</w:t>
            </w:r>
          </w:p>
        </w:tc>
        <w:tc>
          <w:tcPr>
            <w:tcW w:w="711" w:type="pct"/>
            <w:vAlign w:val="center"/>
          </w:tcPr>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1.61</w:t>
            </w:r>
          </w:p>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(1.41, 1.84)</w:t>
            </w:r>
          </w:p>
        </w:tc>
        <w:tc>
          <w:tcPr>
            <w:tcW w:w="621" w:type="pct"/>
            <w:vAlign w:val="center"/>
          </w:tcPr>
          <w:p w:rsidR="00F51A05" w:rsidRPr="000E1BC3" w:rsidRDefault="00F51A05" w:rsidP="00044223">
            <w:pPr>
              <w:pStyle w:val="TableText"/>
              <w:keepNext w:val="0"/>
              <w:keepLines w:val="0"/>
              <w:widowControl w:val="0"/>
              <w:spacing w:after="0"/>
              <w:ind w:left="86"/>
              <w:rPr>
                <w:rFonts w:ascii="Times New Roman" w:hAnsi="Times New Roman" w:cs="Times New Roman"/>
              </w:rPr>
            </w:pPr>
            <w:r w:rsidRPr="000E1BC3">
              <w:rPr>
                <w:rFonts w:ascii="Times New Roman" w:hAnsi="Times New Roman" w:cs="Times New Roman"/>
              </w:rPr>
              <w:t>NA</w:t>
            </w:r>
          </w:p>
        </w:tc>
      </w:tr>
      <w:tr w:rsidR="00F51A05" w:rsidRPr="000E1BC3" w:rsidTr="009B3840">
        <w:trPr>
          <w:cantSplit/>
          <w:trHeight w:val="59"/>
        </w:trPr>
        <w:tc>
          <w:tcPr>
            <w:tcW w:w="5000" w:type="pct"/>
            <w:gridSpan w:val="7"/>
            <w:tcBorders>
              <w:top w:val="single" w:sz="12" w:space="0" w:color="auto"/>
              <w:bottom w:val="single" w:sz="12" w:space="0" w:color="auto"/>
            </w:tcBorders>
            <w:shd w:val="clear" w:color="auto" w:fill="auto"/>
            <w:vAlign w:val="center"/>
          </w:tcPr>
          <w:p w:rsidR="00F51A05" w:rsidRPr="000E1BC3" w:rsidRDefault="00F51A05" w:rsidP="00044223">
            <w:pPr>
              <w:pStyle w:val="TableText"/>
              <w:jc w:val="left"/>
              <w:rPr>
                <w:rFonts w:ascii="Times New Roman" w:hAnsi="Times New Roman" w:cs="Times New Roman"/>
              </w:rPr>
            </w:pPr>
            <w:r w:rsidRPr="000E1BC3">
              <w:rPr>
                <w:rFonts w:ascii="Times New Roman" w:hAnsi="Times New Roman" w:cs="Times New Roman"/>
              </w:rPr>
              <w:t xml:space="preserve">Medications or Oral Supplements Containing Polyvalent Cations </w:t>
            </w:r>
          </w:p>
        </w:tc>
      </w:tr>
      <w:tr w:rsidR="00F51A05" w:rsidRPr="000E1BC3" w:rsidTr="009B3840">
        <w:trPr>
          <w:cantSplit/>
          <w:trHeight w:val="399"/>
        </w:trPr>
        <w:tc>
          <w:tcPr>
            <w:tcW w:w="1006" w:type="pct"/>
            <w:tcBorders>
              <w:top w:val="single" w:sz="12" w:space="0" w:color="auto"/>
              <w:bottom w:val="single" w:sz="4"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Maximum strength antacid</w:t>
            </w:r>
          </w:p>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(simultaneous administration, fasted)</w:t>
            </w:r>
          </w:p>
        </w:tc>
        <w:tc>
          <w:tcPr>
            <w:tcW w:w="906" w:type="pct"/>
            <w:tcBorders>
              <w:top w:val="single" w:sz="12" w:space="0" w:color="auto"/>
              <w:bottom w:val="single" w:sz="4"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20 mL</w:t>
            </w:r>
            <w:r w:rsidRPr="000E1BC3">
              <w:rPr>
                <w:rFonts w:ascii="Times New Roman" w:hAnsi="Times New Roman"/>
                <w:vertAlign w:val="superscript"/>
              </w:rPr>
              <w:t>g</w:t>
            </w:r>
            <w:r w:rsidRPr="000E1BC3">
              <w:rPr>
                <w:rFonts w:ascii="Times New Roman" w:hAnsi="Times New Roman"/>
              </w:rPr>
              <w:t xml:space="preserve"> single dose (oral)</w:t>
            </w:r>
          </w:p>
        </w:tc>
        <w:tc>
          <w:tcPr>
            <w:tcW w:w="712" w:type="pct"/>
            <w:tcBorders>
              <w:top w:val="single" w:sz="12" w:space="0" w:color="auto"/>
              <w:bottom w:val="single" w:sz="4"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12" w:space="0" w:color="auto"/>
              <w:bottom w:val="single" w:sz="4"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14</w:t>
            </w:r>
          </w:p>
        </w:tc>
        <w:tc>
          <w:tcPr>
            <w:tcW w:w="759" w:type="pct"/>
            <w:tcBorders>
              <w:top w:val="single" w:sz="12" w:space="0" w:color="auto"/>
              <w:bottom w:val="single" w:sz="4"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0.20</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(0.16, 0.24)</w:t>
            </w:r>
          </w:p>
        </w:tc>
        <w:tc>
          <w:tcPr>
            <w:tcW w:w="711" w:type="pct"/>
            <w:tcBorders>
              <w:top w:val="single" w:sz="12" w:space="0" w:color="auto"/>
              <w:bottom w:val="single" w:sz="4"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0.21</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(0.18, 0.26)</w:t>
            </w:r>
          </w:p>
        </w:tc>
        <w:tc>
          <w:tcPr>
            <w:tcW w:w="621" w:type="pct"/>
            <w:tcBorders>
              <w:top w:val="single" w:sz="12" w:space="0" w:color="auto"/>
              <w:bottom w:val="single" w:sz="4"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9B3840">
        <w:trPr>
          <w:cantSplit/>
          <w:trHeight w:val="399"/>
        </w:trPr>
        <w:tc>
          <w:tcPr>
            <w:tcW w:w="1006" w:type="pct"/>
            <w:tcBorders>
              <w:top w:val="single" w:sz="4"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Maximum strength antacid</w:t>
            </w:r>
          </w:p>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(2 hrs after [</w:t>
            </w:r>
            <w:r w:rsidR="002F43D2">
              <w:rPr>
                <w:rFonts w:ascii="Times New Roman" w:hAnsi="Times New Roman" w:cs="Times New Roman"/>
              </w:rPr>
              <w:t>BIKTARVY</w:t>
            </w:r>
            <w:r w:rsidRPr="000E1BC3">
              <w:rPr>
                <w:rFonts w:ascii="Times New Roman" w:hAnsi="Times New Roman" w:cs="Times New Roman"/>
              </w:rPr>
              <w:t>] fasted)</w:t>
            </w:r>
          </w:p>
        </w:tc>
        <w:tc>
          <w:tcPr>
            <w:tcW w:w="906" w:type="pct"/>
            <w:tcBorders>
              <w:top w:val="single" w:sz="4"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20 mL</w:t>
            </w:r>
            <w:r w:rsidRPr="000E1BC3">
              <w:rPr>
                <w:rFonts w:ascii="Times New Roman" w:hAnsi="Times New Roman"/>
                <w:vertAlign w:val="superscript"/>
              </w:rPr>
              <w:t>g</w:t>
            </w:r>
            <w:r w:rsidRPr="000E1BC3">
              <w:rPr>
                <w:rFonts w:ascii="Times New Roman" w:hAnsi="Times New Roman"/>
              </w:rPr>
              <w:t xml:space="preserve"> single dose (oral)</w:t>
            </w:r>
          </w:p>
        </w:tc>
        <w:tc>
          <w:tcPr>
            <w:tcW w:w="712" w:type="pct"/>
            <w:tcBorders>
              <w:top w:val="single" w:sz="4"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4"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13</w:t>
            </w:r>
          </w:p>
        </w:tc>
        <w:tc>
          <w:tcPr>
            <w:tcW w:w="759" w:type="pct"/>
            <w:tcBorders>
              <w:top w:val="single" w:sz="4"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0.93</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(0.88, 1.00)</w:t>
            </w:r>
          </w:p>
        </w:tc>
        <w:tc>
          <w:tcPr>
            <w:tcW w:w="711" w:type="pct"/>
            <w:tcBorders>
              <w:top w:val="single" w:sz="4"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0.87</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(0.81, 0.93)</w:t>
            </w:r>
          </w:p>
        </w:tc>
        <w:tc>
          <w:tcPr>
            <w:tcW w:w="621" w:type="pct"/>
            <w:tcBorders>
              <w:top w:val="single" w:sz="4"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widowControl w:val="0"/>
              <w:ind w:left="90"/>
              <w:jc w:val="left"/>
              <w:rPr>
                <w:rFonts w:ascii="Times New Roman" w:hAnsi="Times New Roman" w:cs="Times New Roman"/>
              </w:rPr>
            </w:pPr>
            <w:r w:rsidRPr="000E1BC3">
              <w:rPr>
                <w:rFonts w:ascii="Times New Roman" w:hAnsi="Times New Roman" w:cs="Times New Roman"/>
              </w:rPr>
              <w:t>Maximum strength antacid</w:t>
            </w:r>
          </w:p>
          <w:p w:rsidR="00F51A05" w:rsidRPr="000E1BC3" w:rsidRDefault="00F51A05" w:rsidP="00044223">
            <w:pPr>
              <w:pStyle w:val="TableText"/>
              <w:widowControl w:val="0"/>
              <w:ind w:left="90"/>
              <w:jc w:val="left"/>
              <w:rPr>
                <w:rFonts w:ascii="Times New Roman" w:hAnsi="Times New Roman" w:cs="Times New Roman"/>
              </w:rPr>
            </w:pPr>
            <w:r w:rsidRPr="000E1BC3">
              <w:rPr>
                <w:rFonts w:ascii="Times New Roman" w:hAnsi="Times New Roman" w:cs="Times New Roman"/>
              </w:rPr>
              <w:t>(2 hrs before [</w:t>
            </w:r>
            <w:r w:rsidR="002F43D2">
              <w:rPr>
                <w:rFonts w:ascii="Times New Roman" w:hAnsi="Times New Roman" w:cs="Times New Roman"/>
              </w:rPr>
              <w:t>BIKTARVY</w:t>
            </w:r>
            <w:r w:rsidRPr="000E1BC3">
              <w:rPr>
                <w:rFonts w:ascii="Times New Roman" w:hAnsi="Times New Roman" w:cs="Times New Roman"/>
              </w:rPr>
              <w:t xml:space="preserve">] fasted) </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20 mL</w:t>
            </w:r>
            <w:r w:rsidRPr="000E1BC3">
              <w:rPr>
                <w:rFonts w:ascii="Times New Roman" w:hAnsi="Times New Roman"/>
                <w:vertAlign w:val="superscript"/>
              </w:rPr>
              <w:t>g</w:t>
            </w:r>
            <w:r w:rsidRPr="000E1BC3">
              <w:rPr>
                <w:rFonts w:ascii="Times New Roman" w:hAnsi="Times New Roman"/>
              </w:rPr>
              <w:t xml:space="preserve"> single dose (oral)</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13</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0.42</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(0.33, 0.52)</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0.48</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(0.38, 0.59)</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Maximum strength antacid</w:t>
            </w:r>
          </w:p>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(simultaneous administration, fed</w:t>
            </w:r>
            <w:r w:rsidRPr="000E1BC3">
              <w:rPr>
                <w:rFonts w:ascii="Times New Roman" w:hAnsi="Times New Roman" w:cs="Times New Roman"/>
                <w:vertAlign w:val="superscript"/>
              </w:rPr>
              <w:t>h</w:t>
            </w:r>
            <w:r w:rsidRPr="000E1BC3">
              <w:rPr>
                <w:rFonts w:ascii="Times New Roman" w:hAnsi="Times New Roman" w:cs="Times New Roman"/>
              </w:rPr>
              <w:t>)</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20 mL</w:t>
            </w:r>
            <w:r w:rsidRPr="000E1BC3">
              <w:rPr>
                <w:rFonts w:ascii="Times New Roman" w:hAnsi="Times New Roman"/>
                <w:vertAlign w:val="superscript"/>
              </w:rPr>
              <w:t>g</w:t>
            </w:r>
            <w:r w:rsidRPr="000E1BC3">
              <w:rPr>
                <w:rFonts w:ascii="Times New Roman" w:hAnsi="Times New Roman"/>
              </w:rPr>
              <w:t xml:space="preserve"> single dose (oral)</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14</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0.51</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(0.43, 0.62)</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0.53</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(0.44, 0.64)</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Calcium carbonate (simultaneous administration, fasted)</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1200 single dose</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14</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0.58</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(0.51, 0.67)</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0.67</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(0.57, 0.78)</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044223">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ind w:left="90"/>
              <w:jc w:val="left"/>
              <w:rPr>
                <w:rFonts w:ascii="Times New Roman" w:hAnsi="Times New Roman" w:cs="Times New Roman"/>
              </w:rPr>
            </w:pPr>
            <w:r w:rsidRPr="000E1BC3">
              <w:rPr>
                <w:rFonts w:ascii="Times New Roman" w:hAnsi="Times New Roman" w:cs="Times New Roman"/>
              </w:rPr>
              <w:t>Calcium carbonate (simultaneous administration, fed</w:t>
            </w:r>
            <w:r w:rsidRPr="000E1BC3">
              <w:rPr>
                <w:rFonts w:ascii="Times New Roman" w:hAnsi="Times New Roman" w:cs="Times New Roman"/>
                <w:vertAlign w:val="superscript"/>
              </w:rPr>
              <w:t>h</w:t>
            </w:r>
            <w:r w:rsidRPr="000E1BC3">
              <w:rPr>
                <w:rFonts w:ascii="Times New Roman" w:hAnsi="Times New Roman" w:cs="Times New Roman"/>
              </w:rPr>
              <w:t>)</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1200 single dose</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14</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0.90</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(0.78, 1.03)</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 xml:space="preserve">1.03 </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(0.89, 1.20)</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9B3840">
        <w:trPr>
          <w:cantSplit/>
          <w:trHeight w:val="399"/>
        </w:trPr>
        <w:tc>
          <w:tcPr>
            <w:tcW w:w="1006" w:type="pct"/>
            <w:tcBorders>
              <w:top w:val="single" w:sz="6" w:space="0" w:color="auto"/>
              <w:bottom w:val="single" w:sz="6" w:space="0" w:color="auto"/>
            </w:tcBorders>
            <w:shd w:val="clear" w:color="auto" w:fill="auto"/>
            <w:vAlign w:val="center"/>
          </w:tcPr>
          <w:p w:rsidR="00F51A05" w:rsidRPr="000E1BC3" w:rsidRDefault="00F51A05" w:rsidP="00044223">
            <w:pPr>
              <w:pStyle w:val="TableText"/>
              <w:widowControl w:val="0"/>
              <w:ind w:left="90"/>
              <w:jc w:val="left"/>
              <w:rPr>
                <w:rFonts w:ascii="Times New Roman" w:hAnsi="Times New Roman" w:cs="Times New Roman"/>
              </w:rPr>
            </w:pPr>
            <w:r w:rsidRPr="000E1BC3">
              <w:rPr>
                <w:rFonts w:ascii="Times New Roman" w:hAnsi="Times New Roman" w:cs="Times New Roman"/>
              </w:rPr>
              <w:t>Ferrous fumarate (simultaneous administration, fasted)</w:t>
            </w:r>
          </w:p>
        </w:tc>
        <w:tc>
          <w:tcPr>
            <w:tcW w:w="906"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324 single dose</w:t>
            </w:r>
          </w:p>
        </w:tc>
        <w:tc>
          <w:tcPr>
            <w:tcW w:w="712"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6" w:space="0" w:color="auto"/>
              <w:bottom w:val="single" w:sz="6"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14</w:t>
            </w:r>
          </w:p>
        </w:tc>
        <w:tc>
          <w:tcPr>
            <w:tcW w:w="759"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0.29</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(0.26, 0.33)</w:t>
            </w:r>
          </w:p>
        </w:tc>
        <w:tc>
          <w:tcPr>
            <w:tcW w:w="71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0.37</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(0.33, 0.42)</w:t>
            </w:r>
          </w:p>
        </w:tc>
        <w:tc>
          <w:tcPr>
            <w:tcW w:w="621" w:type="pct"/>
            <w:tcBorders>
              <w:top w:val="single" w:sz="6" w:space="0" w:color="auto"/>
              <w:bottom w:val="single" w:sz="6"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r w:rsidR="00F51A05" w:rsidRPr="000E1BC3" w:rsidTr="009B3840">
        <w:trPr>
          <w:cantSplit/>
          <w:trHeight w:val="399"/>
        </w:trPr>
        <w:tc>
          <w:tcPr>
            <w:tcW w:w="1006" w:type="pct"/>
            <w:tcBorders>
              <w:top w:val="single" w:sz="6" w:space="0" w:color="auto"/>
              <w:bottom w:val="single" w:sz="12" w:space="0" w:color="auto"/>
            </w:tcBorders>
            <w:shd w:val="clear" w:color="auto" w:fill="auto"/>
            <w:vAlign w:val="center"/>
          </w:tcPr>
          <w:p w:rsidR="00F51A05" w:rsidRPr="000E1BC3" w:rsidRDefault="00F51A05" w:rsidP="00044223">
            <w:pPr>
              <w:pStyle w:val="TableText"/>
              <w:widowControl w:val="0"/>
              <w:ind w:left="90"/>
              <w:jc w:val="left"/>
              <w:rPr>
                <w:rFonts w:ascii="Times New Roman" w:hAnsi="Times New Roman" w:cs="Times New Roman"/>
              </w:rPr>
            </w:pPr>
            <w:r w:rsidRPr="000E1BC3">
              <w:rPr>
                <w:rFonts w:ascii="Times New Roman" w:hAnsi="Times New Roman" w:cs="Times New Roman"/>
              </w:rPr>
              <w:t>Ferrous fumarate (simultaneous administration, fed</w:t>
            </w:r>
            <w:r w:rsidRPr="000E1BC3">
              <w:rPr>
                <w:rFonts w:ascii="Times New Roman" w:hAnsi="Times New Roman" w:cs="Times New Roman"/>
                <w:vertAlign w:val="superscript"/>
              </w:rPr>
              <w:t>h</w:t>
            </w:r>
            <w:r w:rsidRPr="000E1BC3">
              <w:rPr>
                <w:rFonts w:ascii="Times New Roman" w:hAnsi="Times New Roman" w:cs="Times New Roman"/>
              </w:rPr>
              <w:t>)</w:t>
            </w:r>
          </w:p>
        </w:tc>
        <w:tc>
          <w:tcPr>
            <w:tcW w:w="906" w:type="pct"/>
            <w:tcBorders>
              <w:top w:val="single" w:sz="6" w:space="0" w:color="auto"/>
              <w:bottom w:val="single" w:sz="12"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324 single dose</w:t>
            </w:r>
          </w:p>
        </w:tc>
        <w:tc>
          <w:tcPr>
            <w:tcW w:w="712" w:type="pct"/>
            <w:tcBorders>
              <w:top w:val="single" w:sz="6" w:space="0" w:color="auto"/>
              <w:bottom w:val="single" w:sz="12"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50 single dose</w:t>
            </w:r>
          </w:p>
        </w:tc>
        <w:tc>
          <w:tcPr>
            <w:tcW w:w="285" w:type="pct"/>
            <w:tcBorders>
              <w:top w:val="single" w:sz="6" w:space="0" w:color="auto"/>
              <w:bottom w:val="single" w:sz="12" w:space="0" w:color="auto"/>
            </w:tcBorders>
            <w:vAlign w:val="center"/>
          </w:tcPr>
          <w:p w:rsidR="00F51A05" w:rsidRPr="000E1BC3" w:rsidRDefault="00F51A05" w:rsidP="00044223">
            <w:pPr>
              <w:keepNext/>
              <w:keepLines/>
              <w:jc w:val="center"/>
              <w:rPr>
                <w:rFonts w:ascii="Times New Roman" w:hAnsi="Times New Roman"/>
              </w:rPr>
            </w:pPr>
            <w:r w:rsidRPr="000E1BC3">
              <w:rPr>
                <w:rFonts w:ascii="Times New Roman" w:hAnsi="Times New Roman"/>
              </w:rPr>
              <w:t>14</w:t>
            </w:r>
          </w:p>
        </w:tc>
        <w:tc>
          <w:tcPr>
            <w:tcW w:w="759" w:type="pct"/>
            <w:tcBorders>
              <w:top w:val="single" w:sz="6" w:space="0" w:color="auto"/>
              <w:bottom w:val="single" w:sz="12"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0.75</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(0.65, 0.87)</w:t>
            </w:r>
          </w:p>
        </w:tc>
        <w:tc>
          <w:tcPr>
            <w:tcW w:w="711" w:type="pct"/>
            <w:tcBorders>
              <w:top w:val="single" w:sz="6" w:space="0" w:color="auto"/>
              <w:bottom w:val="single" w:sz="12"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0.84</w:t>
            </w:r>
          </w:p>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(0.74, 0.95)</w:t>
            </w:r>
          </w:p>
        </w:tc>
        <w:tc>
          <w:tcPr>
            <w:tcW w:w="621" w:type="pct"/>
            <w:tcBorders>
              <w:top w:val="single" w:sz="6" w:space="0" w:color="auto"/>
              <w:bottom w:val="single" w:sz="12" w:space="0" w:color="auto"/>
            </w:tcBorders>
            <w:vAlign w:val="center"/>
          </w:tcPr>
          <w:p w:rsidR="00F51A05" w:rsidRPr="000E1BC3" w:rsidRDefault="00F51A05" w:rsidP="00044223">
            <w:pPr>
              <w:pStyle w:val="TableText"/>
              <w:rPr>
                <w:rFonts w:ascii="Times New Roman" w:hAnsi="Times New Roman" w:cs="Times New Roman"/>
              </w:rPr>
            </w:pPr>
            <w:r w:rsidRPr="000E1BC3">
              <w:rPr>
                <w:rFonts w:ascii="Times New Roman" w:hAnsi="Times New Roman" w:cs="Times New Roman"/>
              </w:rPr>
              <w:t>NA</w:t>
            </w:r>
          </w:p>
        </w:tc>
      </w:tr>
    </w:tbl>
    <w:p w:rsidR="00F51A05" w:rsidRPr="000E1BC3" w:rsidRDefault="00F51A05" w:rsidP="00F51A05">
      <w:pPr>
        <w:rPr>
          <w:rFonts w:ascii="Times New Roman" w:hAnsi="Times New Roman"/>
          <w:sz w:val="16"/>
        </w:rPr>
      </w:pPr>
      <w:r w:rsidRPr="000E1BC3">
        <w:rPr>
          <w:rFonts w:ascii="Times New Roman" w:hAnsi="Times New Roman"/>
          <w:sz w:val="16"/>
        </w:rPr>
        <w:t>NA= Not Available / Not Applicable</w:t>
      </w:r>
    </w:p>
    <w:p w:rsidR="00F51A05" w:rsidRPr="000E1BC3" w:rsidRDefault="00F51A05" w:rsidP="00F51A05">
      <w:pPr>
        <w:tabs>
          <w:tab w:val="left" w:pos="360"/>
        </w:tabs>
        <w:contextualSpacing/>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a.   All interaction studies conducted in healthy volunteers.</w:t>
      </w:r>
    </w:p>
    <w:p w:rsidR="00F51A05" w:rsidRPr="000E1BC3" w:rsidRDefault="00F51A05" w:rsidP="00F51A05">
      <w:pPr>
        <w:tabs>
          <w:tab w:val="left" w:pos="360"/>
        </w:tabs>
        <w:contextualSpacing/>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b.   All No Effect Boundaries are 70% -143%.</w:t>
      </w:r>
    </w:p>
    <w:p w:rsidR="00F51A05" w:rsidRPr="000E1BC3" w:rsidRDefault="00F51A05" w:rsidP="00F51A05">
      <w:pPr>
        <w:tabs>
          <w:tab w:val="left" w:pos="360"/>
        </w:tabs>
        <w:contextualSpacing/>
        <w:rPr>
          <w:rFonts w:ascii="Times New Roman" w:hAnsi="Times New Roman"/>
          <w:sz w:val="16"/>
        </w:rPr>
      </w:pPr>
      <w:r w:rsidRPr="000E1BC3">
        <w:rPr>
          <w:rFonts w:ascii="Times New Roman" w:hAnsi="Times New Roman"/>
          <w:sz w:val="16"/>
        </w:rPr>
        <w:t>c.   Evaluated as a potent inhibitor of CYP3A, UGT1A1, and an inhibitor of P-gp.</w:t>
      </w:r>
    </w:p>
    <w:p w:rsidR="00F51A05" w:rsidRPr="000E1BC3" w:rsidRDefault="00F51A05" w:rsidP="00F51A05">
      <w:pPr>
        <w:tabs>
          <w:tab w:val="left" w:pos="360"/>
        </w:tabs>
        <w:contextualSpacing/>
        <w:rPr>
          <w:rFonts w:ascii="Times New Roman" w:hAnsi="Times New Roman"/>
          <w:sz w:val="16"/>
        </w:rPr>
      </w:pPr>
      <w:r w:rsidRPr="000E1BC3">
        <w:rPr>
          <w:rFonts w:ascii="Times New Roman" w:hAnsi="Times New Roman"/>
          <w:sz w:val="16"/>
        </w:rPr>
        <w:t>d.   Evaluated as a potent inhibitor of CYP3A and UGT1A1.</w:t>
      </w:r>
    </w:p>
    <w:p w:rsidR="00F51A05" w:rsidRPr="000E1BC3" w:rsidRDefault="00F51A05" w:rsidP="00F51A05">
      <w:pPr>
        <w:tabs>
          <w:tab w:val="left" w:pos="360"/>
        </w:tabs>
        <w:contextualSpacing/>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e.   Evaluated as a potent inhibitor of CYP3A.</w:t>
      </w:r>
    </w:p>
    <w:p w:rsidR="00F51A05" w:rsidRPr="000E1BC3" w:rsidRDefault="00F51A05" w:rsidP="00F51A05">
      <w:pPr>
        <w:tabs>
          <w:tab w:val="left" w:pos="360"/>
        </w:tabs>
        <w:contextualSpacing/>
        <w:rPr>
          <w:rFonts w:ascii="Times New Roman" w:hAnsi="Times New Roman"/>
          <w:sz w:val="16"/>
        </w:rPr>
      </w:pPr>
      <w:r w:rsidRPr="000E1BC3">
        <w:rPr>
          <w:rFonts w:ascii="Times New Roman" w:hAnsi="Times New Roman"/>
          <w:color w:val="000000"/>
          <w:sz w:val="16"/>
          <w:shd w:val="clear" w:color="auto" w:fill="FFFFFF"/>
        </w:rPr>
        <w:t>f.   Study conducted with additional voxilaprevir 100 mg to achieve voxilaprevir exposures expected in HCV-infected patients.</w:t>
      </w:r>
    </w:p>
    <w:p w:rsidR="00F51A05" w:rsidRPr="000E1BC3" w:rsidRDefault="00F51A05" w:rsidP="00F51A05">
      <w:pPr>
        <w:tabs>
          <w:tab w:val="left" w:pos="360"/>
        </w:tabs>
        <w:contextualSpacing/>
        <w:rPr>
          <w:rFonts w:ascii="Times New Roman" w:hAnsi="Times New Roman"/>
          <w:sz w:val="16"/>
        </w:rPr>
      </w:pPr>
      <w:r w:rsidRPr="000E1BC3">
        <w:rPr>
          <w:rFonts w:ascii="Times New Roman" w:hAnsi="Times New Roman"/>
          <w:sz w:val="16"/>
        </w:rPr>
        <w:t xml:space="preserve">g.   Maximum strength antacid contained 80 mg </w:t>
      </w:r>
      <w:r w:rsidR="0053142A" w:rsidRPr="000E1BC3">
        <w:rPr>
          <w:rFonts w:ascii="Times New Roman" w:hAnsi="Times New Roman"/>
          <w:sz w:val="16"/>
        </w:rPr>
        <w:t>aluminium</w:t>
      </w:r>
      <w:r w:rsidRPr="000E1BC3">
        <w:rPr>
          <w:rFonts w:ascii="Times New Roman" w:hAnsi="Times New Roman"/>
          <w:sz w:val="16"/>
        </w:rPr>
        <w:t xml:space="preserve"> hydroxide, 80 mg magnesium hydroxide, and 8 mg simethicone, per mL.</w:t>
      </w:r>
    </w:p>
    <w:p w:rsidR="00F51A05" w:rsidRPr="000E1BC3" w:rsidRDefault="00F51A05" w:rsidP="00F51A05">
      <w:pPr>
        <w:tabs>
          <w:tab w:val="left" w:pos="360"/>
        </w:tabs>
        <w:contextualSpacing/>
        <w:rPr>
          <w:rFonts w:ascii="Times New Roman" w:hAnsi="Times New Roman"/>
          <w:color w:val="000000"/>
          <w:sz w:val="16"/>
          <w:shd w:val="clear" w:color="auto" w:fill="FFFFFF"/>
        </w:rPr>
      </w:pPr>
      <w:r w:rsidRPr="000E1BC3">
        <w:rPr>
          <w:rFonts w:ascii="Times New Roman" w:hAnsi="Times New Roman"/>
          <w:sz w:val="16"/>
        </w:rPr>
        <w:t>h.   Reference treatment administered under fasted conditions.</w:t>
      </w:r>
    </w:p>
    <w:p w:rsidR="00F51A05" w:rsidRPr="000E1BC3" w:rsidRDefault="00F51A05" w:rsidP="00F51A05">
      <w:pPr>
        <w:rPr>
          <w:rFonts w:ascii="Times New Roman" w:hAnsi="Times New Roman"/>
          <w:sz w:val="24"/>
          <w:szCs w:val="24"/>
          <w:lang w:val="en-US"/>
        </w:rPr>
      </w:pPr>
    </w:p>
    <w:p w:rsidR="00F51A05" w:rsidRPr="000E1BC3" w:rsidRDefault="00F51A05" w:rsidP="00F51A05">
      <w:pPr>
        <w:rPr>
          <w:rFonts w:ascii="Times New Roman" w:hAnsi="Times New Roman"/>
          <w:sz w:val="24"/>
          <w:szCs w:val="24"/>
          <w:lang w:val="en-US"/>
        </w:rPr>
      </w:pPr>
    </w:p>
    <w:p w:rsidR="00F51A05" w:rsidRPr="000E1BC3" w:rsidRDefault="00F51A05" w:rsidP="00F51A05">
      <w:pPr>
        <w:keepNext/>
        <w:keepLines/>
        <w:tabs>
          <w:tab w:val="left" w:pos="2160"/>
        </w:tabs>
        <w:spacing w:before="60" w:after="60"/>
        <w:ind w:left="2160" w:hanging="2160"/>
        <w:rPr>
          <w:rFonts w:ascii="Times New Roman" w:hAnsi="Times New Roman"/>
          <w:b/>
          <w:color w:val="000000"/>
          <w:sz w:val="24"/>
          <w:shd w:val="clear" w:color="auto" w:fill="FFFFFF"/>
        </w:rPr>
      </w:pPr>
      <w:r w:rsidRPr="000E1BC3">
        <w:rPr>
          <w:rFonts w:ascii="Times New Roman" w:hAnsi="Times New Roman"/>
          <w:b/>
          <w:color w:val="000000"/>
          <w:sz w:val="24"/>
          <w:shd w:val="clear" w:color="auto" w:fill="FFFFFF"/>
        </w:rPr>
        <w:lastRenderedPageBreak/>
        <w:t>Table </w:t>
      </w:r>
      <w:r w:rsidR="00D3190F" w:rsidRPr="000E1BC3">
        <w:rPr>
          <w:rFonts w:ascii="Times New Roman" w:hAnsi="Times New Roman"/>
          <w:b/>
          <w:color w:val="000000"/>
          <w:sz w:val="24"/>
          <w:shd w:val="clear" w:color="auto" w:fill="FFFFFF"/>
        </w:rPr>
        <w:t>2</w:t>
      </w:r>
      <w:r w:rsidRPr="000E1BC3">
        <w:rPr>
          <w:rFonts w:ascii="Times New Roman" w:hAnsi="Times New Roman"/>
          <w:b/>
          <w:color w:val="000000"/>
          <w:sz w:val="24"/>
          <w:shd w:val="clear" w:color="auto" w:fill="FFFFFF"/>
        </w:rPr>
        <w:t>.</w:t>
      </w:r>
      <w:r w:rsidRPr="000E1BC3">
        <w:rPr>
          <w:rFonts w:ascii="Times New Roman" w:hAnsi="Times New Roman"/>
          <w:b/>
          <w:color w:val="000000"/>
          <w:sz w:val="24"/>
          <w:shd w:val="clear" w:color="auto" w:fill="FFFFFF"/>
        </w:rPr>
        <w:tab/>
        <w:t>Drug Interactions: Changes in Pharmacokinetic Parameters for TAF in the Presence of the Coadministered Drug</w:t>
      </w:r>
      <w:r w:rsidRPr="000E1BC3">
        <w:rPr>
          <w:rFonts w:ascii="Times New Roman" w:hAnsi="Times New Roman"/>
          <w:b/>
          <w:color w:val="000000"/>
          <w:sz w:val="24"/>
          <w:shd w:val="clear" w:color="auto" w:fill="FFFFFF"/>
          <w:vertAlign w:val="superscript"/>
        </w:rPr>
        <w:t>a</w:t>
      </w:r>
    </w:p>
    <w:tbl>
      <w:tblPr>
        <w:tblW w:w="9527" w:type="dxa"/>
        <w:tblBorders>
          <w:top w:val="single" w:sz="12" w:space="0" w:color="auto"/>
          <w:bottom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986"/>
        <w:gridCol w:w="1878"/>
        <w:gridCol w:w="1516"/>
        <w:gridCol w:w="439"/>
        <w:gridCol w:w="1248"/>
        <w:gridCol w:w="1250"/>
        <w:gridCol w:w="1210"/>
      </w:tblGrid>
      <w:tr w:rsidR="00F51A05" w:rsidRPr="000E1BC3" w:rsidTr="00044223">
        <w:trPr>
          <w:cantSplit/>
          <w:trHeight w:val="678"/>
          <w:tblHeader/>
        </w:trPr>
        <w:tc>
          <w:tcPr>
            <w:tcW w:w="1006"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hAnsi="Times New Roman"/>
                <w:b/>
                <w:color w:val="000000"/>
                <w:shd w:val="clear" w:color="auto" w:fill="FFFFFF"/>
              </w:rPr>
            </w:pPr>
            <w:r w:rsidRPr="000E1BC3">
              <w:rPr>
                <w:rFonts w:ascii="Times New Roman" w:hAnsi="Times New Roman"/>
                <w:b/>
                <w:color w:val="000000"/>
                <w:shd w:val="clear" w:color="auto" w:fill="FFFFFF"/>
              </w:rPr>
              <w:t>Coadministered Drug</w:t>
            </w:r>
          </w:p>
        </w:tc>
        <w:tc>
          <w:tcPr>
            <w:tcW w:w="992"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Dose of Coadministered Drug (mg)</w:t>
            </w:r>
          </w:p>
        </w:tc>
        <w:tc>
          <w:tcPr>
            <w:tcW w:w="802"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Tenofovir Alafenamide (mg)</w:t>
            </w:r>
          </w:p>
        </w:tc>
        <w:tc>
          <w:tcPr>
            <w:tcW w:w="236" w:type="pct"/>
            <w:vMerge w:val="restart"/>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N</w:t>
            </w:r>
          </w:p>
        </w:tc>
        <w:tc>
          <w:tcPr>
            <w:tcW w:w="1964" w:type="pct"/>
            <w:gridSpan w:val="3"/>
            <w:tcBorders>
              <w:top w:val="single" w:sz="12" w:space="0" w:color="auto"/>
              <w:bottom w:val="single" w:sz="6" w:space="0" w:color="auto"/>
            </w:tcBorders>
            <w:vAlign w:val="center"/>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Mean Ratio of Tenofovir Alafenamide Pharmacokinetic Parameters (90% CI)</w:t>
            </w:r>
            <w:r w:rsidRPr="000E1BC3">
              <w:rPr>
                <w:rFonts w:ascii="Times New Roman" w:eastAsia="Arial Unicode MS" w:hAnsi="Times New Roman"/>
                <w:b/>
                <w:color w:val="000000"/>
                <w:shd w:val="clear" w:color="auto" w:fill="FFFFFF"/>
                <w:vertAlign w:val="superscript"/>
              </w:rPr>
              <w:t>b</w:t>
            </w:r>
            <w:r w:rsidRPr="000E1BC3">
              <w:rPr>
                <w:rFonts w:ascii="Times New Roman" w:eastAsia="Arial Unicode MS" w:hAnsi="Times New Roman"/>
                <w:b/>
                <w:color w:val="000000"/>
                <w:shd w:val="clear" w:color="auto" w:fill="FFFFFF"/>
              </w:rPr>
              <w:t>; No effect = 1.00</w:t>
            </w:r>
          </w:p>
        </w:tc>
      </w:tr>
      <w:tr w:rsidR="00F51A05" w:rsidRPr="000E1BC3" w:rsidTr="00044223">
        <w:trPr>
          <w:cantSplit/>
          <w:trHeight w:val="144"/>
          <w:tblHeader/>
        </w:trPr>
        <w:tc>
          <w:tcPr>
            <w:tcW w:w="1006" w:type="pct"/>
            <w:vMerge/>
            <w:tcBorders>
              <w:top w:val="single" w:sz="6" w:space="0" w:color="auto"/>
              <w:bottom w:val="single" w:sz="12" w:space="0" w:color="auto"/>
            </w:tcBorders>
          </w:tcPr>
          <w:p w:rsidR="00F51A05" w:rsidRPr="000E1BC3" w:rsidRDefault="00F51A05" w:rsidP="002F34B8">
            <w:pPr>
              <w:keepNext/>
              <w:keepLines/>
              <w:widowControl w:val="0"/>
              <w:numPr>
                <w:ilvl w:val="0"/>
                <w:numId w:val="17"/>
              </w:numPr>
              <w:ind w:left="0" w:firstLine="0"/>
              <w:jc w:val="center"/>
              <w:rPr>
                <w:rFonts w:ascii="Times New Roman" w:hAnsi="Times New Roman"/>
                <w:b/>
                <w:strike/>
                <w:shd w:val="clear" w:color="auto" w:fill="FFFFFF"/>
              </w:rPr>
            </w:pPr>
          </w:p>
        </w:tc>
        <w:tc>
          <w:tcPr>
            <w:tcW w:w="992" w:type="pct"/>
            <w:vMerge/>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strike/>
                <w:color w:val="000000"/>
                <w:shd w:val="clear" w:color="auto" w:fill="FFFFFF"/>
              </w:rPr>
            </w:pPr>
          </w:p>
        </w:tc>
        <w:tc>
          <w:tcPr>
            <w:tcW w:w="802" w:type="pct"/>
            <w:vMerge/>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strike/>
                <w:color w:val="000000"/>
                <w:shd w:val="clear" w:color="auto" w:fill="FFFFFF"/>
              </w:rPr>
            </w:pPr>
          </w:p>
        </w:tc>
        <w:tc>
          <w:tcPr>
            <w:tcW w:w="236" w:type="pct"/>
            <w:vMerge/>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strike/>
                <w:color w:val="000000"/>
                <w:shd w:val="clear" w:color="auto" w:fill="FFFFFF"/>
              </w:rPr>
            </w:pPr>
          </w:p>
        </w:tc>
        <w:tc>
          <w:tcPr>
            <w:tcW w:w="661" w:type="pct"/>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C</w:t>
            </w:r>
            <w:r w:rsidRPr="000E1BC3">
              <w:rPr>
                <w:rFonts w:ascii="Times New Roman" w:eastAsia="Arial Unicode MS" w:hAnsi="Times New Roman"/>
                <w:b/>
                <w:color w:val="000000"/>
                <w:shd w:val="clear" w:color="auto" w:fill="FFFFFF"/>
                <w:vertAlign w:val="subscript"/>
              </w:rPr>
              <w:t>max</w:t>
            </w:r>
          </w:p>
        </w:tc>
        <w:tc>
          <w:tcPr>
            <w:tcW w:w="662" w:type="pct"/>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AUC</w:t>
            </w:r>
          </w:p>
        </w:tc>
        <w:tc>
          <w:tcPr>
            <w:tcW w:w="641" w:type="pct"/>
            <w:tcBorders>
              <w:top w:val="single" w:sz="6" w:space="0" w:color="auto"/>
              <w:bottom w:val="single" w:sz="12" w:space="0" w:color="auto"/>
            </w:tcBorders>
            <w:vAlign w:val="bottom"/>
          </w:tcPr>
          <w:p w:rsidR="00F51A05" w:rsidRPr="000E1BC3" w:rsidRDefault="00F51A05" w:rsidP="00044223">
            <w:pPr>
              <w:keepNext/>
              <w:keepLines/>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C</w:t>
            </w:r>
            <w:r w:rsidRPr="000E1BC3">
              <w:rPr>
                <w:rFonts w:ascii="Times New Roman" w:eastAsia="Arial Unicode MS" w:hAnsi="Times New Roman"/>
                <w:b/>
                <w:color w:val="000000"/>
                <w:shd w:val="clear" w:color="auto" w:fill="FFFFFF"/>
                <w:vertAlign w:val="subscript"/>
              </w:rPr>
              <w:t>min</w:t>
            </w:r>
          </w:p>
        </w:tc>
      </w:tr>
      <w:tr w:rsidR="00F51A05" w:rsidRPr="000E1BC3" w:rsidTr="00044223">
        <w:trPr>
          <w:cantSplit/>
          <w:trHeight w:val="461"/>
        </w:trPr>
        <w:tc>
          <w:tcPr>
            <w:tcW w:w="1006" w:type="pct"/>
            <w:shd w:val="clear" w:color="auto" w:fill="auto"/>
            <w:vAlign w:val="center"/>
          </w:tcPr>
          <w:p w:rsidR="00F51A05" w:rsidRPr="000E1BC3" w:rsidRDefault="00F51A05" w:rsidP="00044223">
            <w:pP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Carbamazepine</w:t>
            </w:r>
          </w:p>
        </w:tc>
        <w:tc>
          <w:tcPr>
            <w:tcW w:w="99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300 twice daily</w:t>
            </w:r>
          </w:p>
        </w:tc>
        <w:tc>
          <w:tcPr>
            <w:tcW w:w="80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25 single dose</w:t>
            </w:r>
            <w:r w:rsidRPr="000E1BC3">
              <w:rPr>
                <w:rFonts w:ascii="Times New Roman" w:eastAsia="Arial Unicode MS" w:hAnsi="Times New Roman"/>
                <w:color w:val="000000"/>
                <w:shd w:val="clear" w:color="auto" w:fill="FFFFFF"/>
                <w:vertAlign w:val="superscript"/>
              </w:rPr>
              <w:t>c</w:t>
            </w:r>
          </w:p>
        </w:tc>
        <w:tc>
          <w:tcPr>
            <w:tcW w:w="236"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22</w:t>
            </w:r>
          </w:p>
        </w:tc>
        <w:tc>
          <w:tcPr>
            <w:tcW w:w="661"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0.43</w:t>
            </w:r>
            <w:r w:rsidRPr="000E1BC3">
              <w:rPr>
                <w:rFonts w:ascii="Times New Roman" w:eastAsia="Arial Unicode MS" w:hAnsi="Times New Roman"/>
                <w:color w:val="000000"/>
                <w:shd w:val="clear" w:color="auto" w:fill="FFFFFF"/>
              </w:rPr>
              <w:br/>
              <w:t>(0.36, 0.51)</w:t>
            </w:r>
          </w:p>
        </w:tc>
        <w:tc>
          <w:tcPr>
            <w:tcW w:w="66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0.46</w:t>
            </w:r>
            <w:r w:rsidRPr="000E1BC3">
              <w:rPr>
                <w:rFonts w:ascii="Times New Roman" w:eastAsia="Arial Unicode MS" w:hAnsi="Times New Roman"/>
                <w:color w:val="000000"/>
                <w:shd w:val="clear" w:color="auto" w:fill="FFFFFF"/>
              </w:rPr>
              <w:br/>
              <w:t>(0.40, 0.54)</w:t>
            </w:r>
          </w:p>
        </w:tc>
        <w:tc>
          <w:tcPr>
            <w:tcW w:w="641"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color w:val="000000"/>
                <w:shd w:val="clear" w:color="auto" w:fill="FFFFFF"/>
              </w:rPr>
              <w:t>NA</w:t>
            </w:r>
          </w:p>
        </w:tc>
      </w:tr>
      <w:tr w:rsidR="00F51A05" w:rsidRPr="000E1BC3" w:rsidTr="00044223">
        <w:trPr>
          <w:cantSplit/>
          <w:trHeight w:val="461"/>
        </w:trPr>
        <w:tc>
          <w:tcPr>
            <w:tcW w:w="1006" w:type="pct"/>
            <w:shd w:val="clear" w:color="auto" w:fill="auto"/>
            <w:vAlign w:val="center"/>
          </w:tcPr>
          <w:p w:rsidR="00F51A05" w:rsidRPr="000E1BC3" w:rsidRDefault="00F51A05" w:rsidP="00044223">
            <w:pP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Ledipasvir/sofosbuvir</w:t>
            </w:r>
          </w:p>
        </w:tc>
        <w:tc>
          <w:tcPr>
            <w:tcW w:w="99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90/400 once daily</w:t>
            </w:r>
          </w:p>
        </w:tc>
        <w:tc>
          <w:tcPr>
            <w:tcW w:w="80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25 once daily</w:t>
            </w:r>
          </w:p>
        </w:tc>
        <w:tc>
          <w:tcPr>
            <w:tcW w:w="236"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30</w:t>
            </w:r>
          </w:p>
        </w:tc>
        <w:tc>
          <w:tcPr>
            <w:tcW w:w="661"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1.17</w:t>
            </w:r>
          </w:p>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(1.00, 1.38)</w:t>
            </w:r>
          </w:p>
        </w:tc>
        <w:tc>
          <w:tcPr>
            <w:tcW w:w="66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1.27</w:t>
            </w:r>
          </w:p>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(1.19,  1.34)</w:t>
            </w:r>
          </w:p>
        </w:tc>
        <w:tc>
          <w:tcPr>
            <w:tcW w:w="641"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NA</w:t>
            </w:r>
          </w:p>
        </w:tc>
      </w:tr>
      <w:tr w:rsidR="00F51A05" w:rsidRPr="000E1BC3" w:rsidTr="00044223">
        <w:trPr>
          <w:cantSplit/>
          <w:trHeight w:val="543"/>
        </w:trPr>
        <w:tc>
          <w:tcPr>
            <w:tcW w:w="1006" w:type="pct"/>
            <w:shd w:val="clear" w:color="auto" w:fill="auto"/>
            <w:vAlign w:val="center"/>
          </w:tcPr>
          <w:p w:rsidR="00F51A05" w:rsidRPr="000E1BC3" w:rsidRDefault="00F51A05" w:rsidP="00044223">
            <w:pP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Sofosbuvir/ velpastasvir/ voxilaprevir</w:t>
            </w:r>
          </w:p>
        </w:tc>
        <w:tc>
          <w:tcPr>
            <w:tcW w:w="99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 xml:space="preserve">400/100/100 +100 </w:t>
            </w:r>
            <w:r w:rsidRPr="000E1BC3">
              <w:t xml:space="preserve"> </w:t>
            </w:r>
            <w:r w:rsidRPr="000E1BC3">
              <w:rPr>
                <w:rFonts w:ascii="Times New Roman" w:eastAsia="Arial Unicode MS" w:hAnsi="Times New Roman"/>
                <w:bCs/>
                <w:color w:val="000000"/>
                <w:shd w:val="clear" w:color="auto" w:fill="FFFFFF"/>
              </w:rPr>
              <w:t>voxilaprevir</w:t>
            </w:r>
            <w:r w:rsidRPr="000E1BC3">
              <w:rPr>
                <w:rFonts w:ascii="Times New Roman" w:eastAsia="Arial Unicode MS" w:hAnsi="Times New Roman"/>
                <w:bCs/>
                <w:color w:val="000000"/>
                <w:shd w:val="clear" w:color="auto" w:fill="FFFFFF"/>
                <w:vertAlign w:val="superscript"/>
              </w:rPr>
              <w:t>d</w:t>
            </w:r>
            <w:r w:rsidRPr="000E1BC3">
              <w:rPr>
                <w:rFonts w:ascii="Times New Roman" w:eastAsia="Arial Unicode MS" w:hAnsi="Times New Roman"/>
                <w:bCs/>
                <w:color w:val="000000"/>
                <w:shd w:val="clear" w:color="auto" w:fill="FFFFFF"/>
              </w:rPr>
              <w:t xml:space="preserve"> once daily</w:t>
            </w:r>
          </w:p>
        </w:tc>
        <w:tc>
          <w:tcPr>
            <w:tcW w:w="802"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25 once daily</w:t>
            </w:r>
          </w:p>
        </w:tc>
        <w:tc>
          <w:tcPr>
            <w:tcW w:w="236"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30</w:t>
            </w:r>
          </w:p>
        </w:tc>
        <w:tc>
          <w:tcPr>
            <w:tcW w:w="661" w:type="pct"/>
            <w:vAlign w:val="center"/>
          </w:tcPr>
          <w:p w:rsidR="00F51A05" w:rsidRPr="000E1BC3" w:rsidRDefault="00F51A05" w:rsidP="00044223">
            <w:pPr>
              <w:pStyle w:val="TableText"/>
              <w:keepNext w:val="0"/>
              <w:keepLines w:val="0"/>
              <w:widowControl w:val="0"/>
              <w:rPr>
                <w:rFonts w:ascii="Times New Roman" w:eastAsia="Arial Unicode MS" w:hAnsi="Times New Roman" w:cs="Times New Roman"/>
                <w:bCs/>
                <w:color w:val="000000"/>
                <w:shd w:val="clear" w:color="auto" w:fill="FFFFFF"/>
              </w:rPr>
            </w:pPr>
            <w:r w:rsidRPr="000E1BC3">
              <w:rPr>
                <w:rFonts w:ascii="Times New Roman" w:eastAsia="Arial Unicode MS" w:hAnsi="Times New Roman" w:cs="Times New Roman"/>
                <w:bCs/>
                <w:color w:val="000000"/>
                <w:shd w:val="clear" w:color="auto" w:fill="FFFFFF"/>
              </w:rPr>
              <w:t>1.28</w:t>
            </w:r>
          </w:p>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(1.09, 1.51)</w:t>
            </w:r>
          </w:p>
        </w:tc>
        <w:tc>
          <w:tcPr>
            <w:tcW w:w="662" w:type="pct"/>
            <w:vAlign w:val="center"/>
          </w:tcPr>
          <w:p w:rsidR="00F51A05" w:rsidRPr="000E1BC3" w:rsidRDefault="00F51A05" w:rsidP="00044223">
            <w:pPr>
              <w:pStyle w:val="TableText"/>
              <w:keepNext w:val="0"/>
              <w:keepLines w:val="0"/>
              <w:widowControl w:val="0"/>
              <w:rPr>
                <w:rFonts w:ascii="Times New Roman" w:eastAsia="Arial Unicode MS" w:hAnsi="Times New Roman" w:cs="Times New Roman"/>
                <w:bCs/>
                <w:color w:val="000000"/>
                <w:shd w:val="clear" w:color="auto" w:fill="FFFFFF"/>
              </w:rPr>
            </w:pPr>
            <w:r w:rsidRPr="000E1BC3">
              <w:rPr>
                <w:rFonts w:ascii="Times New Roman" w:eastAsia="Arial Unicode MS" w:hAnsi="Times New Roman" w:cs="Times New Roman"/>
                <w:bCs/>
                <w:color w:val="000000"/>
                <w:shd w:val="clear" w:color="auto" w:fill="FFFFFF"/>
              </w:rPr>
              <w:t>1.57</w:t>
            </w:r>
          </w:p>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(1.44, 1.71)</w:t>
            </w:r>
          </w:p>
        </w:tc>
        <w:tc>
          <w:tcPr>
            <w:tcW w:w="641" w:type="pct"/>
            <w:vAlign w:val="center"/>
          </w:tcPr>
          <w:p w:rsidR="00F51A05" w:rsidRPr="000E1BC3" w:rsidRDefault="00F51A05" w:rsidP="00044223">
            <w:pPr>
              <w:jc w:val="center"/>
              <w:rPr>
                <w:rFonts w:ascii="Times New Roman" w:eastAsia="Arial Unicode MS" w:hAnsi="Times New Roman"/>
                <w:bCs/>
                <w:color w:val="000000"/>
                <w:shd w:val="clear" w:color="auto" w:fill="FFFFFF"/>
              </w:rPr>
            </w:pPr>
            <w:r w:rsidRPr="000E1BC3">
              <w:rPr>
                <w:rFonts w:ascii="Times New Roman" w:eastAsia="Arial Unicode MS" w:hAnsi="Times New Roman"/>
                <w:bCs/>
                <w:color w:val="000000"/>
                <w:shd w:val="clear" w:color="auto" w:fill="FFFFFF"/>
              </w:rPr>
              <w:t>NA</w:t>
            </w:r>
          </w:p>
        </w:tc>
      </w:tr>
    </w:tbl>
    <w:p w:rsidR="00F51A05" w:rsidRPr="000E1BC3" w:rsidRDefault="00F51A05" w:rsidP="00F51A05">
      <w:pPr>
        <w:rPr>
          <w:rFonts w:ascii="Times New Roman" w:hAnsi="Times New Roman"/>
          <w:sz w:val="16"/>
        </w:rPr>
      </w:pPr>
      <w:r w:rsidRPr="000E1BC3">
        <w:rPr>
          <w:rFonts w:ascii="Times New Roman" w:hAnsi="Times New Roman"/>
          <w:sz w:val="16"/>
        </w:rPr>
        <w:t>NA= Not Available / Not Applicable</w:t>
      </w:r>
    </w:p>
    <w:p w:rsidR="00F51A05" w:rsidRPr="000E1BC3" w:rsidRDefault="00F51A05" w:rsidP="00706577">
      <w:pPr>
        <w:pStyle w:val="ListParagraph"/>
        <w:numPr>
          <w:ilvl w:val="0"/>
          <w:numId w:val="19"/>
        </w:numPr>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All interaction studies conducted in healthy volunteers.</w:t>
      </w:r>
    </w:p>
    <w:p w:rsidR="00F51A05" w:rsidRPr="000E1BC3" w:rsidRDefault="00F51A05" w:rsidP="00706577">
      <w:pPr>
        <w:numPr>
          <w:ilvl w:val="0"/>
          <w:numId w:val="19"/>
        </w:numPr>
        <w:tabs>
          <w:tab w:val="left" w:pos="360"/>
        </w:tabs>
        <w:contextualSpacing/>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All No Effect Boundaries are 70% -143%.</w:t>
      </w:r>
    </w:p>
    <w:p w:rsidR="00F51A05" w:rsidRPr="000E1BC3" w:rsidRDefault="00F51A05" w:rsidP="00706577">
      <w:pPr>
        <w:pStyle w:val="ListParagraph"/>
        <w:numPr>
          <w:ilvl w:val="0"/>
          <w:numId w:val="19"/>
        </w:numPr>
        <w:rPr>
          <w:rFonts w:ascii="Times New Roman" w:hAnsi="Times New Roman"/>
          <w:sz w:val="16"/>
        </w:rPr>
      </w:pPr>
      <w:r w:rsidRPr="000E1BC3">
        <w:rPr>
          <w:rFonts w:ascii="Times New Roman" w:hAnsi="Times New Roman"/>
          <w:color w:val="000000"/>
          <w:sz w:val="16"/>
          <w:shd w:val="clear" w:color="auto" w:fill="FFFFFF"/>
        </w:rPr>
        <w:t>Study conducted with DESCOVY (emtricitabine/tenofovir alafenamide).</w:t>
      </w:r>
    </w:p>
    <w:p w:rsidR="00F51A05" w:rsidRPr="000E1BC3" w:rsidRDefault="00F51A05" w:rsidP="00706577">
      <w:pPr>
        <w:pStyle w:val="ListParagraph"/>
        <w:numPr>
          <w:ilvl w:val="0"/>
          <w:numId w:val="19"/>
        </w:numPr>
        <w:rPr>
          <w:rFonts w:ascii="Times New Roman" w:hAnsi="Times New Roman"/>
          <w:sz w:val="16"/>
        </w:rPr>
      </w:pPr>
      <w:r w:rsidRPr="000E1BC3">
        <w:rPr>
          <w:rFonts w:ascii="Times New Roman" w:hAnsi="Times New Roman"/>
          <w:sz w:val="16"/>
        </w:rPr>
        <w:t>Study conducted with additional voxilaprevir 100 mg to achieve voxilaprevir exposures expected in HCV-infected patients.</w:t>
      </w:r>
    </w:p>
    <w:p w:rsidR="00F51A05" w:rsidRDefault="00F51A05" w:rsidP="00F51A05">
      <w:pPr>
        <w:rPr>
          <w:rFonts w:ascii="Times New Roman" w:hAnsi="Times New Roman"/>
          <w:sz w:val="24"/>
          <w:szCs w:val="24"/>
          <w:lang w:val="en-US"/>
        </w:rPr>
      </w:pPr>
    </w:p>
    <w:p w:rsidR="009D4C0D" w:rsidRPr="000E1BC3" w:rsidRDefault="009D4C0D" w:rsidP="00F51A05">
      <w:pPr>
        <w:rPr>
          <w:rFonts w:ascii="Times New Roman" w:hAnsi="Times New Roman"/>
          <w:sz w:val="24"/>
          <w:szCs w:val="24"/>
          <w:lang w:val="en-US"/>
        </w:rPr>
      </w:pPr>
    </w:p>
    <w:p w:rsidR="00F51A05" w:rsidRPr="000E1BC3" w:rsidRDefault="00F51A05" w:rsidP="00C20DB8">
      <w:pPr>
        <w:keepNext/>
        <w:keepLines/>
        <w:tabs>
          <w:tab w:val="left" w:pos="2160"/>
        </w:tabs>
        <w:spacing w:before="60" w:after="60"/>
        <w:ind w:left="2160" w:hanging="2160"/>
        <w:rPr>
          <w:rFonts w:ascii="Times New Roman" w:hAnsi="Times New Roman"/>
          <w:b/>
          <w:color w:val="000000"/>
          <w:sz w:val="24"/>
          <w:shd w:val="clear" w:color="auto" w:fill="FFFFFF"/>
        </w:rPr>
      </w:pPr>
      <w:r w:rsidRPr="000E1BC3">
        <w:rPr>
          <w:rFonts w:ascii="Times New Roman" w:hAnsi="Times New Roman"/>
          <w:b/>
          <w:color w:val="000000"/>
          <w:sz w:val="24"/>
          <w:shd w:val="clear" w:color="auto" w:fill="FFFFFF"/>
        </w:rPr>
        <w:t>Table </w:t>
      </w:r>
      <w:r w:rsidR="00D3190F" w:rsidRPr="000E1BC3">
        <w:rPr>
          <w:rFonts w:ascii="Times New Roman" w:hAnsi="Times New Roman"/>
          <w:b/>
          <w:color w:val="000000"/>
          <w:sz w:val="24"/>
          <w:shd w:val="clear" w:color="auto" w:fill="FFFFFF"/>
        </w:rPr>
        <w:t>3</w:t>
      </w:r>
      <w:r w:rsidRPr="000E1BC3">
        <w:rPr>
          <w:rFonts w:ascii="Times New Roman" w:hAnsi="Times New Roman"/>
          <w:b/>
          <w:color w:val="000000"/>
          <w:sz w:val="24"/>
          <w:shd w:val="clear" w:color="auto" w:fill="FFFFFF"/>
        </w:rPr>
        <w:t>.</w:t>
      </w:r>
      <w:r w:rsidRPr="000E1BC3">
        <w:rPr>
          <w:rFonts w:ascii="Times New Roman" w:hAnsi="Times New Roman"/>
          <w:b/>
          <w:color w:val="000000"/>
          <w:sz w:val="24"/>
          <w:shd w:val="clear" w:color="auto" w:fill="FFFFFF"/>
        </w:rPr>
        <w:tab/>
        <w:t xml:space="preserve">Drug Interactions: Changes in Pharmacokinetic Parameters for Coadministered Drug in the Presence of the Components </w:t>
      </w:r>
      <w:r w:rsidR="002F43D2">
        <w:rPr>
          <w:rFonts w:ascii="Times New Roman" w:hAnsi="Times New Roman"/>
          <w:b/>
          <w:color w:val="000000"/>
          <w:sz w:val="24"/>
          <w:shd w:val="clear" w:color="auto" w:fill="FFFFFF"/>
        </w:rPr>
        <w:t>BIKTARVY</w:t>
      </w:r>
      <w:r w:rsidRPr="000E1BC3">
        <w:rPr>
          <w:rFonts w:ascii="Times New Roman" w:hAnsi="Times New Roman"/>
          <w:b/>
          <w:color w:val="000000"/>
          <w:sz w:val="24"/>
          <w:shd w:val="clear" w:color="auto" w:fill="FFFFFF"/>
          <w:vertAlign w:val="superscript"/>
        </w:rPr>
        <w:t>a</w:t>
      </w:r>
    </w:p>
    <w:tbl>
      <w:tblPr>
        <w:tblW w:w="5069" w:type="pct"/>
        <w:tblBorders>
          <w:top w:val="single" w:sz="12" w:space="0" w:color="auto"/>
          <w:bottom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1597"/>
        <w:gridCol w:w="1692"/>
        <w:gridCol w:w="1197"/>
        <w:gridCol w:w="1319"/>
        <w:gridCol w:w="430"/>
        <w:gridCol w:w="1114"/>
        <w:gridCol w:w="1114"/>
        <w:gridCol w:w="697"/>
      </w:tblGrid>
      <w:tr w:rsidR="00F51A05" w:rsidRPr="000E1BC3" w:rsidTr="002F2C53">
        <w:trPr>
          <w:cantSplit/>
          <w:trHeight w:val="350"/>
          <w:tblHeader/>
        </w:trPr>
        <w:tc>
          <w:tcPr>
            <w:tcW w:w="843" w:type="pct"/>
            <w:vMerge w:val="restart"/>
            <w:tcBorders>
              <w:top w:val="single" w:sz="12" w:space="0" w:color="auto"/>
              <w:bottom w:val="single" w:sz="6" w:space="0" w:color="auto"/>
            </w:tcBorders>
            <w:vAlign w:val="center"/>
          </w:tcPr>
          <w:p w:rsidR="00F51A05" w:rsidRPr="000E1BC3" w:rsidRDefault="00F51A05" w:rsidP="00044223">
            <w:pPr>
              <w:jc w:val="center"/>
              <w:rPr>
                <w:rFonts w:ascii="Times New Roman" w:hAnsi="Times New Roman"/>
                <w:b/>
                <w:color w:val="000000"/>
                <w:shd w:val="clear" w:color="auto" w:fill="FFFFFF"/>
              </w:rPr>
            </w:pPr>
            <w:r w:rsidRPr="000E1BC3">
              <w:rPr>
                <w:rFonts w:ascii="Times New Roman" w:hAnsi="Times New Roman"/>
                <w:b/>
                <w:color w:val="000000"/>
                <w:shd w:val="clear" w:color="auto" w:fill="FFFFFF"/>
              </w:rPr>
              <w:t>Coadministered Drug</w:t>
            </w:r>
          </w:p>
        </w:tc>
        <w:tc>
          <w:tcPr>
            <w:tcW w:w="893" w:type="pct"/>
            <w:vMerge w:val="restart"/>
            <w:tcBorders>
              <w:top w:val="single" w:sz="12" w:space="0" w:color="auto"/>
              <w:bottom w:val="single" w:sz="6" w:space="0" w:color="auto"/>
            </w:tcBorders>
            <w:vAlign w:val="center"/>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Dose of Coadministered Drug (mg)</w:t>
            </w:r>
          </w:p>
        </w:tc>
        <w:tc>
          <w:tcPr>
            <w:tcW w:w="632" w:type="pct"/>
            <w:vMerge w:val="restart"/>
            <w:tcBorders>
              <w:top w:val="single" w:sz="12" w:space="0" w:color="auto"/>
            </w:tcBorders>
            <w:vAlign w:val="center"/>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Bictegravir (mg)</w:t>
            </w:r>
          </w:p>
        </w:tc>
        <w:tc>
          <w:tcPr>
            <w:tcW w:w="696" w:type="pct"/>
            <w:vMerge w:val="restart"/>
            <w:tcBorders>
              <w:top w:val="single" w:sz="12" w:space="0" w:color="auto"/>
            </w:tcBorders>
            <w:vAlign w:val="center"/>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Tenofovir Alafenamide (mg)</w:t>
            </w:r>
          </w:p>
        </w:tc>
        <w:tc>
          <w:tcPr>
            <w:tcW w:w="227" w:type="pct"/>
            <w:vMerge w:val="restart"/>
            <w:tcBorders>
              <w:top w:val="single" w:sz="12" w:space="0" w:color="auto"/>
              <w:bottom w:val="single" w:sz="6" w:space="0" w:color="auto"/>
            </w:tcBorders>
            <w:vAlign w:val="center"/>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N</w:t>
            </w:r>
          </w:p>
        </w:tc>
        <w:tc>
          <w:tcPr>
            <w:tcW w:w="1708" w:type="pct"/>
            <w:gridSpan w:val="3"/>
            <w:tcBorders>
              <w:top w:val="single" w:sz="12" w:space="0" w:color="auto"/>
              <w:bottom w:val="single" w:sz="6" w:space="0" w:color="auto"/>
            </w:tcBorders>
            <w:vAlign w:val="center"/>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Mean Ratio of Coadministered Drug Pharmacokinetic Parameters</w:t>
            </w:r>
            <w:r w:rsidRPr="000E1BC3">
              <w:rPr>
                <w:rFonts w:ascii="Times New Roman" w:eastAsia="Arial Unicode MS" w:hAnsi="Times New Roman"/>
                <w:b/>
                <w:caps/>
                <w:color w:val="000000"/>
                <w:shd w:val="clear" w:color="auto" w:fill="FFFFFF"/>
                <w:vertAlign w:val="superscript"/>
              </w:rPr>
              <w:t xml:space="preserve"> </w:t>
            </w:r>
            <w:r w:rsidRPr="000E1BC3">
              <w:rPr>
                <w:rFonts w:ascii="Times New Roman" w:eastAsia="Arial Unicode MS" w:hAnsi="Times New Roman"/>
                <w:b/>
                <w:color w:val="000000"/>
                <w:shd w:val="clear" w:color="auto" w:fill="FFFFFF"/>
              </w:rPr>
              <w:t>(90% CI)</w:t>
            </w:r>
            <w:r w:rsidRPr="000E1BC3">
              <w:rPr>
                <w:rFonts w:ascii="Times New Roman" w:eastAsia="Arial Unicode MS" w:hAnsi="Times New Roman"/>
                <w:b/>
                <w:color w:val="000000"/>
                <w:shd w:val="clear" w:color="auto" w:fill="FFFFFF"/>
                <w:vertAlign w:val="superscript"/>
              </w:rPr>
              <w:t>b</w:t>
            </w:r>
            <w:r w:rsidRPr="000E1BC3">
              <w:rPr>
                <w:rFonts w:ascii="Times New Roman" w:eastAsia="Arial Unicode MS" w:hAnsi="Times New Roman"/>
                <w:b/>
                <w:color w:val="000000"/>
                <w:shd w:val="clear" w:color="auto" w:fill="FFFFFF"/>
              </w:rPr>
              <w:t>;</w:t>
            </w:r>
            <w:r w:rsidRPr="000E1BC3">
              <w:rPr>
                <w:rFonts w:ascii="Times New Roman" w:eastAsia="Arial Unicode MS" w:hAnsi="Times New Roman"/>
                <w:b/>
                <w:color w:val="000000"/>
                <w:shd w:val="clear" w:color="auto" w:fill="FFFFFF"/>
              </w:rPr>
              <w:br/>
              <w:t>No effect = 1.00</w:t>
            </w:r>
          </w:p>
        </w:tc>
      </w:tr>
      <w:tr w:rsidR="00F51A05" w:rsidRPr="000E1BC3" w:rsidTr="002F2C53">
        <w:trPr>
          <w:cantSplit/>
          <w:trHeight w:val="73"/>
          <w:tblHeader/>
        </w:trPr>
        <w:tc>
          <w:tcPr>
            <w:tcW w:w="843" w:type="pct"/>
            <w:vMerge/>
            <w:tcBorders>
              <w:top w:val="single" w:sz="6" w:space="0" w:color="auto"/>
              <w:bottom w:val="single" w:sz="12" w:space="0" w:color="auto"/>
            </w:tcBorders>
            <w:vAlign w:val="center"/>
          </w:tcPr>
          <w:p w:rsidR="00F51A05" w:rsidRPr="000E1BC3" w:rsidRDefault="00F51A05" w:rsidP="00044223">
            <w:pPr>
              <w:widowControl w:val="0"/>
              <w:jc w:val="center"/>
              <w:rPr>
                <w:rFonts w:ascii="Times New Roman" w:hAnsi="Times New Roman"/>
                <w:b/>
                <w:strike/>
                <w:shd w:val="clear" w:color="auto" w:fill="FFFFFF"/>
              </w:rPr>
            </w:pPr>
          </w:p>
        </w:tc>
        <w:tc>
          <w:tcPr>
            <w:tcW w:w="893" w:type="pct"/>
            <w:vMerge/>
            <w:tcBorders>
              <w:top w:val="single" w:sz="6" w:space="0" w:color="auto"/>
              <w:bottom w:val="single" w:sz="12" w:space="0" w:color="auto"/>
            </w:tcBorders>
            <w:vAlign w:val="bottom"/>
          </w:tcPr>
          <w:p w:rsidR="00F51A05" w:rsidRPr="000E1BC3" w:rsidRDefault="00F51A05" w:rsidP="00044223">
            <w:pPr>
              <w:jc w:val="center"/>
              <w:rPr>
                <w:rFonts w:ascii="Times New Roman" w:eastAsia="Arial Unicode MS" w:hAnsi="Times New Roman"/>
                <w:b/>
                <w:strike/>
                <w:color w:val="000000"/>
                <w:shd w:val="clear" w:color="auto" w:fill="FFFFFF"/>
              </w:rPr>
            </w:pPr>
          </w:p>
        </w:tc>
        <w:tc>
          <w:tcPr>
            <w:tcW w:w="632" w:type="pct"/>
            <w:vMerge/>
            <w:tcBorders>
              <w:bottom w:val="single" w:sz="12" w:space="0" w:color="auto"/>
            </w:tcBorders>
          </w:tcPr>
          <w:p w:rsidR="00F51A05" w:rsidRPr="000E1BC3" w:rsidRDefault="00F51A05" w:rsidP="00044223">
            <w:pPr>
              <w:jc w:val="center"/>
              <w:rPr>
                <w:rFonts w:ascii="Times New Roman" w:eastAsia="Arial Unicode MS" w:hAnsi="Times New Roman"/>
                <w:b/>
                <w:strike/>
                <w:color w:val="000000"/>
                <w:shd w:val="clear" w:color="auto" w:fill="FFFFFF"/>
              </w:rPr>
            </w:pPr>
          </w:p>
        </w:tc>
        <w:tc>
          <w:tcPr>
            <w:tcW w:w="696" w:type="pct"/>
            <w:vMerge/>
            <w:tcBorders>
              <w:bottom w:val="single" w:sz="12" w:space="0" w:color="auto"/>
            </w:tcBorders>
          </w:tcPr>
          <w:p w:rsidR="00F51A05" w:rsidRPr="000E1BC3" w:rsidRDefault="00F51A05" w:rsidP="00044223">
            <w:pPr>
              <w:jc w:val="center"/>
              <w:rPr>
                <w:rFonts w:ascii="Times New Roman" w:eastAsia="Arial Unicode MS" w:hAnsi="Times New Roman"/>
                <w:b/>
                <w:strike/>
                <w:color w:val="000000"/>
                <w:shd w:val="clear" w:color="auto" w:fill="FFFFFF"/>
              </w:rPr>
            </w:pPr>
          </w:p>
        </w:tc>
        <w:tc>
          <w:tcPr>
            <w:tcW w:w="227" w:type="pct"/>
            <w:vMerge/>
            <w:tcBorders>
              <w:top w:val="single" w:sz="6" w:space="0" w:color="auto"/>
              <w:bottom w:val="single" w:sz="12" w:space="0" w:color="auto"/>
            </w:tcBorders>
            <w:vAlign w:val="bottom"/>
          </w:tcPr>
          <w:p w:rsidR="00F51A05" w:rsidRPr="000E1BC3" w:rsidRDefault="00F51A05" w:rsidP="00044223">
            <w:pPr>
              <w:jc w:val="center"/>
              <w:rPr>
                <w:rFonts w:ascii="Times New Roman" w:eastAsia="Arial Unicode MS" w:hAnsi="Times New Roman"/>
                <w:b/>
                <w:strike/>
                <w:color w:val="000000"/>
                <w:shd w:val="clear" w:color="auto" w:fill="FFFFFF"/>
              </w:rPr>
            </w:pPr>
          </w:p>
        </w:tc>
        <w:tc>
          <w:tcPr>
            <w:tcW w:w="588" w:type="pct"/>
            <w:tcBorders>
              <w:top w:val="single" w:sz="6" w:space="0" w:color="auto"/>
              <w:bottom w:val="single" w:sz="12" w:space="0" w:color="auto"/>
            </w:tcBorders>
            <w:vAlign w:val="bottom"/>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C</w:t>
            </w:r>
            <w:r w:rsidRPr="000E1BC3">
              <w:rPr>
                <w:rFonts w:ascii="Times New Roman" w:eastAsia="Arial Unicode MS" w:hAnsi="Times New Roman"/>
                <w:b/>
                <w:color w:val="000000"/>
                <w:shd w:val="clear" w:color="auto" w:fill="FFFFFF"/>
                <w:vertAlign w:val="subscript"/>
              </w:rPr>
              <w:t>max</w:t>
            </w:r>
          </w:p>
        </w:tc>
        <w:tc>
          <w:tcPr>
            <w:tcW w:w="588" w:type="pct"/>
            <w:tcBorders>
              <w:top w:val="single" w:sz="6" w:space="0" w:color="auto"/>
              <w:bottom w:val="single" w:sz="12" w:space="0" w:color="auto"/>
            </w:tcBorders>
            <w:vAlign w:val="bottom"/>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AUC</w:t>
            </w:r>
          </w:p>
        </w:tc>
        <w:tc>
          <w:tcPr>
            <w:tcW w:w="532" w:type="pct"/>
            <w:tcBorders>
              <w:top w:val="single" w:sz="6" w:space="0" w:color="auto"/>
              <w:bottom w:val="single" w:sz="12" w:space="0" w:color="auto"/>
            </w:tcBorders>
            <w:vAlign w:val="bottom"/>
          </w:tcPr>
          <w:p w:rsidR="00F51A05" w:rsidRPr="000E1BC3" w:rsidRDefault="00F51A05" w:rsidP="00044223">
            <w:pPr>
              <w:jc w:val="center"/>
              <w:rPr>
                <w:rFonts w:ascii="Times New Roman" w:eastAsia="Arial Unicode MS" w:hAnsi="Times New Roman"/>
                <w:b/>
                <w:color w:val="000000"/>
                <w:shd w:val="clear" w:color="auto" w:fill="FFFFFF"/>
              </w:rPr>
            </w:pPr>
            <w:r w:rsidRPr="000E1BC3">
              <w:rPr>
                <w:rFonts w:ascii="Times New Roman" w:eastAsia="Arial Unicode MS" w:hAnsi="Times New Roman"/>
                <w:b/>
                <w:color w:val="000000"/>
                <w:shd w:val="clear" w:color="auto" w:fill="FFFFFF"/>
              </w:rPr>
              <w:t>C</w:t>
            </w:r>
            <w:r w:rsidRPr="000E1BC3">
              <w:rPr>
                <w:rFonts w:ascii="Times New Roman" w:eastAsia="Arial Unicode MS" w:hAnsi="Times New Roman"/>
                <w:b/>
                <w:color w:val="000000"/>
                <w:shd w:val="clear" w:color="auto" w:fill="FFFFFF"/>
                <w:vertAlign w:val="subscript"/>
              </w:rPr>
              <w:t>min</w:t>
            </w:r>
          </w:p>
        </w:tc>
      </w:tr>
      <w:tr w:rsidR="00F51A05" w:rsidRPr="000E1BC3" w:rsidTr="002F2C53">
        <w:trPr>
          <w:cantSplit/>
          <w:trHeight w:val="472"/>
        </w:trPr>
        <w:tc>
          <w:tcPr>
            <w:tcW w:w="843" w:type="pct"/>
            <w:vAlign w:val="center"/>
          </w:tcPr>
          <w:p w:rsidR="00F51A05" w:rsidRPr="000E1BC3" w:rsidDel="002A7D80" w:rsidRDefault="00F51A05" w:rsidP="00044223">
            <w:pPr>
              <w:widowControl w:val="0"/>
              <w:tabs>
                <w:tab w:val="center" w:pos="4672"/>
                <w:tab w:val="right" w:pos="9344"/>
              </w:tabs>
              <w:rPr>
                <w:rFonts w:ascii="Times New Roman" w:hAnsi="Times New Roman"/>
              </w:rPr>
            </w:pPr>
            <w:r w:rsidRPr="000E1BC3">
              <w:rPr>
                <w:rFonts w:ascii="Times New Roman" w:hAnsi="Times New Roman"/>
              </w:rPr>
              <w:t>Ledipasvir</w:t>
            </w:r>
          </w:p>
        </w:tc>
        <w:tc>
          <w:tcPr>
            <w:tcW w:w="893" w:type="pct"/>
            <w:vMerge w:val="restart"/>
            <w:shd w:val="clear" w:color="auto" w:fill="auto"/>
            <w:vAlign w:val="center"/>
          </w:tcPr>
          <w:p w:rsidR="00F51A05" w:rsidRPr="000E1BC3" w:rsidDel="002A7D80" w:rsidRDefault="00F51A05" w:rsidP="00044223">
            <w:pPr>
              <w:jc w:val="center"/>
              <w:rPr>
                <w:rFonts w:ascii="Times New Roman" w:eastAsia="Arial Unicode MS" w:hAnsi="Times New Roman"/>
                <w:color w:val="000000"/>
                <w:lang w:val="en-GB" w:eastAsia="en-GB"/>
              </w:rPr>
            </w:pPr>
            <w:r w:rsidRPr="000E1BC3">
              <w:rPr>
                <w:rFonts w:ascii="Times New Roman" w:hAnsi="Times New Roman"/>
              </w:rPr>
              <w:t>90/400 once daily</w:t>
            </w:r>
          </w:p>
          <w:p w:rsidR="00F51A05" w:rsidRPr="000E1BC3" w:rsidDel="002A7D80" w:rsidRDefault="00F51A05" w:rsidP="00044223">
            <w:pPr>
              <w:jc w:val="center"/>
              <w:rPr>
                <w:rFonts w:ascii="Times New Roman" w:eastAsia="Arial Unicode MS" w:hAnsi="Times New Roman"/>
                <w:color w:val="000000"/>
                <w:lang w:val="en-GB" w:eastAsia="en-GB"/>
              </w:rPr>
            </w:pPr>
          </w:p>
        </w:tc>
        <w:tc>
          <w:tcPr>
            <w:tcW w:w="632" w:type="pct"/>
            <w:vMerge w:val="restart"/>
            <w:vAlign w:val="center"/>
          </w:tcPr>
          <w:p w:rsidR="00F51A05" w:rsidRPr="000E1BC3" w:rsidRDefault="00F51A05" w:rsidP="00044223">
            <w:pPr>
              <w:jc w:val="center"/>
              <w:rPr>
                <w:rFonts w:ascii="Times New Roman" w:eastAsia="Arial Unicode MS" w:hAnsi="Times New Roman"/>
                <w:color w:val="000000"/>
                <w:lang w:val="en-GB" w:eastAsia="en-GB"/>
              </w:rPr>
            </w:pPr>
            <w:r w:rsidRPr="000E1BC3">
              <w:rPr>
                <w:rFonts w:ascii="Times New Roman" w:eastAsia="Arial Unicode MS" w:hAnsi="Times New Roman"/>
                <w:color w:val="000000"/>
                <w:lang w:val="en-GB" w:eastAsia="en-GB"/>
              </w:rPr>
              <w:t>75 once daily</w:t>
            </w:r>
          </w:p>
        </w:tc>
        <w:tc>
          <w:tcPr>
            <w:tcW w:w="696" w:type="pct"/>
            <w:vMerge w:val="restart"/>
            <w:vAlign w:val="center"/>
          </w:tcPr>
          <w:p w:rsidR="00F51A05" w:rsidRPr="000E1BC3" w:rsidRDefault="00F51A05" w:rsidP="00044223">
            <w:pPr>
              <w:jc w:val="center"/>
              <w:rPr>
                <w:rFonts w:ascii="Times New Roman" w:eastAsia="Arial Unicode MS" w:hAnsi="Times New Roman"/>
                <w:color w:val="000000"/>
                <w:lang w:val="en-GB" w:eastAsia="en-GB"/>
              </w:rPr>
            </w:pPr>
            <w:r w:rsidRPr="000E1BC3">
              <w:rPr>
                <w:rFonts w:ascii="Times New Roman" w:eastAsia="Arial Unicode MS" w:hAnsi="Times New Roman"/>
                <w:color w:val="000000"/>
                <w:lang w:val="en-GB" w:eastAsia="en-GB"/>
              </w:rPr>
              <w:t>25 once daily</w:t>
            </w:r>
          </w:p>
        </w:tc>
        <w:tc>
          <w:tcPr>
            <w:tcW w:w="227" w:type="pct"/>
            <w:vMerge w:val="restart"/>
            <w:vAlign w:val="center"/>
          </w:tcPr>
          <w:p w:rsidR="00F51A05" w:rsidRPr="000E1BC3" w:rsidDel="002A7D80" w:rsidRDefault="00F51A05" w:rsidP="00044223">
            <w:pPr>
              <w:jc w:val="center"/>
              <w:rPr>
                <w:rFonts w:ascii="Times New Roman" w:eastAsia="Arial Unicode MS" w:hAnsi="Times New Roman"/>
                <w:color w:val="000000"/>
                <w:lang w:val="en-GB" w:eastAsia="en-GB"/>
              </w:rPr>
            </w:pPr>
            <w:r w:rsidRPr="000E1BC3">
              <w:rPr>
                <w:rFonts w:ascii="Times New Roman" w:eastAsia="Arial Unicode MS" w:hAnsi="Times New Roman"/>
                <w:color w:val="000000"/>
                <w:lang w:val="en-GB" w:eastAsia="en-GB"/>
              </w:rPr>
              <w:t>30</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0.85</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(0.81, 0.90)</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0.87</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 (0.83, 0.92)</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0.90 (0.84, 0.96)</w:t>
            </w:r>
          </w:p>
        </w:tc>
      </w:tr>
      <w:tr w:rsidR="00F51A05" w:rsidRPr="000E1BC3" w:rsidTr="002F2C53">
        <w:trPr>
          <w:cantSplit/>
          <w:trHeight w:val="464"/>
        </w:trPr>
        <w:tc>
          <w:tcPr>
            <w:tcW w:w="843" w:type="pct"/>
            <w:vAlign w:val="center"/>
          </w:tcPr>
          <w:p w:rsidR="00F51A05" w:rsidRPr="000E1BC3" w:rsidRDefault="00F51A05" w:rsidP="00044223">
            <w:pPr>
              <w:widowControl w:val="0"/>
              <w:tabs>
                <w:tab w:val="center" w:pos="4672"/>
                <w:tab w:val="right" w:pos="9344"/>
              </w:tabs>
              <w:rPr>
                <w:rFonts w:ascii="Times New Roman" w:hAnsi="Times New Roman"/>
              </w:rPr>
            </w:pPr>
            <w:r w:rsidRPr="000E1BC3">
              <w:rPr>
                <w:rFonts w:ascii="Times New Roman" w:hAnsi="Times New Roman"/>
              </w:rPr>
              <w:t>Sofosbuvir</w:t>
            </w:r>
          </w:p>
        </w:tc>
        <w:tc>
          <w:tcPr>
            <w:tcW w:w="893" w:type="pct"/>
            <w:vMerge/>
            <w:shd w:val="clear" w:color="auto" w:fill="auto"/>
            <w:vAlign w:val="center"/>
          </w:tcPr>
          <w:p w:rsidR="00F51A05" w:rsidRPr="000E1BC3" w:rsidDel="002A7D80" w:rsidRDefault="00F51A05" w:rsidP="00044223">
            <w:pPr>
              <w:jc w:val="center"/>
              <w:rPr>
                <w:rFonts w:ascii="Times New Roman" w:hAnsi="Times New Roman"/>
              </w:rPr>
            </w:pPr>
          </w:p>
        </w:tc>
        <w:tc>
          <w:tcPr>
            <w:tcW w:w="632" w:type="pct"/>
            <w:vMerge/>
          </w:tcPr>
          <w:p w:rsidR="00F51A05" w:rsidRPr="000E1BC3" w:rsidDel="002A7D80" w:rsidRDefault="00F51A05" w:rsidP="00044223">
            <w:pPr>
              <w:jc w:val="center"/>
              <w:rPr>
                <w:rFonts w:ascii="Times New Roman" w:hAnsi="Times New Roman"/>
              </w:rPr>
            </w:pPr>
          </w:p>
        </w:tc>
        <w:tc>
          <w:tcPr>
            <w:tcW w:w="696" w:type="pct"/>
            <w:vMerge/>
            <w:vAlign w:val="center"/>
          </w:tcPr>
          <w:p w:rsidR="00F51A05" w:rsidRPr="000E1BC3" w:rsidDel="002A7D80" w:rsidRDefault="00F51A05" w:rsidP="00044223">
            <w:pPr>
              <w:jc w:val="center"/>
              <w:rPr>
                <w:rFonts w:ascii="Times New Roman" w:hAnsi="Times New Roman"/>
              </w:rPr>
            </w:pPr>
          </w:p>
        </w:tc>
        <w:tc>
          <w:tcPr>
            <w:tcW w:w="227" w:type="pct"/>
            <w:vMerge/>
            <w:vAlign w:val="center"/>
          </w:tcPr>
          <w:p w:rsidR="00F51A05" w:rsidRPr="000E1BC3" w:rsidDel="002A7D80" w:rsidRDefault="00F51A05" w:rsidP="00044223">
            <w:pPr>
              <w:jc w:val="center"/>
              <w:rPr>
                <w:rFonts w:ascii="Times New Roman" w:hAnsi="Times New Roman"/>
              </w:rPr>
            </w:pP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1.11</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(1.00, 1.24)</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1.07</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 (1.01, 1.13)</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NA</w:t>
            </w:r>
          </w:p>
        </w:tc>
      </w:tr>
      <w:tr w:rsidR="00F51A05" w:rsidRPr="000E1BC3" w:rsidTr="002F2C53">
        <w:trPr>
          <w:cantSplit/>
          <w:trHeight w:val="988"/>
        </w:trPr>
        <w:tc>
          <w:tcPr>
            <w:tcW w:w="843" w:type="pct"/>
            <w:vAlign w:val="center"/>
          </w:tcPr>
          <w:p w:rsidR="00F51A05" w:rsidRPr="000E1BC3" w:rsidDel="002A7D80" w:rsidRDefault="00F51A05" w:rsidP="00044223">
            <w:pPr>
              <w:widowControl w:val="0"/>
              <w:tabs>
                <w:tab w:val="center" w:pos="4672"/>
                <w:tab w:val="right" w:pos="9344"/>
              </w:tabs>
              <w:rPr>
                <w:rFonts w:ascii="Times New Roman" w:hAnsi="Times New Roman"/>
              </w:rPr>
            </w:pPr>
            <w:r w:rsidRPr="000E1BC3">
              <w:rPr>
                <w:rFonts w:ascii="Times New Roman" w:hAnsi="Times New Roman"/>
              </w:rPr>
              <w:t>GS-331007</w:t>
            </w:r>
            <w:r w:rsidRPr="000E1BC3">
              <w:rPr>
                <w:rFonts w:ascii="Times New Roman" w:hAnsi="Times New Roman"/>
                <w:vertAlign w:val="superscript"/>
              </w:rPr>
              <w:t>c</w:t>
            </w:r>
          </w:p>
        </w:tc>
        <w:tc>
          <w:tcPr>
            <w:tcW w:w="893" w:type="pct"/>
            <w:vMerge/>
            <w:shd w:val="clear" w:color="auto" w:fill="auto"/>
            <w:vAlign w:val="center"/>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632" w:type="pct"/>
            <w:vMerge/>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696" w:type="pct"/>
            <w:vMerge/>
            <w:vAlign w:val="center"/>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227" w:type="pct"/>
            <w:vMerge/>
            <w:vAlign w:val="center"/>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1.10</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(1.07, 1.13)</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1.11</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 (1.08, 1.14)</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1.02</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(0.99, 1.06)</w:t>
            </w:r>
          </w:p>
        </w:tc>
      </w:tr>
      <w:tr w:rsidR="00F51A05" w:rsidRPr="000E1BC3" w:rsidTr="002F2C53">
        <w:trPr>
          <w:cantSplit/>
          <w:trHeight w:val="442"/>
        </w:trPr>
        <w:tc>
          <w:tcPr>
            <w:tcW w:w="843" w:type="pct"/>
            <w:vAlign w:val="center"/>
          </w:tcPr>
          <w:p w:rsidR="00F51A05" w:rsidRPr="000E1BC3" w:rsidRDefault="00F51A05" w:rsidP="00044223">
            <w:pPr>
              <w:pStyle w:val="TableText"/>
              <w:keepNext w:val="0"/>
              <w:keepLines w:val="0"/>
              <w:widowControl w:val="0"/>
              <w:jc w:val="left"/>
              <w:rPr>
                <w:rFonts w:ascii="Times New Roman" w:eastAsia="Arial Unicode MS" w:hAnsi="Times New Roman"/>
                <w:color w:val="000000"/>
              </w:rPr>
            </w:pPr>
            <w:r w:rsidRPr="000E1BC3">
              <w:rPr>
                <w:rFonts w:ascii="Times New Roman" w:hAnsi="Times New Roman" w:cs="Times New Roman"/>
              </w:rPr>
              <w:t>Metformin</w:t>
            </w:r>
          </w:p>
        </w:tc>
        <w:tc>
          <w:tcPr>
            <w:tcW w:w="893" w:type="pct"/>
            <w:shd w:val="clear" w:color="auto" w:fill="auto"/>
            <w:vAlign w:val="center"/>
          </w:tcPr>
          <w:p w:rsidR="00F51A05" w:rsidRPr="000E1BC3" w:rsidRDefault="00F51A05" w:rsidP="00044223">
            <w:pPr>
              <w:keepNext/>
              <w:keepLines/>
              <w:jc w:val="center"/>
              <w:rPr>
                <w:rFonts w:ascii="Times New Roman" w:eastAsia="Arial Unicode MS" w:hAnsi="Times New Roman"/>
                <w:color w:val="000000"/>
              </w:rPr>
            </w:pPr>
            <w:r w:rsidRPr="000E1BC3">
              <w:rPr>
                <w:rFonts w:ascii="Times New Roman" w:hAnsi="Times New Roman"/>
              </w:rPr>
              <w:t>500 twice daily</w:t>
            </w:r>
          </w:p>
        </w:tc>
        <w:tc>
          <w:tcPr>
            <w:tcW w:w="632" w:type="pct"/>
            <w:vAlign w:val="center"/>
          </w:tcPr>
          <w:p w:rsidR="00F51A05" w:rsidRPr="000E1BC3" w:rsidRDefault="00F51A05" w:rsidP="00044223">
            <w:pPr>
              <w:keepNext/>
              <w:keepLines/>
              <w:jc w:val="center"/>
              <w:rPr>
                <w:rFonts w:ascii="Times New Roman" w:eastAsia="Arial Unicode MS" w:hAnsi="Times New Roman"/>
                <w:color w:val="000000"/>
              </w:rPr>
            </w:pPr>
            <w:r w:rsidRPr="000E1BC3">
              <w:rPr>
                <w:rFonts w:ascii="Times New Roman" w:hAnsi="Times New Roman"/>
              </w:rPr>
              <w:t>50 once daily</w:t>
            </w:r>
          </w:p>
        </w:tc>
        <w:tc>
          <w:tcPr>
            <w:tcW w:w="696" w:type="pct"/>
            <w:vAlign w:val="center"/>
          </w:tcPr>
          <w:p w:rsidR="00F51A05" w:rsidRPr="000E1BC3" w:rsidRDefault="00F51A05" w:rsidP="00044223">
            <w:pPr>
              <w:keepNext/>
              <w:keepLines/>
              <w:jc w:val="center"/>
              <w:rPr>
                <w:rFonts w:ascii="Times New Roman" w:eastAsia="Arial Unicode MS" w:hAnsi="Times New Roman"/>
                <w:color w:val="000000"/>
              </w:rPr>
            </w:pPr>
            <w:r w:rsidRPr="000E1BC3">
              <w:rPr>
                <w:rFonts w:ascii="Times New Roman" w:eastAsia="Arial Unicode MS" w:hAnsi="Times New Roman"/>
                <w:color w:val="000000"/>
              </w:rPr>
              <w:t>25 once daily</w:t>
            </w:r>
          </w:p>
        </w:tc>
        <w:tc>
          <w:tcPr>
            <w:tcW w:w="227" w:type="pct"/>
            <w:vAlign w:val="center"/>
          </w:tcPr>
          <w:p w:rsidR="00F51A05" w:rsidRPr="000E1BC3" w:rsidRDefault="00F51A05" w:rsidP="00044223">
            <w:pPr>
              <w:keepNext/>
              <w:keepLines/>
              <w:jc w:val="center"/>
              <w:rPr>
                <w:rFonts w:ascii="Times New Roman" w:eastAsia="Arial Unicode MS" w:hAnsi="Times New Roman"/>
                <w:color w:val="000000"/>
              </w:rPr>
            </w:pPr>
            <w:r w:rsidRPr="000E1BC3">
              <w:rPr>
                <w:rFonts w:ascii="Times New Roman" w:hAnsi="Times New Roman"/>
              </w:rPr>
              <w:t>30</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1.28</w:t>
            </w:r>
          </w:p>
          <w:p w:rsidR="00F51A05" w:rsidRPr="000E1BC3" w:rsidRDefault="00F51A05" w:rsidP="00044223">
            <w:pPr>
              <w:pStyle w:val="TableText"/>
              <w:keepNext w:val="0"/>
              <w:keepLines w:val="0"/>
              <w:widowControl w:val="0"/>
              <w:rPr>
                <w:rFonts w:ascii="Times New Roman" w:hAnsi="Times New Roman"/>
              </w:rPr>
            </w:pPr>
            <w:r w:rsidRPr="000E1BC3">
              <w:rPr>
                <w:rFonts w:ascii="Times New Roman" w:hAnsi="Times New Roman"/>
              </w:rPr>
              <w:t>(1.21, 1.36)</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1.39</w:t>
            </w:r>
          </w:p>
          <w:p w:rsidR="00F51A05" w:rsidRPr="000E1BC3" w:rsidRDefault="00F51A05" w:rsidP="00044223">
            <w:pPr>
              <w:keepNext/>
              <w:keepLines/>
              <w:jc w:val="center"/>
              <w:rPr>
                <w:rFonts w:ascii="Times New Roman" w:eastAsia="Arial Unicode MS" w:hAnsi="Times New Roman"/>
                <w:color w:val="000000"/>
              </w:rPr>
            </w:pPr>
            <w:r w:rsidRPr="000E1BC3">
              <w:rPr>
                <w:rFonts w:ascii="Times New Roman" w:hAnsi="Times New Roman"/>
              </w:rPr>
              <w:t>(1.31, 1.48)</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1.36</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hAnsi="Times New Roman"/>
              </w:rPr>
              <w:t>(1.21, 1.53)</w:t>
            </w:r>
          </w:p>
        </w:tc>
      </w:tr>
      <w:tr w:rsidR="00F51A05" w:rsidRPr="000E1BC3" w:rsidTr="002F2C53">
        <w:trPr>
          <w:cantSplit/>
          <w:trHeight w:val="914"/>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Midazolam</w:t>
            </w:r>
          </w:p>
        </w:tc>
        <w:tc>
          <w:tcPr>
            <w:tcW w:w="893" w:type="pct"/>
            <w:shd w:val="clear" w:color="auto" w:fill="auto"/>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2 single dose</w:t>
            </w:r>
          </w:p>
        </w:tc>
        <w:tc>
          <w:tcPr>
            <w:tcW w:w="632" w:type="pc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50 once daily</w:t>
            </w:r>
          </w:p>
        </w:tc>
        <w:tc>
          <w:tcPr>
            <w:tcW w:w="696" w:type="pc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25 once daily</w:t>
            </w:r>
          </w:p>
        </w:tc>
        <w:tc>
          <w:tcPr>
            <w:tcW w:w="227" w:type="pc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14</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1.03</w:t>
            </w:r>
          </w:p>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(0.87, 1.23)</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1.15</w:t>
            </w:r>
          </w:p>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(1.00, 1.31)</w:t>
            </w:r>
          </w:p>
        </w:tc>
        <w:tc>
          <w:tcPr>
            <w:tcW w:w="532" w:type="pc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NA</w:t>
            </w:r>
          </w:p>
        </w:tc>
      </w:tr>
      <w:tr w:rsidR="00F51A05" w:rsidRPr="000E1BC3" w:rsidTr="002F2C53">
        <w:trPr>
          <w:cantSplit/>
          <w:trHeight w:val="442"/>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Norelgestromin</w:t>
            </w:r>
          </w:p>
        </w:tc>
        <w:tc>
          <w:tcPr>
            <w:tcW w:w="893" w:type="pct"/>
            <w:vMerge w:val="restart"/>
            <w:shd w:val="clear" w:color="auto" w:fill="auto"/>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norgestimate 0.180/0.215/0.250 </w:t>
            </w:r>
            <w:r w:rsidRPr="000E1BC3">
              <w:rPr>
                <w:rFonts w:ascii="Times New Roman" w:eastAsia="Arial Unicode MS" w:hAnsi="Times New Roman"/>
                <w:shd w:val="clear" w:color="auto" w:fill="FFFFFF"/>
              </w:rPr>
              <w:br/>
              <w:t xml:space="preserve">once daily / </w:t>
            </w:r>
            <w:r w:rsidRPr="000E1BC3">
              <w:rPr>
                <w:rFonts w:ascii="Times New Roman" w:eastAsia="Arial Unicode MS" w:hAnsi="Times New Roman"/>
                <w:shd w:val="clear" w:color="auto" w:fill="FFFFFF"/>
              </w:rPr>
              <w:br/>
              <w:t>ethinyl estradiol 0.025 once daily</w:t>
            </w:r>
          </w:p>
        </w:tc>
        <w:tc>
          <w:tcPr>
            <w:tcW w:w="632" w:type="pct"/>
            <w:vMerge w:val="restart"/>
          </w:tcPr>
          <w:p w:rsidR="00F51A05" w:rsidRPr="000E1BC3" w:rsidRDefault="00F51A05" w:rsidP="00044223">
            <w:pPr>
              <w:rPr>
                <w:rFonts w:ascii="Times New Roman" w:eastAsia="Arial Unicode MS" w:hAnsi="Times New Roman"/>
                <w:shd w:val="clear" w:color="auto" w:fill="FFFFFF"/>
              </w:rPr>
            </w:pPr>
          </w:p>
          <w:p w:rsidR="00F51A05" w:rsidRPr="000E1BC3" w:rsidRDefault="00F51A05" w:rsidP="00044223">
            <w:pPr>
              <w:rPr>
                <w:rFonts w:ascii="Times New Roman" w:eastAsia="Arial Unicode MS" w:hAnsi="Times New Roman"/>
                <w:shd w:val="clear" w:color="auto" w:fill="FFFFFF"/>
              </w:rPr>
            </w:pPr>
          </w:p>
          <w:p w:rsidR="00F51A05" w:rsidRPr="000E1BC3" w:rsidRDefault="00F51A05" w:rsidP="00044223">
            <w:pPr>
              <w:rPr>
                <w:rFonts w:ascii="Times New Roman" w:eastAsia="Arial Unicode MS" w:hAnsi="Times New Roman"/>
                <w:shd w:val="clear" w:color="auto" w:fill="FFFFFF"/>
              </w:rPr>
            </w:pPr>
          </w:p>
          <w:p w:rsidR="00F51A05" w:rsidRPr="000E1BC3" w:rsidRDefault="00F51A05" w:rsidP="00044223">
            <w:pPr>
              <w:rPr>
                <w:rFonts w:ascii="Times New Roman" w:eastAsia="Arial Unicode MS" w:hAnsi="Times New Roman"/>
                <w:shd w:val="clear" w:color="auto" w:fill="FFFFFF"/>
              </w:rPr>
            </w:pPr>
          </w:p>
          <w:p w:rsidR="00F51A05" w:rsidRPr="000E1BC3" w:rsidRDefault="00F51A05" w:rsidP="00044223">
            <w:pPr>
              <w:rPr>
                <w:rFonts w:ascii="Times New Roman" w:eastAsia="Arial Unicode MS" w:hAnsi="Times New Roman"/>
                <w:shd w:val="clear" w:color="auto" w:fill="FFFFFF"/>
              </w:rPr>
            </w:pPr>
          </w:p>
          <w:p w:rsidR="00F51A05" w:rsidRPr="000E1BC3" w:rsidDel="002A7D80"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75 once daily</w:t>
            </w:r>
          </w:p>
        </w:tc>
        <w:tc>
          <w:tcPr>
            <w:tcW w:w="696" w:type="pct"/>
            <w:vMerge w:val="restar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color w:val="000000"/>
              </w:rPr>
              <w:t>-</w:t>
            </w:r>
          </w:p>
        </w:tc>
        <w:tc>
          <w:tcPr>
            <w:tcW w:w="227" w:type="pct"/>
            <w:vMerge w:val="restar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15</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1.23</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 (1.14, 1.32)</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1.08</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 (1.05, 1.10)</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1.10 (1.05, 1.15)</w:t>
            </w:r>
          </w:p>
        </w:tc>
      </w:tr>
      <w:tr w:rsidR="00F51A05" w:rsidRPr="000E1BC3" w:rsidTr="002F2C53">
        <w:trPr>
          <w:cantSplit/>
          <w:trHeight w:val="894"/>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Norgestrel</w:t>
            </w:r>
          </w:p>
        </w:tc>
        <w:tc>
          <w:tcPr>
            <w:tcW w:w="893" w:type="pct"/>
            <w:vMerge/>
            <w:shd w:val="clear" w:color="auto" w:fill="auto"/>
            <w:vAlign w:val="center"/>
          </w:tcPr>
          <w:p w:rsidR="00F51A05" w:rsidRPr="000E1BC3" w:rsidRDefault="00F51A05" w:rsidP="00044223">
            <w:pPr>
              <w:rPr>
                <w:rFonts w:ascii="Times New Roman" w:eastAsia="Arial Unicode MS" w:hAnsi="Times New Roman"/>
                <w:shd w:val="clear" w:color="auto" w:fill="FFFFFF"/>
              </w:rPr>
            </w:pPr>
          </w:p>
        </w:tc>
        <w:tc>
          <w:tcPr>
            <w:tcW w:w="632" w:type="pct"/>
            <w:vMerge/>
          </w:tcPr>
          <w:p w:rsidR="00F51A05" w:rsidRPr="000E1BC3" w:rsidDel="002A7D80" w:rsidRDefault="00F51A05" w:rsidP="00044223">
            <w:pPr>
              <w:rPr>
                <w:rFonts w:ascii="Times New Roman" w:eastAsia="Arial Unicode MS" w:hAnsi="Times New Roman"/>
                <w:shd w:val="clear" w:color="auto" w:fill="FFFFFF"/>
              </w:rPr>
            </w:pPr>
          </w:p>
        </w:tc>
        <w:tc>
          <w:tcPr>
            <w:tcW w:w="696" w:type="pct"/>
            <w:vMerge/>
            <w:vAlign w:val="center"/>
          </w:tcPr>
          <w:p w:rsidR="00F51A05" w:rsidRPr="000E1BC3" w:rsidDel="002A7D80" w:rsidRDefault="00F51A05" w:rsidP="00044223">
            <w:pPr>
              <w:rPr>
                <w:rFonts w:ascii="Times New Roman" w:eastAsia="Arial Unicode MS" w:hAnsi="Times New Roman"/>
                <w:shd w:val="clear" w:color="auto" w:fill="FFFFFF"/>
              </w:rPr>
            </w:pPr>
          </w:p>
        </w:tc>
        <w:tc>
          <w:tcPr>
            <w:tcW w:w="227" w:type="pct"/>
            <w:vMerge/>
            <w:vAlign w:val="center"/>
          </w:tcPr>
          <w:p w:rsidR="00F51A05" w:rsidRPr="000E1BC3" w:rsidDel="002A7D80" w:rsidRDefault="00F51A05" w:rsidP="00044223">
            <w:pPr>
              <w:rPr>
                <w:rFonts w:ascii="Times New Roman" w:eastAsia="Arial Unicode MS" w:hAnsi="Times New Roman"/>
                <w:shd w:val="clear" w:color="auto" w:fill="FFFFFF"/>
              </w:rPr>
            </w:pP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1.15</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 (1.10, 1.21)</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1.13</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 (1.07, 1.19)</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1.14 (1.06, 1.22)</w:t>
            </w:r>
          </w:p>
        </w:tc>
      </w:tr>
      <w:tr w:rsidR="00F51A05" w:rsidRPr="000E1BC3" w:rsidTr="002F2C53">
        <w:trPr>
          <w:cantSplit/>
          <w:trHeight w:val="516"/>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Ethinyl estradiol</w:t>
            </w:r>
          </w:p>
        </w:tc>
        <w:tc>
          <w:tcPr>
            <w:tcW w:w="893" w:type="pct"/>
            <w:vMerge/>
            <w:shd w:val="clear" w:color="auto" w:fill="auto"/>
            <w:vAlign w:val="center"/>
          </w:tcPr>
          <w:p w:rsidR="00F51A05" w:rsidRPr="000E1BC3" w:rsidRDefault="00F51A05" w:rsidP="00044223">
            <w:pPr>
              <w:rPr>
                <w:rFonts w:ascii="Times New Roman" w:eastAsia="Arial Unicode MS" w:hAnsi="Times New Roman"/>
                <w:shd w:val="clear" w:color="auto" w:fill="FFFFFF"/>
              </w:rPr>
            </w:pPr>
          </w:p>
        </w:tc>
        <w:tc>
          <w:tcPr>
            <w:tcW w:w="632" w:type="pct"/>
            <w:vMerge/>
          </w:tcPr>
          <w:p w:rsidR="00F51A05" w:rsidRPr="000E1BC3" w:rsidDel="002A7D80" w:rsidRDefault="00F51A05" w:rsidP="00044223">
            <w:pPr>
              <w:rPr>
                <w:rFonts w:ascii="Times New Roman" w:eastAsia="Arial Unicode MS" w:hAnsi="Times New Roman"/>
                <w:shd w:val="clear" w:color="auto" w:fill="FFFFFF"/>
              </w:rPr>
            </w:pPr>
          </w:p>
        </w:tc>
        <w:tc>
          <w:tcPr>
            <w:tcW w:w="696" w:type="pct"/>
            <w:vMerge/>
            <w:vAlign w:val="center"/>
          </w:tcPr>
          <w:p w:rsidR="00F51A05" w:rsidRPr="000E1BC3" w:rsidDel="002A7D80" w:rsidRDefault="00F51A05" w:rsidP="00044223">
            <w:pPr>
              <w:rPr>
                <w:rFonts w:ascii="Times New Roman" w:eastAsia="Arial Unicode MS" w:hAnsi="Times New Roman"/>
                <w:shd w:val="clear" w:color="auto" w:fill="FFFFFF"/>
              </w:rPr>
            </w:pPr>
          </w:p>
        </w:tc>
        <w:tc>
          <w:tcPr>
            <w:tcW w:w="227" w:type="pct"/>
            <w:vMerge/>
            <w:vAlign w:val="center"/>
          </w:tcPr>
          <w:p w:rsidR="00F51A05" w:rsidRPr="000E1BC3" w:rsidDel="002A7D80" w:rsidRDefault="00F51A05" w:rsidP="00044223">
            <w:pPr>
              <w:rPr>
                <w:rFonts w:ascii="Times New Roman" w:eastAsia="Arial Unicode MS" w:hAnsi="Times New Roman"/>
                <w:shd w:val="clear" w:color="auto" w:fill="FFFFFF"/>
              </w:rPr>
            </w:pP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1.15 </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(1.03, 1.27)</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1.04</w:t>
            </w:r>
          </w:p>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 (0.99, 1.10)</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1.05 (0.95, 1.14)</w:t>
            </w:r>
          </w:p>
        </w:tc>
      </w:tr>
      <w:tr w:rsidR="00F51A05" w:rsidRPr="000E1BC3" w:rsidTr="002F2C53">
        <w:trPr>
          <w:cantSplit/>
          <w:trHeight w:val="585"/>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lastRenderedPageBreak/>
              <w:t>Norelgestromin</w:t>
            </w:r>
          </w:p>
        </w:tc>
        <w:tc>
          <w:tcPr>
            <w:tcW w:w="893" w:type="pct"/>
            <w:vMerge w:val="restart"/>
            <w:shd w:val="clear" w:color="auto" w:fill="auto"/>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 xml:space="preserve">norgestimate 0.180/0.215/0.250 </w:t>
            </w:r>
            <w:r w:rsidRPr="000E1BC3">
              <w:rPr>
                <w:rFonts w:ascii="Times New Roman" w:eastAsia="Arial Unicode MS" w:hAnsi="Times New Roman"/>
                <w:shd w:val="clear" w:color="auto" w:fill="FFFFFF"/>
              </w:rPr>
              <w:br/>
              <w:t xml:space="preserve">once daily / </w:t>
            </w:r>
            <w:r w:rsidRPr="000E1BC3">
              <w:rPr>
                <w:rFonts w:ascii="Times New Roman" w:eastAsia="Arial Unicode MS" w:hAnsi="Times New Roman"/>
                <w:shd w:val="clear" w:color="auto" w:fill="FFFFFF"/>
              </w:rPr>
              <w:br/>
              <w:t>ethinyl estradiol 0.025 once daily</w:t>
            </w:r>
          </w:p>
        </w:tc>
        <w:tc>
          <w:tcPr>
            <w:tcW w:w="632" w:type="pct"/>
            <w:vMerge w:val="restar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w:t>
            </w:r>
          </w:p>
        </w:tc>
        <w:tc>
          <w:tcPr>
            <w:tcW w:w="696" w:type="pct"/>
            <w:vMerge w:val="restar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25 once daily</w:t>
            </w:r>
            <w:r w:rsidRPr="000E1BC3">
              <w:rPr>
                <w:rFonts w:ascii="Times New Roman" w:eastAsia="Arial Unicode MS" w:hAnsi="Times New Roman"/>
                <w:shd w:val="clear" w:color="auto" w:fill="FFFFFF"/>
                <w:vertAlign w:val="superscript"/>
              </w:rPr>
              <w:t>d</w:t>
            </w:r>
          </w:p>
        </w:tc>
        <w:tc>
          <w:tcPr>
            <w:tcW w:w="227" w:type="pct"/>
            <w:vMerge w:val="restar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14</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1.17</w:t>
            </w:r>
            <w:r w:rsidRPr="000E1BC3">
              <w:rPr>
                <w:rFonts w:ascii="Times New Roman" w:eastAsia="Arial Unicode MS" w:hAnsi="Times New Roman"/>
                <w:shd w:val="clear" w:color="auto" w:fill="FFFFFF"/>
              </w:rPr>
              <w:br/>
              <w:t>(1.07,1.26)</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1.12 (1.07,1.17)</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1.16</w:t>
            </w:r>
            <w:r w:rsidRPr="000E1BC3">
              <w:rPr>
                <w:rFonts w:ascii="Times New Roman" w:eastAsia="Arial Unicode MS" w:hAnsi="Times New Roman"/>
                <w:shd w:val="clear" w:color="auto" w:fill="FFFFFF"/>
              </w:rPr>
              <w:br/>
              <w:t>(1.08, 1.24)</w:t>
            </w:r>
          </w:p>
        </w:tc>
      </w:tr>
      <w:tr w:rsidR="00F51A05" w:rsidRPr="000E1BC3" w:rsidTr="002F2C53">
        <w:trPr>
          <w:cantSplit/>
          <w:trHeight w:val="236"/>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Norgestrel</w:t>
            </w:r>
          </w:p>
        </w:tc>
        <w:tc>
          <w:tcPr>
            <w:tcW w:w="893" w:type="pct"/>
            <w:vMerge/>
            <w:shd w:val="clear" w:color="auto" w:fill="auto"/>
            <w:vAlign w:val="center"/>
          </w:tcPr>
          <w:p w:rsidR="00F51A05" w:rsidRPr="000E1BC3" w:rsidRDefault="00F51A05" w:rsidP="00044223">
            <w:pPr>
              <w:jc w:val="center"/>
              <w:rPr>
                <w:rFonts w:ascii="Times New Roman" w:eastAsia="Arial Unicode MS" w:hAnsi="Times New Roman"/>
                <w:shd w:val="clear" w:color="auto" w:fill="FFFFFF"/>
              </w:rPr>
            </w:pPr>
          </w:p>
        </w:tc>
        <w:tc>
          <w:tcPr>
            <w:tcW w:w="632" w:type="pct"/>
            <w:vMerge/>
            <w:vAlign w:val="center"/>
          </w:tcPr>
          <w:p w:rsidR="00F51A05" w:rsidRPr="000E1BC3" w:rsidRDefault="00F51A05" w:rsidP="00044223">
            <w:pPr>
              <w:jc w:val="center"/>
              <w:rPr>
                <w:rFonts w:ascii="Times New Roman" w:eastAsia="Arial Unicode MS" w:hAnsi="Times New Roman"/>
                <w:shd w:val="clear" w:color="auto" w:fill="FFFFFF"/>
              </w:rPr>
            </w:pPr>
          </w:p>
        </w:tc>
        <w:tc>
          <w:tcPr>
            <w:tcW w:w="696" w:type="pct"/>
            <w:vMerge/>
            <w:vAlign w:val="center"/>
          </w:tcPr>
          <w:p w:rsidR="00F51A05" w:rsidRPr="000E1BC3" w:rsidRDefault="00F51A05" w:rsidP="00044223">
            <w:pPr>
              <w:jc w:val="center"/>
              <w:rPr>
                <w:rFonts w:ascii="Times New Roman" w:eastAsia="Arial Unicode MS" w:hAnsi="Times New Roman"/>
                <w:shd w:val="clear" w:color="auto" w:fill="FFFFFF"/>
              </w:rPr>
            </w:pPr>
          </w:p>
        </w:tc>
        <w:tc>
          <w:tcPr>
            <w:tcW w:w="227" w:type="pct"/>
            <w:vMerge/>
            <w:vAlign w:val="center"/>
          </w:tcPr>
          <w:p w:rsidR="00F51A05" w:rsidRPr="000E1BC3" w:rsidDel="002A7D80" w:rsidRDefault="00F51A05" w:rsidP="00044223">
            <w:pPr>
              <w:jc w:val="center"/>
              <w:rPr>
                <w:rFonts w:ascii="Times New Roman" w:eastAsia="Arial Unicode MS" w:hAnsi="Times New Roman"/>
                <w:shd w:val="clear" w:color="auto" w:fill="FFFFFF"/>
              </w:rPr>
            </w:pP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1.10</w:t>
            </w:r>
            <w:r w:rsidRPr="000E1BC3">
              <w:rPr>
                <w:rFonts w:ascii="Times New Roman" w:eastAsia="Arial Unicode MS" w:hAnsi="Times New Roman"/>
                <w:shd w:val="clear" w:color="auto" w:fill="FFFFFF"/>
              </w:rPr>
              <w:br/>
              <w:t>(1.02, 1.18)</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1.09</w:t>
            </w:r>
            <w:r w:rsidRPr="000E1BC3">
              <w:rPr>
                <w:rFonts w:ascii="Times New Roman" w:eastAsia="Arial Unicode MS" w:hAnsi="Times New Roman"/>
                <w:shd w:val="clear" w:color="auto" w:fill="FFFFFF"/>
              </w:rPr>
              <w:br/>
              <w:t>(1.01, 1.18)</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1.11</w:t>
            </w:r>
            <w:r w:rsidRPr="000E1BC3">
              <w:rPr>
                <w:rFonts w:ascii="Times New Roman" w:eastAsia="Arial Unicode MS" w:hAnsi="Times New Roman"/>
                <w:shd w:val="clear" w:color="auto" w:fill="FFFFFF"/>
              </w:rPr>
              <w:br/>
              <w:t>(1.03, 1.20)</w:t>
            </w:r>
          </w:p>
        </w:tc>
      </w:tr>
      <w:tr w:rsidR="00F51A05" w:rsidRPr="000E1BC3" w:rsidTr="002F2C53">
        <w:trPr>
          <w:cantSplit/>
          <w:trHeight w:val="228"/>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Ethinyl estradiol</w:t>
            </w:r>
          </w:p>
        </w:tc>
        <w:tc>
          <w:tcPr>
            <w:tcW w:w="893" w:type="pct"/>
            <w:vMerge/>
            <w:shd w:val="clear" w:color="auto" w:fill="auto"/>
            <w:vAlign w:val="center"/>
          </w:tcPr>
          <w:p w:rsidR="00F51A05" w:rsidRPr="000E1BC3" w:rsidRDefault="00F51A05" w:rsidP="00044223">
            <w:pPr>
              <w:jc w:val="center"/>
              <w:rPr>
                <w:rFonts w:ascii="Times New Roman" w:eastAsia="Arial Unicode MS" w:hAnsi="Times New Roman"/>
                <w:shd w:val="clear" w:color="auto" w:fill="FFFFFF"/>
              </w:rPr>
            </w:pPr>
          </w:p>
        </w:tc>
        <w:tc>
          <w:tcPr>
            <w:tcW w:w="632" w:type="pct"/>
            <w:vMerge/>
            <w:vAlign w:val="center"/>
          </w:tcPr>
          <w:p w:rsidR="00F51A05" w:rsidRPr="000E1BC3" w:rsidRDefault="00F51A05" w:rsidP="00044223">
            <w:pPr>
              <w:jc w:val="center"/>
              <w:rPr>
                <w:rFonts w:ascii="Times New Roman" w:eastAsia="Arial Unicode MS" w:hAnsi="Times New Roman"/>
                <w:shd w:val="clear" w:color="auto" w:fill="FFFFFF"/>
              </w:rPr>
            </w:pPr>
          </w:p>
        </w:tc>
        <w:tc>
          <w:tcPr>
            <w:tcW w:w="696" w:type="pct"/>
            <w:vMerge/>
            <w:vAlign w:val="center"/>
          </w:tcPr>
          <w:p w:rsidR="00F51A05" w:rsidRPr="000E1BC3" w:rsidRDefault="00F51A05" w:rsidP="00044223">
            <w:pPr>
              <w:jc w:val="center"/>
              <w:rPr>
                <w:rFonts w:ascii="Times New Roman" w:eastAsia="Arial Unicode MS" w:hAnsi="Times New Roman"/>
                <w:shd w:val="clear" w:color="auto" w:fill="FFFFFF"/>
              </w:rPr>
            </w:pPr>
          </w:p>
        </w:tc>
        <w:tc>
          <w:tcPr>
            <w:tcW w:w="227" w:type="pct"/>
            <w:vMerge/>
            <w:vAlign w:val="center"/>
          </w:tcPr>
          <w:p w:rsidR="00F51A05" w:rsidRPr="000E1BC3" w:rsidDel="002A7D80" w:rsidRDefault="00F51A05" w:rsidP="00044223">
            <w:pPr>
              <w:jc w:val="center"/>
              <w:rPr>
                <w:rFonts w:ascii="Times New Roman" w:eastAsia="Arial Unicode MS" w:hAnsi="Times New Roman"/>
                <w:shd w:val="clear" w:color="auto" w:fill="FFFFFF"/>
              </w:rPr>
            </w:pP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1.22</w:t>
            </w:r>
            <w:r w:rsidRPr="000E1BC3">
              <w:rPr>
                <w:rFonts w:ascii="Times New Roman" w:eastAsia="Arial Unicode MS" w:hAnsi="Times New Roman"/>
                <w:shd w:val="clear" w:color="auto" w:fill="FFFFFF"/>
              </w:rPr>
              <w:br/>
              <w:t>(1.15, 1.29)</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1.11</w:t>
            </w:r>
            <w:r w:rsidRPr="000E1BC3">
              <w:rPr>
                <w:rFonts w:ascii="Times New Roman" w:eastAsia="Arial Unicode MS" w:hAnsi="Times New Roman"/>
                <w:shd w:val="clear" w:color="auto" w:fill="FFFFFF"/>
              </w:rPr>
              <w:br/>
              <w:t>(1.07, 1.16)</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1.02</w:t>
            </w:r>
            <w:r w:rsidRPr="000E1BC3">
              <w:rPr>
                <w:rFonts w:ascii="Times New Roman" w:eastAsia="Arial Unicode MS" w:hAnsi="Times New Roman"/>
                <w:shd w:val="clear" w:color="auto" w:fill="FFFFFF"/>
              </w:rPr>
              <w:br/>
              <w:t>(0.92, 1.12)</w:t>
            </w:r>
          </w:p>
        </w:tc>
      </w:tr>
      <w:tr w:rsidR="00F51A05" w:rsidRPr="000E1BC3" w:rsidTr="002F2C53">
        <w:trPr>
          <w:cantSplit/>
          <w:trHeight w:val="236"/>
        </w:trPr>
        <w:tc>
          <w:tcPr>
            <w:tcW w:w="843" w:type="pct"/>
            <w:vAlign w:val="center"/>
          </w:tcPr>
          <w:p w:rsidR="00F51A05" w:rsidRPr="000E1BC3" w:rsidRDefault="00F51A05" w:rsidP="00044223">
            <w:pP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Sertraline</w:t>
            </w:r>
          </w:p>
        </w:tc>
        <w:tc>
          <w:tcPr>
            <w:tcW w:w="893" w:type="pct"/>
            <w:shd w:val="clear" w:color="auto" w:fill="auto"/>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50 single dose</w:t>
            </w:r>
          </w:p>
        </w:tc>
        <w:tc>
          <w:tcPr>
            <w:tcW w:w="6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w:t>
            </w:r>
          </w:p>
        </w:tc>
        <w:tc>
          <w:tcPr>
            <w:tcW w:w="696"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10 once daily</w:t>
            </w:r>
            <w:r w:rsidRPr="000E1BC3">
              <w:rPr>
                <w:rFonts w:ascii="Times New Roman" w:eastAsia="Arial Unicode MS" w:hAnsi="Times New Roman"/>
                <w:shd w:val="clear" w:color="auto" w:fill="FFFFFF"/>
                <w:vertAlign w:val="superscript"/>
              </w:rPr>
              <w:t>e</w:t>
            </w:r>
          </w:p>
        </w:tc>
        <w:tc>
          <w:tcPr>
            <w:tcW w:w="227" w:type="pct"/>
            <w:vAlign w:val="center"/>
          </w:tcPr>
          <w:p w:rsidR="00F51A05" w:rsidRPr="000E1BC3" w:rsidDel="002A7D80"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19</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1.14</w:t>
            </w:r>
            <w:r w:rsidRPr="000E1BC3">
              <w:rPr>
                <w:rFonts w:ascii="Times New Roman" w:eastAsia="Arial Unicode MS" w:hAnsi="Times New Roman"/>
                <w:shd w:val="clear" w:color="auto" w:fill="FFFFFF"/>
                <w:lang w:val="en-GB" w:eastAsia="en-GB"/>
              </w:rPr>
              <w:br/>
            </w:r>
            <w:r w:rsidRPr="000E1BC3">
              <w:rPr>
                <w:rFonts w:ascii="Times New Roman" w:eastAsia="Arial Unicode MS" w:hAnsi="Times New Roman"/>
                <w:shd w:val="clear" w:color="auto" w:fill="FFFFFF"/>
              </w:rPr>
              <w:t>(0.94, 1.38)</w:t>
            </w:r>
          </w:p>
        </w:tc>
        <w:tc>
          <w:tcPr>
            <w:tcW w:w="588"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0.93</w:t>
            </w:r>
            <w:r w:rsidRPr="000E1BC3">
              <w:rPr>
                <w:rFonts w:ascii="Times New Roman" w:eastAsia="Arial Unicode MS" w:hAnsi="Times New Roman"/>
                <w:shd w:val="clear" w:color="auto" w:fill="FFFFFF"/>
              </w:rPr>
              <w:br/>
              <w:t>(0.77, 1.13)</w:t>
            </w:r>
          </w:p>
        </w:tc>
        <w:tc>
          <w:tcPr>
            <w:tcW w:w="532" w:type="pct"/>
            <w:vAlign w:val="center"/>
          </w:tcPr>
          <w:p w:rsidR="00F51A05" w:rsidRPr="000E1BC3" w:rsidRDefault="00F51A05" w:rsidP="00044223">
            <w:pPr>
              <w:jc w:val="center"/>
              <w:rPr>
                <w:rFonts w:ascii="Times New Roman" w:eastAsia="Arial Unicode MS" w:hAnsi="Times New Roman"/>
                <w:shd w:val="clear" w:color="auto" w:fill="FFFFFF"/>
              </w:rPr>
            </w:pPr>
            <w:r w:rsidRPr="000E1BC3">
              <w:rPr>
                <w:rFonts w:ascii="Times New Roman" w:eastAsia="Arial Unicode MS" w:hAnsi="Times New Roman"/>
                <w:shd w:val="clear" w:color="auto" w:fill="FFFFFF"/>
              </w:rPr>
              <w:t>NA</w:t>
            </w:r>
          </w:p>
        </w:tc>
      </w:tr>
      <w:tr w:rsidR="00F51A05" w:rsidRPr="000E1BC3" w:rsidTr="002F2C53">
        <w:trPr>
          <w:cantSplit/>
          <w:trHeight w:val="464"/>
        </w:trPr>
        <w:tc>
          <w:tcPr>
            <w:tcW w:w="843" w:type="pct"/>
            <w:vAlign w:val="center"/>
          </w:tcPr>
          <w:p w:rsidR="00F51A05" w:rsidRPr="000E1BC3" w:rsidRDefault="00F51A05" w:rsidP="00044223">
            <w:pPr>
              <w:pStyle w:val="TableText"/>
              <w:keepNext w:val="0"/>
              <w:keepLines w:val="0"/>
              <w:widowControl w:val="0"/>
              <w:spacing w:before="0"/>
              <w:jc w:val="left"/>
              <w:rPr>
                <w:rFonts w:ascii="Times New Roman" w:hAnsi="Times New Roman"/>
              </w:rPr>
            </w:pPr>
            <w:r w:rsidRPr="000E1BC3">
              <w:rPr>
                <w:rFonts w:ascii="Times New Roman" w:hAnsi="Times New Roman" w:cs="Times New Roman"/>
              </w:rPr>
              <w:t>Sofosbuvir</w:t>
            </w:r>
          </w:p>
        </w:tc>
        <w:tc>
          <w:tcPr>
            <w:tcW w:w="893" w:type="pct"/>
            <w:vMerge w:val="restart"/>
            <w:shd w:val="clear" w:color="auto" w:fill="auto"/>
            <w:vAlign w:val="center"/>
          </w:tcPr>
          <w:p w:rsidR="00F51A05" w:rsidRPr="000E1BC3" w:rsidDel="002A7D80" w:rsidRDefault="00F51A05" w:rsidP="00044223">
            <w:pPr>
              <w:widowControl w:val="0"/>
              <w:tabs>
                <w:tab w:val="center" w:pos="4672"/>
                <w:tab w:val="right" w:pos="9344"/>
              </w:tabs>
              <w:spacing w:before="397" w:after="227"/>
              <w:ind w:left="90"/>
              <w:jc w:val="center"/>
              <w:rPr>
                <w:rFonts w:ascii="Times New Roman" w:hAnsi="Times New Roman"/>
                <w:bCs/>
                <w:lang w:val="en-GB" w:eastAsia="en-GB"/>
              </w:rPr>
            </w:pPr>
            <w:r w:rsidRPr="000E1BC3">
              <w:rPr>
                <w:rFonts w:ascii="Times New Roman" w:hAnsi="Times New Roman"/>
                <w:bCs/>
                <w:lang w:val="en-GB" w:eastAsia="en-GB"/>
              </w:rPr>
              <w:t>400/100/</w:t>
            </w:r>
            <w:r w:rsidRPr="000E1BC3">
              <w:rPr>
                <w:rFonts w:ascii="Times New Roman" w:hAnsi="Times New Roman"/>
                <w:bCs/>
                <w:shd w:val="clear" w:color="auto" w:fill="FFFFFF"/>
                <w:lang w:val="en-GB" w:eastAsia="en-GB"/>
              </w:rPr>
              <w:t>100 +100</w:t>
            </w:r>
            <w:r w:rsidRPr="000E1BC3">
              <w:rPr>
                <w:rFonts w:ascii="Times New Roman" w:hAnsi="Times New Roman"/>
                <w:bCs/>
                <w:shd w:val="clear" w:color="auto" w:fill="FFFFFF"/>
                <w:vertAlign w:val="superscript"/>
                <w:lang w:val="en-GB" w:eastAsia="en-GB"/>
              </w:rPr>
              <w:t>f</w:t>
            </w:r>
            <w:r w:rsidRPr="000E1BC3">
              <w:rPr>
                <w:rFonts w:ascii="Times New Roman" w:hAnsi="Times New Roman"/>
                <w:bCs/>
                <w:shd w:val="clear" w:color="auto" w:fill="FFFFFF"/>
                <w:lang w:val="en-GB" w:eastAsia="en-GB"/>
              </w:rPr>
              <w:t xml:space="preserve"> </w:t>
            </w:r>
            <w:r w:rsidRPr="000E1BC3">
              <w:rPr>
                <w:rFonts w:ascii="Times New Roman" w:hAnsi="Times New Roman"/>
                <w:bCs/>
                <w:lang w:val="en-GB" w:eastAsia="en-GB"/>
              </w:rPr>
              <w:t>once daily</w:t>
            </w:r>
          </w:p>
          <w:p w:rsidR="00F51A05" w:rsidRPr="000E1BC3" w:rsidDel="002A7D80" w:rsidRDefault="00F51A05" w:rsidP="00044223">
            <w:pPr>
              <w:widowControl w:val="0"/>
              <w:tabs>
                <w:tab w:val="center" w:pos="4672"/>
                <w:tab w:val="right" w:pos="9344"/>
              </w:tabs>
              <w:spacing w:before="397" w:after="227"/>
              <w:ind w:left="90"/>
              <w:jc w:val="center"/>
              <w:rPr>
                <w:rFonts w:ascii="Times New Roman" w:hAnsi="Times New Roman"/>
                <w:bCs/>
                <w:lang w:val="en-GB" w:eastAsia="en-GB"/>
              </w:rPr>
            </w:pPr>
          </w:p>
        </w:tc>
        <w:tc>
          <w:tcPr>
            <w:tcW w:w="632" w:type="pct"/>
            <w:vMerge w:val="restart"/>
            <w:vAlign w:val="center"/>
          </w:tcPr>
          <w:p w:rsidR="00F51A05" w:rsidRPr="000E1BC3" w:rsidRDefault="00F51A05" w:rsidP="00044223">
            <w:pPr>
              <w:jc w:val="center"/>
              <w:rPr>
                <w:rFonts w:ascii="Times New Roman" w:eastAsia="Arial Unicode MS" w:hAnsi="Times New Roman"/>
                <w:color w:val="000000"/>
              </w:rPr>
            </w:pPr>
            <w:r w:rsidRPr="000E1BC3">
              <w:rPr>
                <w:rFonts w:ascii="Times New Roman" w:eastAsia="Arial Unicode MS" w:hAnsi="Times New Roman"/>
                <w:color w:val="000000"/>
              </w:rPr>
              <w:t>50 once daily</w:t>
            </w:r>
          </w:p>
        </w:tc>
        <w:tc>
          <w:tcPr>
            <w:tcW w:w="696" w:type="pct"/>
            <w:vMerge w:val="restart"/>
            <w:vAlign w:val="center"/>
          </w:tcPr>
          <w:p w:rsidR="00F51A05" w:rsidRPr="000E1BC3" w:rsidRDefault="00F51A05" w:rsidP="00044223">
            <w:pPr>
              <w:jc w:val="center"/>
              <w:rPr>
                <w:rFonts w:ascii="Times New Roman" w:eastAsia="Arial Unicode MS" w:hAnsi="Times New Roman"/>
                <w:color w:val="000000"/>
              </w:rPr>
            </w:pPr>
            <w:r w:rsidRPr="000E1BC3">
              <w:rPr>
                <w:rFonts w:ascii="Times New Roman" w:eastAsia="Arial Unicode MS" w:hAnsi="Times New Roman"/>
                <w:color w:val="000000"/>
              </w:rPr>
              <w:t>25 once daily</w:t>
            </w:r>
          </w:p>
        </w:tc>
        <w:tc>
          <w:tcPr>
            <w:tcW w:w="227" w:type="pct"/>
            <w:vMerge w:val="restart"/>
            <w:vAlign w:val="center"/>
          </w:tcPr>
          <w:p w:rsidR="00F51A05" w:rsidRPr="000E1BC3" w:rsidRDefault="00F51A05" w:rsidP="00044223">
            <w:pPr>
              <w:jc w:val="center"/>
              <w:rPr>
                <w:rFonts w:ascii="Times New Roman" w:eastAsia="Arial Unicode MS" w:hAnsi="Times New Roman"/>
                <w:color w:val="000000"/>
              </w:rPr>
            </w:pPr>
            <w:r w:rsidRPr="000E1BC3">
              <w:rPr>
                <w:rFonts w:ascii="Times New Roman" w:eastAsia="Arial Unicode MS" w:hAnsi="Times New Roman"/>
                <w:color w:val="000000"/>
              </w:rPr>
              <w:t>30</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1.14 </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(1.04, 1.25)</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1.09</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 (1.02, 1.15)</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NA</w:t>
            </w:r>
          </w:p>
        </w:tc>
      </w:tr>
      <w:tr w:rsidR="00F51A05" w:rsidRPr="000E1BC3" w:rsidTr="002F2C53">
        <w:trPr>
          <w:cantSplit/>
          <w:trHeight w:val="647"/>
        </w:trPr>
        <w:tc>
          <w:tcPr>
            <w:tcW w:w="843" w:type="pct"/>
            <w:vAlign w:val="center"/>
          </w:tcPr>
          <w:p w:rsidR="00F51A05" w:rsidRPr="000E1BC3" w:rsidDel="002A7D80" w:rsidRDefault="00F51A05" w:rsidP="00044223">
            <w:pPr>
              <w:pStyle w:val="TableText"/>
              <w:keepNext w:val="0"/>
              <w:keepLines w:val="0"/>
              <w:widowControl w:val="0"/>
              <w:spacing w:before="0"/>
              <w:jc w:val="left"/>
              <w:rPr>
                <w:rFonts w:ascii="Times New Roman" w:hAnsi="Times New Roman"/>
              </w:rPr>
            </w:pPr>
            <w:r w:rsidRPr="000E1BC3">
              <w:rPr>
                <w:rFonts w:ascii="Times New Roman" w:hAnsi="Times New Roman" w:cs="Times New Roman"/>
              </w:rPr>
              <w:t>GS-331007</w:t>
            </w:r>
            <w:r w:rsidRPr="000E1BC3">
              <w:rPr>
                <w:rFonts w:ascii="Times New Roman" w:hAnsi="Times New Roman" w:cs="Times New Roman"/>
                <w:vertAlign w:val="superscript"/>
              </w:rPr>
              <w:t>c</w:t>
            </w:r>
          </w:p>
        </w:tc>
        <w:tc>
          <w:tcPr>
            <w:tcW w:w="893" w:type="pct"/>
            <w:vMerge/>
            <w:shd w:val="clear" w:color="auto" w:fill="auto"/>
            <w:vAlign w:val="center"/>
          </w:tcPr>
          <w:p w:rsidR="00F51A05" w:rsidRPr="000E1BC3" w:rsidRDefault="00F51A05" w:rsidP="00044223">
            <w:pPr>
              <w:widowControl w:val="0"/>
              <w:tabs>
                <w:tab w:val="center" w:pos="4672"/>
                <w:tab w:val="right" w:pos="9344"/>
              </w:tabs>
              <w:spacing w:before="397" w:after="227"/>
              <w:ind w:left="90"/>
              <w:jc w:val="center"/>
              <w:rPr>
                <w:rFonts w:ascii="Times New Roman" w:hAnsi="Times New Roman"/>
                <w:bCs/>
                <w:lang w:val="en-GB" w:eastAsia="en-GB"/>
              </w:rPr>
            </w:pPr>
          </w:p>
        </w:tc>
        <w:tc>
          <w:tcPr>
            <w:tcW w:w="632" w:type="pct"/>
            <w:vMerge/>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696" w:type="pct"/>
            <w:vMerge/>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227" w:type="pct"/>
            <w:vMerge/>
            <w:vAlign w:val="center"/>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1.03</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(0.99, 1.06)</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1.03</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(1.00, 1.06)</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1.01</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(0.98, 1.05)</w:t>
            </w:r>
          </w:p>
        </w:tc>
      </w:tr>
      <w:tr w:rsidR="00F51A05" w:rsidRPr="000E1BC3" w:rsidTr="002F2C53">
        <w:trPr>
          <w:cantSplit/>
          <w:trHeight w:val="434"/>
        </w:trPr>
        <w:tc>
          <w:tcPr>
            <w:tcW w:w="843" w:type="pct"/>
            <w:vAlign w:val="center"/>
          </w:tcPr>
          <w:p w:rsidR="00F51A05" w:rsidRPr="000E1BC3" w:rsidRDefault="00F51A05" w:rsidP="00044223">
            <w:pPr>
              <w:pStyle w:val="TableText"/>
              <w:keepNext w:val="0"/>
              <w:keepLines w:val="0"/>
              <w:widowControl w:val="0"/>
              <w:spacing w:before="0"/>
              <w:jc w:val="left"/>
              <w:rPr>
                <w:rFonts w:ascii="Times New Roman" w:hAnsi="Times New Roman" w:cs="Times New Roman"/>
              </w:rPr>
            </w:pPr>
            <w:r w:rsidRPr="000E1BC3">
              <w:rPr>
                <w:rFonts w:ascii="Times New Roman" w:hAnsi="Times New Roman" w:cs="Times New Roman"/>
              </w:rPr>
              <w:t>Velpatasvir</w:t>
            </w:r>
          </w:p>
        </w:tc>
        <w:tc>
          <w:tcPr>
            <w:tcW w:w="893" w:type="pct"/>
            <w:vMerge/>
            <w:shd w:val="clear" w:color="auto" w:fill="auto"/>
            <w:vAlign w:val="center"/>
          </w:tcPr>
          <w:p w:rsidR="00F51A05" w:rsidRPr="000E1BC3" w:rsidRDefault="00F51A05" w:rsidP="00044223">
            <w:pPr>
              <w:widowControl w:val="0"/>
              <w:tabs>
                <w:tab w:val="center" w:pos="4672"/>
                <w:tab w:val="right" w:pos="9344"/>
              </w:tabs>
              <w:spacing w:before="397" w:after="227"/>
              <w:ind w:left="90"/>
              <w:jc w:val="center"/>
              <w:rPr>
                <w:rFonts w:ascii="Times New Roman" w:hAnsi="Times New Roman"/>
                <w:bCs/>
              </w:rPr>
            </w:pPr>
          </w:p>
        </w:tc>
        <w:tc>
          <w:tcPr>
            <w:tcW w:w="632" w:type="pct"/>
            <w:vMerge/>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696" w:type="pct"/>
            <w:vMerge/>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227" w:type="pct"/>
            <w:vMerge/>
            <w:vAlign w:val="center"/>
          </w:tcPr>
          <w:p w:rsidR="00F51A05" w:rsidRPr="000E1BC3" w:rsidDel="002A7D80" w:rsidRDefault="00F51A05" w:rsidP="00044223">
            <w:pPr>
              <w:jc w:val="center"/>
              <w:rPr>
                <w:rFonts w:ascii="Times New Roman" w:eastAsia="Arial Unicode MS" w:hAnsi="Times New Roman"/>
                <w:color w:val="000000"/>
                <w:lang w:val="en-GB" w:eastAsia="en-GB"/>
              </w:rPr>
            </w:pP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0.96</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(0.91, 1.01)</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0.96</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 xml:space="preserve"> (0.90, 1.02)</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0.94</w:t>
            </w:r>
          </w:p>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(0.88, 1.01)</w:t>
            </w:r>
          </w:p>
        </w:tc>
      </w:tr>
      <w:tr w:rsidR="00F51A05" w:rsidRPr="000E1BC3" w:rsidTr="002F2C53">
        <w:trPr>
          <w:cantSplit/>
          <w:trHeight w:val="434"/>
        </w:trPr>
        <w:tc>
          <w:tcPr>
            <w:tcW w:w="843" w:type="pct"/>
            <w:vAlign w:val="center"/>
          </w:tcPr>
          <w:p w:rsidR="00F51A05" w:rsidRPr="000E1BC3" w:rsidDel="002A7D80" w:rsidRDefault="00F51A05" w:rsidP="00044223">
            <w:pPr>
              <w:pStyle w:val="TableText"/>
              <w:keepNext w:val="0"/>
              <w:keepLines w:val="0"/>
              <w:widowControl w:val="0"/>
              <w:spacing w:before="0"/>
              <w:jc w:val="left"/>
              <w:rPr>
                <w:rFonts w:ascii="Times New Roman" w:hAnsi="Times New Roman" w:cs="Times New Roman"/>
                <w:shd w:val="clear" w:color="auto" w:fill="CCFFCC"/>
              </w:rPr>
            </w:pPr>
            <w:r w:rsidRPr="000E1BC3">
              <w:rPr>
                <w:rFonts w:ascii="Times New Roman" w:hAnsi="Times New Roman" w:cs="Times New Roman"/>
              </w:rPr>
              <w:t>Voxilaprevir</w:t>
            </w:r>
          </w:p>
        </w:tc>
        <w:tc>
          <w:tcPr>
            <w:tcW w:w="893" w:type="pct"/>
            <w:vMerge/>
            <w:shd w:val="clear" w:color="auto" w:fill="auto"/>
            <w:vAlign w:val="center"/>
          </w:tcPr>
          <w:p w:rsidR="00F51A05" w:rsidRPr="000E1BC3" w:rsidDel="002A7D80" w:rsidRDefault="00F51A05" w:rsidP="00044223">
            <w:pPr>
              <w:widowControl w:val="0"/>
              <w:tabs>
                <w:tab w:val="center" w:pos="4672"/>
                <w:tab w:val="right" w:pos="9344"/>
              </w:tabs>
              <w:spacing w:before="397" w:after="227"/>
              <w:ind w:left="90"/>
              <w:jc w:val="center"/>
              <w:rPr>
                <w:rFonts w:ascii="Times New Roman" w:hAnsi="Times New Roman"/>
                <w:bCs/>
                <w:shd w:val="clear" w:color="auto" w:fill="FFFFFF"/>
                <w:lang w:val="en-GB" w:eastAsia="en-GB"/>
              </w:rPr>
            </w:pPr>
          </w:p>
        </w:tc>
        <w:tc>
          <w:tcPr>
            <w:tcW w:w="632" w:type="pct"/>
            <w:vMerge/>
          </w:tcPr>
          <w:p w:rsidR="00F51A05" w:rsidRPr="000E1BC3" w:rsidDel="002A7D80" w:rsidRDefault="00F51A05" w:rsidP="00044223">
            <w:pPr>
              <w:jc w:val="center"/>
              <w:rPr>
                <w:rFonts w:ascii="Times New Roman" w:eastAsia="Arial Unicode MS" w:hAnsi="Times New Roman"/>
                <w:color w:val="000000"/>
                <w:shd w:val="clear" w:color="auto" w:fill="FFFFFF"/>
                <w:lang w:val="en-GB" w:eastAsia="en-GB"/>
              </w:rPr>
            </w:pPr>
          </w:p>
        </w:tc>
        <w:tc>
          <w:tcPr>
            <w:tcW w:w="696" w:type="pct"/>
            <w:vMerge/>
          </w:tcPr>
          <w:p w:rsidR="00F51A05" w:rsidRPr="000E1BC3" w:rsidDel="002A7D80" w:rsidRDefault="00F51A05" w:rsidP="00044223">
            <w:pPr>
              <w:jc w:val="center"/>
              <w:rPr>
                <w:rFonts w:ascii="Times New Roman" w:eastAsia="Arial Unicode MS" w:hAnsi="Times New Roman"/>
                <w:color w:val="000000"/>
                <w:shd w:val="clear" w:color="auto" w:fill="FFFFFF"/>
                <w:lang w:val="en-GB" w:eastAsia="en-GB"/>
              </w:rPr>
            </w:pPr>
          </w:p>
        </w:tc>
        <w:tc>
          <w:tcPr>
            <w:tcW w:w="227" w:type="pct"/>
            <w:vMerge/>
            <w:vAlign w:val="center"/>
          </w:tcPr>
          <w:p w:rsidR="00F51A05" w:rsidRPr="000E1BC3" w:rsidDel="002A7D80" w:rsidRDefault="00F51A05" w:rsidP="00044223">
            <w:pPr>
              <w:jc w:val="center"/>
              <w:rPr>
                <w:rFonts w:ascii="Times New Roman" w:eastAsia="Arial Unicode MS" w:hAnsi="Times New Roman"/>
                <w:color w:val="000000"/>
                <w:shd w:val="clear" w:color="auto" w:fill="FFFFFF"/>
                <w:lang w:val="en-GB" w:eastAsia="en-GB"/>
              </w:rPr>
            </w:pP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shd w:val="clear" w:color="auto" w:fill="FFFFFF"/>
              </w:rPr>
            </w:pPr>
            <w:r w:rsidRPr="000E1BC3">
              <w:rPr>
                <w:rFonts w:ascii="Times New Roman" w:hAnsi="Times New Roman" w:cs="Times New Roman"/>
                <w:shd w:val="clear" w:color="auto" w:fill="FFFFFF"/>
              </w:rPr>
              <w:t>0.90</w:t>
            </w:r>
          </w:p>
          <w:p w:rsidR="00F51A05" w:rsidRPr="000E1BC3" w:rsidRDefault="00F51A05" w:rsidP="00044223">
            <w:pPr>
              <w:pStyle w:val="TableText"/>
              <w:keepNext w:val="0"/>
              <w:keepLines w:val="0"/>
              <w:widowControl w:val="0"/>
              <w:rPr>
                <w:rFonts w:ascii="Times New Roman" w:hAnsi="Times New Roman" w:cs="Times New Roman"/>
                <w:shd w:val="clear" w:color="auto" w:fill="FFFFFF"/>
              </w:rPr>
            </w:pPr>
            <w:r w:rsidRPr="000E1BC3">
              <w:rPr>
                <w:rFonts w:ascii="Times New Roman" w:hAnsi="Times New Roman" w:cs="Times New Roman"/>
                <w:shd w:val="clear" w:color="auto" w:fill="FFFFFF"/>
              </w:rPr>
              <w:t>(0.76, 1.06)</w:t>
            </w:r>
          </w:p>
        </w:tc>
        <w:tc>
          <w:tcPr>
            <w:tcW w:w="588" w:type="pct"/>
            <w:vAlign w:val="center"/>
          </w:tcPr>
          <w:p w:rsidR="00F51A05" w:rsidRPr="000E1BC3" w:rsidRDefault="00F51A05" w:rsidP="00044223">
            <w:pPr>
              <w:pStyle w:val="TableText"/>
              <w:keepNext w:val="0"/>
              <w:keepLines w:val="0"/>
              <w:widowControl w:val="0"/>
              <w:rPr>
                <w:rFonts w:ascii="Times New Roman" w:hAnsi="Times New Roman" w:cs="Times New Roman"/>
                <w:shd w:val="clear" w:color="auto" w:fill="FFFFFF"/>
              </w:rPr>
            </w:pPr>
            <w:r w:rsidRPr="000E1BC3">
              <w:rPr>
                <w:rFonts w:ascii="Times New Roman" w:hAnsi="Times New Roman" w:cs="Times New Roman"/>
                <w:shd w:val="clear" w:color="auto" w:fill="FFFFFF"/>
              </w:rPr>
              <w:t>0.91</w:t>
            </w:r>
          </w:p>
          <w:p w:rsidR="00F51A05" w:rsidRPr="000E1BC3" w:rsidRDefault="00F51A05" w:rsidP="00044223">
            <w:pPr>
              <w:pStyle w:val="TableText"/>
              <w:keepNext w:val="0"/>
              <w:keepLines w:val="0"/>
              <w:widowControl w:val="0"/>
              <w:rPr>
                <w:rFonts w:ascii="Times New Roman" w:hAnsi="Times New Roman" w:cs="Times New Roman"/>
                <w:shd w:val="clear" w:color="auto" w:fill="FFFFFF"/>
              </w:rPr>
            </w:pPr>
            <w:r w:rsidRPr="000E1BC3">
              <w:rPr>
                <w:rFonts w:ascii="Times New Roman" w:hAnsi="Times New Roman" w:cs="Times New Roman"/>
                <w:shd w:val="clear" w:color="auto" w:fill="FFFFFF"/>
              </w:rPr>
              <w:t xml:space="preserve"> (0.80, 1.03)</w:t>
            </w:r>
          </w:p>
        </w:tc>
        <w:tc>
          <w:tcPr>
            <w:tcW w:w="532" w:type="pct"/>
            <w:vAlign w:val="center"/>
          </w:tcPr>
          <w:p w:rsidR="00F51A05" w:rsidRPr="000E1BC3" w:rsidRDefault="00F51A05" w:rsidP="00044223">
            <w:pPr>
              <w:pStyle w:val="TableText"/>
              <w:keepNext w:val="0"/>
              <w:keepLines w:val="0"/>
              <w:widowControl w:val="0"/>
              <w:rPr>
                <w:rFonts w:ascii="Times New Roman" w:hAnsi="Times New Roman" w:cs="Times New Roman"/>
              </w:rPr>
            </w:pPr>
            <w:r w:rsidRPr="000E1BC3">
              <w:rPr>
                <w:rFonts w:ascii="Times New Roman" w:hAnsi="Times New Roman" w:cs="Times New Roman"/>
              </w:rPr>
              <w:t>0.97</w:t>
            </w:r>
          </w:p>
          <w:p w:rsidR="00F51A05" w:rsidRPr="000E1BC3" w:rsidRDefault="00F51A05" w:rsidP="00044223">
            <w:pPr>
              <w:pStyle w:val="TableText"/>
              <w:keepNext w:val="0"/>
              <w:keepLines w:val="0"/>
              <w:widowControl w:val="0"/>
              <w:rPr>
                <w:rFonts w:ascii="Times New Roman" w:hAnsi="Times New Roman" w:cs="Times New Roman"/>
                <w:shd w:val="clear" w:color="auto" w:fill="CCFFCC"/>
              </w:rPr>
            </w:pPr>
            <w:r w:rsidRPr="000E1BC3">
              <w:rPr>
                <w:rFonts w:ascii="Times New Roman" w:hAnsi="Times New Roman" w:cs="Times New Roman"/>
              </w:rPr>
              <w:t>(0.88, 1.06)</w:t>
            </w:r>
          </w:p>
        </w:tc>
      </w:tr>
    </w:tbl>
    <w:p w:rsidR="00F51A05" w:rsidRPr="000E1BC3" w:rsidRDefault="00F51A05" w:rsidP="00F51A05">
      <w:pPr>
        <w:rPr>
          <w:rFonts w:ascii="Times New Roman" w:hAnsi="Times New Roman"/>
          <w:sz w:val="16"/>
        </w:rPr>
      </w:pPr>
      <w:r w:rsidRPr="000E1BC3">
        <w:rPr>
          <w:rFonts w:ascii="Times New Roman" w:hAnsi="Times New Roman"/>
          <w:sz w:val="16"/>
        </w:rPr>
        <w:t>NA= Not Available / Not Applicable</w:t>
      </w:r>
    </w:p>
    <w:p w:rsidR="00F51A05" w:rsidRPr="000E1BC3" w:rsidRDefault="00F51A05" w:rsidP="00706577">
      <w:pPr>
        <w:numPr>
          <w:ilvl w:val="0"/>
          <w:numId w:val="16"/>
        </w:numPr>
        <w:tabs>
          <w:tab w:val="left" w:pos="360"/>
        </w:tabs>
        <w:contextualSpacing/>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All interaction studies conducted in healthy volunteers.</w:t>
      </w:r>
    </w:p>
    <w:p w:rsidR="00F51A05" w:rsidRPr="000E1BC3" w:rsidRDefault="00F51A05" w:rsidP="00706577">
      <w:pPr>
        <w:numPr>
          <w:ilvl w:val="0"/>
          <w:numId w:val="16"/>
        </w:numPr>
        <w:tabs>
          <w:tab w:val="left" w:pos="360"/>
        </w:tabs>
        <w:contextualSpacing/>
        <w:rPr>
          <w:rFonts w:ascii="Times New Roman" w:hAnsi="Times New Roman"/>
          <w:color w:val="000000"/>
          <w:sz w:val="16"/>
          <w:shd w:val="clear" w:color="auto" w:fill="FFFFFF"/>
        </w:rPr>
      </w:pPr>
      <w:r w:rsidRPr="000E1BC3">
        <w:rPr>
          <w:rFonts w:ascii="Times New Roman" w:hAnsi="Times New Roman"/>
          <w:color w:val="000000"/>
          <w:sz w:val="16"/>
          <w:shd w:val="clear" w:color="auto" w:fill="FFFFFF"/>
        </w:rPr>
        <w:t>All No Effect Boundaries are 70% -143%.</w:t>
      </w:r>
    </w:p>
    <w:p w:rsidR="00F51A05" w:rsidRPr="000E1BC3" w:rsidRDefault="00F51A05" w:rsidP="00706577">
      <w:pPr>
        <w:numPr>
          <w:ilvl w:val="0"/>
          <w:numId w:val="16"/>
        </w:numPr>
        <w:tabs>
          <w:tab w:val="left" w:pos="360"/>
        </w:tabs>
        <w:contextualSpacing/>
        <w:rPr>
          <w:rFonts w:ascii="Times New Roman" w:hAnsi="Times New Roman"/>
          <w:color w:val="000000"/>
          <w:sz w:val="16"/>
          <w:shd w:val="clear" w:color="auto" w:fill="FFFFFF"/>
          <w:lang w:val="en-GB" w:eastAsia="en-GB"/>
        </w:rPr>
      </w:pPr>
      <w:r w:rsidRPr="000E1BC3">
        <w:rPr>
          <w:rFonts w:ascii="Times New Roman" w:hAnsi="Times New Roman"/>
          <w:color w:val="000000"/>
          <w:sz w:val="16"/>
          <w:shd w:val="clear" w:color="auto" w:fill="FFFFFF"/>
        </w:rPr>
        <w:t xml:space="preserve">The predominant circulating nucleoside metabolite of sofosbuvir. </w:t>
      </w:r>
    </w:p>
    <w:p w:rsidR="00F51A05" w:rsidRPr="000E1BC3" w:rsidRDefault="00F51A05" w:rsidP="00706577">
      <w:pPr>
        <w:numPr>
          <w:ilvl w:val="0"/>
          <w:numId w:val="16"/>
        </w:numPr>
        <w:tabs>
          <w:tab w:val="left" w:pos="360"/>
        </w:tabs>
        <w:contextualSpacing/>
        <w:rPr>
          <w:rFonts w:ascii="Times New Roman" w:hAnsi="Times New Roman"/>
          <w:color w:val="000000"/>
          <w:sz w:val="16"/>
          <w:shd w:val="clear" w:color="auto" w:fill="FFFFFF"/>
          <w:lang w:val="en-GB" w:eastAsia="en-GB"/>
        </w:rPr>
      </w:pPr>
      <w:r w:rsidRPr="000E1BC3">
        <w:rPr>
          <w:rFonts w:ascii="Times New Roman" w:hAnsi="Times New Roman"/>
          <w:color w:val="000000"/>
          <w:sz w:val="16"/>
          <w:shd w:val="clear" w:color="auto" w:fill="FFFFFF"/>
        </w:rPr>
        <w:t>Study conducted with DESCOVY (emtricitabine/tenofovir alafenamide)</w:t>
      </w:r>
    </w:p>
    <w:p w:rsidR="00F51A05" w:rsidRPr="000E1BC3" w:rsidRDefault="00F51A05" w:rsidP="00706577">
      <w:pPr>
        <w:pStyle w:val="ListParagraph"/>
        <w:numPr>
          <w:ilvl w:val="0"/>
          <w:numId w:val="16"/>
        </w:numPr>
        <w:rPr>
          <w:sz w:val="16"/>
        </w:rPr>
      </w:pPr>
      <w:r w:rsidRPr="000E1BC3">
        <w:rPr>
          <w:rFonts w:ascii="Times New Roman" w:hAnsi="Times New Roman"/>
          <w:color w:val="000000"/>
          <w:sz w:val="16"/>
          <w:shd w:val="clear" w:color="auto" w:fill="FFFFFF"/>
        </w:rPr>
        <w:t>Study conducted with GENVOYA (elvitegravir/cobicistat/emtricitabine/tenofovir alafenamide).</w:t>
      </w:r>
    </w:p>
    <w:p w:rsidR="00F51A05" w:rsidRPr="000E1BC3" w:rsidRDefault="00F51A05" w:rsidP="00706577">
      <w:pPr>
        <w:pStyle w:val="ListParagraph"/>
        <w:numPr>
          <w:ilvl w:val="0"/>
          <w:numId w:val="16"/>
        </w:numPr>
        <w:tabs>
          <w:tab w:val="left" w:pos="360"/>
        </w:tabs>
        <w:rPr>
          <w:rFonts w:ascii="Times New Roman" w:hAnsi="Times New Roman"/>
          <w:b/>
          <w:sz w:val="16"/>
        </w:rPr>
      </w:pPr>
      <w:r w:rsidRPr="000E1BC3">
        <w:rPr>
          <w:rFonts w:ascii="Times New Roman" w:hAnsi="Times New Roman"/>
          <w:color w:val="000000"/>
          <w:sz w:val="16"/>
          <w:shd w:val="clear" w:color="auto" w:fill="FFFFFF"/>
          <w:lang w:val="en-GB" w:eastAsia="en-GB"/>
        </w:rPr>
        <w:t>Study conducted with additional voxilaprevir 100 mg to achieve voxilaprevir exposures expected in HCV-infected patients.</w:t>
      </w:r>
    </w:p>
    <w:p w:rsidR="00F51A05" w:rsidRPr="000E1BC3" w:rsidRDefault="00F51A05" w:rsidP="009D4C0D">
      <w:pPr>
        <w:spacing w:after="120"/>
        <w:ind w:left="1559" w:hanging="1559"/>
        <w:rPr>
          <w:rFonts w:ascii="Times New Roman" w:hAnsi="Times New Roman"/>
          <w:sz w:val="24"/>
          <w:szCs w:val="24"/>
          <w:lang w:val="en-US"/>
        </w:rPr>
      </w:pPr>
    </w:p>
    <w:p w:rsidR="005D0BF5" w:rsidRPr="000E1BC3" w:rsidRDefault="005D0BF5" w:rsidP="00F53665">
      <w:pPr>
        <w:numPr>
          <w:ilvl w:val="0"/>
          <w:numId w:val="20"/>
        </w:numPr>
        <w:spacing w:after="120"/>
        <w:ind w:left="357" w:hanging="357"/>
        <w:jc w:val="both"/>
        <w:rPr>
          <w:rFonts w:ascii="Times New Roman" w:hAnsi="Times New Roman"/>
          <w:b/>
          <w:sz w:val="24"/>
          <w:szCs w:val="24"/>
        </w:rPr>
      </w:pPr>
      <w:r w:rsidRPr="000E1BC3">
        <w:rPr>
          <w:rFonts w:ascii="Times New Roman" w:hAnsi="Times New Roman"/>
          <w:b/>
          <w:sz w:val="24"/>
          <w:szCs w:val="24"/>
        </w:rPr>
        <w:t xml:space="preserve">Effects of concomitant drugs on the Pharmacokinetics of </w:t>
      </w:r>
      <w:r w:rsidR="002F43D2">
        <w:rPr>
          <w:rFonts w:ascii="Times New Roman" w:hAnsi="Times New Roman"/>
          <w:b/>
          <w:noProof/>
          <w:sz w:val="24"/>
          <w:szCs w:val="24"/>
        </w:rPr>
        <w:t>BIKTARVY</w:t>
      </w:r>
    </w:p>
    <w:p w:rsidR="005D0BF5" w:rsidRPr="000E1BC3" w:rsidRDefault="005D0BF5" w:rsidP="005D0BF5">
      <w:pPr>
        <w:pStyle w:val="Text10"/>
        <w:rPr>
          <w:szCs w:val="24"/>
          <w:lang w:val="en-AU"/>
        </w:rPr>
      </w:pPr>
      <w:r w:rsidRPr="000E1BC3">
        <w:rPr>
          <w:szCs w:val="24"/>
          <w:lang w:val="en-AU"/>
        </w:rPr>
        <w:t xml:space="preserve">BIC, a component of </w:t>
      </w:r>
      <w:r w:rsidR="002F43D2">
        <w:rPr>
          <w:szCs w:val="24"/>
          <w:lang w:val="en-AU"/>
        </w:rPr>
        <w:t>BIKTARVY</w:t>
      </w:r>
      <w:r w:rsidRPr="000E1BC3">
        <w:rPr>
          <w:szCs w:val="24"/>
          <w:lang w:val="en-AU"/>
        </w:rPr>
        <w:t xml:space="preserve">, is a substrate of CYP3A and UGT1A1. </w:t>
      </w:r>
      <w:r w:rsidR="0053142A" w:rsidRPr="000E1BC3">
        <w:rPr>
          <w:szCs w:val="24"/>
          <w:lang w:val="en-AU"/>
        </w:rPr>
        <w:t>Coadministration</w:t>
      </w:r>
      <w:r w:rsidRPr="000E1BC3">
        <w:rPr>
          <w:szCs w:val="24"/>
          <w:lang w:val="en-AU"/>
        </w:rPr>
        <w:t xml:space="preserve"> of BIC and drugs that potently induce both CYP3A and UGT1A1 may significantly decrease plasma concentrations of BIC, which may result in loss of therapeutic effect of </w:t>
      </w:r>
      <w:r w:rsidR="002F43D2">
        <w:rPr>
          <w:szCs w:val="24"/>
          <w:lang w:val="en-AU"/>
        </w:rPr>
        <w:t>BIKTARVY</w:t>
      </w:r>
      <w:r w:rsidRPr="000E1BC3">
        <w:rPr>
          <w:szCs w:val="24"/>
          <w:lang w:val="en-AU"/>
        </w:rPr>
        <w:t xml:space="preserve"> and development of resistance. Coadministration of BIC with drugs that potently inhibit both CYP3A and UGT1A1 may significantly increase plasma concentrations of BIC.  </w:t>
      </w:r>
    </w:p>
    <w:p w:rsidR="005D0BF5" w:rsidRDefault="005D0BF5" w:rsidP="005D0BF5">
      <w:pPr>
        <w:pStyle w:val="Text10"/>
        <w:rPr>
          <w:szCs w:val="24"/>
          <w:lang w:val="en-AU"/>
        </w:rPr>
      </w:pPr>
      <w:r w:rsidRPr="000E1BC3">
        <w:rPr>
          <w:szCs w:val="24"/>
          <w:lang w:val="en-AU"/>
        </w:rPr>
        <w:t xml:space="preserve">TAF, a component of </w:t>
      </w:r>
      <w:r w:rsidR="002F43D2">
        <w:rPr>
          <w:noProof/>
          <w:szCs w:val="24"/>
        </w:rPr>
        <w:t>BIKTARVY</w:t>
      </w:r>
      <w:r w:rsidRPr="000E1BC3">
        <w:rPr>
          <w:szCs w:val="24"/>
          <w:lang w:val="en-AU"/>
        </w:rPr>
        <w:t xml:space="preserve">, is transported by P-glycoprotein (P-gp) and BCRP. Drugs that strongly affect P-gp and BCRP activity may lead to changes in TAF absorption (see Table </w:t>
      </w:r>
      <w:r w:rsidR="00A026BA" w:rsidRPr="000E1BC3">
        <w:rPr>
          <w:szCs w:val="24"/>
          <w:lang w:val="en-AU"/>
        </w:rPr>
        <w:t>4</w:t>
      </w:r>
      <w:r w:rsidRPr="000E1BC3">
        <w:rPr>
          <w:szCs w:val="24"/>
          <w:lang w:val="en-AU"/>
        </w:rPr>
        <w:t xml:space="preserve">). Drugs that induce P-gp activity are expected to decrease the absorption of TAF, resulting in decreased plasma concentration of TAF, which may lead to loss of therapeutic effect of </w:t>
      </w:r>
      <w:r w:rsidR="002F43D2">
        <w:rPr>
          <w:noProof/>
          <w:szCs w:val="24"/>
        </w:rPr>
        <w:t>BIKTARVY</w:t>
      </w:r>
      <w:r w:rsidRPr="000E1BC3">
        <w:rPr>
          <w:szCs w:val="24"/>
          <w:lang w:val="en-AU"/>
        </w:rPr>
        <w:t xml:space="preserve"> and development of resistance. Coadministration of </w:t>
      </w:r>
      <w:r w:rsidR="002F43D2">
        <w:rPr>
          <w:noProof/>
          <w:szCs w:val="24"/>
        </w:rPr>
        <w:t>BIKTARVY</w:t>
      </w:r>
      <w:r w:rsidRPr="000E1BC3">
        <w:rPr>
          <w:szCs w:val="24"/>
          <w:lang w:val="en-AU"/>
        </w:rPr>
        <w:t xml:space="preserve"> with other drugs that inhibit P-gp and BCRP may increase the absorption and plasma concentration of TAF.</w:t>
      </w:r>
    </w:p>
    <w:p w:rsidR="005D0BF5" w:rsidRPr="000E1BC3" w:rsidRDefault="005D0BF5" w:rsidP="00706577">
      <w:pPr>
        <w:pStyle w:val="Text10"/>
        <w:numPr>
          <w:ilvl w:val="0"/>
          <w:numId w:val="20"/>
        </w:numPr>
        <w:spacing w:before="120" w:after="120"/>
        <w:ind w:left="357" w:hanging="357"/>
        <w:rPr>
          <w:b/>
          <w:szCs w:val="24"/>
          <w:lang w:val="en-AU"/>
        </w:rPr>
      </w:pPr>
      <w:r w:rsidRPr="000E1BC3">
        <w:rPr>
          <w:b/>
          <w:szCs w:val="24"/>
          <w:lang w:val="en-AU"/>
        </w:rPr>
        <w:lastRenderedPageBreak/>
        <w:t>Established and Other Potentially Significant Interactions</w:t>
      </w:r>
    </w:p>
    <w:p w:rsidR="005D0BF5" w:rsidRPr="000E1BC3" w:rsidRDefault="002F43D2" w:rsidP="005D0BF5">
      <w:pPr>
        <w:pStyle w:val="Text10"/>
        <w:spacing w:after="0"/>
        <w:rPr>
          <w:szCs w:val="24"/>
        </w:rPr>
      </w:pPr>
      <w:r>
        <w:rPr>
          <w:szCs w:val="24"/>
        </w:rPr>
        <w:t>BIKTARVY</w:t>
      </w:r>
      <w:r w:rsidR="005D0BF5" w:rsidRPr="000E1BC3">
        <w:rPr>
          <w:szCs w:val="24"/>
        </w:rPr>
        <w:t xml:space="preserve"> is a complete regimen for the treatment of HIV-1 infection. Therefore, comprehensive information regarding drug-drug interactions with other antiretroviral products is not provided.</w:t>
      </w:r>
    </w:p>
    <w:p w:rsidR="005D0BF5" w:rsidRPr="000E1BC3" w:rsidRDefault="005D0BF5" w:rsidP="005D0BF5">
      <w:pPr>
        <w:pStyle w:val="Text10"/>
        <w:spacing w:after="0"/>
        <w:rPr>
          <w:szCs w:val="24"/>
        </w:rPr>
      </w:pPr>
    </w:p>
    <w:p w:rsidR="005D0BF5" w:rsidRPr="000E1BC3" w:rsidRDefault="005D0BF5" w:rsidP="005D0BF5">
      <w:pPr>
        <w:pStyle w:val="Text10"/>
        <w:spacing w:after="0"/>
        <w:rPr>
          <w:i/>
          <w:szCs w:val="24"/>
        </w:rPr>
      </w:pPr>
      <w:r w:rsidRPr="000E1BC3">
        <w:rPr>
          <w:szCs w:val="24"/>
        </w:rPr>
        <w:t xml:space="preserve">Drug interaction information for </w:t>
      </w:r>
      <w:r w:rsidR="002F43D2">
        <w:rPr>
          <w:noProof/>
          <w:szCs w:val="24"/>
        </w:rPr>
        <w:t>BIKTARVY</w:t>
      </w:r>
      <w:r w:rsidRPr="000E1BC3">
        <w:rPr>
          <w:szCs w:val="24"/>
        </w:rPr>
        <w:t xml:space="preserve"> with potential concomitant drugs is summarised in Table </w:t>
      </w:r>
      <w:r w:rsidR="00D3190F" w:rsidRPr="000E1BC3">
        <w:rPr>
          <w:szCs w:val="24"/>
        </w:rPr>
        <w:t>4</w:t>
      </w:r>
      <w:r w:rsidRPr="000E1BC3">
        <w:rPr>
          <w:szCs w:val="24"/>
        </w:rPr>
        <w:t xml:space="preserve">. The drug interactions described are based on studies conducted with </w:t>
      </w:r>
      <w:r w:rsidR="002F43D2">
        <w:rPr>
          <w:noProof/>
          <w:szCs w:val="24"/>
        </w:rPr>
        <w:t>BIKTARVY</w:t>
      </w:r>
      <w:r w:rsidRPr="000E1BC3">
        <w:rPr>
          <w:noProof/>
          <w:szCs w:val="24"/>
        </w:rPr>
        <w:t xml:space="preserve"> </w:t>
      </w:r>
      <w:r w:rsidRPr="000E1BC3">
        <w:rPr>
          <w:szCs w:val="24"/>
        </w:rPr>
        <w:t xml:space="preserve">or the components of </w:t>
      </w:r>
      <w:r w:rsidR="002F43D2">
        <w:rPr>
          <w:noProof/>
          <w:szCs w:val="24"/>
        </w:rPr>
        <w:t>BIKTARVY</w:t>
      </w:r>
      <w:r w:rsidRPr="000E1BC3">
        <w:rPr>
          <w:noProof/>
          <w:szCs w:val="24"/>
        </w:rPr>
        <w:t xml:space="preserve"> </w:t>
      </w:r>
      <w:r w:rsidRPr="000E1BC3">
        <w:rPr>
          <w:szCs w:val="24"/>
        </w:rPr>
        <w:t xml:space="preserve">(BIC, FTC, and TAF) as individual agents, or are potential drug interactions that may occur with </w:t>
      </w:r>
      <w:r w:rsidR="002F43D2">
        <w:rPr>
          <w:noProof/>
          <w:szCs w:val="24"/>
        </w:rPr>
        <w:t>BIKTARVY</w:t>
      </w:r>
      <w:r w:rsidRPr="000E1BC3">
        <w:rPr>
          <w:noProof/>
          <w:szCs w:val="24"/>
        </w:rPr>
        <w:t>.</w:t>
      </w:r>
      <w:r w:rsidRPr="000E1BC3">
        <w:rPr>
          <w:szCs w:val="24"/>
        </w:rPr>
        <w:t xml:space="preserve">  </w:t>
      </w:r>
      <w:r w:rsidRPr="000E1BC3">
        <w:rPr>
          <w:i/>
          <w:szCs w:val="24"/>
        </w:rPr>
        <w:t xml:space="preserve"> </w:t>
      </w:r>
    </w:p>
    <w:p w:rsidR="005D0BF5" w:rsidRPr="000E1BC3" w:rsidRDefault="005D0BF5" w:rsidP="005D0BF5">
      <w:pPr>
        <w:pStyle w:val="Text10"/>
        <w:spacing w:after="0"/>
        <w:jc w:val="both"/>
        <w:rPr>
          <w:i/>
          <w:szCs w:val="24"/>
        </w:rPr>
      </w:pPr>
    </w:p>
    <w:p w:rsidR="005D0BF5" w:rsidRPr="000E1BC3" w:rsidRDefault="005D0BF5" w:rsidP="005D0BF5">
      <w:pPr>
        <w:pStyle w:val="Text10"/>
        <w:jc w:val="both"/>
        <w:rPr>
          <w:szCs w:val="24"/>
          <w:lang w:val="en-AU"/>
        </w:rPr>
      </w:pPr>
      <w:r w:rsidRPr="000E1BC3">
        <w:rPr>
          <w:szCs w:val="24"/>
          <w:lang w:val="en-AU"/>
        </w:rPr>
        <w:t xml:space="preserve">The table is not all-inclusive (see </w:t>
      </w:r>
      <w:r w:rsidR="00336812" w:rsidRPr="000E1BC3">
        <w:rPr>
          <w:szCs w:val="24"/>
          <w:lang w:val="en-AU"/>
        </w:rPr>
        <w:t xml:space="preserve">Section 4.3 </w:t>
      </w:r>
      <w:r w:rsidR="00D84B4B" w:rsidRPr="000E1BC3">
        <w:rPr>
          <w:szCs w:val="24"/>
          <w:lang w:val="en-AU"/>
        </w:rPr>
        <w:t>Contraindications</w:t>
      </w:r>
      <w:r w:rsidRPr="000E1BC3">
        <w:rPr>
          <w:szCs w:val="24"/>
          <w:lang w:val="en-AU"/>
        </w:rPr>
        <w:t>).</w:t>
      </w:r>
    </w:p>
    <w:p w:rsidR="005D0BF5" w:rsidRPr="000E1BC3" w:rsidRDefault="005D0BF5" w:rsidP="007C3AE5">
      <w:pPr>
        <w:pStyle w:val="Text10"/>
        <w:spacing w:after="60"/>
        <w:jc w:val="both"/>
        <w:rPr>
          <w:b/>
          <w:szCs w:val="24"/>
        </w:rPr>
      </w:pPr>
      <w:bookmarkStart w:id="0" w:name="_Ref267326457"/>
      <w:bookmarkStart w:id="1" w:name="_Toc267935016"/>
      <w:r w:rsidRPr="000E1BC3">
        <w:rPr>
          <w:b/>
          <w:szCs w:val="24"/>
        </w:rPr>
        <w:t>Table</w:t>
      </w:r>
      <w:bookmarkEnd w:id="0"/>
      <w:r w:rsidRPr="000E1BC3">
        <w:rPr>
          <w:b/>
          <w:szCs w:val="24"/>
        </w:rPr>
        <w:t xml:space="preserve"> </w:t>
      </w:r>
      <w:r w:rsidR="00D3190F" w:rsidRPr="000E1BC3">
        <w:rPr>
          <w:b/>
          <w:szCs w:val="24"/>
        </w:rPr>
        <w:t>4</w:t>
      </w:r>
      <w:r w:rsidRPr="000E1BC3">
        <w:rPr>
          <w:b/>
          <w:szCs w:val="24"/>
        </w:rPr>
        <w:t>.</w:t>
      </w:r>
      <w:r w:rsidRPr="000E1BC3">
        <w:rPr>
          <w:b/>
          <w:szCs w:val="24"/>
        </w:rPr>
        <w:tab/>
        <w:t xml:space="preserve">Established </w:t>
      </w:r>
      <w:r w:rsidRPr="000E1BC3">
        <w:rPr>
          <w:b/>
          <w:szCs w:val="24"/>
          <w:lang w:val="en-AU"/>
        </w:rPr>
        <w:t>and Other Potentially Significant</w:t>
      </w:r>
      <w:r w:rsidRPr="000E1BC3">
        <w:rPr>
          <w:rFonts w:ascii="Times New Roman Bold" w:hAnsi="Times New Roman Bold"/>
          <w:b/>
          <w:szCs w:val="24"/>
          <w:vertAlign w:val="superscript"/>
          <w:lang w:val="en-AU"/>
        </w:rPr>
        <w:t>a</w:t>
      </w:r>
      <w:r w:rsidRPr="000E1BC3">
        <w:rPr>
          <w:b/>
          <w:szCs w:val="24"/>
          <w:lang w:val="en-AU"/>
        </w:rPr>
        <w:t xml:space="preserve"> Drug Interactions</w:t>
      </w:r>
      <w:bookmarkEnd w:id="1"/>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125"/>
        <w:gridCol w:w="1914"/>
        <w:gridCol w:w="4938"/>
      </w:tblGrid>
      <w:tr w:rsidR="005D0BF5" w:rsidRPr="000E1BC3" w:rsidTr="00044223">
        <w:trPr>
          <w:cantSplit/>
          <w:tblHeader/>
        </w:trPr>
        <w:tc>
          <w:tcPr>
            <w:tcW w:w="2201" w:type="dxa"/>
            <w:tcBorders>
              <w:top w:val="single" w:sz="12" w:space="0" w:color="auto"/>
              <w:bottom w:val="single" w:sz="12" w:space="0" w:color="auto"/>
            </w:tcBorders>
          </w:tcPr>
          <w:p w:rsidR="005D0BF5" w:rsidRPr="000E1BC3" w:rsidRDefault="005D0BF5" w:rsidP="00044223">
            <w:pPr>
              <w:pStyle w:val="Table-Heading"/>
              <w:jc w:val="center"/>
              <w:rPr>
                <w:sz w:val="22"/>
                <w:szCs w:val="22"/>
              </w:rPr>
            </w:pPr>
            <w:r w:rsidRPr="000E1BC3">
              <w:rPr>
                <w:sz w:val="22"/>
                <w:szCs w:val="22"/>
              </w:rPr>
              <w:t xml:space="preserve">Concomitant Drug Class: </w:t>
            </w:r>
            <w:r w:rsidRPr="000E1BC3">
              <w:rPr>
                <w:sz w:val="22"/>
                <w:szCs w:val="22"/>
              </w:rPr>
              <w:br/>
              <w:t>Drug Name</w:t>
            </w:r>
          </w:p>
        </w:tc>
        <w:tc>
          <w:tcPr>
            <w:tcW w:w="1981" w:type="dxa"/>
            <w:tcBorders>
              <w:top w:val="single" w:sz="12" w:space="0" w:color="auto"/>
              <w:bottom w:val="single" w:sz="12" w:space="0" w:color="auto"/>
            </w:tcBorders>
          </w:tcPr>
          <w:p w:rsidR="005D0BF5" w:rsidRPr="000E1BC3" w:rsidRDefault="005D0BF5" w:rsidP="00044223">
            <w:pPr>
              <w:pStyle w:val="Table-Heading"/>
              <w:jc w:val="center"/>
              <w:rPr>
                <w:sz w:val="22"/>
                <w:szCs w:val="22"/>
              </w:rPr>
            </w:pPr>
            <w:r w:rsidRPr="000E1BC3">
              <w:rPr>
                <w:sz w:val="22"/>
                <w:szCs w:val="22"/>
              </w:rPr>
              <w:t>Effect on Concentration</w:t>
            </w:r>
            <w:r w:rsidRPr="000E1BC3">
              <w:rPr>
                <w:sz w:val="22"/>
                <w:szCs w:val="22"/>
                <w:vertAlign w:val="superscript"/>
              </w:rPr>
              <w:t>b</w:t>
            </w:r>
          </w:p>
        </w:tc>
        <w:tc>
          <w:tcPr>
            <w:tcW w:w="5127" w:type="dxa"/>
            <w:tcBorders>
              <w:top w:val="single" w:sz="12" w:space="0" w:color="auto"/>
              <w:bottom w:val="single" w:sz="12" w:space="0" w:color="auto"/>
            </w:tcBorders>
          </w:tcPr>
          <w:p w:rsidR="005D0BF5" w:rsidRPr="000E1BC3" w:rsidRDefault="005D0BF5" w:rsidP="00044223">
            <w:pPr>
              <w:pStyle w:val="Table-Heading"/>
              <w:jc w:val="center"/>
              <w:rPr>
                <w:sz w:val="22"/>
                <w:szCs w:val="22"/>
              </w:rPr>
            </w:pPr>
            <w:r w:rsidRPr="000E1BC3">
              <w:rPr>
                <w:sz w:val="22"/>
                <w:szCs w:val="22"/>
              </w:rPr>
              <w:t>Clinical Comment</w:t>
            </w:r>
          </w:p>
        </w:tc>
      </w:tr>
      <w:tr w:rsidR="005D0BF5" w:rsidRPr="000E1BC3" w:rsidTr="00044223">
        <w:trPr>
          <w:cantSplit/>
        </w:trPr>
        <w:tc>
          <w:tcPr>
            <w:tcW w:w="2201" w:type="dxa"/>
          </w:tcPr>
          <w:p w:rsidR="005D0BF5" w:rsidRPr="000E1BC3" w:rsidRDefault="005D0BF5" w:rsidP="00044223">
            <w:pPr>
              <w:rPr>
                <w:rFonts w:ascii="Times New Roman" w:hAnsi="Times New Roman"/>
                <w:b/>
              </w:rPr>
            </w:pPr>
            <w:r w:rsidRPr="000E1BC3">
              <w:rPr>
                <w:rFonts w:ascii="Times New Roman" w:hAnsi="Times New Roman"/>
                <w:b/>
              </w:rPr>
              <w:t>Antiarrhythmic:</w:t>
            </w:r>
          </w:p>
          <w:p w:rsidR="005D0BF5" w:rsidRPr="000E1BC3" w:rsidRDefault="005D0BF5" w:rsidP="00044223">
            <w:pPr>
              <w:rPr>
                <w:rFonts w:ascii="Times New Roman" w:hAnsi="Times New Roman"/>
                <w:b/>
              </w:rPr>
            </w:pPr>
          </w:p>
          <w:p w:rsidR="005D0BF5" w:rsidRPr="000E1BC3" w:rsidRDefault="005D0BF5" w:rsidP="00044223">
            <w:pPr>
              <w:pStyle w:val="TableText"/>
              <w:keepNext w:val="0"/>
              <w:keepLines w:val="0"/>
              <w:jc w:val="left"/>
              <w:rPr>
                <w:rFonts w:ascii="Times New Roman" w:hAnsi="Times New Roman" w:cs="Times New Roman"/>
                <w:b/>
              </w:rPr>
            </w:pPr>
            <w:r w:rsidRPr="000E1BC3">
              <w:rPr>
                <w:rFonts w:ascii="Times New Roman" w:hAnsi="Times New Roman"/>
              </w:rPr>
              <w:t>dofetilide</w:t>
            </w:r>
          </w:p>
        </w:tc>
        <w:tc>
          <w:tcPr>
            <w:tcW w:w="1981" w:type="dxa"/>
          </w:tcPr>
          <w:p w:rsidR="005D0BF5" w:rsidRPr="000E1BC3" w:rsidRDefault="005D0BF5" w:rsidP="00044223">
            <w:pPr>
              <w:spacing w:beforeLines="60" w:before="144" w:afterLines="60" w:after="144"/>
              <w:jc w:val="center"/>
              <w:rPr>
                <w:rFonts w:ascii="Times New Roman" w:hAnsi="Times New Roman"/>
                <w:color w:val="000000"/>
                <w:lang w:val="en-US"/>
              </w:rPr>
            </w:pPr>
            <w:r w:rsidRPr="000E1BC3">
              <w:rPr>
                <w:rFonts w:ascii="Times New Roman" w:hAnsi="Times New Roman"/>
              </w:rPr>
              <w:t>Effect on dofetilide concentrations unknown</w:t>
            </w:r>
          </w:p>
        </w:tc>
        <w:tc>
          <w:tcPr>
            <w:tcW w:w="5127" w:type="dxa"/>
            <w:vAlign w:val="center"/>
          </w:tcPr>
          <w:p w:rsidR="005D0BF5" w:rsidRPr="000E1BC3" w:rsidRDefault="005D0BF5" w:rsidP="00044223">
            <w:pPr>
              <w:pStyle w:val="TableText"/>
              <w:keepNext w:val="0"/>
              <w:keepLines w:val="0"/>
              <w:jc w:val="left"/>
              <w:rPr>
                <w:rFonts w:ascii="Times New Roman" w:hAnsi="Times New Roman" w:cs="Times New Roman"/>
                <w:lang w:val="en-AU"/>
              </w:rPr>
            </w:pPr>
            <w:r w:rsidRPr="000E1BC3">
              <w:rPr>
                <w:rFonts w:ascii="Times New Roman" w:hAnsi="Times New Roman"/>
              </w:rPr>
              <w:t xml:space="preserve">Data are not available on the potential interaction of dofetilide with </w:t>
            </w:r>
            <w:r w:rsidR="002F43D2">
              <w:rPr>
                <w:rFonts w:ascii="Times New Roman" w:hAnsi="Times New Roman"/>
              </w:rPr>
              <w:t>BIKTARVY</w:t>
            </w:r>
            <w:r w:rsidRPr="000E1BC3">
              <w:rPr>
                <w:rFonts w:ascii="Times New Roman" w:hAnsi="Times New Roman"/>
              </w:rPr>
              <w:t xml:space="preserve">.  Due to the potential for serious and/or life-threatening events with increased dofetilide plasma concentrations, coadministration of </w:t>
            </w:r>
            <w:r w:rsidR="002F43D2">
              <w:rPr>
                <w:rFonts w:ascii="Times New Roman" w:hAnsi="Times New Roman"/>
              </w:rPr>
              <w:t>BIKTARVY</w:t>
            </w:r>
            <w:r w:rsidRPr="000E1BC3">
              <w:rPr>
                <w:rFonts w:ascii="Times New Roman" w:hAnsi="Times New Roman"/>
              </w:rPr>
              <w:t xml:space="preserve"> with dofetilide is contraindicated </w:t>
            </w:r>
            <w:r w:rsidRPr="000E1BC3">
              <w:rPr>
                <w:rFonts w:ascii="Times New Roman" w:hAnsi="Times New Roman"/>
                <w:i/>
              </w:rPr>
              <w:t>(see Section 4</w:t>
            </w:r>
            <w:r w:rsidR="00D84B4B" w:rsidRPr="000E1BC3">
              <w:rPr>
                <w:rFonts w:ascii="Times New Roman" w:hAnsi="Times New Roman"/>
                <w:i/>
              </w:rPr>
              <w:t>.3 Contraindications</w:t>
            </w:r>
            <w:r w:rsidRPr="000E1BC3">
              <w:rPr>
                <w:rFonts w:ascii="Times New Roman" w:hAnsi="Times New Roman"/>
                <w:i/>
              </w:rPr>
              <w:t>).</w:t>
            </w:r>
          </w:p>
        </w:tc>
      </w:tr>
      <w:tr w:rsidR="005D0BF5" w:rsidRPr="000E1BC3" w:rsidTr="00044223">
        <w:trPr>
          <w:cantSplit/>
        </w:trPr>
        <w:tc>
          <w:tcPr>
            <w:tcW w:w="2201" w:type="dxa"/>
          </w:tcPr>
          <w:p w:rsidR="005D0BF5" w:rsidRPr="000E1BC3" w:rsidRDefault="005D0BF5" w:rsidP="00044223">
            <w:pPr>
              <w:pStyle w:val="TableText"/>
              <w:keepNext w:val="0"/>
              <w:keepLines w:val="0"/>
              <w:jc w:val="left"/>
              <w:rPr>
                <w:rFonts w:ascii="Times New Roman" w:hAnsi="Times New Roman" w:cs="Times New Roman"/>
                <w:b/>
              </w:rPr>
            </w:pPr>
            <w:r w:rsidRPr="000E1BC3">
              <w:rPr>
                <w:rFonts w:ascii="Times New Roman" w:hAnsi="Times New Roman" w:cs="Times New Roman"/>
                <w:b/>
              </w:rPr>
              <w:t>Anticonvulsants:</w:t>
            </w:r>
          </w:p>
          <w:p w:rsidR="005D0BF5" w:rsidRPr="000E1BC3" w:rsidRDefault="005D0BF5" w:rsidP="00044223">
            <w:pPr>
              <w:pStyle w:val="TableText"/>
              <w:spacing w:before="0" w:after="0"/>
              <w:jc w:val="left"/>
              <w:rPr>
                <w:rFonts w:ascii="Times New Roman" w:hAnsi="Times New Roman" w:cs="Times New Roman"/>
              </w:rPr>
            </w:pPr>
            <w:r w:rsidRPr="000E1BC3">
              <w:rPr>
                <w:rFonts w:ascii="Times New Roman" w:hAnsi="Times New Roman" w:cs="Times New Roman"/>
              </w:rPr>
              <w:t>carbamazepine</w:t>
            </w:r>
            <w:r w:rsidRPr="000E1BC3">
              <w:rPr>
                <w:rFonts w:ascii="Times New Roman" w:hAnsi="Times New Roman" w:cs="Times New Roman"/>
                <w:vertAlign w:val="superscript"/>
              </w:rPr>
              <w:t>c</w:t>
            </w:r>
          </w:p>
          <w:p w:rsidR="005D0BF5" w:rsidRPr="000E1BC3" w:rsidRDefault="005D0BF5" w:rsidP="00044223">
            <w:pPr>
              <w:pStyle w:val="TableText"/>
              <w:spacing w:before="0" w:after="0"/>
              <w:jc w:val="left"/>
              <w:rPr>
                <w:rFonts w:ascii="Times New Roman" w:hAnsi="Times New Roman" w:cs="Times New Roman"/>
              </w:rPr>
            </w:pPr>
            <w:r w:rsidRPr="000E1BC3">
              <w:rPr>
                <w:rFonts w:ascii="Times New Roman" w:hAnsi="Times New Roman" w:cs="Times New Roman"/>
              </w:rPr>
              <w:t xml:space="preserve">oxcarbazepine </w:t>
            </w:r>
          </w:p>
          <w:p w:rsidR="005D0BF5" w:rsidRPr="000E1BC3" w:rsidRDefault="005D0BF5" w:rsidP="00044223">
            <w:pPr>
              <w:pStyle w:val="TableText"/>
              <w:spacing w:before="0" w:after="0"/>
              <w:jc w:val="left"/>
              <w:rPr>
                <w:rFonts w:ascii="Times New Roman" w:hAnsi="Times New Roman" w:cs="Times New Roman"/>
              </w:rPr>
            </w:pPr>
            <w:r w:rsidRPr="000E1BC3">
              <w:rPr>
                <w:rFonts w:ascii="Times New Roman" w:hAnsi="Times New Roman"/>
              </w:rPr>
              <w:t>phenobarbital</w:t>
            </w:r>
            <w:r w:rsidRPr="000E1BC3">
              <w:rPr>
                <w:rFonts w:ascii="Times New Roman" w:hAnsi="Times New Roman" w:cs="Times New Roman"/>
              </w:rPr>
              <w:t xml:space="preserve"> </w:t>
            </w:r>
          </w:p>
          <w:p w:rsidR="005D0BF5" w:rsidRPr="000E1BC3" w:rsidRDefault="005D0BF5" w:rsidP="00044223">
            <w:pPr>
              <w:pStyle w:val="TableText"/>
              <w:spacing w:before="0" w:after="0"/>
              <w:jc w:val="left"/>
              <w:rPr>
                <w:rFonts w:ascii="Times New Roman" w:hAnsi="Times New Roman" w:cs="Times New Roman"/>
              </w:rPr>
            </w:pPr>
            <w:r w:rsidRPr="000E1BC3">
              <w:rPr>
                <w:rFonts w:ascii="Times New Roman" w:hAnsi="Times New Roman" w:cs="Times New Roman"/>
              </w:rPr>
              <w:t>phenytoin</w:t>
            </w:r>
          </w:p>
          <w:p w:rsidR="005D0BF5" w:rsidRPr="000E1BC3" w:rsidRDefault="005D0BF5" w:rsidP="00044223">
            <w:pPr>
              <w:pStyle w:val="TableText"/>
              <w:keepNext w:val="0"/>
              <w:keepLines w:val="0"/>
              <w:spacing w:before="0" w:after="0"/>
              <w:jc w:val="left"/>
              <w:rPr>
                <w:rFonts w:ascii="Times New Roman" w:hAnsi="Times New Roman" w:cs="Times New Roman"/>
                <w:b/>
              </w:rPr>
            </w:pPr>
          </w:p>
        </w:tc>
        <w:tc>
          <w:tcPr>
            <w:tcW w:w="1981" w:type="dxa"/>
          </w:tcPr>
          <w:p w:rsidR="005D0BF5" w:rsidRPr="000E1BC3" w:rsidRDefault="005D0BF5" w:rsidP="00044223">
            <w:pPr>
              <w:spacing w:after="120"/>
              <w:jc w:val="center"/>
              <w:rPr>
                <w:rFonts w:ascii="Times New Roman" w:hAnsi="Times New Roman"/>
              </w:rPr>
            </w:pPr>
          </w:p>
          <w:p w:rsidR="005D0BF5" w:rsidRPr="000E1BC3" w:rsidRDefault="005D0BF5" w:rsidP="00044223">
            <w:pPr>
              <w:spacing w:after="120"/>
              <w:jc w:val="center"/>
              <w:rPr>
                <w:rFonts w:ascii="Times New Roman" w:hAnsi="Times New Roman"/>
              </w:rPr>
            </w:pPr>
            <w:r w:rsidRPr="000E1BC3">
              <w:rPr>
                <w:rFonts w:ascii="Times New Roman" w:hAnsi="Times New Roman"/>
              </w:rPr>
              <w:sym w:font="Symbol" w:char="F0AF"/>
            </w:r>
            <w:r w:rsidRPr="000E1BC3">
              <w:rPr>
                <w:rFonts w:ascii="Times New Roman" w:hAnsi="Times New Roman"/>
              </w:rPr>
              <w:t xml:space="preserve"> bictegravir</w:t>
            </w:r>
          </w:p>
          <w:p w:rsidR="005D0BF5" w:rsidRPr="000E1BC3" w:rsidRDefault="005D0BF5" w:rsidP="00044223">
            <w:pPr>
              <w:spacing w:beforeLines="60" w:before="144" w:afterLines="60" w:after="144"/>
              <w:jc w:val="center"/>
              <w:rPr>
                <w:rFonts w:ascii="Times New Roman" w:hAnsi="Times New Roman"/>
                <w:color w:val="000000"/>
                <w:lang w:val="en-US"/>
              </w:rPr>
            </w:pPr>
            <w:r w:rsidRPr="000E1BC3">
              <w:rPr>
                <w:rFonts w:ascii="Times New Roman" w:hAnsi="Times New Roman"/>
                <w:color w:val="000000"/>
                <w:lang w:val="en-US"/>
              </w:rPr>
              <w:sym w:font="Symbol" w:char="F0AF"/>
            </w:r>
            <w:r w:rsidRPr="000E1BC3">
              <w:rPr>
                <w:rFonts w:ascii="Times New Roman" w:hAnsi="Times New Roman"/>
                <w:color w:val="000000"/>
                <w:lang w:val="en-US"/>
              </w:rPr>
              <w:t xml:space="preserve"> tenofovir alafenamide</w:t>
            </w:r>
          </w:p>
          <w:p w:rsidR="005D0BF5" w:rsidRPr="000E1BC3" w:rsidRDefault="005D0BF5" w:rsidP="00044223">
            <w:pPr>
              <w:pStyle w:val="TableText"/>
              <w:keepNext w:val="0"/>
              <w:keepLines w:val="0"/>
              <w:spacing w:beforeLines="60" w:before="144" w:afterLines="60" w:after="144"/>
              <w:rPr>
                <w:rFonts w:ascii="Times New Roman" w:hAnsi="Times New Roman" w:cs="Times New Roman"/>
              </w:rPr>
            </w:pPr>
          </w:p>
        </w:tc>
        <w:tc>
          <w:tcPr>
            <w:tcW w:w="5127" w:type="dxa"/>
          </w:tcPr>
          <w:p w:rsidR="005D0BF5" w:rsidRPr="000E1BC3" w:rsidRDefault="005D0BF5" w:rsidP="0096671E">
            <w:pPr>
              <w:pStyle w:val="TableText"/>
              <w:keepNext w:val="0"/>
              <w:keepLines w:val="0"/>
              <w:jc w:val="left"/>
              <w:rPr>
                <w:rFonts w:ascii="Times New Roman" w:hAnsi="Times New Roman" w:cs="Times New Roman"/>
              </w:rPr>
            </w:pPr>
            <w:r w:rsidRPr="000E1BC3">
              <w:rPr>
                <w:rFonts w:ascii="Times New Roman" w:hAnsi="Times New Roman" w:cs="Times New Roman"/>
                <w:lang w:val="en-AU"/>
              </w:rPr>
              <w:t>Coadministration of carbamazepine, oxcarbazepine, phenobarbital, or phenytoin</w:t>
            </w:r>
            <w:r w:rsidR="004C3402">
              <w:rPr>
                <w:rFonts w:ascii="Times New Roman" w:hAnsi="Times New Roman" w:cs="Times New Roman"/>
                <w:lang w:val="en-AU"/>
              </w:rPr>
              <w:t xml:space="preserve"> </w:t>
            </w:r>
            <w:r w:rsidRPr="000E1BC3">
              <w:rPr>
                <w:rFonts w:ascii="Times New Roman" w:hAnsi="Times New Roman" w:cs="Times New Roman"/>
                <w:lang w:val="en-AU"/>
              </w:rPr>
              <w:t>may decrease BIC and TAF plasma concentrations, which may result in loss of therapeutic effect and development of resistance. Alternative anticonvulsants should be considered.</w:t>
            </w:r>
          </w:p>
        </w:tc>
      </w:tr>
      <w:tr w:rsidR="005D0BF5" w:rsidRPr="000E1BC3" w:rsidTr="00044223">
        <w:trPr>
          <w:cantSplit/>
        </w:trPr>
        <w:tc>
          <w:tcPr>
            <w:tcW w:w="2201" w:type="dxa"/>
            <w:tcBorders>
              <w:top w:val="single" w:sz="4" w:space="0" w:color="auto"/>
              <w:bottom w:val="single" w:sz="4" w:space="0" w:color="auto"/>
            </w:tcBorders>
          </w:tcPr>
          <w:p w:rsidR="005D0BF5" w:rsidRPr="000E1BC3" w:rsidRDefault="005D0BF5" w:rsidP="00044223">
            <w:pPr>
              <w:spacing w:before="60" w:after="60"/>
              <w:rPr>
                <w:rFonts w:ascii="Times New Roman" w:hAnsi="Times New Roman"/>
                <w:color w:val="000000"/>
              </w:rPr>
            </w:pPr>
            <w:r w:rsidRPr="000E1BC3">
              <w:rPr>
                <w:rFonts w:ascii="Times New Roman" w:hAnsi="Times New Roman"/>
                <w:b/>
                <w:color w:val="000000"/>
              </w:rPr>
              <w:t>Antimycobacterial:</w:t>
            </w:r>
            <w:r w:rsidRPr="000E1BC3">
              <w:rPr>
                <w:rFonts w:ascii="Times New Roman" w:hAnsi="Times New Roman"/>
                <w:color w:val="000000"/>
              </w:rPr>
              <w:t xml:space="preserve"> </w:t>
            </w:r>
          </w:p>
          <w:p w:rsidR="005D0BF5" w:rsidRPr="000E1BC3" w:rsidRDefault="005D0BF5" w:rsidP="00044223">
            <w:pPr>
              <w:rPr>
                <w:rFonts w:ascii="Times New Roman" w:hAnsi="Times New Roman"/>
                <w:color w:val="000000"/>
              </w:rPr>
            </w:pPr>
            <w:r w:rsidRPr="000E1BC3">
              <w:rPr>
                <w:rFonts w:ascii="Times New Roman" w:hAnsi="Times New Roman"/>
                <w:color w:val="000000"/>
              </w:rPr>
              <w:t>rifabutin</w:t>
            </w:r>
            <w:r w:rsidRPr="000E1BC3">
              <w:rPr>
                <w:rFonts w:ascii="Times New Roman" w:hAnsi="Times New Roman"/>
                <w:vertAlign w:val="superscript"/>
              </w:rPr>
              <w:t>c</w:t>
            </w:r>
          </w:p>
          <w:p w:rsidR="005D0BF5" w:rsidRPr="000E1BC3" w:rsidRDefault="005D0BF5" w:rsidP="00044223">
            <w:pPr>
              <w:rPr>
                <w:rFonts w:ascii="Times New Roman" w:hAnsi="Times New Roman"/>
              </w:rPr>
            </w:pPr>
            <w:r w:rsidRPr="000E1BC3">
              <w:rPr>
                <w:rFonts w:ascii="Times New Roman" w:hAnsi="Times New Roman"/>
              </w:rPr>
              <w:t>rifampicin</w:t>
            </w:r>
            <w:r w:rsidRPr="000E1BC3">
              <w:rPr>
                <w:rFonts w:ascii="Times New Roman" w:hAnsi="Times New Roman"/>
                <w:vertAlign w:val="superscript"/>
              </w:rPr>
              <w:t>c</w:t>
            </w:r>
          </w:p>
          <w:p w:rsidR="005D0BF5" w:rsidRPr="000E1BC3" w:rsidRDefault="005D0BF5" w:rsidP="00044223">
            <w:pPr>
              <w:rPr>
                <w:rFonts w:ascii="Times New Roman" w:hAnsi="Times New Roman"/>
                <w:color w:val="000000"/>
              </w:rPr>
            </w:pPr>
            <w:r w:rsidRPr="000E1BC3">
              <w:rPr>
                <w:rFonts w:ascii="Times New Roman" w:hAnsi="Times New Roman"/>
                <w:color w:val="000000"/>
              </w:rPr>
              <w:t>rifapentine</w:t>
            </w:r>
          </w:p>
          <w:p w:rsidR="005D0BF5" w:rsidRPr="000E1BC3" w:rsidRDefault="005D0BF5" w:rsidP="00044223">
            <w:pPr>
              <w:pStyle w:val="Table-Heading"/>
              <w:rPr>
                <w:bCs/>
              </w:rPr>
            </w:pPr>
          </w:p>
        </w:tc>
        <w:tc>
          <w:tcPr>
            <w:tcW w:w="1981" w:type="dxa"/>
            <w:tcBorders>
              <w:top w:val="single" w:sz="4" w:space="0" w:color="auto"/>
              <w:bottom w:val="single" w:sz="4" w:space="0" w:color="auto"/>
            </w:tcBorders>
          </w:tcPr>
          <w:p w:rsidR="005D0BF5" w:rsidRPr="000E1BC3" w:rsidRDefault="005D0BF5" w:rsidP="00044223">
            <w:pPr>
              <w:spacing w:after="120"/>
              <w:jc w:val="center"/>
              <w:rPr>
                <w:rFonts w:ascii="Times New Roman" w:hAnsi="Times New Roman"/>
              </w:rPr>
            </w:pPr>
          </w:p>
          <w:p w:rsidR="005D0BF5" w:rsidRPr="000E1BC3" w:rsidRDefault="005D0BF5" w:rsidP="00044223">
            <w:pPr>
              <w:spacing w:after="120"/>
              <w:jc w:val="center"/>
              <w:rPr>
                <w:rFonts w:ascii="Times New Roman" w:hAnsi="Times New Roman"/>
              </w:rPr>
            </w:pPr>
            <w:r w:rsidRPr="000E1BC3">
              <w:rPr>
                <w:rFonts w:ascii="Times New Roman" w:hAnsi="Times New Roman"/>
              </w:rPr>
              <w:sym w:font="Symbol" w:char="F0AF"/>
            </w:r>
            <w:r w:rsidRPr="000E1BC3">
              <w:rPr>
                <w:rFonts w:ascii="Times New Roman" w:hAnsi="Times New Roman"/>
              </w:rPr>
              <w:t xml:space="preserve"> bictegravir</w:t>
            </w:r>
          </w:p>
          <w:p w:rsidR="005D0BF5" w:rsidRPr="000E1BC3" w:rsidRDefault="005D0BF5" w:rsidP="00044223">
            <w:pPr>
              <w:spacing w:beforeLines="60" w:before="144" w:afterLines="60" w:after="144"/>
              <w:jc w:val="center"/>
              <w:rPr>
                <w:rFonts w:ascii="Times New Roman" w:hAnsi="Times New Roman"/>
                <w:color w:val="000000"/>
                <w:lang w:val="en-US"/>
              </w:rPr>
            </w:pPr>
            <w:r w:rsidRPr="000E1BC3">
              <w:rPr>
                <w:rFonts w:ascii="Times New Roman" w:hAnsi="Times New Roman"/>
                <w:color w:val="000000"/>
                <w:lang w:val="en-US"/>
              </w:rPr>
              <w:sym w:font="Symbol" w:char="F0AF"/>
            </w:r>
            <w:r w:rsidRPr="000E1BC3">
              <w:rPr>
                <w:rFonts w:ascii="Times New Roman" w:hAnsi="Times New Roman"/>
                <w:color w:val="000000"/>
                <w:lang w:val="en-US"/>
              </w:rPr>
              <w:t xml:space="preserve"> tenofovir alafenamide</w:t>
            </w:r>
          </w:p>
          <w:p w:rsidR="005D0BF5" w:rsidRPr="000E1BC3" w:rsidRDefault="005D0BF5" w:rsidP="00044223">
            <w:pPr>
              <w:pStyle w:val="Table-Text"/>
              <w:jc w:val="center"/>
              <w:rPr>
                <w:sz w:val="20"/>
              </w:rPr>
            </w:pPr>
          </w:p>
        </w:tc>
        <w:tc>
          <w:tcPr>
            <w:tcW w:w="5127" w:type="dxa"/>
            <w:tcBorders>
              <w:top w:val="single" w:sz="4" w:space="0" w:color="auto"/>
              <w:bottom w:val="single" w:sz="4" w:space="0" w:color="auto"/>
            </w:tcBorders>
          </w:tcPr>
          <w:p w:rsidR="005D0BF5" w:rsidRPr="000E1BC3" w:rsidRDefault="005D0BF5" w:rsidP="00D76FB5">
            <w:pPr>
              <w:pStyle w:val="TableText"/>
              <w:keepNext w:val="0"/>
              <w:keepLines w:val="0"/>
              <w:jc w:val="left"/>
              <w:rPr>
                <w:rFonts w:ascii="Times New Roman" w:hAnsi="Times New Roman" w:cs="Times New Roman"/>
              </w:rPr>
            </w:pPr>
            <w:r w:rsidRPr="000E1BC3">
              <w:rPr>
                <w:rFonts w:ascii="Times New Roman" w:hAnsi="Times New Roman" w:cs="Times New Roman"/>
              </w:rPr>
              <w:t>Coadministration of rifampicin, rifabutin, and rifapentine</w:t>
            </w:r>
            <w:r w:rsidR="004C3402">
              <w:rPr>
                <w:rFonts w:ascii="Times New Roman" w:hAnsi="Times New Roman" w:cs="Times New Roman"/>
              </w:rPr>
              <w:t xml:space="preserve"> </w:t>
            </w:r>
            <w:r w:rsidRPr="000E1BC3">
              <w:rPr>
                <w:rFonts w:ascii="Times New Roman" w:hAnsi="Times New Roman" w:cs="Times New Roman"/>
              </w:rPr>
              <w:t xml:space="preserve">may decrease </w:t>
            </w:r>
            <w:r w:rsidR="0004205D" w:rsidRPr="000E1BC3">
              <w:rPr>
                <w:rFonts w:ascii="Times New Roman" w:hAnsi="Times New Roman" w:cs="Times New Roman"/>
              </w:rPr>
              <w:t xml:space="preserve">BIC and </w:t>
            </w:r>
            <w:r w:rsidRPr="000E1BC3">
              <w:rPr>
                <w:rFonts w:ascii="Times New Roman" w:hAnsi="Times New Roman" w:cs="Times New Roman"/>
              </w:rPr>
              <w:t>TAF plasma concentrations, which may result in loss of therapeutic effect and development of resistance.</w:t>
            </w:r>
            <w:r w:rsidR="0004205D" w:rsidRPr="000E1BC3">
              <w:rPr>
                <w:rFonts w:ascii="Times New Roman" w:hAnsi="Times New Roman" w:cs="Times New Roman"/>
              </w:rPr>
              <w:t xml:space="preserve"> </w:t>
            </w:r>
            <w:r w:rsidR="0004205D" w:rsidRPr="000E1BC3">
              <w:rPr>
                <w:rFonts w:ascii="Times New Roman" w:hAnsi="Times New Roman"/>
              </w:rPr>
              <w:t xml:space="preserve">Coadministration of </w:t>
            </w:r>
            <w:r w:rsidR="002F43D2">
              <w:rPr>
                <w:rFonts w:ascii="Times New Roman" w:hAnsi="Times New Roman"/>
              </w:rPr>
              <w:t>BIKTARVY</w:t>
            </w:r>
            <w:r w:rsidR="0004205D" w:rsidRPr="000E1BC3">
              <w:rPr>
                <w:rFonts w:ascii="Times New Roman" w:hAnsi="Times New Roman"/>
              </w:rPr>
              <w:t xml:space="preserve"> with rifampi</w:t>
            </w:r>
            <w:r w:rsidR="007C3AE5">
              <w:rPr>
                <w:rFonts w:ascii="Times New Roman" w:hAnsi="Times New Roman"/>
              </w:rPr>
              <w:t>ci</w:t>
            </w:r>
            <w:r w:rsidR="0004205D" w:rsidRPr="000E1BC3">
              <w:rPr>
                <w:rFonts w:ascii="Times New Roman" w:hAnsi="Times New Roman"/>
              </w:rPr>
              <w:t>n is contraindicated due to the effect of rifampi</w:t>
            </w:r>
            <w:r w:rsidR="007C3AE5">
              <w:rPr>
                <w:rFonts w:ascii="Times New Roman" w:hAnsi="Times New Roman"/>
              </w:rPr>
              <w:t>ci</w:t>
            </w:r>
            <w:r w:rsidR="0004205D" w:rsidRPr="000E1BC3">
              <w:rPr>
                <w:rFonts w:ascii="Times New Roman" w:hAnsi="Times New Roman"/>
              </w:rPr>
              <w:t xml:space="preserve">n on the BIC component of </w:t>
            </w:r>
            <w:r w:rsidR="002F43D2">
              <w:rPr>
                <w:rFonts w:ascii="Times New Roman" w:hAnsi="Times New Roman"/>
              </w:rPr>
              <w:t>BIKTARVY</w:t>
            </w:r>
            <w:r w:rsidR="0004205D" w:rsidRPr="000E1BC3">
              <w:rPr>
                <w:rFonts w:ascii="Times New Roman" w:hAnsi="Times New Roman"/>
              </w:rPr>
              <w:t xml:space="preserve"> </w:t>
            </w:r>
            <w:r w:rsidR="0004205D" w:rsidRPr="000E1BC3">
              <w:rPr>
                <w:rFonts w:ascii="Times New Roman" w:hAnsi="Times New Roman"/>
                <w:i/>
              </w:rPr>
              <w:t>(see Section 4.3 Contraindications)</w:t>
            </w:r>
            <w:r w:rsidR="004C3402">
              <w:rPr>
                <w:rFonts w:ascii="Times New Roman" w:hAnsi="Times New Roman"/>
                <w:i/>
              </w:rPr>
              <w:t>.</w:t>
            </w:r>
            <w:r w:rsidRPr="000E1BC3">
              <w:rPr>
                <w:rFonts w:ascii="Times New Roman" w:hAnsi="Times New Roman" w:cs="Times New Roman"/>
              </w:rPr>
              <w:t xml:space="preserve"> Coadministration of </w:t>
            </w:r>
            <w:r w:rsidR="002F43D2">
              <w:rPr>
                <w:rFonts w:ascii="Times New Roman" w:hAnsi="Times New Roman" w:cs="Times New Roman"/>
              </w:rPr>
              <w:t>BIKTARVY</w:t>
            </w:r>
            <w:r w:rsidRPr="000E1BC3">
              <w:rPr>
                <w:rFonts w:ascii="Times New Roman" w:hAnsi="Times New Roman" w:cs="Times New Roman"/>
              </w:rPr>
              <w:t xml:space="preserve"> with rifabutin</w:t>
            </w:r>
            <w:r w:rsidR="006C6CF1">
              <w:rPr>
                <w:rFonts w:ascii="Times New Roman" w:hAnsi="Times New Roman" w:cs="Times New Roman"/>
              </w:rPr>
              <w:t xml:space="preserve"> </w:t>
            </w:r>
            <w:r w:rsidRPr="000E1BC3">
              <w:rPr>
                <w:rFonts w:ascii="Times New Roman" w:hAnsi="Times New Roman" w:cs="Times New Roman"/>
              </w:rPr>
              <w:t>or rifapentine is not recommended.</w:t>
            </w:r>
          </w:p>
        </w:tc>
      </w:tr>
      <w:tr w:rsidR="005D0BF5" w:rsidRPr="000E1BC3" w:rsidTr="00044223">
        <w:trPr>
          <w:cantSplit/>
        </w:trPr>
        <w:tc>
          <w:tcPr>
            <w:tcW w:w="2201" w:type="dxa"/>
            <w:tcBorders>
              <w:top w:val="single" w:sz="4" w:space="0" w:color="auto"/>
            </w:tcBorders>
          </w:tcPr>
          <w:p w:rsidR="005D0BF5" w:rsidRPr="000E1BC3" w:rsidRDefault="005D0BF5" w:rsidP="00044223">
            <w:pPr>
              <w:rPr>
                <w:rFonts w:ascii="Times New Roman" w:hAnsi="Times New Roman"/>
                <w:b/>
              </w:rPr>
            </w:pPr>
            <w:r w:rsidRPr="000E1BC3">
              <w:rPr>
                <w:rFonts w:ascii="Times New Roman" w:hAnsi="Times New Roman"/>
                <w:b/>
              </w:rPr>
              <w:t>HIV-1 Antiviral Agent:</w:t>
            </w:r>
          </w:p>
          <w:p w:rsidR="005D0BF5" w:rsidRPr="000E1BC3" w:rsidRDefault="005D0BF5" w:rsidP="00044223">
            <w:pPr>
              <w:spacing w:before="120"/>
              <w:rPr>
                <w:rFonts w:ascii="Times New Roman" w:hAnsi="Times New Roman"/>
                <w:b/>
                <w:bCs/>
              </w:rPr>
            </w:pPr>
            <w:r w:rsidRPr="000E1BC3">
              <w:rPr>
                <w:rFonts w:ascii="Times New Roman" w:hAnsi="Times New Roman"/>
              </w:rPr>
              <w:t>atazanavir</w:t>
            </w:r>
            <w:r w:rsidRPr="000E1BC3">
              <w:rPr>
                <w:rFonts w:ascii="Times New Roman" w:hAnsi="Times New Roman"/>
                <w:vertAlign w:val="superscript"/>
              </w:rPr>
              <w:t>c</w:t>
            </w:r>
          </w:p>
        </w:tc>
        <w:tc>
          <w:tcPr>
            <w:tcW w:w="1981" w:type="dxa"/>
            <w:tcBorders>
              <w:top w:val="single" w:sz="4" w:space="0" w:color="auto"/>
            </w:tcBorders>
          </w:tcPr>
          <w:p w:rsidR="005D0BF5" w:rsidRPr="000E1BC3" w:rsidRDefault="005D0BF5" w:rsidP="00044223">
            <w:pPr>
              <w:spacing w:after="120"/>
              <w:jc w:val="center"/>
              <w:rPr>
                <w:rFonts w:ascii="Times New Roman" w:hAnsi="Times New Roman"/>
              </w:rPr>
            </w:pPr>
            <w:r w:rsidRPr="000E1BC3">
              <w:rPr>
                <w:rFonts w:ascii="Times New Roman" w:hAnsi="Times New Roman"/>
              </w:rPr>
              <w:sym w:font="Symbol" w:char="F0AD"/>
            </w:r>
            <w:r w:rsidRPr="000E1BC3">
              <w:rPr>
                <w:rFonts w:ascii="Times New Roman" w:hAnsi="Times New Roman"/>
              </w:rPr>
              <w:t xml:space="preserve"> bictegravir</w:t>
            </w:r>
          </w:p>
          <w:p w:rsidR="005D0BF5" w:rsidRPr="000E1BC3" w:rsidRDefault="005D0BF5" w:rsidP="00044223">
            <w:pPr>
              <w:spacing w:beforeLines="60" w:before="144" w:afterLines="60" w:after="144"/>
              <w:jc w:val="center"/>
              <w:rPr>
                <w:rFonts w:ascii="Times New Roman" w:hAnsi="Times New Roman"/>
              </w:rPr>
            </w:pPr>
          </w:p>
        </w:tc>
        <w:tc>
          <w:tcPr>
            <w:tcW w:w="5127" w:type="dxa"/>
            <w:tcBorders>
              <w:top w:val="single" w:sz="4" w:space="0" w:color="auto"/>
            </w:tcBorders>
            <w:vAlign w:val="center"/>
          </w:tcPr>
          <w:p w:rsidR="005D0BF5" w:rsidRPr="000E1BC3" w:rsidRDefault="005D0BF5" w:rsidP="00044223">
            <w:pPr>
              <w:pStyle w:val="TableText"/>
              <w:keepNext w:val="0"/>
              <w:keepLines w:val="0"/>
              <w:jc w:val="left"/>
              <w:rPr>
                <w:rFonts w:ascii="Times New Roman" w:hAnsi="Times New Roman"/>
                <w:color w:val="000000"/>
              </w:rPr>
            </w:pPr>
            <w:r w:rsidRPr="000E1BC3">
              <w:rPr>
                <w:rFonts w:ascii="Times New Roman" w:hAnsi="Times New Roman"/>
              </w:rPr>
              <w:t xml:space="preserve">Coadministration of </w:t>
            </w:r>
            <w:r w:rsidR="002F43D2">
              <w:rPr>
                <w:rFonts w:ascii="Times New Roman" w:hAnsi="Times New Roman"/>
              </w:rPr>
              <w:t>BIKTARVY</w:t>
            </w:r>
            <w:r w:rsidRPr="000E1BC3">
              <w:rPr>
                <w:rFonts w:ascii="Times New Roman" w:hAnsi="Times New Roman"/>
              </w:rPr>
              <w:t xml:space="preserve"> with atazanavir, a CYP3A and UGT1A1 inhibitor, may increase BIC plasma concentrations. Coadministration of </w:t>
            </w:r>
            <w:r w:rsidR="002F43D2">
              <w:rPr>
                <w:rFonts w:ascii="Times New Roman" w:hAnsi="Times New Roman"/>
              </w:rPr>
              <w:t>BIKTARVY</w:t>
            </w:r>
            <w:r w:rsidRPr="000E1BC3">
              <w:rPr>
                <w:rFonts w:ascii="Times New Roman" w:hAnsi="Times New Roman"/>
              </w:rPr>
              <w:t xml:space="preserve"> with atazanavir is not recommended due to the effect of atazanavir on the BIC component of </w:t>
            </w:r>
            <w:r w:rsidR="002F43D2">
              <w:rPr>
                <w:rFonts w:ascii="Times New Roman" w:hAnsi="Times New Roman"/>
              </w:rPr>
              <w:t>BIKTARVY</w:t>
            </w:r>
            <w:r w:rsidRPr="000E1BC3">
              <w:rPr>
                <w:rFonts w:ascii="Times New Roman" w:hAnsi="Times New Roman"/>
              </w:rPr>
              <w:t>.</w:t>
            </w:r>
          </w:p>
        </w:tc>
      </w:tr>
      <w:tr w:rsidR="005D0BF5" w:rsidRPr="000E1BC3" w:rsidTr="00044223">
        <w:trPr>
          <w:cantSplit/>
        </w:trPr>
        <w:tc>
          <w:tcPr>
            <w:tcW w:w="2201" w:type="dxa"/>
          </w:tcPr>
          <w:p w:rsidR="005D0BF5" w:rsidRPr="000E1BC3" w:rsidRDefault="005D0BF5" w:rsidP="00044223">
            <w:pPr>
              <w:spacing w:before="120"/>
              <w:rPr>
                <w:rFonts w:ascii="Times New Roman" w:hAnsi="Times New Roman"/>
                <w:b/>
                <w:bCs/>
              </w:rPr>
            </w:pPr>
            <w:r w:rsidRPr="000E1BC3">
              <w:rPr>
                <w:rFonts w:ascii="Times New Roman" w:hAnsi="Times New Roman"/>
                <w:b/>
                <w:bCs/>
              </w:rPr>
              <w:t>Hepatitis C Virus Antiviral Agent:</w:t>
            </w:r>
          </w:p>
          <w:p w:rsidR="005D0BF5" w:rsidRPr="000E1BC3" w:rsidRDefault="005D0BF5" w:rsidP="00044223">
            <w:pPr>
              <w:spacing w:before="60" w:after="60"/>
              <w:rPr>
                <w:rFonts w:ascii="Times New Roman" w:hAnsi="Times New Roman"/>
                <w:color w:val="000000"/>
              </w:rPr>
            </w:pPr>
            <w:r w:rsidRPr="000E1BC3">
              <w:rPr>
                <w:rFonts w:ascii="Times New Roman" w:hAnsi="Times New Roman"/>
                <w:color w:val="000000"/>
              </w:rPr>
              <w:t>boceprevir</w:t>
            </w:r>
          </w:p>
          <w:p w:rsidR="005D0BF5" w:rsidRPr="000E1BC3" w:rsidRDefault="005D0BF5" w:rsidP="006245FC">
            <w:pPr>
              <w:spacing w:before="60" w:after="60"/>
              <w:rPr>
                <w:rFonts w:ascii="Times New Roman" w:hAnsi="Times New Roman"/>
                <w:b/>
                <w:strike/>
                <w:color w:val="000000"/>
              </w:rPr>
            </w:pPr>
          </w:p>
        </w:tc>
        <w:tc>
          <w:tcPr>
            <w:tcW w:w="1981" w:type="dxa"/>
          </w:tcPr>
          <w:p w:rsidR="005D0BF5" w:rsidRPr="000E1BC3" w:rsidRDefault="005D0BF5" w:rsidP="003F63F5">
            <w:pPr>
              <w:spacing w:beforeLines="60" w:before="144" w:afterLines="60" w:after="144"/>
              <w:jc w:val="center"/>
              <w:rPr>
                <w:rFonts w:ascii="Times New Roman" w:hAnsi="Times New Roman"/>
                <w:color w:val="000000"/>
                <w:lang w:val="en-US"/>
              </w:rPr>
            </w:pPr>
            <w:r w:rsidRPr="000E1BC3">
              <w:rPr>
                <w:rFonts w:ascii="Times New Roman" w:hAnsi="Times New Roman"/>
              </w:rPr>
              <w:t>Effect on boceprevir, or tenofovir alafenamide concentrations unknown</w:t>
            </w:r>
          </w:p>
        </w:tc>
        <w:tc>
          <w:tcPr>
            <w:tcW w:w="5127" w:type="dxa"/>
          </w:tcPr>
          <w:p w:rsidR="005D0BF5" w:rsidRPr="000E1BC3" w:rsidRDefault="005D0BF5" w:rsidP="00DE7E01">
            <w:pPr>
              <w:pStyle w:val="TableText"/>
              <w:keepNext w:val="0"/>
              <w:keepLines w:val="0"/>
              <w:jc w:val="left"/>
              <w:rPr>
                <w:rFonts w:ascii="Times New Roman" w:hAnsi="Times New Roman" w:cs="Times New Roman"/>
              </w:rPr>
            </w:pPr>
            <w:r w:rsidRPr="000E1BC3">
              <w:rPr>
                <w:rFonts w:ascii="Times New Roman" w:hAnsi="Times New Roman"/>
                <w:color w:val="000000"/>
              </w:rPr>
              <w:t xml:space="preserve">Coadministration with boceprevir has the potential to adversely affect the intracellular activation and clinical antiviral efficacy of TAF based on </w:t>
            </w:r>
            <w:r w:rsidRPr="000E1BC3">
              <w:rPr>
                <w:rFonts w:ascii="Times New Roman" w:hAnsi="Times New Roman"/>
                <w:i/>
                <w:color w:val="000000"/>
              </w:rPr>
              <w:t xml:space="preserve">in vitro </w:t>
            </w:r>
            <w:r w:rsidRPr="000E1BC3">
              <w:rPr>
                <w:rFonts w:ascii="Times New Roman" w:hAnsi="Times New Roman"/>
                <w:color w:val="000000"/>
              </w:rPr>
              <w:t xml:space="preserve">data. Coadministration of </w:t>
            </w:r>
            <w:r w:rsidR="002F43D2">
              <w:rPr>
                <w:rFonts w:ascii="Times New Roman" w:hAnsi="Times New Roman"/>
                <w:color w:val="000000"/>
              </w:rPr>
              <w:t>BIKTARVY</w:t>
            </w:r>
            <w:r w:rsidRPr="000E1BC3">
              <w:rPr>
                <w:rFonts w:ascii="Times New Roman" w:hAnsi="Times New Roman"/>
                <w:color w:val="000000"/>
              </w:rPr>
              <w:t xml:space="preserve"> and boceprevir is not recommended.</w:t>
            </w:r>
          </w:p>
        </w:tc>
      </w:tr>
      <w:tr w:rsidR="005D0BF5" w:rsidRPr="000E1BC3" w:rsidTr="00044223">
        <w:trPr>
          <w:cantSplit/>
        </w:trPr>
        <w:tc>
          <w:tcPr>
            <w:tcW w:w="2201" w:type="dxa"/>
          </w:tcPr>
          <w:p w:rsidR="005D0BF5" w:rsidRPr="000E1BC3" w:rsidRDefault="005D0BF5" w:rsidP="00044223">
            <w:pPr>
              <w:spacing w:before="60" w:after="60"/>
              <w:rPr>
                <w:rFonts w:ascii="Times New Roman" w:hAnsi="Times New Roman"/>
                <w:color w:val="000000"/>
              </w:rPr>
            </w:pPr>
            <w:r w:rsidRPr="000E1BC3">
              <w:rPr>
                <w:rFonts w:ascii="Times New Roman" w:hAnsi="Times New Roman"/>
                <w:b/>
                <w:color w:val="000000"/>
              </w:rPr>
              <w:t>Herbal Products:</w:t>
            </w:r>
            <w:r w:rsidRPr="000E1BC3">
              <w:rPr>
                <w:rFonts w:ascii="Times New Roman" w:hAnsi="Times New Roman"/>
                <w:color w:val="000000"/>
              </w:rPr>
              <w:t xml:space="preserve"> </w:t>
            </w:r>
          </w:p>
          <w:p w:rsidR="005D0BF5" w:rsidRPr="000E1BC3" w:rsidRDefault="005D0BF5" w:rsidP="00044223">
            <w:pPr>
              <w:pStyle w:val="Table-Heading"/>
              <w:rPr>
                <w:b w:val="0"/>
                <w:bCs/>
              </w:rPr>
            </w:pPr>
            <w:r w:rsidRPr="000E1BC3">
              <w:rPr>
                <w:b w:val="0"/>
                <w:color w:val="000000"/>
              </w:rPr>
              <w:t>St. John’s wort (Hypericum perforatum)</w:t>
            </w:r>
          </w:p>
        </w:tc>
        <w:tc>
          <w:tcPr>
            <w:tcW w:w="1981" w:type="dxa"/>
          </w:tcPr>
          <w:p w:rsidR="005D0BF5" w:rsidRPr="000E1BC3" w:rsidRDefault="005D0BF5" w:rsidP="00044223">
            <w:pPr>
              <w:spacing w:after="120"/>
              <w:jc w:val="center"/>
              <w:rPr>
                <w:rFonts w:ascii="Times New Roman" w:hAnsi="Times New Roman"/>
              </w:rPr>
            </w:pPr>
            <w:r w:rsidRPr="000E1BC3">
              <w:rPr>
                <w:rFonts w:ascii="Times New Roman" w:hAnsi="Times New Roman"/>
              </w:rPr>
              <w:sym w:font="Symbol" w:char="F0AF"/>
            </w:r>
            <w:r w:rsidRPr="000E1BC3">
              <w:rPr>
                <w:rFonts w:ascii="Times New Roman" w:hAnsi="Times New Roman"/>
              </w:rPr>
              <w:t xml:space="preserve"> bictegravir</w:t>
            </w:r>
          </w:p>
          <w:p w:rsidR="005D0BF5" w:rsidRPr="000E1BC3" w:rsidRDefault="005D0BF5" w:rsidP="00044223">
            <w:pPr>
              <w:spacing w:beforeLines="60" w:before="144" w:afterLines="60" w:after="144"/>
              <w:jc w:val="center"/>
              <w:rPr>
                <w:rFonts w:ascii="Times New Roman" w:hAnsi="Times New Roman"/>
                <w:color w:val="000000"/>
                <w:lang w:val="en-US"/>
              </w:rPr>
            </w:pPr>
            <w:r w:rsidRPr="000E1BC3">
              <w:rPr>
                <w:rFonts w:ascii="Times New Roman" w:hAnsi="Times New Roman"/>
                <w:color w:val="000000"/>
                <w:lang w:val="en-US"/>
              </w:rPr>
              <w:sym w:font="Symbol" w:char="F0AF"/>
            </w:r>
            <w:r w:rsidRPr="000E1BC3">
              <w:rPr>
                <w:rFonts w:ascii="Times New Roman" w:hAnsi="Times New Roman"/>
                <w:color w:val="000000"/>
                <w:lang w:val="en-US"/>
              </w:rPr>
              <w:t xml:space="preserve"> tenofovir alafenamide</w:t>
            </w:r>
          </w:p>
          <w:p w:rsidR="005D0BF5" w:rsidRPr="000E1BC3" w:rsidRDefault="005D0BF5" w:rsidP="00044223">
            <w:pPr>
              <w:pStyle w:val="Table-Text"/>
              <w:jc w:val="center"/>
              <w:rPr>
                <w:sz w:val="20"/>
              </w:rPr>
            </w:pPr>
          </w:p>
        </w:tc>
        <w:tc>
          <w:tcPr>
            <w:tcW w:w="5127" w:type="dxa"/>
          </w:tcPr>
          <w:p w:rsidR="005D0BF5" w:rsidRPr="000E1BC3" w:rsidRDefault="005D0BF5" w:rsidP="00E75CBF">
            <w:r w:rsidRPr="000E1BC3">
              <w:rPr>
                <w:rFonts w:ascii="Times New Roman" w:hAnsi="Times New Roman"/>
              </w:rPr>
              <w:t>Coadministration of St. John’s wort</w:t>
            </w:r>
            <w:r w:rsidR="00E75CBF">
              <w:rPr>
                <w:rFonts w:ascii="Times New Roman" w:hAnsi="Times New Roman"/>
              </w:rPr>
              <w:t xml:space="preserve"> </w:t>
            </w:r>
            <w:r w:rsidRPr="000E1BC3">
              <w:rPr>
                <w:rFonts w:ascii="Times New Roman" w:hAnsi="Times New Roman"/>
              </w:rPr>
              <w:t xml:space="preserve">may decrease BIC and TAF plasma concentrations, which may result in loss of therapeutic effect and development of resistance. Coadministration of </w:t>
            </w:r>
            <w:r w:rsidR="002F43D2">
              <w:rPr>
                <w:rFonts w:ascii="Times New Roman" w:hAnsi="Times New Roman"/>
              </w:rPr>
              <w:t>BIKTARVY</w:t>
            </w:r>
            <w:r w:rsidRPr="000E1BC3">
              <w:rPr>
                <w:rFonts w:ascii="Times New Roman" w:hAnsi="Times New Roman"/>
              </w:rPr>
              <w:t xml:space="preserve"> with St. John’s wort is not recommended.</w:t>
            </w:r>
          </w:p>
        </w:tc>
      </w:tr>
      <w:tr w:rsidR="005D0BF5" w:rsidRPr="000E1BC3" w:rsidTr="00044223">
        <w:trPr>
          <w:cantSplit/>
        </w:trPr>
        <w:tc>
          <w:tcPr>
            <w:tcW w:w="2201" w:type="dxa"/>
          </w:tcPr>
          <w:p w:rsidR="005D0BF5" w:rsidRPr="000E1BC3" w:rsidRDefault="005D0BF5" w:rsidP="00044223">
            <w:pPr>
              <w:autoSpaceDE w:val="0"/>
              <w:autoSpaceDN w:val="0"/>
              <w:adjustRightInd w:val="0"/>
              <w:spacing w:after="60"/>
              <w:rPr>
                <w:rFonts w:ascii="Times New Roman" w:hAnsi="Times New Roman"/>
                <w:b/>
                <w:bCs/>
                <w:color w:val="000000"/>
              </w:rPr>
            </w:pPr>
            <w:r w:rsidRPr="000E1BC3">
              <w:rPr>
                <w:rFonts w:ascii="Times New Roman" w:hAnsi="Times New Roman"/>
                <w:b/>
                <w:bCs/>
                <w:color w:val="000000"/>
              </w:rPr>
              <w:lastRenderedPageBreak/>
              <w:t xml:space="preserve">Medications or oral supplements containing polyvalent cations (e.g. Mg, Al, Ca, Fe): </w:t>
            </w:r>
          </w:p>
          <w:p w:rsidR="005D0BF5" w:rsidRPr="000E1BC3" w:rsidRDefault="005D0BF5" w:rsidP="00044223">
            <w:pPr>
              <w:autoSpaceDE w:val="0"/>
              <w:autoSpaceDN w:val="0"/>
              <w:adjustRightInd w:val="0"/>
              <w:spacing w:after="40"/>
              <w:rPr>
                <w:rFonts w:ascii="Times New Roman" w:hAnsi="Times New Roman"/>
                <w:bCs/>
                <w:color w:val="000000"/>
              </w:rPr>
            </w:pPr>
            <w:r w:rsidRPr="000E1BC3">
              <w:rPr>
                <w:rFonts w:ascii="Times New Roman" w:hAnsi="Times New Roman"/>
                <w:bCs/>
                <w:color w:val="000000"/>
              </w:rPr>
              <w:t>Calcium or iron supplements</w:t>
            </w:r>
            <w:r w:rsidRPr="000E1BC3">
              <w:rPr>
                <w:rFonts w:ascii="Times New Roman" w:hAnsi="Times New Roman"/>
                <w:vertAlign w:val="superscript"/>
              </w:rPr>
              <w:t>c</w:t>
            </w:r>
          </w:p>
          <w:p w:rsidR="005D0BF5" w:rsidRPr="000E1BC3" w:rsidRDefault="005D0BF5" w:rsidP="00044223">
            <w:pPr>
              <w:autoSpaceDE w:val="0"/>
              <w:autoSpaceDN w:val="0"/>
              <w:adjustRightInd w:val="0"/>
              <w:spacing w:after="40"/>
              <w:rPr>
                <w:rFonts w:ascii="Times New Roman" w:hAnsi="Times New Roman"/>
                <w:bCs/>
                <w:color w:val="000000"/>
              </w:rPr>
            </w:pPr>
            <w:r w:rsidRPr="000E1BC3">
              <w:rPr>
                <w:rFonts w:ascii="Times New Roman" w:hAnsi="Times New Roman"/>
                <w:bCs/>
                <w:color w:val="000000"/>
              </w:rPr>
              <w:t>Cation-containing antacids or laxatives</w:t>
            </w:r>
            <w:r w:rsidRPr="000E1BC3">
              <w:rPr>
                <w:rFonts w:ascii="Times New Roman" w:hAnsi="Times New Roman"/>
                <w:vertAlign w:val="superscript"/>
              </w:rPr>
              <w:t>c</w:t>
            </w:r>
          </w:p>
          <w:p w:rsidR="005D0BF5" w:rsidRPr="000E1BC3" w:rsidRDefault="005D0BF5" w:rsidP="00044223">
            <w:pPr>
              <w:autoSpaceDE w:val="0"/>
              <w:autoSpaceDN w:val="0"/>
              <w:adjustRightInd w:val="0"/>
              <w:spacing w:after="40"/>
              <w:rPr>
                <w:rFonts w:ascii="Times New Roman" w:hAnsi="Times New Roman"/>
                <w:bCs/>
                <w:color w:val="000000"/>
              </w:rPr>
            </w:pPr>
            <w:r w:rsidRPr="000E1BC3">
              <w:rPr>
                <w:rFonts w:ascii="Times New Roman" w:hAnsi="Times New Roman"/>
                <w:bCs/>
                <w:color w:val="000000"/>
              </w:rPr>
              <w:t>Sucralfate</w:t>
            </w:r>
          </w:p>
          <w:p w:rsidR="005D0BF5" w:rsidRPr="000E1BC3" w:rsidRDefault="005D0BF5" w:rsidP="00044223">
            <w:pPr>
              <w:spacing w:before="60" w:after="60"/>
              <w:rPr>
                <w:rFonts w:ascii="Times New Roman" w:hAnsi="Times New Roman"/>
                <w:b/>
                <w:color w:val="000000"/>
              </w:rPr>
            </w:pPr>
            <w:r w:rsidRPr="000E1BC3">
              <w:rPr>
                <w:rFonts w:ascii="Times New Roman" w:hAnsi="Times New Roman"/>
                <w:bCs/>
              </w:rPr>
              <w:t>Buffered medications</w:t>
            </w:r>
          </w:p>
        </w:tc>
        <w:tc>
          <w:tcPr>
            <w:tcW w:w="1981" w:type="dxa"/>
          </w:tcPr>
          <w:p w:rsidR="005D0BF5" w:rsidRPr="000E1BC3" w:rsidRDefault="005D0BF5" w:rsidP="00044223">
            <w:pPr>
              <w:spacing w:after="120"/>
              <w:jc w:val="center"/>
              <w:rPr>
                <w:rFonts w:ascii="Times New Roman" w:hAnsi="Times New Roman"/>
              </w:rPr>
            </w:pPr>
            <w:r w:rsidRPr="000E1BC3">
              <w:rPr>
                <w:rFonts w:ascii="Times New Roman" w:hAnsi="Times New Roman"/>
              </w:rPr>
              <w:sym w:font="Symbol" w:char="F0AF"/>
            </w:r>
            <w:r w:rsidRPr="000E1BC3">
              <w:rPr>
                <w:rFonts w:ascii="Times New Roman" w:hAnsi="Times New Roman"/>
              </w:rPr>
              <w:t xml:space="preserve"> bictegravir</w:t>
            </w:r>
          </w:p>
          <w:p w:rsidR="005D0BF5" w:rsidRPr="000E1BC3" w:rsidRDefault="005D0BF5" w:rsidP="00044223">
            <w:pPr>
              <w:spacing w:after="120"/>
              <w:jc w:val="center"/>
              <w:rPr>
                <w:rFonts w:ascii="Times New Roman" w:hAnsi="Times New Roman"/>
              </w:rPr>
            </w:pPr>
          </w:p>
        </w:tc>
        <w:tc>
          <w:tcPr>
            <w:tcW w:w="5127" w:type="dxa"/>
          </w:tcPr>
          <w:p w:rsidR="00322C33" w:rsidRDefault="00322C33" w:rsidP="00044223">
            <w:pPr>
              <w:rPr>
                <w:rFonts w:ascii="Times New Roman" w:hAnsi="Times New Roman"/>
              </w:rPr>
            </w:pPr>
            <w:r w:rsidRPr="00322C33">
              <w:rPr>
                <w:rFonts w:ascii="Times New Roman" w:hAnsi="Times New Roman"/>
              </w:rPr>
              <w:t xml:space="preserve">If taken together with food, </w:t>
            </w:r>
            <w:r w:rsidR="00494E90">
              <w:rPr>
                <w:rFonts w:ascii="Times New Roman" w:hAnsi="Times New Roman"/>
              </w:rPr>
              <w:t xml:space="preserve">BIKTARVY </w:t>
            </w:r>
            <w:r w:rsidRPr="00322C33">
              <w:rPr>
                <w:rFonts w:ascii="Times New Roman" w:hAnsi="Times New Roman"/>
              </w:rPr>
              <w:t xml:space="preserve">and medicinal products or oral supplements containing polyvalent cations (e.g. Mg, Al, Ca, Fe) can be taken at the same time. </w:t>
            </w:r>
          </w:p>
          <w:p w:rsidR="00322C33" w:rsidRDefault="00322C33" w:rsidP="00044223">
            <w:pPr>
              <w:rPr>
                <w:rFonts w:ascii="Times New Roman" w:hAnsi="Times New Roman"/>
              </w:rPr>
            </w:pPr>
          </w:p>
          <w:p w:rsidR="005D0BF5" w:rsidRPr="000E1BC3" w:rsidRDefault="00A77908" w:rsidP="00044223">
            <w:pPr>
              <w:rPr>
                <w:rFonts w:ascii="Times New Roman" w:hAnsi="Times New Roman"/>
              </w:rPr>
            </w:pPr>
            <w:r>
              <w:rPr>
                <w:rFonts w:ascii="Times New Roman" w:hAnsi="Times New Roman"/>
              </w:rPr>
              <w:t>Under fasted conditions</w:t>
            </w:r>
            <w:r w:rsidR="00322C33" w:rsidRPr="00322C33">
              <w:rPr>
                <w:rFonts w:ascii="Times New Roman" w:hAnsi="Times New Roman"/>
              </w:rPr>
              <w:t xml:space="preserve">, </w:t>
            </w:r>
            <w:r w:rsidR="0013247D">
              <w:rPr>
                <w:rFonts w:ascii="Times New Roman" w:hAnsi="Times New Roman"/>
              </w:rPr>
              <w:t>BIKTARVY</w:t>
            </w:r>
            <w:r w:rsidR="00322C33" w:rsidRPr="00322C33">
              <w:rPr>
                <w:rFonts w:ascii="Times New Roman" w:hAnsi="Times New Roman"/>
              </w:rPr>
              <w:t xml:space="preserve"> should be administered at least 2 hours before taking medicinal products or oral supplements containing polyvalent cations.</w:t>
            </w:r>
          </w:p>
          <w:p w:rsidR="00A560F6" w:rsidRDefault="00A560F6" w:rsidP="00044223">
            <w:pPr>
              <w:rPr>
                <w:rFonts w:ascii="Times New Roman" w:hAnsi="Times New Roman"/>
              </w:rPr>
            </w:pPr>
          </w:p>
          <w:p w:rsidR="00A560F6" w:rsidRPr="000E1BC3" w:rsidRDefault="00A560F6" w:rsidP="00044223">
            <w:pPr>
              <w:rPr>
                <w:rFonts w:ascii="Times New Roman" w:hAnsi="Times New Roman"/>
              </w:rPr>
            </w:pPr>
          </w:p>
        </w:tc>
      </w:tr>
    </w:tbl>
    <w:p w:rsidR="005D0BF5" w:rsidRPr="000E1BC3" w:rsidRDefault="005D0BF5" w:rsidP="005D0BF5">
      <w:pPr>
        <w:rPr>
          <w:rFonts w:ascii="Times New Roman" w:hAnsi="Times New Roman"/>
          <w:sz w:val="16"/>
          <w:szCs w:val="16"/>
        </w:rPr>
      </w:pPr>
      <w:r w:rsidRPr="000E1BC3">
        <w:rPr>
          <w:rFonts w:ascii="Times New Roman" w:hAnsi="Times New Roman"/>
          <w:sz w:val="16"/>
          <w:szCs w:val="16"/>
        </w:rPr>
        <w:t>a.</w:t>
      </w:r>
      <w:r w:rsidRPr="000E1BC3">
        <w:rPr>
          <w:rFonts w:ascii="Times New Roman" w:hAnsi="Times New Roman"/>
          <w:sz w:val="16"/>
          <w:szCs w:val="16"/>
        </w:rPr>
        <w:tab/>
        <w:t>Table is not all inclusive.</w:t>
      </w:r>
      <w:r w:rsidRPr="000E1BC3">
        <w:rPr>
          <w:rFonts w:ascii="Times New Roman" w:hAnsi="Times New Roman"/>
          <w:sz w:val="16"/>
          <w:szCs w:val="16"/>
        </w:rPr>
        <w:br/>
        <w:t>b.</w:t>
      </w:r>
      <w:r w:rsidRPr="000E1BC3">
        <w:rPr>
          <w:rFonts w:ascii="Times New Roman" w:hAnsi="Times New Roman"/>
          <w:sz w:val="16"/>
          <w:szCs w:val="16"/>
        </w:rPr>
        <w:tab/>
      </w:r>
      <w:r w:rsidRPr="000E1BC3">
        <w:rPr>
          <w:rFonts w:ascii="Times New Roman" w:hAnsi="Times New Roman"/>
          <w:sz w:val="16"/>
          <w:szCs w:val="16"/>
        </w:rPr>
        <w:sym w:font="Symbol" w:char="F0AD"/>
      </w:r>
      <w:r w:rsidRPr="000E1BC3">
        <w:rPr>
          <w:rFonts w:ascii="Times New Roman" w:hAnsi="Times New Roman"/>
          <w:sz w:val="16"/>
          <w:szCs w:val="16"/>
        </w:rPr>
        <w:t xml:space="preserve"> = increase, </w:t>
      </w:r>
      <w:r w:rsidRPr="000E1BC3">
        <w:rPr>
          <w:rFonts w:ascii="Times New Roman" w:hAnsi="Times New Roman"/>
          <w:sz w:val="16"/>
          <w:szCs w:val="16"/>
        </w:rPr>
        <w:sym w:font="Symbol" w:char="F0AF"/>
      </w:r>
      <w:r w:rsidRPr="000E1BC3">
        <w:rPr>
          <w:rFonts w:ascii="Times New Roman" w:hAnsi="Times New Roman"/>
          <w:sz w:val="16"/>
          <w:szCs w:val="16"/>
        </w:rPr>
        <w:t xml:space="preserve"> = decrease, ↔ = no effect</w:t>
      </w:r>
    </w:p>
    <w:p w:rsidR="005D0BF5" w:rsidRPr="000E1BC3" w:rsidRDefault="005D0BF5" w:rsidP="005D0BF5">
      <w:pPr>
        <w:pStyle w:val="Table-Footer"/>
        <w:rPr>
          <w:rFonts w:ascii="Times New Roman" w:hAnsi="Times New Roman"/>
          <w:szCs w:val="16"/>
        </w:rPr>
      </w:pPr>
      <w:r w:rsidRPr="000E1BC3">
        <w:rPr>
          <w:rFonts w:ascii="Times New Roman" w:hAnsi="Times New Roman"/>
          <w:szCs w:val="16"/>
        </w:rPr>
        <w:t>c.</w:t>
      </w:r>
      <w:r w:rsidRPr="000E1BC3">
        <w:rPr>
          <w:rFonts w:ascii="Times New Roman" w:hAnsi="Times New Roman"/>
          <w:szCs w:val="16"/>
        </w:rPr>
        <w:tab/>
      </w:r>
      <w:r w:rsidRPr="000E1BC3">
        <w:rPr>
          <w:rFonts w:ascii="Times New Roman" w:hAnsi="Times New Roman"/>
          <w:szCs w:val="16"/>
        </w:rPr>
        <w:tab/>
        <w:t>Drug-drug interaction study was not conducted.</w:t>
      </w:r>
    </w:p>
    <w:p w:rsidR="005D0BF5" w:rsidRPr="000E1BC3" w:rsidRDefault="005D0BF5" w:rsidP="005D0BF5">
      <w:pPr>
        <w:pStyle w:val="Text10"/>
        <w:spacing w:after="0"/>
        <w:rPr>
          <w:b/>
        </w:rPr>
      </w:pPr>
    </w:p>
    <w:p w:rsidR="005D0BF5" w:rsidRPr="000E1BC3" w:rsidRDefault="005D0BF5" w:rsidP="00706577">
      <w:pPr>
        <w:pStyle w:val="Text10"/>
        <w:numPr>
          <w:ilvl w:val="0"/>
          <w:numId w:val="20"/>
        </w:numPr>
        <w:spacing w:before="120" w:after="120"/>
        <w:ind w:left="357" w:hanging="357"/>
        <w:rPr>
          <w:b/>
        </w:rPr>
      </w:pPr>
      <w:r w:rsidRPr="000E1BC3">
        <w:rPr>
          <w:b/>
        </w:rPr>
        <w:t xml:space="preserve">Drugs Without Clinically Significant Interactions with </w:t>
      </w:r>
      <w:r w:rsidR="002F43D2">
        <w:rPr>
          <w:b/>
        </w:rPr>
        <w:t>BIKTARVY</w:t>
      </w:r>
    </w:p>
    <w:p w:rsidR="005D0BF5" w:rsidRPr="000E1BC3" w:rsidRDefault="005D0BF5" w:rsidP="005D0BF5">
      <w:pPr>
        <w:rPr>
          <w:rFonts w:ascii="Times New Roman" w:hAnsi="Times New Roman"/>
          <w:sz w:val="24"/>
          <w:lang w:val="en-US"/>
        </w:rPr>
      </w:pPr>
      <w:r w:rsidRPr="000E1BC3">
        <w:rPr>
          <w:rFonts w:ascii="Times New Roman" w:hAnsi="Times New Roman"/>
          <w:sz w:val="24"/>
          <w:lang w:val="en-US"/>
        </w:rPr>
        <w:t xml:space="preserve">Based on drug interaction studies conducted with </w:t>
      </w:r>
      <w:r w:rsidR="002F43D2">
        <w:rPr>
          <w:rFonts w:ascii="Times New Roman" w:hAnsi="Times New Roman"/>
          <w:sz w:val="24"/>
          <w:lang w:val="en-US"/>
        </w:rPr>
        <w:t>BIKTARVY</w:t>
      </w:r>
      <w:r w:rsidRPr="000E1BC3">
        <w:rPr>
          <w:rFonts w:ascii="Times New Roman" w:hAnsi="Times New Roman"/>
          <w:sz w:val="24"/>
          <w:lang w:val="en-US"/>
        </w:rPr>
        <w:t xml:space="preserve"> or the components of </w:t>
      </w:r>
      <w:r w:rsidR="002F43D2">
        <w:rPr>
          <w:rFonts w:ascii="Times New Roman" w:hAnsi="Times New Roman"/>
          <w:sz w:val="24"/>
          <w:lang w:val="en-US"/>
        </w:rPr>
        <w:t>BIKTARVY</w:t>
      </w:r>
      <w:r w:rsidRPr="000E1BC3">
        <w:rPr>
          <w:rFonts w:ascii="Times New Roman" w:hAnsi="Times New Roman"/>
          <w:sz w:val="24"/>
          <w:lang w:val="en-US"/>
        </w:rPr>
        <w:t xml:space="preserve">, no clinically significant drug interactions were observed or are expected with: amlodipine, atorvastatin, buprenorphine, drospirenone, ethinyl estradiol, famotidine, fluticasone, itraconazole, ketoconazole, ledipasvir/sofosbuvir, metformin, methadone, midazolam, naloxone, norbuprenorphine, </w:t>
      </w:r>
      <w:r w:rsidR="00363700" w:rsidRPr="000E1BC3">
        <w:rPr>
          <w:rFonts w:ascii="Times New Roman" w:hAnsi="Times New Roman"/>
          <w:sz w:val="24"/>
          <w:lang w:val="en-US"/>
        </w:rPr>
        <w:t>norgestimate</w:t>
      </w:r>
      <w:r w:rsidR="00363700">
        <w:rPr>
          <w:rFonts w:ascii="Times New Roman" w:hAnsi="Times New Roman"/>
          <w:sz w:val="24"/>
          <w:lang w:val="en-US"/>
        </w:rPr>
        <w:t>,</w:t>
      </w:r>
      <w:r w:rsidR="00363700" w:rsidRPr="000E1BC3">
        <w:rPr>
          <w:rFonts w:ascii="Times New Roman" w:hAnsi="Times New Roman"/>
          <w:sz w:val="24"/>
          <w:lang w:val="en-US"/>
        </w:rPr>
        <w:t xml:space="preserve"> </w:t>
      </w:r>
      <w:r w:rsidRPr="000E1BC3">
        <w:rPr>
          <w:rFonts w:ascii="Times New Roman" w:hAnsi="Times New Roman"/>
          <w:sz w:val="24"/>
          <w:lang w:val="en-US"/>
        </w:rPr>
        <w:t>omeprazole, sertraline, sofosbuvir, sofosbuvir/velpatasvir, or sofosbuvir/velpatasvir/voxilaprevir.</w:t>
      </w:r>
    </w:p>
    <w:p w:rsidR="00150372" w:rsidRPr="000E1BC3" w:rsidRDefault="00150372" w:rsidP="00150372">
      <w:pPr>
        <w:pStyle w:val="Default"/>
        <w:rPr>
          <w:b/>
          <w:color w:val="auto"/>
        </w:rPr>
      </w:pPr>
    </w:p>
    <w:p w:rsidR="00793756" w:rsidRPr="000E1BC3" w:rsidRDefault="00793756" w:rsidP="00785426">
      <w:pPr>
        <w:pStyle w:val="Default"/>
        <w:spacing w:before="120" w:after="120"/>
        <w:rPr>
          <w:b/>
          <w:color w:val="auto"/>
        </w:rPr>
      </w:pPr>
      <w:r w:rsidRPr="000E1BC3">
        <w:rPr>
          <w:b/>
          <w:color w:val="auto"/>
        </w:rPr>
        <w:t>4.6 FERTILITY, PREGNANCY AND LACTATION</w:t>
      </w:r>
    </w:p>
    <w:p w:rsidR="00A6786A" w:rsidRPr="000E1BC3" w:rsidRDefault="00B95F7C" w:rsidP="00F53665">
      <w:pPr>
        <w:numPr>
          <w:ilvl w:val="0"/>
          <w:numId w:val="20"/>
        </w:numPr>
        <w:spacing w:after="120"/>
        <w:ind w:left="357" w:hanging="357"/>
        <w:rPr>
          <w:rFonts w:ascii="Times New Roman" w:hAnsi="Times New Roman"/>
          <w:b/>
          <w:noProof/>
          <w:sz w:val="24"/>
          <w:szCs w:val="24"/>
        </w:rPr>
      </w:pPr>
      <w:r w:rsidRPr="000E1BC3">
        <w:rPr>
          <w:rFonts w:ascii="Times New Roman" w:hAnsi="Times New Roman"/>
          <w:b/>
          <w:noProof/>
          <w:sz w:val="24"/>
          <w:szCs w:val="24"/>
        </w:rPr>
        <w:t>Effects on</w:t>
      </w:r>
      <w:r w:rsidR="00A6786A" w:rsidRPr="000E1BC3">
        <w:rPr>
          <w:rFonts w:ascii="Times New Roman" w:hAnsi="Times New Roman"/>
          <w:b/>
          <w:noProof/>
          <w:sz w:val="24"/>
          <w:szCs w:val="24"/>
        </w:rPr>
        <w:t xml:space="preserve"> Fertility</w:t>
      </w:r>
    </w:p>
    <w:p w:rsidR="00A6786A" w:rsidRPr="000E1BC3" w:rsidRDefault="00A6786A" w:rsidP="00A6786A">
      <w:pPr>
        <w:rPr>
          <w:rFonts w:ascii="Times New Roman" w:hAnsi="Times New Roman"/>
          <w:color w:val="000000"/>
          <w:sz w:val="24"/>
          <w:szCs w:val="24"/>
        </w:rPr>
      </w:pPr>
      <w:r w:rsidRPr="000E1BC3">
        <w:rPr>
          <w:rFonts w:ascii="Times New Roman" w:hAnsi="Times New Roman"/>
          <w:color w:val="000000"/>
          <w:sz w:val="24"/>
          <w:szCs w:val="24"/>
        </w:rPr>
        <w:t>No reproductive toxicity studies have been conducted with BIC, FTC</w:t>
      </w:r>
      <w:r w:rsidRPr="000E1BC3">
        <w:rPr>
          <w:rFonts w:ascii="Times New Roman" w:hAnsi="Times New Roman"/>
          <w:b/>
          <w:color w:val="000000"/>
          <w:sz w:val="24"/>
          <w:szCs w:val="24"/>
        </w:rPr>
        <w:t xml:space="preserve"> </w:t>
      </w:r>
      <w:r w:rsidRPr="000E1BC3">
        <w:rPr>
          <w:rFonts w:ascii="Times New Roman" w:hAnsi="Times New Roman"/>
          <w:color w:val="000000"/>
          <w:sz w:val="24"/>
          <w:szCs w:val="24"/>
        </w:rPr>
        <w:t xml:space="preserve">and TAF in combination.  </w:t>
      </w:r>
    </w:p>
    <w:p w:rsidR="00A6786A" w:rsidRPr="000E1BC3" w:rsidRDefault="00A6786A" w:rsidP="00A6786A">
      <w:pPr>
        <w:autoSpaceDE w:val="0"/>
        <w:autoSpaceDN w:val="0"/>
        <w:adjustRightInd w:val="0"/>
        <w:rPr>
          <w:rFonts w:ascii="Times New Roman" w:hAnsi="Times New Roman"/>
          <w:b/>
          <w:i/>
          <w:sz w:val="24"/>
          <w:szCs w:val="24"/>
        </w:rPr>
      </w:pPr>
    </w:p>
    <w:p w:rsidR="00A6786A" w:rsidRDefault="00A6786A" w:rsidP="00A6786A">
      <w:pPr>
        <w:autoSpaceDE w:val="0"/>
        <w:autoSpaceDN w:val="0"/>
        <w:adjustRightInd w:val="0"/>
        <w:rPr>
          <w:rFonts w:ascii="Times New Roman" w:hAnsi="Times New Roman"/>
          <w:sz w:val="24"/>
          <w:szCs w:val="24"/>
        </w:rPr>
      </w:pPr>
      <w:r w:rsidRPr="000E1BC3">
        <w:rPr>
          <w:rFonts w:ascii="Times New Roman" w:hAnsi="Times New Roman"/>
          <w:b/>
          <w:i/>
          <w:sz w:val="24"/>
          <w:szCs w:val="24"/>
        </w:rPr>
        <w:t xml:space="preserve">Bictegravir: </w:t>
      </w:r>
      <w:r w:rsidRPr="000E1BC3">
        <w:rPr>
          <w:rFonts w:ascii="Times New Roman" w:hAnsi="Times New Roman"/>
          <w:sz w:val="24"/>
          <w:szCs w:val="24"/>
        </w:rPr>
        <w:t xml:space="preserve">BIC did not affect fertility, reproductive performance or embryonic viability in male and female rats at 29 times higher exposures (AUC) than in humans at the recommended dose of 50 mg BIC in </w:t>
      </w:r>
      <w:r w:rsidR="002F43D2">
        <w:rPr>
          <w:rFonts w:ascii="Times New Roman" w:hAnsi="Times New Roman"/>
          <w:sz w:val="24"/>
          <w:szCs w:val="24"/>
        </w:rPr>
        <w:t>BIKTARVY</w:t>
      </w:r>
      <w:r w:rsidRPr="000E1BC3">
        <w:rPr>
          <w:rFonts w:ascii="Times New Roman" w:hAnsi="Times New Roman"/>
          <w:sz w:val="24"/>
          <w:szCs w:val="24"/>
        </w:rPr>
        <w:t>.</w:t>
      </w:r>
    </w:p>
    <w:p w:rsidR="0002459E" w:rsidRPr="000E1BC3" w:rsidRDefault="0002459E" w:rsidP="00A6786A">
      <w:pPr>
        <w:autoSpaceDE w:val="0"/>
        <w:autoSpaceDN w:val="0"/>
        <w:adjustRightInd w:val="0"/>
        <w:rPr>
          <w:rFonts w:ascii="Times New Roman" w:hAnsi="Times New Roman"/>
          <w:b/>
          <w:i/>
          <w:sz w:val="24"/>
          <w:szCs w:val="24"/>
        </w:rPr>
      </w:pPr>
    </w:p>
    <w:p w:rsidR="00A6786A" w:rsidRPr="000E1BC3" w:rsidRDefault="00A6786A" w:rsidP="00A6786A">
      <w:pPr>
        <w:rPr>
          <w:rFonts w:ascii="Times New Roman" w:hAnsi="Times New Roman"/>
          <w:b/>
          <w:color w:val="000000"/>
          <w:sz w:val="24"/>
          <w:szCs w:val="24"/>
        </w:rPr>
      </w:pPr>
      <w:r w:rsidRPr="000E1BC3">
        <w:rPr>
          <w:rFonts w:ascii="Times New Roman" w:hAnsi="Times New Roman"/>
          <w:b/>
          <w:i/>
          <w:color w:val="000000"/>
          <w:sz w:val="24"/>
          <w:szCs w:val="24"/>
        </w:rPr>
        <w:t xml:space="preserve">Emtricitabine: </w:t>
      </w:r>
      <w:r w:rsidR="008759FE">
        <w:rPr>
          <w:rFonts w:ascii="Times New Roman" w:hAnsi="Times New Roman"/>
          <w:color w:val="000000"/>
          <w:sz w:val="24"/>
          <w:szCs w:val="24"/>
        </w:rPr>
        <w:t>FTC</w:t>
      </w:r>
      <w:r w:rsidR="008759FE" w:rsidRPr="000E1BC3">
        <w:rPr>
          <w:rFonts w:ascii="Times New Roman" w:hAnsi="Times New Roman"/>
          <w:color w:val="000000"/>
          <w:sz w:val="24"/>
          <w:szCs w:val="24"/>
        </w:rPr>
        <w:t xml:space="preserve"> </w:t>
      </w:r>
      <w:r w:rsidRPr="000E1BC3">
        <w:rPr>
          <w:rFonts w:ascii="Times New Roman" w:hAnsi="Times New Roman"/>
          <w:color w:val="000000"/>
          <w:sz w:val="24"/>
          <w:szCs w:val="24"/>
        </w:rPr>
        <w:t xml:space="preserve">did not affect fertility in male rats </w:t>
      </w:r>
      <w:r w:rsidR="00553B32" w:rsidRPr="00553B32">
        <w:rPr>
          <w:rFonts w:ascii="Times New Roman" w:hAnsi="Times New Roman"/>
          <w:color w:val="000000"/>
          <w:sz w:val="24"/>
          <w:szCs w:val="24"/>
        </w:rPr>
        <w:t>at approximately 140 times or in male and female mice at approximately 60 times higher exposures (AUC) than in humans given the re</w:t>
      </w:r>
      <w:r w:rsidR="00553B32">
        <w:rPr>
          <w:rFonts w:ascii="Times New Roman" w:hAnsi="Times New Roman"/>
          <w:color w:val="000000"/>
          <w:sz w:val="24"/>
          <w:szCs w:val="24"/>
        </w:rPr>
        <w:t xml:space="preserve">commended 200 mg daily dose in </w:t>
      </w:r>
      <w:r w:rsidR="002F43D2">
        <w:rPr>
          <w:rFonts w:ascii="Times New Roman" w:hAnsi="Times New Roman"/>
          <w:color w:val="000000"/>
          <w:sz w:val="24"/>
          <w:szCs w:val="24"/>
        </w:rPr>
        <w:t>BIKTARVY</w:t>
      </w:r>
      <w:r w:rsidR="00553B32" w:rsidRPr="00553B32">
        <w:rPr>
          <w:rFonts w:ascii="Times New Roman" w:hAnsi="Times New Roman"/>
          <w:color w:val="000000"/>
          <w:sz w:val="24"/>
          <w:szCs w:val="24"/>
        </w:rPr>
        <w:t>. Fertility was normal in the offspring of mice exposed daily from before birth (in utero) through sexual maturity at daily exposures (AUC) of approximately 60 times higher than human exposures at the re</w:t>
      </w:r>
      <w:r w:rsidR="00553B32">
        <w:rPr>
          <w:rFonts w:ascii="Times New Roman" w:hAnsi="Times New Roman"/>
          <w:color w:val="000000"/>
          <w:sz w:val="24"/>
          <w:szCs w:val="24"/>
        </w:rPr>
        <w:t xml:space="preserve">commended 200 mg daily dose in </w:t>
      </w:r>
      <w:r w:rsidR="002F43D2">
        <w:rPr>
          <w:rFonts w:ascii="Times New Roman" w:hAnsi="Times New Roman"/>
          <w:color w:val="000000"/>
          <w:sz w:val="24"/>
          <w:szCs w:val="24"/>
        </w:rPr>
        <w:t>BIKTARVY</w:t>
      </w:r>
      <w:r w:rsidR="00553B32" w:rsidRPr="00553B32">
        <w:rPr>
          <w:rFonts w:ascii="Times New Roman" w:hAnsi="Times New Roman"/>
          <w:color w:val="000000"/>
          <w:sz w:val="24"/>
          <w:szCs w:val="24"/>
        </w:rPr>
        <w:t>.</w:t>
      </w:r>
    </w:p>
    <w:p w:rsidR="00A6786A" w:rsidRPr="000E1BC3" w:rsidRDefault="00A6786A" w:rsidP="00A6786A">
      <w:pPr>
        <w:outlineLvl w:val="0"/>
        <w:rPr>
          <w:rFonts w:ascii="Times New Roman" w:hAnsi="Times New Roman"/>
          <w:bCs/>
          <w:sz w:val="24"/>
          <w:szCs w:val="24"/>
          <w:lang w:val="en-US"/>
        </w:rPr>
      </w:pPr>
    </w:p>
    <w:p w:rsidR="00A6786A" w:rsidRPr="000E1BC3" w:rsidRDefault="00A6786A" w:rsidP="00A6786A">
      <w:pPr>
        <w:outlineLvl w:val="0"/>
        <w:rPr>
          <w:rFonts w:ascii="Times New Roman" w:hAnsi="Times New Roman"/>
          <w:sz w:val="24"/>
          <w:szCs w:val="24"/>
        </w:rPr>
      </w:pPr>
      <w:r w:rsidRPr="000E1BC3">
        <w:rPr>
          <w:rFonts w:ascii="Times New Roman" w:hAnsi="Times New Roman"/>
          <w:b/>
          <w:i/>
          <w:sz w:val="24"/>
          <w:szCs w:val="24"/>
          <w:lang w:val="en-US"/>
        </w:rPr>
        <w:t>Tenofovir Alafenamide:</w:t>
      </w:r>
      <w:r w:rsidRPr="000E1BC3">
        <w:rPr>
          <w:rFonts w:ascii="Times New Roman" w:hAnsi="Times New Roman"/>
          <w:sz w:val="24"/>
          <w:szCs w:val="24"/>
          <w:lang w:val="en-US"/>
        </w:rPr>
        <w:t xml:space="preserve"> There were no effects on fertility, mating performance or early embryonic development when </w:t>
      </w:r>
      <w:r w:rsidR="008759FE">
        <w:rPr>
          <w:rFonts w:ascii="Times New Roman" w:hAnsi="Times New Roman"/>
          <w:sz w:val="24"/>
          <w:szCs w:val="24"/>
          <w:lang w:val="en-US"/>
        </w:rPr>
        <w:t>TAF</w:t>
      </w:r>
      <w:r w:rsidRPr="000E1BC3">
        <w:rPr>
          <w:rFonts w:ascii="Times New Roman" w:hAnsi="Times New Roman"/>
          <w:sz w:val="24"/>
          <w:szCs w:val="24"/>
          <w:lang w:val="en-US"/>
        </w:rPr>
        <w:t xml:space="preserve"> was administered to male rats at a dose equivalent to 155 times </w:t>
      </w:r>
      <w:r w:rsidR="008759FE">
        <w:rPr>
          <w:rFonts w:ascii="Times New Roman" w:hAnsi="Times New Roman"/>
          <w:sz w:val="24"/>
          <w:szCs w:val="24"/>
          <w:lang w:val="en-US"/>
        </w:rPr>
        <w:t xml:space="preserve">(25 mg TAF) </w:t>
      </w:r>
      <w:r w:rsidRPr="000E1BC3">
        <w:rPr>
          <w:rFonts w:ascii="Times New Roman" w:hAnsi="Times New Roman"/>
          <w:sz w:val="24"/>
          <w:szCs w:val="24"/>
          <w:lang w:val="en-US"/>
        </w:rPr>
        <w:t>the human dose based on body surface area comparisons for 28 days prior to mating and to female rats for 14 days prior to mating through day seven of gestation.</w:t>
      </w:r>
    </w:p>
    <w:p w:rsidR="00A6786A" w:rsidRDefault="00A6786A" w:rsidP="00A6786A">
      <w:pPr>
        <w:ind w:left="567" w:hanging="567"/>
        <w:jc w:val="both"/>
        <w:outlineLvl w:val="0"/>
        <w:rPr>
          <w:rFonts w:ascii="Times New Roman" w:hAnsi="Times New Roman"/>
          <w:b/>
          <w:noProof/>
          <w:sz w:val="24"/>
          <w:szCs w:val="24"/>
        </w:rPr>
      </w:pPr>
    </w:p>
    <w:p w:rsidR="00F53665" w:rsidRDefault="00F53665" w:rsidP="00A6786A">
      <w:pPr>
        <w:ind w:left="567" w:hanging="567"/>
        <w:jc w:val="both"/>
        <w:outlineLvl w:val="0"/>
        <w:rPr>
          <w:rFonts w:ascii="Times New Roman" w:hAnsi="Times New Roman"/>
          <w:b/>
          <w:noProof/>
          <w:sz w:val="24"/>
          <w:szCs w:val="24"/>
        </w:rPr>
      </w:pPr>
    </w:p>
    <w:p w:rsidR="00DD64CE" w:rsidRDefault="00DD64CE" w:rsidP="00A6786A">
      <w:pPr>
        <w:ind w:left="567" w:hanging="567"/>
        <w:jc w:val="both"/>
        <w:outlineLvl w:val="0"/>
        <w:rPr>
          <w:rFonts w:ascii="Times New Roman" w:hAnsi="Times New Roman"/>
          <w:b/>
          <w:noProof/>
          <w:sz w:val="24"/>
          <w:szCs w:val="24"/>
        </w:rPr>
      </w:pPr>
    </w:p>
    <w:p w:rsidR="00DD64CE" w:rsidRDefault="00DD64CE" w:rsidP="00A6786A">
      <w:pPr>
        <w:ind w:left="567" w:hanging="567"/>
        <w:jc w:val="both"/>
        <w:outlineLvl w:val="0"/>
        <w:rPr>
          <w:rFonts w:ascii="Times New Roman" w:hAnsi="Times New Roman"/>
          <w:b/>
          <w:noProof/>
          <w:sz w:val="24"/>
          <w:szCs w:val="24"/>
        </w:rPr>
      </w:pPr>
    </w:p>
    <w:p w:rsidR="00A6786A" w:rsidRPr="000E1BC3" w:rsidRDefault="00A6786A" w:rsidP="00F53665">
      <w:pPr>
        <w:numPr>
          <w:ilvl w:val="0"/>
          <w:numId w:val="20"/>
        </w:numPr>
        <w:spacing w:after="120"/>
        <w:ind w:left="357" w:hanging="357"/>
        <w:jc w:val="both"/>
        <w:outlineLvl w:val="0"/>
        <w:rPr>
          <w:rFonts w:ascii="Times New Roman" w:hAnsi="Times New Roman"/>
          <w:noProof/>
          <w:sz w:val="24"/>
          <w:szCs w:val="24"/>
        </w:rPr>
      </w:pPr>
      <w:r w:rsidRPr="000E1BC3">
        <w:rPr>
          <w:rFonts w:ascii="Times New Roman" w:hAnsi="Times New Roman"/>
          <w:b/>
          <w:noProof/>
          <w:sz w:val="24"/>
          <w:szCs w:val="24"/>
        </w:rPr>
        <w:lastRenderedPageBreak/>
        <w:t>Use in Pregnancy</w:t>
      </w:r>
      <w:r w:rsidR="00B95F7C" w:rsidRPr="000E1BC3">
        <w:rPr>
          <w:rFonts w:ascii="Times New Roman" w:hAnsi="Times New Roman"/>
          <w:b/>
          <w:noProof/>
          <w:sz w:val="24"/>
          <w:szCs w:val="24"/>
        </w:rPr>
        <w:t xml:space="preserve"> - </w:t>
      </w:r>
      <w:r w:rsidR="00741890" w:rsidRPr="000E1BC3">
        <w:rPr>
          <w:rFonts w:ascii="Times New Roman" w:hAnsi="Times New Roman"/>
          <w:noProof/>
          <w:sz w:val="24"/>
          <w:szCs w:val="24"/>
        </w:rPr>
        <w:t>Category B3</w:t>
      </w:r>
    </w:p>
    <w:p w:rsidR="00A6786A" w:rsidRPr="000E1BC3" w:rsidRDefault="00A6786A" w:rsidP="00A6786A">
      <w:pPr>
        <w:rPr>
          <w:rFonts w:ascii="Times New Roman" w:hAnsi="Times New Roman"/>
          <w:noProof/>
          <w:sz w:val="24"/>
          <w:szCs w:val="24"/>
        </w:rPr>
      </w:pPr>
      <w:r w:rsidRPr="000E1BC3">
        <w:rPr>
          <w:rFonts w:ascii="Times New Roman" w:hAnsi="Times New Roman"/>
          <w:color w:val="000000"/>
          <w:sz w:val="24"/>
          <w:szCs w:val="24"/>
        </w:rPr>
        <w:t xml:space="preserve">There are no </w:t>
      </w:r>
      <w:r w:rsidRPr="000E1BC3">
        <w:rPr>
          <w:rFonts w:ascii="Times New Roman" w:hAnsi="Times New Roman"/>
          <w:color w:val="000000"/>
          <w:sz w:val="24"/>
          <w:szCs w:val="24"/>
          <w:lang w:val="en-US"/>
        </w:rPr>
        <w:t>adequate</w:t>
      </w:r>
      <w:r w:rsidRPr="000E1BC3">
        <w:rPr>
          <w:rFonts w:ascii="Times New Roman" w:hAnsi="Times New Roman"/>
          <w:color w:val="000000"/>
          <w:sz w:val="24"/>
          <w:szCs w:val="24"/>
        </w:rPr>
        <w:t xml:space="preserve"> and well controlled clinical studies of </w:t>
      </w:r>
      <w:r w:rsidR="002F43D2">
        <w:rPr>
          <w:rFonts w:ascii="Times New Roman" w:hAnsi="Times New Roman"/>
          <w:noProof/>
          <w:sz w:val="24"/>
          <w:szCs w:val="24"/>
        </w:rPr>
        <w:t>BIKTARVY</w:t>
      </w:r>
      <w:r w:rsidRPr="000E1BC3">
        <w:rPr>
          <w:rFonts w:ascii="Times New Roman" w:hAnsi="Times New Roman"/>
          <w:lang w:val="en-US"/>
        </w:rPr>
        <w:t xml:space="preserve"> </w:t>
      </w:r>
      <w:r w:rsidRPr="000E1BC3">
        <w:rPr>
          <w:rFonts w:ascii="Times New Roman" w:hAnsi="Times New Roman"/>
          <w:noProof/>
          <w:sz w:val="24"/>
          <w:szCs w:val="24"/>
          <w:lang w:val="en-US"/>
        </w:rPr>
        <w:t>or its components</w:t>
      </w:r>
      <w:r w:rsidRPr="000E1BC3">
        <w:rPr>
          <w:rFonts w:ascii="Times New Roman" w:hAnsi="Times New Roman"/>
          <w:color w:val="000000"/>
          <w:sz w:val="24"/>
          <w:szCs w:val="24"/>
        </w:rPr>
        <w:t xml:space="preserve"> in pregnant women.  Because animal reproductive studies are not always predictive of human response, </w:t>
      </w:r>
      <w:r w:rsidR="002F43D2">
        <w:rPr>
          <w:rFonts w:ascii="Times New Roman" w:hAnsi="Times New Roman"/>
          <w:noProof/>
          <w:sz w:val="24"/>
          <w:szCs w:val="24"/>
        </w:rPr>
        <w:t>BIKTARVY</w:t>
      </w:r>
      <w:r w:rsidRPr="000E1BC3">
        <w:rPr>
          <w:rFonts w:ascii="Times New Roman" w:hAnsi="Times New Roman"/>
          <w:noProof/>
          <w:sz w:val="24"/>
          <w:szCs w:val="24"/>
        </w:rPr>
        <w:t xml:space="preserve"> should be used during pregnancy only if the potential benefit justifies the potential risk to the fetus.</w:t>
      </w:r>
    </w:p>
    <w:p w:rsidR="00A6786A" w:rsidRPr="000E1BC3" w:rsidRDefault="00A6786A" w:rsidP="00A6786A">
      <w:pPr>
        <w:autoSpaceDE w:val="0"/>
        <w:autoSpaceDN w:val="0"/>
        <w:adjustRightInd w:val="0"/>
        <w:jc w:val="both"/>
        <w:rPr>
          <w:rFonts w:ascii="Times New Roman" w:hAnsi="Times New Roman"/>
          <w:noProof/>
          <w:sz w:val="24"/>
          <w:szCs w:val="24"/>
        </w:rPr>
      </w:pPr>
    </w:p>
    <w:p w:rsidR="00A6786A" w:rsidRPr="00801255" w:rsidRDefault="00A6786A" w:rsidP="00A6786A">
      <w:pPr>
        <w:pStyle w:val="Text10"/>
        <w:rPr>
          <w:szCs w:val="24"/>
        </w:rPr>
      </w:pPr>
      <w:r w:rsidRPr="000E1BC3">
        <w:rPr>
          <w:b/>
          <w:i/>
          <w:color w:val="000000"/>
          <w:szCs w:val="24"/>
        </w:rPr>
        <w:t xml:space="preserve">Bictegravir: </w:t>
      </w:r>
      <w:r w:rsidRPr="000E1BC3">
        <w:rPr>
          <w:color w:val="000000"/>
          <w:szCs w:val="24"/>
        </w:rPr>
        <w:t>Studies in animals have shown no evidence of teratogenicity or an effect on reproductive function. In offspring from rat and rabbit dams treated with BIC during pregnancy, there were no toxicologically significant effects on developmental endpoints</w:t>
      </w:r>
      <w:r w:rsidR="00801255">
        <w:rPr>
          <w:color w:val="000000"/>
          <w:szCs w:val="24"/>
        </w:rPr>
        <w:t xml:space="preserve"> </w:t>
      </w:r>
      <w:r w:rsidR="00801255" w:rsidRPr="00801255">
        <w:rPr>
          <w:szCs w:val="24"/>
        </w:rPr>
        <w:t xml:space="preserve">36 times (rat) or </w:t>
      </w:r>
      <w:r w:rsidR="00801255" w:rsidRPr="005F74BC">
        <w:rPr>
          <w:szCs w:val="24"/>
        </w:rPr>
        <w:t xml:space="preserve">1.4 </w:t>
      </w:r>
      <w:r w:rsidR="00801255" w:rsidRPr="00801255">
        <w:rPr>
          <w:szCs w:val="24"/>
        </w:rPr>
        <w:t>times (rabbit) higher exposures (AUC) than in humans at the recommended dose of 50 mg BIC in BIKTARVY</w:t>
      </w:r>
      <w:r w:rsidRPr="00801255">
        <w:rPr>
          <w:szCs w:val="24"/>
        </w:rPr>
        <w:t>.</w:t>
      </w:r>
    </w:p>
    <w:p w:rsidR="00A6786A" w:rsidRPr="000E1BC3" w:rsidRDefault="00A6786A" w:rsidP="00A6786A">
      <w:pPr>
        <w:pStyle w:val="Text10"/>
        <w:rPr>
          <w:b/>
          <w:lang w:val="en-AU"/>
        </w:rPr>
      </w:pPr>
      <w:r w:rsidRPr="000E1BC3">
        <w:rPr>
          <w:b/>
          <w:i/>
          <w:color w:val="000000"/>
          <w:szCs w:val="24"/>
        </w:rPr>
        <w:t xml:space="preserve">Emtricitabine: </w:t>
      </w:r>
      <w:r w:rsidRPr="000E1BC3">
        <w:rPr>
          <w:color w:val="000000"/>
          <w:szCs w:val="24"/>
        </w:rPr>
        <w:t>No evidence of embryofoetal toxicity or teratogenicity was observed in mice or rabbits at respective emtricitabine exposures (AUC) of 50 and 130 fold the clinical exposure.  Impaired weight gain observed in pregnant rabbits at doses resulting in emtricitabine exposures (AUC) at least 33 times the clinical exposure was not associated with any adverse fetal effects.</w:t>
      </w:r>
    </w:p>
    <w:p w:rsidR="00A6786A" w:rsidRPr="000E1BC3" w:rsidRDefault="00A6786A" w:rsidP="00A6786A">
      <w:pPr>
        <w:pStyle w:val="Text10"/>
      </w:pPr>
      <w:r w:rsidRPr="000E1BC3">
        <w:rPr>
          <w:b/>
          <w:i/>
        </w:rPr>
        <w:t>Tenofovir Alafenamide</w:t>
      </w:r>
      <w:r w:rsidRPr="000E1BC3">
        <w:t>: Embryofetal development studies performed in rats and rabbits revealed no evidence of embryolethality, fetotoxicity or teratogenicity due to TAF. The embryo-fetal NOAELs in rats and rabbits occurred at TAF exposures (AUC) similar to and 53 times higher than, respectively, the exposure in humans at the recommended daily dose.</w:t>
      </w:r>
    </w:p>
    <w:p w:rsidR="00A6786A" w:rsidRPr="000E1BC3" w:rsidRDefault="00A6786A" w:rsidP="00706577">
      <w:pPr>
        <w:numPr>
          <w:ilvl w:val="0"/>
          <w:numId w:val="20"/>
        </w:numPr>
        <w:spacing w:before="120" w:after="120"/>
        <w:ind w:left="357" w:hanging="357"/>
        <w:jc w:val="both"/>
        <w:rPr>
          <w:rFonts w:ascii="Times New Roman" w:hAnsi="Times New Roman"/>
          <w:b/>
          <w:noProof/>
          <w:sz w:val="24"/>
          <w:szCs w:val="24"/>
        </w:rPr>
      </w:pPr>
      <w:r w:rsidRPr="000E1BC3">
        <w:rPr>
          <w:rFonts w:ascii="Times New Roman" w:hAnsi="Times New Roman"/>
          <w:b/>
          <w:noProof/>
          <w:sz w:val="24"/>
          <w:szCs w:val="24"/>
        </w:rPr>
        <w:t>Use in Lactation</w:t>
      </w:r>
    </w:p>
    <w:p w:rsidR="00A6786A" w:rsidRPr="000E1BC3" w:rsidRDefault="00A6786A" w:rsidP="00A6786A">
      <w:pPr>
        <w:pStyle w:val="Default"/>
        <w:rPr>
          <w:color w:val="auto"/>
        </w:rPr>
      </w:pPr>
      <w:r w:rsidRPr="000E1BC3">
        <w:rPr>
          <w:color w:val="auto"/>
          <w:lang w:val="en-US" w:eastAsia="en-US"/>
        </w:rPr>
        <w:t>In animal studies, BIC was detected in the plasma of nursing rat pups likely due to the presence of BIC in milk, without effects on nursing pups</w:t>
      </w:r>
      <w:r w:rsidR="00801255">
        <w:rPr>
          <w:color w:val="auto"/>
          <w:lang w:val="en-US" w:eastAsia="en-US"/>
        </w:rPr>
        <w:t xml:space="preserve"> </w:t>
      </w:r>
      <w:r w:rsidR="00801255" w:rsidRPr="00801255">
        <w:rPr>
          <w:color w:val="auto"/>
          <w:lang w:val="en-US" w:eastAsia="en-US"/>
        </w:rPr>
        <w:t>at maternal exposures 30 times higher exposures (AUC) than in humans at the recommended dose of 50 mg BIC in BIKTARVY</w:t>
      </w:r>
      <w:r w:rsidRPr="000E1BC3">
        <w:rPr>
          <w:color w:val="auto"/>
          <w:lang w:val="en-US" w:eastAsia="en-US"/>
        </w:rPr>
        <w:t>. In animal studies it has been shown that tenofovir is secreted into milk. It is not known whether BIC or TAF is secreted in human milk. In humans, samples of breast milk obtained from five HIV-1 infected mothers given TRUVADA (TDF/FTC) show that FTC is secreted in human milk at estimated neonatal concentrations 3 to 12 times higher than the FTC IC</w:t>
      </w:r>
      <w:r w:rsidRPr="000E1BC3">
        <w:rPr>
          <w:color w:val="auto"/>
          <w:vertAlign w:val="subscript"/>
          <w:lang w:val="en-US" w:eastAsia="en-US"/>
        </w:rPr>
        <w:t>50</w:t>
      </w:r>
      <w:r w:rsidRPr="000E1BC3">
        <w:rPr>
          <w:color w:val="auto"/>
          <w:lang w:val="en-US" w:eastAsia="en-US"/>
        </w:rPr>
        <w:t xml:space="preserve"> but 3 to 12 times lower than the C</w:t>
      </w:r>
      <w:r w:rsidRPr="000E1BC3">
        <w:rPr>
          <w:color w:val="auto"/>
          <w:vertAlign w:val="subscript"/>
          <w:lang w:val="en-US" w:eastAsia="en-US"/>
        </w:rPr>
        <w:t>min</w:t>
      </w:r>
      <w:r w:rsidRPr="000E1BC3">
        <w:rPr>
          <w:color w:val="auto"/>
          <w:lang w:val="en-US" w:eastAsia="en-US"/>
        </w:rPr>
        <w:t xml:space="preserve"> achieved from oral administration of FTC. Breastfeeding infants whose mothers are being treated with FTC may be at risk for developing viral resistance to FTC. Other FTC-associated risks in infants breastfed by mothers being treated with FTC are unknown. </w:t>
      </w:r>
    </w:p>
    <w:p w:rsidR="00A6786A" w:rsidRPr="000E1BC3" w:rsidRDefault="00A6786A" w:rsidP="00A6786A">
      <w:pPr>
        <w:jc w:val="both"/>
        <w:rPr>
          <w:rFonts w:ascii="Times New Roman" w:hAnsi="Times New Roman"/>
          <w:noProof/>
          <w:sz w:val="24"/>
          <w:szCs w:val="24"/>
        </w:rPr>
      </w:pPr>
    </w:p>
    <w:p w:rsidR="00A6786A" w:rsidRDefault="00A6786A" w:rsidP="00A6786A">
      <w:pPr>
        <w:jc w:val="both"/>
        <w:rPr>
          <w:rFonts w:ascii="Times New Roman" w:hAnsi="Times New Roman"/>
          <w:noProof/>
          <w:sz w:val="24"/>
          <w:szCs w:val="24"/>
        </w:rPr>
      </w:pPr>
      <w:r w:rsidRPr="000E1BC3">
        <w:rPr>
          <w:rFonts w:ascii="Times New Roman" w:hAnsi="Times New Roman"/>
          <w:noProof/>
          <w:sz w:val="24"/>
          <w:szCs w:val="24"/>
        </w:rPr>
        <w:t xml:space="preserve">Because of the potential for both HIV transmission and for serious adverse events in nursing infants, mothers should be instructed not to breast feed if they are receiving </w:t>
      </w:r>
      <w:r w:rsidR="002F43D2">
        <w:rPr>
          <w:rFonts w:ascii="Times New Roman" w:hAnsi="Times New Roman"/>
          <w:noProof/>
          <w:sz w:val="24"/>
          <w:szCs w:val="24"/>
        </w:rPr>
        <w:t>BIKTARVY</w:t>
      </w:r>
      <w:r w:rsidRPr="000E1BC3">
        <w:rPr>
          <w:rFonts w:ascii="Times New Roman" w:hAnsi="Times New Roman"/>
          <w:noProof/>
          <w:sz w:val="24"/>
          <w:szCs w:val="24"/>
        </w:rPr>
        <w:t xml:space="preserve">.  </w:t>
      </w:r>
    </w:p>
    <w:p w:rsidR="002453A6" w:rsidRDefault="002453A6" w:rsidP="00A6786A">
      <w:pPr>
        <w:jc w:val="both"/>
        <w:rPr>
          <w:rFonts w:ascii="Times New Roman" w:hAnsi="Times New Roman"/>
          <w:noProof/>
          <w:sz w:val="24"/>
          <w:szCs w:val="24"/>
        </w:rPr>
      </w:pPr>
    </w:p>
    <w:p w:rsidR="003C3ADF" w:rsidRDefault="003C3ADF" w:rsidP="00F279CD">
      <w:pPr>
        <w:spacing w:after="120"/>
        <w:rPr>
          <w:rFonts w:ascii="Times New Roman" w:hAnsi="Times New Roman"/>
          <w:b/>
          <w:noProof/>
          <w:sz w:val="24"/>
          <w:szCs w:val="24"/>
        </w:rPr>
      </w:pPr>
      <w:r>
        <w:rPr>
          <w:rFonts w:ascii="Times New Roman" w:hAnsi="Times New Roman"/>
          <w:b/>
          <w:noProof/>
          <w:sz w:val="24"/>
          <w:szCs w:val="24"/>
        </w:rPr>
        <w:t xml:space="preserve">4.7  </w:t>
      </w:r>
      <w:r w:rsidRPr="003C3ADF">
        <w:rPr>
          <w:rFonts w:ascii="Times New Roman" w:hAnsi="Times New Roman"/>
          <w:b/>
          <w:noProof/>
          <w:sz w:val="24"/>
          <w:szCs w:val="24"/>
        </w:rPr>
        <w:t>EFFECTS ON ABILITY TO DRIVE AND USE MACHINES</w:t>
      </w:r>
    </w:p>
    <w:p w:rsidR="003C3ADF" w:rsidRPr="000E1BC3" w:rsidRDefault="003C3ADF" w:rsidP="003C3ADF">
      <w:pPr>
        <w:rPr>
          <w:rFonts w:ascii="Times New Roman" w:hAnsi="Times New Roman"/>
          <w:sz w:val="24"/>
          <w:szCs w:val="24"/>
        </w:rPr>
      </w:pPr>
      <w:r w:rsidRPr="000E1BC3">
        <w:rPr>
          <w:rFonts w:ascii="Times New Roman" w:hAnsi="Times New Roman"/>
          <w:sz w:val="24"/>
          <w:szCs w:val="24"/>
          <w:lang w:val="en-US"/>
        </w:rPr>
        <w:t xml:space="preserve">No studies on the effects of </w:t>
      </w:r>
      <w:r w:rsidR="002F43D2">
        <w:rPr>
          <w:rFonts w:ascii="Times New Roman" w:hAnsi="Times New Roman"/>
          <w:sz w:val="24"/>
          <w:lang w:val="en-US"/>
        </w:rPr>
        <w:t>BIKTARVY</w:t>
      </w:r>
      <w:r w:rsidRPr="000E1BC3">
        <w:rPr>
          <w:rFonts w:ascii="Times New Roman" w:hAnsi="Times New Roman"/>
          <w:sz w:val="24"/>
          <w:szCs w:val="24"/>
          <w:lang w:val="en-US"/>
        </w:rPr>
        <w:t xml:space="preserve"> on the ability to drive and use machines have been performed</w:t>
      </w:r>
      <w:r w:rsidRPr="000E1BC3">
        <w:rPr>
          <w:rFonts w:ascii="Times New Roman" w:hAnsi="Times New Roman"/>
          <w:sz w:val="24"/>
          <w:szCs w:val="24"/>
        </w:rPr>
        <w:t>.</w:t>
      </w:r>
    </w:p>
    <w:p w:rsidR="003C3ADF" w:rsidRDefault="003C3ADF" w:rsidP="00F279CD">
      <w:pPr>
        <w:spacing w:after="120"/>
        <w:rPr>
          <w:rFonts w:ascii="Times New Roman" w:hAnsi="Times New Roman"/>
          <w:b/>
          <w:noProof/>
          <w:sz w:val="24"/>
          <w:szCs w:val="24"/>
        </w:rPr>
      </w:pPr>
    </w:p>
    <w:p w:rsidR="00A6786A" w:rsidRPr="000E1BC3" w:rsidRDefault="00B95F7C" w:rsidP="00F279CD">
      <w:pPr>
        <w:spacing w:after="120"/>
        <w:rPr>
          <w:rFonts w:ascii="Times New Roman" w:hAnsi="Times New Roman"/>
          <w:b/>
          <w:noProof/>
          <w:sz w:val="24"/>
          <w:szCs w:val="24"/>
        </w:rPr>
      </w:pPr>
      <w:r w:rsidRPr="000E1BC3">
        <w:rPr>
          <w:rFonts w:ascii="Times New Roman" w:hAnsi="Times New Roman"/>
          <w:b/>
          <w:noProof/>
          <w:sz w:val="24"/>
          <w:szCs w:val="24"/>
        </w:rPr>
        <w:t>4.</w:t>
      </w:r>
      <w:r w:rsidR="00F54034">
        <w:rPr>
          <w:rFonts w:ascii="Times New Roman" w:hAnsi="Times New Roman"/>
          <w:b/>
          <w:noProof/>
          <w:sz w:val="24"/>
          <w:szCs w:val="24"/>
        </w:rPr>
        <w:t>8</w:t>
      </w:r>
      <w:r w:rsidR="00F54034" w:rsidRPr="000E1BC3">
        <w:rPr>
          <w:rFonts w:ascii="Times New Roman" w:hAnsi="Times New Roman"/>
          <w:b/>
          <w:noProof/>
          <w:sz w:val="24"/>
          <w:szCs w:val="24"/>
        </w:rPr>
        <w:t xml:space="preserve"> </w:t>
      </w:r>
      <w:r w:rsidRPr="000E1BC3">
        <w:rPr>
          <w:rFonts w:ascii="Times New Roman" w:hAnsi="Times New Roman"/>
          <w:b/>
          <w:noProof/>
          <w:sz w:val="24"/>
          <w:szCs w:val="24"/>
        </w:rPr>
        <w:t>ADVERSE EFFECTS</w:t>
      </w:r>
      <w:r w:rsidR="00F54034">
        <w:rPr>
          <w:rFonts w:ascii="Times New Roman" w:hAnsi="Times New Roman"/>
          <w:b/>
          <w:noProof/>
          <w:sz w:val="24"/>
          <w:szCs w:val="24"/>
        </w:rPr>
        <w:t xml:space="preserve"> </w:t>
      </w:r>
      <w:r w:rsidR="00F54034" w:rsidRPr="00F54034">
        <w:rPr>
          <w:rFonts w:ascii="Times New Roman" w:hAnsi="Times New Roman"/>
          <w:b/>
          <w:noProof/>
          <w:sz w:val="24"/>
          <w:szCs w:val="24"/>
        </w:rPr>
        <w:t>(UNDESIRABLE EFFECTS)</w:t>
      </w:r>
    </w:p>
    <w:p w:rsidR="00B95F7C" w:rsidRPr="000E1BC3" w:rsidRDefault="00B95F7C" w:rsidP="00B95F7C">
      <w:pPr>
        <w:outlineLvl w:val="0"/>
        <w:rPr>
          <w:rFonts w:ascii="Times New Roman" w:hAnsi="Times New Roman"/>
          <w:noProof/>
          <w:sz w:val="24"/>
          <w:szCs w:val="24"/>
        </w:rPr>
      </w:pPr>
      <w:r w:rsidRPr="000E1BC3">
        <w:rPr>
          <w:rFonts w:ascii="Times New Roman" w:hAnsi="Times New Roman"/>
          <w:noProof/>
          <w:sz w:val="24"/>
          <w:szCs w:val="24"/>
        </w:rPr>
        <w:t xml:space="preserve">As </w:t>
      </w:r>
      <w:r w:rsidR="002F43D2">
        <w:rPr>
          <w:rFonts w:ascii="Times New Roman" w:hAnsi="Times New Roman"/>
          <w:sz w:val="24"/>
          <w:lang w:val="en-US"/>
        </w:rPr>
        <w:t>BIKTARVY</w:t>
      </w:r>
      <w:r w:rsidRPr="000E1BC3">
        <w:rPr>
          <w:rFonts w:ascii="Times New Roman" w:hAnsi="Times New Roman"/>
          <w:noProof/>
          <w:sz w:val="24"/>
          <w:szCs w:val="24"/>
        </w:rPr>
        <w:t xml:space="preserve"> contains BIC, </w:t>
      </w:r>
      <w:r w:rsidRPr="000E1BC3">
        <w:rPr>
          <w:rFonts w:ascii="Times New Roman" w:hAnsi="Times New Roman"/>
          <w:bCs/>
          <w:noProof/>
          <w:sz w:val="24"/>
          <w:szCs w:val="24"/>
        </w:rPr>
        <w:t>FTC</w:t>
      </w:r>
      <w:r w:rsidRPr="000E1BC3">
        <w:rPr>
          <w:rFonts w:ascii="Times New Roman" w:hAnsi="Times New Roman"/>
          <w:noProof/>
          <w:sz w:val="24"/>
          <w:szCs w:val="24"/>
        </w:rPr>
        <w:t xml:space="preserve">, and TAF adverse reactions associated with these individual antiretrovial agents may be expected to occur with the fixed combination tablet.  </w:t>
      </w:r>
    </w:p>
    <w:p w:rsidR="00D3190F" w:rsidRDefault="00D3190F" w:rsidP="00B95F7C">
      <w:pPr>
        <w:autoSpaceDE w:val="0"/>
        <w:autoSpaceDN w:val="0"/>
        <w:adjustRightInd w:val="0"/>
        <w:rPr>
          <w:rFonts w:ascii="Times New Roman" w:hAnsi="Times New Roman"/>
          <w:bCs/>
          <w:sz w:val="24"/>
          <w:szCs w:val="24"/>
          <w:lang w:val="en-US"/>
        </w:rPr>
      </w:pPr>
    </w:p>
    <w:p w:rsidR="00DD64CE" w:rsidRPr="000E1BC3" w:rsidRDefault="00DD64CE" w:rsidP="00B95F7C">
      <w:pPr>
        <w:autoSpaceDE w:val="0"/>
        <w:autoSpaceDN w:val="0"/>
        <w:adjustRightInd w:val="0"/>
        <w:rPr>
          <w:rFonts w:ascii="Times New Roman" w:hAnsi="Times New Roman"/>
          <w:bCs/>
          <w:sz w:val="24"/>
          <w:szCs w:val="24"/>
          <w:lang w:val="en-US"/>
        </w:rPr>
      </w:pPr>
    </w:p>
    <w:p w:rsidR="00B95F7C" w:rsidRPr="000E1BC3" w:rsidRDefault="00B95F7C" w:rsidP="00706577">
      <w:pPr>
        <w:numPr>
          <w:ilvl w:val="0"/>
          <w:numId w:val="20"/>
        </w:numPr>
        <w:autoSpaceDE w:val="0"/>
        <w:autoSpaceDN w:val="0"/>
        <w:adjustRightInd w:val="0"/>
        <w:spacing w:before="120" w:after="120"/>
        <w:ind w:left="357" w:hanging="357"/>
        <w:rPr>
          <w:rFonts w:ascii="Times New Roman" w:hAnsi="Times New Roman"/>
          <w:b/>
          <w:bCs/>
          <w:sz w:val="24"/>
          <w:szCs w:val="24"/>
          <w:lang w:val="en-US"/>
        </w:rPr>
      </w:pPr>
      <w:r w:rsidRPr="000E1BC3">
        <w:rPr>
          <w:rFonts w:ascii="Times New Roman" w:hAnsi="Times New Roman"/>
          <w:b/>
          <w:bCs/>
          <w:sz w:val="24"/>
          <w:szCs w:val="24"/>
          <w:lang w:val="en-US"/>
        </w:rPr>
        <w:lastRenderedPageBreak/>
        <w:t>Experience from Clinical Studies in Treatment-Naïve Patients</w:t>
      </w:r>
    </w:p>
    <w:p w:rsidR="00B95F7C" w:rsidRPr="000E1BC3" w:rsidRDefault="00B95F7C" w:rsidP="00B95F7C">
      <w:pPr>
        <w:autoSpaceDE w:val="0"/>
        <w:autoSpaceDN w:val="0"/>
        <w:adjustRightInd w:val="0"/>
        <w:rPr>
          <w:rFonts w:ascii="Times New Roman" w:hAnsi="Times New Roman"/>
          <w:bCs/>
          <w:sz w:val="24"/>
          <w:szCs w:val="24"/>
          <w:lang w:val="en-US"/>
        </w:rPr>
      </w:pPr>
      <w:r w:rsidRPr="000E1BC3">
        <w:rPr>
          <w:rFonts w:ascii="Times New Roman" w:hAnsi="Times New Roman"/>
          <w:bCs/>
          <w:sz w:val="24"/>
          <w:szCs w:val="24"/>
          <w:lang w:val="en-US"/>
        </w:rPr>
        <w:t xml:space="preserve">Assessment of adverse reactions is based on pooled data from two 48-week controlled clinical studies (Study 1489 and Study 1490) in which 1274 treatment-naïve patients received </w:t>
      </w:r>
      <w:r w:rsidR="002F43D2">
        <w:rPr>
          <w:rFonts w:ascii="Times New Roman" w:hAnsi="Times New Roman"/>
          <w:bCs/>
          <w:sz w:val="24"/>
          <w:szCs w:val="24"/>
          <w:lang w:val="en-US"/>
        </w:rPr>
        <w:t>BIKTARVY</w:t>
      </w:r>
      <w:r w:rsidRPr="000E1BC3">
        <w:rPr>
          <w:rFonts w:ascii="Times New Roman" w:hAnsi="Times New Roman"/>
          <w:bCs/>
          <w:sz w:val="24"/>
          <w:szCs w:val="24"/>
          <w:lang w:val="en-US"/>
        </w:rPr>
        <w:t xml:space="preserve"> (N=634), abacavir (ABC)/DTG/lamivudine (3TC) (N=315) or dolutegravir (DTG) + FTC/TAF (N=325).</w:t>
      </w:r>
    </w:p>
    <w:p w:rsidR="00B95F7C" w:rsidRPr="000E1BC3" w:rsidRDefault="00B95F7C" w:rsidP="00B95F7C">
      <w:pPr>
        <w:autoSpaceDE w:val="0"/>
        <w:autoSpaceDN w:val="0"/>
        <w:adjustRightInd w:val="0"/>
        <w:rPr>
          <w:rFonts w:ascii="Times New Roman" w:hAnsi="Times New Roman"/>
          <w:bCs/>
          <w:sz w:val="24"/>
          <w:szCs w:val="24"/>
          <w:lang w:val="en-US"/>
        </w:rPr>
      </w:pPr>
    </w:p>
    <w:p w:rsidR="00B95F7C" w:rsidRPr="000E1BC3" w:rsidRDefault="00B95F7C" w:rsidP="00B95F7C">
      <w:pPr>
        <w:autoSpaceDE w:val="0"/>
        <w:autoSpaceDN w:val="0"/>
        <w:adjustRightInd w:val="0"/>
        <w:rPr>
          <w:rFonts w:ascii="Times New Roman" w:hAnsi="Times New Roman"/>
          <w:bCs/>
          <w:sz w:val="24"/>
          <w:szCs w:val="24"/>
          <w:lang w:val="en-US"/>
        </w:rPr>
      </w:pPr>
      <w:r w:rsidRPr="000E1BC3">
        <w:rPr>
          <w:rFonts w:ascii="Times New Roman" w:hAnsi="Times New Roman"/>
          <w:bCs/>
          <w:sz w:val="24"/>
          <w:szCs w:val="24"/>
          <w:lang w:val="en-US"/>
        </w:rPr>
        <w:t>The most common adverse reaction</w:t>
      </w:r>
      <w:r w:rsidR="00394A2D">
        <w:rPr>
          <w:rFonts w:ascii="Times New Roman" w:hAnsi="Times New Roman"/>
          <w:bCs/>
          <w:sz w:val="24"/>
          <w:szCs w:val="24"/>
          <w:lang w:val="en-US"/>
        </w:rPr>
        <w:t>s</w:t>
      </w:r>
      <w:r w:rsidRPr="000E1BC3">
        <w:rPr>
          <w:rFonts w:ascii="Times New Roman" w:hAnsi="Times New Roman"/>
          <w:bCs/>
          <w:sz w:val="24"/>
          <w:szCs w:val="24"/>
          <w:lang w:val="en-US"/>
        </w:rPr>
        <w:t xml:space="preserve"> (all Grades) and reported in ≥ 5% of patients in the </w:t>
      </w:r>
      <w:r w:rsidR="002F43D2">
        <w:rPr>
          <w:rFonts w:ascii="Times New Roman" w:hAnsi="Times New Roman"/>
          <w:bCs/>
          <w:sz w:val="24"/>
          <w:szCs w:val="24"/>
          <w:lang w:val="en-US"/>
        </w:rPr>
        <w:t>BIKTARVY</w:t>
      </w:r>
      <w:r w:rsidRPr="000E1BC3">
        <w:rPr>
          <w:rFonts w:ascii="Times New Roman" w:hAnsi="Times New Roman"/>
          <w:bCs/>
          <w:sz w:val="24"/>
          <w:szCs w:val="24"/>
          <w:lang w:val="en-US"/>
        </w:rPr>
        <w:t xml:space="preserve"> group were diarrhoea and headache. The proportion of subjects who discontinued treatment with </w:t>
      </w:r>
      <w:r w:rsidR="002F43D2">
        <w:rPr>
          <w:rFonts w:ascii="Times New Roman" w:hAnsi="Times New Roman"/>
          <w:bCs/>
          <w:sz w:val="24"/>
          <w:szCs w:val="24"/>
          <w:lang w:val="en-US"/>
        </w:rPr>
        <w:t>BIKTARVY</w:t>
      </w:r>
      <w:r w:rsidRPr="000E1BC3">
        <w:rPr>
          <w:rFonts w:ascii="Times New Roman" w:hAnsi="Times New Roman"/>
          <w:bCs/>
          <w:sz w:val="24"/>
          <w:szCs w:val="24"/>
          <w:lang w:val="en-US"/>
        </w:rPr>
        <w:t>, ABC/DTG/ lamivudine [3TC]), or DTG + FTC/TAF</w:t>
      </w:r>
      <w:r w:rsidRPr="000E1BC3" w:rsidDel="00E643B7">
        <w:rPr>
          <w:rFonts w:ascii="Times New Roman" w:hAnsi="Times New Roman"/>
          <w:bCs/>
          <w:sz w:val="24"/>
          <w:szCs w:val="24"/>
          <w:lang w:val="en-US"/>
        </w:rPr>
        <w:t xml:space="preserve"> </w:t>
      </w:r>
      <w:r w:rsidRPr="000E1BC3">
        <w:rPr>
          <w:rFonts w:ascii="Times New Roman" w:hAnsi="Times New Roman"/>
          <w:bCs/>
          <w:sz w:val="24"/>
          <w:szCs w:val="24"/>
          <w:lang w:val="en-US"/>
        </w:rPr>
        <w:t xml:space="preserve">due to adverse events, regardless of severity, was 1%, 1%, and &lt;1%, respectively. Table </w:t>
      </w:r>
      <w:r w:rsidR="00D3190F" w:rsidRPr="000E1BC3">
        <w:rPr>
          <w:rFonts w:ascii="Times New Roman" w:hAnsi="Times New Roman"/>
          <w:bCs/>
          <w:sz w:val="24"/>
          <w:szCs w:val="24"/>
          <w:lang w:val="en-US"/>
        </w:rPr>
        <w:t>5</w:t>
      </w:r>
      <w:r w:rsidRPr="000E1BC3">
        <w:rPr>
          <w:rFonts w:ascii="Times New Roman" w:hAnsi="Times New Roman"/>
          <w:bCs/>
          <w:sz w:val="24"/>
          <w:szCs w:val="24"/>
          <w:lang w:val="en-US"/>
        </w:rPr>
        <w:t xml:space="preserve"> displays the frequency of adverse reactions (all Grades) greater than or equal to 3% in the </w:t>
      </w:r>
      <w:r w:rsidR="002F43D2">
        <w:rPr>
          <w:rFonts w:ascii="Times New Roman" w:hAnsi="Times New Roman"/>
          <w:bCs/>
          <w:sz w:val="24"/>
          <w:szCs w:val="24"/>
          <w:lang w:val="en-US"/>
        </w:rPr>
        <w:t>BIKTARVY</w:t>
      </w:r>
      <w:r w:rsidRPr="000E1BC3">
        <w:rPr>
          <w:rFonts w:ascii="Times New Roman" w:hAnsi="Times New Roman"/>
          <w:bCs/>
          <w:sz w:val="24"/>
          <w:szCs w:val="24"/>
          <w:lang w:val="en-US"/>
        </w:rPr>
        <w:t xml:space="preserve"> group.</w:t>
      </w:r>
    </w:p>
    <w:p w:rsidR="00336812" w:rsidRPr="000E1BC3" w:rsidRDefault="00336812" w:rsidP="00B95F7C">
      <w:pPr>
        <w:autoSpaceDE w:val="0"/>
        <w:autoSpaceDN w:val="0"/>
        <w:adjustRightInd w:val="0"/>
        <w:rPr>
          <w:rFonts w:ascii="Times New Roman" w:hAnsi="Times New Roman"/>
          <w:b/>
          <w:bCs/>
          <w:i/>
          <w:sz w:val="24"/>
          <w:szCs w:val="24"/>
          <w:lang w:val="en-US"/>
        </w:rPr>
      </w:pPr>
    </w:p>
    <w:p w:rsidR="00B95F7C" w:rsidRPr="000E1BC3" w:rsidRDefault="00B95F7C" w:rsidP="00336812">
      <w:pPr>
        <w:pStyle w:val="Caption"/>
        <w:keepNext/>
        <w:keepLines/>
        <w:rPr>
          <w:rFonts w:ascii="Times New Roman" w:hAnsi="Times New Roman"/>
          <w:sz w:val="24"/>
          <w:szCs w:val="24"/>
          <w:lang w:val="en-AU"/>
        </w:rPr>
      </w:pPr>
      <w:r w:rsidRPr="000E1BC3">
        <w:rPr>
          <w:rFonts w:ascii="Times New Roman" w:hAnsi="Times New Roman"/>
          <w:sz w:val="24"/>
          <w:szCs w:val="24"/>
        </w:rPr>
        <w:t xml:space="preserve">Table </w:t>
      </w:r>
      <w:r w:rsidR="00D3190F" w:rsidRPr="000E1BC3">
        <w:rPr>
          <w:rFonts w:ascii="Times New Roman" w:hAnsi="Times New Roman"/>
          <w:sz w:val="24"/>
          <w:szCs w:val="24"/>
        </w:rPr>
        <w:t>5</w:t>
      </w:r>
      <w:r w:rsidRPr="000E1BC3">
        <w:rPr>
          <w:rFonts w:ascii="Times New Roman" w:hAnsi="Times New Roman"/>
          <w:sz w:val="24"/>
          <w:szCs w:val="24"/>
        </w:rPr>
        <w:t>.</w:t>
      </w:r>
      <w:r w:rsidRPr="000E1BC3">
        <w:rPr>
          <w:rFonts w:ascii="Times New Roman" w:hAnsi="Times New Roman"/>
          <w:sz w:val="24"/>
          <w:szCs w:val="24"/>
        </w:rPr>
        <w:tab/>
        <w:t>Adverse Drug Reactions</w:t>
      </w:r>
      <w:r w:rsidRPr="000E1BC3">
        <w:rPr>
          <w:rFonts w:ascii="Times New Roman" w:hAnsi="Times New Roman"/>
          <w:sz w:val="24"/>
          <w:szCs w:val="24"/>
          <w:vertAlign w:val="superscript"/>
        </w:rPr>
        <w:t>a</w:t>
      </w:r>
      <w:r w:rsidRPr="000E1BC3">
        <w:rPr>
          <w:rFonts w:ascii="Times New Roman" w:hAnsi="Times New Roman"/>
          <w:sz w:val="24"/>
          <w:szCs w:val="24"/>
        </w:rPr>
        <w:t xml:space="preserve"> (All Grades) Reported in ≥ 3% of HIV-1 Infected Treatment-Naïve Adults Receiving </w:t>
      </w:r>
      <w:r w:rsidR="002F43D2">
        <w:rPr>
          <w:rFonts w:ascii="Times New Roman" w:hAnsi="Times New Roman"/>
          <w:sz w:val="24"/>
          <w:szCs w:val="24"/>
        </w:rPr>
        <w:t>BIKTARVY</w:t>
      </w:r>
      <w:r w:rsidRPr="000E1BC3">
        <w:rPr>
          <w:rFonts w:ascii="Times New Roman" w:hAnsi="Times New Roman"/>
          <w:sz w:val="24"/>
          <w:szCs w:val="24"/>
        </w:rPr>
        <w:t xml:space="preserve"> in Studies 1489 and 1490</w:t>
      </w:r>
      <w:r w:rsidRPr="000E1BC3">
        <w:rPr>
          <w:rFonts w:ascii="Times New Roman" w:hAnsi="Times New Roman"/>
          <w:sz w:val="24"/>
          <w:szCs w:val="24"/>
          <w:lang w:val="en-AU"/>
        </w:rPr>
        <w:t xml:space="preserve"> (Week 48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496"/>
        <w:gridCol w:w="1563"/>
        <w:gridCol w:w="1575"/>
        <w:gridCol w:w="1375"/>
      </w:tblGrid>
      <w:tr w:rsidR="00B95F7C" w:rsidRPr="000E1BC3" w:rsidTr="00671FE1">
        <w:trPr>
          <w:cantSplit/>
          <w:tblHeader/>
        </w:trPr>
        <w:tc>
          <w:tcPr>
            <w:tcW w:w="2506" w:type="pct"/>
            <w:tcBorders>
              <w:top w:val="single" w:sz="12" w:space="0" w:color="auto"/>
              <w:left w:val="nil"/>
              <w:bottom w:val="single" w:sz="12" w:space="0" w:color="auto"/>
            </w:tcBorders>
            <w:shd w:val="clear" w:color="auto" w:fill="auto"/>
            <w:vAlign w:val="bottom"/>
          </w:tcPr>
          <w:p w:rsidR="00B95F7C" w:rsidRPr="000E1BC3" w:rsidRDefault="00B95F7C" w:rsidP="0033681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bCs/>
              </w:rPr>
            </w:pPr>
            <w:r w:rsidRPr="000E1BC3">
              <w:rPr>
                <w:rFonts w:ascii="Times New Roman" w:hAnsi="Times New Roman"/>
                <w:b/>
                <w:bCs/>
              </w:rPr>
              <w:br w:type="page"/>
            </w:r>
          </w:p>
        </w:tc>
        <w:tc>
          <w:tcPr>
            <w:tcW w:w="878" w:type="pct"/>
            <w:tcBorders>
              <w:top w:val="single" w:sz="12" w:space="0" w:color="auto"/>
              <w:bottom w:val="single" w:sz="12" w:space="0" w:color="auto"/>
            </w:tcBorders>
            <w:shd w:val="clear" w:color="auto" w:fill="auto"/>
          </w:tcPr>
          <w:p w:rsidR="00B95F7C" w:rsidRPr="000E1BC3" w:rsidRDefault="002F43D2" w:rsidP="00A276E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bCs/>
              </w:rPr>
            </w:pPr>
            <w:r>
              <w:rPr>
                <w:rFonts w:ascii="Times New Roman" w:hAnsi="Times New Roman"/>
                <w:b/>
                <w:bCs/>
              </w:rPr>
              <w:t>BIKTARVY</w:t>
            </w:r>
            <w:r w:rsidR="00B95F7C" w:rsidRPr="000E1BC3">
              <w:rPr>
                <w:rFonts w:ascii="Times New Roman" w:hAnsi="Times New Roman"/>
                <w:b/>
                <w:bCs/>
              </w:rPr>
              <w:br/>
            </w:r>
            <w:r w:rsidR="00B95F7C" w:rsidRPr="000E1BC3">
              <w:rPr>
                <w:rFonts w:ascii="Times New Roman" w:hAnsi="Times New Roman"/>
                <w:bCs/>
              </w:rPr>
              <w:t>N=</w:t>
            </w:r>
            <w:r w:rsidR="006D7674" w:rsidRPr="000E1BC3">
              <w:rPr>
                <w:rFonts w:ascii="Times New Roman" w:hAnsi="Times New Roman"/>
                <w:bCs/>
              </w:rPr>
              <w:t>634</w:t>
            </w:r>
            <w:r w:rsidR="006D7674" w:rsidRPr="000E1BC3">
              <w:rPr>
                <w:rFonts w:ascii="Times New Roman" w:hAnsi="Times New Roman"/>
                <w:bCs/>
                <w:vertAlign w:val="superscript"/>
              </w:rPr>
              <w:t>b</w:t>
            </w:r>
          </w:p>
        </w:tc>
        <w:tc>
          <w:tcPr>
            <w:tcW w:w="843" w:type="pct"/>
            <w:tcBorders>
              <w:top w:val="single" w:sz="12" w:space="0" w:color="auto"/>
              <w:bottom w:val="single" w:sz="12" w:space="0" w:color="auto"/>
            </w:tcBorders>
          </w:tcPr>
          <w:p w:rsidR="00B95F7C" w:rsidRPr="000E1BC3" w:rsidRDefault="00B95F7C" w:rsidP="0033681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bCs/>
              </w:rPr>
            </w:pPr>
            <w:r w:rsidRPr="000E1BC3">
              <w:rPr>
                <w:rFonts w:ascii="Times New Roman" w:hAnsi="Times New Roman"/>
                <w:b/>
                <w:bCs/>
              </w:rPr>
              <w:t>ABC/DTG/3TC</w:t>
            </w:r>
          </w:p>
          <w:p w:rsidR="00B95F7C" w:rsidRPr="000E1BC3" w:rsidRDefault="00B95F7C" w:rsidP="00A276E3">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bCs/>
              </w:rPr>
            </w:pPr>
            <w:r w:rsidRPr="000E1BC3">
              <w:rPr>
                <w:rFonts w:ascii="Times New Roman" w:hAnsi="Times New Roman"/>
                <w:bCs/>
              </w:rPr>
              <w:t>N=</w:t>
            </w:r>
            <w:r w:rsidR="006D7674" w:rsidRPr="000E1BC3">
              <w:rPr>
                <w:rFonts w:ascii="Times New Roman" w:hAnsi="Times New Roman"/>
                <w:bCs/>
              </w:rPr>
              <w:t>315</w:t>
            </w:r>
            <w:r w:rsidR="006D7674" w:rsidRPr="000E1BC3">
              <w:rPr>
                <w:rFonts w:ascii="Times New Roman" w:hAnsi="Times New Roman"/>
                <w:bCs/>
                <w:vertAlign w:val="superscript"/>
              </w:rPr>
              <w:t>c</w:t>
            </w:r>
          </w:p>
        </w:tc>
        <w:tc>
          <w:tcPr>
            <w:tcW w:w="773" w:type="pct"/>
            <w:tcBorders>
              <w:top w:val="single" w:sz="12" w:space="0" w:color="auto"/>
              <w:bottom w:val="single" w:sz="12" w:space="0" w:color="auto"/>
              <w:right w:val="nil"/>
            </w:tcBorders>
          </w:tcPr>
          <w:p w:rsidR="00B95F7C" w:rsidRPr="000E1BC3" w:rsidRDefault="00B95F7C" w:rsidP="008F1FA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rPr>
                <w:rFonts w:ascii="Times New Roman" w:hAnsi="Times New Roman"/>
                <w:b/>
                <w:bCs/>
              </w:rPr>
            </w:pPr>
            <w:r w:rsidRPr="000E1BC3">
              <w:rPr>
                <w:rFonts w:ascii="Times New Roman" w:hAnsi="Times New Roman"/>
                <w:b/>
                <w:bCs/>
              </w:rPr>
              <w:t>DTG+ FTC/TAF</w:t>
            </w:r>
            <w:r w:rsidRPr="000E1BC3">
              <w:rPr>
                <w:rFonts w:ascii="Times New Roman" w:hAnsi="Times New Roman"/>
                <w:bCs/>
              </w:rPr>
              <w:t xml:space="preserve"> N=</w:t>
            </w:r>
            <w:r w:rsidR="006D7674" w:rsidRPr="000E1BC3">
              <w:rPr>
                <w:rFonts w:ascii="Times New Roman" w:hAnsi="Times New Roman"/>
                <w:bCs/>
              </w:rPr>
              <w:t>325</w:t>
            </w:r>
            <w:r w:rsidR="006D7674" w:rsidRPr="000E1BC3">
              <w:rPr>
                <w:rFonts w:ascii="Times New Roman" w:hAnsi="Times New Roman"/>
                <w:bCs/>
                <w:vertAlign w:val="superscript"/>
              </w:rPr>
              <w:t>d</w:t>
            </w:r>
          </w:p>
        </w:tc>
      </w:tr>
      <w:tr w:rsidR="00B95F7C" w:rsidRPr="000E1BC3" w:rsidTr="00671FE1">
        <w:trPr>
          <w:cantSplit/>
        </w:trPr>
        <w:tc>
          <w:tcPr>
            <w:tcW w:w="2506" w:type="pct"/>
            <w:tcBorders>
              <w:top w:val="single" w:sz="12" w:space="0" w:color="auto"/>
              <w:left w:val="nil"/>
            </w:tcBorders>
            <w:shd w:val="clear" w:color="auto" w:fill="auto"/>
            <w:vAlign w:val="center"/>
          </w:tcPr>
          <w:p w:rsidR="00B95F7C" w:rsidRPr="000E1BC3" w:rsidRDefault="00B95F7C" w:rsidP="00336812">
            <w:pPr>
              <w:keepNext/>
              <w:keepLines/>
              <w:spacing w:before="60" w:after="60"/>
              <w:rPr>
                <w:rFonts w:ascii="Times New Roman" w:hAnsi="Times New Roman"/>
              </w:rPr>
            </w:pPr>
            <w:r w:rsidRPr="000E1BC3">
              <w:rPr>
                <w:rFonts w:ascii="Times New Roman" w:hAnsi="Times New Roman"/>
              </w:rPr>
              <w:t>GASTROINTESTINAL DISORDERS</w:t>
            </w:r>
          </w:p>
          <w:p w:rsidR="00B95F7C" w:rsidRPr="000E1BC3" w:rsidRDefault="00B95F7C" w:rsidP="00336812">
            <w:pPr>
              <w:keepNext/>
              <w:keepLines/>
              <w:tabs>
                <w:tab w:val="left" w:pos="695"/>
              </w:tabs>
              <w:spacing w:before="60" w:after="60"/>
              <w:ind w:left="695"/>
              <w:rPr>
                <w:rFonts w:ascii="Times New Roman" w:hAnsi="Times New Roman"/>
              </w:rPr>
            </w:pPr>
            <w:r w:rsidRPr="000E1BC3">
              <w:rPr>
                <w:rFonts w:ascii="Times New Roman" w:hAnsi="Times New Roman"/>
              </w:rPr>
              <w:t xml:space="preserve">Diarrhoea </w:t>
            </w:r>
          </w:p>
          <w:p w:rsidR="00B95F7C" w:rsidRPr="000E1BC3" w:rsidRDefault="00B95F7C" w:rsidP="00336812">
            <w:pPr>
              <w:keepNext/>
              <w:keepLines/>
              <w:tabs>
                <w:tab w:val="left" w:pos="695"/>
              </w:tabs>
              <w:spacing w:before="60" w:after="60"/>
              <w:ind w:left="695"/>
              <w:rPr>
                <w:rFonts w:ascii="Times New Roman" w:hAnsi="Times New Roman"/>
              </w:rPr>
            </w:pPr>
            <w:r w:rsidRPr="000E1BC3">
              <w:rPr>
                <w:rFonts w:ascii="Times New Roman" w:hAnsi="Times New Roman"/>
              </w:rPr>
              <w:t>Nausea</w:t>
            </w:r>
          </w:p>
        </w:tc>
        <w:tc>
          <w:tcPr>
            <w:tcW w:w="878" w:type="pct"/>
            <w:tcBorders>
              <w:top w:val="single" w:sz="12" w:space="0" w:color="auto"/>
            </w:tcBorders>
            <w:shd w:val="clear" w:color="auto" w:fill="auto"/>
            <w:vAlign w:val="bottom"/>
          </w:tcPr>
          <w:p w:rsidR="00B95F7C" w:rsidRPr="000E1BC3" w:rsidRDefault="00B95F7C" w:rsidP="00336812">
            <w:pPr>
              <w:keepNext/>
              <w:keepLines/>
              <w:spacing w:before="60" w:after="60"/>
              <w:jc w:val="center"/>
              <w:rPr>
                <w:rFonts w:ascii="Times New Roman" w:hAnsi="Times New Roman"/>
              </w:rPr>
            </w:pPr>
          </w:p>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5%</w:t>
            </w:r>
          </w:p>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4%</w:t>
            </w:r>
          </w:p>
        </w:tc>
        <w:tc>
          <w:tcPr>
            <w:tcW w:w="843" w:type="pct"/>
            <w:tcBorders>
              <w:top w:val="single" w:sz="12" w:space="0" w:color="auto"/>
            </w:tcBorders>
            <w:vAlign w:val="bottom"/>
          </w:tcPr>
          <w:p w:rsidR="00B95F7C" w:rsidRPr="000E1BC3" w:rsidRDefault="00B95F7C" w:rsidP="00336812">
            <w:pPr>
              <w:keepNext/>
              <w:keepLines/>
              <w:spacing w:before="60" w:after="60"/>
              <w:jc w:val="center"/>
              <w:rPr>
                <w:rFonts w:ascii="Times New Roman" w:hAnsi="Times New Roman"/>
              </w:rPr>
            </w:pPr>
          </w:p>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4%</w:t>
            </w:r>
          </w:p>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17%</w:t>
            </w:r>
          </w:p>
        </w:tc>
        <w:tc>
          <w:tcPr>
            <w:tcW w:w="773" w:type="pct"/>
            <w:tcBorders>
              <w:top w:val="single" w:sz="12" w:space="0" w:color="auto"/>
              <w:right w:val="nil"/>
            </w:tcBorders>
            <w:vAlign w:val="bottom"/>
          </w:tcPr>
          <w:p w:rsidR="00B95F7C" w:rsidRPr="000E1BC3" w:rsidRDefault="00B95F7C" w:rsidP="00336812">
            <w:pPr>
              <w:keepNext/>
              <w:keepLines/>
              <w:spacing w:before="60" w:after="60"/>
              <w:jc w:val="center"/>
              <w:rPr>
                <w:rFonts w:ascii="Times New Roman" w:hAnsi="Times New Roman"/>
              </w:rPr>
            </w:pPr>
          </w:p>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3%</w:t>
            </w:r>
          </w:p>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5%</w:t>
            </w:r>
          </w:p>
        </w:tc>
      </w:tr>
      <w:tr w:rsidR="00B95F7C" w:rsidRPr="000E1BC3" w:rsidTr="00671FE1">
        <w:trPr>
          <w:cantSplit/>
        </w:trPr>
        <w:tc>
          <w:tcPr>
            <w:tcW w:w="2506" w:type="pct"/>
            <w:tcBorders>
              <w:left w:val="nil"/>
              <w:bottom w:val="single" w:sz="4" w:space="0" w:color="auto"/>
            </w:tcBorders>
            <w:shd w:val="clear" w:color="auto" w:fill="auto"/>
            <w:vAlign w:val="center"/>
          </w:tcPr>
          <w:p w:rsidR="00B95F7C" w:rsidRPr="000E1BC3" w:rsidRDefault="00B95F7C" w:rsidP="00336812">
            <w:pPr>
              <w:keepNext/>
              <w:keepLines/>
              <w:spacing w:before="60" w:after="60"/>
              <w:rPr>
                <w:rFonts w:ascii="Times New Roman" w:hAnsi="Times New Roman"/>
              </w:rPr>
            </w:pPr>
            <w:r w:rsidRPr="000E1BC3">
              <w:rPr>
                <w:rFonts w:ascii="Times New Roman" w:hAnsi="Times New Roman"/>
              </w:rPr>
              <w:t>GENERAL DISORDERS AND ADMINISTRATION SITE CONDITIONS</w:t>
            </w:r>
          </w:p>
          <w:p w:rsidR="00B95F7C" w:rsidRPr="000E1BC3" w:rsidRDefault="00B95F7C" w:rsidP="00336812">
            <w:pPr>
              <w:keepNext/>
              <w:keepLines/>
              <w:tabs>
                <w:tab w:val="left" w:pos="740"/>
              </w:tabs>
              <w:spacing w:before="60" w:after="60"/>
              <w:ind w:left="720"/>
              <w:rPr>
                <w:rFonts w:ascii="Times New Roman" w:hAnsi="Times New Roman"/>
              </w:rPr>
            </w:pPr>
            <w:r w:rsidRPr="000E1BC3">
              <w:rPr>
                <w:rFonts w:ascii="Times New Roman" w:hAnsi="Times New Roman"/>
              </w:rPr>
              <w:t>Fatigue</w:t>
            </w:r>
          </w:p>
        </w:tc>
        <w:tc>
          <w:tcPr>
            <w:tcW w:w="878" w:type="pct"/>
            <w:tcBorders>
              <w:bottom w:val="single" w:sz="4" w:space="0" w:color="auto"/>
            </w:tcBorders>
            <w:shd w:val="clear" w:color="auto" w:fill="auto"/>
            <w:vAlign w:val="bottom"/>
          </w:tcPr>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3%</w:t>
            </w:r>
          </w:p>
        </w:tc>
        <w:tc>
          <w:tcPr>
            <w:tcW w:w="843" w:type="pct"/>
            <w:tcBorders>
              <w:bottom w:val="single" w:sz="4" w:space="0" w:color="auto"/>
            </w:tcBorders>
            <w:vAlign w:val="bottom"/>
          </w:tcPr>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3%</w:t>
            </w:r>
          </w:p>
        </w:tc>
        <w:tc>
          <w:tcPr>
            <w:tcW w:w="773" w:type="pct"/>
            <w:tcBorders>
              <w:bottom w:val="single" w:sz="4" w:space="0" w:color="auto"/>
              <w:right w:val="nil"/>
            </w:tcBorders>
            <w:vAlign w:val="bottom"/>
          </w:tcPr>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2%</w:t>
            </w:r>
          </w:p>
        </w:tc>
      </w:tr>
      <w:tr w:rsidR="00B95F7C" w:rsidRPr="000E1BC3" w:rsidTr="00671FE1">
        <w:trPr>
          <w:cantSplit/>
          <w:trHeight w:val="238"/>
        </w:trPr>
        <w:tc>
          <w:tcPr>
            <w:tcW w:w="2506" w:type="pct"/>
            <w:tcBorders>
              <w:left w:val="nil"/>
              <w:bottom w:val="single" w:sz="12" w:space="0" w:color="auto"/>
            </w:tcBorders>
            <w:shd w:val="clear" w:color="auto" w:fill="auto"/>
            <w:vAlign w:val="center"/>
          </w:tcPr>
          <w:p w:rsidR="00B95F7C" w:rsidRPr="000E1BC3" w:rsidRDefault="00B95F7C" w:rsidP="00336812">
            <w:pPr>
              <w:keepNext/>
              <w:keepLines/>
              <w:spacing w:before="60" w:after="60"/>
              <w:rPr>
                <w:rFonts w:ascii="Times New Roman" w:hAnsi="Times New Roman"/>
              </w:rPr>
            </w:pPr>
            <w:r w:rsidRPr="000E1BC3">
              <w:rPr>
                <w:rFonts w:ascii="Times New Roman" w:hAnsi="Times New Roman"/>
              </w:rPr>
              <w:t>NERVOUS SYSTEM DISORDERS</w:t>
            </w:r>
          </w:p>
          <w:p w:rsidR="00B95F7C" w:rsidRPr="000E1BC3" w:rsidRDefault="00B95F7C" w:rsidP="00336812">
            <w:pPr>
              <w:keepNext/>
              <w:keepLines/>
              <w:spacing w:before="60" w:after="60"/>
              <w:ind w:left="720"/>
              <w:rPr>
                <w:rFonts w:ascii="Times New Roman" w:hAnsi="Times New Roman"/>
              </w:rPr>
            </w:pPr>
            <w:r w:rsidRPr="000E1BC3">
              <w:rPr>
                <w:rFonts w:ascii="Times New Roman" w:hAnsi="Times New Roman"/>
              </w:rPr>
              <w:t>Headache</w:t>
            </w:r>
          </w:p>
        </w:tc>
        <w:tc>
          <w:tcPr>
            <w:tcW w:w="878" w:type="pct"/>
            <w:tcBorders>
              <w:bottom w:val="single" w:sz="12" w:space="0" w:color="auto"/>
            </w:tcBorders>
            <w:shd w:val="clear" w:color="auto" w:fill="auto"/>
            <w:vAlign w:val="bottom"/>
          </w:tcPr>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5%</w:t>
            </w:r>
          </w:p>
        </w:tc>
        <w:tc>
          <w:tcPr>
            <w:tcW w:w="843" w:type="pct"/>
            <w:tcBorders>
              <w:bottom w:val="single" w:sz="12" w:space="0" w:color="auto"/>
            </w:tcBorders>
            <w:vAlign w:val="bottom"/>
          </w:tcPr>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5%</w:t>
            </w:r>
          </w:p>
        </w:tc>
        <w:tc>
          <w:tcPr>
            <w:tcW w:w="773" w:type="pct"/>
            <w:tcBorders>
              <w:bottom w:val="single" w:sz="12" w:space="0" w:color="auto"/>
              <w:right w:val="nil"/>
            </w:tcBorders>
            <w:vAlign w:val="bottom"/>
          </w:tcPr>
          <w:p w:rsidR="00B95F7C" w:rsidRPr="000E1BC3" w:rsidRDefault="00B95F7C" w:rsidP="00336812">
            <w:pPr>
              <w:keepNext/>
              <w:keepLines/>
              <w:spacing w:before="60" w:after="60"/>
              <w:jc w:val="center"/>
              <w:rPr>
                <w:rFonts w:ascii="Times New Roman" w:hAnsi="Times New Roman"/>
              </w:rPr>
            </w:pPr>
            <w:r w:rsidRPr="000E1BC3">
              <w:rPr>
                <w:rFonts w:ascii="Times New Roman" w:hAnsi="Times New Roman"/>
              </w:rPr>
              <w:t>3%</w:t>
            </w:r>
          </w:p>
        </w:tc>
      </w:tr>
    </w:tbl>
    <w:p w:rsidR="00B95F7C" w:rsidRPr="000E1BC3" w:rsidRDefault="00B95F7C" w:rsidP="0033681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rPr>
          <w:rFonts w:ascii="Times New Roman" w:hAnsi="Times New Roman"/>
          <w:sz w:val="16"/>
          <w:szCs w:val="16"/>
        </w:rPr>
      </w:pPr>
      <w:r w:rsidRPr="000E1BC3">
        <w:rPr>
          <w:rFonts w:ascii="Times New Roman" w:hAnsi="Times New Roman"/>
          <w:sz w:val="16"/>
          <w:szCs w:val="16"/>
        </w:rPr>
        <w:t>a.</w:t>
      </w:r>
      <w:r w:rsidRPr="000E1BC3">
        <w:rPr>
          <w:rFonts w:ascii="Times New Roman" w:hAnsi="Times New Roman"/>
          <w:sz w:val="16"/>
          <w:szCs w:val="16"/>
        </w:rPr>
        <w:tab/>
        <w:t>Frequencies of adverse reactions are based on all adverse events attributed to study drugs by the investigator.</w:t>
      </w:r>
    </w:p>
    <w:p w:rsidR="00B95F7C" w:rsidRPr="000E1BC3" w:rsidRDefault="00B95F7C" w:rsidP="008F1FA7">
      <w:pPr>
        <w:keepNext/>
        <w:keepLines/>
        <w:spacing w:before="20"/>
        <w:ind w:firstLine="360"/>
        <w:rPr>
          <w:rFonts w:ascii="Times New Roman" w:hAnsi="Times New Roman"/>
          <w:sz w:val="16"/>
          <w:szCs w:val="16"/>
        </w:rPr>
      </w:pPr>
      <w:r w:rsidRPr="000E1BC3">
        <w:rPr>
          <w:rFonts w:ascii="Times New Roman" w:hAnsi="Times New Roman"/>
          <w:sz w:val="16"/>
          <w:szCs w:val="16"/>
        </w:rPr>
        <w:t xml:space="preserve">No adverse reactions Grade 2 or higher occurred in ≥ 1% of subjects treated with </w:t>
      </w:r>
      <w:r w:rsidR="002F43D2">
        <w:rPr>
          <w:rFonts w:ascii="Times New Roman" w:hAnsi="Times New Roman"/>
          <w:sz w:val="16"/>
          <w:szCs w:val="16"/>
        </w:rPr>
        <w:t>BIKTARVY</w:t>
      </w:r>
      <w:r w:rsidRPr="000E1BC3">
        <w:rPr>
          <w:rFonts w:ascii="Times New Roman" w:hAnsi="Times New Roman"/>
          <w:sz w:val="16"/>
          <w:szCs w:val="16"/>
        </w:rPr>
        <w:t>.</w:t>
      </w:r>
    </w:p>
    <w:p w:rsidR="00B95F7C" w:rsidRPr="000E1BC3" w:rsidRDefault="00BA21EB" w:rsidP="0033681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20"/>
        <w:ind w:left="360" w:hanging="360"/>
        <w:rPr>
          <w:rFonts w:ascii="Times New Roman" w:hAnsi="Times New Roman"/>
          <w:sz w:val="16"/>
          <w:szCs w:val="16"/>
        </w:rPr>
      </w:pPr>
      <w:r w:rsidRPr="000E1BC3">
        <w:rPr>
          <w:rFonts w:ascii="Times New Roman" w:hAnsi="Times New Roman"/>
          <w:sz w:val="16"/>
          <w:szCs w:val="16"/>
        </w:rPr>
        <w:t>b</w:t>
      </w:r>
      <w:r w:rsidR="00B95F7C" w:rsidRPr="000E1BC3">
        <w:rPr>
          <w:rFonts w:ascii="Times New Roman" w:hAnsi="Times New Roman"/>
          <w:sz w:val="16"/>
          <w:szCs w:val="16"/>
        </w:rPr>
        <w:t>.</w:t>
      </w:r>
      <w:r w:rsidR="00B95F7C" w:rsidRPr="000E1BC3">
        <w:rPr>
          <w:rFonts w:ascii="Times New Roman" w:hAnsi="Times New Roman"/>
          <w:sz w:val="16"/>
          <w:szCs w:val="16"/>
        </w:rPr>
        <w:tab/>
        <w:t>Pooled from Studies 14</w:t>
      </w:r>
      <w:r w:rsidR="00DA04DC">
        <w:rPr>
          <w:rFonts w:ascii="Times New Roman" w:hAnsi="Times New Roman"/>
          <w:sz w:val="16"/>
          <w:szCs w:val="16"/>
        </w:rPr>
        <w:t>8</w:t>
      </w:r>
      <w:r w:rsidR="00B95F7C" w:rsidRPr="000E1BC3">
        <w:rPr>
          <w:rFonts w:ascii="Times New Roman" w:hAnsi="Times New Roman"/>
          <w:sz w:val="16"/>
          <w:szCs w:val="16"/>
        </w:rPr>
        <w:t>9 and 149</w:t>
      </w:r>
      <w:r w:rsidR="00DA04DC">
        <w:rPr>
          <w:rFonts w:ascii="Times New Roman" w:hAnsi="Times New Roman"/>
          <w:sz w:val="16"/>
          <w:szCs w:val="16"/>
        </w:rPr>
        <w:t>0</w:t>
      </w:r>
      <w:r w:rsidR="00B95F7C" w:rsidRPr="000E1BC3">
        <w:rPr>
          <w:rFonts w:ascii="Times New Roman" w:hAnsi="Times New Roman"/>
          <w:sz w:val="16"/>
          <w:szCs w:val="16"/>
        </w:rPr>
        <w:t>.</w:t>
      </w:r>
    </w:p>
    <w:p w:rsidR="00B95F7C" w:rsidRPr="000E1BC3" w:rsidRDefault="00BA21EB" w:rsidP="0033681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20"/>
        <w:ind w:left="360" w:hanging="360"/>
        <w:rPr>
          <w:rFonts w:ascii="Times New Roman" w:hAnsi="Times New Roman"/>
          <w:sz w:val="16"/>
          <w:szCs w:val="16"/>
        </w:rPr>
      </w:pPr>
      <w:r w:rsidRPr="000E1BC3">
        <w:rPr>
          <w:rFonts w:ascii="Times New Roman" w:hAnsi="Times New Roman"/>
          <w:sz w:val="16"/>
          <w:szCs w:val="16"/>
        </w:rPr>
        <w:t>c</w:t>
      </w:r>
      <w:r w:rsidR="00B95F7C" w:rsidRPr="000E1BC3">
        <w:rPr>
          <w:rFonts w:ascii="Times New Roman" w:hAnsi="Times New Roman"/>
          <w:sz w:val="16"/>
          <w:szCs w:val="16"/>
        </w:rPr>
        <w:t xml:space="preserve">. </w:t>
      </w:r>
      <w:r w:rsidR="00B95F7C" w:rsidRPr="000E1BC3">
        <w:rPr>
          <w:rFonts w:ascii="Times New Roman" w:hAnsi="Times New Roman"/>
          <w:sz w:val="16"/>
          <w:szCs w:val="16"/>
        </w:rPr>
        <w:tab/>
        <w:t>Study 14</w:t>
      </w:r>
      <w:r w:rsidR="009F73B8">
        <w:rPr>
          <w:rFonts w:ascii="Times New Roman" w:hAnsi="Times New Roman"/>
          <w:sz w:val="16"/>
          <w:szCs w:val="16"/>
        </w:rPr>
        <w:t>8</w:t>
      </w:r>
      <w:r w:rsidR="00B95F7C" w:rsidRPr="000E1BC3">
        <w:rPr>
          <w:rFonts w:ascii="Times New Roman" w:hAnsi="Times New Roman"/>
          <w:sz w:val="16"/>
          <w:szCs w:val="16"/>
        </w:rPr>
        <w:t>9</w:t>
      </w:r>
    </w:p>
    <w:p w:rsidR="00B95F7C" w:rsidRPr="000E1BC3" w:rsidRDefault="00BA21EB" w:rsidP="0033681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20"/>
        <w:ind w:left="360" w:hanging="360"/>
        <w:rPr>
          <w:rFonts w:ascii="Times New Roman" w:hAnsi="Times New Roman"/>
          <w:sz w:val="16"/>
          <w:szCs w:val="16"/>
        </w:rPr>
      </w:pPr>
      <w:r w:rsidRPr="000E1BC3">
        <w:rPr>
          <w:rFonts w:ascii="Times New Roman" w:hAnsi="Times New Roman"/>
          <w:sz w:val="16"/>
          <w:szCs w:val="16"/>
        </w:rPr>
        <w:t>d</w:t>
      </w:r>
      <w:r w:rsidR="00B95F7C" w:rsidRPr="000E1BC3">
        <w:rPr>
          <w:rFonts w:ascii="Times New Roman" w:hAnsi="Times New Roman"/>
          <w:sz w:val="16"/>
          <w:szCs w:val="16"/>
        </w:rPr>
        <w:t>.</w:t>
      </w:r>
      <w:r w:rsidR="00B95F7C" w:rsidRPr="000E1BC3">
        <w:rPr>
          <w:rFonts w:ascii="Times New Roman" w:hAnsi="Times New Roman"/>
          <w:sz w:val="16"/>
          <w:szCs w:val="16"/>
        </w:rPr>
        <w:tab/>
        <w:t>Study 149</w:t>
      </w:r>
      <w:r w:rsidR="009F73B8">
        <w:rPr>
          <w:rFonts w:ascii="Times New Roman" w:hAnsi="Times New Roman"/>
          <w:sz w:val="16"/>
          <w:szCs w:val="16"/>
        </w:rPr>
        <w:t>0</w:t>
      </w:r>
    </w:p>
    <w:p w:rsidR="00B95F7C" w:rsidRPr="000E1BC3" w:rsidRDefault="00B95F7C" w:rsidP="00B95F7C">
      <w:pPr>
        <w:autoSpaceDE w:val="0"/>
        <w:autoSpaceDN w:val="0"/>
        <w:adjustRightInd w:val="0"/>
        <w:ind w:left="22" w:hanging="22"/>
        <w:rPr>
          <w:rFonts w:ascii="Times New Roman" w:hAnsi="Times New Roman"/>
          <w:bCs/>
          <w:sz w:val="24"/>
          <w:szCs w:val="24"/>
          <w:lang w:val="en-US"/>
        </w:rPr>
      </w:pPr>
    </w:p>
    <w:p w:rsidR="00B95F7C" w:rsidRDefault="00B95F7C" w:rsidP="009D06C2">
      <w:pPr>
        <w:autoSpaceDE w:val="0"/>
        <w:autoSpaceDN w:val="0"/>
        <w:adjustRightInd w:val="0"/>
        <w:rPr>
          <w:rFonts w:ascii="Times New Roman" w:hAnsi="Times New Roman"/>
          <w:bCs/>
          <w:sz w:val="24"/>
          <w:szCs w:val="24"/>
          <w:lang w:val="en-US"/>
        </w:rPr>
      </w:pPr>
      <w:r w:rsidRPr="000E1BC3">
        <w:rPr>
          <w:rFonts w:ascii="Times New Roman" w:hAnsi="Times New Roman"/>
          <w:bCs/>
          <w:sz w:val="24"/>
          <w:szCs w:val="24"/>
          <w:lang w:val="en-US"/>
        </w:rPr>
        <w:t xml:space="preserve">Additional adverse reactions occurring in less than 3% of subjects administered </w:t>
      </w:r>
      <w:r w:rsidR="002F43D2">
        <w:rPr>
          <w:rFonts w:ascii="Times New Roman" w:hAnsi="Times New Roman"/>
          <w:bCs/>
          <w:sz w:val="24"/>
          <w:szCs w:val="24"/>
          <w:lang w:val="en-US"/>
        </w:rPr>
        <w:t>BIKTARVY</w:t>
      </w:r>
      <w:r w:rsidRPr="000E1BC3">
        <w:rPr>
          <w:rFonts w:ascii="Times New Roman" w:hAnsi="Times New Roman"/>
          <w:bCs/>
          <w:sz w:val="24"/>
          <w:szCs w:val="24"/>
          <w:lang w:val="en-US"/>
        </w:rPr>
        <w:t xml:space="preserve"> in Studies 1489 and 1490 included vomiting, flatulence, dyspepsia, abdominal pain, and rash.</w:t>
      </w:r>
      <w:r w:rsidR="009D06C2">
        <w:rPr>
          <w:rFonts w:ascii="Times New Roman" w:hAnsi="Times New Roman"/>
          <w:bCs/>
          <w:sz w:val="24"/>
          <w:szCs w:val="24"/>
          <w:lang w:val="en-US"/>
        </w:rPr>
        <w:t xml:space="preserve"> </w:t>
      </w:r>
      <w:r w:rsidRPr="000E1BC3">
        <w:rPr>
          <w:rFonts w:ascii="Times New Roman" w:hAnsi="Times New Roman"/>
          <w:bCs/>
          <w:sz w:val="24"/>
          <w:szCs w:val="24"/>
          <w:lang w:val="en-US"/>
        </w:rPr>
        <w:t>The majority of adverse reactions occurred at severity Grade 1.</w:t>
      </w:r>
    </w:p>
    <w:p w:rsidR="009D06C2" w:rsidRDefault="009D06C2" w:rsidP="009D06C2">
      <w:pPr>
        <w:autoSpaceDE w:val="0"/>
        <w:autoSpaceDN w:val="0"/>
        <w:adjustRightInd w:val="0"/>
        <w:rPr>
          <w:rFonts w:ascii="Times New Roman" w:hAnsi="Times New Roman"/>
          <w:bCs/>
          <w:sz w:val="24"/>
          <w:szCs w:val="24"/>
          <w:lang w:val="en-US"/>
        </w:rPr>
      </w:pPr>
    </w:p>
    <w:p w:rsidR="00B95F7C" w:rsidRDefault="00B95F7C" w:rsidP="00706577">
      <w:pPr>
        <w:numPr>
          <w:ilvl w:val="0"/>
          <w:numId w:val="20"/>
        </w:numPr>
        <w:spacing w:before="120" w:after="120"/>
        <w:ind w:left="357" w:hanging="357"/>
        <w:rPr>
          <w:rFonts w:ascii="Times New Roman" w:hAnsi="Times New Roman"/>
          <w:b/>
          <w:sz w:val="24"/>
          <w:szCs w:val="24"/>
        </w:rPr>
      </w:pPr>
      <w:r w:rsidRPr="000E1BC3">
        <w:rPr>
          <w:rFonts w:ascii="Times New Roman" w:hAnsi="Times New Roman"/>
          <w:b/>
          <w:bCs/>
          <w:sz w:val="24"/>
          <w:szCs w:val="24"/>
        </w:rPr>
        <w:t>Experience from Clinical Studies in Virologically Suppressed Patients</w:t>
      </w:r>
      <w:r w:rsidRPr="000E1BC3">
        <w:rPr>
          <w:rFonts w:ascii="Times New Roman" w:hAnsi="Times New Roman"/>
          <w:b/>
          <w:sz w:val="24"/>
          <w:szCs w:val="24"/>
        </w:rPr>
        <w:t xml:space="preserve"> </w:t>
      </w:r>
    </w:p>
    <w:p w:rsidR="00B95F7C" w:rsidRPr="000E1BC3" w:rsidRDefault="00B95F7C" w:rsidP="00B95F7C">
      <w:pPr>
        <w:rPr>
          <w:rFonts w:ascii="Times New Roman" w:hAnsi="Times New Roman"/>
          <w:sz w:val="24"/>
          <w:szCs w:val="24"/>
        </w:rPr>
      </w:pPr>
      <w:r w:rsidRPr="000E1BC3">
        <w:rPr>
          <w:rFonts w:ascii="Times New Roman" w:hAnsi="Times New Roman"/>
          <w:sz w:val="24"/>
          <w:szCs w:val="24"/>
        </w:rPr>
        <w:t xml:space="preserve">No new adverse reactions to </w:t>
      </w:r>
      <w:r w:rsidR="002F43D2">
        <w:rPr>
          <w:rFonts w:ascii="Times New Roman" w:hAnsi="Times New Roman"/>
          <w:sz w:val="24"/>
          <w:szCs w:val="24"/>
        </w:rPr>
        <w:t>BIKTARVY</w:t>
      </w:r>
      <w:r w:rsidRPr="000E1BC3">
        <w:rPr>
          <w:rFonts w:ascii="Times New Roman" w:hAnsi="Times New Roman"/>
          <w:sz w:val="24"/>
          <w:szCs w:val="24"/>
        </w:rPr>
        <w:t xml:space="preserve"> were identified through Week 48 in a controlled clinical study (GS-US-380-1844 [“Study 1844”]) of virologically suppressed patients who switched from regimens of DTG + ABC/3TC or ABC/DTG/3TC to </w:t>
      </w:r>
      <w:r w:rsidR="002F43D2">
        <w:rPr>
          <w:rFonts w:ascii="Times New Roman" w:hAnsi="Times New Roman"/>
          <w:sz w:val="24"/>
          <w:szCs w:val="24"/>
        </w:rPr>
        <w:t>BIKTARVY</w:t>
      </w:r>
      <w:r w:rsidRPr="000E1BC3">
        <w:rPr>
          <w:rFonts w:ascii="Times New Roman" w:hAnsi="Times New Roman"/>
          <w:sz w:val="24"/>
          <w:szCs w:val="24"/>
        </w:rPr>
        <w:t xml:space="preserve"> (N=282).  </w:t>
      </w:r>
    </w:p>
    <w:p w:rsidR="003809BB" w:rsidRDefault="003809BB" w:rsidP="00B95F7C">
      <w:pPr>
        <w:rPr>
          <w:rFonts w:ascii="Times New Roman" w:hAnsi="Times New Roman"/>
          <w:sz w:val="24"/>
          <w:szCs w:val="24"/>
        </w:rPr>
      </w:pPr>
    </w:p>
    <w:p w:rsidR="00B95F7C" w:rsidRPr="000E1BC3" w:rsidRDefault="00B95F7C" w:rsidP="00B95F7C">
      <w:pPr>
        <w:rPr>
          <w:rFonts w:ascii="Times New Roman" w:hAnsi="Times New Roman"/>
          <w:sz w:val="24"/>
          <w:szCs w:val="24"/>
        </w:rPr>
      </w:pPr>
      <w:r w:rsidRPr="000E1BC3">
        <w:rPr>
          <w:rFonts w:ascii="Times New Roman" w:hAnsi="Times New Roman"/>
          <w:sz w:val="24"/>
          <w:szCs w:val="24"/>
        </w:rPr>
        <w:t xml:space="preserve">No new adverse reactions to </w:t>
      </w:r>
      <w:r w:rsidR="002F43D2">
        <w:rPr>
          <w:rFonts w:ascii="Times New Roman" w:hAnsi="Times New Roman"/>
          <w:sz w:val="24"/>
          <w:szCs w:val="24"/>
        </w:rPr>
        <w:t>BIKTARVY</w:t>
      </w:r>
      <w:r w:rsidRPr="000E1BC3">
        <w:rPr>
          <w:rFonts w:ascii="Times New Roman" w:hAnsi="Times New Roman"/>
          <w:sz w:val="24"/>
          <w:szCs w:val="24"/>
        </w:rPr>
        <w:t xml:space="preserve"> were identified through Week 48 in a controlled clinical study (GS-US-380-1878 [“Study 1878”]) of virologically suppressed patients who switched from regimens of ritonavir (RTV) or cobicistat (COBI) boosted atazanavir (ATV) or DRV, plus either FTC/TDF or ABC/3TC, to </w:t>
      </w:r>
      <w:r w:rsidR="002F43D2">
        <w:rPr>
          <w:rFonts w:ascii="Times New Roman" w:hAnsi="Times New Roman"/>
          <w:sz w:val="24"/>
          <w:szCs w:val="24"/>
        </w:rPr>
        <w:t>BIKTARVY</w:t>
      </w:r>
      <w:r w:rsidRPr="000E1BC3">
        <w:rPr>
          <w:rFonts w:ascii="Times New Roman" w:hAnsi="Times New Roman"/>
          <w:sz w:val="24"/>
          <w:szCs w:val="24"/>
        </w:rPr>
        <w:t xml:space="preserve"> (N=290).</w:t>
      </w:r>
    </w:p>
    <w:p w:rsidR="00B95F7C" w:rsidRDefault="00B95F7C" w:rsidP="00B95F7C">
      <w:pPr>
        <w:rPr>
          <w:rFonts w:ascii="Times New Roman" w:hAnsi="Times New Roman"/>
          <w:sz w:val="24"/>
          <w:szCs w:val="24"/>
        </w:rPr>
      </w:pPr>
    </w:p>
    <w:p w:rsidR="00F53665" w:rsidRDefault="00F53665" w:rsidP="00B95F7C">
      <w:pPr>
        <w:rPr>
          <w:rFonts w:ascii="Times New Roman" w:hAnsi="Times New Roman"/>
          <w:sz w:val="24"/>
          <w:szCs w:val="24"/>
        </w:rPr>
      </w:pPr>
    </w:p>
    <w:p w:rsidR="00F53665" w:rsidRPr="000E1BC3" w:rsidRDefault="00F53665" w:rsidP="00B95F7C">
      <w:pPr>
        <w:rPr>
          <w:rFonts w:ascii="Times New Roman" w:hAnsi="Times New Roman"/>
          <w:sz w:val="24"/>
          <w:szCs w:val="24"/>
        </w:rPr>
      </w:pPr>
    </w:p>
    <w:p w:rsidR="00B95F7C" w:rsidRPr="000E1BC3" w:rsidRDefault="00B95F7C" w:rsidP="00F53665">
      <w:pPr>
        <w:spacing w:after="120"/>
        <w:rPr>
          <w:rFonts w:ascii="Times New Roman" w:hAnsi="Times New Roman"/>
          <w:i/>
          <w:sz w:val="24"/>
          <w:szCs w:val="24"/>
          <w:u w:val="single"/>
        </w:rPr>
      </w:pPr>
      <w:r w:rsidRPr="000E1BC3">
        <w:rPr>
          <w:rFonts w:ascii="Times New Roman" w:hAnsi="Times New Roman"/>
          <w:i/>
          <w:sz w:val="24"/>
          <w:szCs w:val="24"/>
          <w:u w:val="single"/>
        </w:rPr>
        <w:lastRenderedPageBreak/>
        <w:t>Laboratory Abnormalities</w:t>
      </w:r>
    </w:p>
    <w:p w:rsidR="00B95F7C" w:rsidRDefault="00B95F7C" w:rsidP="00B95F7C">
      <w:pPr>
        <w:rPr>
          <w:rFonts w:ascii="Times New Roman" w:hAnsi="Times New Roman"/>
          <w:sz w:val="24"/>
          <w:szCs w:val="24"/>
        </w:rPr>
      </w:pPr>
      <w:r w:rsidRPr="000E1BC3">
        <w:rPr>
          <w:rFonts w:ascii="Times New Roman" w:hAnsi="Times New Roman"/>
          <w:sz w:val="24"/>
          <w:szCs w:val="24"/>
        </w:rPr>
        <w:t xml:space="preserve">The frequency of laboratory abnormalities (Grades 3–4) occurring in at least 2% of subjects receiving </w:t>
      </w:r>
      <w:r w:rsidR="002F43D2">
        <w:rPr>
          <w:rFonts w:ascii="Times New Roman" w:hAnsi="Times New Roman"/>
          <w:sz w:val="24"/>
          <w:szCs w:val="24"/>
        </w:rPr>
        <w:t>BIKTARVY</w:t>
      </w:r>
      <w:r w:rsidRPr="000E1BC3">
        <w:rPr>
          <w:rFonts w:ascii="Times New Roman" w:hAnsi="Times New Roman"/>
          <w:sz w:val="24"/>
          <w:szCs w:val="24"/>
        </w:rPr>
        <w:t xml:space="preserve"> in Studies 1489 and 1490 are presented in Table </w:t>
      </w:r>
      <w:r w:rsidR="00D3190F" w:rsidRPr="000E1BC3">
        <w:rPr>
          <w:rFonts w:ascii="Times New Roman" w:hAnsi="Times New Roman"/>
          <w:sz w:val="24"/>
          <w:szCs w:val="24"/>
        </w:rPr>
        <w:t>6</w:t>
      </w:r>
      <w:r w:rsidRPr="000E1BC3">
        <w:rPr>
          <w:rFonts w:ascii="Times New Roman" w:hAnsi="Times New Roman"/>
          <w:sz w:val="24"/>
          <w:szCs w:val="24"/>
        </w:rPr>
        <w:t>.</w:t>
      </w:r>
    </w:p>
    <w:p w:rsidR="00DD64CE" w:rsidRPr="000E1BC3" w:rsidRDefault="00DD64CE" w:rsidP="00B95F7C">
      <w:pPr>
        <w:rPr>
          <w:rFonts w:ascii="Times New Roman" w:hAnsi="Times New Roman"/>
          <w:sz w:val="24"/>
          <w:szCs w:val="24"/>
        </w:rPr>
      </w:pPr>
    </w:p>
    <w:p w:rsidR="00B95F7C" w:rsidRPr="000E1BC3" w:rsidRDefault="00B95F7C" w:rsidP="00B95F7C">
      <w:pPr>
        <w:pStyle w:val="Style1Bold"/>
        <w:keepNext/>
        <w:tabs>
          <w:tab w:val="clear" w:pos="2160"/>
          <w:tab w:val="left" w:pos="1440"/>
        </w:tabs>
        <w:ind w:left="1440" w:hanging="1440"/>
      </w:pPr>
      <w:r w:rsidRPr="000E1BC3">
        <w:t xml:space="preserve">Table </w:t>
      </w:r>
      <w:r w:rsidR="00D3190F" w:rsidRPr="000E1BC3">
        <w:t>6</w:t>
      </w:r>
      <w:r w:rsidRPr="000E1BC3">
        <w:t>.</w:t>
      </w:r>
      <w:r w:rsidRPr="000E1BC3">
        <w:tab/>
        <w:t>Laboratory Abnormalities (Grad</w:t>
      </w:r>
      <w:r w:rsidRPr="000E1BC3">
        <w:rPr>
          <w:color w:val="auto"/>
        </w:rPr>
        <w:t xml:space="preserve">es 3–4) Reported in ≥ 2% of Subjects Receiving </w:t>
      </w:r>
      <w:r w:rsidR="002F43D2">
        <w:rPr>
          <w:color w:val="auto"/>
        </w:rPr>
        <w:t>BIKTARVY</w:t>
      </w:r>
      <w:r w:rsidRPr="000E1BC3">
        <w:rPr>
          <w:color w:val="auto"/>
        </w:rPr>
        <w:t xml:space="preserve"> in Studies 1489 and 1490 (W</w:t>
      </w:r>
      <w:r w:rsidRPr="000E1BC3">
        <w:t>eek 48 analysis)</w:t>
      </w: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300"/>
        <w:gridCol w:w="1800"/>
        <w:gridCol w:w="1640"/>
        <w:gridCol w:w="1530"/>
      </w:tblGrid>
      <w:tr w:rsidR="00B95F7C" w:rsidRPr="000E1BC3" w:rsidTr="00044223">
        <w:trPr>
          <w:trHeight w:val="539"/>
          <w:tblHeader/>
        </w:trPr>
        <w:tc>
          <w:tcPr>
            <w:tcW w:w="4300" w:type="dxa"/>
            <w:tcBorders>
              <w:top w:val="single" w:sz="12" w:space="0" w:color="auto"/>
              <w:left w:val="nil"/>
              <w:bottom w:val="single" w:sz="12" w:space="0" w:color="auto"/>
            </w:tcBorders>
            <w:shd w:val="clear" w:color="auto" w:fill="auto"/>
            <w:vAlign w:val="bottom"/>
          </w:tcPr>
          <w:p w:rsidR="00B95F7C" w:rsidRPr="000E1BC3" w:rsidRDefault="00B95F7C" w:rsidP="00044223">
            <w:pPr>
              <w:pStyle w:val="StyleTableText12pt"/>
              <w:keepNext w:val="0"/>
              <w:keepLines w:val="0"/>
              <w:widowControl w:val="0"/>
              <w:jc w:val="left"/>
              <w:rPr>
                <w:rFonts w:ascii="Times New Roman" w:eastAsia="Times" w:hAnsi="Times New Roman" w:cs="Times New Roman"/>
                <w:sz w:val="20"/>
                <w:lang w:val="nl-BE"/>
              </w:rPr>
            </w:pPr>
            <w:r w:rsidRPr="000E1BC3">
              <w:rPr>
                <w:rFonts w:ascii="Times New Roman" w:hAnsi="Times New Roman" w:cs="Times New Roman"/>
                <w:b/>
                <w:sz w:val="20"/>
              </w:rPr>
              <w:t>Laboratory Parameter Abnormality</w:t>
            </w:r>
            <w:r w:rsidRPr="000E1BC3">
              <w:rPr>
                <w:rFonts w:ascii="Times New Roman" w:hAnsi="Times New Roman" w:cs="Times New Roman"/>
                <w:b/>
                <w:sz w:val="20"/>
                <w:vertAlign w:val="superscript"/>
              </w:rPr>
              <w:t>a</w:t>
            </w:r>
          </w:p>
        </w:tc>
        <w:tc>
          <w:tcPr>
            <w:tcW w:w="1800" w:type="dxa"/>
            <w:tcBorders>
              <w:top w:val="single" w:sz="12" w:space="0" w:color="auto"/>
              <w:bottom w:val="single" w:sz="12" w:space="0" w:color="auto"/>
            </w:tcBorders>
            <w:shd w:val="clear" w:color="auto" w:fill="auto"/>
          </w:tcPr>
          <w:p w:rsidR="00B95F7C" w:rsidRPr="000E1BC3" w:rsidRDefault="002F43D2" w:rsidP="00044223">
            <w:pPr>
              <w:pStyle w:val="StyleTable-Heading12pt"/>
              <w:keepNext w:val="0"/>
              <w:keepLines w:val="0"/>
              <w:widowControl w:val="0"/>
              <w:tabs>
                <w:tab w:val="clear" w:pos="360"/>
              </w:tabs>
              <w:rPr>
                <w:rFonts w:ascii="Times New Roman" w:hAnsi="Times New Roman"/>
                <w:b w:val="0"/>
                <w:sz w:val="20"/>
              </w:rPr>
            </w:pPr>
            <w:r>
              <w:rPr>
                <w:rFonts w:ascii="Times New Roman" w:hAnsi="Times New Roman"/>
                <w:sz w:val="20"/>
              </w:rPr>
              <w:t>BIKTARVY</w:t>
            </w:r>
            <w:r w:rsidR="00B95F7C" w:rsidRPr="000E1BC3">
              <w:rPr>
                <w:rFonts w:ascii="Times New Roman" w:hAnsi="Times New Roman"/>
                <w:sz w:val="20"/>
              </w:rPr>
              <w:br/>
            </w:r>
            <w:r w:rsidR="00B95F7C" w:rsidRPr="000E1BC3">
              <w:rPr>
                <w:rFonts w:ascii="Times New Roman" w:hAnsi="Times New Roman"/>
                <w:b w:val="0"/>
                <w:sz w:val="20"/>
              </w:rPr>
              <w:t>N=634</w:t>
            </w:r>
            <w:r w:rsidR="00B95F7C" w:rsidRPr="000E1BC3">
              <w:rPr>
                <w:rFonts w:ascii="Times New Roman" w:hAnsi="Times New Roman"/>
                <w:b w:val="0"/>
                <w:sz w:val="20"/>
                <w:vertAlign w:val="superscript"/>
              </w:rPr>
              <w:t>b</w:t>
            </w:r>
          </w:p>
        </w:tc>
        <w:tc>
          <w:tcPr>
            <w:tcW w:w="1640" w:type="dxa"/>
            <w:tcBorders>
              <w:top w:val="single" w:sz="12" w:space="0" w:color="auto"/>
              <w:bottom w:val="single" w:sz="12" w:space="0" w:color="auto"/>
            </w:tcBorders>
          </w:tcPr>
          <w:p w:rsidR="00B95F7C" w:rsidRPr="000E1BC3" w:rsidRDefault="00B95F7C" w:rsidP="00044223">
            <w:pPr>
              <w:pStyle w:val="StyleTable-Heading12pt"/>
              <w:keepNext w:val="0"/>
              <w:keepLines w:val="0"/>
              <w:widowControl w:val="0"/>
              <w:tabs>
                <w:tab w:val="clear" w:pos="360"/>
              </w:tabs>
              <w:rPr>
                <w:rFonts w:ascii="Times New Roman" w:hAnsi="Times New Roman"/>
                <w:sz w:val="20"/>
              </w:rPr>
            </w:pPr>
            <w:r w:rsidRPr="000E1BC3">
              <w:rPr>
                <w:rFonts w:ascii="Times New Roman" w:hAnsi="Times New Roman"/>
                <w:sz w:val="20"/>
              </w:rPr>
              <w:t>ABC/DTG/3TC</w:t>
            </w:r>
            <w:r w:rsidRPr="000E1BC3">
              <w:rPr>
                <w:rFonts w:ascii="Times New Roman" w:hAnsi="Times New Roman"/>
                <w:sz w:val="20"/>
              </w:rPr>
              <w:br/>
            </w:r>
            <w:r w:rsidRPr="000E1BC3">
              <w:rPr>
                <w:rFonts w:ascii="Times New Roman" w:hAnsi="Times New Roman"/>
                <w:b w:val="0"/>
                <w:sz w:val="20"/>
              </w:rPr>
              <w:t>N=315</w:t>
            </w:r>
            <w:r w:rsidRPr="000E1BC3">
              <w:rPr>
                <w:rFonts w:ascii="Times New Roman" w:hAnsi="Times New Roman"/>
                <w:b w:val="0"/>
                <w:sz w:val="20"/>
                <w:vertAlign w:val="superscript"/>
              </w:rPr>
              <w:t>c</w:t>
            </w:r>
          </w:p>
        </w:tc>
        <w:tc>
          <w:tcPr>
            <w:tcW w:w="1530" w:type="dxa"/>
            <w:tcBorders>
              <w:top w:val="single" w:sz="12" w:space="0" w:color="auto"/>
              <w:bottom w:val="single" w:sz="12" w:space="0" w:color="auto"/>
              <w:right w:val="nil"/>
            </w:tcBorders>
          </w:tcPr>
          <w:p w:rsidR="00B95F7C" w:rsidRPr="000E1BC3" w:rsidRDefault="00B95F7C" w:rsidP="00044223">
            <w:pPr>
              <w:pStyle w:val="StyleTable-Heading12pt"/>
              <w:keepNext w:val="0"/>
              <w:keepLines w:val="0"/>
              <w:widowControl w:val="0"/>
              <w:tabs>
                <w:tab w:val="clear" w:pos="360"/>
              </w:tabs>
              <w:rPr>
                <w:rFonts w:ascii="Times New Roman" w:hAnsi="Times New Roman"/>
                <w:sz w:val="20"/>
              </w:rPr>
            </w:pPr>
            <w:r w:rsidRPr="000E1BC3">
              <w:rPr>
                <w:rFonts w:ascii="Times New Roman" w:hAnsi="Times New Roman"/>
                <w:sz w:val="20"/>
              </w:rPr>
              <w:t>DTG+ FTC/TAF</w:t>
            </w:r>
            <w:r w:rsidRPr="000E1BC3">
              <w:rPr>
                <w:rFonts w:ascii="Times New Roman" w:hAnsi="Times New Roman"/>
                <w:b w:val="0"/>
                <w:sz w:val="20"/>
              </w:rPr>
              <w:t xml:space="preserve"> N=325</w:t>
            </w:r>
            <w:r w:rsidRPr="000E1BC3">
              <w:rPr>
                <w:rFonts w:ascii="Times New Roman" w:hAnsi="Times New Roman"/>
                <w:b w:val="0"/>
                <w:sz w:val="20"/>
                <w:vertAlign w:val="superscript"/>
              </w:rPr>
              <w:t>d</w:t>
            </w:r>
          </w:p>
        </w:tc>
      </w:tr>
      <w:tr w:rsidR="00B95F7C" w:rsidRPr="000E1BC3" w:rsidTr="00044223">
        <w:trPr>
          <w:tblHeader/>
        </w:trPr>
        <w:tc>
          <w:tcPr>
            <w:tcW w:w="4300" w:type="dxa"/>
            <w:tcBorders>
              <w:top w:val="single" w:sz="12" w:space="0" w:color="auto"/>
              <w:left w:val="nil"/>
            </w:tcBorders>
            <w:shd w:val="clear" w:color="auto" w:fill="auto"/>
            <w:vAlign w:val="center"/>
          </w:tcPr>
          <w:p w:rsidR="00B95F7C" w:rsidRPr="000E1BC3" w:rsidRDefault="00B95F7C" w:rsidP="00044223">
            <w:pPr>
              <w:pStyle w:val="StyleTableText12pt"/>
              <w:keepNext w:val="0"/>
              <w:keepLines w:val="0"/>
              <w:widowControl w:val="0"/>
              <w:jc w:val="left"/>
              <w:rPr>
                <w:rFonts w:ascii="Times New Roman" w:hAnsi="Times New Roman" w:cs="Times New Roman"/>
                <w:sz w:val="20"/>
              </w:rPr>
            </w:pPr>
            <w:r w:rsidRPr="000E1BC3">
              <w:rPr>
                <w:rFonts w:ascii="Times New Roman" w:hAnsi="Times New Roman" w:cs="Times New Roman"/>
                <w:sz w:val="20"/>
              </w:rPr>
              <w:t>Amylase (&gt;2.0 x ULN)</w:t>
            </w:r>
          </w:p>
        </w:tc>
        <w:tc>
          <w:tcPr>
            <w:tcW w:w="1800" w:type="dxa"/>
            <w:tcBorders>
              <w:top w:val="single" w:sz="12" w:space="0" w:color="auto"/>
            </w:tcBorders>
            <w:shd w:val="clear" w:color="auto" w:fill="auto"/>
            <w:vAlign w:val="center"/>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c>
          <w:tcPr>
            <w:tcW w:w="1640" w:type="dxa"/>
            <w:tcBorders>
              <w:top w:val="single" w:sz="12" w:space="0" w:color="auto"/>
            </w:tcBorders>
            <w:shd w:val="clear" w:color="auto" w:fill="auto"/>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c>
          <w:tcPr>
            <w:tcW w:w="1530" w:type="dxa"/>
            <w:tcBorders>
              <w:top w:val="single" w:sz="12" w:space="0" w:color="auto"/>
              <w:right w:val="nil"/>
            </w:tcBorders>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r>
      <w:tr w:rsidR="00B95F7C" w:rsidRPr="000E1BC3" w:rsidTr="00044223">
        <w:trPr>
          <w:tblHeader/>
        </w:trPr>
        <w:tc>
          <w:tcPr>
            <w:tcW w:w="4300" w:type="dxa"/>
            <w:tcBorders>
              <w:left w:val="nil"/>
            </w:tcBorders>
            <w:shd w:val="clear" w:color="auto" w:fill="auto"/>
            <w:vAlign w:val="center"/>
          </w:tcPr>
          <w:p w:rsidR="00B95F7C" w:rsidRPr="000E1BC3" w:rsidRDefault="00B95F7C" w:rsidP="00044223">
            <w:pPr>
              <w:pStyle w:val="StyleTableText12pt"/>
              <w:keepNext w:val="0"/>
              <w:keepLines w:val="0"/>
              <w:widowControl w:val="0"/>
              <w:jc w:val="left"/>
              <w:rPr>
                <w:rFonts w:ascii="Times New Roman" w:hAnsi="Times New Roman" w:cs="Times New Roman"/>
                <w:sz w:val="20"/>
              </w:rPr>
            </w:pPr>
            <w:r w:rsidRPr="000E1BC3">
              <w:rPr>
                <w:rFonts w:ascii="Times New Roman" w:hAnsi="Times New Roman" w:cs="Times New Roman"/>
                <w:sz w:val="20"/>
              </w:rPr>
              <w:t>AST  (&gt;5.0 × ULN)</w:t>
            </w:r>
          </w:p>
        </w:tc>
        <w:tc>
          <w:tcPr>
            <w:tcW w:w="1800" w:type="dxa"/>
            <w:shd w:val="clear" w:color="auto" w:fill="auto"/>
            <w:vAlign w:val="center"/>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c>
          <w:tcPr>
            <w:tcW w:w="1640" w:type="dxa"/>
            <w:shd w:val="clear" w:color="auto" w:fill="auto"/>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1%</w:t>
            </w:r>
          </w:p>
        </w:tc>
        <w:tc>
          <w:tcPr>
            <w:tcW w:w="1530" w:type="dxa"/>
            <w:tcBorders>
              <w:right w:val="nil"/>
            </w:tcBorders>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r>
      <w:tr w:rsidR="00B95F7C" w:rsidRPr="000E1BC3" w:rsidTr="00044223">
        <w:trPr>
          <w:tblHeader/>
        </w:trPr>
        <w:tc>
          <w:tcPr>
            <w:tcW w:w="4300" w:type="dxa"/>
            <w:tcBorders>
              <w:left w:val="nil"/>
            </w:tcBorders>
            <w:shd w:val="clear" w:color="auto" w:fill="auto"/>
            <w:vAlign w:val="center"/>
          </w:tcPr>
          <w:p w:rsidR="00B95F7C" w:rsidRPr="000E1BC3" w:rsidRDefault="00B95F7C" w:rsidP="009F3F8C">
            <w:pPr>
              <w:pStyle w:val="StyleTableText12pt"/>
              <w:keepNext w:val="0"/>
              <w:keepLines w:val="0"/>
              <w:widowControl w:val="0"/>
              <w:jc w:val="left"/>
              <w:rPr>
                <w:rFonts w:ascii="Times New Roman" w:hAnsi="Times New Roman" w:cs="Times New Roman"/>
                <w:sz w:val="20"/>
              </w:rPr>
            </w:pPr>
            <w:r w:rsidRPr="000E1BC3">
              <w:rPr>
                <w:rFonts w:ascii="Times New Roman" w:hAnsi="Times New Roman" w:cs="Times New Roman"/>
                <w:sz w:val="20"/>
              </w:rPr>
              <w:t>Creatin Kinase (≥10.0 × ULN)</w:t>
            </w:r>
          </w:p>
        </w:tc>
        <w:tc>
          <w:tcPr>
            <w:tcW w:w="1800" w:type="dxa"/>
            <w:shd w:val="clear" w:color="auto" w:fill="auto"/>
            <w:vAlign w:val="center"/>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4%</w:t>
            </w:r>
          </w:p>
        </w:tc>
        <w:tc>
          <w:tcPr>
            <w:tcW w:w="1640" w:type="dxa"/>
            <w:shd w:val="clear" w:color="auto" w:fill="auto"/>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3%</w:t>
            </w:r>
          </w:p>
        </w:tc>
        <w:tc>
          <w:tcPr>
            <w:tcW w:w="1530" w:type="dxa"/>
            <w:tcBorders>
              <w:right w:val="nil"/>
            </w:tcBorders>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r>
      <w:tr w:rsidR="00B95F7C" w:rsidRPr="000E1BC3" w:rsidTr="00044223">
        <w:trPr>
          <w:tblHeader/>
        </w:trPr>
        <w:tc>
          <w:tcPr>
            <w:tcW w:w="4300" w:type="dxa"/>
            <w:tcBorders>
              <w:left w:val="nil"/>
              <w:bottom w:val="single" w:sz="4" w:space="0" w:color="auto"/>
            </w:tcBorders>
            <w:shd w:val="clear" w:color="auto" w:fill="auto"/>
            <w:vAlign w:val="center"/>
          </w:tcPr>
          <w:p w:rsidR="00B95F7C" w:rsidRPr="000E1BC3" w:rsidRDefault="00B95F7C" w:rsidP="00044223">
            <w:pPr>
              <w:pStyle w:val="StyleTableText12pt"/>
              <w:keepNext w:val="0"/>
              <w:keepLines w:val="0"/>
              <w:widowControl w:val="0"/>
              <w:jc w:val="left"/>
              <w:rPr>
                <w:rFonts w:ascii="Times New Roman" w:hAnsi="Times New Roman" w:cs="Times New Roman"/>
                <w:sz w:val="20"/>
              </w:rPr>
            </w:pPr>
            <w:r w:rsidRPr="000E1BC3">
              <w:rPr>
                <w:rFonts w:ascii="Times New Roman" w:hAnsi="Times New Roman" w:cs="Times New Roman"/>
                <w:sz w:val="20"/>
              </w:rPr>
              <w:t>Neutrophils</w:t>
            </w:r>
            <w:r w:rsidR="00741754" w:rsidRPr="000E1BC3">
              <w:rPr>
                <w:rFonts w:ascii="Times New Roman" w:hAnsi="Times New Roman" w:cs="Times New Roman"/>
                <w:sz w:val="20"/>
              </w:rPr>
              <w:t xml:space="preserve"> (&lt;750 mm</w:t>
            </w:r>
            <w:r w:rsidR="00741754" w:rsidRPr="000E1BC3">
              <w:rPr>
                <w:rFonts w:ascii="Times New Roman" w:hAnsi="Times New Roman" w:cs="Times New Roman"/>
                <w:sz w:val="20"/>
                <w:vertAlign w:val="superscript"/>
              </w:rPr>
              <w:t>3</w:t>
            </w:r>
            <w:r w:rsidR="00741754" w:rsidRPr="000E1BC3">
              <w:rPr>
                <w:rFonts w:ascii="Times New Roman" w:hAnsi="Times New Roman" w:cs="Times New Roman"/>
                <w:sz w:val="20"/>
              </w:rPr>
              <w:t>)</w:t>
            </w:r>
          </w:p>
        </w:tc>
        <w:tc>
          <w:tcPr>
            <w:tcW w:w="1800" w:type="dxa"/>
            <w:tcBorders>
              <w:bottom w:val="single" w:sz="4" w:space="0" w:color="auto"/>
            </w:tcBorders>
            <w:shd w:val="clear" w:color="auto" w:fill="auto"/>
            <w:vAlign w:val="center"/>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2%</w:t>
            </w:r>
          </w:p>
        </w:tc>
        <w:tc>
          <w:tcPr>
            <w:tcW w:w="1640" w:type="dxa"/>
            <w:tcBorders>
              <w:bottom w:val="single" w:sz="4" w:space="0" w:color="auto"/>
            </w:tcBorders>
            <w:shd w:val="clear" w:color="auto" w:fill="auto"/>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3%</w:t>
            </w:r>
          </w:p>
        </w:tc>
        <w:tc>
          <w:tcPr>
            <w:tcW w:w="1530" w:type="dxa"/>
            <w:tcBorders>
              <w:bottom w:val="single" w:sz="4" w:space="0" w:color="auto"/>
              <w:right w:val="nil"/>
            </w:tcBorders>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1%</w:t>
            </w:r>
          </w:p>
        </w:tc>
      </w:tr>
      <w:tr w:rsidR="00B95F7C" w:rsidRPr="000E1BC3" w:rsidDel="00E1196C" w:rsidTr="00044223">
        <w:trPr>
          <w:tblHeader/>
        </w:trPr>
        <w:tc>
          <w:tcPr>
            <w:tcW w:w="4300" w:type="dxa"/>
            <w:tcBorders>
              <w:left w:val="nil"/>
              <w:bottom w:val="single" w:sz="12" w:space="0" w:color="auto"/>
            </w:tcBorders>
            <w:shd w:val="clear" w:color="auto" w:fill="auto"/>
            <w:vAlign w:val="center"/>
          </w:tcPr>
          <w:p w:rsidR="00B95F7C" w:rsidRPr="000E1BC3" w:rsidRDefault="00B95F7C" w:rsidP="00044223">
            <w:pPr>
              <w:pStyle w:val="StyleTableText12pt"/>
              <w:keepNext w:val="0"/>
              <w:keepLines w:val="0"/>
              <w:widowControl w:val="0"/>
              <w:jc w:val="left"/>
              <w:rPr>
                <w:rFonts w:ascii="Times New Roman" w:hAnsi="Times New Roman" w:cs="Times New Roman"/>
                <w:sz w:val="20"/>
              </w:rPr>
            </w:pPr>
            <w:r w:rsidRPr="000E1BC3">
              <w:rPr>
                <w:rFonts w:ascii="Times New Roman" w:hAnsi="Times New Roman" w:cs="Times New Roman"/>
                <w:sz w:val="20"/>
              </w:rPr>
              <w:t>LDL-cholesterol (fasted) (&gt;190 mg/dL)</w:t>
            </w:r>
          </w:p>
        </w:tc>
        <w:tc>
          <w:tcPr>
            <w:tcW w:w="1800" w:type="dxa"/>
            <w:tcBorders>
              <w:bottom w:val="single" w:sz="12" w:space="0" w:color="auto"/>
            </w:tcBorders>
            <w:shd w:val="clear" w:color="auto" w:fill="auto"/>
            <w:vAlign w:val="center"/>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3%</w:t>
            </w:r>
          </w:p>
        </w:tc>
        <w:tc>
          <w:tcPr>
            <w:tcW w:w="1640" w:type="dxa"/>
            <w:tcBorders>
              <w:bottom w:val="single" w:sz="12" w:space="0" w:color="auto"/>
            </w:tcBorders>
            <w:shd w:val="clear" w:color="auto" w:fill="auto"/>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3%</w:t>
            </w:r>
          </w:p>
        </w:tc>
        <w:tc>
          <w:tcPr>
            <w:tcW w:w="1530" w:type="dxa"/>
            <w:tcBorders>
              <w:bottom w:val="single" w:sz="12" w:space="0" w:color="auto"/>
              <w:right w:val="nil"/>
            </w:tcBorders>
          </w:tcPr>
          <w:p w:rsidR="00B95F7C" w:rsidRPr="000E1BC3" w:rsidRDefault="00B95F7C" w:rsidP="00044223">
            <w:pPr>
              <w:pStyle w:val="StyleTableText12pt"/>
              <w:keepNext w:val="0"/>
              <w:keepLines w:val="0"/>
              <w:widowControl w:val="0"/>
              <w:rPr>
                <w:rFonts w:ascii="Times New Roman" w:hAnsi="Times New Roman" w:cs="Times New Roman"/>
                <w:sz w:val="20"/>
              </w:rPr>
            </w:pPr>
            <w:r w:rsidRPr="000E1BC3">
              <w:rPr>
                <w:rFonts w:ascii="Times New Roman" w:hAnsi="Times New Roman" w:cs="Times New Roman"/>
                <w:sz w:val="20"/>
              </w:rPr>
              <w:t>3%</w:t>
            </w:r>
          </w:p>
        </w:tc>
      </w:tr>
    </w:tbl>
    <w:p w:rsidR="006D7674" w:rsidRPr="000E1BC3" w:rsidRDefault="006D7674" w:rsidP="00B95F7C">
      <w:pPr>
        <w:pStyle w:val="Table-Footer"/>
        <w:keepNext w:val="0"/>
        <w:keepLines w:val="0"/>
        <w:widowControl w:val="0"/>
        <w:tabs>
          <w:tab w:val="clear" w:pos="720"/>
          <w:tab w:val="left" w:pos="360"/>
        </w:tabs>
        <w:ind w:left="0" w:firstLine="0"/>
        <w:rPr>
          <w:rFonts w:ascii="Times New Roman" w:hAnsi="Times New Roman"/>
        </w:rPr>
      </w:pPr>
      <w:r w:rsidRPr="000E1BC3">
        <w:rPr>
          <w:rFonts w:ascii="Times New Roman" w:hAnsi="Times New Roman"/>
        </w:rPr>
        <w:t>ULN = Upper limit of normal</w:t>
      </w:r>
    </w:p>
    <w:p w:rsidR="00B95F7C" w:rsidRPr="000E1BC3" w:rsidRDefault="00B95F7C" w:rsidP="00B95F7C">
      <w:pPr>
        <w:pStyle w:val="Table-Footer"/>
        <w:keepNext w:val="0"/>
        <w:keepLines w:val="0"/>
        <w:widowControl w:val="0"/>
        <w:tabs>
          <w:tab w:val="clear" w:pos="720"/>
          <w:tab w:val="left" w:pos="360"/>
        </w:tabs>
        <w:ind w:left="0" w:firstLine="0"/>
        <w:rPr>
          <w:rFonts w:ascii="Times New Roman" w:hAnsi="Times New Roman"/>
        </w:rPr>
      </w:pPr>
      <w:r w:rsidRPr="000E1BC3">
        <w:rPr>
          <w:rFonts w:ascii="Times New Roman" w:hAnsi="Times New Roman"/>
        </w:rPr>
        <w:t>a.</w:t>
      </w:r>
      <w:r w:rsidRPr="000E1BC3">
        <w:rPr>
          <w:rFonts w:ascii="Times New Roman" w:hAnsi="Times New Roman"/>
        </w:rPr>
        <w:tab/>
        <w:t>Frequencies are based on treatment-emergent laboratory abnormalities.</w:t>
      </w:r>
    </w:p>
    <w:p w:rsidR="00B95F7C" w:rsidRPr="000E1BC3" w:rsidRDefault="00B95F7C" w:rsidP="00B95F7C">
      <w:pPr>
        <w:pStyle w:val="Table-Footer"/>
        <w:keepNext w:val="0"/>
        <w:keepLines w:val="0"/>
        <w:widowControl w:val="0"/>
        <w:spacing w:before="20"/>
        <w:rPr>
          <w:rFonts w:ascii="Times New Roman" w:hAnsi="Times New Roman"/>
        </w:rPr>
      </w:pPr>
      <w:r w:rsidRPr="000E1BC3">
        <w:rPr>
          <w:rFonts w:ascii="Times New Roman" w:hAnsi="Times New Roman"/>
        </w:rPr>
        <w:t>b.</w:t>
      </w:r>
      <w:r w:rsidRPr="000E1BC3">
        <w:rPr>
          <w:rFonts w:ascii="Times New Roman" w:hAnsi="Times New Roman"/>
        </w:rPr>
        <w:tab/>
        <w:t>Pooled from Studies 1489 and 1490</w:t>
      </w:r>
    </w:p>
    <w:p w:rsidR="00B95F7C" w:rsidRPr="000E1BC3" w:rsidRDefault="00B95F7C" w:rsidP="00B95F7C">
      <w:pPr>
        <w:pStyle w:val="Table-Footer"/>
        <w:keepNext w:val="0"/>
        <w:keepLines w:val="0"/>
        <w:widowControl w:val="0"/>
        <w:spacing w:before="20"/>
        <w:rPr>
          <w:rFonts w:ascii="Times New Roman" w:hAnsi="Times New Roman"/>
        </w:rPr>
      </w:pPr>
      <w:r w:rsidRPr="000E1BC3">
        <w:rPr>
          <w:rFonts w:ascii="Times New Roman" w:hAnsi="Times New Roman"/>
        </w:rPr>
        <w:t xml:space="preserve">c. </w:t>
      </w:r>
      <w:r w:rsidRPr="000E1BC3">
        <w:rPr>
          <w:rFonts w:ascii="Times New Roman" w:hAnsi="Times New Roman"/>
        </w:rPr>
        <w:tab/>
        <w:t>Study 1489</w:t>
      </w:r>
    </w:p>
    <w:p w:rsidR="00B95F7C" w:rsidRPr="000E1BC3" w:rsidRDefault="00B95F7C" w:rsidP="00B95F7C">
      <w:pPr>
        <w:pStyle w:val="Table-Footer"/>
        <w:keepNext w:val="0"/>
        <w:keepLines w:val="0"/>
        <w:widowControl w:val="0"/>
        <w:spacing w:before="20"/>
        <w:rPr>
          <w:rFonts w:ascii="Times New Roman" w:hAnsi="Times New Roman"/>
        </w:rPr>
      </w:pPr>
      <w:r w:rsidRPr="000E1BC3">
        <w:rPr>
          <w:rFonts w:ascii="Times New Roman" w:hAnsi="Times New Roman"/>
        </w:rPr>
        <w:t>d.</w:t>
      </w:r>
      <w:r w:rsidRPr="000E1BC3">
        <w:rPr>
          <w:rFonts w:ascii="Times New Roman" w:hAnsi="Times New Roman"/>
        </w:rPr>
        <w:tab/>
        <w:t>Study 1490</w:t>
      </w:r>
    </w:p>
    <w:p w:rsidR="00B95F7C" w:rsidRPr="000E1BC3" w:rsidRDefault="00B95F7C" w:rsidP="00B95F7C">
      <w:pPr>
        <w:rPr>
          <w:rFonts w:ascii="Times New Roman" w:hAnsi="Times New Roman"/>
          <w:sz w:val="24"/>
          <w:szCs w:val="24"/>
        </w:rPr>
      </w:pPr>
    </w:p>
    <w:p w:rsidR="00C7506C" w:rsidRPr="000E1BC3" w:rsidRDefault="00C7506C" w:rsidP="00C7506C">
      <w:pPr>
        <w:pStyle w:val="Text10"/>
        <w:widowControl w:val="0"/>
      </w:pPr>
      <w:r w:rsidRPr="000E1BC3">
        <w:rPr>
          <w:b/>
          <w:i/>
        </w:rPr>
        <w:t>Changes in Serum Creatinine</w:t>
      </w:r>
      <w:r w:rsidRPr="000E1BC3">
        <w:t xml:space="preserve">: BIC has been shown to increase serum creatinine due to inhibition of tubular secretion of creatinine without affecting renal glomerular </w:t>
      </w:r>
      <w:r w:rsidR="00F97094" w:rsidRPr="000E1BC3">
        <w:t>function (</w:t>
      </w:r>
      <w:r w:rsidRPr="000E1BC3">
        <w:t xml:space="preserve">see Section 5.2 </w:t>
      </w:r>
      <w:r w:rsidR="006D7674" w:rsidRPr="000E1BC3">
        <w:rPr>
          <w:caps/>
        </w:rPr>
        <w:t>p</w:t>
      </w:r>
      <w:r w:rsidR="006D7674" w:rsidRPr="000E1BC3">
        <w:t>harmacodymanic Properties</w:t>
      </w:r>
      <w:r w:rsidRPr="000E1BC3">
        <w:t xml:space="preserve">). Increases in serum creatinine occurred by Week 4 of treatment and remained stable through Week 48. In Studies 1489 and 1490, median (Q1, Q3) serum creatinine increased by 0.10 (0.03, 0.17) mg per dL, 0.11 (0.03, 0.18) mg per dL, and 0.11 (0.04, 0.19) mg per dL from baseline to Week 48 in the </w:t>
      </w:r>
      <w:r w:rsidR="002F43D2">
        <w:t>BIKTARVY</w:t>
      </w:r>
      <w:r w:rsidRPr="000E1BC3">
        <w:t>, ABC/DTG/3TC</w:t>
      </w:r>
      <w:r w:rsidR="00F97094" w:rsidRPr="000E1BC3">
        <w:t xml:space="preserve">, </w:t>
      </w:r>
      <w:r w:rsidR="00F97094" w:rsidRPr="000E1BC3">
        <w:rPr>
          <w:szCs w:val="24"/>
        </w:rPr>
        <w:t>and</w:t>
      </w:r>
      <w:r w:rsidRPr="000E1BC3">
        <w:rPr>
          <w:sz w:val="32"/>
        </w:rPr>
        <w:t xml:space="preserve"> </w:t>
      </w:r>
      <w:r w:rsidRPr="000E1BC3">
        <w:t xml:space="preserve">DTG+FTC/TAF groups, respectively.  There were no discontinuations due to renal adverse events through Week 48 in </w:t>
      </w:r>
      <w:r w:rsidR="002F43D2">
        <w:t>BIKTARVY</w:t>
      </w:r>
      <w:r w:rsidRPr="000E1BC3">
        <w:t xml:space="preserve"> clinical studies.</w:t>
      </w:r>
    </w:p>
    <w:p w:rsidR="00C7506C" w:rsidRDefault="00C7506C" w:rsidP="00C7506C">
      <w:pPr>
        <w:pStyle w:val="Text10"/>
        <w:widowControl w:val="0"/>
      </w:pPr>
      <w:r w:rsidRPr="000E1BC3">
        <w:rPr>
          <w:b/>
          <w:i/>
        </w:rPr>
        <w:t xml:space="preserve">Changes in Bilirubin: </w:t>
      </w:r>
      <w:r w:rsidRPr="000E1BC3">
        <w:t xml:space="preserve">In Studies 1489 and 1490, total bilirubin increases were observed in 12% of patients administered </w:t>
      </w:r>
      <w:r w:rsidR="002F43D2">
        <w:t>BIKTARVY</w:t>
      </w:r>
      <w:r w:rsidRPr="000E1BC3">
        <w:t xml:space="preserve"> through Week 48.  Increases were primarily Grade 1 (9%) and Grade 2 (3%) (1.0 to 2.5 x ULN), and were not associated with hepatic adverse reactions or other liver related laboratory abnormalities. There were no discontinuations due to hepatic adverse events through Week 48 in </w:t>
      </w:r>
      <w:r w:rsidR="002F43D2">
        <w:t>BIKTARVY</w:t>
      </w:r>
      <w:r w:rsidRPr="000E1BC3">
        <w:t xml:space="preserve"> clinical studies.</w:t>
      </w:r>
    </w:p>
    <w:p w:rsidR="00B95F7C" w:rsidRPr="000E1BC3" w:rsidRDefault="00B95F7C" w:rsidP="00F53665">
      <w:pPr>
        <w:pStyle w:val="TOCHeadings"/>
        <w:widowControl/>
        <w:numPr>
          <w:ilvl w:val="0"/>
          <w:numId w:val="20"/>
        </w:numPr>
        <w:tabs>
          <w:tab w:val="left" w:pos="426"/>
        </w:tabs>
        <w:spacing w:before="0" w:after="120"/>
        <w:ind w:left="357" w:hanging="357"/>
        <w:jc w:val="both"/>
        <w:rPr>
          <w:rFonts w:ascii="Times New Roman" w:hAnsi="Times New Roman"/>
          <w:sz w:val="24"/>
          <w:szCs w:val="24"/>
          <w:lang w:val="en-AU"/>
        </w:rPr>
      </w:pPr>
      <w:r w:rsidRPr="000E1BC3">
        <w:rPr>
          <w:rFonts w:ascii="Times New Roman" w:hAnsi="Times New Roman"/>
          <w:bCs/>
          <w:sz w:val="24"/>
          <w:szCs w:val="24"/>
          <w:lang w:val="en-AU"/>
        </w:rPr>
        <w:t xml:space="preserve">Experience from Clinical Studies </w:t>
      </w:r>
      <w:r w:rsidRPr="000E1BC3">
        <w:rPr>
          <w:rFonts w:ascii="Times New Roman" w:hAnsi="Times New Roman"/>
          <w:sz w:val="24"/>
          <w:szCs w:val="24"/>
          <w:lang w:val="en-AU"/>
        </w:rPr>
        <w:t>in Patients with Renal Impairment</w:t>
      </w:r>
    </w:p>
    <w:p w:rsidR="00B95F7C" w:rsidRPr="000E1BC3" w:rsidRDefault="00B95F7C" w:rsidP="00B95F7C">
      <w:pPr>
        <w:pStyle w:val="TOCHeadings"/>
        <w:widowControl/>
        <w:tabs>
          <w:tab w:val="left" w:pos="720"/>
        </w:tabs>
        <w:spacing w:before="0" w:after="0"/>
        <w:jc w:val="both"/>
        <w:rPr>
          <w:rFonts w:ascii="Times New Roman" w:hAnsi="Times New Roman"/>
          <w:b w:val="0"/>
          <w:sz w:val="24"/>
          <w:szCs w:val="24"/>
          <w:lang w:val="en-AU"/>
        </w:rPr>
      </w:pPr>
      <w:r w:rsidRPr="000E1BC3">
        <w:rPr>
          <w:rFonts w:ascii="Times New Roman" w:hAnsi="Times New Roman"/>
          <w:b w:val="0"/>
          <w:sz w:val="24"/>
          <w:szCs w:val="24"/>
          <w:lang w:val="en-AU"/>
        </w:rPr>
        <w:t xml:space="preserve">The safety of FTC + TAF (components of </w:t>
      </w:r>
      <w:r w:rsidR="002F43D2">
        <w:rPr>
          <w:rFonts w:ascii="Times New Roman" w:hAnsi="Times New Roman"/>
          <w:b w:val="0"/>
          <w:sz w:val="24"/>
          <w:szCs w:val="24"/>
          <w:lang w:val="en-AU"/>
        </w:rPr>
        <w:t>BIKTARVY</w:t>
      </w:r>
      <w:r w:rsidRPr="000E1BC3">
        <w:rPr>
          <w:rFonts w:ascii="Times New Roman" w:hAnsi="Times New Roman"/>
          <w:b w:val="0"/>
          <w:sz w:val="24"/>
          <w:szCs w:val="24"/>
          <w:lang w:val="en-AU"/>
        </w:rPr>
        <w:t xml:space="preserve">) was evaluated through 144 weeks in an open-label clinical study (Study 0112) in which 248 HIV-1 infected patients who were either treatment-naïve (N=6) or virologically suppressed (N=242) with mild to moderate renal impairment (eGFR by Cockcroft-Gault method 30-69 mL per min) received FTC+TAF in combination with EVG+COBI as a fixed-dose combination tablet. The safety profile of FTC+TAF in patients with mild to moderate renal impairment was similar to that from patients with normal renal function (see </w:t>
      </w:r>
      <w:r w:rsidR="00D3190F" w:rsidRPr="000E1BC3">
        <w:rPr>
          <w:rFonts w:ascii="Times New Roman" w:hAnsi="Times New Roman"/>
          <w:b w:val="0"/>
          <w:sz w:val="24"/>
          <w:szCs w:val="24"/>
          <w:lang w:val="en-AU"/>
        </w:rPr>
        <w:t xml:space="preserve">Section </w:t>
      </w:r>
      <w:r w:rsidR="001777AE">
        <w:rPr>
          <w:rFonts w:ascii="Times New Roman" w:hAnsi="Times New Roman"/>
          <w:b w:val="0"/>
          <w:sz w:val="24"/>
          <w:szCs w:val="24"/>
          <w:lang w:val="en-AU"/>
        </w:rPr>
        <w:t>5.1</w:t>
      </w:r>
      <w:r w:rsidR="00D3190F" w:rsidRPr="000E1BC3">
        <w:rPr>
          <w:rFonts w:ascii="Times New Roman" w:hAnsi="Times New Roman"/>
          <w:b w:val="0"/>
          <w:sz w:val="24"/>
          <w:szCs w:val="24"/>
          <w:lang w:val="en-AU"/>
        </w:rPr>
        <w:t xml:space="preserve"> </w:t>
      </w:r>
      <w:r w:rsidR="00D84B4B" w:rsidRPr="000E1BC3">
        <w:rPr>
          <w:rFonts w:ascii="Times New Roman" w:hAnsi="Times New Roman"/>
          <w:b w:val="0"/>
          <w:sz w:val="24"/>
          <w:szCs w:val="24"/>
          <w:lang w:val="en-AU"/>
        </w:rPr>
        <w:t>Clinical Trials</w:t>
      </w:r>
      <w:r w:rsidRPr="000E1BC3">
        <w:rPr>
          <w:rFonts w:ascii="Times New Roman" w:hAnsi="Times New Roman"/>
          <w:b w:val="0"/>
          <w:sz w:val="24"/>
          <w:szCs w:val="24"/>
          <w:lang w:val="en-AU"/>
        </w:rPr>
        <w:t>).</w:t>
      </w:r>
    </w:p>
    <w:p w:rsidR="00B95F7C" w:rsidRPr="000E1BC3" w:rsidRDefault="00B95F7C" w:rsidP="00B95F7C">
      <w:pPr>
        <w:pStyle w:val="TOCHeadings"/>
        <w:widowControl/>
        <w:tabs>
          <w:tab w:val="left" w:pos="720"/>
        </w:tabs>
        <w:spacing w:before="0" w:after="0"/>
        <w:jc w:val="both"/>
        <w:rPr>
          <w:rFonts w:ascii="Times New Roman" w:hAnsi="Times New Roman"/>
          <w:sz w:val="24"/>
          <w:szCs w:val="24"/>
          <w:lang w:val="en-AU"/>
        </w:rPr>
      </w:pPr>
    </w:p>
    <w:p w:rsidR="00B95F7C" w:rsidRPr="000E1BC3" w:rsidRDefault="00E03E0E" w:rsidP="0091176D">
      <w:pPr>
        <w:pStyle w:val="TOCHeadings"/>
        <w:widowControl/>
        <w:numPr>
          <w:ilvl w:val="0"/>
          <w:numId w:val="20"/>
        </w:numPr>
        <w:tabs>
          <w:tab w:val="left" w:pos="284"/>
        </w:tabs>
        <w:spacing w:before="0" w:after="120"/>
        <w:ind w:left="357" w:hanging="357"/>
        <w:rPr>
          <w:rFonts w:ascii="Times New Roman" w:hAnsi="Times New Roman"/>
          <w:sz w:val="24"/>
          <w:szCs w:val="24"/>
          <w:lang w:val="en-AU"/>
        </w:rPr>
      </w:pPr>
      <w:r w:rsidRPr="000E1BC3">
        <w:rPr>
          <w:rFonts w:ascii="Times New Roman" w:hAnsi="Times New Roman"/>
          <w:b w:val="0"/>
          <w:sz w:val="24"/>
          <w:szCs w:val="24"/>
          <w:lang w:val="en-GB"/>
        </w:rPr>
        <w:t xml:space="preserve"> </w:t>
      </w:r>
      <w:r w:rsidR="00B95F7C" w:rsidRPr="000E1BC3">
        <w:rPr>
          <w:rFonts w:ascii="Times New Roman" w:hAnsi="Times New Roman"/>
          <w:sz w:val="24"/>
          <w:szCs w:val="24"/>
          <w:lang w:val="en-AU"/>
        </w:rPr>
        <w:t>Experience from Clinical Studies in Patients Coinfected with HIV-1 and Chronic Hepatitis B</w:t>
      </w:r>
    </w:p>
    <w:p w:rsidR="00B95F7C" w:rsidRPr="000E1BC3" w:rsidRDefault="00B95F7C" w:rsidP="00B95F7C">
      <w:pPr>
        <w:pStyle w:val="TOCHeadings"/>
        <w:tabs>
          <w:tab w:val="left" w:pos="720"/>
        </w:tabs>
        <w:spacing w:before="120" w:after="120"/>
        <w:rPr>
          <w:rFonts w:ascii="Times New Roman" w:hAnsi="Times New Roman"/>
          <w:b w:val="0"/>
          <w:sz w:val="24"/>
          <w:szCs w:val="24"/>
          <w:lang w:val="en-AU"/>
        </w:rPr>
      </w:pPr>
      <w:r w:rsidRPr="000E1BC3">
        <w:rPr>
          <w:rFonts w:ascii="Times New Roman" w:hAnsi="Times New Roman"/>
          <w:b w:val="0"/>
          <w:sz w:val="24"/>
          <w:szCs w:val="24"/>
          <w:lang w:val="en-AU"/>
        </w:rPr>
        <w:t xml:space="preserve">The safety of </w:t>
      </w:r>
      <w:r w:rsidR="003809BB">
        <w:rPr>
          <w:rFonts w:ascii="Times New Roman" w:hAnsi="Times New Roman"/>
          <w:b w:val="0"/>
          <w:sz w:val="24"/>
          <w:szCs w:val="24"/>
          <w:lang w:val="en-AU"/>
        </w:rPr>
        <w:t>TAF</w:t>
      </w:r>
      <w:r w:rsidRPr="000E1BC3">
        <w:rPr>
          <w:rFonts w:ascii="Times New Roman" w:hAnsi="Times New Roman"/>
          <w:b w:val="0"/>
          <w:sz w:val="24"/>
          <w:szCs w:val="24"/>
          <w:lang w:val="en-AU"/>
        </w:rPr>
        <w:t xml:space="preserve"> (a component of </w:t>
      </w:r>
      <w:r w:rsidR="002F43D2">
        <w:rPr>
          <w:rFonts w:ascii="Times New Roman" w:hAnsi="Times New Roman"/>
          <w:b w:val="0"/>
          <w:sz w:val="24"/>
          <w:szCs w:val="24"/>
          <w:lang w:val="en-AU"/>
        </w:rPr>
        <w:t>BIKTARVY</w:t>
      </w:r>
      <w:r w:rsidRPr="000E1BC3">
        <w:rPr>
          <w:rFonts w:ascii="Times New Roman" w:hAnsi="Times New Roman"/>
          <w:b w:val="0"/>
          <w:sz w:val="24"/>
          <w:szCs w:val="24"/>
          <w:lang w:val="en-AU"/>
        </w:rPr>
        <w:t xml:space="preserve">) for the treatment of chronic hepatitis B is based on data from two randomized, double-blind, active-controlled studies in adults </w:t>
      </w:r>
      <w:r w:rsidRPr="000E1BC3">
        <w:rPr>
          <w:rFonts w:ascii="Times New Roman" w:hAnsi="Times New Roman"/>
          <w:b w:val="0"/>
          <w:sz w:val="24"/>
          <w:szCs w:val="24"/>
          <w:lang w:val="en-AU"/>
        </w:rPr>
        <w:lastRenderedPageBreak/>
        <w:t>with compensated liver disease (GS-US-320-0108 and GS-US-320-0110) (see VEMLIDY</w:t>
      </w:r>
      <w:r w:rsidRPr="000E1BC3">
        <w:rPr>
          <w:rFonts w:ascii="Times New Roman" w:hAnsi="Times New Roman"/>
          <w:b w:val="0"/>
          <w:sz w:val="24"/>
          <w:szCs w:val="24"/>
          <w:vertAlign w:val="superscript"/>
          <w:lang w:val="en-AU"/>
        </w:rPr>
        <w:t>®</w:t>
      </w:r>
      <w:r w:rsidRPr="000E1BC3">
        <w:rPr>
          <w:rFonts w:ascii="Times New Roman" w:hAnsi="Times New Roman"/>
          <w:b w:val="0"/>
          <w:sz w:val="24"/>
          <w:szCs w:val="24"/>
          <w:lang w:val="en-AU"/>
        </w:rPr>
        <w:t xml:space="preserve"> (tenofovir alafenamide) PI).</w:t>
      </w:r>
    </w:p>
    <w:p w:rsidR="00B95F7C" w:rsidRPr="000E1BC3" w:rsidRDefault="00B95F7C" w:rsidP="00B95F7C">
      <w:pPr>
        <w:pStyle w:val="TOCHeadings"/>
        <w:tabs>
          <w:tab w:val="left" w:pos="720"/>
        </w:tabs>
        <w:spacing w:before="120" w:after="120"/>
        <w:rPr>
          <w:rFonts w:ascii="Times New Roman" w:hAnsi="Times New Roman"/>
          <w:b w:val="0"/>
          <w:sz w:val="24"/>
          <w:szCs w:val="24"/>
          <w:lang w:val="en-AU"/>
        </w:rPr>
      </w:pPr>
      <w:r w:rsidRPr="000E1BC3">
        <w:rPr>
          <w:rFonts w:ascii="Times New Roman" w:hAnsi="Times New Roman"/>
          <w:b w:val="0"/>
          <w:sz w:val="24"/>
          <w:szCs w:val="24"/>
          <w:lang w:val="en-AU"/>
        </w:rPr>
        <w:t xml:space="preserve">The safety of FTC + TAF in 72 HIV-suppressed adults coinfected with chronic hepatitis B was evaluated through Week 48 in an open-label clinical study (GS-US-292-1249) in which patients were switched from another antiretroviral regimen to FTC + TAF administered with elvitegravir (EVG) and cobicistat (COBI) as a fixed-dose combination tablet. The safety profile of this regimen in patients coinfected with HIV-1 and chronic hepatitis B was similar to that in patients with HIV-1 monoinfection (see </w:t>
      </w:r>
      <w:r w:rsidR="00D84B4B" w:rsidRPr="000E1BC3">
        <w:rPr>
          <w:rFonts w:ascii="Times New Roman" w:hAnsi="Times New Roman"/>
          <w:b w:val="0"/>
          <w:sz w:val="24"/>
          <w:szCs w:val="24"/>
          <w:lang w:val="en-AU"/>
        </w:rPr>
        <w:t xml:space="preserve">Section </w:t>
      </w:r>
      <w:r w:rsidR="001777AE">
        <w:rPr>
          <w:rFonts w:ascii="Times New Roman" w:hAnsi="Times New Roman"/>
          <w:b w:val="0"/>
          <w:sz w:val="24"/>
          <w:szCs w:val="24"/>
          <w:lang w:val="en-AU"/>
        </w:rPr>
        <w:t>5.1</w:t>
      </w:r>
      <w:r w:rsidR="00D84B4B" w:rsidRPr="000E1BC3">
        <w:rPr>
          <w:rFonts w:ascii="Times New Roman" w:hAnsi="Times New Roman"/>
          <w:b w:val="0"/>
          <w:sz w:val="24"/>
          <w:szCs w:val="24"/>
          <w:lang w:val="en-AU"/>
        </w:rPr>
        <w:t xml:space="preserve"> Clinical Trials</w:t>
      </w:r>
      <w:r w:rsidRPr="000E1BC3">
        <w:rPr>
          <w:rFonts w:ascii="Times New Roman" w:hAnsi="Times New Roman"/>
          <w:b w:val="0"/>
          <w:sz w:val="24"/>
          <w:szCs w:val="24"/>
          <w:lang w:val="en-AU"/>
        </w:rPr>
        <w:t>).</w:t>
      </w:r>
    </w:p>
    <w:p w:rsidR="00B95F7C" w:rsidRDefault="00B95F7C" w:rsidP="00B95F7C">
      <w:pPr>
        <w:pStyle w:val="TOCHeadings"/>
        <w:widowControl/>
        <w:tabs>
          <w:tab w:val="left" w:pos="720"/>
        </w:tabs>
        <w:spacing w:before="0" w:after="0"/>
        <w:rPr>
          <w:rFonts w:ascii="Times New Roman" w:hAnsi="Times New Roman"/>
          <w:b w:val="0"/>
          <w:sz w:val="24"/>
          <w:szCs w:val="24"/>
          <w:lang w:val="en-AU"/>
        </w:rPr>
      </w:pPr>
      <w:r w:rsidRPr="000E1BC3">
        <w:rPr>
          <w:rFonts w:ascii="Times New Roman" w:hAnsi="Times New Roman"/>
          <w:b w:val="0"/>
          <w:sz w:val="24"/>
          <w:szCs w:val="24"/>
          <w:lang w:val="en-AU"/>
        </w:rPr>
        <w:t xml:space="preserve">In 16 HIV/HBV coinfected adults administered </w:t>
      </w:r>
      <w:r w:rsidR="002F43D2">
        <w:rPr>
          <w:rFonts w:ascii="Times New Roman" w:hAnsi="Times New Roman"/>
          <w:b w:val="0"/>
          <w:sz w:val="24"/>
          <w:szCs w:val="24"/>
          <w:lang w:val="en-AU"/>
        </w:rPr>
        <w:t>BIKTARVY</w:t>
      </w:r>
      <w:r w:rsidRPr="000E1BC3">
        <w:rPr>
          <w:rFonts w:ascii="Times New Roman" w:hAnsi="Times New Roman"/>
          <w:b w:val="0"/>
          <w:sz w:val="24"/>
          <w:szCs w:val="24"/>
          <w:lang w:val="en-AU"/>
        </w:rPr>
        <w:t xml:space="preserve"> (n = 8 HIV/HBV treatment naïve in Study 1490; n = 8 HIV/HBV suppressed in Study 1878), the </w:t>
      </w:r>
      <w:r w:rsidR="001777AE">
        <w:rPr>
          <w:rFonts w:ascii="Times New Roman" w:hAnsi="Times New Roman"/>
          <w:b w:val="0"/>
          <w:sz w:val="24"/>
          <w:szCs w:val="24"/>
          <w:lang w:val="en-AU"/>
        </w:rPr>
        <w:t>adverse effects</w:t>
      </w:r>
      <w:r w:rsidR="001777AE" w:rsidRPr="000E1BC3">
        <w:rPr>
          <w:rFonts w:ascii="Times New Roman" w:hAnsi="Times New Roman"/>
          <w:b w:val="0"/>
          <w:sz w:val="24"/>
          <w:szCs w:val="24"/>
          <w:lang w:val="en-AU"/>
        </w:rPr>
        <w:t xml:space="preserve"> </w:t>
      </w:r>
      <w:r w:rsidRPr="000E1BC3">
        <w:rPr>
          <w:rFonts w:ascii="Times New Roman" w:hAnsi="Times New Roman"/>
          <w:b w:val="0"/>
          <w:sz w:val="24"/>
          <w:szCs w:val="24"/>
          <w:lang w:val="en-AU"/>
        </w:rPr>
        <w:t xml:space="preserve">profile of </w:t>
      </w:r>
      <w:r w:rsidR="002F43D2">
        <w:rPr>
          <w:rFonts w:ascii="Times New Roman" w:hAnsi="Times New Roman"/>
          <w:b w:val="0"/>
          <w:sz w:val="24"/>
          <w:szCs w:val="24"/>
          <w:lang w:val="en-AU"/>
        </w:rPr>
        <w:t>BIKTARVY</w:t>
      </w:r>
      <w:r w:rsidRPr="000E1BC3">
        <w:rPr>
          <w:rFonts w:ascii="Times New Roman" w:hAnsi="Times New Roman"/>
          <w:b w:val="0"/>
          <w:sz w:val="24"/>
          <w:szCs w:val="24"/>
          <w:lang w:val="en-AU"/>
        </w:rPr>
        <w:t xml:space="preserve"> was similar to that in patients with HIV-1 monoinfection.</w:t>
      </w:r>
      <w:r w:rsidR="0074095E">
        <w:rPr>
          <w:rFonts w:ascii="Times New Roman" w:hAnsi="Times New Roman"/>
          <w:b w:val="0"/>
          <w:sz w:val="24"/>
          <w:szCs w:val="24"/>
          <w:lang w:val="en-AU"/>
        </w:rPr>
        <w:t xml:space="preserve"> </w:t>
      </w:r>
      <w:r w:rsidR="001B6BBB">
        <w:rPr>
          <w:rFonts w:ascii="Times New Roman" w:hAnsi="Times New Roman"/>
          <w:b w:val="0"/>
          <w:sz w:val="24"/>
          <w:szCs w:val="24"/>
          <w:lang w:val="en-AU"/>
        </w:rPr>
        <w:t>O</w:t>
      </w:r>
      <w:r w:rsidR="00C82649" w:rsidRPr="00C82649">
        <w:rPr>
          <w:rFonts w:ascii="Times New Roman" w:hAnsi="Times New Roman"/>
          <w:b w:val="0"/>
          <w:sz w:val="24"/>
          <w:szCs w:val="24"/>
        </w:rPr>
        <w:t xml:space="preserve">ne patient </w:t>
      </w:r>
      <w:r w:rsidR="00C82649">
        <w:rPr>
          <w:rFonts w:ascii="Times New Roman" w:hAnsi="Times New Roman"/>
          <w:b w:val="0"/>
          <w:sz w:val="24"/>
          <w:szCs w:val="24"/>
        </w:rPr>
        <w:t xml:space="preserve">in Study 1490 </w:t>
      </w:r>
      <w:r w:rsidR="00C82649" w:rsidRPr="00C82649">
        <w:rPr>
          <w:rFonts w:ascii="Times New Roman" w:hAnsi="Times New Roman"/>
          <w:b w:val="0"/>
          <w:sz w:val="24"/>
          <w:szCs w:val="24"/>
        </w:rPr>
        <w:t>developed protocol-defined hepatic flare (ALT &gt; 10 times upper limit of normal). ALT returned to normal limits without treatment interruption.</w:t>
      </w:r>
      <w:r w:rsidR="00C82649">
        <w:rPr>
          <w:rFonts w:ascii="Times New Roman" w:hAnsi="Times New Roman"/>
          <w:sz w:val="24"/>
          <w:szCs w:val="24"/>
        </w:rPr>
        <w:t xml:space="preserve"> </w:t>
      </w:r>
      <w:r w:rsidR="00394A8A">
        <w:rPr>
          <w:rFonts w:ascii="Times New Roman" w:hAnsi="Times New Roman"/>
          <w:b w:val="0"/>
          <w:sz w:val="24"/>
          <w:szCs w:val="24"/>
          <w:lang w:val="en-AU"/>
        </w:rPr>
        <w:t>Given limited data</w:t>
      </w:r>
      <w:r w:rsidR="001D05B8">
        <w:rPr>
          <w:rFonts w:ascii="Times New Roman" w:hAnsi="Times New Roman"/>
          <w:b w:val="0"/>
          <w:sz w:val="24"/>
          <w:szCs w:val="24"/>
          <w:lang w:val="en-AU"/>
        </w:rPr>
        <w:t xml:space="preserve"> for use of </w:t>
      </w:r>
      <w:r w:rsidR="002F43D2">
        <w:rPr>
          <w:rFonts w:ascii="Times New Roman" w:hAnsi="Times New Roman"/>
          <w:b w:val="0"/>
          <w:sz w:val="24"/>
          <w:szCs w:val="24"/>
          <w:lang w:val="en-AU"/>
        </w:rPr>
        <w:t>BIKTARVY</w:t>
      </w:r>
      <w:r w:rsidR="001D05B8">
        <w:rPr>
          <w:rFonts w:ascii="Times New Roman" w:hAnsi="Times New Roman"/>
          <w:b w:val="0"/>
          <w:sz w:val="24"/>
          <w:szCs w:val="24"/>
          <w:lang w:val="en-AU"/>
        </w:rPr>
        <w:t xml:space="preserve"> in HBV</w:t>
      </w:r>
      <w:r w:rsidR="00394A8A">
        <w:rPr>
          <w:rFonts w:ascii="Times New Roman" w:hAnsi="Times New Roman"/>
          <w:b w:val="0"/>
          <w:sz w:val="24"/>
          <w:szCs w:val="24"/>
          <w:lang w:val="en-AU"/>
        </w:rPr>
        <w:t xml:space="preserve"> </w:t>
      </w:r>
      <w:r w:rsidR="001D05B8">
        <w:rPr>
          <w:rFonts w:ascii="Times New Roman" w:hAnsi="Times New Roman"/>
          <w:b w:val="0"/>
          <w:sz w:val="24"/>
          <w:szCs w:val="24"/>
          <w:lang w:val="en-AU"/>
        </w:rPr>
        <w:t xml:space="preserve">coinfection, </w:t>
      </w:r>
      <w:r w:rsidR="002F43D2">
        <w:rPr>
          <w:rFonts w:ascii="Times New Roman" w:hAnsi="Times New Roman"/>
          <w:b w:val="0"/>
          <w:sz w:val="24"/>
          <w:szCs w:val="24"/>
          <w:lang w:val="en-AU"/>
        </w:rPr>
        <w:t>closely monitor co</w:t>
      </w:r>
      <w:r w:rsidR="00230135">
        <w:rPr>
          <w:rFonts w:ascii="Times New Roman" w:hAnsi="Times New Roman"/>
          <w:b w:val="0"/>
          <w:sz w:val="24"/>
          <w:szCs w:val="24"/>
          <w:lang w:val="en-AU"/>
        </w:rPr>
        <w:t>i</w:t>
      </w:r>
      <w:r w:rsidR="002F43D2">
        <w:rPr>
          <w:rFonts w:ascii="Times New Roman" w:hAnsi="Times New Roman"/>
          <w:b w:val="0"/>
          <w:sz w:val="24"/>
          <w:szCs w:val="24"/>
          <w:lang w:val="en-AU"/>
        </w:rPr>
        <w:t>nfected patients</w:t>
      </w:r>
      <w:r w:rsidR="00C82649">
        <w:rPr>
          <w:rFonts w:ascii="Times New Roman" w:hAnsi="Times New Roman"/>
          <w:b w:val="0"/>
          <w:sz w:val="24"/>
          <w:szCs w:val="24"/>
          <w:lang w:val="en-AU"/>
        </w:rPr>
        <w:t xml:space="preserve"> (see Section 4.4</w:t>
      </w:r>
      <w:r w:rsidR="0076010A">
        <w:rPr>
          <w:rFonts w:ascii="Times New Roman" w:hAnsi="Times New Roman"/>
          <w:b w:val="0"/>
          <w:sz w:val="24"/>
          <w:szCs w:val="24"/>
          <w:lang w:val="en-AU"/>
        </w:rPr>
        <w:t xml:space="preserve"> Special warnings and precautions). </w:t>
      </w:r>
    </w:p>
    <w:p w:rsidR="0091176D" w:rsidRPr="000E1BC3" w:rsidRDefault="0091176D" w:rsidP="00B95F7C">
      <w:pPr>
        <w:pStyle w:val="TOCHeadings"/>
        <w:widowControl/>
        <w:tabs>
          <w:tab w:val="left" w:pos="720"/>
        </w:tabs>
        <w:spacing w:before="0" w:after="0"/>
        <w:rPr>
          <w:rFonts w:ascii="Times New Roman" w:hAnsi="Times New Roman"/>
          <w:b w:val="0"/>
          <w:sz w:val="24"/>
          <w:szCs w:val="24"/>
          <w:lang w:val="en-AU"/>
        </w:rPr>
      </w:pPr>
    </w:p>
    <w:p w:rsidR="0091176D" w:rsidRPr="00535A46" w:rsidRDefault="0091176D" w:rsidP="0091176D">
      <w:pPr>
        <w:numPr>
          <w:ilvl w:val="0"/>
          <w:numId w:val="28"/>
        </w:numPr>
        <w:spacing w:after="120"/>
        <w:ind w:left="357" w:hanging="357"/>
        <w:rPr>
          <w:rFonts w:ascii="Times New Roman" w:hAnsi="Times New Roman"/>
          <w:b/>
          <w:bCs/>
          <w:sz w:val="24"/>
          <w:szCs w:val="24"/>
        </w:rPr>
      </w:pPr>
      <w:r w:rsidRPr="00535A46">
        <w:rPr>
          <w:rFonts w:ascii="Times New Roman" w:hAnsi="Times New Roman"/>
          <w:b/>
          <w:bCs/>
          <w:sz w:val="24"/>
          <w:szCs w:val="24"/>
        </w:rPr>
        <w:t>Reporting suspected adverse effects</w:t>
      </w:r>
    </w:p>
    <w:p w:rsidR="006E3873" w:rsidRPr="006E3873" w:rsidRDefault="006E3873" w:rsidP="00FE6F9D">
      <w:pPr>
        <w:rPr>
          <w:rFonts w:ascii="Times New Roman" w:hAnsi="Times New Roman"/>
          <w:noProof/>
          <w:sz w:val="24"/>
          <w:szCs w:val="24"/>
        </w:rPr>
      </w:pPr>
      <w:r w:rsidRPr="006E3873">
        <w:rPr>
          <w:rFonts w:ascii="Times New Roman" w:hAnsi="Times New Roman"/>
          <w:noProof/>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4" w:history="1">
        <w:r w:rsidR="0091176D" w:rsidRPr="00E877EE">
          <w:rPr>
            <w:rStyle w:val="Hyperlink"/>
            <w:rFonts w:ascii="Times New Roman" w:hAnsi="Times New Roman"/>
            <w:noProof/>
            <w:sz w:val="24"/>
            <w:szCs w:val="24"/>
          </w:rPr>
          <w:t>http://www.tga.gov.au/reporting-problems</w:t>
        </w:r>
      </w:hyperlink>
      <w:r w:rsidR="0091176D">
        <w:rPr>
          <w:rFonts w:ascii="Times New Roman" w:hAnsi="Times New Roman"/>
          <w:noProof/>
          <w:sz w:val="24"/>
          <w:szCs w:val="24"/>
        </w:rPr>
        <w:t>.</w:t>
      </w:r>
      <w:r w:rsidRPr="006E3873">
        <w:rPr>
          <w:rFonts w:ascii="Times New Roman" w:hAnsi="Times New Roman"/>
          <w:noProof/>
          <w:sz w:val="24"/>
          <w:szCs w:val="24"/>
        </w:rPr>
        <w:t xml:space="preserve"> </w:t>
      </w:r>
    </w:p>
    <w:p w:rsidR="006E3873" w:rsidRPr="000E1BC3" w:rsidRDefault="006E3873" w:rsidP="00FE6F9D">
      <w:pPr>
        <w:rPr>
          <w:rFonts w:ascii="Times New Roman" w:hAnsi="Times New Roman"/>
          <w:b/>
          <w:noProof/>
          <w:sz w:val="24"/>
          <w:szCs w:val="24"/>
        </w:rPr>
      </w:pPr>
    </w:p>
    <w:p w:rsidR="00A6786A" w:rsidRPr="000E1BC3" w:rsidRDefault="003E1CE4" w:rsidP="009D4C0D">
      <w:pPr>
        <w:spacing w:after="120"/>
        <w:rPr>
          <w:rFonts w:ascii="Times New Roman" w:hAnsi="Times New Roman"/>
          <w:b/>
          <w:noProof/>
          <w:sz w:val="24"/>
          <w:szCs w:val="24"/>
        </w:rPr>
      </w:pPr>
      <w:r w:rsidRPr="000E1BC3">
        <w:rPr>
          <w:rFonts w:ascii="Times New Roman" w:hAnsi="Times New Roman"/>
          <w:b/>
          <w:noProof/>
          <w:sz w:val="24"/>
          <w:szCs w:val="24"/>
        </w:rPr>
        <w:t>4.</w:t>
      </w:r>
      <w:r w:rsidR="001E3BBA">
        <w:rPr>
          <w:rFonts w:ascii="Times New Roman" w:hAnsi="Times New Roman"/>
          <w:b/>
          <w:noProof/>
          <w:sz w:val="24"/>
          <w:szCs w:val="24"/>
        </w:rPr>
        <w:t>9</w:t>
      </w:r>
      <w:r w:rsidR="001E3BBA" w:rsidRPr="000E1BC3">
        <w:rPr>
          <w:rFonts w:ascii="Times New Roman" w:hAnsi="Times New Roman"/>
          <w:b/>
          <w:noProof/>
          <w:sz w:val="24"/>
          <w:szCs w:val="24"/>
        </w:rPr>
        <w:t xml:space="preserve"> </w:t>
      </w:r>
      <w:r w:rsidRPr="000E1BC3">
        <w:rPr>
          <w:rFonts w:ascii="Times New Roman" w:hAnsi="Times New Roman"/>
          <w:b/>
          <w:noProof/>
          <w:sz w:val="24"/>
          <w:szCs w:val="24"/>
        </w:rPr>
        <w:t>OVERDOSE</w:t>
      </w:r>
    </w:p>
    <w:p w:rsidR="003E1CE4" w:rsidRDefault="003E1CE4" w:rsidP="003E1CE4">
      <w:pPr>
        <w:pStyle w:val="Text10"/>
        <w:spacing w:after="0"/>
      </w:pPr>
      <w:r w:rsidRPr="000E1BC3">
        <w:t xml:space="preserve">If overdose occurs the patient must be monitored for evidence of toxicity.  Treatment of overdose with </w:t>
      </w:r>
      <w:r w:rsidR="002F43D2">
        <w:t>BIKTARVY</w:t>
      </w:r>
      <w:r w:rsidRPr="000E1BC3">
        <w:t xml:space="preserve"> consists of general supportive measures including monitoring of vital signs and ECG (QT interval) as well as observation of the clinical status of the patient.</w:t>
      </w:r>
    </w:p>
    <w:p w:rsidR="001A2F1D" w:rsidRPr="000E1BC3" w:rsidRDefault="001A2F1D" w:rsidP="003E1CE4">
      <w:pPr>
        <w:pStyle w:val="Text10"/>
        <w:spacing w:after="0"/>
      </w:pPr>
    </w:p>
    <w:p w:rsidR="003E1CE4" w:rsidRPr="000E1BC3" w:rsidRDefault="003E1CE4" w:rsidP="003E1CE4">
      <w:pPr>
        <w:pStyle w:val="TOCHeadings"/>
        <w:widowControl/>
        <w:tabs>
          <w:tab w:val="left" w:pos="720"/>
        </w:tabs>
        <w:spacing w:before="0" w:after="0"/>
        <w:jc w:val="both"/>
        <w:rPr>
          <w:rFonts w:ascii="Times New Roman" w:hAnsi="Times New Roman"/>
          <w:b w:val="0"/>
          <w:sz w:val="24"/>
          <w:szCs w:val="24"/>
          <w:lang w:val="en-AU"/>
        </w:rPr>
      </w:pPr>
      <w:r w:rsidRPr="000E1BC3">
        <w:rPr>
          <w:rFonts w:ascii="Times New Roman" w:hAnsi="Times New Roman"/>
          <w:b w:val="0"/>
          <w:sz w:val="24"/>
          <w:szCs w:val="24"/>
          <w:lang w:val="en-AU"/>
        </w:rPr>
        <w:t>For information on the management of overdose, contact the Poison Information Centre on 131126 (Australia) and 0800 764 766 (New Zealand).</w:t>
      </w:r>
    </w:p>
    <w:p w:rsidR="003E1CE4" w:rsidRPr="000E1BC3" w:rsidRDefault="003E1CE4" w:rsidP="003E1CE4">
      <w:pPr>
        <w:pStyle w:val="TOCHeadings"/>
        <w:tabs>
          <w:tab w:val="left" w:pos="720"/>
        </w:tabs>
        <w:rPr>
          <w:rFonts w:ascii="Times New Roman" w:hAnsi="Times New Roman"/>
          <w:i/>
          <w:sz w:val="24"/>
          <w:szCs w:val="24"/>
          <w:lang w:val="en-AU"/>
        </w:rPr>
      </w:pPr>
      <w:r w:rsidRPr="000E1BC3">
        <w:rPr>
          <w:rFonts w:ascii="Times New Roman" w:hAnsi="Times New Roman"/>
          <w:i/>
          <w:sz w:val="24"/>
          <w:szCs w:val="24"/>
          <w:lang w:val="en-AU"/>
        </w:rPr>
        <w:t xml:space="preserve">Bictegravir: </w:t>
      </w:r>
      <w:r w:rsidR="00FA6CA6" w:rsidRPr="000E1BC3">
        <w:rPr>
          <w:rFonts w:ascii="Times New Roman" w:hAnsi="Times New Roman"/>
          <w:b w:val="0"/>
          <w:sz w:val="24"/>
          <w:szCs w:val="24"/>
          <w:lang w:val="en-AU"/>
        </w:rPr>
        <w:t xml:space="preserve">Limited clinical experience is available at doses higher than the recommended dose of BIC.  A single dose of 300 mg BIC (6 times the BIC dose in </w:t>
      </w:r>
      <w:r w:rsidR="002F43D2">
        <w:rPr>
          <w:rFonts w:ascii="Times New Roman" w:hAnsi="Times New Roman"/>
          <w:b w:val="0"/>
          <w:sz w:val="24"/>
          <w:szCs w:val="24"/>
          <w:lang w:val="en-AU"/>
        </w:rPr>
        <w:t>BIKTARVY</w:t>
      </w:r>
      <w:r w:rsidR="00FA6CA6" w:rsidRPr="000E1BC3">
        <w:rPr>
          <w:rFonts w:ascii="Times New Roman" w:hAnsi="Times New Roman"/>
          <w:b w:val="0"/>
          <w:sz w:val="24"/>
          <w:szCs w:val="24"/>
          <w:lang w:val="en-AU"/>
        </w:rPr>
        <w:t xml:space="preserve">) was administered to 48 healthy subjects; no serious adverse reactions were reported. </w:t>
      </w:r>
      <w:r w:rsidRPr="000E1BC3">
        <w:rPr>
          <w:rFonts w:ascii="Times New Roman" w:hAnsi="Times New Roman"/>
          <w:b w:val="0"/>
          <w:sz w:val="24"/>
          <w:szCs w:val="24"/>
          <w:lang w:val="en-AU"/>
        </w:rPr>
        <w:t>As BIC is highly bound to plasma proteins, it is unlikely that it will be significantly removed by hemodialysis or peritoneal dialysis.</w:t>
      </w:r>
    </w:p>
    <w:p w:rsidR="003E1CE4" w:rsidRPr="000E1BC3" w:rsidRDefault="003E1CE4" w:rsidP="003E1CE4">
      <w:pPr>
        <w:rPr>
          <w:rFonts w:ascii="Times New Roman" w:hAnsi="Times New Roman"/>
          <w:sz w:val="24"/>
          <w:szCs w:val="24"/>
        </w:rPr>
      </w:pPr>
      <w:r w:rsidRPr="000E1BC3">
        <w:rPr>
          <w:rFonts w:ascii="Times New Roman" w:hAnsi="Times New Roman"/>
          <w:b/>
          <w:i/>
          <w:sz w:val="24"/>
          <w:szCs w:val="24"/>
        </w:rPr>
        <w:t>Emtricitabine:</w:t>
      </w:r>
      <w:r w:rsidRPr="000E1BC3">
        <w:rPr>
          <w:rFonts w:ascii="Times New Roman" w:hAnsi="Times New Roman"/>
          <w:sz w:val="24"/>
          <w:szCs w:val="24"/>
        </w:rPr>
        <w:t xml:space="preserve"> Limited clinical experience is available at doses higher than the therapeutic dose of emtricitabine 200 mg.  In one clinical pharmacology study single doses of emtricitabine 1200 mg were administered to 11 patients.  No severe adverse reactions were reported.  The effects of higher doses are not known.  </w:t>
      </w:r>
    </w:p>
    <w:p w:rsidR="003E1CE4" w:rsidRPr="000E1BC3" w:rsidRDefault="003E1CE4" w:rsidP="003E1CE4">
      <w:pPr>
        <w:jc w:val="both"/>
        <w:rPr>
          <w:rFonts w:ascii="Times New Roman" w:hAnsi="Times New Roman"/>
          <w:sz w:val="24"/>
          <w:szCs w:val="24"/>
        </w:rPr>
      </w:pPr>
    </w:p>
    <w:p w:rsidR="003E1CE4" w:rsidRPr="000E1BC3" w:rsidRDefault="003E1CE4" w:rsidP="003E1CE4">
      <w:pPr>
        <w:rPr>
          <w:rFonts w:ascii="Times New Roman" w:hAnsi="Times New Roman"/>
          <w:sz w:val="24"/>
          <w:szCs w:val="24"/>
        </w:rPr>
      </w:pPr>
      <w:r w:rsidRPr="000E1BC3">
        <w:rPr>
          <w:rFonts w:ascii="Times New Roman" w:hAnsi="Times New Roman"/>
          <w:sz w:val="24"/>
          <w:szCs w:val="24"/>
        </w:rPr>
        <w:t>Haemodialysis treatment removes approximately 30% of the FTC dose over a 3-hour dialysis period starting within 1.5 hours of emtricitabine dosing (blood flow rate of 400 mL per min and a dialysate flow rate of 600 mL per min).  It is not known whether emtricitabine can be removed by peritoneal dialysis.</w:t>
      </w:r>
    </w:p>
    <w:p w:rsidR="003E1CE4" w:rsidRPr="000E1BC3" w:rsidRDefault="003E1CE4" w:rsidP="003E1CE4">
      <w:pPr>
        <w:rPr>
          <w:rFonts w:ascii="Times New Roman" w:hAnsi="Times New Roman"/>
          <w:b/>
          <w:i/>
          <w:sz w:val="24"/>
          <w:szCs w:val="24"/>
        </w:rPr>
      </w:pPr>
    </w:p>
    <w:p w:rsidR="003E1CE4" w:rsidRPr="000E1BC3" w:rsidRDefault="003E1CE4" w:rsidP="003E1CE4">
      <w:pPr>
        <w:rPr>
          <w:rFonts w:ascii="Times New Roman" w:hAnsi="Times New Roman"/>
          <w:sz w:val="24"/>
          <w:szCs w:val="24"/>
          <w:lang w:val="en-US"/>
        </w:rPr>
      </w:pPr>
      <w:r w:rsidRPr="000E1BC3">
        <w:rPr>
          <w:rFonts w:ascii="Times New Roman" w:hAnsi="Times New Roman"/>
          <w:b/>
          <w:i/>
          <w:sz w:val="24"/>
          <w:szCs w:val="24"/>
        </w:rPr>
        <w:lastRenderedPageBreak/>
        <w:t>Tenofovir Alafenamide</w:t>
      </w:r>
      <w:r w:rsidRPr="000E1BC3">
        <w:rPr>
          <w:rFonts w:ascii="Times New Roman" w:hAnsi="Times New Roman"/>
          <w:sz w:val="24"/>
          <w:szCs w:val="24"/>
        </w:rPr>
        <w:t xml:space="preserve">: </w:t>
      </w:r>
      <w:r w:rsidRPr="000E1BC3">
        <w:rPr>
          <w:rFonts w:ascii="Times New Roman" w:hAnsi="Times New Roman"/>
          <w:sz w:val="24"/>
          <w:szCs w:val="24"/>
          <w:lang w:val="en-US"/>
        </w:rPr>
        <w:t>Limited clinical experience is available at doses higher than the therapeutic dose of TAF.  A single supratherapeutic dose of 125 mg TAF was administered to 48 healthy patients, no serious adverse reactions were reported.  The effects of higher doses are unknown. Tenofovir is efficiently removed by hemodialysis with an extraction coefficient of approximately 54%.</w:t>
      </w:r>
    </w:p>
    <w:p w:rsidR="00BC6BC6" w:rsidRDefault="00BC6BC6" w:rsidP="00FE6F9D">
      <w:pPr>
        <w:rPr>
          <w:rFonts w:ascii="Times New Roman" w:hAnsi="Times New Roman"/>
          <w:b/>
          <w:noProof/>
          <w:sz w:val="24"/>
          <w:szCs w:val="24"/>
        </w:rPr>
      </w:pPr>
    </w:p>
    <w:p w:rsidR="007254DD" w:rsidRPr="003D0CCA" w:rsidRDefault="003E3A13" w:rsidP="009D4C0D">
      <w:pPr>
        <w:rPr>
          <w:rFonts w:ascii="Times New Roman" w:hAnsi="Times New Roman"/>
          <w:b/>
          <w:noProof/>
          <w:sz w:val="24"/>
          <w:szCs w:val="24"/>
        </w:rPr>
      </w:pPr>
      <w:r w:rsidRPr="003D0CCA">
        <w:rPr>
          <w:rFonts w:ascii="Times New Roman" w:hAnsi="Times New Roman"/>
          <w:b/>
          <w:noProof/>
          <w:sz w:val="24"/>
          <w:szCs w:val="24"/>
        </w:rPr>
        <w:t xml:space="preserve">5. </w:t>
      </w:r>
      <w:r w:rsidR="007254DD" w:rsidRPr="003D0CCA">
        <w:rPr>
          <w:rFonts w:ascii="Times New Roman" w:hAnsi="Times New Roman"/>
          <w:b/>
          <w:noProof/>
          <w:sz w:val="24"/>
          <w:szCs w:val="24"/>
        </w:rPr>
        <w:t>PHARMACOLOGY</w:t>
      </w:r>
    </w:p>
    <w:p w:rsidR="00D75809" w:rsidRPr="000E1BC3" w:rsidRDefault="00D75809" w:rsidP="00FE6F9D">
      <w:pPr>
        <w:rPr>
          <w:rFonts w:ascii="Times New Roman" w:hAnsi="Times New Roman"/>
          <w:b/>
          <w:noProof/>
          <w:sz w:val="24"/>
          <w:szCs w:val="24"/>
        </w:rPr>
      </w:pPr>
    </w:p>
    <w:p w:rsidR="003E3A13" w:rsidRPr="000E1BC3" w:rsidRDefault="003E3A13" w:rsidP="009D4C0D">
      <w:pPr>
        <w:spacing w:after="120"/>
        <w:rPr>
          <w:rFonts w:ascii="Times New Roman" w:hAnsi="Times New Roman"/>
          <w:b/>
          <w:noProof/>
          <w:sz w:val="24"/>
          <w:szCs w:val="24"/>
        </w:rPr>
      </w:pPr>
      <w:r w:rsidRPr="000E1BC3">
        <w:rPr>
          <w:rFonts w:ascii="Times New Roman" w:hAnsi="Times New Roman"/>
          <w:b/>
          <w:noProof/>
          <w:sz w:val="24"/>
          <w:szCs w:val="24"/>
        </w:rPr>
        <w:t>5.1 PHARMACODYNAMIC PROPERTIES</w:t>
      </w:r>
    </w:p>
    <w:p w:rsidR="007254DD" w:rsidRDefault="007254DD" w:rsidP="00FE6F9D">
      <w:pPr>
        <w:rPr>
          <w:rFonts w:ascii="Times New Roman" w:hAnsi="Times New Roman"/>
          <w:noProof/>
          <w:sz w:val="24"/>
          <w:szCs w:val="24"/>
        </w:rPr>
      </w:pPr>
      <w:r w:rsidRPr="000E1BC3">
        <w:rPr>
          <w:rFonts w:ascii="Times New Roman" w:hAnsi="Times New Roman"/>
          <w:b/>
          <w:i/>
          <w:noProof/>
          <w:sz w:val="24"/>
          <w:szCs w:val="24"/>
        </w:rPr>
        <w:t>Pharmacotherapeutic group:</w:t>
      </w:r>
      <w:r w:rsidRPr="000E1BC3">
        <w:rPr>
          <w:rFonts w:ascii="Times New Roman" w:hAnsi="Times New Roman"/>
          <w:noProof/>
          <w:sz w:val="24"/>
          <w:szCs w:val="24"/>
        </w:rPr>
        <w:t xml:space="preserve"> Antivirals for treatment of HIV infections, combinations, ATC code: </w:t>
      </w:r>
      <w:r w:rsidR="00874A82" w:rsidRPr="000E1BC3">
        <w:rPr>
          <w:rFonts w:ascii="Times New Roman" w:hAnsi="Times New Roman"/>
          <w:noProof/>
          <w:sz w:val="24"/>
          <w:szCs w:val="24"/>
        </w:rPr>
        <w:t>J05AR</w:t>
      </w:r>
      <w:r w:rsidR="00874A82">
        <w:rPr>
          <w:rFonts w:ascii="Times New Roman" w:hAnsi="Times New Roman"/>
          <w:noProof/>
          <w:sz w:val="24"/>
          <w:szCs w:val="24"/>
        </w:rPr>
        <w:t>20</w:t>
      </w:r>
      <w:r w:rsidRPr="000E1BC3">
        <w:rPr>
          <w:rFonts w:ascii="Times New Roman" w:hAnsi="Times New Roman"/>
          <w:noProof/>
          <w:sz w:val="24"/>
          <w:szCs w:val="24"/>
        </w:rPr>
        <w:t>.</w:t>
      </w:r>
    </w:p>
    <w:p w:rsidR="00D75809" w:rsidRPr="000E1BC3" w:rsidRDefault="00D75809" w:rsidP="00FE6F9D">
      <w:pPr>
        <w:rPr>
          <w:rFonts w:ascii="Times New Roman" w:hAnsi="Times New Roman"/>
          <w:noProof/>
          <w:sz w:val="24"/>
          <w:szCs w:val="24"/>
        </w:rPr>
      </w:pPr>
    </w:p>
    <w:p w:rsidR="004D22F3" w:rsidRPr="000E1BC3" w:rsidRDefault="004D22F3" w:rsidP="009D4C0D">
      <w:pPr>
        <w:numPr>
          <w:ilvl w:val="0"/>
          <w:numId w:val="21"/>
        </w:numPr>
        <w:spacing w:after="120"/>
        <w:ind w:left="357" w:hanging="357"/>
        <w:rPr>
          <w:rFonts w:ascii="Times New Roman" w:hAnsi="Times New Roman"/>
          <w:b/>
          <w:noProof/>
          <w:sz w:val="24"/>
          <w:szCs w:val="24"/>
        </w:rPr>
      </w:pPr>
      <w:r w:rsidRPr="000E1BC3">
        <w:rPr>
          <w:rFonts w:ascii="Times New Roman" w:hAnsi="Times New Roman"/>
          <w:b/>
          <w:noProof/>
          <w:sz w:val="24"/>
          <w:szCs w:val="24"/>
        </w:rPr>
        <w:t xml:space="preserve">Mechanism of action </w:t>
      </w:r>
    </w:p>
    <w:p w:rsidR="004D22F3" w:rsidRPr="000E1BC3" w:rsidRDefault="004D22F3" w:rsidP="004D22F3">
      <w:pPr>
        <w:rPr>
          <w:rFonts w:ascii="Times New Roman" w:hAnsi="Times New Roman"/>
          <w:sz w:val="24"/>
          <w:szCs w:val="24"/>
        </w:rPr>
      </w:pPr>
      <w:r w:rsidRPr="000E1BC3">
        <w:rPr>
          <w:rFonts w:ascii="Times New Roman" w:hAnsi="Times New Roman"/>
          <w:b/>
          <w:i/>
          <w:sz w:val="24"/>
          <w:szCs w:val="24"/>
        </w:rPr>
        <w:t xml:space="preserve">Bictegravir: </w:t>
      </w:r>
      <w:r w:rsidRPr="000E1BC3">
        <w:rPr>
          <w:rFonts w:ascii="Times New Roman" w:hAnsi="Times New Roman"/>
          <w:sz w:val="24"/>
          <w:szCs w:val="24"/>
        </w:rPr>
        <w:t>BIC is an integrase strand transfer inhibitor (INSTI) that binds to the integrase active site and blocks the strand transfer step of retroviral deoxyribonucleic acid (DNA) integration which is essential for the HIV replication cycle. BIC has activity that is specific to human immunodeficiency virus (HIV-1 and HIV-2).</w:t>
      </w:r>
    </w:p>
    <w:p w:rsidR="004D22F3" w:rsidRPr="000E1BC3" w:rsidRDefault="004D22F3" w:rsidP="004D22F3">
      <w:pPr>
        <w:rPr>
          <w:rFonts w:ascii="Times New Roman" w:hAnsi="Times New Roman"/>
          <w:b/>
          <w:i/>
          <w:sz w:val="24"/>
          <w:szCs w:val="24"/>
        </w:rPr>
      </w:pPr>
    </w:p>
    <w:p w:rsidR="004D22F3" w:rsidRPr="000E1BC3" w:rsidRDefault="004D22F3" w:rsidP="004D22F3">
      <w:pPr>
        <w:rPr>
          <w:rFonts w:ascii="Times New Roman" w:hAnsi="Times New Roman"/>
          <w:sz w:val="24"/>
          <w:szCs w:val="24"/>
        </w:rPr>
      </w:pPr>
      <w:r w:rsidRPr="000E1BC3">
        <w:rPr>
          <w:rFonts w:ascii="Times New Roman" w:hAnsi="Times New Roman"/>
          <w:b/>
          <w:i/>
          <w:sz w:val="24"/>
          <w:szCs w:val="24"/>
        </w:rPr>
        <w:t>Emtricitabine</w:t>
      </w:r>
      <w:r w:rsidRPr="000E1BC3">
        <w:rPr>
          <w:rFonts w:ascii="Times New Roman" w:hAnsi="Times New Roman"/>
          <w:i/>
          <w:sz w:val="24"/>
          <w:szCs w:val="24"/>
        </w:rPr>
        <w:t>:</w:t>
      </w:r>
      <w:r w:rsidRPr="000E1BC3">
        <w:rPr>
          <w:rFonts w:ascii="Times New Roman" w:hAnsi="Times New Roman"/>
          <w:sz w:val="24"/>
          <w:szCs w:val="24"/>
        </w:rPr>
        <w:t xml:space="preserve"> FTC is a nucleoside analogue of 2’-deoxycytidine. FTC is phosphorylated by cellular enzymes to form FTC triphosphate. FTC triphosphate inhibits HIV replication through incorporation into viral DNA by the HIV reverse transcriptase, which results in DNA chain-termination.</w:t>
      </w:r>
    </w:p>
    <w:p w:rsidR="004D22F3" w:rsidRPr="000E1BC3" w:rsidRDefault="004D22F3" w:rsidP="004D22F3">
      <w:pPr>
        <w:rPr>
          <w:rFonts w:ascii="Times New Roman" w:hAnsi="Times New Roman"/>
          <w:sz w:val="24"/>
          <w:szCs w:val="24"/>
        </w:rPr>
      </w:pPr>
    </w:p>
    <w:p w:rsidR="004D22F3" w:rsidRPr="000E1BC3" w:rsidRDefault="004D22F3" w:rsidP="004D22F3">
      <w:pPr>
        <w:rPr>
          <w:rFonts w:ascii="Times New Roman" w:hAnsi="Times New Roman"/>
          <w:sz w:val="24"/>
          <w:szCs w:val="24"/>
        </w:rPr>
      </w:pPr>
      <w:r w:rsidRPr="000E1BC3">
        <w:rPr>
          <w:rFonts w:ascii="Times New Roman" w:hAnsi="Times New Roman"/>
          <w:sz w:val="24"/>
          <w:szCs w:val="24"/>
        </w:rPr>
        <w:t xml:space="preserve">FTC has activity that is specific to human immunodeficiency virus (HIV-1 and HIV-2) and hepatitis B virus. FTC triphosphate is a weak inhibitor of mammalian DNA polymerases that include mitochondrial DNA polymerase γ and there was no evidence of toxicity to mitochondria </w:t>
      </w:r>
      <w:r w:rsidRPr="000E1BC3">
        <w:rPr>
          <w:rFonts w:ascii="Times New Roman" w:hAnsi="Times New Roman"/>
          <w:i/>
          <w:sz w:val="24"/>
          <w:szCs w:val="24"/>
        </w:rPr>
        <w:t>in vitro</w:t>
      </w:r>
      <w:r w:rsidRPr="000E1BC3">
        <w:rPr>
          <w:rFonts w:ascii="Times New Roman" w:hAnsi="Times New Roman"/>
          <w:sz w:val="24"/>
          <w:szCs w:val="24"/>
        </w:rPr>
        <w:t xml:space="preserve"> and </w:t>
      </w:r>
      <w:r w:rsidRPr="000E1BC3">
        <w:rPr>
          <w:rFonts w:ascii="Times New Roman" w:hAnsi="Times New Roman"/>
          <w:i/>
          <w:sz w:val="24"/>
          <w:szCs w:val="24"/>
        </w:rPr>
        <w:t>in vivo</w:t>
      </w:r>
      <w:r w:rsidRPr="000E1BC3">
        <w:rPr>
          <w:rFonts w:ascii="Times New Roman" w:hAnsi="Times New Roman"/>
          <w:sz w:val="24"/>
          <w:szCs w:val="24"/>
        </w:rPr>
        <w:t>.</w:t>
      </w:r>
    </w:p>
    <w:p w:rsidR="004D22F3" w:rsidRPr="000E1BC3" w:rsidRDefault="004D22F3" w:rsidP="004D22F3">
      <w:pPr>
        <w:rPr>
          <w:rFonts w:ascii="Times New Roman" w:hAnsi="Times New Roman"/>
          <w:sz w:val="24"/>
          <w:szCs w:val="24"/>
        </w:rPr>
      </w:pPr>
    </w:p>
    <w:p w:rsidR="004D22F3" w:rsidRPr="000E1BC3" w:rsidRDefault="004D22F3" w:rsidP="004D22F3">
      <w:pPr>
        <w:rPr>
          <w:rFonts w:ascii="Times New Roman" w:hAnsi="Times New Roman"/>
          <w:sz w:val="24"/>
          <w:szCs w:val="24"/>
        </w:rPr>
      </w:pPr>
      <w:r w:rsidRPr="000E1BC3">
        <w:rPr>
          <w:rFonts w:ascii="Times New Roman" w:hAnsi="Times New Roman"/>
          <w:b/>
          <w:i/>
          <w:sz w:val="24"/>
          <w:szCs w:val="24"/>
        </w:rPr>
        <w:t>Tenofovir Alafenamide</w:t>
      </w:r>
      <w:r w:rsidRPr="000E1BC3">
        <w:rPr>
          <w:rFonts w:ascii="Times New Roman" w:hAnsi="Times New Roman"/>
          <w:sz w:val="24"/>
          <w:szCs w:val="24"/>
        </w:rPr>
        <w:t xml:space="preserve">: TAF is a phosphonamidate prodrug of tenofovir (2’-deoxyadenosine monophosphate analogue). TAF is permeable into cells and due to increased plasma stability and intracellular activation through hydrolysis by cathepsin A, TAF is more efficient than tenofovir disoproxil fumarate (TDF) in loading tenofovir into </w:t>
      </w:r>
      <w:r w:rsidRPr="000E1BC3">
        <w:rPr>
          <w:rFonts w:ascii="Times New Roman" w:hAnsi="Times New Roman"/>
          <w:sz w:val="24"/>
          <w:szCs w:val="24"/>
          <w:lang w:val="en-US"/>
        </w:rPr>
        <w:t>peripheral blood mononuclear cells (</w:t>
      </w:r>
      <w:r w:rsidRPr="000E1BC3">
        <w:rPr>
          <w:rFonts w:ascii="Times New Roman" w:hAnsi="Times New Roman"/>
          <w:sz w:val="24"/>
          <w:szCs w:val="24"/>
        </w:rPr>
        <w:t>PBMCs), including lymphocytes and macrophages.  Intracellular tenofovir is subsequently phosphorylated to the pharmacologically active metabolite tenofovir diphosphate. Tenofovir diphosphate inhibits HIV replication through incorporation into viral DNA by the HIV reverse transcriptase, which results in DNA chain-termination.</w:t>
      </w:r>
    </w:p>
    <w:p w:rsidR="004D22F3" w:rsidRPr="000E1BC3" w:rsidRDefault="004D22F3" w:rsidP="004D22F3">
      <w:pPr>
        <w:rPr>
          <w:rFonts w:ascii="Times New Roman" w:hAnsi="Times New Roman"/>
          <w:i/>
          <w:sz w:val="24"/>
          <w:szCs w:val="24"/>
        </w:rPr>
      </w:pPr>
    </w:p>
    <w:p w:rsidR="00951284" w:rsidRPr="000E1BC3" w:rsidRDefault="004D22F3" w:rsidP="004D22F3">
      <w:pPr>
        <w:rPr>
          <w:rFonts w:ascii="Times New Roman" w:hAnsi="Times New Roman"/>
          <w:noProof/>
          <w:sz w:val="24"/>
          <w:szCs w:val="24"/>
          <w:lang w:val="en-US"/>
        </w:rPr>
      </w:pPr>
      <w:r w:rsidRPr="000E1BC3">
        <w:rPr>
          <w:rFonts w:ascii="Times New Roman" w:hAnsi="Times New Roman"/>
          <w:noProof/>
          <w:sz w:val="24"/>
          <w:szCs w:val="24"/>
          <w:lang w:val="en-US"/>
        </w:rPr>
        <w:t xml:space="preserve">Tenofovir has activity that is specific to human immunodeficiency virus (HIV-1 and HIV-2) and hepatitis B virus (HBV). </w:t>
      </w:r>
      <w:r w:rsidRPr="000E1BC3">
        <w:rPr>
          <w:rFonts w:ascii="Times New Roman" w:hAnsi="Times New Roman"/>
          <w:i/>
          <w:noProof/>
          <w:sz w:val="24"/>
          <w:szCs w:val="24"/>
          <w:lang w:val="en-US"/>
        </w:rPr>
        <w:t>In vitro</w:t>
      </w:r>
      <w:r w:rsidRPr="000E1BC3">
        <w:rPr>
          <w:rFonts w:ascii="Times New Roman" w:hAnsi="Times New Roman"/>
          <w:noProof/>
          <w:sz w:val="24"/>
          <w:szCs w:val="24"/>
          <w:lang w:val="en-US"/>
        </w:rPr>
        <w:t xml:space="preserve"> studies have shown that both emtricitabine and tenofovir can be fully phosphorylated when combined in cells. Tenofovir diphosphate is a weak inhibitor of mammalian DNA polymerases that include mitochondrial DNA polymerase γ and there is no evidence of mitochondrial toxicity </w:t>
      </w:r>
      <w:r w:rsidRPr="000E1BC3">
        <w:rPr>
          <w:rFonts w:ascii="Times New Roman" w:hAnsi="Times New Roman"/>
          <w:i/>
          <w:noProof/>
          <w:sz w:val="24"/>
          <w:szCs w:val="24"/>
          <w:lang w:val="en-US"/>
        </w:rPr>
        <w:t xml:space="preserve">in vitro </w:t>
      </w:r>
      <w:r w:rsidRPr="000E1BC3">
        <w:rPr>
          <w:rFonts w:ascii="Times New Roman" w:hAnsi="Times New Roman"/>
          <w:noProof/>
          <w:sz w:val="24"/>
          <w:szCs w:val="24"/>
          <w:lang w:val="en-US"/>
        </w:rPr>
        <w:t>based on several assays including mitochondrial DNA analyses</w:t>
      </w:r>
      <w:r w:rsidR="009228A7" w:rsidRPr="000E1BC3">
        <w:rPr>
          <w:rFonts w:ascii="Times New Roman" w:hAnsi="Times New Roman"/>
          <w:noProof/>
          <w:sz w:val="24"/>
          <w:szCs w:val="24"/>
          <w:lang w:val="en-US"/>
        </w:rPr>
        <w:t>.</w:t>
      </w:r>
    </w:p>
    <w:p w:rsidR="009228A7" w:rsidRPr="000E1BC3" w:rsidRDefault="009228A7" w:rsidP="004D22F3">
      <w:pPr>
        <w:rPr>
          <w:rFonts w:ascii="Times New Roman" w:hAnsi="Times New Roman"/>
          <w:noProof/>
          <w:sz w:val="24"/>
          <w:szCs w:val="24"/>
          <w:lang w:val="en-US"/>
        </w:rPr>
      </w:pPr>
    </w:p>
    <w:p w:rsidR="009228A7" w:rsidRPr="000E1BC3" w:rsidRDefault="009228A7" w:rsidP="009D253C">
      <w:pPr>
        <w:numPr>
          <w:ilvl w:val="0"/>
          <w:numId w:val="21"/>
        </w:numPr>
        <w:spacing w:after="120"/>
        <w:ind w:left="357" w:hanging="357"/>
        <w:rPr>
          <w:rFonts w:ascii="Times New Roman" w:hAnsi="Times New Roman"/>
          <w:b/>
          <w:i/>
          <w:noProof/>
          <w:sz w:val="24"/>
          <w:szCs w:val="24"/>
        </w:rPr>
      </w:pPr>
      <w:r w:rsidRPr="000E1BC3">
        <w:rPr>
          <w:rFonts w:ascii="Times New Roman" w:hAnsi="Times New Roman"/>
          <w:b/>
          <w:noProof/>
          <w:sz w:val="24"/>
          <w:szCs w:val="24"/>
        </w:rPr>
        <w:t xml:space="preserve">Antiviral activity </w:t>
      </w:r>
      <w:r w:rsidRPr="000E1BC3">
        <w:rPr>
          <w:rFonts w:ascii="Times New Roman" w:hAnsi="Times New Roman"/>
          <w:b/>
          <w:i/>
          <w:noProof/>
          <w:sz w:val="24"/>
          <w:szCs w:val="24"/>
        </w:rPr>
        <w:t>in vitro</w:t>
      </w:r>
    </w:p>
    <w:p w:rsidR="009228A7" w:rsidRPr="000E1BC3" w:rsidRDefault="009228A7" w:rsidP="009228A7">
      <w:pPr>
        <w:rPr>
          <w:rFonts w:ascii="Times New Roman" w:hAnsi="Times New Roman"/>
          <w:sz w:val="24"/>
          <w:szCs w:val="24"/>
        </w:rPr>
      </w:pPr>
      <w:r w:rsidRPr="000E1BC3">
        <w:rPr>
          <w:rFonts w:ascii="Times New Roman" w:hAnsi="Times New Roman"/>
          <w:sz w:val="24"/>
          <w:szCs w:val="24"/>
        </w:rPr>
        <w:t>The triple combination of bictegravir, emtricitabine, and tenofovir alafenamide demonstrated synergistic antiviral activity in cell culture.</w:t>
      </w:r>
    </w:p>
    <w:p w:rsidR="009228A7" w:rsidRPr="000E1BC3" w:rsidRDefault="009228A7" w:rsidP="009228A7">
      <w:pPr>
        <w:rPr>
          <w:rFonts w:ascii="Times New Roman" w:hAnsi="Times New Roman"/>
          <w:b/>
          <w:i/>
          <w:sz w:val="24"/>
          <w:szCs w:val="24"/>
        </w:rPr>
      </w:pPr>
    </w:p>
    <w:p w:rsidR="009228A7" w:rsidRPr="000E1BC3" w:rsidRDefault="009228A7" w:rsidP="009228A7">
      <w:pPr>
        <w:rPr>
          <w:rFonts w:ascii="Times New Roman" w:hAnsi="Times New Roman"/>
          <w:sz w:val="24"/>
          <w:szCs w:val="24"/>
        </w:rPr>
      </w:pPr>
      <w:r w:rsidRPr="000E1BC3">
        <w:rPr>
          <w:rFonts w:ascii="Times New Roman" w:hAnsi="Times New Roman"/>
          <w:b/>
          <w:i/>
          <w:sz w:val="24"/>
          <w:szCs w:val="24"/>
        </w:rPr>
        <w:t xml:space="preserve">Bictegravir: </w:t>
      </w:r>
      <w:r w:rsidRPr="000E1BC3">
        <w:rPr>
          <w:rFonts w:ascii="Times New Roman" w:hAnsi="Times New Roman"/>
          <w:sz w:val="24"/>
          <w:szCs w:val="24"/>
        </w:rPr>
        <w:t xml:space="preserve">The antiviral activity of BIC against laboratory and clinical isolates of HIV-1 was assessed in lymphoblastoid cell lines, PBMCs, primary monocyte/macrophage cells, </w:t>
      </w:r>
      <w:r w:rsidRPr="000E1BC3">
        <w:rPr>
          <w:rFonts w:ascii="Times New Roman" w:hAnsi="Times New Roman"/>
          <w:sz w:val="24"/>
          <w:szCs w:val="24"/>
        </w:rPr>
        <w:lastRenderedPageBreak/>
        <w:t>and CD4+ T-lymphocytes. The EC</w:t>
      </w:r>
      <w:r w:rsidRPr="000E1BC3">
        <w:rPr>
          <w:rFonts w:ascii="Times New Roman" w:hAnsi="Times New Roman"/>
          <w:sz w:val="24"/>
          <w:szCs w:val="24"/>
          <w:vertAlign w:val="subscript"/>
        </w:rPr>
        <w:t>50</w:t>
      </w:r>
      <w:r w:rsidRPr="000E1BC3">
        <w:rPr>
          <w:rFonts w:ascii="Times New Roman" w:hAnsi="Times New Roman"/>
          <w:sz w:val="24"/>
          <w:szCs w:val="24"/>
        </w:rPr>
        <w:t xml:space="preserve"> values for BIC </w:t>
      </w:r>
      <w:r w:rsidR="00371060">
        <w:rPr>
          <w:rFonts w:ascii="Times New Roman" w:hAnsi="Times New Roman"/>
          <w:sz w:val="24"/>
          <w:szCs w:val="24"/>
        </w:rPr>
        <w:t xml:space="preserve">for non-resistant strains </w:t>
      </w:r>
      <w:r w:rsidRPr="000E1BC3">
        <w:rPr>
          <w:rFonts w:ascii="Times New Roman" w:hAnsi="Times New Roman"/>
          <w:sz w:val="24"/>
          <w:szCs w:val="24"/>
        </w:rPr>
        <w:t>were in the range of &lt;0.05 to 6.6 nM. The protein-adjusted EC</w:t>
      </w:r>
      <w:r w:rsidRPr="000E1BC3">
        <w:rPr>
          <w:rFonts w:ascii="Times New Roman" w:hAnsi="Times New Roman"/>
          <w:sz w:val="24"/>
          <w:szCs w:val="24"/>
          <w:vertAlign w:val="subscript"/>
        </w:rPr>
        <w:t>95</w:t>
      </w:r>
      <w:r w:rsidRPr="000E1BC3">
        <w:rPr>
          <w:rFonts w:ascii="Times New Roman" w:hAnsi="Times New Roman"/>
          <w:sz w:val="24"/>
          <w:szCs w:val="24"/>
        </w:rPr>
        <w:t xml:space="preserve"> of BIC was 361 nM (0.162 micrograms per mL) for wild type HIV-1 virus.</w:t>
      </w:r>
    </w:p>
    <w:p w:rsidR="00CA154E" w:rsidRDefault="00CA154E" w:rsidP="009228A7">
      <w:pPr>
        <w:rPr>
          <w:rFonts w:ascii="Times New Roman" w:hAnsi="Times New Roman"/>
          <w:sz w:val="24"/>
          <w:szCs w:val="24"/>
        </w:rPr>
      </w:pPr>
    </w:p>
    <w:p w:rsidR="009228A7" w:rsidRPr="000E1BC3" w:rsidRDefault="009228A7" w:rsidP="009228A7">
      <w:pPr>
        <w:rPr>
          <w:rFonts w:ascii="Times New Roman" w:hAnsi="Times New Roman"/>
          <w:sz w:val="24"/>
          <w:szCs w:val="24"/>
        </w:rPr>
      </w:pPr>
      <w:r w:rsidRPr="000E1BC3">
        <w:rPr>
          <w:rFonts w:ascii="Times New Roman" w:hAnsi="Times New Roman"/>
          <w:sz w:val="24"/>
          <w:szCs w:val="24"/>
        </w:rPr>
        <w:t>BIC displayed antiviral activity in cell culture against HIV-1 groups (M, N, O), including subtypes A, B, C, D, E, F and G (EC</w:t>
      </w:r>
      <w:r w:rsidRPr="000E1BC3">
        <w:rPr>
          <w:rFonts w:ascii="Times New Roman" w:hAnsi="Times New Roman"/>
          <w:sz w:val="24"/>
          <w:szCs w:val="24"/>
          <w:vertAlign w:val="subscript"/>
        </w:rPr>
        <w:t>50</w:t>
      </w:r>
      <w:r w:rsidRPr="000E1BC3">
        <w:rPr>
          <w:rFonts w:ascii="Times New Roman" w:hAnsi="Times New Roman"/>
          <w:sz w:val="24"/>
          <w:szCs w:val="24"/>
        </w:rPr>
        <w:t xml:space="preserve"> values ranged from &lt;0.05 and 1.71 nM), and activity against HIV-2 (EC</w:t>
      </w:r>
      <w:r w:rsidRPr="000E1BC3">
        <w:rPr>
          <w:rFonts w:ascii="Times New Roman" w:hAnsi="Times New Roman"/>
          <w:sz w:val="24"/>
          <w:szCs w:val="24"/>
          <w:vertAlign w:val="subscript"/>
        </w:rPr>
        <w:t>50</w:t>
      </w:r>
      <w:r w:rsidRPr="000E1BC3">
        <w:rPr>
          <w:rFonts w:ascii="Times New Roman" w:hAnsi="Times New Roman"/>
          <w:sz w:val="24"/>
          <w:szCs w:val="24"/>
        </w:rPr>
        <w:t xml:space="preserve"> = 1.1 nM).</w:t>
      </w:r>
    </w:p>
    <w:p w:rsidR="009228A7" w:rsidRPr="000E1BC3" w:rsidRDefault="009228A7" w:rsidP="009228A7">
      <w:pPr>
        <w:rPr>
          <w:rFonts w:ascii="Times New Roman" w:hAnsi="Times New Roman"/>
          <w:sz w:val="24"/>
          <w:szCs w:val="24"/>
        </w:rPr>
      </w:pPr>
    </w:p>
    <w:p w:rsidR="009228A7" w:rsidRPr="000E1BC3" w:rsidRDefault="009228A7" w:rsidP="009228A7">
      <w:pPr>
        <w:rPr>
          <w:rFonts w:ascii="Times New Roman" w:hAnsi="Times New Roman"/>
          <w:sz w:val="24"/>
          <w:szCs w:val="24"/>
        </w:rPr>
      </w:pPr>
      <w:r w:rsidRPr="000E1BC3">
        <w:rPr>
          <w:rFonts w:ascii="Times New Roman" w:hAnsi="Times New Roman"/>
          <w:sz w:val="24"/>
          <w:szCs w:val="24"/>
        </w:rPr>
        <w:t>In a study of BIC with representatives from the major classes of approved anti-HIV agents (NRTIs [nucleoside reverse transcriptase inhibitors], NNRTIs [non-nucleoside reverse transcriptase inhibitors], INSTIs [integrase strand transfer inhibitors], and PIs [protease inhibitors]), additive to synergistic antiviral effects were observed.  No antagonism was observed for these combinations.</w:t>
      </w:r>
    </w:p>
    <w:p w:rsidR="009228A7" w:rsidRPr="000E1BC3" w:rsidRDefault="009228A7" w:rsidP="009228A7">
      <w:pPr>
        <w:rPr>
          <w:rFonts w:ascii="Times New Roman" w:hAnsi="Times New Roman"/>
          <w:b/>
          <w:i/>
          <w:sz w:val="24"/>
          <w:szCs w:val="24"/>
        </w:rPr>
      </w:pPr>
    </w:p>
    <w:p w:rsidR="009228A7" w:rsidRPr="000E1BC3" w:rsidRDefault="009228A7" w:rsidP="009228A7">
      <w:pPr>
        <w:rPr>
          <w:rFonts w:ascii="Times New Roman" w:hAnsi="Times New Roman"/>
          <w:sz w:val="24"/>
          <w:szCs w:val="24"/>
        </w:rPr>
      </w:pPr>
      <w:r w:rsidRPr="000E1BC3">
        <w:rPr>
          <w:rFonts w:ascii="Times New Roman" w:hAnsi="Times New Roman"/>
          <w:b/>
          <w:i/>
          <w:sz w:val="24"/>
          <w:szCs w:val="24"/>
        </w:rPr>
        <w:t>Emtricitabine:</w:t>
      </w:r>
      <w:r w:rsidRPr="000E1BC3">
        <w:rPr>
          <w:rFonts w:ascii="Times New Roman" w:hAnsi="Times New Roman"/>
          <w:sz w:val="24"/>
          <w:szCs w:val="24"/>
        </w:rPr>
        <w:t xml:space="preserve"> The </w:t>
      </w:r>
      <w:r w:rsidRPr="000E1BC3">
        <w:rPr>
          <w:rFonts w:ascii="Times New Roman" w:hAnsi="Times New Roman"/>
          <w:i/>
          <w:sz w:val="24"/>
          <w:szCs w:val="24"/>
        </w:rPr>
        <w:t xml:space="preserve">in vitro </w:t>
      </w:r>
      <w:r w:rsidRPr="000E1BC3">
        <w:rPr>
          <w:rFonts w:ascii="Times New Roman" w:hAnsi="Times New Roman"/>
          <w:sz w:val="24"/>
          <w:szCs w:val="24"/>
        </w:rPr>
        <w:t>antiviral activity of FTC against laboratory and clinical isolates of HIV was assessed in lymphoblastoid cell lines, the MAGI-CCR5 cell line, and PBMCs.  The EC</w:t>
      </w:r>
      <w:r w:rsidRPr="000E1BC3">
        <w:rPr>
          <w:rFonts w:ascii="Times New Roman" w:hAnsi="Times New Roman"/>
          <w:sz w:val="24"/>
          <w:szCs w:val="24"/>
          <w:vertAlign w:val="subscript"/>
        </w:rPr>
        <w:t>50</w:t>
      </w:r>
      <w:r w:rsidRPr="000E1BC3">
        <w:rPr>
          <w:rFonts w:ascii="Times New Roman" w:hAnsi="Times New Roman"/>
          <w:sz w:val="24"/>
          <w:szCs w:val="24"/>
        </w:rPr>
        <w:t xml:space="preserve"> values for FTC were in the range of 0.0013 to 0.64 µM (0.0003 to 0.158 µg per mL).  </w:t>
      </w:r>
    </w:p>
    <w:p w:rsidR="009228A7" w:rsidRPr="000E1BC3" w:rsidRDefault="009228A7" w:rsidP="009228A7">
      <w:pPr>
        <w:rPr>
          <w:rFonts w:ascii="Times New Roman" w:hAnsi="Times New Roman"/>
          <w:snapToGrid w:val="0"/>
          <w:sz w:val="24"/>
          <w:szCs w:val="24"/>
        </w:rPr>
      </w:pPr>
    </w:p>
    <w:p w:rsidR="009228A7" w:rsidRPr="000E1BC3" w:rsidRDefault="009228A7" w:rsidP="009228A7">
      <w:pPr>
        <w:rPr>
          <w:rFonts w:ascii="Times New Roman" w:hAnsi="Times New Roman"/>
          <w:snapToGrid w:val="0"/>
          <w:sz w:val="24"/>
          <w:szCs w:val="24"/>
        </w:rPr>
      </w:pPr>
      <w:r w:rsidRPr="000E1BC3">
        <w:rPr>
          <w:rFonts w:ascii="Times New Roman" w:hAnsi="Times New Roman"/>
          <w:snapToGrid w:val="0"/>
          <w:sz w:val="24"/>
          <w:szCs w:val="24"/>
        </w:rPr>
        <w:t xml:space="preserve">FTC displayed antiviral activity </w:t>
      </w:r>
      <w:r w:rsidRPr="000E1BC3">
        <w:rPr>
          <w:rFonts w:ascii="Times New Roman" w:hAnsi="Times New Roman"/>
          <w:i/>
          <w:snapToGrid w:val="0"/>
          <w:sz w:val="24"/>
          <w:szCs w:val="24"/>
        </w:rPr>
        <w:t>in vitro</w:t>
      </w:r>
      <w:r w:rsidRPr="000E1BC3">
        <w:rPr>
          <w:rFonts w:ascii="Times New Roman" w:hAnsi="Times New Roman"/>
          <w:snapToGrid w:val="0"/>
          <w:sz w:val="24"/>
          <w:szCs w:val="24"/>
        </w:rPr>
        <w:t xml:space="preserve"> against HIV-1 clades A, C, D, E, F, and G (EC</w:t>
      </w:r>
      <w:r w:rsidRPr="000E1BC3">
        <w:rPr>
          <w:rFonts w:ascii="Times New Roman" w:hAnsi="Times New Roman"/>
          <w:snapToGrid w:val="0"/>
          <w:sz w:val="24"/>
          <w:szCs w:val="24"/>
          <w:vertAlign w:val="subscript"/>
        </w:rPr>
        <w:t>50</w:t>
      </w:r>
      <w:r w:rsidRPr="000E1BC3">
        <w:rPr>
          <w:rFonts w:ascii="Times New Roman" w:hAnsi="Times New Roman"/>
          <w:snapToGrid w:val="0"/>
          <w:sz w:val="24"/>
          <w:szCs w:val="24"/>
        </w:rPr>
        <w:t xml:space="preserve"> values ranged from 0.007 to 0.075 </w:t>
      </w:r>
      <w:r w:rsidRPr="000E1BC3">
        <w:rPr>
          <w:rFonts w:ascii="Times New Roman" w:hAnsi="Times New Roman"/>
          <w:snapToGrid w:val="0"/>
          <w:sz w:val="24"/>
          <w:szCs w:val="24"/>
        </w:rPr>
        <w:sym w:font="Symbol" w:char="006D"/>
      </w:r>
      <w:r w:rsidRPr="000E1BC3">
        <w:rPr>
          <w:rFonts w:ascii="Times New Roman" w:hAnsi="Times New Roman"/>
          <w:snapToGrid w:val="0"/>
          <w:sz w:val="24"/>
          <w:szCs w:val="24"/>
        </w:rPr>
        <w:t>M) and showed strain specific activity against HIV-2 (IC</w:t>
      </w:r>
      <w:r w:rsidRPr="000E1BC3">
        <w:rPr>
          <w:rFonts w:ascii="Times New Roman" w:hAnsi="Times New Roman"/>
          <w:snapToGrid w:val="0"/>
          <w:sz w:val="24"/>
          <w:szCs w:val="24"/>
          <w:vertAlign w:val="subscript"/>
        </w:rPr>
        <w:t>50</w:t>
      </w:r>
      <w:r w:rsidRPr="000E1BC3">
        <w:rPr>
          <w:rFonts w:ascii="Times New Roman" w:hAnsi="Times New Roman"/>
          <w:snapToGrid w:val="0"/>
          <w:sz w:val="24"/>
          <w:szCs w:val="24"/>
        </w:rPr>
        <w:t xml:space="preserve"> values ranged from 0.007 to 1.5 </w:t>
      </w:r>
      <w:r w:rsidRPr="000E1BC3">
        <w:rPr>
          <w:rFonts w:ascii="Times New Roman" w:hAnsi="Times New Roman"/>
          <w:snapToGrid w:val="0"/>
          <w:sz w:val="24"/>
          <w:szCs w:val="24"/>
        </w:rPr>
        <w:sym w:font="Symbol" w:char="006D"/>
      </w:r>
      <w:r w:rsidRPr="000E1BC3">
        <w:rPr>
          <w:rFonts w:ascii="Times New Roman" w:hAnsi="Times New Roman"/>
          <w:snapToGrid w:val="0"/>
          <w:sz w:val="24"/>
          <w:szCs w:val="24"/>
        </w:rPr>
        <w:t>M).</w:t>
      </w:r>
    </w:p>
    <w:p w:rsidR="009228A7" w:rsidRPr="000E1BC3" w:rsidRDefault="009228A7" w:rsidP="009228A7">
      <w:pPr>
        <w:rPr>
          <w:rFonts w:ascii="Times New Roman" w:hAnsi="Times New Roman"/>
          <w:b/>
          <w:i/>
          <w:sz w:val="24"/>
          <w:szCs w:val="24"/>
        </w:rPr>
      </w:pPr>
    </w:p>
    <w:p w:rsidR="009228A7" w:rsidRPr="000E1BC3" w:rsidRDefault="009228A7" w:rsidP="009228A7">
      <w:pPr>
        <w:rPr>
          <w:rFonts w:ascii="Times New Roman" w:hAnsi="Times New Roman"/>
          <w:snapToGrid w:val="0"/>
          <w:sz w:val="24"/>
          <w:szCs w:val="24"/>
        </w:rPr>
      </w:pPr>
      <w:r w:rsidRPr="000E1BC3">
        <w:rPr>
          <w:rFonts w:ascii="Times New Roman" w:hAnsi="Times New Roman"/>
          <w:sz w:val="24"/>
          <w:szCs w:val="24"/>
        </w:rPr>
        <w:t xml:space="preserve">In two-drug combination studies of FTC with NRTIs, NNRTIs, and protease inhibitors (PI), and INSTIs, additive to synergistic effects were observed. </w:t>
      </w:r>
      <w:r w:rsidRPr="000E1BC3">
        <w:rPr>
          <w:rFonts w:ascii="Times New Roman" w:hAnsi="Times New Roman"/>
          <w:snapToGrid w:val="0"/>
          <w:sz w:val="24"/>
          <w:szCs w:val="24"/>
        </w:rPr>
        <w:t xml:space="preserve"> No antagonism was observed for these combinations.</w:t>
      </w:r>
    </w:p>
    <w:p w:rsidR="009228A7" w:rsidRPr="000E1BC3" w:rsidRDefault="009228A7" w:rsidP="009228A7">
      <w:pPr>
        <w:rPr>
          <w:rFonts w:ascii="Times New Roman" w:hAnsi="Times New Roman"/>
          <w:b/>
          <w:i/>
          <w:sz w:val="24"/>
          <w:szCs w:val="24"/>
        </w:rPr>
      </w:pPr>
    </w:p>
    <w:p w:rsidR="009228A7" w:rsidRPr="000E1BC3" w:rsidRDefault="009228A7" w:rsidP="009228A7">
      <w:pPr>
        <w:rPr>
          <w:rFonts w:ascii="Times New Roman" w:hAnsi="Times New Roman"/>
          <w:sz w:val="24"/>
          <w:szCs w:val="24"/>
        </w:rPr>
      </w:pPr>
      <w:r w:rsidRPr="000E1BC3">
        <w:rPr>
          <w:rFonts w:ascii="Times New Roman" w:hAnsi="Times New Roman"/>
          <w:b/>
          <w:i/>
          <w:sz w:val="24"/>
          <w:szCs w:val="24"/>
        </w:rPr>
        <w:t xml:space="preserve">Tenofovir Alafenamide: </w:t>
      </w:r>
      <w:r w:rsidRPr="000E1BC3">
        <w:rPr>
          <w:rFonts w:ascii="Times New Roman" w:hAnsi="Times New Roman"/>
          <w:sz w:val="24"/>
          <w:szCs w:val="24"/>
        </w:rPr>
        <w:t>The antiviral activity of TAF against laboratory and clinical isolates of HIV</w:t>
      </w:r>
      <w:r w:rsidRPr="000E1BC3">
        <w:rPr>
          <w:rFonts w:ascii="Times New Roman" w:hAnsi="Times New Roman"/>
          <w:sz w:val="24"/>
          <w:szCs w:val="24"/>
        </w:rPr>
        <w:noBreakHyphen/>
        <w:t>1 subtype B was assessed in lymphoblastoid cell lines, PBMCs, primary monocyte/macrophage cells and CD4-T lymphocytes. The EC</w:t>
      </w:r>
      <w:r w:rsidRPr="000E1BC3">
        <w:rPr>
          <w:rFonts w:ascii="Times New Roman" w:hAnsi="Times New Roman"/>
          <w:sz w:val="24"/>
          <w:szCs w:val="24"/>
          <w:vertAlign w:val="subscript"/>
        </w:rPr>
        <w:t>50</w:t>
      </w:r>
      <w:r w:rsidRPr="000E1BC3">
        <w:rPr>
          <w:rFonts w:ascii="Times New Roman" w:hAnsi="Times New Roman"/>
          <w:sz w:val="24"/>
          <w:szCs w:val="24"/>
        </w:rPr>
        <w:t xml:space="preserve"> values for tenofovir alafenamide were in the range of 2.0 to 14.7 nM. </w:t>
      </w:r>
    </w:p>
    <w:p w:rsidR="009228A7" w:rsidRPr="000E1BC3" w:rsidRDefault="009228A7" w:rsidP="009228A7">
      <w:pPr>
        <w:rPr>
          <w:rFonts w:ascii="Times New Roman" w:hAnsi="Times New Roman"/>
          <w:sz w:val="24"/>
          <w:szCs w:val="24"/>
        </w:rPr>
      </w:pPr>
    </w:p>
    <w:p w:rsidR="009228A7" w:rsidRPr="000E1BC3" w:rsidRDefault="009228A7" w:rsidP="009228A7">
      <w:pPr>
        <w:rPr>
          <w:rFonts w:ascii="Times New Roman" w:hAnsi="Times New Roman"/>
          <w:sz w:val="24"/>
          <w:szCs w:val="24"/>
          <w:lang w:val="en-US"/>
        </w:rPr>
      </w:pPr>
      <w:r w:rsidRPr="000E1BC3">
        <w:rPr>
          <w:rFonts w:ascii="Times New Roman" w:hAnsi="Times New Roman"/>
          <w:sz w:val="24"/>
          <w:szCs w:val="24"/>
          <w:lang w:val="en-US"/>
        </w:rPr>
        <w:t>TAF displayed antiviral activity in cell culture against all HIV</w:t>
      </w:r>
      <w:r w:rsidRPr="000E1BC3">
        <w:rPr>
          <w:rFonts w:ascii="Times New Roman" w:hAnsi="Times New Roman"/>
          <w:sz w:val="24"/>
          <w:szCs w:val="24"/>
          <w:lang w:val="en-US"/>
        </w:rPr>
        <w:noBreakHyphen/>
        <w:t>1 groups (M, N, O), including sub-types A, B, C, D, E, F, and G (EC</w:t>
      </w:r>
      <w:r w:rsidRPr="000E1BC3">
        <w:rPr>
          <w:rFonts w:ascii="Times New Roman" w:hAnsi="Times New Roman"/>
          <w:sz w:val="24"/>
          <w:szCs w:val="24"/>
          <w:vertAlign w:val="subscript"/>
          <w:lang w:val="en-US"/>
        </w:rPr>
        <w:t>50</w:t>
      </w:r>
      <w:r w:rsidRPr="000E1BC3">
        <w:rPr>
          <w:rFonts w:ascii="Times New Roman" w:hAnsi="Times New Roman"/>
          <w:sz w:val="24"/>
          <w:szCs w:val="24"/>
          <w:lang w:val="en-US"/>
        </w:rPr>
        <w:t xml:space="preserve"> values ranged from 0.10 to 12.0 nM) and strain specific activity against HIV</w:t>
      </w:r>
      <w:r w:rsidRPr="000E1BC3">
        <w:rPr>
          <w:rFonts w:ascii="Times New Roman" w:hAnsi="Times New Roman"/>
          <w:sz w:val="24"/>
          <w:szCs w:val="24"/>
          <w:lang w:val="en-US"/>
        </w:rPr>
        <w:noBreakHyphen/>
        <w:t>2 (EC</w:t>
      </w:r>
      <w:r w:rsidRPr="000E1BC3">
        <w:rPr>
          <w:rFonts w:ascii="Times New Roman" w:hAnsi="Times New Roman"/>
          <w:sz w:val="24"/>
          <w:szCs w:val="24"/>
          <w:vertAlign w:val="subscript"/>
          <w:lang w:val="en-US"/>
        </w:rPr>
        <w:t>50</w:t>
      </w:r>
      <w:r w:rsidRPr="000E1BC3">
        <w:rPr>
          <w:rFonts w:ascii="Times New Roman" w:hAnsi="Times New Roman"/>
          <w:sz w:val="24"/>
          <w:szCs w:val="24"/>
          <w:lang w:val="en-US"/>
        </w:rPr>
        <w:t xml:space="preserve"> values ranged from 0.91 to 2.63 nM). </w:t>
      </w:r>
    </w:p>
    <w:p w:rsidR="009228A7" w:rsidRPr="000E1BC3" w:rsidRDefault="009228A7" w:rsidP="009228A7">
      <w:pPr>
        <w:rPr>
          <w:rFonts w:ascii="Times New Roman" w:hAnsi="Times New Roman"/>
          <w:sz w:val="24"/>
          <w:szCs w:val="24"/>
          <w:lang w:val="en-US"/>
        </w:rPr>
      </w:pPr>
    </w:p>
    <w:p w:rsidR="009228A7" w:rsidRDefault="009228A7" w:rsidP="009228A7">
      <w:pPr>
        <w:rPr>
          <w:rFonts w:ascii="Times New Roman" w:hAnsi="Times New Roman"/>
          <w:sz w:val="24"/>
          <w:szCs w:val="24"/>
          <w:lang w:val="en-US"/>
        </w:rPr>
      </w:pPr>
      <w:r w:rsidRPr="000E1BC3">
        <w:rPr>
          <w:rFonts w:ascii="Times New Roman" w:hAnsi="Times New Roman"/>
          <w:sz w:val="24"/>
          <w:szCs w:val="24"/>
          <w:lang w:val="en-US"/>
        </w:rPr>
        <w:t>In a study of TAF with a broad panel of representatives from the major classes of approved anti-HIV agents (NRTIs, NNRTIs, INSTIs, and PIs), additive to synergistic effects were observed. No antagonism was observed for these combinations.</w:t>
      </w:r>
    </w:p>
    <w:p w:rsidR="00304A53" w:rsidRPr="000E1BC3" w:rsidRDefault="00304A53" w:rsidP="009228A7">
      <w:pPr>
        <w:rPr>
          <w:rFonts w:ascii="Times New Roman" w:hAnsi="Times New Roman"/>
          <w:sz w:val="24"/>
          <w:szCs w:val="24"/>
          <w:lang w:val="en-US"/>
        </w:rPr>
      </w:pPr>
    </w:p>
    <w:p w:rsidR="009228A7" w:rsidRPr="000E1BC3" w:rsidRDefault="009228A7" w:rsidP="009D253C">
      <w:pPr>
        <w:numPr>
          <w:ilvl w:val="0"/>
          <w:numId w:val="21"/>
        </w:numPr>
        <w:spacing w:before="120" w:after="120"/>
        <w:ind w:left="357" w:hanging="357"/>
        <w:rPr>
          <w:rFonts w:ascii="Times New Roman" w:hAnsi="Times New Roman"/>
          <w:b/>
          <w:noProof/>
          <w:sz w:val="24"/>
          <w:szCs w:val="24"/>
        </w:rPr>
      </w:pPr>
      <w:r w:rsidRPr="000E1BC3">
        <w:rPr>
          <w:rFonts w:ascii="Times New Roman" w:hAnsi="Times New Roman"/>
          <w:b/>
          <w:sz w:val="24"/>
          <w:szCs w:val="24"/>
        </w:rPr>
        <w:t xml:space="preserve">Drug </w:t>
      </w:r>
      <w:r w:rsidRPr="000E1BC3">
        <w:rPr>
          <w:rFonts w:ascii="Times New Roman" w:hAnsi="Times New Roman"/>
          <w:b/>
          <w:noProof/>
          <w:sz w:val="24"/>
          <w:szCs w:val="24"/>
        </w:rPr>
        <w:t xml:space="preserve">Resistance </w:t>
      </w:r>
    </w:p>
    <w:p w:rsidR="009228A7" w:rsidRPr="000E1BC3" w:rsidRDefault="009228A7" w:rsidP="00F279CD">
      <w:pPr>
        <w:spacing w:after="120"/>
        <w:rPr>
          <w:rFonts w:ascii="Times New Roman" w:hAnsi="Times New Roman"/>
          <w:b/>
          <w:sz w:val="24"/>
          <w:szCs w:val="24"/>
          <w:u w:val="single"/>
        </w:rPr>
      </w:pPr>
      <w:r w:rsidRPr="000E1BC3">
        <w:rPr>
          <w:rFonts w:ascii="Times New Roman" w:hAnsi="Times New Roman"/>
          <w:b/>
          <w:sz w:val="24"/>
          <w:szCs w:val="24"/>
          <w:u w:val="single"/>
        </w:rPr>
        <w:t>In Cell Culture</w:t>
      </w:r>
    </w:p>
    <w:p w:rsidR="009228A7" w:rsidRPr="000E1BC3" w:rsidRDefault="009228A7" w:rsidP="009228A7">
      <w:pPr>
        <w:rPr>
          <w:rFonts w:ascii="Times New Roman" w:hAnsi="Times New Roman"/>
          <w:sz w:val="24"/>
          <w:szCs w:val="24"/>
        </w:rPr>
      </w:pPr>
      <w:r w:rsidRPr="000E1BC3">
        <w:rPr>
          <w:rFonts w:ascii="Times New Roman" w:hAnsi="Times New Roman"/>
          <w:b/>
          <w:i/>
          <w:sz w:val="24"/>
          <w:szCs w:val="24"/>
        </w:rPr>
        <w:t xml:space="preserve">Bictegravir: </w:t>
      </w:r>
      <w:r w:rsidRPr="000E1BC3">
        <w:rPr>
          <w:rFonts w:ascii="Times New Roman" w:hAnsi="Times New Roman"/>
          <w:sz w:val="24"/>
          <w:szCs w:val="24"/>
        </w:rPr>
        <w:t xml:space="preserve">HIV-1 isolates with reduced susceptibility to BIC have been selected in cell culture. In one selection, amino acid substitutions M50I and R263K emerged and  phenotypic susceptibility to BIC was reduced 1.3-, 2.2-, and 2.9-fold for M50I, R263K, and M50I+R263K, respectively.  In a second selection, amino acid substitutions T66I and S153F emerged and phenotypic susceptibility to BIC was shifted 0.4-, 1.9-, and 0.5-fold for T66I, S153F, and T66I+S153F, respectively.  </w:t>
      </w:r>
    </w:p>
    <w:p w:rsidR="009228A7" w:rsidRPr="000E1BC3" w:rsidRDefault="009228A7" w:rsidP="009228A7">
      <w:pPr>
        <w:rPr>
          <w:rFonts w:ascii="Times New Roman" w:hAnsi="Times New Roman"/>
          <w:b/>
          <w:i/>
          <w:sz w:val="24"/>
          <w:szCs w:val="24"/>
        </w:rPr>
      </w:pPr>
    </w:p>
    <w:p w:rsidR="009228A7" w:rsidRDefault="009228A7" w:rsidP="009228A7">
      <w:pPr>
        <w:rPr>
          <w:rFonts w:ascii="Times New Roman" w:hAnsi="Times New Roman"/>
          <w:sz w:val="24"/>
          <w:szCs w:val="24"/>
        </w:rPr>
      </w:pPr>
      <w:r w:rsidRPr="000E1BC3">
        <w:rPr>
          <w:rFonts w:ascii="Times New Roman" w:hAnsi="Times New Roman"/>
          <w:b/>
          <w:i/>
          <w:sz w:val="24"/>
          <w:szCs w:val="24"/>
        </w:rPr>
        <w:lastRenderedPageBreak/>
        <w:t>Emtricitabine:</w:t>
      </w:r>
      <w:r w:rsidRPr="000E1BC3">
        <w:rPr>
          <w:rFonts w:ascii="Times New Roman" w:hAnsi="Times New Roman"/>
          <w:color w:val="FF00FF"/>
          <w:sz w:val="24"/>
          <w:szCs w:val="24"/>
        </w:rPr>
        <w:t xml:space="preserve"> </w:t>
      </w:r>
      <w:r w:rsidRPr="000E1BC3">
        <w:rPr>
          <w:rFonts w:ascii="Times New Roman" w:hAnsi="Times New Roman"/>
          <w:sz w:val="24"/>
          <w:szCs w:val="24"/>
          <w:lang w:val="en-US"/>
        </w:rPr>
        <w:t>HIV-1 isolates with reduced susceptibility to FTC have been selected in cell culture</w:t>
      </w:r>
      <w:r w:rsidRPr="000E1BC3">
        <w:rPr>
          <w:rFonts w:ascii="Times New Roman" w:hAnsi="Times New Roman"/>
          <w:i/>
          <w:sz w:val="24"/>
          <w:szCs w:val="24"/>
        </w:rPr>
        <w:t>.</w:t>
      </w:r>
      <w:r w:rsidRPr="000E1BC3">
        <w:rPr>
          <w:rFonts w:ascii="Times New Roman" w:hAnsi="Times New Roman"/>
          <w:sz w:val="24"/>
          <w:szCs w:val="24"/>
        </w:rPr>
        <w:t xml:space="preserve">  Genotypic analysis of these isolates showed that the reduced susceptibility to FTC was associated with a mutation in the HIV reverse transcriptase gene at codon 184 which resulted in an amino acid substitution of methionine by valine or isoleucine (M184V/I).</w:t>
      </w:r>
    </w:p>
    <w:p w:rsidR="009228A7" w:rsidRPr="000E1BC3" w:rsidRDefault="009228A7" w:rsidP="009228A7">
      <w:pPr>
        <w:rPr>
          <w:rFonts w:ascii="Times New Roman" w:hAnsi="Times New Roman"/>
          <w:sz w:val="24"/>
          <w:szCs w:val="24"/>
        </w:rPr>
      </w:pPr>
      <w:r w:rsidRPr="000E1BC3">
        <w:rPr>
          <w:rFonts w:ascii="Times New Roman" w:hAnsi="Times New Roman"/>
          <w:b/>
          <w:i/>
          <w:sz w:val="24"/>
          <w:szCs w:val="24"/>
        </w:rPr>
        <w:t>Tenofovir Alafenamide:</w:t>
      </w:r>
      <w:r w:rsidRPr="000E1BC3">
        <w:rPr>
          <w:rFonts w:ascii="Times New Roman" w:hAnsi="Times New Roman"/>
          <w:color w:val="FF00FF"/>
          <w:sz w:val="24"/>
          <w:szCs w:val="24"/>
        </w:rPr>
        <w:t xml:space="preserve"> </w:t>
      </w:r>
      <w:r w:rsidRPr="000E1BC3">
        <w:rPr>
          <w:rFonts w:ascii="Times New Roman" w:hAnsi="Times New Roman"/>
          <w:sz w:val="24"/>
          <w:szCs w:val="24"/>
          <w:lang w:val="en-US"/>
        </w:rPr>
        <w:t xml:space="preserve">HIV-1 isolates with reduced susceptibility to TAF have been selected in cell culture. HIV-1 isolates selected by TAF expressed a K65R mutation in HIV-1 RT; in addition, a K70E mutation in HIV-1 RT has been transiently observed.  HIV-1 isolates with the K65R mutation have low-level reduced susceptibility to abacavir, FTC, tenofovir, and lamivudine.  </w:t>
      </w:r>
      <w:r w:rsidRPr="000E1BC3">
        <w:rPr>
          <w:rFonts w:ascii="Times New Roman" w:hAnsi="Times New Roman"/>
          <w:i/>
          <w:sz w:val="24"/>
          <w:szCs w:val="24"/>
          <w:lang w:val="en-US"/>
        </w:rPr>
        <w:t>In vitro</w:t>
      </w:r>
      <w:r w:rsidRPr="000E1BC3">
        <w:rPr>
          <w:rFonts w:ascii="Times New Roman" w:hAnsi="Times New Roman"/>
          <w:sz w:val="24"/>
          <w:szCs w:val="24"/>
          <w:lang w:val="en-US"/>
        </w:rPr>
        <w:t xml:space="preserve"> drug resistance selection studies with TAF have shown no development of high-level resistance after extended culture.</w:t>
      </w:r>
    </w:p>
    <w:p w:rsidR="009228A7" w:rsidRPr="000E1BC3" w:rsidRDefault="009228A7" w:rsidP="009228A7">
      <w:pPr>
        <w:autoSpaceDE w:val="0"/>
        <w:autoSpaceDN w:val="0"/>
        <w:adjustRightInd w:val="0"/>
        <w:jc w:val="both"/>
        <w:rPr>
          <w:rFonts w:ascii="Times New Roman" w:hAnsi="Times New Roman"/>
          <w:sz w:val="24"/>
          <w:szCs w:val="24"/>
          <w:lang w:val="en-GB"/>
        </w:rPr>
      </w:pPr>
    </w:p>
    <w:p w:rsidR="009228A7" w:rsidRPr="000E1BC3" w:rsidRDefault="009228A7" w:rsidP="009D4C0D">
      <w:pPr>
        <w:pStyle w:val="Text10"/>
        <w:spacing w:after="120"/>
        <w:rPr>
          <w:b/>
        </w:rPr>
      </w:pPr>
      <w:r w:rsidRPr="000E1BC3">
        <w:rPr>
          <w:b/>
          <w:noProof/>
          <w:szCs w:val="24"/>
          <w:u w:val="single"/>
        </w:rPr>
        <w:t>In Clinical Studies</w:t>
      </w:r>
      <w:r w:rsidRPr="000E1BC3">
        <w:rPr>
          <w:b/>
        </w:rPr>
        <w:t xml:space="preserve"> </w:t>
      </w:r>
    </w:p>
    <w:p w:rsidR="009228A7" w:rsidRPr="000E1BC3" w:rsidRDefault="009228A7" w:rsidP="009228A7">
      <w:pPr>
        <w:pStyle w:val="Text10"/>
        <w:rPr>
          <w:bCs/>
          <w:noProof/>
          <w:lang w:val="en-AU"/>
        </w:rPr>
      </w:pPr>
      <w:r w:rsidRPr="000E1BC3">
        <w:rPr>
          <w:b/>
          <w:i/>
          <w:noProof/>
          <w:szCs w:val="24"/>
          <w:lang w:val="en-AU"/>
        </w:rPr>
        <w:t>In Treatment-Naïve</w:t>
      </w:r>
      <w:r w:rsidRPr="000E1BC3">
        <w:rPr>
          <w:b/>
          <w:bCs/>
          <w:i/>
          <w:noProof/>
          <w:szCs w:val="24"/>
          <w:lang w:val="en-AU"/>
        </w:rPr>
        <w:t xml:space="preserve"> Patients: </w:t>
      </w:r>
      <w:r w:rsidRPr="000E1BC3">
        <w:rPr>
          <w:bCs/>
          <w:noProof/>
          <w:szCs w:val="24"/>
          <w:lang w:val="en-AU"/>
        </w:rPr>
        <w:t xml:space="preserve">No patient receiving </w:t>
      </w:r>
      <w:r w:rsidR="002F43D2">
        <w:rPr>
          <w:bCs/>
          <w:noProof/>
          <w:szCs w:val="24"/>
          <w:lang w:val="en-AU"/>
        </w:rPr>
        <w:t>BIKTARVY</w:t>
      </w:r>
      <w:r w:rsidRPr="000E1BC3">
        <w:rPr>
          <w:bCs/>
          <w:noProof/>
          <w:szCs w:val="24"/>
          <w:lang w:val="en-AU"/>
        </w:rPr>
        <w:t xml:space="preserve"> had HIV-1 with treatment emergent genotypic or phenotypic resistance to BIC, FTC, or TAF in the resistance analysis population (n = 8 with HIV-1 RNA ≥ 200 copies/mL at the time of confirmed virologic failure, Week 48, or early study drug discontinuation) in a pooled analysis of 634 antiretroviral-naïve patients through Week 48 (Studies 1489 and 1490).</w:t>
      </w:r>
    </w:p>
    <w:p w:rsidR="009228A7" w:rsidRPr="000E1BC3" w:rsidRDefault="009228A7" w:rsidP="009228A7">
      <w:pPr>
        <w:pStyle w:val="Text10"/>
        <w:widowControl w:val="0"/>
        <w:rPr>
          <w:szCs w:val="24"/>
        </w:rPr>
      </w:pPr>
      <w:r w:rsidRPr="000E1BC3">
        <w:rPr>
          <w:b/>
          <w:bCs/>
          <w:i/>
          <w:noProof/>
          <w:lang w:val="en-AU"/>
        </w:rPr>
        <w:t>In Virologically Suppressed Patients</w:t>
      </w:r>
      <w:r w:rsidRPr="000E1BC3">
        <w:rPr>
          <w:b/>
          <w:bCs/>
          <w:i/>
          <w:noProof/>
          <w:szCs w:val="24"/>
          <w:lang w:val="en-AU"/>
        </w:rPr>
        <w:t xml:space="preserve">: </w:t>
      </w:r>
      <w:r w:rsidRPr="000E1BC3">
        <w:rPr>
          <w:szCs w:val="24"/>
        </w:rPr>
        <w:t xml:space="preserve">No patient receiving </w:t>
      </w:r>
      <w:r w:rsidR="002F43D2">
        <w:rPr>
          <w:szCs w:val="24"/>
        </w:rPr>
        <w:t>BIKTARVY</w:t>
      </w:r>
      <w:r w:rsidRPr="000E1BC3">
        <w:rPr>
          <w:szCs w:val="24"/>
        </w:rPr>
        <w:t xml:space="preserve"> had HIV-1 with treatment emergent genotypic or phenotypic resistance to BIC, FTC, or TAF in the resistance analysis population (n = 2 with HIV-1 RNA ≥ 200 copies/mL at the time of confirmed virologic failure, Week 48, or early study drug discontinuation) of 282 virologically-suppressed patients who switched from DTG + ABC/3TC or ABC/DTG/3TC to </w:t>
      </w:r>
      <w:r w:rsidR="002F43D2">
        <w:rPr>
          <w:szCs w:val="24"/>
        </w:rPr>
        <w:t>BIKTARVY</w:t>
      </w:r>
      <w:r w:rsidRPr="000E1BC3">
        <w:rPr>
          <w:szCs w:val="24"/>
        </w:rPr>
        <w:t xml:space="preserve"> (Study 1844).</w:t>
      </w:r>
    </w:p>
    <w:p w:rsidR="009228A7" w:rsidRDefault="009228A7" w:rsidP="009228A7">
      <w:pPr>
        <w:pStyle w:val="Text10"/>
        <w:widowControl w:val="0"/>
        <w:rPr>
          <w:szCs w:val="24"/>
        </w:rPr>
      </w:pPr>
      <w:r w:rsidRPr="000E1BC3">
        <w:rPr>
          <w:szCs w:val="24"/>
        </w:rPr>
        <w:t xml:space="preserve">No patient receiving </w:t>
      </w:r>
      <w:r w:rsidR="002F43D2">
        <w:rPr>
          <w:szCs w:val="24"/>
        </w:rPr>
        <w:t>BIKTARVY</w:t>
      </w:r>
      <w:r w:rsidRPr="000E1BC3">
        <w:rPr>
          <w:szCs w:val="24"/>
        </w:rPr>
        <w:t xml:space="preserve"> had HIV-1 with treatment emergent genotypic or phenotypic resistance to BIC, FTC, or TAF in the resistance analysis population (n = 1 with HIV-1 RNA ≥ 200 copies/mL at the time of confirmed virologic failure, Week 48, or early study drug discontinuation) of 290 virologically-suppressed patients who switched from regimens of RTV or COBI boosted ATV or DRV, plus either FTC/TDF or ABC/3TC, to </w:t>
      </w:r>
      <w:r w:rsidR="002F43D2">
        <w:rPr>
          <w:szCs w:val="24"/>
        </w:rPr>
        <w:t>BIKTARVY</w:t>
      </w:r>
      <w:r w:rsidRPr="000E1BC3">
        <w:rPr>
          <w:szCs w:val="24"/>
        </w:rPr>
        <w:t xml:space="preserve"> (Study 1878).</w:t>
      </w:r>
    </w:p>
    <w:p w:rsidR="009228A7" w:rsidRDefault="009228A7" w:rsidP="009D4C0D">
      <w:pPr>
        <w:pStyle w:val="Text10"/>
        <w:widowControl w:val="0"/>
        <w:spacing w:after="120"/>
      </w:pPr>
      <w:r w:rsidRPr="000E1BC3">
        <w:rPr>
          <w:b/>
          <w:bCs/>
          <w:i/>
        </w:rPr>
        <w:t>In Patients Coinfected with HIV-1 and Chronic Hepatitis B</w:t>
      </w:r>
      <w:r w:rsidR="009326E4" w:rsidRPr="000E1BC3">
        <w:rPr>
          <w:b/>
          <w:bCs/>
          <w:i/>
        </w:rPr>
        <w:t xml:space="preserve">: </w:t>
      </w:r>
      <w:r w:rsidRPr="000E1BC3">
        <w:t>In a clinical study of patients coinfected with HIV-1 and chronic hepatitis B who received FTC + TAF in combination with EVG+COBI as a fixed-dose combination tablet for 48 weeks (GS-US-292-1249, N = 72), no subject had HIV or HBV emergent resistance to FTC, TAF, or EVG.</w:t>
      </w:r>
    </w:p>
    <w:p w:rsidR="009D4C0D" w:rsidRPr="009D4C0D" w:rsidRDefault="009D4C0D" w:rsidP="009D4C0D">
      <w:pPr>
        <w:pStyle w:val="Text10"/>
        <w:widowControl w:val="0"/>
        <w:spacing w:after="120"/>
        <w:rPr>
          <w:bCs/>
        </w:rPr>
      </w:pPr>
    </w:p>
    <w:p w:rsidR="009228A7" w:rsidRPr="000E1BC3" w:rsidRDefault="009228A7" w:rsidP="009D4C0D">
      <w:pPr>
        <w:pStyle w:val="Text10"/>
        <w:numPr>
          <w:ilvl w:val="0"/>
          <w:numId w:val="21"/>
        </w:numPr>
        <w:spacing w:after="120"/>
        <w:ind w:left="357" w:hanging="357"/>
        <w:rPr>
          <w:b/>
          <w:noProof/>
        </w:rPr>
      </w:pPr>
      <w:r w:rsidRPr="000E1BC3">
        <w:rPr>
          <w:b/>
          <w:noProof/>
        </w:rPr>
        <w:t xml:space="preserve">Cross-resistance </w:t>
      </w:r>
    </w:p>
    <w:p w:rsidR="009228A7" w:rsidRPr="000E1BC3" w:rsidRDefault="009228A7" w:rsidP="009326E4">
      <w:pPr>
        <w:spacing w:after="120"/>
        <w:rPr>
          <w:rFonts w:ascii="Times New Roman" w:hAnsi="Times New Roman"/>
          <w:b/>
          <w:i/>
          <w:sz w:val="24"/>
          <w:szCs w:val="24"/>
        </w:rPr>
      </w:pPr>
      <w:r w:rsidRPr="000E1BC3">
        <w:rPr>
          <w:rFonts w:ascii="Times New Roman" w:hAnsi="Times New Roman"/>
          <w:b/>
          <w:i/>
          <w:sz w:val="24"/>
          <w:szCs w:val="24"/>
        </w:rPr>
        <w:t xml:space="preserve">Bictegravir </w:t>
      </w:r>
    </w:p>
    <w:p w:rsidR="009228A7" w:rsidRPr="00C30073" w:rsidRDefault="009228A7" w:rsidP="009228A7">
      <w:pPr>
        <w:spacing w:before="120"/>
        <w:rPr>
          <w:rFonts w:ascii="Times New Roman" w:hAnsi="Times New Roman"/>
          <w:sz w:val="24"/>
          <w:szCs w:val="24"/>
        </w:rPr>
      </w:pPr>
      <w:r w:rsidRPr="000E1BC3">
        <w:rPr>
          <w:rFonts w:ascii="Times New Roman" w:hAnsi="Times New Roman"/>
          <w:i/>
          <w:sz w:val="24"/>
          <w:u w:val="single"/>
        </w:rPr>
        <w:t>Integrase Strand Transfer Inhibitor-resistant Mutant HIV-1 Strains</w:t>
      </w:r>
      <w:r w:rsidRPr="000E1BC3">
        <w:rPr>
          <w:rFonts w:ascii="Times New Roman" w:hAnsi="Times New Roman"/>
          <w:sz w:val="24"/>
        </w:rPr>
        <w:t xml:space="preserve">: The susceptibility of BIC was tested against 64 INSTI-resistant clinical isolates (20 with single substitutions and 44 with 2 or more substitutions). </w:t>
      </w:r>
      <w:r w:rsidR="00794629">
        <w:rPr>
          <w:rFonts w:ascii="Times New Roman" w:hAnsi="Times New Roman"/>
          <w:sz w:val="24"/>
        </w:rPr>
        <w:t>Fifty</w:t>
      </w:r>
      <w:r w:rsidR="00DE7E01" w:rsidRPr="000E1BC3">
        <w:rPr>
          <w:rFonts w:ascii="Times New Roman" w:hAnsi="Times New Roman"/>
          <w:sz w:val="24"/>
        </w:rPr>
        <w:t xml:space="preserve"> of the 64 INSTI-resistant clinical isolates had ≤ 2.5-fold phenotypic change to </w:t>
      </w:r>
      <w:r w:rsidR="005572F0" w:rsidRPr="000E1BC3">
        <w:rPr>
          <w:rFonts w:ascii="Times New Roman" w:hAnsi="Times New Roman"/>
          <w:sz w:val="24"/>
        </w:rPr>
        <w:t>BIC</w:t>
      </w:r>
      <w:r w:rsidR="00DE7E01" w:rsidRPr="000E1BC3">
        <w:rPr>
          <w:rFonts w:ascii="Times New Roman" w:hAnsi="Times New Roman"/>
          <w:sz w:val="24"/>
        </w:rPr>
        <w:t xml:space="preserve"> and were assessed as sensitive. All single and double mutants of these isolates lacking Q148H/K/R, and 10 of 24 Q148H/K/R containing isolates with or without additional INSTI resistance associated substitutions also had ≤ 2.5-fold reduced susceptibility to </w:t>
      </w:r>
      <w:r w:rsidR="005572F0" w:rsidRPr="000E1BC3">
        <w:rPr>
          <w:rFonts w:ascii="Times New Roman" w:hAnsi="Times New Roman"/>
          <w:sz w:val="24"/>
        </w:rPr>
        <w:t>BIC</w:t>
      </w:r>
      <w:r w:rsidR="00DE7E01" w:rsidRPr="000E1BC3">
        <w:rPr>
          <w:rFonts w:ascii="Times New Roman" w:hAnsi="Times New Roman"/>
          <w:sz w:val="24"/>
        </w:rPr>
        <w:t xml:space="preserve">.  Reduced susceptibility to </w:t>
      </w:r>
      <w:r w:rsidR="005572F0" w:rsidRPr="000E1BC3">
        <w:rPr>
          <w:rFonts w:ascii="Times New Roman" w:hAnsi="Times New Roman"/>
          <w:sz w:val="24"/>
        </w:rPr>
        <w:t>BIC</w:t>
      </w:r>
      <w:r w:rsidR="00DE7E01" w:rsidRPr="000E1BC3">
        <w:rPr>
          <w:rFonts w:ascii="Times New Roman" w:hAnsi="Times New Roman"/>
          <w:sz w:val="24"/>
        </w:rPr>
        <w:t xml:space="preserve"> of &gt; 2.5 fold was found for 14 of the 24 Q148H/R/K containing isolates that also had G140A/C/S substitutions in integrase; 9 of those 14 isolates had additional mutations at </w:t>
      </w:r>
      <w:r w:rsidR="00DE7E01" w:rsidRPr="00C30073">
        <w:rPr>
          <w:rFonts w:ascii="Times New Roman" w:hAnsi="Times New Roman"/>
          <w:sz w:val="24"/>
          <w:szCs w:val="24"/>
        </w:rPr>
        <w:t xml:space="preserve">L74M, T97A, or E138A/K.  In </w:t>
      </w:r>
      <w:r w:rsidR="00DE7E01" w:rsidRPr="00C30073">
        <w:rPr>
          <w:rFonts w:ascii="Times New Roman" w:hAnsi="Times New Roman"/>
          <w:sz w:val="24"/>
          <w:szCs w:val="24"/>
        </w:rPr>
        <w:lastRenderedPageBreak/>
        <w:t xml:space="preserve">addition, site-directed mutants with G118R and T97A+G118R had </w:t>
      </w:r>
      <w:r w:rsidR="00CA154E" w:rsidRPr="00C30073">
        <w:rPr>
          <w:rFonts w:ascii="Times New Roman" w:hAnsi="Times New Roman"/>
          <w:sz w:val="24"/>
          <w:szCs w:val="24"/>
        </w:rPr>
        <w:t>3.4</w:t>
      </w:r>
      <w:r w:rsidR="00DE7E01" w:rsidRPr="00C30073">
        <w:rPr>
          <w:rFonts w:ascii="Times New Roman" w:hAnsi="Times New Roman"/>
          <w:sz w:val="24"/>
          <w:szCs w:val="24"/>
        </w:rPr>
        <w:t xml:space="preserve">- and </w:t>
      </w:r>
      <w:r w:rsidR="00AA0370" w:rsidRPr="00C30073">
        <w:rPr>
          <w:rFonts w:ascii="Times New Roman" w:hAnsi="Times New Roman"/>
          <w:sz w:val="24"/>
          <w:szCs w:val="24"/>
        </w:rPr>
        <w:t>2.8</w:t>
      </w:r>
      <w:r w:rsidR="00DE7E01" w:rsidRPr="00C30073">
        <w:rPr>
          <w:rFonts w:ascii="Times New Roman" w:hAnsi="Times New Roman"/>
          <w:sz w:val="24"/>
          <w:szCs w:val="24"/>
        </w:rPr>
        <w:t>-fold reduced susceptibility to BIC, respectively.</w:t>
      </w:r>
      <w:r w:rsidR="00B85AC6" w:rsidRPr="00C30073">
        <w:rPr>
          <w:rFonts w:ascii="Times New Roman" w:hAnsi="Times New Roman"/>
          <w:sz w:val="24"/>
          <w:szCs w:val="24"/>
        </w:rPr>
        <w:t xml:space="preserve"> </w:t>
      </w:r>
      <w:r w:rsidR="00B85AC6" w:rsidRPr="004139EF">
        <w:rPr>
          <w:rFonts w:ascii="Times New Roman" w:hAnsi="Times New Roman"/>
          <w:sz w:val="24"/>
          <w:szCs w:val="24"/>
          <w:lang w:eastAsia="en-AU"/>
        </w:rPr>
        <w:t xml:space="preserve">A clinical isolate carrying the T66I+E138K+Q148K triple mutation conferred substantial resistance to bictegravir (44-fold) </w:t>
      </w:r>
      <w:r w:rsidR="00B85AC6" w:rsidRPr="004139EF">
        <w:rPr>
          <w:rFonts w:ascii="Times New Roman" w:hAnsi="Times New Roman"/>
          <w:i/>
          <w:iCs/>
          <w:sz w:val="24"/>
          <w:szCs w:val="24"/>
          <w:lang w:eastAsia="en-AU"/>
        </w:rPr>
        <w:t>in vitro</w:t>
      </w:r>
      <w:r w:rsidR="00B85AC6" w:rsidRPr="004139EF">
        <w:rPr>
          <w:rFonts w:ascii="Times New Roman" w:hAnsi="Times New Roman"/>
          <w:sz w:val="24"/>
          <w:szCs w:val="24"/>
          <w:lang w:eastAsia="en-AU"/>
        </w:rPr>
        <w:t>.</w:t>
      </w:r>
    </w:p>
    <w:p w:rsidR="009228A7" w:rsidRPr="000E1BC3" w:rsidRDefault="009228A7" w:rsidP="009228A7">
      <w:pPr>
        <w:spacing w:before="120"/>
        <w:rPr>
          <w:rFonts w:ascii="Times New Roman" w:hAnsi="Times New Roman"/>
          <w:sz w:val="24"/>
        </w:rPr>
      </w:pPr>
      <w:r w:rsidRPr="000E1BC3">
        <w:rPr>
          <w:rFonts w:ascii="Times New Roman" w:hAnsi="Times New Roman"/>
          <w:i/>
          <w:sz w:val="24"/>
          <w:u w:val="single"/>
        </w:rPr>
        <w:t>Reverse Transcriptase Inhibitor- and Protease Inhibitor-resistant Strains</w:t>
      </w:r>
      <w:r w:rsidRPr="000E1BC3">
        <w:rPr>
          <w:rFonts w:ascii="Times New Roman" w:hAnsi="Times New Roman"/>
          <w:sz w:val="24"/>
        </w:rPr>
        <w:t>: BIC demonstrated equivalent antiviral activity against 5 NNRTI-resistant, 3 NRTI-resistant, and 4 PI-resistant HIV-1 mutant clones compared with the wild-type strain.</w:t>
      </w:r>
    </w:p>
    <w:p w:rsidR="009228A7" w:rsidRPr="000E1BC3" w:rsidRDefault="009228A7" w:rsidP="009228A7">
      <w:pPr>
        <w:pStyle w:val="Text10"/>
        <w:spacing w:after="0"/>
        <w:rPr>
          <w:b/>
          <w:i/>
        </w:rPr>
      </w:pPr>
      <w:r w:rsidRPr="000E1BC3">
        <w:rPr>
          <w:szCs w:val="24"/>
        </w:rPr>
        <w:t xml:space="preserve"> </w:t>
      </w:r>
    </w:p>
    <w:p w:rsidR="009228A7" w:rsidRPr="000E1BC3" w:rsidRDefault="009228A7" w:rsidP="009228A7">
      <w:pPr>
        <w:pStyle w:val="Text10"/>
        <w:spacing w:after="0"/>
      </w:pPr>
      <w:r w:rsidRPr="000E1BC3">
        <w:rPr>
          <w:b/>
          <w:i/>
        </w:rPr>
        <w:t>Emtricitabine:</w:t>
      </w:r>
      <w:r w:rsidRPr="000E1BC3">
        <w:t xml:space="preserve"> </w:t>
      </w:r>
      <w:r w:rsidRPr="000E1BC3">
        <w:rPr>
          <w:lang w:val="en-AU"/>
        </w:rPr>
        <w:t>FTC</w:t>
      </w:r>
      <w:r w:rsidRPr="000E1BC3">
        <w:t xml:space="preserve">-resistant isolates (M184V/I) were cross-resistant to 3TC but retained sensitivity to didanosine, d4T, tenofovir and AZT.  </w:t>
      </w:r>
    </w:p>
    <w:p w:rsidR="009228A7" w:rsidRPr="000E1BC3" w:rsidRDefault="009228A7" w:rsidP="009228A7">
      <w:pPr>
        <w:pStyle w:val="Text10"/>
        <w:spacing w:after="0"/>
      </w:pPr>
    </w:p>
    <w:p w:rsidR="009228A7" w:rsidRPr="000E1BC3" w:rsidRDefault="009228A7" w:rsidP="009228A7">
      <w:pPr>
        <w:pStyle w:val="Text10"/>
        <w:spacing w:after="0"/>
        <w:rPr>
          <w:lang w:val="en-AU"/>
        </w:rPr>
      </w:pPr>
      <w:r w:rsidRPr="000E1BC3">
        <w:t xml:space="preserve">Viruses harbouring mutations conferring reduced susceptibility to d4T and AZT - thymidine analogue-associated mutations - TAMs (M41L, D67N, K70R, L210W, T215Y/F, K219Q/E) or didanosine (L74V) remained sensitive to emtricitabine.  </w:t>
      </w:r>
      <w:r w:rsidRPr="000E1BC3">
        <w:rPr>
          <w:lang w:val="en-AU"/>
        </w:rPr>
        <w:t>HIV-1 containing the K103N mutation or substitutions associated with resistance to NNRTI were susceptible to FTC.</w:t>
      </w:r>
    </w:p>
    <w:p w:rsidR="009228A7" w:rsidRPr="000E1BC3" w:rsidRDefault="009228A7" w:rsidP="009228A7">
      <w:pPr>
        <w:pStyle w:val="Text10"/>
        <w:spacing w:after="0"/>
        <w:rPr>
          <w:lang w:val="en-AU"/>
        </w:rPr>
      </w:pPr>
    </w:p>
    <w:p w:rsidR="009228A7" w:rsidRPr="000E1BC3" w:rsidRDefault="009228A7" w:rsidP="009228A7">
      <w:pPr>
        <w:pStyle w:val="Text10"/>
        <w:rPr>
          <w:szCs w:val="24"/>
        </w:rPr>
      </w:pPr>
      <w:r w:rsidRPr="000E1BC3">
        <w:rPr>
          <w:b/>
          <w:i/>
          <w:szCs w:val="24"/>
        </w:rPr>
        <w:t xml:space="preserve">Tenofovir </w:t>
      </w:r>
      <w:r w:rsidRPr="000E1BC3">
        <w:rPr>
          <w:b/>
          <w:bCs/>
          <w:i/>
          <w:iCs/>
          <w:szCs w:val="24"/>
          <w:lang w:val="en-AU"/>
        </w:rPr>
        <w:t>Alafenamide</w:t>
      </w:r>
      <w:r w:rsidRPr="000E1BC3">
        <w:rPr>
          <w:b/>
          <w:i/>
          <w:szCs w:val="24"/>
        </w:rPr>
        <w:t xml:space="preserve">: </w:t>
      </w:r>
      <w:r w:rsidRPr="000E1BC3">
        <w:rPr>
          <w:szCs w:val="24"/>
        </w:rPr>
        <w:t>The K65R and K70E mutations result in reduced susceptibility to abacavir, didanosine, lamivudine, FTC, and tenofovir, but retain sensitivity to zidovudine.</w:t>
      </w:r>
    </w:p>
    <w:p w:rsidR="009228A7" w:rsidRPr="000E1BC3" w:rsidRDefault="009228A7" w:rsidP="009228A7">
      <w:pPr>
        <w:pStyle w:val="Text10"/>
        <w:rPr>
          <w:szCs w:val="24"/>
        </w:rPr>
      </w:pPr>
      <w:r w:rsidRPr="000E1BC3">
        <w:rPr>
          <w:szCs w:val="24"/>
        </w:rPr>
        <w:t>Multinucleoside resistant HIV-1 with a T69S double insertion mutation or with a Q151M mutation complex including K65R showed reduced susceptibility to TAF.</w:t>
      </w:r>
    </w:p>
    <w:p w:rsidR="009228A7" w:rsidRPr="000E1BC3" w:rsidRDefault="009228A7" w:rsidP="009228A7">
      <w:pPr>
        <w:pStyle w:val="Text10"/>
        <w:rPr>
          <w:szCs w:val="24"/>
        </w:rPr>
      </w:pPr>
      <w:r w:rsidRPr="000E1BC3">
        <w:rPr>
          <w:szCs w:val="24"/>
        </w:rPr>
        <w:t>HIV-1 containing the K103N or Y181C mutations associated with resistance to NNRTIs were susceptible to TAF.</w:t>
      </w:r>
    </w:p>
    <w:p w:rsidR="009228A7" w:rsidRPr="000E1BC3" w:rsidRDefault="009228A7" w:rsidP="009228A7">
      <w:pPr>
        <w:pStyle w:val="Text10"/>
        <w:spacing w:after="0"/>
        <w:rPr>
          <w:szCs w:val="24"/>
        </w:rPr>
      </w:pPr>
      <w:r w:rsidRPr="000E1BC3">
        <w:rPr>
          <w:szCs w:val="24"/>
        </w:rPr>
        <w:t>HIV-1 containing mutations associated with resistance to PIs, such as M46I, I54V, V82F/T, and L90M were susceptible to TAF.</w:t>
      </w:r>
    </w:p>
    <w:p w:rsidR="00C30073" w:rsidRPr="000E1BC3" w:rsidRDefault="00C30073" w:rsidP="004D22F3">
      <w:pPr>
        <w:rPr>
          <w:rFonts w:ascii="Times New Roman" w:hAnsi="Times New Roman"/>
          <w:noProof/>
          <w:sz w:val="24"/>
          <w:szCs w:val="24"/>
          <w:lang w:val="en-US"/>
        </w:rPr>
      </w:pPr>
    </w:p>
    <w:p w:rsidR="0018270F" w:rsidRPr="000E1BC3" w:rsidRDefault="0018270F" w:rsidP="009D253C">
      <w:pPr>
        <w:numPr>
          <w:ilvl w:val="0"/>
          <w:numId w:val="21"/>
        </w:numPr>
        <w:spacing w:after="120"/>
        <w:ind w:left="357" w:hanging="357"/>
        <w:rPr>
          <w:rFonts w:ascii="Times New Roman" w:hAnsi="Times New Roman"/>
          <w:b/>
          <w:noProof/>
          <w:sz w:val="24"/>
          <w:szCs w:val="24"/>
        </w:rPr>
      </w:pPr>
      <w:r w:rsidRPr="000E1BC3">
        <w:rPr>
          <w:rFonts w:ascii="Times New Roman" w:hAnsi="Times New Roman"/>
          <w:b/>
          <w:noProof/>
          <w:sz w:val="24"/>
          <w:szCs w:val="24"/>
        </w:rPr>
        <w:t>Effects on Electrocardiogram</w:t>
      </w:r>
    </w:p>
    <w:p w:rsidR="0018270F" w:rsidRPr="000E1BC3" w:rsidRDefault="0018270F" w:rsidP="009326E4">
      <w:pPr>
        <w:keepNext/>
        <w:keepLines/>
        <w:widowControl w:val="0"/>
        <w:spacing w:after="120"/>
        <w:rPr>
          <w:rFonts w:ascii="Times New Roman" w:hAnsi="Times New Roman"/>
          <w:b/>
          <w:i/>
          <w:sz w:val="24"/>
        </w:rPr>
      </w:pPr>
      <w:r w:rsidRPr="000E1BC3">
        <w:rPr>
          <w:rFonts w:ascii="Times New Roman" w:hAnsi="Times New Roman"/>
          <w:b/>
          <w:i/>
          <w:sz w:val="24"/>
        </w:rPr>
        <w:t xml:space="preserve">Bictegravir: </w:t>
      </w:r>
      <w:r w:rsidRPr="000E1BC3">
        <w:rPr>
          <w:rFonts w:ascii="Times New Roman" w:hAnsi="Times New Roman"/>
          <w:sz w:val="24"/>
        </w:rPr>
        <w:t>In a thorough QT/QTc study in 48 healthy subjects, BIC at supratherapeutic doses of 1.5 and 6 times the recommended therapeutic dose did not affect the QT/QTc interval and did not prolong the PR interval.</w:t>
      </w:r>
    </w:p>
    <w:p w:rsidR="0018270F" w:rsidRPr="000E1BC3" w:rsidRDefault="0018270F" w:rsidP="0018270F">
      <w:pPr>
        <w:rPr>
          <w:rFonts w:ascii="Times New Roman" w:hAnsi="Times New Roman"/>
          <w:b/>
          <w:noProof/>
          <w:sz w:val="24"/>
          <w:szCs w:val="24"/>
        </w:rPr>
      </w:pPr>
    </w:p>
    <w:p w:rsidR="0018270F" w:rsidRPr="000E1BC3" w:rsidRDefault="0018270F" w:rsidP="0018270F">
      <w:pPr>
        <w:pStyle w:val="Text10"/>
        <w:spacing w:after="0"/>
        <w:rPr>
          <w:b/>
          <w:bCs/>
        </w:rPr>
      </w:pPr>
      <w:r w:rsidRPr="000E1BC3">
        <w:rPr>
          <w:b/>
          <w:i/>
          <w:noProof/>
          <w:szCs w:val="24"/>
        </w:rPr>
        <w:t xml:space="preserve">Tenofovir Alafenamide: </w:t>
      </w:r>
      <w:r w:rsidRPr="000E1BC3">
        <w:rPr>
          <w:bCs/>
        </w:rPr>
        <w:t>In a thorough QT/QTc study in 48 healthy subjects, TAF at the therapeutic dose or at a supratherapeutic dose approximately 5 times the recommended therapeutic dose did not affect the QT/QTc interval and did not prolong the PR interval.</w:t>
      </w:r>
      <w:r w:rsidR="00CD7CD1">
        <w:rPr>
          <w:bCs/>
        </w:rPr>
        <w:t xml:space="preserve"> </w:t>
      </w:r>
      <w:r w:rsidRPr="000E1BC3">
        <w:rPr>
          <w:sz w:val="23"/>
          <w:szCs w:val="23"/>
        </w:rPr>
        <w:t>The effect of the other component, FTC, or the combination of FTC and TAF on the QT interval is not known.</w:t>
      </w:r>
    </w:p>
    <w:p w:rsidR="0018270F" w:rsidRPr="000E1BC3" w:rsidRDefault="0018270F" w:rsidP="0018270F">
      <w:pPr>
        <w:pStyle w:val="Text10"/>
        <w:spacing w:after="0"/>
        <w:jc w:val="both"/>
        <w:rPr>
          <w:bCs/>
        </w:rPr>
      </w:pPr>
    </w:p>
    <w:p w:rsidR="0018270F" w:rsidRPr="000E1BC3" w:rsidRDefault="0018270F" w:rsidP="009D253C">
      <w:pPr>
        <w:numPr>
          <w:ilvl w:val="0"/>
          <w:numId w:val="21"/>
        </w:numPr>
        <w:spacing w:after="120"/>
        <w:ind w:left="357" w:hanging="357"/>
        <w:rPr>
          <w:rFonts w:ascii="Times New Roman" w:hAnsi="Times New Roman"/>
          <w:b/>
          <w:noProof/>
          <w:sz w:val="24"/>
          <w:szCs w:val="24"/>
        </w:rPr>
      </w:pPr>
      <w:r w:rsidRPr="000E1BC3">
        <w:rPr>
          <w:rFonts w:ascii="Times New Roman" w:hAnsi="Times New Roman"/>
          <w:b/>
          <w:noProof/>
          <w:sz w:val="24"/>
          <w:szCs w:val="24"/>
        </w:rPr>
        <w:t>Effects on Serum Creatinine</w:t>
      </w:r>
    </w:p>
    <w:p w:rsidR="0018270F" w:rsidRDefault="0018270F" w:rsidP="0018270F">
      <w:pPr>
        <w:rPr>
          <w:rFonts w:ascii="Times New Roman" w:hAnsi="Times New Roman"/>
          <w:sz w:val="24"/>
          <w:szCs w:val="24"/>
        </w:rPr>
      </w:pPr>
      <w:r w:rsidRPr="000E1BC3">
        <w:rPr>
          <w:rFonts w:ascii="Times New Roman" w:hAnsi="Times New Roman"/>
          <w:sz w:val="24"/>
          <w:szCs w:val="24"/>
        </w:rPr>
        <w:t xml:space="preserve">The effect of BIC on renal function was evaluated in a randomized, blinded, parallel, placebo-controlled trial in 40 healthy subjects who received BIC 75 mg (n = 20) or placebo (n = 20) once daily with food for 14 days.  Mean change from baseline in serum creatinine in the BIC group was 0.1 mg per dL on Days 7 and 14.  BIC did not have a clinically significant effect on the estimated glomerular filtration rate or on the actual glomerular filtration rate (determined by the clearance of probe drug, iohexol) compared with placebo. </w:t>
      </w:r>
    </w:p>
    <w:p w:rsidR="00C62E8B" w:rsidRDefault="00C62E8B" w:rsidP="0018270F">
      <w:pPr>
        <w:rPr>
          <w:rFonts w:ascii="Times New Roman" w:hAnsi="Times New Roman"/>
          <w:sz w:val="24"/>
          <w:szCs w:val="24"/>
        </w:rPr>
      </w:pPr>
    </w:p>
    <w:p w:rsidR="00346E0B" w:rsidRDefault="00346E0B" w:rsidP="0018270F">
      <w:pPr>
        <w:rPr>
          <w:rFonts w:ascii="Times New Roman" w:hAnsi="Times New Roman"/>
          <w:sz w:val="24"/>
          <w:szCs w:val="24"/>
        </w:rPr>
      </w:pPr>
    </w:p>
    <w:p w:rsidR="00346E0B" w:rsidRDefault="00346E0B" w:rsidP="0018270F">
      <w:pPr>
        <w:rPr>
          <w:rFonts w:ascii="Times New Roman" w:hAnsi="Times New Roman"/>
          <w:sz w:val="24"/>
          <w:szCs w:val="24"/>
        </w:rPr>
      </w:pPr>
    </w:p>
    <w:p w:rsidR="00346E0B" w:rsidRDefault="00346E0B" w:rsidP="0018270F">
      <w:pPr>
        <w:rPr>
          <w:rFonts w:ascii="Times New Roman" w:hAnsi="Times New Roman"/>
          <w:sz w:val="24"/>
          <w:szCs w:val="24"/>
        </w:rPr>
      </w:pPr>
    </w:p>
    <w:p w:rsidR="00C62E8B" w:rsidRDefault="00682CF0" w:rsidP="00F53665">
      <w:pPr>
        <w:numPr>
          <w:ilvl w:val="0"/>
          <w:numId w:val="21"/>
        </w:numPr>
        <w:spacing w:after="120"/>
        <w:ind w:left="357" w:hanging="357"/>
        <w:rPr>
          <w:rFonts w:ascii="Times New Roman" w:hAnsi="Times New Roman"/>
          <w:sz w:val="24"/>
          <w:szCs w:val="24"/>
        </w:rPr>
      </w:pPr>
      <w:r w:rsidRPr="00682CF0">
        <w:rPr>
          <w:rFonts w:ascii="Times New Roman" w:hAnsi="Times New Roman"/>
          <w:b/>
          <w:noProof/>
          <w:sz w:val="24"/>
          <w:szCs w:val="24"/>
        </w:rPr>
        <w:lastRenderedPageBreak/>
        <w:t>Clinical trials</w:t>
      </w: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The efficacy and safety of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HIV-1 infected, treatment-naïve adults are based on 48-week data from two randomized, double-blind, active-controlled studies, GS-US-380-1489 (“Study 1489”) (N=629) and GS-US-380-1490 (“Study 1490”)  (N=645).</w:t>
      </w:r>
    </w:p>
    <w:p w:rsidR="00682CF0" w:rsidRPr="000E1BC3" w:rsidRDefault="00682CF0" w:rsidP="00682CF0">
      <w:pPr>
        <w:outlineLvl w:val="0"/>
        <w:rPr>
          <w:rFonts w:ascii="Times New Roman" w:hAnsi="Times New Roman"/>
          <w:noProof/>
          <w:sz w:val="24"/>
          <w:szCs w:val="24"/>
          <w:lang w:val="en-US"/>
        </w:rPr>
      </w:pPr>
    </w:p>
    <w:p w:rsidR="00BA5024"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The efficacy and safety of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virologically-suppressed HIV-1 infected adults are based on 48-week data from a randomized,  double-blind, active-controlled study, </w:t>
      </w: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GS</w:t>
      </w:r>
      <w:r w:rsidR="00BA5024">
        <w:rPr>
          <w:rFonts w:ascii="Times New Roman" w:hAnsi="Times New Roman"/>
          <w:noProof/>
          <w:sz w:val="24"/>
          <w:szCs w:val="24"/>
          <w:lang w:val="en-US"/>
        </w:rPr>
        <w:t>-</w:t>
      </w:r>
      <w:r w:rsidRPr="000E1BC3">
        <w:rPr>
          <w:rFonts w:ascii="Times New Roman" w:hAnsi="Times New Roman"/>
          <w:noProof/>
          <w:sz w:val="24"/>
          <w:szCs w:val="24"/>
          <w:lang w:val="en-US"/>
        </w:rPr>
        <w:t>US-380-1844 (“Study 1844”) (N = 563); and a randomized, open label, active-controlled study, GS-US-380-1878 (“Study 1878”) (N=577).</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The efficacy and safety of FTC + TAF (components of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HIV-1 infected, virologically-suppressed patients with mild to moderate renal impairment is based on 144-week data from an open-label study,  Study 0112 (N=242). </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The efficacy and safety of FTC+TAF (components of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adult patients coinfected with HIV-1 and chronic hepatitis B are based on 48-week data from an open-label study, GS-US-292-1249 (“Study 1249”) (N=72).  The efficacy and safety of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adult patients coinfected with HIV-1 and chronic hepatitis B are also supported by 48-week data in 8 HIV/HBV coinfected adults treated with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Study 1490 and 8 HIV/HBV coinfected adults treated with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in Study 1878.</w:t>
      </w:r>
    </w:p>
    <w:p w:rsidR="00682CF0" w:rsidRPr="000E1BC3" w:rsidRDefault="00682CF0" w:rsidP="00682CF0">
      <w:pPr>
        <w:outlineLvl w:val="0"/>
        <w:rPr>
          <w:rFonts w:ascii="Times New Roman" w:hAnsi="Times New Roman"/>
          <w:b/>
          <w:noProof/>
          <w:sz w:val="24"/>
          <w:szCs w:val="24"/>
          <w:lang w:val="en-US"/>
        </w:rPr>
      </w:pPr>
    </w:p>
    <w:p w:rsidR="00682CF0" w:rsidRPr="000E1BC3" w:rsidRDefault="00682CF0" w:rsidP="000571BC">
      <w:pPr>
        <w:spacing w:after="120"/>
        <w:outlineLvl w:val="0"/>
        <w:rPr>
          <w:rFonts w:ascii="Times New Roman" w:hAnsi="Times New Roman"/>
          <w:b/>
          <w:noProof/>
          <w:sz w:val="24"/>
          <w:szCs w:val="24"/>
          <w:lang w:val="en-US"/>
        </w:rPr>
      </w:pPr>
      <w:r w:rsidRPr="000E1BC3">
        <w:rPr>
          <w:rFonts w:ascii="Times New Roman" w:hAnsi="Times New Roman"/>
          <w:b/>
          <w:noProof/>
          <w:sz w:val="24"/>
          <w:szCs w:val="24"/>
          <w:lang w:val="en-US"/>
        </w:rPr>
        <w:t>Treatment-Naïve Patients</w:t>
      </w:r>
    </w:p>
    <w:p w:rsidR="00682CF0" w:rsidRPr="000E1BC3" w:rsidRDefault="00682CF0" w:rsidP="00682CF0">
      <w:pPr>
        <w:spacing w:after="120"/>
        <w:outlineLvl w:val="0"/>
        <w:rPr>
          <w:rFonts w:ascii="Times New Roman" w:hAnsi="Times New Roman"/>
          <w:b/>
          <w:noProof/>
          <w:sz w:val="24"/>
          <w:szCs w:val="24"/>
          <w:u w:val="single"/>
          <w:lang w:val="en-US"/>
        </w:rPr>
      </w:pPr>
      <w:r w:rsidRPr="000E1BC3">
        <w:rPr>
          <w:rFonts w:ascii="Times New Roman" w:hAnsi="Times New Roman"/>
          <w:b/>
          <w:noProof/>
          <w:sz w:val="24"/>
          <w:szCs w:val="24"/>
          <w:u w:val="single"/>
          <w:lang w:val="en-US"/>
        </w:rPr>
        <w:t>Study 1489 and 1490</w:t>
      </w:r>
    </w:p>
    <w:p w:rsidR="00682CF0"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In Study 1489, patients were randomized in a 1:1 ratio to receive either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(N=314) or ABC/DTG/3TC (600/50/300 mg)  (N=315) once daily.  In Study 1490, patients were randomized in a 1:1 ratio to receive either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(N=320) or DTG + FTC/TAF (50+200/25 mg) (N=325) once daily.</w:t>
      </w:r>
    </w:p>
    <w:p w:rsidR="00C30073" w:rsidRPr="000E1BC3" w:rsidRDefault="00C30073"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In Studies 1489 and 1490, the mean age was 35 years (range 18-77), 89% were male, 58% were White, 33% were Black, and 3% were Asian.  24% percent of patients identified as Hispanic/Latino.  The mean baseline plasma HIV-1 RNA was 4.4 log</w:t>
      </w:r>
      <w:r w:rsidRPr="000E1BC3">
        <w:rPr>
          <w:rFonts w:ascii="Times New Roman" w:hAnsi="Times New Roman"/>
          <w:noProof/>
          <w:sz w:val="24"/>
          <w:szCs w:val="24"/>
          <w:vertAlign w:val="subscript"/>
          <w:lang w:val="en-US"/>
        </w:rPr>
        <w:t>10</w:t>
      </w:r>
      <w:r w:rsidRPr="000E1BC3">
        <w:rPr>
          <w:rFonts w:ascii="Times New Roman" w:hAnsi="Times New Roman"/>
          <w:noProof/>
          <w:sz w:val="24"/>
          <w:szCs w:val="24"/>
          <w:lang w:val="en-US"/>
        </w:rPr>
        <w:t xml:space="preserve"> copies/mL (range 1.3-6.6).  The mean baseline CD4+ cell count was 460 cells/mm</w:t>
      </w:r>
      <w:r w:rsidRPr="000E1BC3">
        <w:rPr>
          <w:rFonts w:ascii="Times New Roman" w:hAnsi="Times New Roman"/>
          <w:noProof/>
          <w:sz w:val="24"/>
          <w:szCs w:val="24"/>
          <w:vertAlign w:val="superscript"/>
          <w:lang w:val="en-US"/>
        </w:rPr>
        <w:t>3</w:t>
      </w:r>
      <w:r w:rsidRPr="000E1BC3">
        <w:rPr>
          <w:rFonts w:ascii="Times New Roman" w:hAnsi="Times New Roman"/>
          <w:noProof/>
          <w:sz w:val="24"/>
          <w:szCs w:val="24"/>
          <w:lang w:val="en-US"/>
        </w:rPr>
        <w:t xml:space="preserve"> (range 0-1636) and 11% had CD4+ cell counts less than 200 cells/mm</w:t>
      </w:r>
      <w:r w:rsidRPr="000E1BC3">
        <w:rPr>
          <w:rFonts w:ascii="Times New Roman" w:hAnsi="Times New Roman"/>
          <w:noProof/>
          <w:sz w:val="24"/>
          <w:szCs w:val="24"/>
          <w:vertAlign w:val="superscript"/>
          <w:lang w:val="en-US"/>
        </w:rPr>
        <w:t>3</w:t>
      </w:r>
      <w:r w:rsidRPr="000E1BC3">
        <w:rPr>
          <w:rFonts w:ascii="Times New Roman" w:hAnsi="Times New Roman"/>
          <w:noProof/>
          <w:sz w:val="24"/>
          <w:szCs w:val="24"/>
          <w:lang w:val="en-US"/>
        </w:rPr>
        <w:t>. 18% of patients had baseline viral loads greater than 100,000 copies/mL.  In Study 1490, 14 patients  had HIV/HBV coinfection and 10 patients had HIV/HCV coinfection at baseline. In Study 1489, 4 patients had HIV/HCV coinfection at baseline. In both studies, patient</w:t>
      </w:r>
      <w:r>
        <w:rPr>
          <w:rFonts w:ascii="Times New Roman" w:hAnsi="Times New Roman"/>
          <w:noProof/>
          <w:sz w:val="24"/>
          <w:szCs w:val="24"/>
          <w:lang w:val="en-US"/>
        </w:rPr>
        <w:t xml:space="preserve"> randomisation </w:t>
      </w:r>
      <w:r w:rsidRPr="000E1BC3">
        <w:rPr>
          <w:rFonts w:ascii="Times New Roman" w:hAnsi="Times New Roman"/>
          <w:noProof/>
          <w:sz w:val="24"/>
          <w:szCs w:val="24"/>
          <w:lang w:val="en-US"/>
        </w:rPr>
        <w:t>were stratified by baseline HIV-1 RNA (less than or equal to 100,000 copies/mL, greater than 100,000 copies/mL to less than or equal to 400,000 copies/mL, or greater than 400,000 copies/mL), by CD4 count (less than 50 cells/μL, 50-199 cells/μL, or greater than or equal to 200 cells/μL), and by region (US or ex-US).</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Treatment outcomes of Studies 1489 and 1490 through Week 48 are presented in Table 7.</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ind w:left="1440" w:hanging="1440"/>
        <w:outlineLvl w:val="0"/>
        <w:rPr>
          <w:rFonts w:ascii="Times New Roman" w:hAnsi="Times New Roman"/>
          <w:b/>
          <w:noProof/>
          <w:sz w:val="24"/>
          <w:szCs w:val="24"/>
          <w:lang w:val="en-US"/>
        </w:rPr>
      </w:pPr>
      <w:r w:rsidRPr="000E1BC3">
        <w:rPr>
          <w:rFonts w:ascii="Times New Roman" w:hAnsi="Times New Roman"/>
          <w:b/>
          <w:noProof/>
          <w:sz w:val="24"/>
          <w:szCs w:val="24"/>
          <w:lang w:val="en-US"/>
        </w:rPr>
        <w:t xml:space="preserve">Table 7. </w:t>
      </w:r>
      <w:r w:rsidRPr="000E1BC3">
        <w:rPr>
          <w:rFonts w:ascii="Times New Roman" w:hAnsi="Times New Roman"/>
          <w:b/>
          <w:noProof/>
          <w:sz w:val="24"/>
          <w:szCs w:val="24"/>
          <w:lang w:val="en-US"/>
        </w:rPr>
        <w:tab/>
        <w:t>Pooled Virologic Outcomes of Studies 1489 and 1490 at Week 48 in Treatment-Naïve Patients</w:t>
      </w:r>
      <w:r w:rsidRPr="000E1BC3">
        <w:rPr>
          <w:rFonts w:ascii="Times New Roman Bold" w:hAnsi="Times New Roman Bold"/>
          <w:b/>
          <w:noProof/>
          <w:sz w:val="24"/>
          <w:szCs w:val="24"/>
          <w:vertAlign w:val="superscript"/>
          <w:lang w:val="en-US"/>
        </w:rPr>
        <w:t>a</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6"/>
        <w:gridCol w:w="1825"/>
        <w:gridCol w:w="1825"/>
        <w:gridCol w:w="1824"/>
      </w:tblGrid>
      <w:tr w:rsidR="00682CF0" w:rsidRPr="000E1BC3" w:rsidTr="00E157B9">
        <w:trPr>
          <w:cantSplit/>
          <w:trHeight w:val="148"/>
          <w:tblHeader/>
        </w:trPr>
        <w:tc>
          <w:tcPr>
            <w:tcW w:w="3016" w:type="dxa"/>
            <w:tcBorders>
              <w:top w:val="single" w:sz="12" w:space="0" w:color="auto"/>
              <w:left w:val="nil"/>
              <w:bottom w:val="single" w:sz="12" w:space="0" w:color="auto"/>
            </w:tcBorders>
            <w:shd w:val="clear" w:color="auto" w:fill="FFFFFF"/>
            <w:vAlign w:val="bottom"/>
          </w:tcPr>
          <w:p w:rsidR="00682CF0" w:rsidRPr="000E1BC3" w:rsidRDefault="00682CF0" w:rsidP="00E157B9">
            <w:pPr>
              <w:pStyle w:val="StyleTable-Heading12pt"/>
              <w:keepNext w:val="0"/>
              <w:keepLines w:val="0"/>
              <w:widowControl w:val="0"/>
              <w:spacing w:before="20" w:after="20"/>
              <w:rPr>
                <w:rFonts w:ascii="Times New Roman" w:hAnsi="Times New Roman"/>
                <w:sz w:val="20"/>
              </w:rPr>
            </w:pPr>
          </w:p>
        </w:tc>
        <w:tc>
          <w:tcPr>
            <w:tcW w:w="1825" w:type="dxa"/>
            <w:tcBorders>
              <w:top w:val="single" w:sz="12" w:space="0" w:color="auto"/>
              <w:bottom w:val="single" w:sz="12" w:space="0" w:color="auto"/>
            </w:tcBorders>
            <w:shd w:val="clear" w:color="auto" w:fill="FFFFFF"/>
            <w:vAlign w:val="center"/>
            <w:hideMark/>
          </w:tcPr>
          <w:p w:rsidR="00682CF0" w:rsidRPr="000E1BC3" w:rsidRDefault="002F43D2" w:rsidP="00E157B9">
            <w:pPr>
              <w:pStyle w:val="StyleTable-Heading12pt"/>
              <w:keepNext w:val="0"/>
              <w:keepLines w:val="0"/>
              <w:widowControl w:val="0"/>
              <w:spacing w:before="20" w:after="20"/>
              <w:rPr>
                <w:rFonts w:ascii="Times New Roman" w:hAnsi="Times New Roman"/>
                <w:sz w:val="20"/>
              </w:rPr>
            </w:pPr>
            <w:r>
              <w:rPr>
                <w:rFonts w:ascii="Times New Roman" w:hAnsi="Times New Roman"/>
                <w:sz w:val="20"/>
              </w:rPr>
              <w:t>BIKTARVY</w:t>
            </w:r>
            <w:r w:rsidR="00682CF0" w:rsidRPr="000E1BC3">
              <w:rPr>
                <w:rFonts w:ascii="Times New Roman" w:hAnsi="Times New Roman"/>
                <w:sz w:val="20"/>
              </w:rPr>
              <w:t xml:space="preserve"> </w:t>
            </w:r>
            <w:r w:rsidR="00682CF0" w:rsidRPr="000E1BC3">
              <w:rPr>
                <w:rFonts w:ascii="Times New Roman" w:hAnsi="Times New Roman"/>
                <w:sz w:val="20"/>
              </w:rPr>
              <w:br/>
            </w:r>
            <w:r w:rsidR="00682CF0" w:rsidRPr="000E1BC3">
              <w:rPr>
                <w:rFonts w:ascii="Times New Roman" w:hAnsi="Times New Roman"/>
                <w:b w:val="0"/>
                <w:sz w:val="20"/>
              </w:rPr>
              <w:t>(N=634)</w:t>
            </w:r>
            <w:r w:rsidR="00682CF0" w:rsidRPr="000E1BC3">
              <w:rPr>
                <w:rFonts w:ascii="Times New Roman" w:hAnsi="Times New Roman"/>
                <w:b w:val="0"/>
                <w:sz w:val="20"/>
                <w:vertAlign w:val="superscript"/>
              </w:rPr>
              <w:t>b</w:t>
            </w:r>
          </w:p>
        </w:tc>
        <w:tc>
          <w:tcPr>
            <w:tcW w:w="1825" w:type="dxa"/>
            <w:tcBorders>
              <w:top w:val="single" w:sz="12" w:space="0" w:color="auto"/>
              <w:bottom w:val="single" w:sz="12" w:space="0" w:color="auto"/>
            </w:tcBorders>
            <w:shd w:val="clear" w:color="auto" w:fill="FFFFFF"/>
            <w:vAlign w:val="center"/>
            <w:hideMark/>
          </w:tcPr>
          <w:p w:rsidR="00682CF0" w:rsidRPr="000E1BC3" w:rsidRDefault="00682CF0" w:rsidP="00E157B9">
            <w:pPr>
              <w:pStyle w:val="StyleTable-Heading12pt"/>
              <w:keepNext w:val="0"/>
              <w:keepLines w:val="0"/>
              <w:widowControl w:val="0"/>
              <w:spacing w:before="20" w:after="20"/>
              <w:rPr>
                <w:rFonts w:ascii="Times New Roman" w:hAnsi="Times New Roman"/>
                <w:sz w:val="20"/>
              </w:rPr>
            </w:pPr>
            <w:r w:rsidRPr="000E1BC3">
              <w:rPr>
                <w:rFonts w:ascii="Times New Roman" w:hAnsi="Times New Roman"/>
                <w:sz w:val="20"/>
              </w:rPr>
              <w:t xml:space="preserve"> ABC/DTG/3TC</w:t>
            </w:r>
          </w:p>
          <w:p w:rsidR="00682CF0" w:rsidRPr="000E1BC3" w:rsidRDefault="00682CF0" w:rsidP="00E157B9">
            <w:pPr>
              <w:pStyle w:val="StyleTable-Heading12pt"/>
              <w:keepNext w:val="0"/>
              <w:keepLines w:val="0"/>
              <w:widowControl w:val="0"/>
              <w:spacing w:before="20" w:after="20"/>
              <w:rPr>
                <w:rFonts w:ascii="Times New Roman" w:hAnsi="Times New Roman"/>
                <w:b w:val="0"/>
                <w:sz w:val="20"/>
              </w:rPr>
            </w:pPr>
            <w:r w:rsidRPr="000E1BC3">
              <w:rPr>
                <w:rFonts w:ascii="Times New Roman" w:hAnsi="Times New Roman"/>
                <w:b w:val="0"/>
                <w:sz w:val="20"/>
              </w:rPr>
              <w:t>(N=315)</w:t>
            </w:r>
            <w:r w:rsidRPr="000E1BC3">
              <w:rPr>
                <w:rFonts w:ascii="Times New Roman" w:hAnsi="Times New Roman"/>
                <w:b w:val="0"/>
                <w:sz w:val="20"/>
                <w:vertAlign w:val="superscript"/>
              </w:rPr>
              <w:t>c</w:t>
            </w:r>
          </w:p>
        </w:tc>
        <w:tc>
          <w:tcPr>
            <w:tcW w:w="1824" w:type="dxa"/>
            <w:tcBorders>
              <w:top w:val="single" w:sz="12" w:space="0" w:color="auto"/>
              <w:bottom w:val="single" w:sz="12" w:space="0" w:color="auto"/>
              <w:right w:val="nil"/>
            </w:tcBorders>
            <w:shd w:val="clear" w:color="auto" w:fill="FFFFFF"/>
            <w:vAlign w:val="center"/>
            <w:hideMark/>
          </w:tcPr>
          <w:p w:rsidR="00682CF0" w:rsidRPr="000E1BC3" w:rsidRDefault="00682CF0" w:rsidP="00E157B9">
            <w:pPr>
              <w:pStyle w:val="StyleTable-Heading12pt"/>
              <w:keepNext w:val="0"/>
              <w:keepLines w:val="0"/>
              <w:widowControl w:val="0"/>
              <w:spacing w:before="20" w:after="20"/>
              <w:rPr>
                <w:rFonts w:ascii="Times New Roman" w:hAnsi="Times New Roman"/>
                <w:sz w:val="20"/>
              </w:rPr>
            </w:pPr>
            <w:r w:rsidRPr="000E1BC3">
              <w:rPr>
                <w:rFonts w:ascii="Times New Roman" w:hAnsi="Times New Roman"/>
                <w:sz w:val="20"/>
              </w:rPr>
              <w:t xml:space="preserve"> DTG + FTC/TAF</w:t>
            </w:r>
            <w:r w:rsidRPr="000E1BC3">
              <w:rPr>
                <w:rFonts w:ascii="Times New Roman" w:hAnsi="Times New Roman"/>
                <w:sz w:val="20"/>
              </w:rPr>
              <w:br/>
            </w:r>
            <w:r w:rsidRPr="000E1BC3">
              <w:rPr>
                <w:rFonts w:ascii="Times New Roman" w:hAnsi="Times New Roman"/>
                <w:b w:val="0"/>
                <w:sz w:val="20"/>
              </w:rPr>
              <w:t>(N=325)</w:t>
            </w:r>
            <w:r w:rsidRPr="000E1BC3">
              <w:rPr>
                <w:rFonts w:ascii="Times New Roman" w:hAnsi="Times New Roman"/>
                <w:b w:val="0"/>
                <w:sz w:val="20"/>
                <w:vertAlign w:val="superscript"/>
              </w:rPr>
              <w:t>d</w:t>
            </w:r>
          </w:p>
        </w:tc>
      </w:tr>
      <w:tr w:rsidR="00682CF0" w:rsidRPr="000E1BC3" w:rsidTr="00E157B9">
        <w:trPr>
          <w:cantSplit/>
          <w:trHeight w:val="36"/>
        </w:trPr>
        <w:tc>
          <w:tcPr>
            <w:tcW w:w="3016" w:type="dxa"/>
            <w:tcBorders>
              <w:top w:val="single" w:sz="12" w:space="0" w:color="auto"/>
              <w:left w:val="nil"/>
            </w:tcBorders>
            <w:shd w:val="clear" w:color="auto" w:fill="FFFFFF"/>
            <w:hideMark/>
          </w:tcPr>
          <w:p w:rsidR="00682CF0" w:rsidRPr="000E1BC3" w:rsidRDefault="00682CF0" w:rsidP="00E157B9">
            <w:pPr>
              <w:pStyle w:val="StyleTableText12pt"/>
              <w:keepNext w:val="0"/>
              <w:keepLines w:val="0"/>
              <w:widowControl w:val="0"/>
              <w:spacing w:before="20" w:after="20"/>
              <w:jc w:val="left"/>
              <w:rPr>
                <w:rFonts w:ascii="Times New Roman" w:hAnsi="Times New Roman" w:cs="Times New Roman"/>
                <w:b/>
                <w:sz w:val="20"/>
              </w:rPr>
            </w:pPr>
            <w:r w:rsidRPr="000E1BC3">
              <w:rPr>
                <w:rFonts w:ascii="Times New Roman" w:hAnsi="Times New Roman" w:cs="Times New Roman"/>
                <w:b/>
                <w:sz w:val="20"/>
              </w:rPr>
              <w:t xml:space="preserve">HIV-1 RNA &lt; 50 copies/mL </w:t>
            </w:r>
          </w:p>
        </w:tc>
        <w:tc>
          <w:tcPr>
            <w:tcW w:w="1825" w:type="dxa"/>
            <w:tcBorders>
              <w:top w:val="single" w:sz="12" w:space="0" w:color="auto"/>
            </w:tcBorders>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91%</w:t>
            </w:r>
          </w:p>
        </w:tc>
        <w:tc>
          <w:tcPr>
            <w:tcW w:w="1825" w:type="dxa"/>
            <w:tcBorders>
              <w:top w:val="single" w:sz="12" w:space="0" w:color="auto"/>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93%</w:t>
            </w:r>
          </w:p>
        </w:tc>
        <w:tc>
          <w:tcPr>
            <w:tcW w:w="1824" w:type="dxa"/>
            <w:tcBorders>
              <w:top w:val="single" w:sz="12" w:space="0" w:color="auto"/>
              <w:right w:val="nil"/>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93%</w:t>
            </w:r>
          </w:p>
        </w:tc>
      </w:tr>
      <w:tr w:rsidR="00682CF0" w:rsidRPr="000E1BC3" w:rsidTr="00E157B9">
        <w:trPr>
          <w:cantSplit/>
          <w:trHeight w:val="265"/>
        </w:trPr>
        <w:tc>
          <w:tcPr>
            <w:tcW w:w="3016" w:type="dxa"/>
            <w:tcBorders>
              <w:left w:val="nil"/>
            </w:tcBorders>
            <w:shd w:val="clear" w:color="auto" w:fill="FFFFFF"/>
            <w:hideMark/>
          </w:tcPr>
          <w:p w:rsidR="00682CF0" w:rsidRPr="000E1BC3" w:rsidRDefault="00682CF0" w:rsidP="00E157B9">
            <w:pPr>
              <w:pStyle w:val="StyleTableText12pt"/>
              <w:keepNext w:val="0"/>
              <w:keepLines w:val="0"/>
              <w:widowControl w:val="0"/>
              <w:spacing w:before="20" w:after="20"/>
              <w:ind w:left="385"/>
              <w:jc w:val="left"/>
              <w:rPr>
                <w:rFonts w:ascii="Times New Roman" w:hAnsi="Times New Roman" w:cs="Times New Roman"/>
                <w:sz w:val="20"/>
              </w:rPr>
            </w:pPr>
            <w:r w:rsidRPr="000E1BC3">
              <w:rPr>
                <w:rFonts w:ascii="Times New Roman" w:hAnsi="Times New Roman" w:cs="Times New Roman"/>
                <w:sz w:val="20"/>
              </w:rPr>
              <w:t xml:space="preserve">Treatment Difference (95% CI) </w:t>
            </w:r>
            <w:r w:rsidR="002F43D2">
              <w:rPr>
                <w:rFonts w:ascii="Times New Roman" w:hAnsi="Times New Roman" w:cs="Times New Roman"/>
                <w:sz w:val="20"/>
              </w:rPr>
              <w:t>BIKTARVY</w:t>
            </w:r>
            <w:r w:rsidRPr="000E1BC3">
              <w:rPr>
                <w:rFonts w:ascii="Times New Roman" w:hAnsi="Times New Roman" w:cs="Times New Roman"/>
                <w:sz w:val="20"/>
              </w:rPr>
              <w:t xml:space="preserve"> vs. Comparator</w:t>
            </w:r>
          </w:p>
        </w:tc>
        <w:tc>
          <w:tcPr>
            <w:tcW w:w="1825" w:type="dxa"/>
            <w:shd w:val="clear" w:color="auto" w:fill="FFFFFF"/>
            <w:vAlign w:val="center"/>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sz w:val="20"/>
              </w:rPr>
              <w:t>-</w:t>
            </w:r>
          </w:p>
        </w:tc>
        <w:tc>
          <w:tcPr>
            <w:tcW w:w="1825" w:type="dxa"/>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 xml:space="preserve"> -2.1% (-5.9% to 1.6%)</w:t>
            </w:r>
          </w:p>
        </w:tc>
        <w:tc>
          <w:tcPr>
            <w:tcW w:w="1824" w:type="dxa"/>
            <w:tcBorders>
              <w:right w:val="nil"/>
            </w:tcBorders>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-1.9% (-5.6% to 1.8%)</w:t>
            </w:r>
          </w:p>
        </w:tc>
      </w:tr>
      <w:tr w:rsidR="00682CF0" w:rsidRPr="000E1BC3" w:rsidTr="00E157B9">
        <w:trPr>
          <w:cantSplit/>
          <w:trHeight w:val="248"/>
        </w:trPr>
        <w:tc>
          <w:tcPr>
            <w:tcW w:w="3016" w:type="dxa"/>
            <w:tcBorders>
              <w:left w:val="nil"/>
            </w:tcBorders>
            <w:shd w:val="clear" w:color="auto" w:fill="FFFFFF"/>
            <w:hideMark/>
          </w:tcPr>
          <w:p w:rsidR="00682CF0" w:rsidRPr="000E1BC3" w:rsidRDefault="00682CF0" w:rsidP="00E157B9">
            <w:pPr>
              <w:pStyle w:val="StyleTableText12pt"/>
              <w:keepNext w:val="0"/>
              <w:keepLines w:val="0"/>
              <w:widowControl w:val="0"/>
              <w:spacing w:before="20" w:after="20"/>
              <w:jc w:val="left"/>
              <w:rPr>
                <w:rFonts w:ascii="Times New Roman" w:hAnsi="Times New Roman" w:cs="Times New Roman"/>
                <w:b/>
                <w:sz w:val="20"/>
              </w:rPr>
            </w:pPr>
            <w:r w:rsidRPr="000E1BC3">
              <w:rPr>
                <w:rFonts w:ascii="Times New Roman" w:hAnsi="Times New Roman" w:cs="Times New Roman"/>
                <w:b/>
                <w:sz w:val="20"/>
              </w:rPr>
              <w:t>HIV-1 RNA ≥ 50 copies/mL</w:t>
            </w:r>
            <w:r w:rsidRPr="000E1BC3">
              <w:rPr>
                <w:rFonts w:ascii="Times New Roman" w:hAnsi="Times New Roman" w:cs="Times New Roman"/>
                <w:b/>
                <w:sz w:val="20"/>
                <w:vertAlign w:val="superscript"/>
              </w:rPr>
              <w:t>e</w:t>
            </w:r>
          </w:p>
        </w:tc>
        <w:tc>
          <w:tcPr>
            <w:tcW w:w="1825" w:type="dxa"/>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3%</w:t>
            </w:r>
          </w:p>
        </w:tc>
        <w:tc>
          <w:tcPr>
            <w:tcW w:w="1825" w:type="dxa"/>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3%</w:t>
            </w:r>
          </w:p>
        </w:tc>
        <w:tc>
          <w:tcPr>
            <w:tcW w:w="1824" w:type="dxa"/>
            <w:tcBorders>
              <w:right w:val="nil"/>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1%</w:t>
            </w:r>
          </w:p>
        </w:tc>
      </w:tr>
      <w:tr w:rsidR="00682CF0" w:rsidRPr="000E1BC3" w:rsidTr="00E157B9">
        <w:trPr>
          <w:cantSplit/>
          <w:trHeight w:val="144"/>
        </w:trPr>
        <w:tc>
          <w:tcPr>
            <w:tcW w:w="3016" w:type="dxa"/>
            <w:tcBorders>
              <w:left w:val="nil"/>
            </w:tcBorders>
            <w:shd w:val="clear" w:color="auto" w:fill="FFFFFF"/>
            <w:hideMark/>
          </w:tcPr>
          <w:p w:rsidR="00682CF0" w:rsidRPr="000E1BC3" w:rsidRDefault="00682CF0" w:rsidP="00E157B9">
            <w:pPr>
              <w:pStyle w:val="StyleTableText12pt"/>
              <w:keepNext w:val="0"/>
              <w:keepLines w:val="0"/>
              <w:widowControl w:val="0"/>
              <w:spacing w:before="20" w:after="20"/>
              <w:jc w:val="left"/>
              <w:rPr>
                <w:rFonts w:ascii="Times New Roman" w:hAnsi="Times New Roman" w:cs="Times New Roman"/>
                <w:b/>
                <w:sz w:val="20"/>
              </w:rPr>
            </w:pPr>
            <w:r w:rsidRPr="000E1BC3">
              <w:rPr>
                <w:rFonts w:ascii="Times New Roman" w:hAnsi="Times New Roman" w:cs="Times New Roman"/>
                <w:b/>
                <w:sz w:val="20"/>
              </w:rPr>
              <w:lastRenderedPageBreak/>
              <w:t>No Virologic Data at Week 48 Window</w:t>
            </w:r>
          </w:p>
        </w:tc>
        <w:tc>
          <w:tcPr>
            <w:tcW w:w="1825" w:type="dxa"/>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6%</w:t>
            </w:r>
          </w:p>
        </w:tc>
        <w:tc>
          <w:tcPr>
            <w:tcW w:w="1825" w:type="dxa"/>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4%</w:t>
            </w:r>
          </w:p>
        </w:tc>
        <w:tc>
          <w:tcPr>
            <w:tcW w:w="1824" w:type="dxa"/>
            <w:tcBorders>
              <w:right w:val="nil"/>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6%</w:t>
            </w:r>
          </w:p>
        </w:tc>
      </w:tr>
      <w:tr w:rsidR="00682CF0" w:rsidRPr="000E1BC3" w:rsidTr="00E157B9">
        <w:trPr>
          <w:cantSplit/>
          <w:trHeight w:val="47"/>
        </w:trPr>
        <w:tc>
          <w:tcPr>
            <w:tcW w:w="3016" w:type="dxa"/>
            <w:tcBorders>
              <w:left w:val="nil"/>
            </w:tcBorders>
            <w:shd w:val="clear" w:color="auto" w:fill="FFFFFF"/>
            <w:hideMark/>
          </w:tcPr>
          <w:p w:rsidR="00682CF0" w:rsidRPr="000E1BC3" w:rsidRDefault="00682CF0" w:rsidP="00E157B9">
            <w:pPr>
              <w:pStyle w:val="StyleTableText12pt"/>
              <w:widowControl w:val="0"/>
              <w:spacing w:before="20" w:after="20"/>
              <w:ind w:left="342"/>
              <w:jc w:val="left"/>
              <w:rPr>
                <w:rFonts w:ascii="Times New Roman" w:hAnsi="Times New Roman" w:cs="Times New Roman"/>
                <w:sz w:val="20"/>
              </w:rPr>
            </w:pPr>
            <w:r w:rsidRPr="000E1BC3">
              <w:rPr>
                <w:rFonts w:ascii="Times New Roman" w:hAnsi="Times New Roman" w:cs="Times New Roman"/>
                <w:sz w:val="20"/>
              </w:rPr>
              <w:t>Discontinued Study Drug Due to AE or Death</w:t>
            </w:r>
            <w:r w:rsidRPr="000E1BC3">
              <w:rPr>
                <w:rFonts w:ascii="Times New Roman" w:hAnsi="Times New Roman" w:cs="Times New Roman"/>
                <w:sz w:val="20"/>
                <w:vertAlign w:val="superscript"/>
              </w:rPr>
              <w:t>f</w:t>
            </w:r>
          </w:p>
        </w:tc>
        <w:tc>
          <w:tcPr>
            <w:tcW w:w="1825" w:type="dxa"/>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&lt;1%</w:t>
            </w:r>
          </w:p>
        </w:tc>
        <w:tc>
          <w:tcPr>
            <w:tcW w:w="1825" w:type="dxa"/>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1%</w:t>
            </w:r>
          </w:p>
        </w:tc>
        <w:tc>
          <w:tcPr>
            <w:tcW w:w="1824" w:type="dxa"/>
            <w:tcBorders>
              <w:right w:val="nil"/>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1%</w:t>
            </w:r>
          </w:p>
        </w:tc>
      </w:tr>
      <w:tr w:rsidR="00682CF0" w:rsidRPr="000E1BC3" w:rsidTr="00E157B9">
        <w:trPr>
          <w:cantSplit/>
          <w:trHeight w:val="47"/>
        </w:trPr>
        <w:tc>
          <w:tcPr>
            <w:tcW w:w="3016" w:type="dxa"/>
            <w:tcBorders>
              <w:left w:val="nil"/>
              <w:bottom w:val="single" w:sz="4" w:space="0" w:color="auto"/>
            </w:tcBorders>
            <w:shd w:val="clear" w:color="auto" w:fill="FFFFFF"/>
            <w:hideMark/>
          </w:tcPr>
          <w:p w:rsidR="00682CF0" w:rsidRPr="000E1BC3" w:rsidRDefault="00682CF0" w:rsidP="00E157B9">
            <w:pPr>
              <w:pStyle w:val="StyleTableText12pt"/>
              <w:widowControl w:val="0"/>
              <w:spacing w:before="20" w:after="20"/>
              <w:ind w:left="342"/>
              <w:jc w:val="left"/>
              <w:rPr>
                <w:rFonts w:ascii="Times New Roman" w:hAnsi="Times New Roman" w:cs="Times New Roman"/>
                <w:sz w:val="20"/>
              </w:rPr>
            </w:pPr>
            <w:r w:rsidRPr="000E1BC3">
              <w:rPr>
                <w:rFonts w:ascii="Times New Roman" w:hAnsi="Times New Roman" w:cs="Times New Roman"/>
                <w:sz w:val="20"/>
              </w:rPr>
              <w:t>Discontinued Study Drug Due to Other Reasons and Last Available HIV-1 RNA</w:t>
            </w:r>
          </w:p>
          <w:p w:rsidR="00682CF0" w:rsidRPr="000E1BC3" w:rsidRDefault="00682CF0" w:rsidP="00E157B9">
            <w:pPr>
              <w:pStyle w:val="StyleTableText12pt"/>
              <w:keepNext w:val="0"/>
              <w:keepLines w:val="0"/>
              <w:widowControl w:val="0"/>
              <w:spacing w:before="20" w:after="20"/>
              <w:ind w:left="342"/>
              <w:jc w:val="left"/>
              <w:rPr>
                <w:rFonts w:ascii="Times New Roman" w:hAnsi="Times New Roman" w:cs="Times New Roman"/>
                <w:sz w:val="20"/>
              </w:rPr>
            </w:pPr>
            <w:r w:rsidRPr="000E1BC3">
              <w:rPr>
                <w:rFonts w:ascii="Times New Roman" w:hAnsi="Times New Roman" w:cs="Times New Roman"/>
                <w:sz w:val="20"/>
              </w:rPr>
              <w:t>&lt;50 copies/mL</w:t>
            </w:r>
            <w:r w:rsidRPr="000E1BC3">
              <w:rPr>
                <w:rFonts w:ascii="Times New Roman" w:hAnsi="Times New Roman" w:cs="Times New Roman"/>
                <w:sz w:val="20"/>
                <w:vertAlign w:val="superscript"/>
              </w:rPr>
              <w:t>g</w:t>
            </w:r>
          </w:p>
        </w:tc>
        <w:tc>
          <w:tcPr>
            <w:tcW w:w="1825" w:type="dxa"/>
            <w:tcBorders>
              <w:bottom w:val="single" w:sz="4" w:space="0" w:color="auto"/>
            </w:tcBorders>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4%</w:t>
            </w:r>
          </w:p>
        </w:tc>
        <w:tc>
          <w:tcPr>
            <w:tcW w:w="1825" w:type="dxa"/>
            <w:tcBorders>
              <w:bottom w:val="single" w:sz="4" w:space="0" w:color="auto"/>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3%</w:t>
            </w:r>
          </w:p>
        </w:tc>
        <w:tc>
          <w:tcPr>
            <w:tcW w:w="1824" w:type="dxa"/>
            <w:tcBorders>
              <w:bottom w:val="single" w:sz="4" w:space="0" w:color="auto"/>
              <w:right w:val="nil"/>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4%</w:t>
            </w:r>
          </w:p>
        </w:tc>
      </w:tr>
      <w:tr w:rsidR="00682CF0" w:rsidRPr="000E1BC3" w:rsidTr="00E157B9">
        <w:trPr>
          <w:cantSplit/>
          <w:trHeight w:val="47"/>
        </w:trPr>
        <w:tc>
          <w:tcPr>
            <w:tcW w:w="3016" w:type="dxa"/>
            <w:tcBorders>
              <w:left w:val="nil"/>
              <w:bottom w:val="single" w:sz="12" w:space="0" w:color="auto"/>
            </w:tcBorders>
            <w:shd w:val="clear" w:color="auto" w:fill="FFFFFF"/>
            <w:hideMark/>
          </w:tcPr>
          <w:p w:rsidR="00682CF0" w:rsidRPr="000E1BC3" w:rsidRDefault="00682CF0" w:rsidP="00E157B9">
            <w:pPr>
              <w:pStyle w:val="StyleTableText12pt"/>
              <w:keepNext w:val="0"/>
              <w:keepLines w:val="0"/>
              <w:widowControl w:val="0"/>
              <w:spacing w:before="20" w:after="20"/>
              <w:ind w:left="342"/>
              <w:jc w:val="left"/>
              <w:rPr>
                <w:rFonts w:ascii="Times New Roman" w:hAnsi="Times New Roman" w:cs="Times New Roman"/>
                <w:sz w:val="20"/>
              </w:rPr>
            </w:pPr>
            <w:r w:rsidRPr="000E1BC3">
              <w:rPr>
                <w:rFonts w:ascii="Times New Roman" w:hAnsi="Times New Roman" w:cs="Times New Roman"/>
                <w:sz w:val="20"/>
              </w:rPr>
              <w:t>Missing Data During Window but on Study Drug</w:t>
            </w:r>
          </w:p>
        </w:tc>
        <w:tc>
          <w:tcPr>
            <w:tcW w:w="1825" w:type="dxa"/>
            <w:tcBorders>
              <w:bottom w:val="single" w:sz="12" w:space="0" w:color="auto"/>
            </w:tcBorders>
            <w:shd w:val="clear" w:color="auto" w:fill="FFFFFF"/>
            <w:vAlign w:val="center"/>
            <w:hideMark/>
          </w:tcPr>
          <w:p w:rsidR="00682CF0" w:rsidRPr="000E1BC3" w:rsidRDefault="00682CF0" w:rsidP="00E157B9">
            <w:pPr>
              <w:pStyle w:val="StyleTableText12pt"/>
              <w:keepNext w:val="0"/>
              <w:keepLines w:val="0"/>
              <w:widowControl w:val="0"/>
              <w:spacing w:before="20" w:after="20"/>
              <w:rPr>
                <w:rFonts w:ascii="Times New Roman" w:hAnsi="Times New Roman" w:cs="Times New Roman"/>
                <w:sz w:val="20"/>
              </w:rPr>
            </w:pPr>
            <w:r w:rsidRPr="000E1BC3">
              <w:rPr>
                <w:rFonts w:ascii="Times New Roman" w:hAnsi="Times New Roman" w:cs="Times New Roman"/>
                <w:sz w:val="20"/>
              </w:rPr>
              <w:t>2%</w:t>
            </w:r>
          </w:p>
        </w:tc>
        <w:tc>
          <w:tcPr>
            <w:tcW w:w="1825" w:type="dxa"/>
            <w:tcBorders>
              <w:bottom w:val="single" w:sz="12" w:space="0" w:color="auto"/>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&lt;1%</w:t>
            </w:r>
          </w:p>
        </w:tc>
        <w:tc>
          <w:tcPr>
            <w:tcW w:w="1824" w:type="dxa"/>
            <w:tcBorders>
              <w:bottom w:val="single" w:sz="12" w:space="0" w:color="auto"/>
              <w:right w:val="nil"/>
            </w:tcBorders>
            <w:shd w:val="clear" w:color="auto" w:fill="FFFFFF"/>
            <w:vAlign w:val="center"/>
            <w:hideMark/>
          </w:tcPr>
          <w:p w:rsidR="00682CF0" w:rsidRPr="000E1BC3" w:rsidRDefault="00682CF0" w:rsidP="00E157B9">
            <w:pPr>
              <w:pStyle w:val="TableCellCenter"/>
              <w:keepNext/>
              <w:keepLines/>
              <w:spacing w:before="0" w:after="0"/>
              <w:rPr>
                <w:szCs w:val="20"/>
              </w:rPr>
            </w:pPr>
            <w:r w:rsidRPr="000E1BC3">
              <w:rPr>
                <w:szCs w:val="20"/>
              </w:rPr>
              <w:t>1%</w:t>
            </w:r>
          </w:p>
        </w:tc>
      </w:tr>
    </w:tbl>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a</w:t>
      </w:r>
      <w:r w:rsidRPr="000E1BC3">
        <w:rPr>
          <w:rFonts w:ascii="Times New Roman" w:hAnsi="Times New Roman" w:cs="Times New Roman"/>
          <w:sz w:val="16"/>
          <w:szCs w:val="16"/>
        </w:rPr>
        <w:tab/>
        <w:t>Week 48 window was between Day 295 and 378 (inclusive).</w:t>
      </w:r>
    </w:p>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b</w:t>
      </w:r>
      <w:r w:rsidRPr="000E1BC3">
        <w:rPr>
          <w:rFonts w:ascii="Times New Roman" w:hAnsi="Times New Roman" w:cs="Times New Roman"/>
          <w:sz w:val="16"/>
          <w:szCs w:val="16"/>
        </w:rPr>
        <w:tab/>
        <w:t>Pooled from Study 1489 (N=314) and Study 1490 (N=320).</w:t>
      </w:r>
    </w:p>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c</w:t>
      </w:r>
      <w:r w:rsidRPr="000E1BC3">
        <w:rPr>
          <w:rFonts w:ascii="Times New Roman" w:hAnsi="Times New Roman" w:cs="Times New Roman"/>
          <w:sz w:val="16"/>
          <w:szCs w:val="16"/>
        </w:rPr>
        <w:tab/>
        <w:t>Study 1489</w:t>
      </w:r>
    </w:p>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d</w:t>
      </w:r>
      <w:r w:rsidRPr="000E1BC3">
        <w:rPr>
          <w:rFonts w:ascii="Times New Roman" w:hAnsi="Times New Roman" w:cs="Times New Roman"/>
          <w:sz w:val="16"/>
          <w:szCs w:val="16"/>
        </w:rPr>
        <w:tab/>
        <w:t>Study 1490</w:t>
      </w:r>
    </w:p>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e</w:t>
      </w:r>
      <w:r w:rsidRPr="000E1BC3">
        <w:rPr>
          <w:rFonts w:ascii="Times New Roman" w:hAnsi="Times New Roman" w:cs="Times New Roman"/>
          <w:sz w:val="16"/>
          <w:szCs w:val="16"/>
        </w:rPr>
        <w:tab/>
        <w:t>Includes patients who had ≥ 50 copies/mL in the Week 48 window; patients who discontinued early due to lack or loss of efficacy; patients who discontinued for reasons other than an adverse event (AE), death or lack or loss of efficacy and at the time of discontinuation had a viral value of ≥ 50 copies/mL.</w:t>
      </w:r>
    </w:p>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f</w:t>
      </w:r>
      <w:r w:rsidRPr="000E1BC3">
        <w:rPr>
          <w:rFonts w:ascii="Times New Roman" w:hAnsi="Times New Roman" w:cs="Times New Roman"/>
          <w:sz w:val="16"/>
          <w:szCs w:val="16"/>
        </w:rPr>
        <w:tab/>
        <w:t>Includes patients who discontinued due to AE or death at any time point from Day 1 through the time window if this resulted in no virologic data on treatment during the specified window.</w:t>
      </w:r>
    </w:p>
    <w:p w:rsidR="00682CF0" w:rsidRPr="000E1BC3" w:rsidRDefault="00682CF0" w:rsidP="00682CF0">
      <w:pPr>
        <w:pStyle w:val="TableFooter"/>
        <w:spacing w:before="40" w:after="200"/>
        <w:ind w:left="331" w:hanging="331"/>
        <w:rPr>
          <w:sz w:val="16"/>
          <w:szCs w:val="16"/>
        </w:rPr>
      </w:pPr>
      <w:r w:rsidRPr="000E1BC3">
        <w:rPr>
          <w:rFonts w:ascii="Times New Roman" w:hAnsi="Times New Roman" w:cs="Times New Roman"/>
          <w:sz w:val="16"/>
          <w:szCs w:val="16"/>
        </w:rPr>
        <w:t>g</w:t>
      </w:r>
      <w:r w:rsidRPr="000E1BC3">
        <w:rPr>
          <w:rFonts w:ascii="Times New Roman" w:hAnsi="Times New Roman" w:cs="Times New Roman"/>
          <w:sz w:val="16"/>
          <w:szCs w:val="16"/>
        </w:rPr>
        <w:tab/>
        <w:t>Includes patients who discontinued for reasons other than an AE, death or lack or loss of efficacy, e.g., withdrew consent, loss to follow-up, etc.</w:t>
      </w:r>
    </w:p>
    <w:p w:rsidR="00682CF0" w:rsidRPr="000E1BC3" w:rsidRDefault="002F43D2" w:rsidP="00682CF0">
      <w:pPr>
        <w:pStyle w:val="Text10"/>
        <w:widowControl w:val="0"/>
        <w:rPr>
          <w:szCs w:val="24"/>
        </w:rPr>
      </w:pPr>
      <w:r>
        <w:rPr>
          <w:szCs w:val="24"/>
        </w:rPr>
        <w:t>BIKTARVY</w:t>
      </w:r>
      <w:r w:rsidR="00682CF0" w:rsidRPr="000E1BC3">
        <w:rPr>
          <w:szCs w:val="24"/>
        </w:rPr>
        <w:t xml:space="preserve"> was noninferior in achieving HIV-1 RNA &lt; 50 copies/mL at Week 48 when compared to ABC/DTG/3TC and DTG+FTC/TAF, respectively. Treatment outcomes were similar </w:t>
      </w:r>
      <w:r w:rsidR="00682CF0">
        <w:rPr>
          <w:szCs w:val="24"/>
        </w:rPr>
        <w:t xml:space="preserve">among treatment groups </w:t>
      </w:r>
      <w:r w:rsidR="00682CF0" w:rsidRPr="000E1BC3">
        <w:rPr>
          <w:szCs w:val="24"/>
        </w:rPr>
        <w:t>across subgroups by age, sex, race, baseline viral load, and baseline CD4+ cell count</w:t>
      </w:r>
      <w:r w:rsidR="004D399F">
        <w:rPr>
          <w:szCs w:val="24"/>
        </w:rPr>
        <w:t>.</w:t>
      </w: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In Studies 1489 and 1490, the mean increase from baseline in CD4+ count at Week 48 was 207, 229, and 201 cells per mm</w:t>
      </w:r>
      <w:r w:rsidRPr="000E1BC3">
        <w:rPr>
          <w:rFonts w:ascii="Times New Roman" w:hAnsi="Times New Roman"/>
          <w:noProof/>
          <w:sz w:val="24"/>
          <w:szCs w:val="24"/>
          <w:vertAlign w:val="superscript"/>
          <w:lang w:val="en-US"/>
        </w:rPr>
        <w:t>3</w:t>
      </w:r>
      <w:r w:rsidRPr="000E1BC3">
        <w:rPr>
          <w:rFonts w:ascii="Times New Roman" w:hAnsi="Times New Roman"/>
          <w:noProof/>
          <w:sz w:val="24"/>
          <w:szCs w:val="24"/>
          <w:lang w:val="en-US"/>
        </w:rPr>
        <w:t xml:space="preserve"> in the pooled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ABC/DTG/3TC, and DTG+FTC/TAF groups, respectively.</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b/>
          <w:i/>
          <w:noProof/>
          <w:sz w:val="24"/>
          <w:szCs w:val="24"/>
          <w:lang w:val="en-US"/>
        </w:rPr>
        <w:t>Bone Mineral Density:</w:t>
      </w:r>
      <w:r w:rsidRPr="000E1BC3">
        <w:rPr>
          <w:rFonts w:ascii="Times New Roman" w:hAnsi="Times New Roman"/>
          <w:noProof/>
          <w:sz w:val="24"/>
          <w:szCs w:val="24"/>
          <w:lang w:val="en-US"/>
        </w:rPr>
        <w:t xml:space="preserve">  In Study 1489, bone mineral density (BMD) change from baseline to Week 48 was assessed by dual-energy X-ray absorptiometry (DXA).  In patients who had both baseline and Week 48 hip and lumbar spine BMD measurements (N= 257 and 267 in the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group and N= 270 and 274 in the ABC/DTG/3TC group, for hip and lumbar spine, respectively),  mean percentage changes in BMD were similar in the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group compared to the ABC/DTG/3TC group for hip (−0.8% vs. −1.0%) and lumbar spine (−0.8% vs.−0.6%).</w:t>
      </w:r>
    </w:p>
    <w:p w:rsidR="00682CF0" w:rsidRDefault="00682CF0" w:rsidP="00682CF0">
      <w:pPr>
        <w:outlineLvl w:val="0"/>
        <w:rPr>
          <w:rFonts w:ascii="Times New Roman" w:hAnsi="Times New Roman"/>
          <w:noProof/>
          <w:sz w:val="24"/>
          <w:szCs w:val="24"/>
          <w:lang w:val="en-US"/>
        </w:rPr>
      </w:pPr>
    </w:p>
    <w:p w:rsidR="00C5078F" w:rsidRPr="00C5078F" w:rsidRDefault="00C5078F" w:rsidP="00C5078F">
      <w:pPr>
        <w:spacing w:after="120"/>
        <w:outlineLvl w:val="0"/>
        <w:rPr>
          <w:rFonts w:ascii="Times New Roman" w:hAnsi="Times New Roman"/>
          <w:b/>
          <w:noProof/>
          <w:sz w:val="24"/>
          <w:szCs w:val="24"/>
          <w:lang w:val="en-US"/>
        </w:rPr>
      </w:pPr>
      <w:r w:rsidRPr="00C5078F">
        <w:rPr>
          <w:rFonts w:ascii="Times New Roman" w:hAnsi="Times New Roman"/>
          <w:b/>
          <w:i/>
          <w:noProof/>
          <w:sz w:val="24"/>
          <w:szCs w:val="24"/>
          <w:lang w:val="en-US"/>
        </w:rPr>
        <w:t>Patients Coinfected with HIV-1 and Chronic Hepatitis B:</w:t>
      </w:r>
      <w:r>
        <w:rPr>
          <w:rFonts w:ascii="Times New Roman" w:hAnsi="Times New Roman"/>
          <w:b/>
          <w:noProof/>
          <w:sz w:val="24"/>
          <w:szCs w:val="24"/>
          <w:lang w:val="en-US"/>
        </w:rPr>
        <w:t xml:space="preserve"> </w:t>
      </w:r>
      <w:r w:rsidRPr="000E1BC3">
        <w:rPr>
          <w:rFonts w:ascii="Times New Roman" w:hAnsi="Times New Roman"/>
          <w:noProof/>
          <w:sz w:val="24"/>
          <w:szCs w:val="24"/>
          <w:lang w:val="en-US"/>
        </w:rPr>
        <w:t xml:space="preserve">In Study 1490, 7 of 8 patients  with HIV/HBV coinfection at baseline who were randomized to receive </w:t>
      </w:r>
      <w:r>
        <w:rPr>
          <w:rFonts w:ascii="Times New Roman" w:hAnsi="Times New Roman"/>
          <w:noProof/>
          <w:sz w:val="24"/>
          <w:szCs w:val="24"/>
          <w:lang w:val="en-US"/>
        </w:rPr>
        <w:t>BIKTARVY</w:t>
      </w:r>
      <w:r w:rsidRPr="000E1BC3">
        <w:rPr>
          <w:rFonts w:ascii="Times New Roman" w:hAnsi="Times New Roman"/>
          <w:noProof/>
          <w:sz w:val="24"/>
          <w:szCs w:val="24"/>
          <w:lang w:val="en-US"/>
        </w:rPr>
        <w:t xml:space="preserve"> were HBV suppressed (HBV DNA &lt; 29 IU/mL) and had HIV-1 RNA &lt;50 copies/mL at Week 48. One patient had missing HBV DNA data at Week 48.</w:t>
      </w:r>
    </w:p>
    <w:p w:rsidR="00C5078F" w:rsidRPr="00EA2CA0" w:rsidRDefault="00C5078F" w:rsidP="00682CF0">
      <w:pPr>
        <w:outlineLvl w:val="0"/>
        <w:rPr>
          <w:rFonts w:ascii="Times New Roman" w:hAnsi="Times New Roman"/>
          <w:noProof/>
          <w:sz w:val="24"/>
          <w:szCs w:val="24"/>
          <w:lang w:val="en-US"/>
        </w:rPr>
      </w:pPr>
    </w:p>
    <w:p w:rsidR="00682CF0" w:rsidRPr="000E1BC3" w:rsidRDefault="00682CF0" w:rsidP="000571BC">
      <w:pPr>
        <w:spacing w:after="120"/>
        <w:outlineLvl w:val="0"/>
        <w:rPr>
          <w:rFonts w:ascii="Times New Roman" w:hAnsi="Times New Roman"/>
          <w:b/>
          <w:noProof/>
          <w:sz w:val="24"/>
          <w:szCs w:val="24"/>
          <w:lang w:val="en-US"/>
        </w:rPr>
      </w:pPr>
      <w:r w:rsidRPr="000E1BC3">
        <w:rPr>
          <w:rFonts w:ascii="Times New Roman" w:hAnsi="Times New Roman"/>
          <w:b/>
          <w:noProof/>
          <w:sz w:val="24"/>
          <w:szCs w:val="24"/>
          <w:lang w:val="en-US"/>
        </w:rPr>
        <w:t>Virologically-Suppressed Patients</w:t>
      </w:r>
    </w:p>
    <w:p w:rsidR="00682CF0" w:rsidRPr="000E1BC3" w:rsidRDefault="00682CF0" w:rsidP="00682CF0">
      <w:pPr>
        <w:spacing w:after="120"/>
        <w:outlineLvl w:val="0"/>
        <w:rPr>
          <w:rFonts w:ascii="Times New Roman" w:hAnsi="Times New Roman"/>
          <w:b/>
          <w:noProof/>
          <w:sz w:val="24"/>
          <w:szCs w:val="24"/>
          <w:u w:val="single"/>
          <w:lang w:val="en-US"/>
        </w:rPr>
      </w:pPr>
      <w:r w:rsidRPr="000E1BC3">
        <w:rPr>
          <w:rFonts w:ascii="Times New Roman" w:hAnsi="Times New Roman"/>
          <w:b/>
          <w:noProof/>
          <w:sz w:val="24"/>
          <w:szCs w:val="24"/>
          <w:u w:val="single"/>
          <w:lang w:val="en-US"/>
        </w:rPr>
        <w:t>Study 1844 and Study 1878</w:t>
      </w: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In Study 1844, the efficacy and safety of switching from a regimen of DTG + ABC/3TC or ABC/DTG/3TC to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were evaluated in a randomized, double-blind study of virologically-suppressed (HIV-1 RNA &lt;50 copies/mL) HIV-1 infected adults (N=563). Patients must have been stably suppressed (HIV-1 RNA &lt;50 copies/mL) on their baseline regimen for at least 3 months prior to study entry. Patients were randomized in a 1:1 ratio to either switch to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at baseline (N=282), or stay on their baseline antiretroviral </w:t>
      </w:r>
      <w:r w:rsidRPr="000E1BC3">
        <w:rPr>
          <w:rFonts w:ascii="Times New Roman" w:hAnsi="Times New Roman"/>
          <w:noProof/>
          <w:sz w:val="24"/>
          <w:szCs w:val="24"/>
          <w:lang w:val="en-US"/>
        </w:rPr>
        <w:lastRenderedPageBreak/>
        <w:t>regimen (N=281). Patients had a mean age of 45 years (range 20-71), 89% were male, 73% were White, and 22% were Black. 17% of patients identified as Hispanic/Latino. The mean baseline CD4+ cell count was 723 cells/mm</w:t>
      </w:r>
      <w:r w:rsidRPr="000E1BC3">
        <w:rPr>
          <w:rFonts w:ascii="Times New Roman" w:hAnsi="Times New Roman"/>
          <w:noProof/>
          <w:sz w:val="24"/>
          <w:szCs w:val="24"/>
          <w:vertAlign w:val="superscript"/>
          <w:lang w:val="en-US"/>
        </w:rPr>
        <w:t>3</w:t>
      </w:r>
      <w:r w:rsidRPr="000E1BC3">
        <w:rPr>
          <w:rFonts w:ascii="Times New Roman" w:hAnsi="Times New Roman"/>
          <w:noProof/>
          <w:sz w:val="24"/>
          <w:szCs w:val="24"/>
          <w:lang w:val="en-US"/>
        </w:rPr>
        <w:t xml:space="preserve"> (range 124-2444). </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 xml:space="preserve">In Study 1878, the efficacy and safety of switching from either ABC/3TC or FTC/TDF (200/300 mg) plus ATV or DRV (boosted by either COBI or RTV) to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were evaluated in a randomized, open-label study of virologically-suppressed HIV-1 infected adults (N=577). Patients must have been stably suppressed on their baseline regimen for at least 6 months and must not have been previously treated with any INSTI. Patients were randomized in a 1:1 ratio to either switch to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(N=290), or stay on their baseline antiretroviral regimen (N=287). Patients had a mean age of 46 years (range 20-79), 83% were male, 66% were White, and 26% were Black. 19% of patients identified as Hispanic/Latino. The mean baseline CD4+ cell count was 663 cells/mm</w:t>
      </w:r>
      <w:r w:rsidRPr="000E1BC3">
        <w:rPr>
          <w:rFonts w:ascii="Times New Roman" w:hAnsi="Times New Roman"/>
          <w:noProof/>
          <w:sz w:val="24"/>
          <w:szCs w:val="24"/>
          <w:vertAlign w:val="superscript"/>
          <w:lang w:val="en-US"/>
        </w:rPr>
        <w:t>3</w:t>
      </w:r>
      <w:r w:rsidRPr="000E1BC3">
        <w:rPr>
          <w:rFonts w:ascii="Times New Roman" w:hAnsi="Times New Roman"/>
          <w:noProof/>
          <w:sz w:val="24"/>
          <w:szCs w:val="24"/>
          <w:lang w:val="en-US"/>
        </w:rPr>
        <w:t xml:space="preserve"> (range 62-2582). Patients were stratified by prior treatment regimen. At screening, 15% of patients were receiving ABC/3TC plus ATV or DRV (boosted by either COBI or RTV) and 85% of patients were receiving FTC/TDF plus ATV or DRV (boosted by either COBI or RTV). </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noProof/>
          <w:sz w:val="24"/>
          <w:szCs w:val="24"/>
          <w:lang w:val="en-US"/>
        </w:rPr>
        <w:t>Treatment outcomes of Studies 1844 and 1878 through Week 48 are presented in Table 8.</w:t>
      </w:r>
    </w:p>
    <w:p w:rsidR="00682CF0" w:rsidRPr="000E1BC3" w:rsidRDefault="00682CF0" w:rsidP="00682CF0">
      <w:pPr>
        <w:outlineLvl w:val="0"/>
        <w:rPr>
          <w:rFonts w:ascii="Times New Roman" w:hAnsi="Times New Roman"/>
          <w:noProof/>
          <w:sz w:val="24"/>
          <w:szCs w:val="24"/>
          <w:lang w:val="en-US"/>
        </w:rPr>
      </w:pPr>
    </w:p>
    <w:p w:rsidR="00682CF0" w:rsidRPr="000E1BC3" w:rsidRDefault="00682CF0" w:rsidP="00682CF0">
      <w:pPr>
        <w:widowControl w:val="0"/>
        <w:spacing w:before="120" w:after="120"/>
        <w:rPr>
          <w:rFonts w:ascii="Times New Roman" w:hAnsi="Times New Roman"/>
          <w:b/>
          <w:color w:val="000000"/>
          <w:vertAlign w:val="superscript"/>
        </w:rPr>
      </w:pPr>
      <w:r w:rsidRPr="000E1BC3">
        <w:rPr>
          <w:rFonts w:ascii="Times New Roman" w:hAnsi="Times New Roman"/>
          <w:b/>
          <w:color w:val="000000"/>
          <w:sz w:val="24"/>
        </w:rPr>
        <w:t xml:space="preserve">Table 8.  </w:t>
      </w:r>
      <w:r w:rsidRPr="000E1BC3">
        <w:rPr>
          <w:rFonts w:ascii="Times New Roman" w:hAnsi="Times New Roman"/>
          <w:b/>
          <w:color w:val="000000"/>
          <w:sz w:val="24"/>
        </w:rPr>
        <w:tab/>
        <w:t>Virologic Outcomes of Studies 1844 and 1878 at Week 48</w:t>
      </w:r>
      <w:r w:rsidRPr="000E1BC3">
        <w:rPr>
          <w:rFonts w:ascii="Times New Roman" w:hAnsi="Times New Roman"/>
          <w:b/>
          <w:color w:val="000000"/>
          <w:sz w:val="24"/>
          <w:vertAlign w:val="superscript"/>
        </w:rPr>
        <w:t>a</w:t>
      </w:r>
    </w:p>
    <w:tbl>
      <w:tblPr>
        <w:tblW w:w="9054" w:type="dxa"/>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4"/>
        <w:gridCol w:w="1690"/>
        <w:gridCol w:w="1690"/>
        <w:gridCol w:w="1690"/>
        <w:gridCol w:w="1690"/>
      </w:tblGrid>
      <w:tr w:rsidR="00682CF0" w:rsidRPr="000E1BC3" w:rsidTr="00E157B9">
        <w:trPr>
          <w:cantSplit/>
          <w:trHeight w:val="140"/>
          <w:tblHeader/>
        </w:trPr>
        <w:tc>
          <w:tcPr>
            <w:tcW w:w="2294" w:type="dxa"/>
            <w:tcBorders>
              <w:top w:val="single" w:sz="12" w:space="0" w:color="auto"/>
              <w:left w:val="nil"/>
              <w:bottom w:val="single" w:sz="4" w:space="0" w:color="auto"/>
              <w:right w:val="single" w:sz="4" w:space="0" w:color="auto"/>
            </w:tcBorders>
            <w:shd w:val="clear" w:color="auto" w:fill="FFFFFF"/>
            <w:vAlign w:val="bottom"/>
          </w:tcPr>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p>
        </w:tc>
        <w:tc>
          <w:tcPr>
            <w:tcW w:w="3380"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r w:rsidRPr="000E1BC3">
              <w:rPr>
                <w:rFonts w:ascii="Times New Roman" w:hAnsi="Times New Roman"/>
                <w:b/>
                <w:bCs/>
              </w:rPr>
              <w:t>Study 1844</w:t>
            </w:r>
          </w:p>
        </w:tc>
        <w:tc>
          <w:tcPr>
            <w:tcW w:w="3380" w:type="dxa"/>
            <w:gridSpan w:val="2"/>
            <w:tcBorders>
              <w:top w:val="single" w:sz="12" w:space="0" w:color="auto"/>
              <w:left w:val="single" w:sz="4" w:space="0" w:color="auto"/>
              <w:bottom w:val="single" w:sz="4" w:space="0" w:color="auto"/>
              <w:right w:val="nil"/>
            </w:tcBorders>
            <w:shd w:val="clear" w:color="auto" w:fill="FFFFFF"/>
            <w:vAlign w:val="center"/>
          </w:tcPr>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r w:rsidRPr="000E1BC3">
              <w:rPr>
                <w:rFonts w:ascii="Times New Roman" w:hAnsi="Times New Roman"/>
                <w:b/>
                <w:bCs/>
              </w:rPr>
              <w:t>Study 1878</w:t>
            </w:r>
          </w:p>
        </w:tc>
      </w:tr>
      <w:tr w:rsidR="00682CF0" w:rsidRPr="000E1BC3" w:rsidTr="00E157B9">
        <w:trPr>
          <w:cantSplit/>
          <w:trHeight w:val="140"/>
          <w:tblHeader/>
        </w:trPr>
        <w:tc>
          <w:tcPr>
            <w:tcW w:w="2294" w:type="dxa"/>
            <w:tcBorders>
              <w:top w:val="single" w:sz="4" w:space="0" w:color="auto"/>
              <w:left w:val="nil"/>
              <w:bottom w:val="single" w:sz="12" w:space="0" w:color="auto"/>
              <w:right w:val="single" w:sz="4" w:space="0" w:color="auto"/>
            </w:tcBorders>
            <w:shd w:val="clear" w:color="auto" w:fill="FFFFFF"/>
            <w:vAlign w:val="bottom"/>
          </w:tcPr>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p>
        </w:tc>
        <w:tc>
          <w:tcPr>
            <w:tcW w:w="16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682CF0" w:rsidRPr="000E1BC3" w:rsidRDefault="002F43D2"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r>
              <w:rPr>
                <w:rFonts w:ascii="Times New Roman" w:hAnsi="Times New Roman"/>
                <w:b/>
                <w:bCs/>
              </w:rPr>
              <w:t>BIKTARVY</w:t>
            </w:r>
            <w:r w:rsidR="00682CF0" w:rsidRPr="000E1BC3">
              <w:rPr>
                <w:rFonts w:ascii="Times New Roman" w:hAnsi="Times New Roman"/>
                <w:b/>
                <w:bCs/>
              </w:rPr>
              <w:t xml:space="preserve"> </w:t>
            </w:r>
            <w:r w:rsidR="00682CF0" w:rsidRPr="000E1BC3">
              <w:rPr>
                <w:rFonts w:ascii="Times New Roman" w:hAnsi="Times New Roman"/>
                <w:b/>
                <w:bCs/>
              </w:rPr>
              <w:br/>
            </w:r>
            <w:r w:rsidR="00682CF0" w:rsidRPr="000E1BC3">
              <w:rPr>
                <w:rFonts w:ascii="Times New Roman" w:hAnsi="Times New Roman"/>
                <w:bCs/>
              </w:rPr>
              <w:t>(N=282)</w:t>
            </w:r>
          </w:p>
        </w:tc>
        <w:tc>
          <w:tcPr>
            <w:tcW w:w="16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r w:rsidRPr="000E1BC3">
              <w:rPr>
                <w:rFonts w:ascii="Times New Roman" w:hAnsi="Times New Roman"/>
                <w:b/>
                <w:bCs/>
              </w:rPr>
              <w:t>ABC/DTG/3TC</w:t>
            </w:r>
          </w:p>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Cs/>
              </w:rPr>
            </w:pPr>
            <w:r w:rsidRPr="000E1BC3">
              <w:rPr>
                <w:rFonts w:ascii="Times New Roman" w:hAnsi="Times New Roman"/>
                <w:bCs/>
              </w:rPr>
              <w:t>(N=281)</w:t>
            </w:r>
          </w:p>
        </w:tc>
        <w:tc>
          <w:tcPr>
            <w:tcW w:w="1690" w:type="dxa"/>
            <w:tcBorders>
              <w:top w:val="single" w:sz="4" w:space="0" w:color="auto"/>
              <w:left w:val="single" w:sz="4" w:space="0" w:color="auto"/>
              <w:bottom w:val="single" w:sz="12" w:space="0" w:color="auto"/>
              <w:right w:val="single" w:sz="4" w:space="0" w:color="auto"/>
            </w:tcBorders>
            <w:shd w:val="clear" w:color="auto" w:fill="FFFFFF"/>
            <w:vAlign w:val="center"/>
          </w:tcPr>
          <w:p w:rsidR="00682CF0" w:rsidRPr="000E1BC3" w:rsidRDefault="002F43D2"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r>
              <w:rPr>
                <w:rFonts w:ascii="Times New Roman" w:hAnsi="Times New Roman"/>
                <w:b/>
                <w:bCs/>
              </w:rPr>
              <w:t>BIKTARVY</w:t>
            </w:r>
            <w:r w:rsidR="00682CF0" w:rsidRPr="000E1BC3">
              <w:rPr>
                <w:rFonts w:ascii="Times New Roman" w:hAnsi="Times New Roman"/>
                <w:b/>
                <w:bCs/>
              </w:rPr>
              <w:t xml:space="preserve"> </w:t>
            </w:r>
            <w:r w:rsidR="00682CF0" w:rsidRPr="000E1BC3">
              <w:rPr>
                <w:rFonts w:ascii="Times New Roman" w:hAnsi="Times New Roman"/>
                <w:b/>
                <w:bCs/>
              </w:rPr>
              <w:br/>
            </w:r>
            <w:r w:rsidR="00682CF0" w:rsidRPr="000E1BC3">
              <w:rPr>
                <w:rFonts w:ascii="Times New Roman" w:hAnsi="Times New Roman"/>
                <w:bCs/>
              </w:rPr>
              <w:t>(N=290)</w:t>
            </w:r>
          </w:p>
        </w:tc>
        <w:tc>
          <w:tcPr>
            <w:tcW w:w="1690" w:type="dxa"/>
            <w:tcBorders>
              <w:top w:val="single" w:sz="4" w:space="0" w:color="auto"/>
              <w:left w:val="single" w:sz="4" w:space="0" w:color="auto"/>
              <w:bottom w:val="single" w:sz="12" w:space="0" w:color="auto"/>
              <w:right w:val="nil"/>
            </w:tcBorders>
            <w:shd w:val="clear" w:color="auto" w:fill="FFFFFF"/>
            <w:vAlign w:val="center"/>
          </w:tcPr>
          <w:p w:rsidR="00682CF0" w:rsidRPr="000E1BC3" w:rsidRDefault="00682CF0" w:rsidP="00E157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20" w:after="20"/>
              <w:jc w:val="center"/>
              <w:rPr>
                <w:rFonts w:ascii="Times New Roman" w:hAnsi="Times New Roman"/>
                <w:b/>
                <w:bCs/>
              </w:rPr>
            </w:pPr>
            <w:r w:rsidRPr="000E1BC3">
              <w:rPr>
                <w:rFonts w:ascii="Times New Roman" w:hAnsi="Times New Roman"/>
                <w:b/>
                <w:bCs/>
              </w:rPr>
              <w:t xml:space="preserve">Baseline ATV- or DRV-based regimen </w:t>
            </w:r>
            <w:r w:rsidRPr="000E1BC3">
              <w:rPr>
                <w:rFonts w:ascii="Times New Roman" w:hAnsi="Times New Roman"/>
                <w:bCs/>
              </w:rPr>
              <w:t>(N=287)</w:t>
            </w:r>
          </w:p>
        </w:tc>
      </w:tr>
      <w:tr w:rsidR="00682CF0" w:rsidRPr="000E1BC3" w:rsidTr="00E157B9">
        <w:trPr>
          <w:cantSplit/>
          <w:trHeight w:val="34"/>
        </w:trPr>
        <w:tc>
          <w:tcPr>
            <w:tcW w:w="2294" w:type="dxa"/>
            <w:tcBorders>
              <w:top w:val="single" w:sz="12" w:space="0" w:color="auto"/>
              <w:left w:val="nil"/>
              <w:bottom w:val="single" w:sz="4" w:space="0" w:color="auto"/>
              <w:right w:val="single" w:sz="4" w:space="0" w:color="auto"/>
            </w:tcBorders>
            <w:shd w:val="clear" w:color="auto" w:fill="FFFFFF"/>
            <w:hideMark/>
          </w:tcPr>
          <w:p w:rsidR="00682CF0" w:rsidRPr="000E1BC3" w:rsidRDefault="00682CF0" w:rsidP="00E157B9">
            <w:pPr>
              <w:widowControl w:val="0"/>
              <w:spacing w:before="20" w:after="20"/>
              <w:ind w:left="142"/>
              <w:rPr>
                <w:rFonts w:ascii="Times New Roman" w:hAnsi="Times New Roman"/>
                <w:b/>
              </w:rPr>
            </w:pPr>
            <w:r w:rsidRPr="000E1BC3">
              <w:rPr>
                <w:rFonts w:ascii="Times New Roman" w:hAnsi="Times New Roman"/>
                <w:b/>
              </w:rPr>
              <w:t xml:space="preserve">HIV-1 RNA &lt; 50 copies/mL </w:t>
            </w:r>
          </w:p>
        </w:tc>
        <w:tc>
          <w:tcPr>
            <w:tcW w:w="169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94%</w:t>
            </w:r>
          </w:p>
        </w:tc>
        <w:tc>
          <w:tcPr>
            <w:tcW w:w="169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95%</w:t>
            </w:r>
          </w:p>
        </w:tc>
        <w:tc>
          <w:tcPr>
            <w:tcW w:w="1690" w:type="dxa"/>
            <w:tcBorders>
              <w:top w:val="single" w:sz="12"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92%</w:t>
            </w:r>
          </w:p>
        </w:tc>
        <w:tc>
          <w:tcPr>
            <w:tcW w:w="1690" w:type="dxa"/>
            <w:tcBorders>
              <w:top w:val="single" w:sz="12" w:space="0" w:color="auto"/>
              <w:left w:val="single" w:sz="4" w:space="0" w:color="auto"/>
              <w:bottom w:val="single" w:sz="4"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89%</w:t>
            </w:r>
          </w:p>
        </w:tc>
      </w:tr>
      <w:tr w:rsidR="00682CF0" w:rsidRPr="000E1BC3" w:rsidTr="00E157B9">
        <w:trPr>
          <w:cantSplit/>
          <w:trHeight w:val="251"/>
        </w:trPr>
        <w:tc>
          <w:tcPr>
            <w:tcW w:w="2294" w:type="dxa"/>
            <w:tcBorders>
              <w:top w:val="single" w:sz="4" w:space="0" w:color="auto"/>
              <w:left w:val="nil"/>
              <w:bottom w:val="single" w:sz="4" w:space="0" w:color="auto"/>
              <w:right w:val="single" w:sz="4" w:space="0" w:color="auto"/>
            </w:tcBorders>
            <w:shd w:val="clear" w:color="auto" w:fill="FFFFFF"/>
            <w:hideMark/>
          </w:tcPr>
          <w:p w:rsidR="00682CF0" w:rsidRPr="000E1BC3" w:rsidRDefault="00682CF0" w:rsidP="00E157B9">
            <w:pPr>
              <w:widowControl w:val="0"/>
              <w:spacing w:before="20" w:after="20"/>
              <w:ind w:left="385"/>
              <w:rPr>
                <w:rFonts w:ascii="Times New Roman" w:hAnsi="Times New Roman"/>
              </w:rPr>
            </w:pPr>
            <w:r w:rsidRPr="000E1BC3">
              <w:rPr>
                <w:rFonts w:ascii="Times New Roman" w:hAnsi="Times New Roman"/>
              </w:rPr>
              <w:t>Treatment Difference</w:t>
            </w:r>
            <w:r w:rsidRPr="000E1BC3">
              <w:rPr>
                <w:rFonts w:ascii="Times New Roman" w:hAnsi="Times New Roman"/>
              </w:rPr>
              <w:br/>
              <w:t>(95% CI)</w:t>
            </w:r>
          </w:p>
        </w:tc>
        <w:tc>
          <w:tcPr>
            <w:tcW w:w="33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-1.4% (-5.5% to 2.6%)</w:t>
            </w:r>
          </w:p>
        </w:tc>
        <w:tc>
          <w:tcPr>
            <w:tcW w:w="3380" w:type="dxa"/>
            <w:gridSpan w:val="2"/>
            <w:tcBorders>
              <w:top w:val="single" w:sz="4" w:space="0" w:color="auto"/>
              <w:left w:val="single" w:sz="4" w:space="0" w:color="auto"/>
              <w:bottom w:val="single" w:sz="4"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3.2% (-1.6% to 8.2%)</w:t>
            </w:r>
          </w:p>
        </w:tc>
      </w:tr>
      <w:tr w:rsidR="00682CF0" w:rsidRPr="000E1BC3" w:rsidTr="00E157B9">
        <w:trPr>
          <w:cantSplit/>
          <w:trHeight w:val="136"/>
        </w:trPr>
        <w:tc>
          <w:tcPr>
            <w:tcW w:w="2294" w:type="dxa"/>
            <w:tcBorders>
              <w:top w:val="single" w:sz="4" w:space="0" w:color="auto"/>
              <w:left w:val="nil"/>
              <w:bottom w:val="single" w:sz="4" w:space="0" w:color="auto"/>
              <w:right w:val="single" w:sz="4" w:space="0" w:color="auto"/>
            </w:tcBorders>
            <w:shd w:val="clear" w:color="auto" w:fill="FFFFFF"/>
          </w:tcPr>
          <w:p w:rsidR="00682CF0" w:rsidRPr="000E1BC3" w:rsidRDefault="00682CF0" w:rsidP="00E157B9">
            <w:pPr>
              <w:widowControl w:val="0"/>
              <w:spacing w:before="20" w:after="20"/>
              <w:ind w:left="142"/>
              <w:rPr>
                <w:rFonts w:ascii="Times New Roman" w:hAnsi="Times New Roman"/>
                <w:b/>
              </w:rPr>
            </w:pPr>
            <w:r w:rsidRPr="000E1BC3">
              <w:rPr>
                <w:rFonts w:ascii="Times New Roman" w:hAnsi="Times New Roman"/>
                <w:b/>
              </w:rPr>
              <w:t>HIV-1 RNA ≥ 50 copies/mL</w:t>
            </w:r>
            <w:r w:rsidRPr="000E1BC3">
              <w:rPr>
                <w:rFonts w:ascii="Times New Roman" w:hAnsi="Times New Roman"/>
                <w:b/>
                <w:vertAlign w:val="superscript"/>
              </w:rPr>
              <w:t>b</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1%</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&lt;1%</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c>
          <w:tcPr>
            <w:tcW w:w="1690" w:type="dxa"/>
            <w:tcBorders>
              <w:top w:val="single" w:sz="4" w:space="0" w:color="auto"/>
              <w:left w:val="single" w:sz="4" w:space="0" w:color="auto"/>
              <w:bottom w:val="single" w:sz="4"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r>
      <w:tr w:rsidR="00682CF0" w:rsidRPr="000E1BC3" w:rsidTr="00E157B9">
        <w:trPr>
          <w:cantSplit/>
          <w:trHeight w:val="116"/>
        </w:trPr>
        <w:tc>
          <w:tcPr>
            <w:tcW w:w="2294" w:type="dxa"/>
            <w:tcBorders>
              <w:top w:val="single" w:sz="4" w:space="0" w:color="auto"/>
              <w:left w:val="nil"/>
              <w:bottom w:val="single" w:sz="4" w:space="0" w:color="auto"/>
              <w:right w:val="single" w:sz="4" w:space="0" w:color="auto"/>
            </w:tcBorders>
            <w:shd w:val="clear" w:color="auto" w:fill="FFFFFF"/>
          </w:tcPr>
          <w:p w:rsidR="00682CF0" w:rsidRPr="000E1BC3" w:rsidRDefault="00682CF0" w:rsidP="00E157B9">
            <w:pPr>
              <w:widowControl w:val="0"/>
              <w:spacing w:before="20" w:after="20"/>
              <w:rPr>
                <w:rFonts w:ascii="Times New Roman" w:hAnsi="Times New Roman"/>
              </w:rPr>
            </w:pPr>
            <w:r w:rsidRPr="000E1BC3">
              <w:rPr>
                <w:rFonts w:ascii="Times New Roman" w:hAnsi="Times New Roman"/>
                <w:b/>
              </w:rPr>
              <w:t xml:space="preserve">  </w:t>
            </w:r>
            <w:r w:rsidRPr="000E1BC3">
              <w:rPr>
                <w:rFonts w:ascii="Times New Roman" w:hAnsi="Times New Roman"/>
              </w:rPr>
              <w:t xml:space="preserve">     Treatment Difference</w:t>
            </w:r>
          </w:p>
          <w:p w:rsidR="00682CF0" w:rsidRPr="000E1BC3" w:rsidRDefault="00682CF0" w:rsidP="00E157B9">
            <w:pPr>
              <w:widowControl w:val="0"/>
              <w:spacing w:before="20" w:after="20"/>
              <w:rPr>
                <w:rFonts w:ascii="Times New Roman" w:hAnsi="Times New Roman"/>
              </w:rPr>
            </w:pPr>
            <w:r w:rsidRPr="000E1BC3">
              <w:rPr>
                <w:rFonts w:ascii="Times New Roman" w:hAnsi="Times New Roman"/>
              </w:rPr>
              <w:t xml:space="preserve">       (95% CI)</w:t>
            </w:r>
          </w:p>
        </w:tc>
        <w:tc>
          <w:tcPr>
            <w:tcW w:w="33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0.7% (-1.0% to 2.8%)</w:t>
            </w:r>
          </w:p>
        </w:tc>
        <w:tc>
          <w:tcPr>
            <w:tcW w:w="3380" w:type="dxa"/>
            <w:gridSpan w:val="2"/>
            <w:tcBorders>
              <w:top w:val="single" w:sz="4" w:space="0" w:color="auto"/>
              <w:left w:val="single" w:sz="4" w:space="0" w:color="auto"/>
              <w:bottom w:val="single" w:sz="4"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0.0% (-2.5% to 2.5%)</w:t>
            </w:r>
          </w:p>
        </w:tc>
      </w:tr>
      <w:tr w:rsidR="00682CF0" w:rsidRPr="000E1BC3" w:rsidTr="00E157B9">
        <w:trPr>
          <w:cantSplit/>
          <w:trHeight w:val="136"/>
        </w:trPr>
        <w:tc>
          <w:tcPr>
            <w:tcW w:w="2294" w:type="dxa"/>
            <w:tcBorders>
              <w:top w:val="single" w:sz="4" w:space="0" w:color="auto"/>
              <w:left w:val="nil"/>
              <w:bottom w:val="single" w:sz="4" w:space="0" w:color="auto"/>
              <w:right w:val="single" w:sz="4" w:space="0" w:color="auto"/>
            </w:tcBorders>
            <w:shd w:val="clear" w:color="auto" w:fill="FFFFFF"/>
            <w:hideMark/>
          </w:tcPr>
          <w:p w:rsidR="00682CF0" w:rsidRPr="000E1BC3" w:rsidRDefault="00682CF0" w:rsidP="00E157B9">
            <w:pPr>
              <w:widowControl w:val="0"/>
              <w:spacing w:before="20" w:after="20"/>
              <w:ind w:left="142"/>
              <w:rPr>
                <w:rFonts w:ascii="Times New Roman" w:hAnsi="Times New Roman"/>
                <w:b/>
              </w:rPr>
            </w:pPr>
            <w:r w:rsidRPr="000E1BC3">
              <w:rPr>
                <w:rFonts w:ascii="Times New Roman" w:hAnsi="Times New Roman"/>
                <w:b/>
              </w:rPr>
              <w:t>No Virologic Data at Week 48 Window</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5%</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5%</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6%</w:t>
            </w:r>
          </w:p>
        </w:tc>
        <w:tc>
          <w:tcPr>
            <w:tcW w:w="1690" w:type="dxa"/>
            <w:tcBorders>
              <w:top w:val="single" w:sz="4" w:space="0" w:color="auto"/>
              <w:left w:val="single" w:sz="4" w:space="0" w:color="auto"/>
              <w:bottom w:val="single" w:sz="4"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9%</w:t>
            </w:r>
          </w:p>
        </w:tc>
      </w:tr>
      <w:tr w:rsidR="00682CF0" w:rsidRPr="000E1BC3" w:rsidTr="00E157B9">
        <w:trPr>
          <w:cantSplit/>
          <w:trHeight w:val="44"/>
        </w:trPr>
        <w:tc>
          <w:tcPr>
            <w:tcW w:w="2294" w:type="dxa"/>
            <w:tcBorders>
              <w:top w:val="single" w:sz="4" w:space="0" w:color="auto"/>
              <w:left w:val="nil"/>
              <w:bottom w:val="single" w:sz="8" w:space="0" w:color="auto"/>
              <w:right w:val="single" w:sz="8" w:space="0" w:color="auto"/>
            </w:tcBorders>
            <w:shd w:val="clear" w:color="auto" w:fill="FFFFFF"/>
          </w:tcPr>
          <w:p w:rsidR="00682CF0" w:rsidRPr="000E1BC3" w:rsidRDefault="00682CF0" w:rsidP="00E157B9">
            <w:pPr>
              <w:widowControl w:val="0"/>
              <w:spacing w:before="20" w:after="20"/>
              <w:ind w:left="389"/>
              <w:rPr>
                <w:rFonts w:ascii="Times New Roman" w:hAnsi="Times New Roman"/>
              </w:rPr>
            </w:pPr>
            <w:r w:rsidRPr="000E1BC3">
              <w:rPr>
                <w:rFonts w:ascii="Times New Roman" w:hAnsi="Times New Roman"/>
              </w:rPr>
              <w:t>Discontinued Study Drug Due to AE or Death and Last Available HIV-1 RNA &lt; 50 copies/mL</w:t>
            </w:r>
          </w:p>
        </w:tc>
        <w:tc>
          <w:tcPr>
            <w:tcW w:w="1690" w:type="dxa"/>
            <w:tcBorders>
              <w:top w:val="single" w:sz="4" w:space="0" w:color="auto"/>
              <w:left w:val="single" w:sz="8" w:space="0" w:color="auto"/>
              <w:bottom w:val="single" w:sz="8" w:space="0" w:color="auto"/>
              <w:right w:val="single" w:sz="8"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c>
          <w:tcPr>
            <w:tcW w:w="1690" w:type="dxa"/>
            <w:tcBorders>
              <w:top w:val="single" w:sz="4" w:space="0" w:color="auto"/>
              <w:left w:val="single" w:sz="8" w:space="0" w:color="auto"/>
              <w:bottom w:val="single" w:sz="8"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1%</w:t>
            </w:r>
          </w:p>
        </w:tc>
        <w:tc>
          <w:tcPr>
            <w:tcW w:w="1690" w:type="dxa"/>
            <w:tcBorders>
              <w:top w:val="single" w:sz="4" w:space="0" w:color="auto"/>
              <w:left w:val="single" w:sz="8" w:space="0" w:color="auto"/>
              <w:bottom w:val="single" w:sz="8" w:space="0" w:color="auto"/>
              <w:right w:val="single" w:sz="8"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1%</w:t>
            </w:r>
          </w:p>
        </w:tc>
        <w:tc>
          <w:tcPr>
            <w:tcW w:w="1690" w:type="dxa"/>
            <w:tcBorders>
              <w:top w:val="single" w:sz="4" w:space="0" w:color="auto"/>
              <w:left w:val="single" w:sz="8" w:space="0" w:color="auto"/>
              <w:bottom w:val="single" w:sz="8"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1%</w:t>
            </w:r>
          </w:p>
        </w:tc>
      </w:tr>
      <w:tr w:rsidR="00682CF0" w:rsidRPr="000E1BC3" w:rsidTr="00E157B9">
        <w:trPr>
          <w:cantSplit/>
          <w:trHeight w:val="44"/>
        </w:trPr>
        <w:tc>
          <w:tcPr>
            <w:tcW w:w="2294" w:type="dxa"/>
            <w:tcBorders>
              <w:top w:val="single" w:sz="8" w:space="0" w:color="auto"/>
              <w:left w:val="nil"/>
              <w:bottom w:val="single" w:sz="8" w:space="0" w:color="auto"/>
              <w:right w:val="single" w:sz="8" w:space="0" w:color="auto"/>
            </w:tcBorders>
            <w:shd w:val="clear" w:color="auto" w:fill="FFFFFF"/>
            <w:hideMark/>
          </w:tcPr>
          <w:p w:rsidR="00682CF0" w:rsidRPr="000E1BC3" w:rsidRDefault="00682CF0" w:rsidP="00E157B9">
            <w:pPr>
              <w:widowControl w:val="0"/>
              <w:spacing w:before="20" w:after="20"/>
              <w:ind w:left="389"/>
              <w:rPr>
                <w:rFonts w:ascii="Times New Roman" w:hAnsi="Times New Roman"/>
              </w:rPr>
            </w:pPr>
            <w:r w:rsidRPr="000E1BC3">
              <w:rPr>
                <w:rFonts w:ascii="Times New Roman" w:hAnsi="Times New Roman"/>
              </w:rPr>
              <w:t>Discontinued Study Drug Due to Other Reasons and Last Available HIV-1 RNA &lt; 50 copies/mL</w:t>
            </w:r>
            <w:r w:rsidRPr="000E1BC3">
              <w:rPr>
                <w:rFonts w:ascii="Times New Roman" w:hAnsi="Times New Roman"/>
                <w:vertAlign w:val="superscript"/>
              </w:rPr>
              <w:t>c</w:t>
            </w:r>
          </w:p>
        </w:tc>
        <w:tc>
          <w:tcPr>
            <w:tcW w:w="169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c>
          <w:tcPr>
            <w:tcW w:w="1690" w:type="dxa"/>
            <w:tcBorders>
              <w:top w:val="single" w:sz="8" w:space="0" w:color="auto"/>
              <w:left w:val="single" w:sz="8" w:space="0" w:color="auto"/>
              <w:bottom w:val="single" w:sz="8" w:space="0" w:color="auto"/>
              <w:right w:val="nil"/>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3%</w:t>
            </w:r>
          </w:p>
        </w:tc>
        <w:tc>
          <w:tcPr>
            <w:tcW w:w="1690" w:type="dxa"/>
            <w:tcBorders>
              <w:top w:val="single" w:sz="8" w:space="0" w:color="auto"/>
              <w:left w:val="single" w:sz="8" w:space="0" w:color="auto"/>
              <w:bottom w:val="single" w:sz="8" w:space="0" w:color="auto"/>
              <w:right w:val="single" w:sz="8"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3%</w:t>
            </w:r>
          </w:p>
        </w:tc>
        <w:tc>
          <w:tcPr>
            <w:tcW w:w="1690" w:type="dxa"/>
            <w:tcBorders>
              <w:top w:val="single" w:sz="8" w:space="0" w:color="auto"/>
              <w:left w:val="single" w:sz="8" w:space="0" w:color="auto"/>
              <w:bottom w:val="single" w:sz="8"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7%</w:t>
            </w:r>
          </w:p>
        </w:tc>
      </w:tr>
      <w:tr w:rsidR="00682CF0" w:rsidRPr="000E1BC3" w:rsidTr="00E157B9">
        <w:trPr>
          <w:cantSplit/>
          <w:trHeight w:val="44"/>
        </w:trPr>
        <w:tc>
          <w:tcPr>
            <w:tcW w:w="2294" w:type="dxa"/>
            <w:tcBorders>
              <w:top w:val="single" w:sz="8" w:space="0" w:color="auto"/>
              <w:left w:val="nil"/>
              <w:bottom w:val="single" w:sz="12" w:space="0" w:color="auto"/>
              <w:right w:val="single" w:sz="8" w:space="0" w:color="auto"/>
            </w:tcBorders>
            <w:shd w:val="clear" w:color="auto" w:fill="FFFFFF"/>
            <w:hideMark/>
          </w:tcPr>
          <w:p w:rsidR="00682CF0" w:rsidRPr="000E1BC3" w:rsidRDefault="00682CF0" w:rsidP="00E157B9">
            <w:pPr>
              <w:widowControl w:val="0"/>
              <w:spacing w:before="20" w:after="20"/>
              <w:ind w:left="389"/>
              <w:rPr>
                <w:rFonts w:ascii="Times New Roman" w:hAnsi="Times New Roman"/>
              </w:rPr>
            </w:pPr>
            <w:r w:rsidRPr="000E1BC3">
              <w:rPr>
                <w:rFonts w:ascii="Times New Roman" w:hAnsi="Times New Roman"/>
              </w:rPr>
              <w:t>Missing Data During Window but on Study Drug</w:t>
            </w:r>
          </w:p>
        </w:tc>
        <w:tc>
          <w:tcPr>
            <w:tcW w:w="1690" w:type="dxa"/>
            <w:tcBorders>
              <w:top w:val="single" w:sz="8" w:space="0" w:color="auto"/>
              <w:left w:val="single" w:sz="8" w:space="0" w:color="auto"/>
              <w:bottom w:val="single" w:sz="12" w:space="0" w:color="auto"/>
              <w:right w:val="single" w:sz="8" w:space="0" w:color="auto"/>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c>
          <w:tcPr>
            <w:tcW w:w="1690" w:type="dxa"/>
            <w:tcBorders>
              <w:top w:val="single" w:sz="8" w:space="0" w:color="auto"/>
              <w:left w:val="single" w:sz="8" w:space="0" w:color="auto"/>
              <w:bottom w:val="single" w:sz="12" w:space="0" w:color="auto"/>
              <w:right w:val="nil"/>
            </w:tcBorders>
            <w:shd w:val="clear" w:color="auto" w:fill="FFFFFF"/>
            <w:vAlign w:val="center"/>
            <w:hideMark/>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1%</w:t>
            </w:r>
          </w:p>
        </w:tc>
        <w:tc>
          <w:tcPr>
            <w:tcW w:w="1690" w:type="dxa"/>
            <w:tcBorders>
              <w:top w:val="single" w:sz="8" w:space="0" w:color="auto"/>
              <w:left w:val="single" w:sz="8" w:space="0" w:color="auto"/>
              <w:bottom w:val="single" w:sz="12" w:space="0" w:color="auto"/>
              <w:right w:val="single" w:sz="8" w:space="0" w:color="auto"/>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c>
          <w:tcPr>
            <w:tcW w:w="1690" w:type="dxa"/>
            <w:tcBorders>
              <w:top w:val="single" w:sz="8" w:space="0" w:color="auto"/>
              <w:left w:val="single" w:sz="8" w:space="0" w:color="auto"/>
              <w:bottom w:val="single" w:sz="12" w:space="0" w:color="auto"/>
              <w:right w:val="nil"/>
            </w:tcBorders>
            <w:shd w:val="clear" w:color="auto" w:fill="FFFFFF"/>
            <w:vAlign w:val="center"/>
          </w:tcPr>
          <w:p w:rsidR="00682CF0" w:rsidRPr="000E1BC3" w:rsidRDefault="00682CF0" w:rsidP="00E157B9">
            <w:pPr>
              <w:widowControl w:val="0"/>
              <w:spacing w:before="20" w:after="20"/>
              <w:jc w:val="center"/>
              <w:rPr>
                <w:rFonts w:ascii="Times New Roman" w:hAnsi="Times New Roman"/>
              </w:rPr>
            </w:pPr>
            <w:r w:rsidRPr="000E1BC3">
              <w:rPr>
                <w:rFonts w:ascii="Times New Roman" w:hAnsi="Times New Roman"/>
              </w:rPr>
              <w:t>2%</w:t>
            </w:r>
          </w:p>
        </w:tc>
      </w:tr>
    </w:tbl>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a</w:t>
      </w:r>
      <w:r w:rsidRPr="000E1BC3">
        <w:rPr>
          <w:rFonts w:ascii="Times New Roman" w:hAnsi="Times New Roman" w:cs="Times New Roman"/>
          <w:sz w:val="16"/>
          <w:szCs w:val="16"/>
        </w:rPr>
        <w:tab/>
        <w:t>Week 48 window was between Day 295 and 378 (inclusive).</w:t>
      </w:r>
    </w:p>
    <w:p w:rsidR="00682CF0" w:rsidRPr="000E1BC3" w:rsidRDefault="00682CF0" w:rsidP="00682CF0">
      <w:pPr>
        <w:pStyle w:val="TableFooter"/>
        <w:spacing w:before="40"/>
        <w:ind w:left="331" w:hanging="331"/>
        <w:rPr>
          <w:rFonts w:ascii="Times New Roman" w:hAnsi="Times New Roman" w:cs="Times New Roman"/>
          <w:sz w:val="16"/>
          <w:szCs w:val="16"/>
        </w:rPr>
      </w:pPr>
      <w:r w:rsidRPr="000E1BC3">
        <w:rPr>
          <w:rFonts w:ascii="Times New Roman" w:hAnsi="Times New Roman" w:cs="Times New Roman"/>
          <w:sz w:val="16"/>
          <w:szCs w:val="16"/>
        </w:rPr>
        <w:t>b</w:t>
      </w:r>
      <w:r w:rsidRPr="000E1BC3">
        <w:rPr>
          <w:rFonts w:ascii="Times New Roman" w:hAnsi="Times New Roman" w:cs="Times New Roman"/>
          <w:sz w:val="16"/>
          <w:szCs w:val="16"/>
        </w:rPr>
        <w:tab/>
        <w:t>Includes patients who had ≥ 50 copies/mL in the Week 48 window; patients who discontinued early due to lack or loss of efficacy; patients who discontinued for reasons other than lack or loss of efficacy and at the time of discontinuation had a viral value of ≥ 50 copies/mL.</w:t>
      </w:r>
    </w:p>
    <w:p w:rsidR="00682CF0" w:rsidRPr="000E1BC3" w:rsidRDefault="00682CF0" w:rsidP="00682CF0">
      <w:pPr>
        <w:pStyle w:val="TableFooter"/>
        <w:spacing w:before="40" w:after="200"/>
        <w:ind w:left="331" w:hanging="331"/>
        <w:rPr>
          <w:sz w:val="16"/>
          <w:szCs w:val="16"/>
        </w:rPr>
      </w:pPr>
      <w:r w:rsidRPr="000E1BC3">
        <w:rPr>
          <w:rFonts w:ascii="Times New Roman" w:hAnsi="Times New Roman" w:cs="Times New Roman"/>
          <w:sz w:val="16"/>
          <w:szCs w:val="16"/>
        </w:rPr>
        <w:t>c</w:t>
      </w:r>
      <w:r w:rsidRPr="000E1BC3">
        <w:rPr>
          <w:rFonts w:ascii="Times New Roman" w:hAnsi="Times New Roman" w:cs="Times New Roman"/>
          <w:sz w:val="16"/>
          <w:szCs w:val="16"/>
        </w:rPr>
        <w:tab/>
        <w:t>Includes patients who discontinued for reasons other than an AE, death or lack or loss of efficacy, e.g., withdrew consent, loss to follow-up, etc.</w:t>
      </w:r>
    </w:p>
    <w:p w:rsidR="00682CF0" w:rsidRPr="000E1BC3" w:rsidRDefault="00682CF0" w:rsidP="00682CF0">
      <w:pPr>
        <w:pStyle w:val="Text10"/>
        <w:rPr>
          <w:sz w:val="32"/>
        </w:rPr>
      </w:pPr>
      <w:r w:rsidRPr="000E1BC3">
        <w:lastRenderedPageBreak/>
        <w:t xml:space="preserve">In Study 1844, at Week 48, switching to </w:t>
      </w:r>
      <w:r w:rsidR="002F43D2">
        <w:t>BIKTARVY</w:t>
      </w:r>
      <w:r w:rsidRPr="000E1BC3">
        <w:t xml:space="preserve"> was noninferior to remaining on ABC/DTG/3TC. The percentages of patients with HIV-1 RNA ≥ 50 copies/mL and who maintained HIV-1 RNA &lt; 50 copies/mL were similar between the </w:t>
      </w:r>
      <w:r w:rsidR="002F43D2">
        <w:t>BIKTARVY</w:t>
      </w:r>
      <w:r w:rsidRPr="000E1BC3">
        <w:t xml:space="preserve"> and ABC/DTG/3TC groups. Treatment outcomes between treatment groups were similar across subgroups by age, sex, race, baseline viral load, and baseline CD4+ count. The mean change from baseline in CD4+ count at Week 48 was -31 cells per mm</w:t>
      </w:r>
      <w:r w:rsidRPr="000E1BC3">
        <w:rPr>
          <w:vertAlign w:val="superscript"/>
        </w:rPr>
        <w:t>3</w:t>
      </w:r>
      <w:r w:rsidRPr="000E1BC3">
        <w:t xml:space="preserve"> in patients who switched to </w:t>
      </w:r>
      <w:r w:rsidR="002F43D2">
        <w:t>BIKTARVY</w:t>
      </w:r>
      <w:r w:rsidRPr="000E1BC3">
        <w:t xml:space="preserve"> and 4 cells per mm</w:t>
      </w:r>
      <w:r w:rsidRPr="000E1BC3">
        <w:rPr>
          <w:vertAlign w:val="superscript"/>
        </w:rPr>
        <w:t xml:space="preserve">3 </w:t>
      </w:r>
      <w:r w:rsidRPr="000E1BC3">
        <w:t xml:space="preserve">in patients who stayed on ABC/DTG/3TC. </w:t>
      </w:r>
    </w:p>
    <w:p w:rsidR="00682CF0" w:rsidRPr="000E1BC3" w:rsidRDefault="00682CF0" w:rsidP="00682CF0">
      <w:pPr>
        <w:outlineLvl w:val="0"/>
        <w:rPr>
          <w:rFonts w:ascii="Times New Roman" w:hAnsi="Times New Roman"/>
          <w:noProof/>
          <w:sz w:val="24"/>
          <w:szCs w:val="24"/>
          <w:lang w:val="en-US"/>
        </w:rPr>
      </w:pPr>
      <w:r w:rsidRPr="000E1BC3">
        <w:rPr>
          <w:rFonts w:ascii="Times New Roman" w:hAnsi="Times New Roman"/>
          <w:b/>
          <w:i/>
          <w:noProof/>
          <w:sz w:val="24"/>
          <w:szCs w:val="24"/>
          <w:lang w:val="en-US"/>
        </w:rPr>
        <w:t>Bone Mineral Density</w:t>
      </w:r>
      <w:r w:rsidRPr="000E1BC3">
        <w:rPr>
          <w:rFonts w:ascii="Times New Roman" w:hAnsi="Times New Roman"/>
          <w:noProof/>
          <w:sz w:val="24"/>
          <w:szCs w:val="24"/>
          <w:lang w:val="en-US"/>
        </w:rPr>
        <w:t xml:space="preserve">: In Study 1844, BMD change from baseline to Week 48 was assessed by DXA.  In patients who had both baseline and Week 48 hip and lumbar spine BMD measurements (N=229 and  233 in the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group and N=242 and 244 in the ABC/DTG/3TC group, for hip and lumbar spine, respectively),  mean percentage increases in BMD were similar in the </w:t>
      </w:r>
      <w:r w:rsidR="002F43D2">
        <w:rPr>
          <w:rFonts w:ascii="Times New Roman" w:hAnsi="Times New Roman"/>
          <w:noProof/>
          <w:sz w:val="24"/>
          <w:szCs w:val="24"/>
          <w:lang w:val="en-US"/>
        </w:rPr>
        <w:t>BIKTARVY</w:t>
      </w:r>
      <w:r w:rsidRPr="000E1BC3">
        <w:rPr>
          <w:rFonts w:ascii="Times New Roman" w:hAnsi="Times New Roman"/>
          <w:noProof/>
          <w:sz w:val="24"/>
          <w:szCs w:val="24"/>
          <w:lang w:val="en-US"/>
        </w:rPr>
        <w:t xml:space="preserve"> group compared to the ABC/DTG/3TC group for hip (0.2% vs. 0.3%) and lumbar spine (0.7% vs.0.4%).</w:t>
      </w:r>
    </w:p>
    <w:p w:rsidR="00682CF0" w:rsidRPr="000E1BC3" w:rsidRDefault="00682CF0" w:rsidP="00682CF0">
      <w:pPr>
        <w:pStyle w:val="Text10"/>
        <w:widowControl w:val="0"/>
        <w:spacing w:after="120"/>
        <w:rPr>
          <w:b/>
          <w:u w:val="single"/>
        </w:rPr>
      </w:pPr>
    </w:p>
    <w:p w:rsidR="00682CF0" w:rsidRDefault="00682CF0" w:rsidP="00682CF0">
      <w:pPr>
        <w:pStyle w:val="Text10"/>
        <w:widowControl w:val="0"/>
        <w:spacing w:after="0"/>
      </w:pPr>
      <w:r w:rsidRPr="000E1BC3">
        <w:t xml:space="preserve">In Study 1878, at Week 48, switching to </w:t>
      </w:r>
      <w:r w:rsidR="002F43D2">
        <w:t>BIKTARVY</w:t>
      </w:r>
      <w:r w:rsidRPr="000E1BC3">
        <w:t xml:space="preserve"> was noninferior to remaining on an ATV- or DRV-based regimen. The percentages of patients with HIV-1 RNA ≥ 50 copies/mL and who maintained HIV-1 RNA &lt; 50 copies/mL were similar between the </w:t>
      </w:r>
      <w:r w:rsidR="002F43D2">
        <w:t>BIKTARVY</w:t>
      </w:r>
      <w:r w:rsidRPr="000E1BC3">
        <w:t xml:space="preserve"> and ATV- or DRV-based regimen groups. Treatment outcomes between treatment groups were similar across subgroups by age, sex, race, baseline viral load, and baseline CD4+ count. The mean change from baseline in CD4+ count at Week 48 was 25 cells per mm</w:t>
      </w:r>
      <w:r w:rsidRPr="000E1BC3">
        <w:rPr>
          <w:vertAlign w:val="superscript"/>
        </w:rPr>
        <w:t>3</w:t>
      </w:r>
      <w:r w:rsidRPr="000E1BC3">
        <w:t xml:space="preserve"> in patients who switched to </w:t>
      </w:r>
      <w:r w:rsidR="002F43D2">
        <w:t>BIKTARVY</w:t>
      </w:r>
      <w:r w:rsidRPr="000E1BC3">
        <w:t xml:space="preserve"> and 0 cells per mm</w:t>
      </w:r>
      <w:r w:rsidRPr="000E1BC3">
        <w:rPr>
          <w:vertAlign w:val="superscript"/>
        </w:rPr>
        <w:t xml:space="preserve">3 </w:t>
      </w:r>
      <w:r w:rsidRPr="000E1BC3">
        <w:t xml:space="preserve">in patients who stayed on their baseline regimen. </w:t>
      </w:r>
    </w:p>
    <w:p w:rsidR="00682CF0" w:rsidRDefault="00682CF0" w:rsidP="00682CF0">
      <w:pPr>
        <w:pStyle w:val="Text10"/>
        <w:widowControl w:val="0"/>
        <w:spacing w:after="0"/>
      </w:pPr>
    </w:p>
    <w:p w:rsidR="00C5078F" w:rsidRPr="000E1BC3" w:rsidRDefault="00C5078F" w:rsidP="00C5078F">
      <w:pPr>
        <w:outlineLvl w:val="0"/>
        <w:rPr>
          <w:rFonts w:ascii="Times New Roman" w:hAnsi="Times New Roman"/>
          <w:noProof/>
          <w:sz w:val="24"/>
          <w:szCs w:val="24"/>
          <w:lang w:val="en-US"/>
        </w:rPr>
      </w:pPr>
      <w:r w:rsidRPr="00C5078F">
        <w:rPr>
          <w:rFonts w:ascii="Times New Roman" w:hAnsi="Times New Roman"/>
          <w:b/>
          <w:i/>
          <w:noProof/>
          <w:sz w:val="24"/>
          <w:szCs w:val="24"/>
          <w:lang w:val="en-US"/>
        </w:rPr>
        <w:t>Patients Coinfected with HIV-1 and Chronic Hepatitis B</w:t>
      </w:r>
      <w:r>
        <w:rPr>
          <w:rFonts w:ascii="Times New Roman" w:hAnsi="Times New Roman"/>
          <w:b/>
          <w:noProof/>
          <w:sz w:val="24"/>
          <w:szCs w:val="24"/>
          <w:lang w:val="en-US"/>
        </w:rPr>
        <w:t xml:space="preserve">: </w:t>
      </w:r>
      <w:r w:rsidRPr="000E1BC3">
        <w:rPr>
          <w:rFonts w:ascii="Times New Roman" w:hAnsi="Times New Roman"/>
          <w:noProof/>
          <w:sz w:val="24"/>
          <w:szCs w:val="24"/>
          <w:lang w:val="en-US"/>
        </w:rPr>
        <w:t xml:space="preserve">In Study 1878, at Week 48, 100% (8/8) of the patients coinfected with HIV/HBV at baseline in the </w:t>
      </w:r>
      <w:r>
        <w:rPr>
          <w:rFonts w:ascii="Times New Roman" w:hAnsi="Times New Roman"/>
          <w:noProof/>
          <w:sz w:val="24"/>
          <w:szCs w:val="24"/>
          <w:lang w:val="en-US"/>
        </w:rPr>
        <w:t>BIKTARVY</w:t>
      </w:r>
      <w:r w:rsidRPr="000E1BC3">
        <w:rPr>
          <w:rFonts w:ascii="Times New Roman" w:hAnsi="Times New Roman"/>
          <w:noProof/>
          <w:sz w:val="24"/>
          <w:szCs w:val="24"/>
          <w:lang w:val="en-US"/>
        </w:rPr>
        <w:t xml:space="preserve"> maintained HBV DNA &lt; 29 IU/mL (missing = excluded analysis) and HIV RNA &lt; 50 copies/mL.</w:t>
      </w:r>
    </w:p>
    <w:p w:rsidR="00682CF0" w:rsidRDefault="00682CF0" w:rsidP="0018270F">
      <w:pPr>
        <w:rPr>
          <w:rFonts w:ascii="Times New Roman" w:hAnsi="Times New Roman"/>
          <w:sz w:val="24"/>
          <w:szCs w:val="24"/>
        </w:rPr>
      </w:pPr>
    </w:p>
    <w:p w:rsidR="004D22F3" w:rsidRPr="00DD64CE" w:rsidRDefault="004D22F3" w:rsidP="009326E4">
      <w:pPr>
        <w:spacing w:after="120"/>
        <w:rPr>
          <w:rFonts w:ascii="Times New Roman" w:hAnsi="Times New Roman"/>
          <w:b/>
          <w:noProof/>
          <w:sz w:val="24"/>
          <w:szCs w:val="24"/>
        </w:rPr>
      </w:pPr>
      <w:r w:rsidRPr="00DD64CE">
        <w:rPr>
          <w:rFonts w:ascii="Times New Roman" w:hAnsi="Times New Roman"/>
          <w:b/>
          <w:noProof/>
          <w:sz w:val="24"/>
          <w:szCs w:val="24"/>
        </w:rPr>
        <w:t>5.2 PHARMACOKINETIC PROPERTIES</w:t>
      </w:r>
    </w:p>
    <w:p w:rsidR="0071578F" w:rsidRDefault="0071578F" w:rsidP="009326E4">
      <w:pPr>
        <w:spacing w:after="120"/>
        <w:rPr>
          <w:rFonts w:ascii="Times New Roman" w:hAnsi="Times New Roman"/>
          <w:noProof/>
          <w:sz w:val="24"/>
          <w:szCs w:val="24"/>
        </w:rPr>
      </w:pPr>
      <w:r w:rsidRPr="0071578F">
        <w:rPr>
          <w:rFonts w:ascii="Times New Roman" w:hAnsi="Times New Roman"/>
          <w:noProof/>
          <w:sz w:val="24"/>
          <w:szCs w:val="24"/>
        </w:rPr>
        <w:t>The pharmacokinetic (PK) properties of BIKTARVY c</w:t>
      </w:r>
      <w:r>
        <w:rPr>
          <w:rFonts w:ascii="Times New Roman" w:hAnsi="Times New Roman"/>
          <w:noProof/>
          <w:sz w:val="24"/>
          <w:szCs w:val="24"/>
        </w:rPr>
        <w:t>omponents are provided in Table </w:t>
      </w:r>
      <w:r w:rsidR="00DD64CE">
        <w:rPr>
          <w:rFonts w:ascii="Times New Roman" w:hAnsi="Times New Roman"/>
          <w:noProof/>
          <w:sz w:val="24"/>
          <w:szCs w:val="24"/>
        </w:rPr>
        <w:t>9</w:t>
      </w:r>
      <w:r w:rsidRPr="0071578F">
        <w:rPr>
          <w:rFonts w:ascii="Times New Roman" w:hAnsi="Times New Roman"/>
          <w:noProof/>
          <w:sz w:val="24"/>
          <w:szCs w:val="24"/>
        </w:rPr>
        <w:t>.</w:t>
      </w:r>
    </w:p>
    <w:p w:rsidR="0071578F" w:rsidRDefault="0071578F" w:rsidP="00DD64CE">
      <w:pPr>
        <w:rPr>
          <w:rFonts w:ascii="Times New Roman" w:hAnsi="Times New Roman"/>
          <w:noProof/>
          <w:sz w:val="24"/>
          <w:szCs w:val="24"/>
        </w:rPr>
      </w:pPr>
    </w:p>
    <w:p w:rsidR="0071578F" w:rsidRPr="0071578F" w:rsidRDefault="0071578F" w:rsidP="0071578F">
      <w:pPr>
        <w:spacing w:after="40"/>
        <w:rPr>
          <w:rFonts w:ascii="Times New Roman" w:hAnsi="Times New Roman"/>
          <w:b/>
          <w:sz w:val="24"/>
        </w:rPr>
      </w:pPr>
      <w:r w:rsidRPr="0071578F">
        <w:rPr>
          <w:rFonts w:ascii="Times New Roman" w:hAnsi="Times New Roman"/>
          <w:b/>
          <w:sz w:val="24"/>
        </w:rPr>
        <w:t xml:space="preserve">Table </w:t>
      </w:r>
      <w:r w:rsidR="00DD64CE">
        <w:rPr>
          <w:rFonts w:ascii="Times New Roman" w:hAnsi="Times New Roman"/>
          <w:b/>
          <w:sz w:val="24"/>
        </w:rPr>
        <w:t>9</w:t>
      </w:r>
      <w:r w:rsidR="002153A4">
        <w:rPr>
          <w:rFonts w:ascii="Times New Roman" w:hAnsi="Times New Roman"/>
          <w:b/>
          <w:sz w:val="24"/>
        </w:rPr>
        <w:t>.</w:t>
      </w:r>
      <w:r w:rsidRPr="0071578F">
        <w:rPr>
          <w:rFonts w:ascii="Times New Roman" w:hAnsi="Times New Roman"/>
          <w:b/>
          <w:sz w:val="24"/>
        </w:rPr>
        <w:tab/>
        <w:t xml:space="preserve">Pharmacokinetic Properties of the Components of BIKTARVY </w:t>
      </w:r>
    </w:p>
    <w:tbl>
      <w:tblPr>
        <w:tblW w:w="5038" w:type="pct"/>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929"/>
        <w:gridCol w:w="788"/>
        <w:gridCol w:w="2155"/>
        <w:gridCol w:w="2150"/>
        <w:gridCol w:w="2041"/>
      </w:tblGrid>
      <w:tr w:rsidR="0071578F" w:rsidRPr="0071578F" w:rsidTr="00A66C80">
        <w:trPr>
          <w:tblHeader/>
        </w:trPr>
        <w:tc>
          <w:tcPr>
            <w:tcW w:w="1499" w:type="pct"/>
            <w:gridSpan w:val="2"/>
            <w:tcBorders>
              <w:top w:val="single" w:sz="12" w:space="0" w:color="auto"/>
              <w:bottom w:val="single" w:sz="12" w:space="0" w:color="auto"/>
            </w:tcBorders>
            <w:shd w:val="clear" w:color="auto" w:fill="auto"/>
          </w:tcPr>
          <w:p w:rsidR="0071578F" w:rsidRPr="0071578F" w:rsidRDefault="0071578F" w:rsidP="001A3DE2">
            <w:pPr>
              <w:rPr>
                <w:rFonts w:ascii="Times New Roman" w:hAnsi="Times New Roman"/>
                <w:b/>
                <w:szCs w:val="24"/>
              </w:rPr>
            </w:pPr>
          </w:p>
        </w:tc>
        <w:tc>
          <w:tcPr>
            <w:tcW w:w="1189" w:type="pct"/>
            <w:tcBorders>
              <w:top w:val="single" w:sz="12" w:space="0" w:color="auto"/>
              <w:bottom w:val="single" w:sz="12" w:space="0" w:color="auto"/>
            </w:tcBorders>
            <w:vAlign w:val="center"/>
          </w:tcPr>
          <w:p w:rsidR="0071578F" w:rsidRPr="0071578F" w:rsidRDefault="0071578F" w:rsidP="001A3DE2">
            <w:pPr>
              <w:jc w:val="center"/>
              <w:rPr>
                <w:rStyle w:val="DeltaViewInsertion"/>
                <w:rFonts w:ascii="Times New Roman" w:hAnsi="Times New Roman"/>
                <w:b/>
                <w:color w:val="auto"/>
                <w:szCs w:val="24"/>
                <w:u w:val="none"/>
              </w:rPr>
            </w:pPr>
            <w:r w:rsidRPr="0071578F">
              <w:rPr>
                <w:rStyle w:val="DeltaViewInsertion"/>
                <w:rFonts w:ascii="Times New Roman" w:hAnsi="Times New Roman"/>
                <w:b/>
                <w:color w:val="auto"/>
                <w:szCs w:val="24"/>
                <w:u w:val="none"/>
              </w:rPr>
              <w:t>Bictegravir (BIC)</w:t>
            </w:r>
          </w:p>
        </w:tc>
        <w:tc>
          <w:tcPr>
            <w:tcW w:w="1186" w:type="pct"/>
            <w:tcBorders>
              <w:top w:val="single" w:sz="12" w:space="0" w:color="auto"/>
              <w:bottom w:val="single" w:sz="12" w:space="0" w:color="auto"/>
            </w:tcBorders>
            <w:shd w:val="clear" w:color="auto" w:fill="auto"/>
            <w:vAlign w:val="center"/>
          </w:tcPr>
          <w:p w:rsidR="0071578F" w:rsidRPr="0071578F" w:rsidRDefault="0071578F" w:rsidP="001A3DE2">
            <w:pPr>
              <w:jc w:val="center"/>
              <w:rPr>
                <w:rFonts w:ascii="Times New Roman" w:hAnsi="Times New Roman"/>
                <w:b/>
                <w:szCs w:val="24"/>
              </w:rPr>
            </w:pPr>
            <w:bookmarkStart w:id="2" w:name="_DV_C906"/>
            <w:r w:rsidRPr="0071578F">
              <w:rPr>
                <w:rStyle w:val="DeltaViewInsertion"/>
                <w:rFonts w:ascii="Times New Roman" w:hAnsi="Times New Roman"/>
                <w:b/>
                <w:color w:val="auto"/>
                <w:szCs w:val="24"/>
                <w:u w:val="none"/>
              </w:rPr>
              <w:t>Emtricitabine</w:t>
            </w:r>
            <w:bookmarkEnd w:id="2"/>
            <w:r w:rsidRPr="0071578F">
              <w:rPr>
                <w:rStyle w:val="DeltaViewInsertion"/>
                <w:rFonts w:ascii="Times New Roman" w:hAnsi="Times New Roman"/>
                <w:b/>
                <w:color w:val="auto"/>
                <w:szCs w:val="24"/>
                <w:u w:val="none"/>
              </w:rPr>
              <w:t xml:space="preserve"> (FTC)</w:t>
            </w:r>
          </w:p>
        </w:tc>
        <w:tc>
          <w:tcPr>
            <w:tcW w:w="1126" w:type="pct"/>
            <w:tcBorders>
              <w:top w:val="single" w:sz="12" w:space="0" w:color="auto"/>
              <w:bottom w:val="single" w:sz="12" w:space="0" w:color="auto"/>
            </w:tcBorders>
            <w:shd w:val="clear" w:color="auto" w:fill="auto"/>
            <w:vAlign w:val="center"/>
          </w:tcPr>
          <w:p w:rsidR="0071578F" w:rsidRPr="0071578F" w:rsidRDefault="0071578F" w:rsidP="001A3DE2">
            <w:pPr>
              <w:jc w:val="center"/>
              <w:rPr>
                <w:rFonts w:ascii="Times New Roman" w:hAnsi="Times New Roman"/>
                <w:b/>
                <w:szCs w:val="24"/>
              </w:rPr>
            </w:pPr>
            <w:bookmarkStart w:id="3" w:name="_DV_C907"/>
            <w:r w:rsidRPr="0071578F">
              <w:rPr>
                <w:rStyle w:val="DeltaViewInsertion"/>
                <w:rFonts w:ascii="Times New Roman" w:hAnsi="Times New Roman"/>
                <w:b/>
                <w:color w:val="auto"/>
                <w:szCs w:val="24"/>
                <w:u w:val="none"/>
              </w:rPr>
              <w:t>Tenofovir</w:t>
            </w:r>
            <w:r w:rsidRPr="0071578F">
              <w:rPr>
                <w:rStyle w:val="DeltaViewInsertion"/>
                <w:rFonts w:ascii="Times New Roman" w:hAnsi="Times New Roman"/>
                <w:b/>
                <w:color w:val="auto"/>
                <w:szCs w:val="24"/>
                <w:u w:val="none"/>
                <w:vertAlign w:val="superscript"/>
              </w:rPr>
              <w:t xml:space="preserve"> </w:t>
            </w:r>
            <w:r w:rsidRPr="0071578F">
              <w:rPr>
                <w:rStyle w:val="DeltaViewInsertion"/>
                <w:rFonts w:ascii="Times New Roman" w:hAnsi="Times New Roman"/>
                <w:b/>
                <w:color w:val="auto"/>
                <w:szCs w:val="24"/>
                <w:u w:val="none"/>
              </w:rPr>
              <w:t>Alafenamide</w:t>
            </w:r>
            <w:bookmarkEnd w:id="3"/>
            <w:r w:rsidRPr="0071578F">
              <w:rPr>
                <w:rStyle w:val="DeltaViewInsertion"/>
                <w:rFonts w:ascii="Times New Roman" w:hAnsi="Times New Roman"/>
                <w:b/>
                <w:color w:val="auto"/>
                <w:szCs w:val="24"/>
                <w:u w:val="none"/>
              </w:rPr>
              <w:t xml:space="preserve"> (TAF)</w:t>
            </w:r>
          </w:p>
        </w:tc>
      </w:tr>
      <w:tr w:rsidR="0071578F" w:rsidRPr="0071578F" w:rsidTr="0071578F">
        <w:tc>
          <w:tcPr>
            <w:tcW w:w="5000" w:type="pct"/>
            <w:gridSpan w:val="5"/>
            <w:tcBorders>
              <w:top w:val="single" w:sz="12" w:space="0" w:color="auto"/>
            </w:tcBorders>
          </w:tcPr>
          <w:p w:rsidR="0071578F" w:rsidRPr="0071578F" w:rsidRDefault="0071578F" w:rsidP="001A3DE2">
            <w:pPr>
              <w:rPr>
                <w:rFonts w:ascii="Times New Roman" w:hAnsi="Times New Roman"/>
                <w:b/>
                <w:szCs w:val="24"/>
              </w:rPr>
            </w:pPr>
            <w:bookmarkStart w:id="4" w:name="_DV_C908"/>
            <w:r w:rsidRPr="0071578F">
              <w:rPr>
                <w:rStyle w:val="DeltaViewInsertion"/>
                <w:rFonts w:ascii="Times New Roman" w:hAnsi="Times New Roman"/>
                <w:b/>
                <w:color w:val="auto"/>
                <w:szCs w:val="24"/>
                <w:u w:val="none"/>
              </w:rPr>
              <w:t>Absorption</w:t>
            </w:r>
            <w:bookmarkEnd w:id="4"/>
          </w:p>
        </w:tc>
      </w:tr>
      <w:tr w:rsidR="0071578F" w:rsidRPr="0071578F" w:rsidTr="0071578F">
        <w:tc>
          <w:tcPr>
            <w:tcW w:w="1499" w:type="pct"/>
            <w:gridSpan w:val="2"/>
            <w:shd w:val="clear" w:color="auto" w:fill="auto"/>
          </w:tcPr>
          <w:p w:rsidR="0071578F" w:rsidRPr="0071578F" w:rsidRDefault="0071578F" w:rsidP="001A3DE2">
            <w:pPr>
              <w:rPr>
                <w:rFonts w:ascii="Times New Roman" w:hAnsi="Times New Roman"/>
                <w:szCs w:val="24"/>
              </w:rPr>
            </w:pPr>
            <w:bookmarkStart w:id="5" w:name="_DV_C909"/>
            <w:r w:rsidRPr="0071578F">
              <w:rPr>
                <w:rStyle w:val="DeltaViewInsertion"/>
                <w:rFonts w:ascii="Times New Roman" w:hAnsi="Times New Roman"/>
                <w:color w:val="auto"/>
                <w:szCs w:val="24"/>
                <w:u w:val="none"/>
              </w:rPr>
              <w:t>T</w:t>
            </w:r>
            <w:r w:rsidRPr="0071578F">
              <w:rPr>
                <w:rStyle w:val="DeltaViewInsertion"/>
                <w:rFonts w:ascii="Times New Roman" w:hAnsi="Times New Roman"/>
                <w:color w:val="auto"/>
                <w:szCs w:val="24"/>
                <w:u w:val="none"/>
                <w:vertAlign w:val="subscript"/>
              </w:rPr>
              <w:t>max</w:t>
            </w:r>
            <w:r w:rsidRPr="0071578F">
              <w:rPr>
                <w:rStyle w:val="DeltaViewInsertion"/>
                <w:rFonts w:ascii="Times New Roman" w:hAnsi="Times New Roman"/>
                <w:color w:val="auto"/>
                <w:szCs w:val="24"/>
                <w:u w:val="none"/>
              </w:rPr>
              <w:t xml:space="preserve"> (h)</w:t>
            </w:r>
            <w:bookmarkEnd w:id="5"/>
            <w:r w:rsidRPr="0071578F">
              <w:rPr>
                <w:rStyle w:val="DeltaViewInsertion"/>
                <w:rFonts w:ascii="Times New Roman" w:hAnsi="Times New Roman"/>
                <w:color w:val="auto"/>
                <w:szCs w:val="24"/>
                <w:u w:val="none"/>
                <w:vertAlign w:val="superscript"/>
              </w:rPr>
              <w:t>a</w:t>
            </w:r>
          </w:p>
        </w:tc>
        <w:tc>
          <w:tcPr>
            <w:tcW w:w="1189" w:type="pct"/>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2.0–4.0</w:t>
            </w:r>
          </w:p>
        </w:tc>
        <w:tc>
          <w:tcPr>
            <w:tcW w:w="1186" w:type="pct"/>
            <w:shd w:val="clear" w:color="auto" w:fill="auto"/>
            <w:vAlign w:val="center"/>
          </w:tcPr>
          <w:p w:rsidR="0071578F" w:rsidRPr="0071578F" w:rsidRDefault="0071578F" w:rsidP="001A3DE2">
            <w:pPr>
              <w:jc w:val="center"/>
              <w:rPr>
                <w:rFonts w:ascii="Times New Roman" w:hAnsi="Times New Roman"/>
                <w:szCs w:val="24"/>
              </w:rPr>
            </w:pPr>
            <w:r w:rsidRPr="0071578F">
              <w:rPr>
                <w:rStyle w:val="DeltaViewInsertion"/>
                <w:rFonts w:ascii="Times New Roman" w:hAnsi="Times New Roman"/>
                <w:color w:val="auto"/>
                <w:szCs w:val="24"/>
                <w:u w:val="none"/>
              </w:rPr>
              <w:t>1.5–2.0</w:t>
            </w:r>
          </w:p>
        </w:tc>
        <w:tc>
          <w:tcPr>
            <w:tcW w:w="1126" w:type="pct"/>
            <w:shd w:val="clear" w:color="auto" w:fill="auto"/>
            <w:vAlign w:val="center"/>
          </w:tcPr>
          <w:p w:rsidR="0071578F" w:rsidRPr="0071578F" w:rsidRDefault="0071578F" w:rsidP="001A3DE2">
            <w:pPr>
              <w:jc w:val="center"/>
              <w:rPr>
                <w:rFonts w:ascii="Times New Roman" w:hAnsi="Times New Roman"/>
                <w:szCs w:val="24"/>
              </w:rPr>
            </w:pPr>
            <w:r w:rsidRPr="0071578F">
              <w:rPr>
                <w:rStyle w:val="DeltaViewInsertion"/>
                <w:rFonts w:ascii="Times New Roman" w:hAnsi="Times New Roman"/>
                <w:color w:val="auto"/>
                <w:szCs w:val="24"/>
                <w:u w:val="none"/>
              </w:rPr>
              <w:t>0.5–2.0</w:t>
            </w:r>
          </w:p>
        </w:tc>
      </w:tr>
      <w:tr w:rsidR="0071578F" w:rsidRPr="0071578F" w:rsidTr="0071578F">
        <w:trPr>
          <w:trHeight w:val="429"/>
        </w:trPr>
        <w:tc>
          <w:tcPr>
            <w:tcW w:w="1064" w:type="pct"/>
            <w:shd w:val="clear" w:color="auto" w:fill="auto"/>
          </w:tcPr>
          <w:p w:rsidR="0071578F" w:rsidRPr="0071578F" w:rsidRDefault="0071578F" w:rsidP="001A3DE2">
            <w:pP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Effect of high-fat meal</w:t>
            </w:r>
          </w:p>
          <w:p w:rsidR="0071578F" w:rsidRPr="0071578F" w:rsidRDefault="0071578F" w:rsidP="001A3DE2">
            <w:pPr>
              <w:rPr>
                <w:rFonts w:ascii="Times New Roman" w:hAnsi="Times New Roman"/>
                <w:szCs w:val="24"/>
                <w:vertAlign w:val="superscript"/>
              </w:rPr>
            </w:pPr>
            <w:r w:rsidRPr="0071578F">
              <w:rPr>
                <w:rStyle w:val="DeltaViewInsertion"/>
                <w:rFonts w:ascii="Times New Roman" w:hAnsi="Times New Roman"/>
                <w:color w:val="auto"/>
                <w:szCs w:val="24"/>
                <w:u w:val="none"/>
              </w:rPr>
              <w:t>(relative to fasting)</w:t>
            </w:r>
            <w:r w:rsidRPr="0071578F">
              <w:rPr>
                <w:rStyle w:val="DeltaViewInsertion"/>
                <w:rFonts w:ascii="Times New Roman" w:hAnsi="Times New Roman"/>
                <w:color w:val="auto"/>
                <w:szCs w:val="24"/>
                <w:u w:val="none"/>
                <w:vertAlign w:val="superscript"/>
              </w:rPr>
              <w:t>b</w:t>
            </w:r>
          </w:p>
        </w:tc>
        <w:tc>
          <w:tcPr>
            <w:tcW w:w="435" w:type="pct"/>
            <w:shd w:val="clear" w:color="auto" w:fill="auto"/>
          </w:tcPr>
          <w:p w:rsidR="0071578F" w:rsidRPr="0071578F" w:rsidRDefault="0071578F" w:rsidP="001A3DE2">
            <w:pP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AUC ratio</w:t>
            </w:r>
          </w:p>
        </w:tc>
        <w:tc>
          <w:tcPr>
            <w:tcW w:w="1189" w:type="pct"/>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1.24 (1.16, 1.33)</w:t>
            </w:r>
          </w:p>
        </w:tc>
        <w:tc>
          <w:tcPr>
            <w:tcW w:w="1186" w:type="pct"/>
            <w:shd w:val="clear" w:color="auto" w:fill="auto"/>
            <w:vAlign w:val="center"/>
          </w:tcPr>
          <w:p w:rsidR="0071578F" w:rsidRPr="0071578F" w:rsidRDefault="0071578F" w:rsidP="001A3DE2">
            <w:pPr>
              <w:jc w:val="center"/>
              <w:rPr>
                <w:rFonts w:ascii="Times New Roman" w:hAnsi="Times New Roman"/>
                <w:szCs w:val="24"/>
              </w:rPr>
            </w:pPr>
            <w:bookmarkStart w:id="6" w:name="_DV_C916"/>
            <w:r w:rsidRPr="0071578F">
              <w:rPr>
                <w:rStyle w:val="DeltaViewInsertion"/>
                <w:rFonts w:ascii="Times New Roman" w:hAnsi="Times New Roman"/>
                <w:color w:val="auto"/>
                <w:szCs w:val="24"/>
                <w:u w:val="none"/>
              </w:rPr>
              <w:t>0.96 (0.93, 0.99)</w:t>
            </w:r>
            <w:bookmarkEnd w:id="6"/>
          </w:p>
        </w:tc>
        <w:tc>
          <w:tcPr>
            <w:tcW w:w="1126" w:type="pct"/>
            <w:shd w:val="clear" w:color="auto" w:fill="auto"/>
            <w:vAlign w:val="center"/>
          </w:tcPr>
          <w:p w:rsidR="0071578F" w:rsidRPr="0071578F" w:rsidRDefault="0071578F" w:rsidP="001A3DE2">
            <w:pPr>
              <w:jc w:val="center"/>
              <w:rPr>
                <w:rStyle w:val="DeltaViewInsertion"/>
                <w:rFonts w:ascii="Times New Roman" w:hAnsi="Times New Roman"/>
                <w:color w:val="auto"/>
                <w:u w:val="none"/>
              </w:rPr>
            </w:pPr>
            <w:r w:rsidRPr="0071578F">
              <w:rPr>
                <w:rStyle w:val="DeltaViewInsertion"/>
                <w:rFonts w:ascii="Times New Roman" w:hAnsi="Times New Roman"/>
                <w:color w:val="auto"/>
                <w:szCs w:val="24"/>
                <w:u w:val="none"/>
              </w:rPr>
              <w:t>1.63 (1.43, 1.85)</w:t>
            </w:r>
          </w:p>
        </w:tc>
      </w:tr>
      <w:tr w:rsidR="0071578F" w:rsidRPr="0071578F" w:rsidTr="0071578F">
        <w:trPr>
          <w:trHeight w:val="480"/>
        </w:trPr>
        <w:tc>
          <w:tcPr>
            <w:tcW w:w="1064" w:type="pct"/>
            <w:shd w:val="clear" w:color="auto" w:fill="auto"/>
          </w:tcPr>
          <w:p w:rsidR="0071578F" w:rsidRPr="0071578F" w:rsidRDefault="0071578F" w:rsidP="001A3DE2">
            <w:pPr>
              <w:rPr>
                <w:rStyle w:val="DeltaViewInsertion"/>
                <w:rFonts w:ascii="Times New Roman" w:hAnsi="Times New Roman"/>
                <w:color w:val="auto"/>
                <w:szCs w:val="24"/>
                <w:u w:val="none"/>
              </w:rPr>
            </w:pPr>
          </w:p>
        </w:tc>
        <w:tc>
          <w:tcPr>
            <w:tcW w:w="435" w:type="pct"/>
            <w:shd w:val="clear" w:color="auto" w:fill="auto"/>
          </w:tcPr>
          <w:p w:rsidR="0071578F" w:rsidRPr="0071578F" w:rsidRDefault="0071578F" w:rsidP="001A3DE2">
            <w:pPr>
              <w:rPr>
                <w:rFonts w:ascii="Times New Roman" w:hAnsi="Times New Roman"/>
                <w:szCs w:val="24"/>
                <w:vertAlign w:val="superscript"/>
              </w:rPr>
            </w:pPr>
            <w:r w:rsidRPr="0071578F">
              <w:rPr>
                <w:rStyle w:val="DeltaViewInsertion"/>
                <w:rFonts w:ascii="Times New Roman" w:hAnsi="Times New Roman"/>
                <w:color w:val="auto"/>
                <w:szCs w:val="24"/>
                <w:u w:val="none"/>
              </w:rPr>
              <w:t>C</w:t>
            </w:r>
            <w:r w:rsidRPr="0071578F">
              <w:rPr>
                <w:rStyle w:val="DeltaViewInsertion"/>
                <w:rFonts w:ascii="Times New Roman" w:hAnsi="Times New Roman"/>
                <w:color w:val="auto"/>
                <w:szCs w:val="24"/>
                <w:u w:val="none"/>
                <w:vertAlign w:val="subscript"/>
              </w:rPr>
              <w:t>max</w:t>
            </w:r>
            <w:r w:rsidRPr="0071578F">
              <w:rPr>
                <w:rStyle w:val="DeltaViewInsertion"/>
                <w:rFonts w:ascii="Times New Roman" w:hAnsi="Times New Roman"/>
                <w:color w:val="auto"/>
                <w:szCs w:val="24"/>
                <w:u w:val="none"/>
              </w:rPr>
              <w:t xml:space="preserve"> ratio</w:t>
            </w:r>
          </w:p>
        </w:tc>
        <w:tc>
          <w:tcPr>
            <w:tcW w:w="1189" w:type="pct"/>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 xml:space="preserve"> 1.13 (1.06, 1.20)</w:t>
            </w:r>
          </w:p>
        </w:tc>
        <w:tc>
          <w:tcPr>
            <w:tcW w:w="1186" w:type="pct"/>
            <w:shd w:val="clear" w:color="auto" w:fill="auto"/>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0.86 (0.78, 0.93)</w:t>
            </w:r>
          </w:p>
        </w:tc>
        <w:tc>
          <w:tcPr>
            <w:tcW w:w="1126" w:type="pct"/>
            <w:shd w:val="clear" w:color="auto" w:fill="auto"/>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0.92 (0.73, 1.14)</w:t>
            </w:r>
          </w:p>
        </w:tc>
      </w:tr>
      <w:tr w:rsidR="0071578F" w:rsidRPr="0071578F" w:rsidTr="0071578F">
        <w:tc>
          <w:tcPr>
            <w:tcW w:w="5000" w:type="pct"/>
            <w:gridSpan w:val="5"/>
          </w:tcPr>
          <w:p w:rsidR="0071578F" w:rsidRPr="0071578F" w:rsidRDefault="0071578F" w:rsidP="001A3DE2">
            <w:pPr>
              <w:rPr>
                <w:rFonts w:ascii="Times New Roman" w:hAnsi="Times New Roman"/>
                <w:b/>
                <w:szCs w:val="24"/>
              </w:rPr>
            </w:pPr>
            <w:bookmarkStart w:id="7" w:name="_DV_C919"/>
            <w:r w:rsidRPr="0071578F">
              <w:rPr>
                <w:rStyle w:val="DeltaViewInsertion"/>
                <w:rFonts w:ascii="Times New Roman" w:hAnsi="Times New Roman"/>
                <w:b/>
                <w:color w:val="auto"/>
                <w:szCs w:val="24"/>
                <w:u w:val="none"/>
              </w:rPr>
              <w:t>Distribution</w:t>
            </w:r>
            <w:bookmarkEnd w:id="7"/>
          </w:p>
        </w:tc>
      </w:tr>
      <w:tr w:rsidR="0071578F" w:rsidRPr="0071578F" w:rsidTr="0071578F">
        <w:tc>
          <w:tcPr>
            <w:tcW w:w="1499" w:type="pct"/>
            <w:gridSpan w:val="2"/>
            <w:shd w:val="clear" w:color="auto" w:fill="auto"/>
          </w:tcPr>
          <w:p w:rsidR="0071578F" w:rsidRPr="0071578F" w:rsidRDefault="0071578F" w:rsidP="001A3DE2">
            <w:pPr>
              <w:rPr>
                <w:rFonts w:ascii="Times New Roman" w:hAnsi="Times New Roman"/>
                <w:szCs w:val="24"/>
              </w:rPr>
            </w:pPr>
            <w:bookmarkStart w:id="8" w:name="_DV_C920"/>
            <w:r w:rsidRPr="0071578F">
              <w:rPr>
                <w:rStyle w:val="DeltaViewInsertion"/>
                <w:rFonts w:ascii="Times New Roman" w:hAnsi="Times New Roman"/>
                <w:color w:val="auto"/>
                <w:szCs w:val="24"/>
                <w:u w:val="none"/>
              </w:rPr>
              <w:t>% bound to human plasma proteins</w:t>
            </w:r>
            <w:bookmarkEnd w:id="8"/>
          </w:p>
        </w:tc>
        <w:tc>
          <w:tcPr>
            <w:tcW w:w="1189" w:type="pct"/>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&gt;99</w:t>
            </w:r>
          </w:p>
        </w:tc>
        <w:tc>
          <w:tcPr>
            <w:tcW w:w="1186" w:type="pct"/>
            <w:shd w:val="clear" w:color="auto" w:fill="auto"/>
            <w:vAlign w:val="center"/>
          </w:tcPr>
          <w:p w:rsidR="0071578F" w:rsidRPr="0071578F" w:rsidRDefault="0071578F" w:rsidP="001A3DE2">
            <w:pPr>
              <w:jc w:val="center"/>
              <w:rPr>
                <w:rFonts w:ascii="Times New Roman" w:hAnsi="Times New Roman"/>
                <w:szCs w:val="24"/>
              </w:rPr>
            </w:pPr>
            <w:bookmarkStart w:id="9" w:name="_DV_C923"/>
            <w:r w:rsidRPr="0071578F">
              <w:rPr>
                <w:rStyle w:val="DeltaViewInsertion"/>
                <w:rFonts w:ascii="Times New Roman" w:hAnsi="Times New Roman"/>
                <w:color w:val="auto"/>
                <w:szCs w:val="24"/>
                <w:u w:val="none"/>
              </w:rPr>
              <w:t>&lt;4</w:t>
            </w:r>
            <w:bookmarkEnd w:id="9"/>
          </w:p>
        </w:tc>
        <w:tc>
          <w:tcPr>
            <w:tcW w:w="1126" w:type="pct"/>
            <w:shd w:val="clear" w:color="auto" w:fill="auto"/>
            <w:vAlign w:val="center"/>
          </w:tcPr>
          <w:p w:rsidR="0071578F" w:rsidRPr="0071578F" w:rsidRDefault="0071578F" w:rsidP="001A3DE2">
            <w:pPr>
              <w:jc w:val="center"/>
              <w:rPr>
                <w:rFonts w:ascii="Times New Roman" w:hAnsi="Times New Roman"/>
                <w:szCs w:val="24"/>
              </w:rPr>
            </w:pPr>
            <w:bookmarkStart w:id="10" w:name="_DV_C924"/>
            <w:r w:rsidRPr="0071578F">
              <w:rPr>
                <w:rStyle w:val="DeltaViewInsertion"/>
                <w:rFonts w:ascii="Times New Roman" w:hAnsi="Times New Roman"/>
                <w:color w:val="auto"/>
                <w:szCs w:val="24"/>
                <w:u w:val="none"/>
              </w:rPr>
              <w:t>~80</w:t>
            </w:r>
            <w:bookmarkEnd w:id="10"/>
          </w:p>
        </w:tc>
      </w:tr>
      <w:tr w:rsidR="0071578F" w:rsidRPr="0071578F" w:rsidTr="0071578F">
        <w:tc>
          <w:tcPr>
            <w:tcW w:w="1499" w:type="pct"/>
            <w:gridSpan w:val="2"/>
            <w:shd w:val="clear" w:color="auto" w:fill="auto"/>
          </w:tcPr>
          <w:p w:rsidR="0071578F" w:rsidRPr="0071578F" w:rsidRDefault="0071578F" w:rsidP="001A3DE2">
            <w:pPr>
              <w:rPr>
                <w:rFonts w:ascii="Times New Roman" w:hAnsi="Times New Roman"/>
                <w:szCs w:val="24"/>
              </w:rPr>
            </w:pPr>
            <w:bookmarkStart w:id="11" w:name="_DV_C930"/>
            <w:r w:rsidRPr="0071578F">
              <w:rPr>
                <w:rStyle w:val="DeltaViewInsertion"/>
                <w:rFonts w:ascii="Times New Roman" w:hAnsi="Times New Roman"/>
                <w:color w:val="auto"/>
                <w:szCs w:val="24"/>
                <w:u w:val="none"/>
              </w:rPr>
              <w:t>Blood-to-plasma ratio</w:t>
            </w:r>
            <w:bookmarkEnd w:id="11"/>
          </w:p>
        </w:tc>
        <w:tc>
          <w:tcPr>
            <w:tcW w:w="1189" w:type="pct"/>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0.64</w:t>
            </w:r>
          </w:p>
        </w:tc>
        <w:tc>
          <w:tcPr>
            <w:tcW w:w="1186" w:type="pct"/>
            <w:shd w:val="clear" w:color="auto" w:fill="auto"/>
            <w:vAlign w:val="center"/>
          </w:tcPr>
          <w:p w:rsidR="0071578F" w:rsidRPr="0071578F" w:rsidRDefault="0071578F" w:rsidP="001A3DE2">
            <w:pPr>
              <w:jc w:val="center"/>
              <w:rPr>
                <w:rFonts w:ascii="Times New Roman" w:hAnsi="Times New Roman"/>
                <w:szCs w:val="24"/>
              </w:rPr>
            </w:pPr>
            <w:bookmarkStart w:id="12" w:name="_DV_C933"/>
            <w:r w:rsidRPr="0071578F">
              <w:rPr>
                <w:rStyle w:val="DeltaViewInsertion"/>
                <w:rFonts w:ascii="Times New Roman" w:hAnsi="Times New Roman"/>
                <w:color w:val="auto"/>
                <w:szCs w:val="24"/>
                <w:u w:val="none"/>
              </w:rPr>
              <w:t>0.6</w:t>
            </w:r>
            <w:bookmarkEnd w:id="12"/>
          </w:p>
        </w:tc>
        <w:tc>
          <w:tcPr>
            <w:tcW w:w="1126" w:type="pct"/>
            <w:shd w:val="clear" w:color="auto" w:fill="auto"/>
            <w:vAlign w:val="center"/>
          </w:tcPr>
          <w:p w:rsidR="0071578F" w:rsidRPr="0071578F" w:rsidRDefault="0071578F" w:rsidP="001A3DE2">
            <w:pPr>
              <w:jc w:val="center"/>
              <w:rPr>
                <w:rFonts w:ascii="Times New Roman" w:hAnsi="Times New Roman"/>
                <w:szCs w:val="24"/>
              </w:rPr>
            </w:pPr>
            <w:bookmarkStart w:id="13" w:name="_DV_C934"/>
            <w:r w:rsidRPr="0071578F">
              <w:rPr>
                <w:rStyle w:val="DeltaViewInsertion"/>
                <w:rFonts w:ascii="Times New Roman" w:hAnsi="Times New Roman"/>
                <w:color w:val="auto"/>
                <w:szCs w:val="24"/>
                <w:u w:val="none"/>
              </w:rPr>
              <w:t>1.0</w:t>
            </w:r>
            <w:bookmarkEnd w:id="13"/>
          </w:p>
        </w:tc>
      </w:tr>
      <w:tr w:rsidR="0071578F" w:rsidRPr="0071578F" w:rsidTr="0071578F">
        <w:tc>
          <w:tcPr>
            <w:tcW w:w="5000" w:type="pct"/>
            <w:gridSpan w:val="5"/>
            <w:vAlign w:val="center"/>
          </w:tcPr>
          <w:p w:rsidR="0071578F" w:rsidRPr="0071578F" w:rsidRDefault="0071578F" w:rsidP="001A3DE2">
            <w:pPr>
              <w:rPr>
                <w:rFonts w:ascii="Times New Roman" w:hAnsi="Times New Roman"/>
                <w:b/>
                <w:szCs w:val="24"/>
              </w:rPr>
            </w:pPr>
            <w:bookmarkStart w:id="14" w:name="_DV_C945"/>
            <w:r w:rsidRPr="0071578F">
              <w:rPr>
                <w:rStyle w:val="DeltaViewInsertion"/>
                <w:rFonts w:ascii="Times New Roman" w:hAnsi="Times New Roman"/>
                <w:b/>
                <w:color w:val="auto"/>
                <w:szCs w:val="24"/>
                <w:u w:val="none"/>
              </w:rPr>
              <w:t>Elimination</w:t>
            </w:r>
            <w:bookmarkEnd w:id="14"/>
          </w:p>
        </w:tc>
      </w:tr>
      <w:tr w:rsidR="0071578F" w:rsidRPr="0071578F" w:rsidTr="0071578F">
        <w:tc>
          <w:tcPr>
            <w:tcW w:w="1499" w:type="pct"/>
            <w:gridSpan w:val="2"/>
            <w:shd w:val="clear" w:color="auto" w:fill="auto"/>
          </w:tcPr>
          <w:p w:rsidR="0071578F" w:rsidRPr="0071578F" w:rsidRDefault="0071578F" w:rsidP="001A3DE2">
            <w:pPr>
              <w:rPr>
                <w:rFonts w:ascii="Times New Roman" w:hAnsi="Times New Roman"/>
                <w:szCs w:val="24"/>
                <w:vertAlign w:val="superscript"/>
              </w:rPr>
            </w:pPr>
            <w:bookmarkStart w:id="15" w:name="_DV_C951"/>
            <w:r w:rsidRPr="0071578F">
              <w:rPr>
                <w:rStyle w:val="DeltaViewInsertion"/>
                <w:rFonts w:ascii="Times New Roman" w:hAnsi="Times New Roman"/>
                <w:color w:val="auto"/>
                <w:szCs w:val="24"/>
                <w:u w:val="none"/>
              </w:rPr>
              <w:t>t</w:t>
            </w:r>
            <w:r w:rsidRPr="0071578F">
              <w:rPr>
                <w:rStyle w:val="DeltaViewInsertion"/>
                <w:rFonts w:ascii="Times New Roman" w:hAnsi="Times New Roman"/>
                <w:color w:val="auto"/>
                <w:szCs w:val="24"/>
                <w:u w:val="none"/>
                <w:vertAlign w:val="subscript"/>
              </w:rPr>
              <w:t>1/2</w:t>
            </w:r>
            <w:r w:rsidRPr="0071578F">
              <w:rPr>
                <w:rStyle w:val="DeltaViewInsertion"/>
                <w:rFonts w:ascii="Times New Roman" w:hAnsi="Times New Roman"/>
                <w:color w:val="auto"/>
                <w:szCs w:val="24"/>
                <w:u w:val="none"/>
              </w:rPr>
              <w:t xml:space="preserve"> (h)</w:t>
            </w:r>
            <w:bookmarkEnd w:id="15"/>
            <w:r w:rsidRPr="0071578F">
              <w:rPr>
                <w:rStyle w:val="DeltaViewInsertion"/>
                <w:rFonts w:ascii="Times New Roman" w:hAnsi="Times New Roman"/>
                <w:color w:val="auto"/>
                <w:szCs w:val="24"/>
                <w:u w:val="none"/>
                <w:vertAlign w:val="superscript"/>
              </w:rPr>
              <w:t>c</w:t>
            </w:r>
          </w:p>
        </w:tc>
        <w:tc>
          <w:tcPr>
            <w:tcW w:w="1189" w:type="pct"/>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17.3 (14.8, 20.7)</w:t>
            </w:r>
          </w:p>
        </w:tc>
        <w:tc>
          <w:tcPr>
            <w:tcW w:w="1186" w:type="pct"/>
            <w:shd w:val="clear" w:color="auto" w:fill="auto"/>
            <w:vAlign w:val="center"/>
          </w:tcPr>
          <w:p w:rsidR="0071578F" w:rsidRPr="0071578F" w:rsidRDefault="0071578F" w:rsidP="001A3DE2">
            <w:pPr>
              <w:jc w:val="center"/>
              <w:rPr>
                <w:rFonts w:ascii="Times New Roman" w:hAnsi="Times New Roman"/>
                <w:szCs w:val="24"/>
              </w:rPr>
            </w:pPr>
            <w:bookmarkStart w:id="16" w:name="_DV_C954"/>
            <w:r w:rsidRPr="0071578F">
              <w:rPr>
                <w:rStyle w:val="DeltaViewInsertion"/>
                <w:rFonts w:ascii="Times New Roman" w:hAnsi="Times New Roman"/>
                <w:color w:val="auto"/>
                <w:szCs w:val="24"/>
                <w:u w:val="none"/>
              </w:rPr>
              <w:t>10</w:t>
            </w:r>
            <w:bookmarkEnd w:id="16"/>
            <w:r w:rsidRPr="0071578F">
              <w:rPr>
                <w:rStyle w:val="DeltaViewInsertion"/>
                <w:rFonts w:ascii="Times New Roman" w:hAnsi="Times New Roman"/>
                <w:color w:val="auto"/>
                <w:szCs w:val="24"/>
                <w:u w:val="none"/>
              </w:rPr>
              <w:t>.4 (9.0, 12.0)</w:t>
            </w:r>
          </w:p>
        </w:tc>
        <w:tc>
          <w:tcPr>
            <w:tcW w:w="1126" w:type="pct"/>
            <w:shd w:val="clear" w:color="auto" w:fill="auto"/>
            <w:vAlign w:val="center"/>
          </w:tcPr>
          <w:p w:rsidR="0071578F" w:rsidRPr="0071578F" w:rsidRDefault="0071578F" w:rsidP="001A3DE2">
            <w:pPr>
              <w:jc w:val="center"/>
              <w:rPr>
                <w:rFonts w:ascii="Times New Roman" w:hAnsi="Times New Roman"/>
                <w:szCs w:val="24"/>
              </w:rPr>
            </w:pPr>
            <w:bookmarkStart w:id="17" w:name="_DV_C955"/>
            <w:r w:rsidRPr="0071578F">
              <w:rPr>
                <w:rStyle w:val="DeltaViewInsertion"/>
                <w:rFonts w:ascii="Times New Roman" w:hAnsi="Times New Roman"/>
                <w:color w:val="auto"/>
                <w:szCs w:val="24"/>
                <w:u w:val="none"/>
              </w:rPr>
              <w:t>0.51</w:t>
            </w:r>
            <w:bookmarkEnd w:id="17"/>
            <w:r w:rsidRPr="0071578F">
              <w:rPr>
                <w:rStyle w:val="DeltaViewInsertion"/>
                <w:rFonts w:ascii="Times New Roman" w:hAnsi="Times New Roman"/>
                <w:color w:val="auto"/>
                <w:szCs w:val="24"/>
                <w:u w:val="none"/>
              </w:rPr>
              <w:t xml:space="preserve"> (0.45, 0.62)</w:t>
            </w:r>
            <w:r w:rsidRPr="0071578F">
              <w:rPr>
                <w:rStyle w:val="DeltaViewInsertion"/>
                <w:rFonts w:ascii="Times New Roman" w:hAnsi="Times New Roman"/>
                <w:color w:val="auto"/>
                <w:szCs w:val="24"/>
                <w:u w:val="none"/>
                <w:vertAlign w:val="superscript"/>
              </w:rPr>
              <w:t>c</w:t>
            </w:r>
          </w:p>
        </w:tc>
      </w:tr>
      <w:tr w:rsidR="0071578F" w:rsidRPr="0071578F" w:rsidTr="0071578F">
        <w:tc>
          <w:tcPr>
            <w:tcW w:w="5000" w:type="pct"/>
            <w:gridSpan w:val="5"/>
            <w:shd w:val="clear" w:color="auto" w:fill="auto"/>
          </w:tcPr>
          <w:p w:rsidR="0071578F" w:rsidRPr="0071578F" w:rsidRDefault="0071578F" w:rsidP="001A3DE2">
            <w:pPr>
              <w:rPr>
                <w:rStyle w:val="DeltaViewInsertion"/>
                <w:rFonts w:ascii="Times New Roman" w:hAnsi="Times New Roman"/>
                <w:color w:val="auto"/>
                <w:szCs w:val="24"/>
                <w:u w:val="none"/>
              </w:rPr>
            </w:pPr>
            <w:r w:rsidRPr="0071578F">
              <w:rPr>
                <w:rStyle w:val="DeltaViewInsertion"/>
                <w:rFonts w:ascii="Times New Roman" w:hAnsi="Times New Roman"/>
                <w:b/>
                <w:color w:val="auto"/>
                <w:u w:val="none"/>
              </w:rPr>
              <w:t xml:space="preserve">Metabolism </w:t>
            </w:r>
          </w:p>
        </w:tc>
      </w:tr>
      <w:tr w:rsidR="0071578F" w:rsidRPr="0071578F" w:rsidTr="0071578F">
        <w:tc>
          <w:tcPr>
            <w:tcW w:w="1499" w:type="pct"/>
            <w:gridSpan w:val="2"/>
            <w:shd w:val="clear" w:color="auto" w:fill="auto"/>
          </w:tcPr>
          <w:p w:rsidR="0071578F" w:rsidRPr="0071578F" w:rsidRDefault="0071578F" w:rsidP="001A3DE2">
            <w:pP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Metabolic pathway(s)</w:t>
            </w:r>
          </w:p>
        </w:tc>
        <w:tc>
          <w:tcPr>
            <w:tcW w:w="1189" w:type="pct"/>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CYP3A</w:t>
            </w:r>
          </w:p>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UGT1A1</w:t>
            </w:r>
          </w:p>
        </w:tc>
        <w:tc>
          <w:tcPr>
            <w:tcW w:w="1186" w:type="pct"/>
            <w:shd w:val="clear" w:color="auto" w:fill="auto"/>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Not significantly metabolized</w:t>
            </w:r>
          </w:p>
        </w:tc>
        <w:tc>
          <w:tcPr>
            <w:tcW w:w="1126" w:type="pct"/>
            <w:shd w:val="clear" w:color="auto" w:fill="auto"/>
            <w:vAlign w:val="center"/>
          </w:tcPr>
          <w:p w:rsidR="0071578F" w:rsidRPr="0071578F" w:rsidRDefault="0071578F" w:rsidP="001A3DE2">
            <w:pPr>
              <w:jc w:val="center"/>
              <w:rPr>
                <w:rFonts w:ascii="Times New Roman" w:hAnsi="Times New Roman"/>
                <w:szCs w:val="24"/>
              </w:rPr>
            </w:pPr>
            <w:r w:rsidRPr="0071578F">
              <w:rPr>
                <w:rStyle w:val="DeltaViewInsertion"/>
                <w:rFonts w:ascii="Times New Roman" w:hAnsi="Times New Roman"/>
                <w:color w:val="auto"/>
                <w:szCs w:val="24"/>
                <w:u w:val="none"/>
              </w:rPr>
              <w:t>Cathepsin A</w:t>
            </w:r>
            <w:r w:rsidRPr="0071578F">
              <w:rPr>
                <w:rStyle w:val="DeltaViewInsertion"/>
                <w:rFonts w:ascii="Times New Roman" w:hAnsi="Times New Roman"/>
                <w:color w:val="auto"/>
                <w:szCs w:val="24"/>
                <w:u w:val="none"/>
                <w:vertAlign w:val="superscript"/>
              </w:rPr>
              <w:t>d</w:t>
            </w:r>
            <w:r w:rsidRPr="0071578F">
              <w:rPr>
                <w:rStyle w:val="DeltaViewInsertion"/>
                <w:rFonts w:ascii="Times New Roman" w:hAnsi="Times New Roman"/>
                <w:color w:val="auto"/>
                <w:szCs w:val="24"/>
                <w:u w:val="none"/>
              </w:rPr>
              <w:t xml:space="preserve"> (PBMCs)</w:t>
            </w:r>
          </w:p>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CES1 (hepatocytes)</w:t>
            </w:r>
          </w:p>
        </w:tc>
      </w:tr>
      <w:tr w:rsidR="0071578F" w:rsidRPr="0071578F" w:rsidTr="0071578F">
        <w:tc>
          <w:tcPr>
            <w:tcW w:w="5000" w:type="pct"/>
            <w:gridSpan w:val="5"/>
            <w:shd w:val="clear" w:color="auto" w:fill="auto"/>
          </w:tcPr>
          <w:p w:rsidR="0071578F" w:rsidRPr="0071578F" w:rsidRDefault="0071578F" w:rsidP="001A3DE2">
            <w:pPr>
              <w:rPr>
                <w:rStyle w:val="DeltaViewInsertion"/>
                <w:rFonts w:ascii="Times New Roman" w:hAnsi="Times New Roman"/>
                <w:color w:val="auto"/>
                <w:szCs w:val="24"/>
                <w:u w:val="none"/>
              </w:rPr>
            </w:pPr>
            <w:r w:rsidRPr="0071578F">
              <w:rPr>
                <w:rStyle w:val="DeltaViewInsertion"/>
                <w:rFonts w:ascii="Times New Roman" w:hAnsi="Times New Roman"/>
                <w:b/>
                <w:color w:val="auto"/>
                <w:u w:val="none"/>
              </w:rPr>
              <w:lastRenderedPageBreak/>
              <w:t>Excretion</w:t>
            </w:r>
          </w:p>
        </w:tc>
      </w:tr>
      <w:tr w:rsidR="0071578F" w:rsidRPr="0071578F" w:rsidTr="0071578F">
        <w:tc>
          <w:tcPr>
            <w:tcW w:w="1499" w:type="pct"/>
            <w:gridSpan w:val="2"/>
            <w:shd w:val="clear" w:color="auto" w:fill="auto"/>
          </w:tcPr>
          <w:p w:rsidR="0071578F" w:rsidRPr="0071578F" w:rsidRDefault="0071578F" w:rsidP="001A3DE2">
            <w:pP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Major route of elimination</w:t>
            </w:r>
          </w:p>
        </w:tc>
        <w:tc>
          <w:tcPr>
            <w:tcW w:w="1189" w:type="pct"/>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 xml:space="preserve">Metabolism </w:t>
            </w:r>
          </w:p>
        </w:tc>
        <w:tc>
          <w:tcPr>
            <w:tcW w:w="1186" w:type="pct"/>
            <w:shd w:val="clear" w:color="auto" w:fill="auto"/>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Glomerular filtration and active tubular secretion</w:t>
            </w:r>
          </w:p>
        </w:tc>
        <w:tc>
          <w:tcPr>
            <w:tcW w:w="1126" w:type="pct"/>
            <w:shd w:val="clear" w:color="auto" w:fill="auto"/>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 xml:space="preserve">Metabolism </w:t>
            </w:r>
          </w:p>
        </w:tc>
      </w:tr>
      <w:tr w:rsidR="0071578F" w:rsidRPr="0071578F" w:rsidTr="0071578F">
        <w:tc>
          <w:tcPr>
            <w:tcW w:w="1499" w:type="pct"/>
            <w:gridSpan w:val="2"/>
            <w:tcBorders>
              <w:bottom w:val="single" w:sz="4" w:space="0" w:color="auto"/>
            </w:tcBorders>
            <w:shd w:val="clear" w:color="auto" w:fill="auto"/>
          </w:tcPr>
          <w:p w:rsidR="0071578F" w:rsidRPr="0071578F" w:rsidRDefault="0071578F" w:rsidP="001A3DE2">
            <w:pPr>
              <w:rPr>
                <w:rFonts w:ascii="Times New Roman" w:hAnsi="Times New Roman"/>
                <w:szCs w:val="24"/>
                <w:vertAlign w:val="superscript"/>
              </w:rPr>
            </w:pPr>
            <w:bookmarkStart w:id="18" w:name="_DV_C956"/>
            <w:r w:rsidRPr="0071578F">
              <w:rPr>
                <w:rStyle w:val="DeltaViewInsertion"/>
                <w:rFonts w:ascii="Times New Roman" w:hAnsi="Times New Roman"/>
                <w:color w:val="auto"/>
                <w:szCs w:val="24"/>
                <w:u w:val="none"/>
              </w:rPr>
              <w:t xml:space="preserve">% of dose excreted in </w:t>
            </w:r>
            <w:bookmarkEnd w:id="18"/>
            <w:r w:rsidRPr="0071578F">
              <w:rPr>
                <w:rStyle w:val="DeltaViewInsertion"/>
                <w:rFonts w:ascii="Times New Roman" w:hAnsi="Times New Roman"/>
                <w:color w:val="auto"/>
                <w:szCs w:val="24"/>
                <w:u w:val="none"/>
              </w:rPr>
              <w:t>urine</w:t>
            </w:r>
            <w:r w:rsidRPr="0071578F">
              <w:rPr>
                <w:rStyle w:val="DeltaViewInsertion"/>
                <w:rFonts w:ascii="Times New Roman" w:hAnsi="Times New Roman"/>
                <w:color w:val="auto"/>
                <w:szCs w:val="24"/>
                <w:u w:val="none"/>
                <w:vertAlign w:val="superscript"/>
              </w:rPr>
              <w:t>e</w:t>
            </w:r>
          </w:p>
        </w:tc>
        <w:tc>
          <w:tcPr>
            <w:tcW w:w="1189" w:type="pct"/>
            <w:tcBorders>
              <w:bottom w:val="single" w:sz="4" w:space="0" w:color="auto"/>
            </w:tcBorders>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35</w:t>
            </w:r>
          </w:p>
        </w:tc>
        <w:tc>
          <w:tcPr>
            <w:tcW w:w="1186" w:type="pct"/>
            <w:tcBorders>
              <w:bottom w:val="single" w:sz="4" w:space="0" w:color="auto"/>
            </w:tcBorders>
            <w:shd w:val="clear" w:color="auto" w:fill="auto"/>
            <w:vAlign w:val="center"/>
          </w:tcPr>
          <w:p w:rsidR="0071578F" w:rsidRPr="0071578F" w:rsidRDefault="0071578F" w:rsidP="001A3DE2">
            <w:pPr>
              <w:jc w:val="center"/>
              <w:rPr>
                <w:rFonts w:ascii="Times New Roman" w:hAnsi="Times New Roman"/>
                <w:szCs w:val="24"/>
              </w:rPr>
            </w:pPr>
            <w:bookmarkStart w:id="19" w:name="_DV_C959"/>
            <w:r w:rsidRPr="0071578F">
              <w:rPr>
                <w:rStyle w:val="DeltaViewInsertion"/>
                <w:rFonts w:ascii="Times New Roman" w:hAnsi="Times New Roman"/>
                <w:color w:val="auto"/>
                <w:szCs w:val="24"/>
                <w:u w:val="none"/>
              </w:rPr>
              <w:t>70</w:t>
            </w:r>
            <w:bookmarkEnd w:id="19"/>
          </w:p>
        </w:tc>
        <w:tc>
          <w:tcPr>
            <w:tcW w:w="1126" w:type="pct"/>
            <w:tcBorders>
              <w:bottom w:val="single" w:sz="4" w:space="0" w:color="auto"/>
            </w:tcBorders>
            <w:shd w:val="clear" w:color="auto" w:fill="auto"/>
            <w:vAlign w:val="center"/>
          </w:tcPr>
          <w:p w:rsidR="0071578F" w:rsidRPr="0071578F" w:rsidRDefault="0071578F" w:rsidP="001A3DE2">
            <w:pPr>
              <w:jc w:val="center"/>
              <w:rPr>
                <w:rFonts w:ascii="Times New Roman" w:hAnsi="Times New Roman"/>
                <w:szCs w:val="24"/>
              </w:rPr>
            </w:pPr>
            <w:bookmarkStart w:id="20" w:name="_DV_C960"/>
            <w:r w:rsidRPr="0071578F">
              <w:rPr>
                <w:rStyle w:val="DeltaViewInsertion"/>
                <w:rFonts w:ascii="Times New Roman" w:hAnsi="Times New Roman"/>
                <w:color w:val="auto"/>
                <w:szCs w:val="24"/>
                <w:u w:val="none"/>
              </w:rPr>
              <w:t>&lt;1</w:t>
            </w:r>
            <w:bookmarkEnd w:id="20"/>
          </w:p>
        </w:tc>
      </w:tr>
      <w:tr w:rsidR="0071578F" w:rsidRPr="0071578F" w:rsidTr="0071578F">
        <w:tc>
          <w:tcPr>
            <w:tcW w:w="1499" w:type="pct"/>
            <w:gridSpan w:val="2"/>
            <w:tcBorders>
              <w:bottom w:val="single" w:sz="12" w:space="0" w:color="auto"/>
            </w:tcBorders>
            <w:shd w:val="clear" w:color="auto" w:fill="auto"/>
          </w:tcPr>
          <w:p w:rsidR="0071578F" w:rsidRPr="0071578F" w:rsidRDefault="0071578F" w:rsidP="001A3DE2">
            <w:pPr>
              <w:rPr>
                <w:rFonts w:ascii="Times New Roman" w:hAnsi="Times New Roman"/>
                <w:szCs w:val="24"/>
                <w:vertAlign w:val="superscript"/>
              </w:rPr>
            </w:pPr>
            <w:bookmarkStart w:id="21" w:name="_DV_C961"/>
            <w:r w:rsidRPr="0071578F">
              <w:rPr>
                <w:rStyle w:val="DeltaViewInsertion"/>
                <w:rFonts w:ascii="Times New Roman" w:hAnsi="Times New Roman"/>
                <w:color w:val="auto"/>
                <w:szCs w:val="24"/>
                <w:u w:val="none"/>
              </w:rPr>
              <w:t>% of dose excreted in feces</w:t>
            </w:r>
            <w:bookmarkEnd w:id="21"/>
            <w:r w:rsidRPr="0071578F">
              <w:rPr>
                <w:rStyle w:val="DeltaViewInsertion"/>
                <w:rFonts w:ascii="Times New Roman" w:hAnsi="Times New Roman"/>
                <w:color w:val="auto"/>
                <w:szCs w:val="24"/>
                <w:u w:val="none"/>
                <w:vertAlign w:val="superscript"/>
              </w:rPr>
              <w:t>e</w:t>
            </w:r>
          </w:p>
        </w:tc>
        <w:tc>
          <w:tcPr>
            <w:tcW w:w="1189" w:type="pct"/>
            <w:tcBorders>
              <w:bottom w:val="single" w:sz="12" w:space="0" w:color="auto"/>
            </w:tcBorders>
            <w:vAlign w:val="center"/>
          </w:tcPr>
          <w:p w:rsidR="0071578F" w:rsidRPr="0071578F" w:rsidRDefault="0071578F" w:rsidP="001A3DE2">
            <w:pPr>
              <w:jc w:val="center"/>
              <w:rPr>
                <w:rStyle w:val="DeltaViewInsertion"/>
                <w:rFonts w:ascii="Times New Roman" w:hAnsi="Times New Roman"/>
                <w:color w:val="auto"/>
                <w:szCs w:val="24"/>
                <w:u w:val="none"/>
              </w:rPr>
            </w:pPr>
            <w:r w:rsidRPr="0071578F">
              <w:rPr>
                <w:rStyle w:val="DeltaViewInsertion"/>
                <w:rFonts w:ascii="Times New Roman" w:hAnsi="Times New Roman"/>
                <w:color w:val="auto"/>
                <w:szCs w:val="24"/>
                <w:u w:val="none"/>
              </w:rPr>
              <w:t>60.3</w:t>
            </w:r>
          </w:p>
        </w:tc>
        <w:tc>
          <w:tcPr>
            <w:tcW w:w="1186" w:type="pct"/>
            <w:tcBorders>
              <w:bottom w:val="single" w:sz="12" w:space="0" w:color="auto"/>
            </w:tcBorders>
            <w:shd w:val="clear" w:color="auto" w:fill="auto"/>
            <w:vAlign w:val="center"/>
          </w:tcPr>
          <w:p w:rsidR="0071578F" w:rsidRPr="0071578F" w:rsidRDefault="0071578F" w:rsidP="001A3DE2">
            <w:pPr>
              <w:jc w:val="center"/>
              <w:rPr>
                <w:rFonts w:ascii="Times New Roman" w:hAnsi="Times New Roman"/>
                <w:szCs w:val="24"/>
              </w:rPr>
            </w:pPr>
            <w:bookmarkStart w:id="22" w:name="_DV_C964"/>
            <w:r w:rsidRPr="0071578F">
              <w:rPr>
                <w:rStyle w:val="DeltaViewInsertion"/>
                <w:rFonts w:ascii="Times New Roman" w:hAnsi="Times New Roman"/>
                <w:color w:val="auto"/>
                <w:szCs w:val="24"/>
                <w:u w:val="none"/>
              </w:rPr>
              <w:t>13.7</w:t>
            </w:r>
            <w:bookmarkEnd w:id="22"/>
          </w:p>
        </w:tc>
        <w:tc>
          <w:tcPr>
            <w:tcW w:w="1126" w:type="pct"/>
            <w:tcBorders>
              <w:bottom w:val="single" w:sz="12" w:space="0" w:color="auto"/>
            </w:tcBorders>
            <w:shd w:val="clear" w:color="auto" w:fill="auto"/>
            <w:vAlign w:val="center"/>
          </w:tcPr>
          <w:p w:rsidR="0071578F" w:rsidRPr="0071578F" w:rsidRDefault="0071578F" w:rsidP="001A3DE2">
            <w:pPr>
              <w:jc w:val="center"/>
              <w:rPr>
                <w:rFonts w:ascii="Times New Roman" w:hAnsi="Times New Roman"/>
                <w:szCs w:val="24"/>
              </w:rPr>
            </w:pPr>
            <w:bookmarkStart w:id="23" w:name="_DV_C965"/>
            <w:r w:rsidRPr="0071578F">
              <w:rPr>
                <w:rStyle w:val="DeltaViewInsertion"/>
                <w:rFonts w:ascii="Times New Roman" w:hAnsi="Times New Roman"/>
                <w:color w:val="auto"/>
                <w:szCs w:val="24"/>
                <w:u w:val="none"/>
              </w:rPr>
              <w:t>31.7</w:t>
            </w:r>
            <w:bookmarkEnd w:id="23"/>
          </w:p>
        </w:tc>
      </w:tr>
    </w:tbl>
    <w:p w:rsidR="0071578F" w:rsidRPr="0071578F" w:rsidRDefault="0071578F" w:rsidP="0071578F">
      <w:pPr>
        <w:pStyle w:val="Table-Footer"/>
        <w:spacing w:before="40"/>
        <w:rPr>
          <w:rFonts w:ascii="Times New Roman" w:hAnsi="Times New Roman"/>
          <w:sz w:val="18"/>
          <w:szCs w:val="18"/>
        </w:rPr>
      </w:pPr>
      <w:r w:rsidRPr="0071578F">
        <w:rPr>
          <w:rFonts w:ascii="Times New Roman" w:hAnsi="Times New Roman"/>
          <w:sz w:val="18"/>
          <w:szCs w:val="18"/>
        </w:rPr>
        <w:t>PBMCs=peripheral blood mononuclear cells; CES1=carboxylesterase 1</w:t>
      </w:r>
    </w:p>
    <w:p w:rsidR="0071578F" w:rsidRPr="0071578F" w:rsidRDefault="0071578F" w:rsidP="0071578F">
      <w:pPr>
        <w:pStyle w:val="Table-Footer"/>
        <w:spacing w:before="40"/>
        <w:ind w:left="270" w:hanging="270"/>
        <w:rPr>
          <w:rFonts w:ascii="Times New Roman" w:hAnsi="Times New Roman"/>
          <w:sz w:val="18"/>
          <w:szCs w:val="18"/>
        </w:rPr>
      </w:pPr>
      <w:r w:rsidRPr="0071578F">
        <w:rPr>
          <w:rFonts w:ascii="Times New Roman" w:hAnsi="Times New Roman"/>
          <w:sz w:val="18"/>
          <w:szCs w:val="18"/>
        </w:rPr>
        <w:t xml:space="preserve">a. </w:t>
      </w:r>
      <w:r w:rsidRPr="0071578F">
        <w:rPr>
          <w:rFonts w:ascii="Times New Roman" w:hAnsi="Times New Roman"/>
          <w:sz w:val="18"/>
          <w:szCs w:val="18"/>
        </w:rPr>
        <w:tab/>
        <w:t>Values reflect administration of BIKTARVY with or without food.</w:t>
      </w:r>
    </w:p>
    <w:p w:rsidR="0071578F" w:rsidRPr="0071578F" w:rsidRDefault="0071578F" w:rsidP="0071578F">
      <w:pPr>
        <w:spacing w:before="40"/>
        <w:ind w:left="270" w:hanging="270"/>
        <w:rPr>
          <w:rFonts w:ascii="Times New Roman" w:hAnsi="Times New Roman"/>
          <w:sz w:val="18"/>
          <w:szCs w:val="18"/>
        </w:rPr>
      </w:pPr>
      <w:r w:rsidRPr="0071578F">
        <w:rPr>
          <w:rFonts w:ascii="Times New Roman" w:hAnsi="Times New Roman"/>
          <w:sz w:val="18"/>
          <w:szCs w:val="18"/>
        </w:rPr>
        <w:t xml:space="preserve">b. </w:t>
      </w:r>
      <w:r w:rsidRPr="0071578F">
        <w:rPr>
          <w:rFonts w:ascii="Times New Roman" w:hAnsi="Times New Roman"/>
          <w:sz w:val="18"/>
          <w:szCs w:val="18"/>
        </w:rPr>
        <w:tab/>
        <w:t xml:space="preserve">Values refer to geometric mean ratio [high-fat meal/ fasting] in PK parameters and (90% confidence interval). High fat meal is approximately </w:t>
      </w:r>
      <w:r w:rsidRPr="005351BF">
        <w:rPr>
          <w:rFonts w:ascii="Times New Roman" w:hAnsi="Times New Roman"/>
          <w:sz w:val="18"/>
          <w:szCs w:val="18"/>
        </w:rPr>
        <w:t>800  kcal, 50% fat.</w:t>
      </w:r>
    </w:p>
    <w:p w:rsidR="0071578F" w:rsidRPr="0071578F" w:rsidRDefault="0071578F" w:rsidP="0071578F">
      <w:pPr>
        <w:spacing w:before="40"/>
        <w:ind w:left="270" w:hanging="270"/>
        <w:rPr>
          <w:rFonts w:ascii="Times New Roman" w:hAnsi="Times New Roman"/>
          <w:sz w:val="18"/>
          <w:szCs w:val="18"/>
        </w:rPr>
      </w:pPr>
      <w:r w:rsidRPr="0071578F">
        <w:rPr>
          <w:rFonts w:ascii="Times New Roman" w:hAnsi="Times New Roman"/>
          <w:sz w:val="18"/>
          <w:szCs w:val="18"/>
        </w:rPr>
        <w:t>c.</w:t>
      </w:r>
      <w:r w:rsidRPr="0071578F">
        <w:rPr>
          <w:rFonts w:ascii="Times New Roman" w:hAnsi="Times New Roman"/>
          <w:sz w:val="18"/>
          <w:szCs w:val="18"/>
        </w:rPr>
        <w:tab/>
        <w:t>t</w:t>
      </w:r>
      <w:r w:rsidRPr="0071578F">
        <w:rPr>
          <w:rFonts w:ascii="Times New Roman" w:hAnsi="Times New Roman"/>
          <w:sz w:val="18"/>
          <w:szCs w:val="18"/>
          <w:vertAlign w:val="subscript"/>
        </w:rPr>
        <w:t>1/2</w:t>
      </w:r>
      <w:r w:rsidRPr="0071578F">
        <w:rPr>
          <w:rFonts w:ascii="Times New Roman" w:hAnsi="Times New Roman"/>
          <w:sz w:val="18"/>
          <w:szCs w:val="18"/>
        </w:rPr>
        <w:t xml:space="preserve"> values refer to median (Q1, Q3) terminal plasma half-life. Note that the active metabolite of TAF, tenofovir diphosphate, has a half-life of 150-180 hours within PBMCs.</w:t>
      </w:r>
      <w:r w:rsidRPr="005351BF" w:rsidDel="00F04BE2">
        <w:rPr>
          <w:rFonts w:ascii="Times New Roman" w:hAnsi="Times New Roman"/>
          <w:i/>
          <w:sz w:val="18"/>
          <w:szCs w:val="18"/>
        </w:rPr>
        <w:t xml:space="preserve"> </w:t>
      </w:r>
    </w:p>
    <w:p w:rsidR="0071578F" w:rsidRPr="0071578F" w:rsidRDefault="0071578F" w:rsidP="0071578F">
      <w:pPr>
        <w:spacing w:before="40"/>
        <w:ind w:left="270" w:hanging="270"/>
        <w:rPr>
          <w:rFonts w:ascii="Times New Roman" w:hAnsi="Times New Roman"/>
          <w:sz w:val="18"/>
          <w:szCs w:val="18"/>
        </w:rPr>
      </w:pPr>
      <w:r w:rsidRPr="0071578F">
        <w:rPr>
          <w:rFonts w:ascii="Times New Roman" w:hAnsi="Times New Roman"/>
          <w:sz w:val="18"/>
          <w:szCs w:val="18"/>
        </w:rPr>
        <w:t xml:space="preserve">d. </w:t>
      </w:r>
      <w:r w:rsidRPr="0071578F">
        <w:rPr>
          <w:rFonts w:ascii="Times New Roman" w:hAnsi="Times New Roman"/>
          <w:sz w:val="18"/>
          <w:szCs w:val="18"/>
        </w:rPr>
        <w:tab/>
      </w:r>
      <w:r w:rsidRPr="0071578F">
        <w:rPr>
          <w:rFonts w:ascii="Times New Roman" w:hAnsi="Times New Roman"/>
          <w:i/>
          <w:sz w:val="18"/>
          <w:szCs w:val="18"/>
        </w:rPr>
        <w:t>In vivo</w:t>
      </w:r>
      <w:r w:rsidRPr="0071578F">
        <w:rPr>
          <w:rFonts w:ascii="Times New Roman" w:hAnsi="Times New Roman"/>
          <w:sz w:val="18"/>
          <w:szCs w:val="18"/>
        </w:rPr>
        <w:t xml:space="preserve">, TAF is hydrolyzed within cells to form tenofovir (major metabolite), which is phosphorylated to the active metabolite, tenofovir diphosphate. </w:t>
      </w:r>
      <w:r w:rsidRPr="005351BF">
        <w:rPr>
          <w:rFonts w:ascii="Times New Roman" w:hAnsi="Times New Roman"/>
          <w:i/>
          <w:sz w:val="18"/>
          <w:szCs w:val="18"/>
        </w:rPr>
        <w:t>In vitro</w:t>
      </w:r>
      <w:r w:rsidRPr="005351BF">
        <w:rPr>
          <w:rFonts w:ascii="Times New Roman" w:hAnsi="Times New Roman"/>
          <w:sz w:val="18"/>
          <w:szCs w:val="18"/>
        </w:rPr>
        <w:t xml:space="preserve"> studies have shown that TAF is metabolized to tenofovir by cathepsin A in PBMCs and macrophages;</w:t>
      </w:r>
      <w:r w:rsidRPr="00143841">
        <w:rPr>
          <w:rFonts w:ascii="Times New Roman" w:hAnsi="Times New Roman"/>
          <w:sz w:val="18"/>
          <w:szCs w:val="18"/>
        </w:rPr>
        <w:t xml:space="preserve"> and by CES1 in hepatocytes.</w:t>
      </w:r>
    </w:p>
    <w:p w:rsidR="0071578F" w:rsidRPr="005351BF" w:rsidRDefault="0071578F" w:rsidP="0071578F">
      <w:pPr>
        <w:spacing w:before="40"/>
        <w:ind w:left="270" w:hanging="270"/>
        <w:rPr>
          <w:rFonts w:ascii="Times New Roman" w:hAnsi="Times New Roman"/>
          <w:sz w:val="18"/>
          <w:szCs w:val="18"/>
        </w:rPr>
      </w:pPr>
      <w:r w:rsidRPr="0071578F">
        <w:rPr>
          <w:rFonts w:ascii="Times New Roman" w:hAnsi="Times New Roman"/>
          <w:sz w:val="18"/>
          <w:szCs w:val="18"/>
        </w:rPr>
        <w:t xml:space="preserve">e. </w:t>
      </w:r>
      <w:r w:rsidRPr="0071578F">
        <w:rPr>
          <w:rFonts w:ascii="Times New Roman" w:hAnsi="Times New Roman"/>
          <w:sz w:val="18"/>
          <w:szCs w:val="18"/>
        </w:rPr>
        <w:tab/>
        <w:t>Dosing in mass balance studies: single dose administration of [</w:t>
      </w:r>
      <w:r w:rsidRPr="0071578F">
        <w:rPr>
          <w:rFonts w:ascii="Times New Roman" w:hAnsi="Times New Roman"/>
          <w:sz w:val="18"/>
          <w:szCs w:val="18"/>
          <w:vertAlign w:val="superscript"/>
        </w:rPr>
        <w:t>14</w:t>
      </w:r>
      <w:r w:rsidRPr="0071578F">
        <w:rPr>
          <w:rFonts w:ascii="Times New Roman" w:hAnsi="Times New Roman"/>
          <w:sz w:val="18"/>
          <w:szCs w:val="18"/>
        </w:rPr>
        <w:t>C] BIC; single dose administration of [</w:t>
      </w:r>
      <w:r w:rsidRPr="0071578F">
        <w:rPr>
          <w:rFonts w:ascii="Times New Roman" w:hAnsi="Times New Roman"/>
          <w:sz w:val="18"/>
          <w:szCs w:val="18"/>
          <w:vertAlign w:val="superscript"/>
        </w:rPr>
        <w:t>14</w:t>
      </w:r>
      <w:r w:rsidRPr="0071578F">
        <w:rPr>
          <w:rFonts w:ascii="Times New Roman" w:hAnsi="Times New Roman"/>
          <w:sz w:val="18"/>
          <w:szCs w:val="18"/>
        </w:rPr>
        <w:t xml:space="preserve">C] FTC  </w:t>
      </w:r>
      <w:r w:rsidRPr="005351BF">
        <w:rPr>
          <w:rFonts w:ascii="Times New Roman" w:hAnsi="Times New Roman"/>
          <w:sz w:val="18"/>
          <w:szCs w:val="18"/>
        </w:rPr>
        <w:t>after multiple dosing of FTC for ten days; single dose administration of [</w:t>
      </w:r>
      <w:r w:rsidRPr="005351BF">
        <w:rPr>
          <w:rFonts w:ascii="Times New Roman" w:hAnsi="Times New Roman"/>
          <w:sz w:val="18"/>
          <w:szCs w:val="18"/>
          <w:vertAlign w:val="superscript"/>
        </w:rPr>
        <w:t>14</w:t>
      </w:r>
      <w:r w:rsidRPr="005351BF">
        <w:rPr>
          <w:rFonts w:ascii="Times New Roman" w:hAnsi="Times New Roman"/>
          <w:sz w:val="18"/>
          <w:szCs w:val="18"/>
        </w:rPr>
        <w:t xml:space="preserve">C] </w:t>
      </w:r>
      <w:r w:rsidRPr="00143841">
        <w:rPr>
          <w:rFonts w:ascii="Times New Roman" w:hAnsi="Times New Roman"/>
          <w:sz w:val="18"/>
          <w:szCs w:val="18"/>
        </w:rPr>
        <w:t>TAF.</w:t>
      </w:r>
    </w:p>
    <w:p w:rsidR="0071578F" w:rsidRPr="0071578F" w:rsidRDefault="0071578F" w:rsidP="009326E4">
      <w:pPr>
        <w:spacing w:after="120"/>
        <w:rPr>
          <w:rFonts w:ascii="Times New Roman" w:hAnsi="Times New Roman"/>
          <w:noProof/>
          <w:sz w:val="24"/>
          <w:szCs w:val="24"/>
        </w:rPr>
      </w:pPr>
    </w:p>
    <w:p w:rsidR="004D22F3" w:rsidRPr="000E1BC3" w:rsidRDefault="004D22F3" w:rsidP="004D22F3">
      <w:pPr>
        <w:pStyle w:val="Text10"/>
        <w:widowControl w:val="0"/>
        <w:rPr>
          <w:bCs/>
          <w:szCs w:val="24"/>
        </w:rPr>
      </w:pPr>
      <w:r w:rsidRPr="000E1BC3">
        <w:rPr>
          <w:bCs/>
          <w:szCs w:val="24"/>
        </w:rPr>
        <w:t xml:space="preserve">The multiple dose pharmacokinetic parameters of the components of </w:t>
      </w:r>
      <w:r w:rsidR="002F43D2">
        <w:rPr>
          <w:bCs/>
          <w:szCs w:val="24"/>
        </w:rPr>
        <w:t>BIKTARVY</w:t>
      </w:r>
      <w:r w:rsidRPr="000E1BC3">
        <w:rPr>
          <w:bCs/>
          <w:szCs w:val="24"/>
        </w:rPr>
        <w:t xml:space="preserve"> are provided in Table </w:t>
      </w:r>
      <w:r w:rsidR="0071578F" w:rsidRPr="000E1BC3">
        <w:rPr>
          <w:bCs/>
          <w:szCs w:val="24"/>
        </w:rPr>
        <w:t>1</w:t>
      </w:r>
      <w:r w:rsidR="00DD64CE">
        <w:rPr>
          <w:bCs/>
          <w:szCs w:val="24"/>
        </w:rPr>
        <w:t>0</w:t>
      </w:r>
      <w:r w:rsidRPr="000E1BC3">
        <w:rPr>
          <w:bCs/>
          <w:szCs w:val="24"/>
        </w:rPr>
        <w:t>.</w:t>
      </w:r>
    </w:p>
    <w:p w:rsidR="004D22F3" w:rsidRPr="000E1BC3" w:rsidRDefault="004D22F3" w:rsidP="004D22F3">
      <w:pPr>
        <w:tabs>
          <w:tab w:val="left" w:pos="1260"/>
        </w:tabs>
        <w:ind w:left="1259" w:hanging="1259"/>
        <w:rPr>
          <w:rFonts w:ascii="Times New Roman" w:hAnsi="Times New Roman"/>
          <w:b/>
          <w:sz w:val="24"/>
          <w:szCs w:val="24"/>
          <w:vertAlign w:val="superscript"/>
        </w:rPr>
      </w:pPr>
      <w:r w:rsidRPr="000E1BC3">
        <w:rPr>
          <w:rFonts w:ascii="Times New Roman" w:hAnsi="Times New Roman"/>
          <w:b/>
          <w:sz w:val="24"/>
          <w:szCs w:val="24"/>
        </w:rPr>
        <w:t xml:space="preserve">Table </w:t>
      </w:r>
      <w:r w:rsidR="0071578F" w:rsidRPr="000E1BC3">
        <w:rPr>
          <w:rFonts w:ascii="Times New Roman" w:hAnsi="Times New Roman"/>
          <w:b/>
          <w:sz w:val="24"/>
          <w:szCs w:val="24"/>
        </w:rPr>
        <w:t>1</w:t>
      </w:r>
      <w:r w:rsidR="00DD64CE">
        <w:rPr>
          <w:rFonts w:ascii="Times New Roman" w:hAnsi="Times New Roman"/>
          <w:b/>
          <w:sz w:val="24"/>
          <w:szCs w:val="24"/>
        </w:rPr>
        <w:t>0</w:t>
      </w:r>
      <w:r w:rsidRPr="000E1BC3">
        <w:rPr>
          <w:rFonts w:ascii="Times New Roman" w:hAnsi="Times New Roman"/>
          <w:b/>
          <w:sz w:val="24"/>
          <w:szCs w:val="24"/>
        </w:rPr>
        <w:t xml:space="preserve">. </w:t>
      </w:r>
      <w:r w:rsidRPr="000E1BC3">
        <w:rPr>
          <w:rFonts w:ascii="Times New Roman" w:hAnsi="Times New Roman"/>
          <w:b/>
          <w:sz w:val="24"/>
          <w:szCs w:val="24"/>
        </w:rPr>
        <w:tab/>
        <w:t xml:space="preserve">Multiple Dose PK Parameters of BIC, FTC, and TAF Following Oral Administration of </w:t>
      </w:r>
      <w:r w:rsidR="002F43D2">
        <w:rPr>
          <w:rFonts w:ascii="Times New Roman" w:hAnsi="Times New Roman"/>
          <w:b/>
          <w:sz w:val="24"/>
          <w:szCs w:val="24"/>
        </w:rPr>
        <w:t>BIKTARVY</w:t>
      </w:r>
      <w:r w:rsidRPr="000E1BC3">
        <w:rPr>
          <w:rFonts w:ascii="Times New Roman" w:hAnsi="Times New Roman"/>
          <w:b/>
          <w:sz w:val="24"/>
          <w:szCs w:val="24"/>
        </w:rPr>
        <w:t xml:space="preserve"> With or Without Food in HIV-Infected Adults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051"/>
        <w:gridCol w:w="2381"/>
        <w:gridCol w:w="2355"/>
      </w:tblGrid>
      <w:tr w:rsidR="004D22F3" w:rsidRPr="000E1BC3" w:rsidTr="00671FE1">
        <w:tc>
          <w:tcPr>
            <w:tcW w:w="2234" w:type="dxa"/>
            <w:tcBorders>
              <w:top w:val="single" w:sz="12" w:space="0" w:color="auto"/>
              <w:left w:val="nil"/>
              <w:bottom w:val="single" w:sz="12" w:space="0" w:color="auto"/>
            </w:tcBorders>
            <w:shd w:val="clear" w:color="auto" w:fill="auto"/>
            <w:vAlign w:val="center"/>
          </w:tcPr>
          <w:p w:rsidR="004D22F3" w:rsidRPr="000E1BC3" w:rsidRDefault="004D22F3" w:rsidP="00044223">
            <w:pPr>
              <w:tabs>
                <w:tab w:val="left" w:pos="1260"/>
              </w:tabs>
              <w:jc w:val="center"/>
              <w:rPr>
                <w:rFonts w:ascii="Times New Roman" w:hAnsi="Times New Roman"/>
                <w:b/>
                <w:sz w:val="22"/>
                <w:szCs w:val="22"/>
              </w:rPr>
            </w:pPr>
            <w:r w:rsidRPr="000E1BC3">
              <w:rPr>
                <w:rFonts w:ascii="Times New Roman" w:hAnsi="Times New Roman"/>
                <w:b/>
                <w:sz w:val="22"/>
                <w:szCs w:val="22"/>
              </w:rPr>
              <w:t xml:space="preserve">Parameter </w:t>
            </w:r>
          </w:p>
          <w:p w:rsidR="004D22F3" w:rsidRPr="000E1BC3" w:rsidRDefault="004D22F3" w:rsidP="00044223">
            <w:pPr>
              <w:tabs>
                <w:tab w:val="left" w:pos="1260"/>
              </w:tabs>
              <w:jc w:val="center"/>
              <w:rPr>
                <w:rFonts w:ascii="Times New Roman" w:hAnsi="Times New Roman"/>
                <w:b/>
                <w:sz w:val="22"/>
                <w:szCs w:val="22"/>
              </w:rPr>
            </w:pPr>
            <w:r w:rsidRPr="000E1BC3">
              <w:rPr>
                <w:rFonts w:ascii="Times New Roman" w:hAnsi="Times New Roman"/>
                <w:b/>
                <w:sz w:val="22"/>
                <w:szCs w:val="22"/>
              </w:rPr>
              <w:t>Mean (%CV)</w:t>
            </w:r>
          </w:p>
        </w:tc>
        <w:tc>
          <w:tcPr>
            <w:tcW w:w="2150" w:type="dxa"/>
            <w:tcBorders>
              <w:top w:val="single" w:sz="12" w:space="0" w:color="auto"/>
              <w:bottom w:val="single" w:sz="12" w:space="0" w:color="auto"/>
            </w:tcBorders>
          </w:tcPr>
          <w:p w:rsidR="004D22F3" w:rsidRPr="000E1BC3" w:rsidRDefault="004D22F3" w:rsidP="00044223">
            <w:pPr>
              <w:tabs>
                <w:tab w:val="left" w:pos="1260"/>
              </w:tabs>
              <w:jc w:val="center"/>
              <w:rPr>
                <w:rFonts w:ascii="Times New Roman" w:hAnsi="Times New Roman"/>
                <w:b/>
                <w:sz w:val="22"/>
                <w:szCs w:val="22"/>
              </w:rPr>
            </w:pPr>
          </w:p>
          <w:p w:rsidR="004D22F3" w:rsidRPr="000E1BC3" w:rsidRDefault="004D22F3" w:rsidP="00044223">
            <w:pPr>
              <w:tabs>
                <w:tab w:val="left" w:pos="1260"/>
              </w:tabs>
              <w:jc w:val="center"/>
              <w:rPr>
                <w:rFonts w:ascii="Times New Roman Bold" w:hAnsi="Times New Roman Bold"/>
                <w:b/>
                <w:sz w:val="22"/>
                <w:szCs w:val="22"/>
                <w:vertAlign w:val="superscript"/>
              </w:rPr>
            </w:pPr>
            <w:r w:rsidRPr="000E1BC3">
              <w:rPr>
                <w:rFonts w:ascii="Times New Roman" w:hAnsi="Times New Roman"/>
                <w:b/>
                <w:sz w:val="22"/>
                <w:szCs w:val="22"/>
              </w:rPr>
              <w:t>BIC</w:t>
            </w:r>
            <w:r w:rsidRPr="000E1BC3">
              <w:rPr>
                <w:rFonts w:ascii="Times New Roman Bold" w:hAnsi="Times New Roman Bold"/>
                <w:b/>
                <w:sz w:val="22"/>
                <w:szCs w:val="22"/>
                <w:vertAlign w:val="superscript"/>
              </w:rPr>
              <w:t>a</w:t>
            </w:r>
          </w:p>
          <w:p w:rsidR="004D22F3" w:rsidRPr="000E1BC3" w:rsidRDefault="004D22F3" w:rsidP="00044223">
            <w:pPr>
              <w:tabs>
                <w:tab w:val="left" w:pos="1260"/>
              </w:tabs>
              <w:jc w:val="center"/>
              <w:rPr>
                <w:rFonts w:ascii="Times New Roman" w:hAnsi="Times New Roman"/>
                <w:b/>
                <w:sz w:val="22"/>
                <w:szCs w:val="22"/>
              </w:rPr>
            </w:pPr>
          </w:p>
        </w:tc>
        <w:tc>
          <w:tcPr>
            <w:tcW w:w="2501" w:type="dxa"/>
            <w:tcBorders>
              <w:top w:val="single" w:sz="12" w:space="0" w:color="auto"/>
              <w:bottom w:val="single" w:sz="12" w:space="0" w:color="auto"/>
              <w:right w:val="nil"/>
            </w:tcBorders>
            <w:vAlign w:val="center"/>
          </w:tcPr>
          <w:p w:rsidR="004D22F3" w:rsidRPr="000E1BC3" w:rsidRDefault="004D22F3" w:rsidP="00044223">
            <w:pPr>
              <w:tabs>
                <w:tab w:val="left" w:pos="1260"/>
              </w:tabs>
              <w:jc w:val="center"/>
              <w:rPr>
                <w:rFonts w:ascii="Times New Roman" w:hAnsi="Times New Roman"/>
                <w:b/>
                <w:sz w:val="22"/>
                <w:szCs w:val="22"/>
              </w:rPr>
            </w:pPr>
            <w:r w:rsidRPr="000E1BC3">
              <w:rPr>
                <w:rFonts w:ascii="Times New Roman" w:hAnsi="Times New Roman"/>
                <w:b/>
                <w:sz w:val="22"/>
                <w:szCs w:val="22"/>
              </w:rPr>
              <w:t>FTC</w:t>
            </w:r>
            <w:r w:rsidRPr="000E1BC3">
              <w:rPr>
                <w:rFonts w:ascii="Times New Roman" w:hAnsi="Times New Roman"/>
                <w:b/>
                <w:sz w:val="22"/>
                <w:szCs w:val="22"/>
                <w:vertAlign w:val="superscript"/>
              </w:rPr>
              <w:t>b</w:t>
            </w:r>
          </w:p>
        </w:tc>
        <w:tc>
          <w:tcPr>
            <w:tcW w:w="2443" w:type="dxa"/>
            <w:tcBorders>
              <w:top w:val="single" w:sz="12" w:space="0" w:color="auto"/>
              <w:bottom w:val="single" w:sz="12" w:space="0" w:color="auto"/>
              <w:right w:val="nil"/>
            </w:tcBorders>
            <w:vAlign w:val="center"/>
          </w:tcPr>
          <w:p w:rsidR="004D22F3" w:rsidRPr="000E1BC3" w:rsidRDefault="004D22F3" w:rsidP="00044223">
            <w:pPr>
              <w:tabs>
                <w:tab w:val="left" w:pos="1260"/>
              </w:tabs>
              <w:jc w:val="center"/>
              <w:rPr>
                <w:rFonts w:ascii="Times New Roman" w:hAnsi="Times New Roman"/>
                <w:b/>
                <w:sz w:val="22"/>
                <w:szCs w:val="22"/>
              </w:rPr>
            </w:pPr>
            <w:r w:rsidRPr="000E1BC3">
              <w:rPr>
                <w:rFonts w:ascii="Times New Roman" w:hAnsi="Times New Roman"/>
                <w:b/>
                <w:sz w:val="22"/>
                <w:szCs w:val="22"/>
              </w:rPr>
              <w:t>TAF</w:t>
            </w:r>
            <w:r w:rsidRPr="000E1BC3">
              <w:rPr>
                <w:rFonts w:ascii="Times New Roman" w:hAnsi="Times New Roman"/>
                <w:b/>
                <w:sz w:val="22"/>
                <w:szCs w:val="22"/>
                <w:vertAlign w:val="superscript"/>
              </w:rPr>
              <w:t>c</w:t>
            </w:r>
          </w:p>
        </w:tc>
      </w:tr>
      <w:tr w:rsidR="004D22F3" w:rsidRPr="000E1BC3" w:rsidTr="00671FE1">
        <w:tc>
          <w:tcPr>
            <w:tcW w:w="2234" w:type="dxa"/>
            <w:tcBorders>
              <w:top w:val="single" w:sz="12" w:space="0" w:color="auto"/>
              <w:left w:val="nil"/>
              <w:bottom w:val="single" w:sz="4" w:space="0" w:color="auto"/>
            </w:tcBorders>
            <w:shd w:val="clear" w:color="auto" w:fill="auto"/>
            <w:vAlign w:val="center"/>
          </w:tcPr>
          <w:p w:rsidR="004D22F3" w:rsidRPr="000E1BC3" w:rsidRDefault="004D22F3" w:rsidP="00044223">
            <w:pPr>
              <w:tabs>
                <w:tab w:val="left" w:pos="1260"/>
              </w:tabs>
              <w:rPr>
                <w:rFonts w:ascii="Times New Roman" w:hAnsi="Times New Roman"/>
                <w:sz w:val="22"/>
                <w:szCs w:val="22"/>
                <w:vertAlign w:val="subscript"/>
              </w:rPr>
            </w:pPr>
            <w:r w:rsidRPr="000E1BC3">
              <w:rPr>
                <w:rFonts w:ascii="Times New Roman" w:hAnsi="Times New Roman"/>
                <w:sz w:val="22"/>
                <w:szCs w:val="22"/>
              </w:rPr>
              <w:t>C</w:t>
            </w:r>
            <w:r w:rsidRPr="000E1BC3">
              <w:rPr>
                <w:rFonts w:ascii="Times New Roman" w:hAnsi="Times New Roman"/>
                <w:sz w:val="22"/>
                <w:szCs w:val="22"/>
                <w:vertAlign w:val="subscript"/>
              </w:rPr>
              <w:t xml:space="preserve">max </w:t>
            </w:r>
          </w:p>
          <w:p w:rsidR="004D22F3" w:rsidRPr="000E1BC3" w:rsidRDefault="004D22F3" w:rsidP="00044223">
            <w:pPr>
              <w:tabs>
                <w:tab w:val="left" w:pos="1260"/>
              </w:tabs>
              <w:rPr>
                <w:rFonts w:ascii="Times New Roman" w:hAnsi="Times New Roman"/>
                <w:sz w:val="22"/>
                <w:szCs w:val="22"/>
              </w:rPr>
            </w:pPr>
            <w:r w:rsidRPr="000E1BC3">
              <w:rPr>
                <w:rFonts w:ascii="Times New Roman" w:hAnsi="Times New Roman"/>
                <w:sz w:val="22"/>
                <w:szCs w:val="22"/>
              </w:rPr>
              <w:t>(microgram/mL)</w:t>
            </w:r>
          </w:p>
        </w:tc>
        <w:tc>
          <w:tcPr>
            <w:tcW w:w="2150" w:type="dxa"/>
            <w:tcBorders>
              <w:top w:val="single" w:sz="12" w:space="0" w:color="auto"/>
              <w:bottom w:val="single" w:sz="4" w:space="0" w:color="auto"/>
            </w:tcBorders>
            <w:vAlign w:val="center"/>
          </w:tcPr>
          <w:p w:rsidR="004D22F3" w:rsidRPr="000E1BC3" w:rsidRDefault="004D22F3" w:rsidP="00044223">
            <w:pPr>
              <w:tabs>
                <w:tab w:val="left" w:pos="1260"/>
              </w:tabs>
              <w:jc w:val="center"/>
              <w:rPr>
                <w:rFonts w:ascii="Times New Roman" w:hAnsi="Times New Roman"/>
              </w:rPr>
            </w:pPr>
            <w:r w:rsidRPr="000E1BC3">
              <w:rPr>
                <w:rFonts w:ascii="Times New Roman" w:hAnsi="Times New Roman"/>
              </w:rPr>
              <w:t>6.15 (22.9)</w:t>
            </w:r>
          </w:p>
        </w:tc>
        <w:tc>
          <w:tcPr>
            <w:tcW w:w="2501" w:type="dxa"/>
            <w:tcBorders>
              <w:top w:val="single" w:sz="12" w:space="0" w:color="auto"/>
              <w:bottom w:val="single" w:sz="4" w:space="0" w:color="auto"/>
              <w:right w:val="nil"/>
            </w:tcBorders>
            <w:vAlign w:val="center"/>
          </w:tcPr>
          <w:p w:rsidR="004D22F3" w:rsidRPr="000E1BC3" w:rsidRDefault="004D22F3" w:rsidP="00044223">
            <w:pPr>
              <w:tabs>
                <w:tab w:val="left" w:pos="1260"/>
              </w:tabs>
              <w:jc w:val="center"/>
              <w:rPr>
                <w:rFonts w:ascii="Times New Roman" w:hAnsi="Times New Roman"/>
                <w:sz w:val="22"/>
                <w:szCs w:val="22"/>
              </w:rPr>
            </w:pPr>
            <w:r w:rsidRPr="000E1BC3">
              <w:rPr>
                <w:rFonts w:ascii="Times New Roman" w:hAnsi="Times New Roman"/>
              </w:rPr>
              <w:t>2.13 (34.7)</w:t>
            </w:r>
          </w:p>
        </w:tc>
        <w:tc>
          <w:tcPr>
            <w:tcW w:w="2443" w:type="dxa"/>
            <w:tcBorders>
              <w:top w:val="single" w:sz="12" w:space="0" w:color="auto"/>
              <w:bottom w:val="single" w:sz="4" w:space="0" w:color="auto"/>
              <w:right w:val="nil"/>
            </w:tcBorders>
            <w:vAlign w:val="center"/>
          </w:tcPr>
          <w:p w:rsidR="004D22F3" w:rsidRPr="000E1BC3" w:rsidRDefault="004D22F3" w:rsidP="00044223">
            <w:pPr>
              <w:tabs>
                <w:tab w:val="left" w:pos="1260"/>
              </w:tabs>
              <w:jc w:val="center"/>
              <w:rPr>
                <w:rFonts w:ascii="Times New Roman" w:hAnsi="Times New Roman"/>
                <w:sz w:val="22"/>
                <w:szCs w:val="22"/>
              </w:rPr>
            </w:pPr>
            <w:r w:rsidRPr="000E1BC3">
              <w:rPr>
                <w:rFonts w:ascii="Times New Roman" w:hAnsi="Times New Roman"/>
              </w:rPr>
              <w:t>0.121(15.4)</w:t>
            </w:r>
          </w:p>
        </w:tc>
      </w:tr>
      <w:tr w:rsidR="004D22F3" w:rsidRPr="000E1BC3" w:rsidTr="00671FE1">
        <w:tc>
          <w:tcPr>
            <w:tcW w:w="2234" w:type="dxa"/>
            <w:tcBorders>
              <w:top w:val="single" w:sz="4" w:space="0" w:color="auto"/>
              <w:left w:val="nil"/>
              <w:bottom w:val="single" w:sz="4" w:space="0" w:color="auto"/>
            </w:tcBorders>
            <w:shd w:val="clear" w:color="auto" w:fill="auto"/>
            <w:vAlign w:val="center"/>
          </w:tcPr>
          <w:p w:rsidR="004D22F3" w:rsidRPr="000E1BC3" w:rsidRDefault="004D22F3" w:rsidP="00044223">
            <w:pPr>
              <w:tabs>
                <w:tab w:val="left" w:pos="1260"/>
              </w:tabs>
              <w:rPr>
                <w:rFonts w:ascii="Times New Roman" w:hAnsi="Times New Roman"/>
                <w:sz w:val="22"/>
                <w:szCs w:val="22"/>
                <w:vertAlign w:val="subscript"/>
                <w:lang w:val="en-US"/>
              </w:rPr>
            </w:pPr>
            <w:r w:rsidRPr="000E1BC3">
              <w:rPr>
                <w:rFonts w:ascii="Times New Roman" w:hAnsi="Times New Roman"/>
                <w:sz w:val="22"/>
                <w:szCs w:val="22"/>
                <w:lang w:val="en-US"/>
              </w:rPr>
              <w:t>AUC</w:t>
            </w:r>
            <w:r w:rsidRPr="000E1BC3">
              <w:rPr>
                <w:rFonts w:ascii="Times New Roman" w:hAnsi="Times New Roman"/>
                <w:sz w:val="22"/>
                <w:szCs w:val="22"/>
                <w:vertAlign w:val="subscript"/>
                <w:lang w:val="en-US"/>
              </w:rPr>
              <w:t>tau</w:t>
            </w:r>
          </w:p>
          <w:p w:rsidR="004D22F3" w:rsidRPr="000E1BC3" w:rsidRDefault="004D22F3" w:rsidP="00304A53">
            <w:pPr>
              <w:tabs>
                <w:tab w:val="left" w:pos="1260"/>
              </w:tabs>
              <w:rPr>
                <w:rFonts w:ascii="Times New Roman" w:hAnsi="Times New Roman"/>
                <w:sz w:val="22"/>
                <w:szCs w:val="22"/>
              </w:rPr>
            </w:pPr>
            <w:r w:rsidRPr="000E1BC3">
              <w:rPr>
                <w:rFonts w:ascii="Times New Roman" w:hAnsi="Times New Roman"/>
                <w:sz w:val="22"/>
                <w:szCs w:val="22"/>
                <w:lang w:val="en-US"/>
              </w:rPr>
              <w:t>(microgram</w:t>
            </w:r>
            <w:r w:rsidR="00304A53" w:rsidRPr="00AC1138">
              <w:rPr>
                <w:rFonts w:ascii="Times New Roman" w:hAnsi="Times New Roman"/>
                <w:b/>
                <w:sz w:val="22"/>
                <w:szCs w:val="22"/>
                <w:lang w:val="en-US"/>
              </w:rPr>
              <w:t>.</w:t>
            </w:r>
            <w:r w:rsidRPr="000E1BC3">
              <w:rPr>
                <w:rFonts w:ascii="Times New Roman" w:hAnsi="Times New Roman"/>
                <w:sz w:val="22"/>
                <w:szCs w:val="22"/>
                <w:lang w:val="en-US"/>
              </w:rPr>
              <w:t>h</w:t>
            </w:r>
            <w:r w:rsidRPr="000E1BC3">
              <w:rPr>
                <w:rFonts w:ascii="Times New Roman" w:hAnsi="Times New Roman"/>
                <w:bCs/>
                <w:iCs/>
                <w:sz w:val="22"/>
                <w:szCs w:val="22"/>
                <w:lang w:val="en-US"/>
              </w:rPr>
              <w:t>/</w:t>
            </w:r>
            <w:r w:rsidRPr="000E1BC3">
              <w:rPr>
                <w:rFonts w:ascii="Times New Roman" w:hAnsi="Times New Roman"/>
                <w:sz w:val="22"/>
                <w:szCs w:val="22"/>
                <w:lang w:val="en-US"/>
              </w:rPr>
              <w:t>mL)</w:t>
            </w:r>
          </w:p>
        </w:tc>
        <w:tc>
          <w:tcPr>
            <w:tcW w:w="2150" w:type="dxa"/>
            <w:tcBorders>
              <w:top w:val="single" w:sz="4" w:space="0" w:color="auto"/>
              <w:bottom w:val="single" w:sz="4" w:space="0" w:color="auto"/>
            </w:tcBorders>
            <w:vAlign w:val="center"/>
          </w:tcPr>
          <w:p w:rsidR="004D22F3" w:rsidRPr="000E1BC3" w:rsidRDefault="004D22F3" w:rsidP="00044223">
            <w:pPr>
              <w:tabs>
                <w:tab w:val="left" w:pos="1260"/>
              </w:tabs>
              <w:jc w:val="center"/>
              <w:rPr>
                <w:rFonts w:ascii="Times New Roman" w:hAnsi="Times New Roman"/>
              </w:rPr>
            </w:pPr>
            <w:r w:rsidRPr="000E1BC3">
              <w:rPr>
                <w:rFonts w:ascii="Times New Roman" w:hAnsi="Times New Roman"/>
              </w:rPr>
              <w:t>102 (26.9)</w:t>
            </w:r>
          </w:p>
        </w:tc>
        <w:tc>
          <w:tcPr>
            <w:tcW w:w="2501" w:type="dxa"/>
            <w:tcBorders>
              <w:top w:val="single" w:sz="4" w:space="0" w:color="auto"/>
              <w:bottom w:val="single" w:sz="4" w:space="0" w:color="auto"/>
              <w:right w:val="nil"/>
            </w:tcBorders>
            <w:vAlign w:val="center"/>
          </w:tcPr>
          <w:p w:rsidR="004D22F3" w:rsidRPr="000E1BC3" w:rsidRDefault="004D22F3" w:rsidP="00044223">
            <w:pPr>
              <w:tabs>
                <w:tab w:val="left" w:pos="1260"/>
              </w:tabs>
              <w:jc w:val="center"/>
              <w:rPr>
                <w:rFonts w:ascii="Times New Roman" w:hAnsi="Times New Roman"/>
                <w:sz w:val="22"/>
                <w:szCs w:val="22"/>
              </w:rPr>
            </w:pPr>
            <w:r w:rsidRPr="000E1BC3">
              <w:rPr>
                <w:rFonts w:ascii="Times New Roman" w:hAnsi="Times New Roman"/>
              </w:rPr>
              <w:t>12.3 (29.2)</w:t>
            </w:r>
          </w:p>
        </w:tc>
        <w:tc>
          <w:tcPr>
            <w:tcW w:w="2443" w:type="dxa"/>
            <w:tcBorders>
              <w:top w:val="single" w:sz="4" w:space="0" w:color="auto"/>
              <w:bottom w:val="single" w:sz="4" w:space="0" w:color="auto"/>
              <w:right w:val="nil"/>
            </w:tcBorders>
            <w:vAlign w:val="center"/>
          </w:tcPr>
          <w:p w:rsidR="004D22F3" w:rsidRPr="000E1BC3" w:rsidRDefault="004D22F3" w:rsidP="00044223">
            <w:pPr>
              <w:tabs>
                <w:tab w:val="left" w:pos="1260"/>
              </w:tabs>
              <w:jc w:val="center"/>
              <w:rPr>
                <w:rFonts w:ascii="Times New Roman" w:hAnsi="Times New Roman"/>
                <w:sz w:val="22"/>
                <w:szCs w:val="22"/>
              </w:rPr>
            </w:pPr>
            <w:r w:rsidRPr="000E1BC3">
              <w:rPr>
                <w:rFonts w:ascii="Times New Roman" w:hAnsi="Times New Roman"/>
                <w:bCs/>
                <w:iCs/>
              </w:rPr>
              <w:t>0.142 (17.3)</w:t>
            </w:r>
          </w:p>
        </w:tc>
      </w:tr>
      <w:tr w:rsidR="004D22F3" w:rsidRPr="000E1BC3" w:rsidTr="00671FE1">
        <w:tc>
          <w:tcPr>
            <w:tcW w:w="2234" w:type="dxa"/>
            <w:tcBorders>
              <w:top w:val="single" w:sz="4" w:space="0" w:color="auto"/>
              <w:left w:val="nil"/>
              <w:bottom w:val="single" w:sz="12" w:space="0" w:color="auto"/>
            </w:tcBorders>
            <w:shd w:val="clear" w:color="auto" w:fill="auto"/>
            <w:vAlign w:val="center"/>
          </w:tcPr>
          <w:p w:rsidR="004D22F3" w:rsidRPr="000E1BC3" w:rsidRDefault="004D22F3" w:rsidP="00044223">
            <w:pPr>
              <w:rPr>
                <w:rFonts w:ascii="Times New Roman" w:hAnsi="Times New Roman"/>
                <w:sz w:val="22"/>
                <w:szCs w:val="22"/>
                <w:lang w:val="en-US"/>
              </w:rPr>
            </w:pPr>
            <w:r w:rsidRPr="000E1BC3">
              <w:rPr>
                <w:rFonts w:ascii="Times New Roman" w:hAnsi="Times New Roman"/>
                <w:sz w:val="22"/>
                <w:szCs w:val="22"/>
                <w:lang w:val="en-US"/>
              </w:rPr>
              <w:t>C</w:t>
            </w:r>
            <w:r w:rsidRPr="000E1BC3">
              <w:rPr>
                <w:rFonts w:ascii="Times New Roman" w:hAnsi="Times New Roman"/>
                <w:sz w:val="22"/>
                <w:szCs w:val="22"/>
                <w:vertAlign w:val="subscript"/>
                <w:lang w:val="en-US"/>
              </w:rPr>
              <w:t>trough</w:t>
            </w:r>
          </w:p>
          <w:p w:rsidR="004D22F3" w:rsidRPr="000E1BC3" w:rsidRDefault="004D22F3" w:rsidP="00044223">
            <w:pPr>
              <w:rPr>
                <w:rFonts w:ascii="Times New Roman" w:hAnsi="Times New Roman"/>
                <w:sz w:val="22"/>
                <w:szCs w:val="22"/>
              </w:rPr>
            </w:pPr>
            <w:r w:rsidRPr="000E1BC3">
              <w:rPr>
                <w:rFonts w:ascii="Times New Roman" w:hAnsi="Times New Roman"/>
                <w:sz w:val="22"/>
                <w:szCs w:val="22"/>
                <w:lang w:val="en-US"/>
              </w:rPr>
              <w:t>(microgram/mL)</w:t>
            </w:r>
          </w:p>
        </w:tc>
        <w:tc>
          <w:tcPr>
            <w:tcW w:w="2150" w:type="dxa"/>
            <w:tcBorders>
              <w:top w:val="single" w:sz="4" w:space="0" w:color="auto"/>
              <w:bottom w:val="single" w:sz="12" w:space="0" w:color="auto"/>
            </w:tcBorders>
            <w:vAlign w:val="center"/>
          </w:tcPr>
          <w:p w:rsidR="004D22F3" w:rsidRPr="000E1BC3" w:rsidRDefault="004D22F3" w:rsidP="00044223">
            <w:pPr>
              <w:tabs>
                <w:tab w:val="left" w:pos="1260"/>
              </w:tabs>
              <w:jc w:val="center"/>
              <w:rPr>
                <w:rFonts w:ascii="Times New Roman" w:hAnsi="Times New Roman"/>
              </w:rPr>
            </w:pPr>
            <w:r w:rsidRPr="000E1BC3">
              <w:rPr>
                <w:rFonts w:ascii="Times New Roman" w:hAnsi="Times New Roman"/>
              </w:rPr>
              <w:t>2.61 (35.2)</w:t>
            </w:r>
          </w:p>
        </w:tc>
        <w:tc>
          <w:tcPr>
            <w:tcW w:w="2501" w:type="dxa"/>
            <w:tcBorders>
              <w:top w:val="single" w:sz="4" w:space="0" w:color="auto"/>
              <w:bottom w:val="single" w:sz="12" w:space="0" w:color="auto"/>
              <w:right w:val="nil"/>
            </w:tcBorders>
            <w:vAlign w:val="center"/>
          </w:tcPr>
          <w:p w:rsidR="004D22F3" w:rsidRPr="000E1BC3" w:rsidRDefault="004D22F3" w:rsidP="00044223">
            <w:pPr>
              <w:jc w:val="center"/>
              <w:rPr>
                <w:rFonts w:ascii="Times New Roman" w:hAnsi="Times New Roman"/>
                <w:sz w:val="22"/>
                <w:szCs w:val="22"/>
              </w:rPr>
            </w:pPr>
            <w:r w:rsidRPr="000E1BC3">
              <w:rPr>
                <w:rFonts w:ascii="Times New Roman" w:hAnsi="Times New Roman"/>
              </w:rPr>
              <w:t>0.096 (37.4)</w:t>
            </w:r>
          </w:p>
        </w:tc>
        <w:tc>
          <w:tcPr>
            <w:tcW w:w="2443" w:type="dxa"/>
            <w:tcBorders>
              <w:top w:val="single" w:sz="4" w:space="0" w:color="auto"/>
              <w:bottom w:val="single" w:sz="12" w:space="0" w:color="auto"/>
              <w:right w:val="nil"/>
            </w:tcBorders>
            <w:vAlign w:val="center"/>
          </w:tcPr>
          <w:p w:rsidR="004D22F3" w:rsidRPr="000E1BC3" w:rsidRDefault="004D22F3" w:rsidP="00044223">
            <w:pPr>
              <w:jc w:val="center"/>
              <w:rPr>
                <w:rFonts w:ascii="Times New Roman" w:hAnsi="Times New Roman"/>
                <w:sz w:val="22"/>
                <w:szCs w:val="22"/>
              </w:rPr>
            </w:pPr>
            <w:r w:rsidRPr="000E1BC3">
              <w:rPr>
                <w:rFonts w:ascii="Times New Roman" w:hAnsi="Times New Roman"/>
              </w:rPr>
              <w:t>NA</w:t>
            </w:r>
          </w:p>
        </w:tc>
      </w:tr>
    </w:tbl>
    <w:p w:rsidR="004D22F3" w:rsidRPr="000E1BC3" w:rsidRDefault="004D22F3" w:rsidP="004D22F3">
      <w:pPr>
        <w:jc w:val="both"/>
        <w:rPr>
          <w:rFonts w:ascii="Times New Roman" w:hAnsi="Times New Roman"/>
          <w:noProof/>
          <w:sz w:val="16"/>
          <w:szCs w:val="16"/>
          <w:lang w:val="en-US"/>
        </w:rPr>
      </w:pPr>
      <w:r w:rsidRPr="000E1BC3">
        <w:rPr>
          <w:rFonts w:ascii="Times New Roman" w:hAnsi="Times New Roman"/>
          <w:sz w:val="16"/>
          <w:szCs w:val="16"/>
        </w:rPr>
        <w:t>CV=Coefficient of Variation</w:t>
      </w:r>
      <w:r w:rsidRPr="000E1BC3">
        <w:rPr>
          <w:rFonts w:ascii="Times New Roman" w:hAnsi="Times New Roman"/>
          <w:noProof/>
          <w:sz w:val="16"/>
          <w:szCs w:val="16"/>
          <w:lang w:val="en-US"/>
        </w:rPr>
        <w:t>; NA = Not Applicable</w:t>
      </w:r>
    </w:p>
    <w:p w:rsidR="004D22F3" w:rsidRPr="000E1BC3" w:rsidRDefault="004D22F3" w:rsidP="004D22F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sz w:val="16"/>
          <w:szCs w:val="16"/>
        </w:rPr>
      </w:pPr>
      <w:r w:rsidRPr="000E1BC3">
        <w:rPr>
          <w:rFonts w:ascii="Times New Roman" w:hAnsi="Times New Roman"/>
          <w:sz w:val="16"/>
          <w:szCs w:val="16"/>
        </w:rPr>
        <w:t>a.   From Population PK analysis in Studies 1489, 1490, 1844, and 1878; N=1193.</w:t>
      </w:r>
    </w:p>
    <w:p w:rsidR="004D22F3" w:rsidRPr="000E1BC3" w:rsidRDefault="004D22F3" w:rsidP="004D22F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rPr>
          <w:rFonts w:ascii="Times New Roman" w:hAnsi="Times New Roman"/>
          <w:sz w:val="16"/>
          <w:szCs w:val="16"/>
        </w:rPr>
      </w:pPr>
      <w:r w:rsidRPr="000E1BC3">
        <w:rPr>
          <w:rFonts w:ascii="Times New Roman" w:hAnsi="Times New Roman"/>
          <w:sz w:val="16"/>
          <w:szCs w:val="16"/>
        </w:rPr>
        <w:t xml:space="preserve">b.   From Intensive PK analysis in Studies 1489, 1490, 1844, and 1878; N=77. </w:t>
      </w:r>
    </w:p>
    <w:p w:rsidR="004D22F3" w:rsidRPr="000E1BC3" w:rsidRDefault="004D22F3" w:rsidP="004D22F3">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180" w:hanging="180"/>
        <w:rPr>
          <w:rFonts w:ascii="Times New Roman" w:hAnsi="Times New Roman"/>
          <w:sz w:val="16"/>
          <w:szCs w:val="16"/>
        </w:rPr>
      </w:pPr>
      <w:r w:rsidRPr="000E1BC3">
        <w:rPr>
          <w:rFonts w:ascii="Times New Roman" w:hAnsi="Times New Roman"/>
          <w:sz w:val="16"/>
          <w:szCs w:val="16"/>
        </w:rPr>
        <w:t>c.   From Population PK analysis in Studies 1489 and 1490; N=486.</w:t>
      </w:r>
    </w:p>
    <w:p w:rsidR="003F0EB1" w:rsidRPr="000E1BC3" w:rsidRDefault="003F0EB1" w:rsidP="0018270F">
      <w:pPr>
        <w:rPr>
          <w:rFonts w:ascii="Times New Roman" w:hAnsi="Times New Roman"/>
          <w:sz w:val="24"/>
          <w:szCs w:val="24"/>
          <w:lang w:val="en-US"/>
        </w:rPr>
      </w:pPr>
    </w:p>
    <w:p w:rsidR="0018270F" w:rsidRPr="000E1BC3" w:rsidRDefault="00E03E0E" w:rsidP="00B51661">
      <w:pPr>
        <w:numPr>
          <w:ilvl w:val="0"/>
          <w:numId w:val="21"/>
        </w:numPr>
        <w:spacing w:after="120"/>
        <w:ind w:left="357" w:hanging="357"/>
        <w:rPr>
          <w:rFonts w:ascii="Times New Roman" w:hAnsi="Times New Roman"/>
          <w:b/>
          <w:noProof/>
          <w:sz w:val="24"/>
          <w:szCs w:val="24"/>
        </w:rPr>
      </w:pPr>
      <w:r w:rsidRPr="000E1BC3">
        <w:rPr>
          <w:rFonts w:ascii="Times New Roman" w:hAnsi="Times New Roman"/>
          <w:b/>
          <w:noProof/>
          <w:sz w:val="24"/>
          <w:szCs w:val="24"/>
        </w:rPr>
        <w:t>Pharmacokinetics in special populations</w:t>
      </w:r>
    </w:p>
    <w:p w:rsidR="007254DD" w:rsidRPr="000E1BC3" w:rsidRDefault="007254DD" w:rsidP="00F53665">
      <w:pPr>
        <w:spacing w:after="120"/>
        <w:jc w:val="both"/>
        <w:rPr>
          <w:rFonts w:ascii="Times New Roman" w:hAnsi="Times New Roman"/>
          <w:b/>
          <w:i/>
          <w:noProof/>
          <w:sz w:val="24"/>
          <w:szCs w:val="24"/>
        </w:rPr>
      </w:pPr>
      <w:r w:rsidRPr="000E1BC3">
        <w:rPr>
          <w:rFonts w:ascii="Times New Roman" w:hAnsi="Times New Roman"/>
          <w:b/>
          <w:i/>
          <w:noProof/>
          <w:sz w:val="24"/>
          <w:szCs w:val="24"/>
        </w:rPr>
        <w:t>Age</w:t>
      </w:r>
      <w:r w:rsidR="004603A7" w:rsidRPr="000E1BC3">
        <w:rPr>
          <w:rFonts w:ascii="Times New Roman" w:hAnsi="Times New Roman"/>
          <w:b/>
          <w:i/>
          <w:noProof/>
          <w:sz w:val="24"/>
          <w:szCs w:val="24"/>
        </w:rPr>
        <w:t>,</w:t>
      </w:r>
      <w:r w:rsidR="00D852BF" w:rsidRPr="000E1BC3">
        <w:rPr>
          <w:rFonts w:ascii="Times New Roman" w:hAnsi="Times New Roman"/>
          <w:b/>
          <w:i/>
          <w:noProof/>
          <w:sz w:val="24"/>
          <w:szCs w:val="24"/>
        </w:rPr>
        <w:t xml:space="preserve"> </w:t>
      </w:r>
      <w:r w:rsidRPr="000E1BC3">
        <w:rPr>
          <w:rFonts w:ascii="Times New Roman" w:hAnsi="Times New Roman"/>
          <w:b/>
          <w:i/>
          <w:noProof/>
          <w:sz w:val="24"/>
          <w:szCs w:val="24"/>
        </w:rPr>
        <w:t xml:space="preserve">Gender </w:t>
      </w:r>
      <w:r w:rsidR="004603A7" w:rsidRPr="000E1BC3">
        <w:rPr>
          <w:rFonts w:ascii="Times New Roman" w:hAnsi="Times New Roman"/>
          <w:b/>
          <w:i/>
          <w:noProof/>
          <w:sz w:val="24"/>
          <w:szCs w:val="24"/>
        </w:rPr>
        <w:t>and Ethnicity</w:t>
      </w:r>
    </w:p>
    <w:p w:rsidR="000371A0" w:rsidRPr="000E1BC3" w:rsidRDefault="00A006CD" w:rsidP="00B42192">
      <w:pPr>
        <w:rPr>
          <w:rFonts w:ascii="Times New Roman" w:hAnsi="Times New Roman"/>
          <w:bCs/>
          <w:noProof/>
          <w:sz w:val="24"/>
          <w:szCs w:val="24"/>
          <w:lang w:val="en-US"/>
        </w:rPr>
      </w:pPr>
      <w:r w:rsidRPr="000E1BC3">
        <w:rPr>
          <w:rFonts w:ascii="Times New Roman" w:hAnsi="Times New Roman"/>
          <w:bCs/>
          <w:noProof/>
          <w:sz w:val="24"/>
          <w:szCs w:val="24"/>
          <w:lang w:val="en-US"/>
        </w:rPr>
        <w:t>Population analyses using pooled pharmacokinetic data from adult trials did not identify any clinically relevant differences due to age, gender or race on the exposures of BIC, FTC, or TAF.</w:t>
      </w:r>
    </w:p>
    <w:p w:rsidR="00542B73" w:rsidRPr="000E1BC3" w:rsidRDefault="00542B73" w:rsidP="00B42192">
      <w:pPr>
        <w:rPr>
          <w:rFonts w:ascii="Times New Roman" w:hAnsi="Times New Roman"/>
          <w:noProof/>
          <w:color w:val="FF0000"/>
          <w:sz w:val="24"/>
          <w:szCs w:val="24"/>
        </w:rPr>
      </w:pPr>
    </w:p>
    <w:p w:rsidR="00090919" w:rsidRPr="000E1BC3" w:rsidRDefault="007254DD" w:rsidP="00090919">
      <w:pPr>
        <w:spacing w:before="120" w:after="120"/>
        <w:jc w:val="both"/>
        <w:rPr>
          <w:rFonts w:ascii="Times New Roman" w:hAnsi="Times New Roman"/>
          <w:b/>
          <w:i/>
          <w:noProof/>
          <w:sz w:val="24"/>
          <w:szCs w:val="24"/>
        </w:rPr>
      </w:pPr>
      <w:r w:rsidRPr="000E1BC3">
        <w:rPr>
          <w:rFonts w:ascii="Times New Roman" w:hAnsi="Times New Roman"/>
          <w:b/>
          <w:i/>
          <w:noProof/>
          <w:sz w:val="24"/>
          <w:szCs w:val="24"/>
        </w:rPr>
        <w:t>Patients with Impaired Renal Function</w:t>
      </w:r>
    </w:p>
    <w:p w:rsidR="009E6621" w:rsidRPr="000E1BC3" w:rsidRDefault="009E6621" w:rsidP="009E6621">
      <w:pPr>
        <w:pStyle w:val="Text10"/>
        <w:rPr>
          <w:noProof/>
          <w:szCs w:val="24"/>
          <w:lang w:val="en-AU"/>
        </w:rPr>
      </w:pPr>
      <w:r w:rsidRPr="000E1BC3">
        <w:rPr>
          <w:noProof/>
          <w:szCs w:val="24"/>
          <w:lang w:val="en-AU"/>
        </w:rPr>
        <w:t xml:space="preserve">No dose adjustment of </w:t>
      </w:r>
      <w:r w:rsidR="002F43D2">
        <w:rPr>
          <w:noProof/>
          <w:szCs w:val="24"/>
          <w:lang w:val="en-AU"/>
        </w:rPr>
        <w:t>BIKTARVY</w:t>
      </w:r>
      <w:r w:rsidRPr="000E1BC3">
        <w:rPr>
          <w:noProof/>
          <w:szCs w:val="24"/>
          <w:lang w:val="en-AU"/>
        </w:rPr>
        <w:t xml:space="preserve"> is required in adult patients with estimated creatinine clearance greater than or equal to 30 mL per minute. </w:t>
      </w:r>
    </w:p>
    <w:p w:rsidR="00117428" w:rsidRPr="003F0EB1" w:rsidRDefault="009E6621" w:rsidP="00FA23DF">
      <w:pPr>
        <w:rPr>
          <w:rFonts w:ascii="Times New Roman" w:hAnsi="Times New Roman"/>
          <w:b/>
          <w:sz w:val="32"/>
          <w:szCs w:val="24"/>
        </w:rPr>
      </w:pPr>
      <w:r w:rsidRPr="003F0EB1">
        <w:rPr>
          <w:rFonts w:ascii="Times New Roman" w:hAnsi="Times New Roman"/>
          <w:noProof/>
          <w:sz w:val="24"/>
          <w:szCs w:val="24"/>
        </w:rPr>
        <w:t xml:space="preserve">Initiation of </w:t>
      </w:r>
      <w:r w:rsidR="002F43D2">
        <w:rPr>
          <w:rFonts w:ascii="Times New Roman" w:hAnsi="Times New Roman"/>
          <w:noProof/>
          <w:sz w:val="24"/>
          <w:szCs w:val="24"/>
        </w:rPr>
        <w:t>BIKTARVY</w:t>
      </w:r>
      <w:r w:rsidRPr="003F0EB1">
        <w:rPr>
          <w:rFonts w:ascii="Times New Roman" w:hAnsi="Times New Roman"/>
          <w:noProof/>
          <w:sz w:val="24"/>
          <w:szCs w:val="24"/>
        </w:rPr>
        <w:t xml:space="preserve"> is not recommended in patients with estimated creatinine clearance below 30 mL per minute as there are insufficient data available regarding the use of </w:t>
      </w:r>
      <w:r w:rsidR="002F43D2">
        <w:rPr>
          <w:rFonts w:ascii="Times New Roman" w:hAnsi="Times New Roman"/>
          <w:noProof/>
          <w:sz w:val="24"/>
          <w:szCs w:val="24"/>
        </w:rPr>
        <w:t>BIKTARVY</w:t>
      </w:r>
      <w:r w:rsidRPr="003F0EB1">
        <w:rPr>
          <w:rFonts w:ascii="Times New Roman" w:hAnsi="Times New Roman"/>
          <w:noProof/>
          <w:sz w:val="24"/>
          <w:szCs w:val="24"/>
        </w:rPr>
        <w:t xml:space="preserve"> in this population.</w:t>
      </w:r>
    </w:p>
    <w:p w:rsidR="002A010F" w:rsidRDefault="002A010F" w:rsidP="00FA23DF">
      <w:pPr>
        <w:rPr>
          <w:rFonts w:ascii="Times New Roman" w:hAnsi="Times New Roman"/>
          <w:b/>
          <w:sz w:val="24"/>
          <w:szCs w:val="24"/>
        </w:rPr>
      </w:pPr>
    </w:p>
    <w:p w:rsidR="007254DD" w:rsidRPr="000E1BC3" w:rsidRDefault="007254DD" w:rsidP="00090919">
      <w:pPr>
        <w:spacing w:before="120" w:after="120"/>
        <w:rPr>
          <w:rFonts w:ascii="Times New Roman" w:hAnsi="Times New Roman"/>
          <w:b/>
          <w:i/>
          <w:sz w:val="24"/>
          <w:szCs w:val="24"/>
        </w:rPr>
      </w:pPr>
      <w:r w:rsidRPr="000E1BC3">
        <w:rPr>
          <w:rFonts w:ascii="Times New Roman" w:hAnsi="Times New Roman"/>
          <w:b/>
          <w:i/>
          <w:sz w:val="24"/>
          <w:szCs w:val="24"/>
        </w:rPr>
        <w:lastRenderedPageBreak/>
        <w:t>Patients with Hepatic Impairment</w:t>
      </w:r>
    </w:p>
    <w:p w:rsidR="00117428" w:rsidRPr="000E1BC3" w:rsidRDefault="00117428" w:rsidP="00117428">
      <w:pPr>
        <w:rPr>
          <w:rFonts w:ascii="Times New Roman" w:hAnsi="Times New Roman"/>
          <w:sz w:val="24"/>
          <w:szCs w:val="24"/>
        </w:rPr>
      </w:pPr>
      <w:r w:rsidRPr="000E1BC3">
        <w:rPr>
          <w:rFonts w:ascii="Times New Roman" w:hAnsi="Times New Roman"/>
          <w:b/>
          <w:i/>
          <w:sz w:val="24"/>
          <w:szCs w:val="24"/>
        </w:rPr>
        <w:t xml:space="preserve">Bictegravir: </w:t>
      </w:r>
      <w:r w:rsidR="007573D4" w:rsidRPr="000E1BC3">
        <w:rPr>
          <w:rFonts w:ascii="Times New Roman" w:hAnsi="Times New Roman"/>
          <w:sz w:val="24"/>
          <w:szCs w:val="24"/>
        </w:rPr>
        <w:t>Clinically relevant changes in the pharmacokinetics of BIC were not observed in subjects with moderate hepatic impairment.</w:t>
      </w:r>
      <w:r w:rsidRPr="000E1BC3">
        <w:rPr>
          <w:rFonts w:ascii="Times New Roman" w:hAnsi="Times New Roman"/>
          <w:sz w:val="24"/>
          <w:szCs w:val="24"/>
        </w:rPr>
        <w:t xml:space="preserve"> </w:t>
      </w:r>
    </w:p>
    <w:p w:rsidR="00117428" w:rsidRDefault="00117428" w:rsidP="00FA23DF">
      <w:pPr>
        <w:pStyle w:val="Text10"/>
        <w:spacing w:after="0"/>
        <w:rPr>
          <w:bCs/>
          <w:szCs w:val="24"/>
          <w:lang w:val="en-AU"/>
        </w:rPr>
      </w:pPr>
    </w:p>
    <w:p w:rsidR="00B95BFE" w:rsidRPr="000E1BC3" w:rsidRDefault="00B95BFE" w:rsidP="00FA23DF">
      <w:pPr>
        <w:pStyle w:val="Text10"/>
        <w:spacing w:after="0"/>
      </w:pPr>
      <w:r w:rsidRPr="000E1BC3">
        <w:rPr>
          <w:b/>
          <w:i/>
        </w:rPr>
        <w:t>Emtricitabine</w:t>
      </w:r>
      <w:r w:rsidRPr="000E1BC3">
        <w:rPr>
          <w:b/>
        </w:rPr>
        <w:t>:</w:t>
      </w:r>
      <w:r w:rsidRPr="000E1BC3">
        <w:t xml:space="preserve"> The pharmacokinetics of </w:t>
      </w:r>
      <w:r w:rsidR="006E206B" w:rsidRPr="000E1BC3">
        <w:t>FTC</w:t>
      </w:r>
      <w:r w:rsidRPr="000E1BC3">
        <w:t xml:space="preserve"> has not been studied in subjects with hepatic impairment; however, </w:t>
      </w:r>
      <w:r w:rsidR="006E206B" w:rsidRPr="000E1BC3">
        <w:t>FTC</w:t>
      </w:r>
      <w:r w:rsidRPr="000E1BC3">
        <w:t xml:space="preserve"> is not significantly metabolized by liver enzymes, so the impact of liver impairment should be limited.</w:t>
      </w:r>
    </w:p>
    <w:p w:rsidR="00B95BFE" w:rsidRPr="000E1BC3" w:rsidRDefault="00B95BFE" w:rsidP="00FA23DF">
      <w:pPr>
        <w:pStyle w:val="Text10"/>
        <w:spacing w:after="0"/>
        <w:rPr>
          <w:bCs/>
          <w:szCs w:val="24"/>
          <w:lang w:val="en-AU"/>
        </w:rPr>
      </w:pPr>
    </w:p>
    <w:p w:rsidR="00AF3BE6" w:rsidRPr="000E1BC3" w:rsidRDefault="00E13AF3" w:rsidP="00FA23DF">
      <w:pPr>
        <w:pStyle w:val="Text10"/>
        <w:spacing w:after="0"/>
      </w:pPr>
      <w:r w:rsidRPr="000E1BC3">
        <w:rPr>
          <w:b/>
          <w:i/>
        </w:rPr>
        <w:t>Tenofovir Alafenamide</w:t>
      </w:r>
      <w:r w:rsidRPr="000E1BC3">
        <w:t xml:space="preserve">: </w:t>
      </w:r>
      <w:r w:rsidR="005F5F1A" w:rsidRPr="000E1BC3">
        <w:t>Clinically relevant changes in the pharmacokinetics of TAF or its metabolite tenofovir were not observed in patients with mild, moderate, or severe hepatic impairment; no TAF dose adjustment is required in patients with hepatic impairment.</w:t>
      </w:r>
    </w:p>
    <w:p w:rsidR="00FA23DF" w:rsidRPr="000E1BC3" w:rsidRDefault="00FA23DF" w:rsidP="0089165A">
      <w:pPr>
        <w:pStyle w:val="Text10"/>
        <w:spacing w:after="0"/>
        <w:rPr>
          <w:rStyle w:val="Subheading2Char"/>
          <w:i w:val="0"/>
        </w:rPr>
      </w:pPr>
    </w:p>
    <w:p w:rsidR="0059053A" w:rsidRPr="000E1BC3" w:rsidRDefault="0059053A" w:rsidP="00090919">
      <w:pPr>
        <w:pStyle w:val="Text10"/>
        <w:spacing w:before="120" w:after="120"/>
        <w:rPr>
          <w:rStyle w:val="Subheading2Char"/>
        </w:rPr>
      </w:pPr>
      <w:r w:rsidRPr="000E1BC3">
        <w:rPr>
          <w:rStyle w:val="Subheading2Char"/>
        </w:rPr>
        <w:t>Hepatitis B and/or hepatitis C virus co-infection</w:t>
      </w:r>
    </w:p>
    <w:p w:rsidR="0059053A" w:rsidRPr="000E1BC3" w:rsidRDefault="0059053A" w:rsidP="00A34BDE">
      <w:pPr>
        <w:pStyle w:val="Text10"/>
        <w:spacing w:after="0"/>
        <w:rPr>
          <w:bCs/>
          <w:lang w:val="en-AU"/>
        </w:rPr>
      </w:pPr>
      <w:r w:rsidRPr="000E1BC3">
        <w:t xml:space="preserve">Pharmacokinetics of </w:t>
      </w:r>
      <w:r w:rsidR="0041175B" w:rsidRPr="000E1BC3">
        <w:t xml:space="preserve">BIC, </w:t>
      </w:r>
      <w:r w:rsidR="006E206B" w:rsidRPr="000E1BC3">
        <w:t>FTC</w:t>
      </w:r>
      <w:r w:rsidR="00B93CF1" w:rsidRPr="000E1BC3">
        <w:t xml:space="preserve"> and </w:t>
      </w:r>
      <w:r w:rsidR="006E206B" w:rsidRPr="000E1BC3">
        <w:t>TAF</w:t>
      </w:r>
      <w:r w:rsidRPr="000E1BC3">
        <w:t xml:space="preserve"> have not been fully evaluated in hepatitis B and/or C co-infected patients.  </w:t>
      </w:r>
    </w:p>
    <w:p w:rsidR="00BC0006" w:rsidRDefault="00BC0006" w:rsidP="005226D4">
      <w:pPr>
        <w:rPr>
          <w:rFonts w:ascii="Times New Roman" w:hAnsi="Times New Roman"/>
          <w:sz w:val="24"/>
          <w:szCs w:val="24"/>
          <w:lang w:val="en-US"/>
        </w:rPr>
      </w:pPr>
    </w:p>
    <w:p w:rsidR="004C6356" w:rsidRPr="00DD64CE" w:rsidRDefault="004C6356" w:rsidP="00F53665">
      <w:pPr>
        <w:spacing w:after="120"/>
        <w:jc w:val="both"/>
        <w:rPr>
          <w:rFonts w:ascii="Times New Roman" w:hAnsi="Times New Roman"/>
          <w:b/>
          <w:sz w:val="24"/>
          <w:szCs w:val="24"/>
        </w:rPr>
      </w:pPr>
      <w:r w:rsidRPr="00DD64CE">
        <w:rPr>
          <w:rFonts w:ascii="Times New Roman" w:hAnsi="Times New Roman"/>
          <w:b/>
          <w:sz w:val="24"/>
          <w:szCs w:val="24"/>
        </w:rPr>
        <w:t>5.3</w:t>
      </w:r>
      <w:r w:rsidRPr="00DD64CE">
        <w:rPr>
          <w:rFonts w:ascii="Times New Roman" w:hAnsi="Times New Roman"/>
          <w:b/>
          <w:sz w:val="24"/>
          <w:szCs w:val="24"/>
        </w:rPr>
        <w:tab/>
        <w:t>PRECLINICAL SAFETY DATA</w:t>
      </w:r>
    </w:p>
    <w:p w:rsidR="004C6356" w:rsidRPr="000E1BC3" w:rsidRDefault="004C6356" w:rsidP="0071578F">
      <w:pPr>
        <w:numPr>
          <w:ilvl w:val="0"/>
          <w:numId w:val="20"/>
        </w:numPr>
        <w:spacing w:before="120" w:after="120"/>
        <w:ind w:left="357" w:hanging="357"/>
        <w:jc w:val="both"/>
        <w:outlineLvl w:val="0"/>
        <w:rPr>
          <w:rFonts w:ascii="Times New Roman" w:hAnsi="Times New Roman"/>
          <w:b/>
          <w:noProof/>
          <w:sz w:val="24"/>
          <w:szCs w:val="24"/>
        </w:rPr>
      </w:pPr>
      <w:r w:rsidRPr="000E1BC3">
        <w:rPr>
          <w:rFonts w:ascii="Times New Roman" w:hAnsi="Times New Roman"/>
          <w:b/>
          <w:noProof/>
          <w:sz w:val="24"/>
          <w:szCs w:val="24"/>
        </w:rPr>
        <w:t>Genotoxicity</w:t>
      </w:r>
    </w:p>
    <w:p w:rsidR="004C6356" w:rsidRPr="000E1BC3" w:rsidRDefault="004C6356" w:rsidP="004C6356">
      <w:pPr>
        <w:pStyle w:val="BodyText"/>
        <w:ind w:right="0"/>
        <w:jc w:val="both"/>
        <w:rPr>
          <w:i/>
          <w:color w:val="auto"/>
          <w:szCs w:val="24"/>
        </w:rPr>
      </w:pPr>
      <w:r w:rsidRPr="000E1BC3">
        <w:rPr>
          <w:color w:val="auto"/>
          <w:szCs w:val="24"/>
        </w:rPr>
        <w:t>No genotoxicity studies have been conducted with</w:t>
      </w:r>
      <w:r w:rsidRPr="000E1BC3">
        <w:rPr>
          <w:szCs w:val="24"/>
        </w:rPr>
        <w:t xml:space="preserve"> BIC, FTC</w:t>
      </w:r>
      <w:r w:rsidRPr="000E1BC3">
        <w:rPr>
          <w:b/>
          <w:szCs w:val="24"/>
        </w:rPr>
        <w:t xml:space="preserve"> </w:t>
      </w:r>
      <w:r w:rsidRPr="000E1BC3">
        <w:rPr>
          <w:szCs w:val="24"/>
        </w:rPr>
        <w:t>and TAF</w:t>
      </w:r>
      <w:r w:rsidRPr="000E1BC3">
        <w:rPr>
          <w:color w:val="auto"/>
          <w:szCs w:val="24"/>
        </w:rPr>
        <w:t xml:space="preserve"> in combination.</w:t>
      </w:r>
      <w:r w:rsidRPr="000E1BC3">
        <w:rPr>
          <w:i/>
          <w:color w:val="auto"/>
          <w:szCs w:val="24"/>
        </w:rPr>
        <w:t xml:space="preserve">  </w:t>
      </w:r>
    </w:p>
    <w:p w:rsidR="004C6356" w:rsidRPr="000E1BC3" w:rsidRDefault="004C6356" w:rsidP="004C6356">
      <w:pPr>
        <w:pStyle w:val="BodyText"/>
        <w:ind w:right="0"/>
        <w:jc w:val="both"/>
        <w:rPr>
          <w:i/>
          <w:color w:val="auto"/>
          <w:szCs w:val="24"/>
        </w:rPr>
      </w:pPr>
    </w:p>
    <w:p w:rsidR="004C6356" w:rsidRPr="000E1BC3" w:rsidRDefault="004C6356" w:rsidP="004C6356">
      <w:pPr>
        <w:jc w:val="both"/>
        <w:rPr>
          <w:rFonts w:ascii="Times New Roman" w:hAnsi="Times New Roman"/>
          <w:b/>
          <w:i/>
          <w:noProof/>
          <w:sz w:val="24"/>
          <w:szCs w:val="24"/>
        </w:rPr>
      </w:pPr>
      <w:r w:rsidRPr="000E1BC3">
        <w:rPr>
          <w:rFonts w:ascii="Times New Roman" w:hAnsi="Times New Roman"/>
          <w:b/>
          <w:i/>
          <w:noProof/>
          <w:sz w:val="24"/>
          <w:szCs w:val="24"/>
        </w:rPr>
        <w:t xml:space="preserve">Bictegravir: </w:t>
      </w:r>
      <w:r w:rsidRPr="000E1BC3">
        <w:rPr>
          <w:rFonts w:ascii="Times New Roman" w:hAnsi="Times New Roman"/>
          <w:noProof/>
          <w:sz w:val="24"/>
          <w:szCs w:val="24"/>
        </w:rPr>
        <w:t xml:space="preserve">BIC was not mutagenic </w:t>
      </w:r>
      <w:r w:rsidR="00756DAC" w:rsidRPr="00756DAC">
        <w:rPr>
          <w:rFonts w:ascii="Times New Roman" w:hAnsi="Times New Roman"/>
          <w:noProof/>
          <w:sz w:val="24"/>
          <w:szCs w:val="24"/>
        </w:rPr>
        <w:t xml:space="preserve">in bacteria </w:t>
      </w:r>
      <w:r w:rsidRPr="000E1BC3">
        <w:rPr>
          <w:rFonts w:ascii="Times New Roman" w:hAnsi="Times New Roman"/>
          <w:noProof/>
          <w:sz w:val="24"/>
          <w:szCs w:val="24"/>
        </w:rPr>
        <w:t xml:space="preserve">or clastogenic </w:t>
      </w:r>
      <w:r w:rsidR="00803B5F" w:rsidRPr="00803B5F">
        <w:rPr>
          <w:rFonts w:ascii="Times New Roman" w:hAnsi="Times New Roman"/>
          <w:noProof/>
          <w:sz w:val="24"/>
          <w:szCs w:val="24"/>
        </w:rPr>
        <w:t>in human lymphocytes in vitro and in a rat micronucleus test in vivo</w:t>
      </w:r>
    </w:p>
    <w:p w:rsidR="004C6356" w:rsidRPr="000E1BC3" w:rsidRDefault="004C6356" w:rsidP="004C6356">
      <w:pPr>
        <w:jc w:val="both"/>
        <w:rPr>
          <w:rFonts w:ascii="Times New Roman" w:hAnsi="Times New Roman"/>
          <w:noProof/>
          <w:sz w:val="24"/>
          <w:szCs w:val="24"/>
        </w:rPr>
      </w:pPr>
    </w:p>
    <w:p w:rsidR="004C6356" w:rsidRPr="000E1BC3" w:rsidRDefault="004C6356" w:rsidP="004C6356">
      <w:pPr>
        <w:jc w:val="both"/>
        <w:rPr>
          <w:rFonts w:ascii="Times New Roman" w:hAnsi="Times New Roman"/>
          <w:sz w:val="24"/>
          <w:szCs w:val="24"/>
        </w:rPr>
      </w:pPr>
      <w:r w:rsidRPr="000E1BC3">
        <w:rPr>
          <w:rFonts w:ascii="Times New Roman" w:hAnsi="Times New Roman"/>
          <w:b/>
          <w:i/>
          <w:noProof/>
          <w:sz w:val="24"/>
          <w:szCs w:val="24"/>
        </w:rPr>
        <w:t>Emtricitabine:</w:t>
      </w:r>
      <w:r w:rsidRPr="000E1BC3">
        <w:rPr>
          <w:rFonts w:ascii="Times New Roman" w:hAnsi="Times New Roman"/>
          <w:noProof/>
          <w:sz w:val="24"/>
          <w:szCs w:val="24"/>
        </w:rPr>
        <w:t xml:space="preserve"> FTC</w:t>
      </w:r>
      <w:r w:rsidRPr="000E1BC3">
        <w:rPr>
          <w:rFonts w:ascii="Times New Roman" w:hAnsi="Times New Roman"/>
          <w:b/>
          <w:i/>
          <w:noProof/>
          <w:sz w:val="24"/>
          <w:szCs w:val="24"/>
        </w:rPr>
        <w:t xml:space="preserve"> </w:t>
      </w:r>
      <w:r w:rsidRPr="000E1BC3">
        <w:rPr>
          <w:rFonts w:ascii="Times New Roman" w:hAnsi="Times New Roman"/>
          <w:sz w:val="24"/>
          <w:szCs w:val="24"/>
        </w:rPr>
        <w:t xml:space="preserve">was not mutagenic in bacteria or mouse lymphoma cell assays </w:t>
      </w:r>
      <w:r w:rsidRPr="000E1BC3">
        <w:rPr>
          <w:rFonts w:ascii="Times New Roman" w:hAnsi="Times New Roman"/>
          <w:i/>
          <w:sz w:val="24"/>
          <w:szCs w:val="24"/>
        </w:rPr>
        <w:t>in vitro</w:t>
      </w:r>
      <w:r w:rsidRPr="000E1BC3">
        <w:rPr>
          <w:rFonts w:ascii="Times New Roman" w:hAnsi="Times New Roman"/>
          <w:sz w:val="24"/>
          <w:szCs w:val="24"/>
        </w:rPr>
        <w:t xml:space="preserve"> nor clastogenic in the mouse micronucleus test </w:t>
      </w:r>
      <w:r w:rsidRPr="000E1BC3">
        <w:rPr>
          <w:rFonts w:ascii="Times New Roman" w:hAnsi="Times New Roman"/>
          <w:i/>
          <w:sz w:val="24"/>
          <w:szCs w:val="24"/>
        </w:rPr>
        <w:t>in vivo</w:t>
      </w:r>
      <w:r w:rsidRPr="000E1BC3">
        <w:rPr>
          <w:rFonts w:ascii="Times New Roman" w:hAnsi="Times New Roman"/>
          <w:sz w:val="24"/>
          <w:szCs w:val="24"/>
        </w:rPr>
        <w:t>.</w:t>
      </w:r>
    </w:p>
    <w:p w:rsidR="004C6356" w:rsidRPr="000E1BC3" w:rsidRDefault="004C6356" w:rsidP="004C6356">
      <w:pPr>
        <w:jc w:val="both"/>
        <w:rPr>
          <w:rFonts w:ascii="Times New Roman" w:hAnsi="Times New Roman"/>
          <w:noProof/>
          <w:sz w:val="24"/>
          <w:szCs w:val="24"/>
        </w:rPr>
      </w:pPr>
    </w:p>
    <w:p w:rsidR="004C6356" w:rsidRPr="000E1BC3" w:rsidRDefault="004C6356" w:rsidP="004C6356">
      <w:pPr>
        <w:jc w:val="both"/>
        <w:rPr>
          <w:rFonts w:ascii="Times New Roman" w:hAnsi="Times New Roman"/>
          <w:bCs/>
          <w:iCs/>
          <w:noProof/>
          <w:sz w:val="24"/>
          <w:szCs w:val="24"/>
          <w:lang w:val="en-US"/>
        </w:rPr>
      </w:pPr>
      <w:r w:rsidRPr="000E1BC3">
        <w:rPr>
          <w:rFonts w:ascii="Times New Roman" w:hAnsi="Times New Roman"/>
          <w:b/>
          <w:bCs/>
          <w:i/>
          <w:iCs/>
          <w:noProof/>
          <w:sz w:val="24"/>
          <w:szCs w:val="24"/>
          <w:lang w:val="en-US"/>
        </w:rPr>
        <w:t>Tenofovir Alafenamide:</w:t>
      </w:r>
      <w:r w:rsidRPr="000E1BC3">
        <w:rPr>
          <w:rFonts w:ascii="Times New Roman" w:hAnsi="Times New Roman"/>
          <w:bCs/>
          <w:iCs/>
          <w:noProof/>
          <w:sz w:val="24"/>
          <w:szCs w:val="24"/>
          <w:lang w:val="en-US"/>
        </w:rPr>
        <w:t xml:space="preserve"> TAF was not genotoxic in the reverse mutation bacterial test (Ames test), mouse lymphoma or rat micronucleus assays.</w:t>
      </w:r>
    </w:p>
    <w:p w:rsidR="004C6356" w:rsidRPr="000E1BC3" w:rsidRDefault="004C6356" w:rsidP="004C6356">
      <w:pPr>
        <w:jc w:val="both"/>
        <w:rPr>
          <w:rFonts w:ascii="Times New Roman" w:hAnsi="Times New Roman"/>
          <w:noProof/>
          <w:sz w:val="24"/>
          <w:szCs w:val="24"/>
        </w:rPr>
      </w:pPr>
    </w:p>
    <w:p w:rsidR="004C6356" w:rsidRPr="000E1BC3" w:rsidRDefault="004C6356" w:rsidP="00F53665">
      <w:pPr>
        <w:numPr>
          <w:ilvl w:val="0"/>
          <w:numId w:val="20"/>
        </w:numPr>
        <w:spacing w:after="120"/>
        <w:ind w:left="357" w:hanging="357"/>
        <w:outlineLvl w:val="0"/>
        <w:rPr>
          <w:rFonts w:ascii="Times New Roman" w:hAnsi="Times New Roman"/>
          <w:b/>
          <w:noProof/>
          <w:sz w:val="24"/>
          <w:szCs w:val="24"/>
        </w:rPr>
      </w:pPr>
      <w:r w:rsidRPr="000E1BC3">
        <w:rPr>
          <w:rFonts w:ascii="Times New Roman" w:hAnsi="Times New Roman"/>
          <w:b/>
          <w:noProof/>
          <w:sz w:val="24"/>
          <w:szCs w:val="24"/>
        </w:rPr>
        <w:t xml:space="preserve">Carcinogenicity </w:t>
      </w:r>
    </w:p>
    <w:p w:rsidR="004C6356" w:rsidRPr="000E1BC3" w:rsidRDefault="004C6356" w:rsidP="004C6356">
      <w:pPr>
        <w:ind w:left="567" w:hanging="567"/>
        <w:outlineLvl w:val="0"/>
        <w:rPr>
          <w:rFonts w:ascii="Times New Roman" w:hAnsi="Times New Roman"/>
          <w:noProof/>
          <w:sz w:val="24"/>
          <w:szCs w:val="24"/>
        </w:rPr>
      </w:pPr>
      <w:r w:rsidRPr="000E1BC3">
        <w:rPr>
          <w:rFonts w:ascii="Times New Roman" w:hAnsi="Times New Roman"/>
          <w:noProof/>
          <w:sz w:val="24"/>
          <w:szCs w:val="24"/>
        </w:rPr>
        <w:t>No carcinogenicity studies have been conducted with BIC, FTC and TAF in combination.</w:t>
      </w:r>
    </w:p>
    <w:p w:rsidR="004C6356" w:rsidRPr="000E1BC3" w:rsidRDefault="004C6356" w:rsidP="004C6356">
      <w:pPr>
        <w:rPr>
          <w:rFonts w:ascii="Times New Roman" w:hAnsi="Times New Roman"/>
          <w:sz w:val="24"/>
          <w:szCs w:val="24"/>
        </w:rPr>
      </w:pPr>
    </w:p>
    <w:p w:rsidR="004C6356" w:rsidRPr="000E1BC3" w:rsidRDefault="004C6356" w:rsidP="004C6356">
      <w:pPr>
        <w:rPr>
          <w:rFonts w:ascii="Times New Roman" w:hAnsi="Times New Roman"/>
          <w:noProof/>
          <w:sz w:val="24"/>
          <w:szCs w:val="24"/>
        </w:rPr>
      </w:pPr>
      <w:r w:rsidRPr="000E1BC3">
        <w:rPr>
          <w:rFonts w:ascii="Times New Roman" w:hAnsi="Times New Roman"/>
          <w:b/>
          <w:i/>
          <w:noProof/>
          <w:sz w:val="24"/>
          <w:szCs w:val="24"/>
        </w:rPr>
        <w:t xml:space="preserve">Bictegravir: </w:t>
      </w:r>
      <w:r w:rsidRPr="000E1BC3">
        <w:rPr>
          <w:rFonts w:ascii="Times New Roman" w:hAnsi="Times New Roman"/>
          <w:noProof/>
          <w:sz w:val="24"/>
          <w:szCs w:val="24"/>
        </w:rPr>
        <w:t>BIC was not carcinogenic in a 6-month rasH2 transgenic mouse study at doses of up to 100 mg/kg/day in males and 300 mg/kg/day in females,</w:t>
      </w:r>
      <w:r>
        <w:rPr>
          <w:rFonts w:ascii="Times New Roman" w:hAnsi="Times New Roman"/>
          <w:noProof/>
          <w:sz w:val="24"/>
          <w:szCs w:val="24"/>
        </w:rPr>
        <w:t xml:space="preserve"> respectively. This </w:t>
      </w:r>
      <w:r w:rsidRPr="000E1BC3">
        <w:rPr>
          <w:rFonts w:ascii="Times New Roman" w:hAnsi="Times New Roman"/>
          <w:noProof/>
          <w:sz w:val="24"/>
          <w:szCs w:val="24"/>
        </w:rPr>
        <w:t xml:space="preserve">resulted in exposures of approximately 15 </w:t>
      </w:r>
      <w:r>
        <w:rPr>
          <w:rFonts w:ascii="Times New Roman" w:hAnsi="Times New Roman"/>
          <w:noProof/>
          <w:sz w:val="24"/>
          <w:szCs w:val="24"/>
        </w:rPr>
        <w:t xml:space="preserve">(males) </w:t>
      </w:r>
      <w:r w:rsidRPr="000E1BC3">
        <w:rPr>
          <w:rFonts w:ascii="Times New Roman" w:hAnsi="Times New Roman"/>
          <w:noProof/>
          <w:sz w:val="24"/>
          <w:szCs w:val="24"/>
        </w:rPr>
        <w:t xml:space="preserve">and 23 </w:t>
      </w:r>
      <w:r>
        <w:rPr>
          <w:rFonts w:ascii="Times New Roman" w:hAnsi="Times New Roman"/>
          <w:noProof/>
          <w:sz w:val="24"/>
          <w:szCs w:val="24"/>
        </w:rPr>
        <w:t xml:space="preserve">(females) </w:t>
      </w:r>
      <w:r w:rsidRPr="000E1BC3">
        <w:rPr>
          <w:rFonts w:ascii="Times New Roman" w:hAnsi="Times New Roman"/>
          <w:noProof/>
          <w:sz w:val="24"/>
          <w:szCs w:val="24"/>
        </w:rPr>
        <w:t>timesthe exposure in humans at the recommended dose.</w:t>
      </w:r>
      <w:r w:rsidR="00B24899">
        <w:rPr>
          <w:rFonts w:ascii="Times New Roman" w:hAnsi="Times New Roman"/>
          <w:noProof/>
          <w:sz w:val="24"/>
          <w:szCs w:val="24"/>
        </w:rPr>
        <w:t xml:space="preserve"> </w:t>
      </w:r>
      <w:r w:rsidR="00B24899" w:rsidRPr="00B24899">
        <w:rPr>
          <w:rFonts w:ascii="Times New Roman" w:hAnsi="Times New Roman"/>
          <w:noProof/>
          <w:sz w:val="24"/>
          <w:szCs w:val="24"/>
        </w:rPr>
        <w:t>Bictegravir was also not carcinogenic in a 104 week rat study at doses up to 300 mg/kg/day. This resulted in an exposure of approximately 31 times the exposure in humans at the recommended dose.</w:t>
      </w:r>
    </w:p>
    <w:p w:rsidR="004C6356" w:rsidRPr="000E1BC3" w:rsidRDefault="004C6356" w:rsidP="004C6356">
      <w:pPr>
        <w:jc w:val="both"/>
        <w:rPr>
          <w:rFonts w:ascii="Times New Roman" w:hAnsi="Times New Roman"/>
          <w:b/>
          <w:i/>
          <w:noProof/>
          <w:sz w:val="24"/>
          <w:szCs w:val="24"/>
        </w:rPr>
      </w:pPr>
    </w:p>
    <w:p w:rsidR="004C6356" w:rsidRPr="000E1BC3" w:rsidRDefault="004C6356" w:rsidP="004C6356">
      <w:pPr>
        <w:rPr>
          <w:rFonts w:ascii="Times New Roman" w:hAnsi="Times New Roman"/>
          <w:sz w:val="24"/>
          <w:szCs w:val="24"/>
        </w:rPr>
      </w:pPr>
      <w:r w:rsidRPr="000E1BC3">
        <w:rPr>
          <w:rFonts w:ascii="Times New Roman" w:hAnsi="Times New Roman"/>
          <w:b/>
          <w:i/>
          <w:noProof/>
          <w:sz w:val="24"/>
          <w:szCs w:val="24"/>
        </w:rPr>
        <w:t xml:space="preserve">Emtricitabine: </w:t>
      </w:r>
      <w:r w:rsidRPr="000E1BC3">
        <w:rPr>
          <w:rFonts w:ascii="Times New Roman" w:hAnsi="Times New Roman"/>
          <w:sz w:val="24"/>
          <w:szCs w:val="24"/>
        </w:rPr>
        <w:t xml:space="preserve">In long-term oral carcinogenicity studies conducted with FTC, no drug-related increases in tumour incidence were found in mice at doses up to 750 mg/kg/day (32 times the human systemic exposure (AUC) at the therapeutic dose of 200 mg/day) or in rats at doses up to 600 mg/kg/day (38 times the human systemic exposure at the therapeutic dose). </w:t>
      </w:r>
    </w:p>
    <w:p w:rsidR="004C6356" w:rsidRPr="000E1BC3" w:rsidRDefault="004C6356" w:rsidP="004C6356">
      <w:pPr>
        <w:rPr>
          <w:rFonts w:ascii="Times New Roman" w:hAnsi="Times New Roman"/>
          <w:b/>
          <w:i/>
          <w:sz w:val="24"/>
          <w:szCs w:val="24"/>
        </w:rPr>
      </w:pPr>
    </w:p>
    <w:p w:rsidR="004C6356" w:rsidRPr="000E1BC3" w:rsidRDefault="004C6356" w:rsidP="004C6356">
      <w:pPr>
        <w:rPr>
          <w:rFonts w:ascii="Times New Roman" w:hAnsi="Times New Roman"/>
          <w:sz w:val="24"/>
          <w:szCs w:val="24"/>
          <w:lang w:val="en-US"/>
        </w:rPr>
      </w:pPr>
      <w:r w:rsidRPr="000E1BC3">
        <w:rPr>
          <w:rFonts w:ascii="Times New Roman" w:hAnsi="Times New Roman"/>
          <w:b/>
          <w:i/>
          <w:sz w:val="24"/>
          <w:szCs w:val="24"/>
          <w:lang w:val="en-US"/>
        </w:rPr>
        <w:t xml:space="preserve">Tenofovir Alafenamide: </w:t>
      </w:r>
      <w:r w:rsidRPr="000E1BC3">
        <w:rPr>
          <w:rFonts w:ascii="Times New Roman" w:hAnsi="Times New Roman"/>
          <w:sz w:val="24"/>
          <w:szCs w:val="24"/>
          <w:lang w:val="en-US"/>
        </w:rPr>
        <w:t xml:space="preserve">Because there is a lower tenofovir exposure in rats and mice after TAF administration compared to TDF, carcinogenicity studies were conducted only with TDF. Long-term oral carcinogenicity studies of TDF in mice and rats were carried out at exposures up to approximately 10 times (mice) and 4 times (rats) those observed in </w:t>
      </w:r>
      <w:r w:rsidRPr="000E1BC3">
        <w:rPr>
          <w:rFonts w:ascii="Times New Roman" w:hAnsi="Times New Roman"/>
          <w:sz w:val="24"/>
          <w:szCs w:val="24"/>
          <w:lang w:val="en-US"/>
        </w:rPr>
        <w:lastRenderedPageBreak/>
        <w:t xml:space="preserve">humans at the 300 mg therapeutic dose of TDF for HIV-1 infection. At the high dose in female mice, liver adenomas were increased at </w:t>
      </w:r>
      <w:r>
        <w:rPr>
          <w:rFonts w:ascii="Times New Roman" w:hAnsi="Times New Roman"/>
          <w:sz w:val="24"/>
          <w:szCs w:val="24"/>
          <w:lang w:val="en-US"/>
        </w:rPr>
        <w:t xml:space="preserve">tenofovir </w:t>
      </w:r>
      <w:r w:rsidRPr="000E1BC3">
        <w:rPr>
          <w:rFonts w:ascii="Times New Roman" w:hAnsi="Times New Roman"/>
          <w:sz w:val="24"/>
          <w:szCs w:val="24"/>
          <w:lang w:val="en-US"/>
        </w:rPr>
        <w:t>exposures 10 times (300 mg TDF) and 151 times (</w:t>
      </w:r>
      <w:r w:rsidR="002F43D2">
        <w:rPr>
          <w:rFonts w:ascii="Times New Roman" w:hAnsi="Times New Roman"/>
          <w:sz w:val="24"/>
          <w:szCs w:val="24"/>
          <w:lang w:val="en-US"/>
        </w:rPr>
        <w:t>BIKTARVY</w:t>
      </w:r>
      <w:r w:rsidRPr="000E1BC3">
        <w:rPr>
          <w:rFonts w:ascii="Times New Roman" w:hAnsi="Times New Roman"/>
          <w:sz w:val="24"/>
          <w:szCs w:val="24"/>
          <w:lang w:val="en-US"/>
        </w:rPr>
        <w:t>) the exposure observed in humans.  In rats, the study was negative for carcinogenic findings.</w:t>
      </w:r>
    </w:p>
    <w:p w:rsidR="004C6356" w:rsidRDefault="004C6356" w:rsidP="007254DD">
      <w:pPr>
        <w:jc w:val="both"/>
        <w:rPr>
          <w:rFonts w:ascii="Times New Roman" w:hAnsi="Times New Roman"/>
          <w:b/>
          <w:sz w:val="28"/>
          <w:szCs w:val="24"/>
        </w:rPr>
      </w:pPr>
    </w:p>
    <w:p w:rsidR="007254DD" w:rsidRPr="00F54034" w:rsidRDefault="003F3E2A" w:rsidP="00F53665">
      <w:pPr>
        <w:spacing w:after="120"/>
        <w:jc w:val="both"/>
        <w:rPr>
          <w:rFonts w:ascii="Times New Roman" w:hAnsi="Times New Roman"/>
          <w:b/>
          <w:sz w:val="28"/>
          <w:szCs w:val="24"/>
        </w:rPr>
      </w:pPr>
      <w:r w:rsidRPr="00DD64CE">
        <w:rPr>
          <w:rFonts w:ascii="Times New Roman" w:hAnsi="Times New Roman"/>
          <w:b/>
          <w:sz w:val="24"/>
          <w:szCs w:val="24"/>
        </w:rPr>
        <w:t>6. PHARMACEUTICAL PARTICULARS</w:t>
      </w:r>
    </w:p>
    <w:p w:rsidR="0039334F" w:rsidRDefault="0039334F" w:rsidP="00F53665">
      <w:pPr>
        <w:spacing w:after="120"/>
        <w:jc w:val="both"/>
        <w:rPr>
          <w:rFonts w:ascii="Times New Roman" w:hAnsi="Times New Roman"/>
          <w:b/>
          <w:noProof/>
          <w:sz w:val="24"/>
          <w:szCs w:val="24"/>
        </w:rPr>
      </w:pPr>
      <w:r w:rsidRPr="0039334F">
        <w:rPr>
          <w:rFonts w:ascii="Times New Roman" w:hAnsi="Times New Roman"/>
          <w:b/>
          <w:noProof/>
          <w:sz w:val="24"/>
          <w:szCs w:val="24"/>
        </w:rPr>
        <w:t>6.1</w:t>
      </w:r>
      <w:r w:rsidRPr="0039334F">
        <w:rPr>
          <w:rFonts w:ascii="Times New Roman" w:hAnsi="Times New Roman"/>
          <w:b/>
          <w:noProof/>
          <w:sz w:val="24"/>
          <w:szCs w:val="24"/>
        </w:rPr>
        <w:tab/>
        <w:t>LIST OF EXCIPIENTS</w:t>
      </w:r>
    </w:p>
    <w:p w:rsidR="008B2F96" w:rsidRDefault="008B2F96" w:rsidP="008B2F96">
      <w:pPr>
        <w:rPr>
          <w:rFonts w:ascii="Times New Roman" w:hAnsi="Times New Roman"/>
          <w:noProof/>
          <w:sz w:val="24"/>
          <w:szCs w:val="24"/>
        </w:rPr>
      </w:pPr>
      <w:r>
        <w:rPr>
          <w:rFonts w:ascii="Times New Roman" w:hAnsi="Times New Roman"/>
          <w:noProof/>
          <w:sz w:val="24"/>
          <w:szCs w:val="24"/>
          <w:lang w:val="en-US"/>
        </w:rPr>
        <w:t>C</w:t>
      </w:r>
      <w:r w:rsidRPr="000E1BC3">
        <w:rPr>
          <w:rFonts w:ascii="Times New Roman" w:hAnsi="Times New Roman"/>
          <w:noProof/>
          <w:sz w:val="24"/>
          <w:szCs w:val="24"/>
          <w:lang w:val="en-US"/>
        </w:rPr>
        <w:t>roscarmellose sodium, magnesium stearate, and microcrystalline cellulose.</w:t>
      </w:r>
      <w:r w:rsidRPr="000E1BC3">
        <w:rPr>
          <w:rFonts w:ascii="Times New Roman" w:hAnsi="Times New Roman"/>
          <w:noProof/>
          <w:sz w:val="24"/>
          <w:szCs w:val="24"/>
        </w:rPr>
        <w:t xml:space="preserve">  </w:t>
      </w:r>
    </w:p>
    <w:p w:rsidR="008B2F96" w:rsidRDefault="008B2F96" w:rsidP="008B2F96">
      <w:pPr>
        <w:rPr>
          <w:rFonts w:ascii="Times New Roman" w:hAnsi="Times New Roman"/>
          <w:noProof/>
          <w:sz w:val="24"/>
          <w:szCs w:val="24"/>
        </w:rPr>
      </w:pPr>
    </w:p>
    <w:p w:rsidR="008B2F96" w:rsidRPr="000E1BC3" w:rsidRDefault="008B2F96" w:rsidP="008B2F96">
      <w:pPr>
        <w:rPr>
          <w:rFonts w:ascii="Times New Roman" w:hAnsi="Times New Roman"/>
          <w:noProof/>
          <w:sz w:val="24"/>
          <w:szCs w:val="24"/>
          <w:lang w:val="en-US"/>
        </w:rPr>
      </w:pPr>
      <w:r w:rsidRPr="000E1BC3">
        <w:rPr>
          <w:rFonts w:ascii="Times New Roman" w:hAnsi="Times New Roman"/>
          <w:noProof/>
          <w:sz w:val="24"/>
          <w:szCs w:val="24"/>
        </w:rPr>
        <w:t>The tablets are film</w:t>
      </w:r>
      <w:r w:rsidRPr="000E1BC3">
        <w:rPr>
          <w:rFonts w:ascii="Times New Roman" w:hAnsi="Times New Roman"/>
          <w:noProof/>
          <w:sz w:val="24"/>
          <w:szCs w:val="24"/>
        </w:rPr>
        <w:noBreakHyphen/>
        <w:t>coated with  a coating material containing</w:t>
      </w:r>
      <w:r w:rsidRPr="000E1BC3">
        <w:rPr>
          <w:rFonts w:ascii="Times New Roman" w:hAnsi="Times New Roman"/>
          <w:noProof/>
          <w:sz w:val="24"/>
          <w:szCs w:val="24"/>
          <w:lang w:val="en-US"/>
        </w:rPr>
        <w:t xml:space="preserve"> iron oxide black, iron oxide red, polyethylene glycol</w:t>
      </w:r>
      <w:r w:rsidRPr="000E1BC3">
        <w:rPr>
          <w:rFonts w:ascii="Times New Roman" w:hAnsi="Times New Roman"/>
          <w:noProof/>
          <w:sz w:val="24"/>
          <w:szCs w:val="24"/>
        </w:rPr>
        <w:t xml:space="preserve">, </w:t>
      </w:r>
      <w:r w:rsidRPr="000E1BC3">
        <w:rPr>
          <w:rFonts w:ascii="Times New Roman" w:hAnsi="Times New Roman"/>
          <w:noProof/>
          <w:sz w:val="24"/>
          <w:szCs w:val="24"/>
          <w:lang w:val="en-US"/>
        </w:rPr>
        <w:t>polyvinyl alcohol, talc, and titanium dioxide.</w:t>
      </w:r>
      <w:r w:rsidR="00E85954">
        <w:rPr>
          <w:rFonts w:ascii="Times New Roman" w:hAnsi="Times New Roman"/>
          <w:noProof/>
          <w:sz w:val="24"/>
          <w:szCs w:val="24"/>
          <w:lang w:val="en-US"/>
        </w:rPr>
        <w:t xml:space="preserve"> </w:t>
      </w:r>
    </w:p>
    <w:p w:rsidR="00F72885" w:rsidRDefault="00F72885" w:rsidP="007254DD">
      <w:pPr>
        <w:jc w:val="both"/>
        <w:rPr>
          <w:rFonts w:ascii="Times New Roman" w:hAnsi="Times New Roman"/>
          <w:noProof/>
          <w:sz w:val="24"/>
          <w:szCs w:val="24"/>
          <w:lang w:val="en-US"/>
        </w:rPr>
      </w:pPr>
    </w:p>
    <w:p w:rsidR="008B2F96" w:rsidRDefault="00F72885" w:rsidP="007254DD">
      <w:pPr>
        <w:jc w:val="both"/>
        <w:rPr>
          <w:rFonts w:ascii="Times New Roman" w:hAnsi="Times New Roman"/>
          <w:b/>
          <w:noProof/>
          <w:sz w:val="24"/>
          <w:szCs w:val="24"/>
        </w:rPr>
      </w:pPr>
      <w:r w:rsidRPr="00E85954">
        <w:rPr>
          <w:rFonts w:ascii="Times New Roman" w:hAnsi="Times New Roman"/>
          <w:noProof/>
          <w:sz w:val="24"/>
          <w:szCs w:val="24"/>
          <w:lang w:val="en-US"/>
        </w:rPr>
        <w:t>Refer to Section 2 – Qualitative and quantitative composition.</w:t>
      </w:r>
    </w:p>
    <w:p w:rsidR="00F72885" w:rsidRDefault="00F72885" w:rsidP="00F53665">
      <w:pPr>
        <w:spacing w:after="120"/>
        <w:jc w:val="both"/>
        <w:rPr>
          <w:rFonts w:ascii="Times New Roman" w:hAnsi="Times New Roman"/>
          <w:b/>
          <w:noProof/>
          <w:sz w:val="24"/>
          <w:szCs w:val="24"/>
        </w:rPr>
      </w:pPr>
    </w:p>
    <w:p w:rsidR="008B2F96" w:rsidRDefault="00CF153B" w:rsidP="00F53665">
      <w:pPr>
        <w:spacing w:after="120"/>
        <w:jc w:val="both"/>
        <w:rPr>
          <w:rFonts w:ascii="Times New Roman" w:hAnsi="Times New Roman"/>
          <w:b/>
          <w:noProof/>
          <w:sz w:val="24"/>
          <w:szCs w:val="24"/>
        </w:rPr>
      </w:pPr>
      <w:r w:rsidRPr="00D84968">
        <w:rPr>
          <w:rFonts w:ascii="Times New Roman" w:hAnsi="Times New Roman"/>
          <w:b/>
          <w:noProof/>
          <w:sz w:val="24"/>
          <w:szCs w:val="24"/>
        </w:rPr>
        <w:t xml:space="preserve">6.2 </w:t>
      </w:r>
      <w:r w:rsidRPr="00D84968">
        <w:rPr>
          <w:rFonts w:ascii="Times New Roman" w:hAnsi="Times New Roman"/>
          <w:b/>
          <w:noProof/>
          <w:sz w:val="24"/>
          <w:szCs w:val="24"/>
        </w:rPr>
        <w:tab/>
        <w:t>INCOMPATIBILITIES</w:t>
      </w:r>
    </w:p>
    <w:p w:rsidR="00D84968" w:rsidRDefault="00D84968" w:rsidP="007254DD">
      <w:pPr>
        <w:jc w:val="both"/>
        <w:rPr>
          <w:rFonts w:ascii="Times New Roman" w:hAnsi="Times New Roman"/>
          <w:noProof/>
          <w:sz w:val="24"/>
          <w:szCs w:val="24"/>
        </w:rPr>
      </w:pPr>
      <w:r w:rsidRPr="00D84968">
        <w:rPr>
          <w:rFonts w:ascii="Times New Roman" w:hAnsi="Times New Roman"/>
          <w:noProof/>
          <w:sz w:val="24"/>
          <w:szCs w:val="24"/>
        </w:rPr>
        <w:t xml:space="preserve">Not applicable. </w:t>
      </w:r>
    </w:p>
    <w:p w:rsidR="00626747" w:rsidRPr="00D84968" w:rsidRDefault="00626747" w:rsidP="007254DD">
      <w:pPr>
        <w:jc w:val="both"/>
        <w:rPr>
          <w:rFonts w:ascii="Times New Roman" w:hAnsi="Times New Roman"/>
          <w:noProof/>
          <w:sz w:val="24"/>
          <w:szCs w:val="24"/>
        </w:rPr>
      </w:pPr>
    </w:p>
    <w:p w:rsidR="00CF153B" w:rsidRDefault="00CF153B" w:rsidP="00F53665">
      <w:pPr>
        <w:spacing w:after="120"/>
        <w:jc w:val="both"/>
        <w:rPr>
          <w:rFonts w:ascii="Times New Roman" w:hAnsi="Times New Roman"/>
          <w:b/>
          <w:noProof/>
          <w:sz w:val="24"/>
          <w:szCs w:val="24"/>
        </w:rPr>
      </w:pPr>
      <w:r w:rsidRPr="002319B2">
        <w:rPr>
          <w:rFonts w:ascii="Times New Roman" w:hAnsi="Times New Roman"/>
          <w:b/>
          <w:noProof/>
          <w:sz w:val="24"/>
          <w:szCs w:val="24"/>
        </w:rPr>
        <w:t xml:space="preserve">6.3 </w:t>
      </w:r>
      <w:r w:rsidRPr="002319B2">
        <w:rPr>
          <w:rFonts w:ascii="Times New Roman" w:hAnsi="Times New Roman"/>
          <w:b/>
          <w:noProof/>
          <w:sz w:val="24"/>
          <w:szCs w:val="24"/>
        </w:rPr>
        <w:tab/>
        <w:t>SHELF LIFE</w:t>
      </w:r>
    </w:p>
    <w:p w:rsidR="00BC11CF" w:rsidRDefault="00BC11CF" w:rsidP="007254DD">
      <w:pPr>
        <w:jc w:val="both"/>
        <w:rPr>
          <w:rFonts w:ascii="Times New Roman" w:hAnsi="Times New Roman"/>
          <w:noProof/>
          <w:sz w:val="24"/>
          <w:szCs w:val="24"/>
        </w:rPr>
      </w:pPr>
      <w:r w:rsidRPr="002319B2">
        <w:rPr>
          <w:rFonts w:ascii="Times New Roman" w:hAnsi="Times New Roman"/>
          <w:noProof/>
          <w:sz w:val="24"/>
          <w:szCs w:val="24"/>
        </w:rPr>
        <w:t xml:space="preserve">The shelf-life of </w:t>
      </w:r>
      <w:r w:rsidR="002F43D2">
        <w:rPr>
          <w:rFonts w:ascii="Times New Roman" w:hAnsi="Times New Roman"/>
          <w:noProof/>
          <w:sz w:val="24"/>
          <w:szCs w:val="24"/>
        </w:rPr>
        <w:t>BIKTARVY</w:t>
      </w:r>
      <w:r w:rsidRPr="002319B2">
        <w:rPr>
          <w:rFonts w:ascii="Times New Roman" w:hAnsi="Times New Roman"/>
          <w:noProof/>
          <w:sz w:val="24"/>
          <w:szCs w:val="24"/>
        </w:rPr>
        <w:t xml:space="preserve"> is 24 months when stored in the supplied HDPE bottles at the recommended storage condition. </w:t>
      </w:r>
    </w:p>
    <w:p w:rsidR="00BC11CF" w:rsidRPr="000E1BC3" w:rsidRDefault="00BC11CF" w:rsidP="007254DD">
      <w:pPr>
        <w:jc w:val="both"/>
        <w:rPr>
          <w:rFonts w:ascii="Times New Roman" w:hAnsi="Times New Roman"/>
          <w:b/>
          <w:noProof/>
          <w:sz w:val="24"/>
          <w:szCs w:val="24"/>
        </w:rPr>
      </w:pPr>
    </w:p>
    <w:p w:rsidR="003F3E2A" w:rsidRDefault="003F3E2A" w:rsidP="00F53665">
      <w:pPr>
        <w:spacing w:after="120"/>
        <w:jc w:val="both"/>
        <w:rPr>
          <w:rFonts w:ascii="Times New Roman" w:hAnsi="Times New Roman"/>
          <w:b/>
          <w:noProof/>
          <w:sz w:val="24"/>
          <w:szCs w:val="24"/>
        </w:rPr>
      </w:pPr>
      <w:r w:rsidRPr="000E1BC3">
        <w:rPr>
          <w:rFonts w:ascii="Times New Roman" w:hAnsi="Times New Roman"/>
          <w:b/>
          <w:noProof/>
          <w:sz w:val="24"/>
          <w:szCs w:val="24"/>
        </w:rPr>
        <w:t>6.</w:t>
      </w:r>
      <w:r w:rsidR="00AB61B0">
        <w:rPr>
          <w:rFonts w:ascii="Times New Roman" w:hAnsi="Times New Roman"/>
          <w:b/>
          <w:noProof/>
          <w:sz w:val="24"/>
          <w:szCs w:val="24"/>
        </w:rPr>
        <w:t>4</w:t>
      </w:r>
      <w:r w:rsidR="00AB61B0" w:rsidRPr="000E1BC3">
        <w:rPr>
          <w:rFonts w:ascii="Times New Roman" w:hAnsi="Times New Roman"/>
          <w:b/>
          <w:noProof/>
          <w:sz w:val="24"/>
          <w:szCs w:val="24"/>
        </w:rPr>
        <w:t xml:space="preserve"> </w:t>
      </w:r>
      <w:r w:rsidR="00EF1F2C">
        <w:rPr>
          <w:rFonts w:ascii="Times New Roman" w:hAnsi="Times New Roman"/>
          <w:b/>
          <w:noProof/>
          <w:sz w:val="24"/>
          <w:szCs w:val="24"/>
        </w:rPr>
        <w:tab/>
      </w:r>
      <w:r w:rsidRPr="000E1BC3">
        <w:rPr>
          <w:rFonts w:ascii="Times New Roman" w:hAnsi="Times New Roman"/>
          <w:b/>
          <w:noProof/>
          <w:sz w:val="24"/>
          <w:szCs w:val="24"/>
        </w:rPr>
        <w:t>SPECIAL PRECAUTIONS FOR STORAGE</w:t>
      </w:r>
    </w:p>
    <w:p w:rsidR="003F3E2A" w:rsidRPr="000E1BC3" w:rsidRDefault="002F43D2" w:rsidP="003F3E2A">
      <w:pPr>
        <w:jc w:val="both"/>
        <w:rPr>
          <w:rFonts w:ascii="Times New Roman" w:hAnsi="Times New Roman"/>
          <w:sz w:val="24"/>
          <w:szCs w:val="24"/>
        </w:rPr>
      </w:pPr>
      <w:r>
        <w:rPr>
          <w:rFonts w:ascii="Times New Roman" w:hAnsi="Times New Roman"/>
          <w:sz w:val="24"/>
          <w:lang w:val="en-US"/>
        </w:rPr>
        <w:t>BIKTARVY</w:t>
      </w:r>
      <w:r w:rsidR="003F3E2A" w:rsidRPr="000E1BC3">
        <w:rPr>
          <w:rFonts w:ascii="Times New Roman" w:hAnsi="Times New Roman"/>
          <w:sz w:val="24"/>
          <w:szCs w:val="24"/>
        </w:rPr>
        <w:t xml:space="preserve"> should be stored below 30 °C.</w:t>
      </w:r>
    </w:p>
    <w:p w:rsidR="00C62E8B" w:rsidRDefault="00C62E8B" w:rsidP="007254DD">
      <w:pPr>
        <w:jc w:val="both"/>
        <w:rPr>
          <w:rFonts w:ascii="Times New Roman" w:hAnsi="Times New Roman"/>
          <w:b/>
          <w:noProof/>
          <w:sz w:val="24"/>
          <w:szCs w:val="24"/>
        </w:rPr>
      </w:pPr>
    </w:p>
    <w:p w:rsidR="003F3E2A" w:rsidRDefault="003F3E2A" w:rsidP="00F53665">
      <w:pPr>
        <w:numPr>
          <w:ilvl w:val="12"/>
          <w:numId w:val="0"/>
        </w:numPr>
        <w:spacing w:after="120"/>
        <w:jc w:val="both"/>
        <w:rPr>
          <w:rFonts w:ascii="Times New Roman" w:hAnsi="Times New Roman"/>
          <w:b/>
          <w:sz w:val="24"/>
          <w:lang w:val="en-US"/>
        </w:rPr>
      </w:pPr>
      <w:r w:rsidRPr="000E1BC3">
        <w:rPr>
          <w:rFonts w:ascii="Times New Roman" w:hAnsi="Times New Roman"/>
          <w:b/>
          <w:sz w:val="24"/>
          <w:lang w:val="en-US"/>
        </w:rPr>
        <w:t>6.</w:t>
      </w:r>
      <w:r w:rsidR="00AB61B0">
        <w:rPr>
          <w:rFonts w:ascii="Times New Roman" w:hAnsi="Times New Roman"/>
          <w:b/>
          <w:sz w:val="24"/>
          <w:lang w:val="en-US"/>
        </w:rPr>
        <w:t>5</w:t>
      </w:r>
      <w:r w:rsidR="00AB61B0" w:rsidRPr="000E1BC3">
        <w:rPr>
          <w:rFonts w:ascii="Times New Roman" w:hAnsi="Times New Roman"/>
          <w:b/>
          <w:sz w:val="24"/>
          <w:lang w:val="en-US"/>
        </w:rPr>
        <w:t xml:space="preserve"> </w:t>
      </w:r>
      <w:r w:rsidR="00EF1F2C">
        <w:rPr>
          <w:rFonts w:ascii="Times New Roman" w:hAnsi="Times New Roman"/>
          <w:b/>
          <w:sz w:val="24"/>
          <w:lang w:val="en-US"/>
        </w:rPr>
        <w:tab/>
      </w:r>
      <w:r w:rsidRPr="000E1BC3">
        <w:rPr>
          <w:rFonts w:ascii="Times New Roman" w:hAnsi="Times New Roman"/>
          <w:b/>
          <w:sz w:val="24"/>
          <w:lang w:val="en-US"/>
        </w:rPr>
        <w:t>NATURE AND CONTENTS OF CONTAINER</w:t>
      </w:r>
    </w:p>
    <w:p w:rsidR="00461288" w:rsidRDefault="002F43D2" w:rsidP="00461288">
      <w:pPr>
        <w:rPr>
          <w:rFonts w:ascii="Times New Roman" w:hAnsi="Times New Roman"/>
          <w:noProof/>
          <w:sz w:val="24"/>
          <w:szCs w:val="24"/>
        </w:rPr>
      </w:pPr>
      <w:r>
        <w:rPr>
          <w:rFonts w:ascii="Times New Roman" w:hAnsi="Times New Roman"/>
          <w:sz w:val="24"/>
          <w:lang w:val="en-US"/>
        </w:rPr>
        <w:t>BIKTARVY</w:t>
      </w:r>
      <w:r w:rsidR="00AA4476" w:rsidRPr="000E1BC3">
        <w:rPr>
          <w:rFonts w:ascii="Times New Roman" w:hAnsi="Times New Roman"/>
          <w:noProof/>
          <w:sz w:val="24"/>
          <w:szCs w:val="24"/>
        </w:rPr>
        <w:t xml:space="preserve"> </w:t>
      </w:r>
      <w:r w:rsidR="00461288" w:rsidRPr="000E1BC3">
        <w:rPr>
          <w:rFonts w:ascii="Times New Roman" w:hAnsi="Times New Roman"/>
          <w:noProof/>
          <w:sz w:val="24"/>
          <w:szCs w:val="24"/>
        </w:rPr>
        <w:t xml:space="preserve">tablets are supplied </w:t>
      </w:r>
      <w:r w:rsidR="00461288" w:rsidRPr="00BC11CF">
        <w:rPr>
          <w:rFonts w:ascii="Times New Roman" w:hAnsi="Times New Roman"/>
          <w:noProof/>
          <w:sz w:val="24"/>
          <w:szCs w:val="24"/>
        </w:rPr>
        <w:t xml:space="preserve">in </w:t>
      </w:r>
      <w:r w:rsidR="00874A82">
        <w:rPr>
          <w:rFonts w:ascii="Times New Roman" w:hAnsi="Times New Roman"/>
          <w:noProof/>
          <w:sz w:val="24"/>
          <w:szCs w:val="24"/>
        </w:rPr>
        <w:t>white, high density polyethylese (</w:t>
      </w:r>
      <w:r w:rsidR="00992A45" w:rsidRPr="00BC11CF">
        <w:rPr>
          <w:rFonts w:ascii="Times New Roman" w:hAnsi="Times New Roman"/>
          <w:noProof/>
          <w:sz w:val="24"/>
          <w:szCs w:val="24"/>
        </w:rPr>
        <w:t>H</w:t>
      </w:r>
      <w:r w:rsidR="00BC11CF" w:rsidRPr="009C2A78">
        <w:rPr>
          <w:rFonts w:ascii="Times New Roman" w:hAnsi="Times New Roman"/>
          <w:noProof/>
          <w:sz w:val="24"/>
          <w:szCs w:val="24"/>
        </w:rPr>
        <w:t>DP</w:t>
      </w:r>
      <w:r w:rsidR="00EF1F2C" w:rsidRPr="00BC11CF">
        <w:rPr>
          <w:rFonts w:ascii="Times New Roman" w:hAnsi="Times New Roman"/>
          <w:noProof/>
          <w:sz w:val="24"/>
          <w:szCs w:val="24"/>
        </w:rPr>
        <w:t>E</w:t>
      </w:r>
      <w:r w:rsidR="00874A82">
        <w:rPr>
          <w:rFonts w:ascii="Times New Roman" w:hAnsi="Times New Roman"/>
          <w:noProof/>
          <w:sz w:val="24"/>
          <w:szCs w:val="24"/>
        </w:rPr>
        <w:t>)</w:t>
      </w:r>
      <w:r w:rsidR="00EF1F2C">
        <w:rPr>
          <w:rFonts w:ascii="Times New Roman" w:hAnsi="Times New Roman"/>
          <w:noProof/>
          <w:sz w:val="24"/>
          <w:szCs w:val="24"/>
        </w:rPr>
        <w:t xml:space="preserve"> </w:t>
      </w:r>
      <w:r w:rsidR="00461288" w:rsidRPr="000E1BC3">
        <w:rPr>
          <w:rFonts w:ascii="Times New Roman" w:hAnsi="Times New Roman"/>
          <w:noProof/>
          <w:sz w:val="24"/>
          <w:szCs w:val="24"/>
        </w:rPr>
        <w:t>bottles</w:t>
      </w:r>
      <w:r w:rsidR="00874A82">
        <w:rPr>
          <w:rFonts w:ascii="Times New Roman" w:hAnsi="Times New Roman"/>
          <w:noProof/>
          <w:sz w:val="24"/>
          <w:szCs w:val="24"/>
        </w:rPr>
        <w:t xml:space="preserve"> with a polypropylene continuous-thread, child resistant cap, lined with an induction activated aluminium foil liner</w:t>
      </w:r>
      <w:r w:rsidR="00461288" w:rsidRPr="000E1BC3">
        <w:rPr>
          <w:rFonts w:ascii="Times New Roman" w:hAnsi="Times New Roman"/>
          <w:noProof/>
          <w:sz w:val="24"/>
          <w:szCs w:val="24"/>
        </w:rPr>
        <w:t>.</w:t>
      </w:r>
      <w:r w:rsidR="00FA6CA6" w:rsidRPr="000E1BC3">
        <w:rPr>
          <w:rFonts w:ascii="Times New Roman" w:hAnsi="Times New Roman"/>
          <w:noProof/>
          <w:sz w:val="24"/>
          <w:szCs w:val="24"/>
        </w:rPr>
        <w:t xml:space="preserve"> Each bottle contains 30 tablets</w:t>
      </w:r>
      <w:r w:rsidR="00874A82">
        <w:rPr>
          <w:rFonts w:ascii="Times New Roman" w:hAnsi="Times New Roman"/>
          <w:noProof/>
          <w:sz w:val="24"/>
          <w:szCs w:val="24"/>
        </w:rPr>
        <w:t xml:space="preserve"> and silica gel desiccant and polyester coil</w:t>
      </w:r>
      <w:r w:rsidR="002411DD">
        <w:rPr>
          <w:rFonts w:ascii="Times New Roman" w:hAnsi="Times New Roman"/>
          <w:noProof/>
          <w:sz w:val="24"/>
          <w:szCs w:val="24"/>
        </w:rPr>
        <w:t>.</w:t>
      </w:r>
    </w:p>
    <w:p w:rsidR="00C62E8B" w:rsidRDefault="00C62E8B" w:rsidP="00461288">
      <w:pPr>
        <w:rPr>
          <w:rFonts w:ascii="Times New Roman" w:hAnsi="Times New Roman"/>
          <w:noProof/>
          <w:sz w:val="24"/>
          <w:szCs w:val="24"/>
        </w:rPr>
      </w:pPr>
    </w:p>
    <w:p w:rsidR="00EF1F2C" w:rsidRPr="00EF1F2C" w:rsidRDefault="00EF1F2C" w:rsidP="00F53665">
      <w:pPr>
        <w:spacing w:after="120"/>
        <w:rPr>
          <w:rFonts w:ascii="Times New Roman" w:hAnsi="Times New Roman"/>
          <w:b/>
          <w:sz w:val="24"/>
          <w:lang w:val="en-US"/>
        </w:rPr>
      </w:pPr>
      <w:r w:rsidRPr="00EF1F2C">
        <w:rPr>
          <w:rFonts w:ascii="Times New Roman" w:hAnsi="Times New Roman"/>
          <w:b/>
          <w:sz w:val="24"/>
          <w:lang w:val="en-US"/>
        </w:rPr>
        <w:t xml:space="preserve">6.6 </w:t>
      </w:r>
      <w:r>
        <w:rPr>
          <w:rFonts w:ascii="Times New Roman" w:hAnsi="Times New Roman"/>
          <w:b/>
          <w:sz w:val="24"/>
          <w:lang w:val="en-US"/>
        </w:rPr>
        <w:tab/>
      </w:r>
      <w:r w:rsidRPr="00EF1F2C">
        <w:rPr>
          <w:rFonts w:ascii="Times New Roman" w:hAnsi="Times New Roman"/>
          <w:b/>
          <w:sz w:val="24"/>
          <w:lang w:val="en-US"/>
        </w:rPr>
        <w:t>SPECIAL PRECAUTIONS FOR DISPOSAL</w:t>
      </w:r>
    </w:p>
    <w:p w:rsidR="00EF1F2C" w:rsidRDefault="00EF1F2C" w:rsidP="00461288">
      <w:pPr>
        <w:rPr>
          <w:rFonts w:ascii="Times New Roman" w:hAnsi="Times New Roman"/>
          <w:noProof/>
          <w:sz w:val="24"/>
          <w:szCs w:val="24"/>
        </w:rPr>
      </w:pPr>
      <w:r>
        <w:rPr>
          <w:rFonts w:ascii="Times New Roman" w:hAnsi="Times New Roman"/>
          <w:noProof/>
          <w:sz w:val="24"/>
          <w:szCs w:val="24"/>
        </w:rPr>
        <w:t xml:space="preserve">In Australia, any unused medicine or waste material should be disposed of by taking to your local pharmacy. </w:t>
      </w:r>
    </w:p>
    <w:p w:rsidR="00EF1F2C" w:rsidRPr="000E1BC3" w:rsidRDefault="00EF1F2C" w:rsidP="00461288">
      <w:pPr>
        <w:rPr>
          <w:rFonts w:ascii="Times New Roman" w:hAnsi="Times New Roman"/>
          <w:noProof/>
          <w:sz w:val="24"/>
          <w:szCs w:val="24"/>
        </w:rPr>
      </w:pPr>
    </w:p>
    <w:p w:rsidR="00F21E27" w:rsidRDefault="00461288" w:rsidP="00F53665">
      <w:pPr>
        <w:numPr>
          <w:ilvl w:val="12"/>
          <w:numId w:val="0"/>
        </w:numPr>
        <w:spacing w:after="120"/>
        <w:rPr>
          <w:rFonts w:ascii="Times New Roman" w:hAnsi="Times New Roman"/>
          <w:b/>
          <w:noProof/>
          <w:sz w:val="24"/>
          <w:szCs w:val="24"/>
        </w:rPr>
      </w:pPr>
      <w:r w:rsidRPr="000E1BC3">
        <w:rPr>
          <w:rFonts w:ascii="Times New Roman" w:hAnsi="Times New Roman"/>
          <w:b/>
          <w:noProof/>
          <w:sz w:val="24"/>
          <w:szCs w:val="24"/>
        </w:rPr>
        <w:t>6.</w:t>
      </w:r>
      <w:r w:rsidR="00AB61B0">
        <w:rPr>
          <w:rFonts w:ascii="Times New Roman" w:hAnsi="Times New Roman"/>
          <w:b/>
          <w:noProof/>
          <w:sz w:val="24"/>
          <w:szCs w:val="24"/>
        </w:rPr>
        <w:t>7</w:t>
      </w:r>
      <w:r w:rsidR="00EF1F2C">
        <w:rPr>
          <w:rFonts w:ascii="Times New Roman" w:hAnsi="Times New Roman"/>
          <w:b/>
          <w:noProof/>
          <w:sz w:val="24"/>
          <w:szCs w:val="24"/>
        </w:rPr>
        <w:tab/>
      </w:r>
      <w:r w:rsidR="00AB61B0" w:rsidRPr="000E1BC3">
        <w:rPr>
          <w:rFonts w:ascii="Times New Roman" w:hAnsi="Times New Roman"/>
          <w:b/>
          <w:noProof/>
          <w:sz w:val="24"/>
          <w:szCs w:val="24"/>
        </w:rPr>
        <w:t xml:space="preserve"> </w:t>
      </w:r>
      <w:r w:rsidR="00AB61B0">
        <w:rPr>
          <w:rFonts w:ascii="Times New Roman" w:hAnsi="Times New Roman"/>
          <w:b/>
          <w:noProof/>
          <w:sz w:val="24"/>
          <w:szCs w:val="24"/>
        </w:rPr>
        <w:t>PHYSIO</w:t>
      </w:r>
      <w:r w:rsidRPr="000E1BC3">
        <w:rPr>
          <w:rFonts w:ascii="Times New Roman" w:hAnsi="Times New Roman"/>
          <w:b/>
          <w:noProof/>
          <w:sz w:val="24"/>
          <w:szCs w:val="24"/>
        </w:rPr>
        <w:t xml:space="preserve">CHEMICAL </w:t>
      </w:r>
      <w:r w:rsidR="00AB61B0">
        <w:rPr>
          <w:rFonts w:ascii="Times New Roman" w:hAnsi="Times New Roman"/>
          <w:b/>
          <w:noProof/>
          <w:sz w:val="24"/>
          <w:szCs w:val="24"/>
        </w:rPr>
        <w:t>PROPERTIES</w:t>
      </w:r>
    </w:p>
    <w:p w:rsidR="0091176D" w:rsidRPr="0091176D" w:rsidRDefault="0091176D" w:rsidP="009604EB">
      <w:pPr>
        <w:numPr>
          <w:ilvl w:val="0"/>
          <w:numId w:val="28"/>
        </w:numPr>
        <w:rPr>
          <w:rFonts w:ascii="Times New Roman" w:hAnsi="Times New Roman"/>
          <w:b/>
          <w:noProof/>
          <w:sz w:val="24"/>
          <w:szCs w:val="24"/>
        </w:rPr>
      </w:pPr>
      <w:r>
        <w:rPr>
          <w:rFonts w:ascii="Times New Roman" w:hAnsi="Times New Roman"/>
          <w:b/>
          <w:noProof/>
          <w:sz w:val="24"/>
          <w:szCs w:val="24"/>
        </w:rPr>
        <w:t>Chemical structure</w:t>
      </w:r>
    </w:p>
    <w:p w:rsidR="0091176D" w:rsidRDefault="0091176D" w:rsidP="00A76752">
      <w:pPr>
        <w:rPr>
          <w:rFonts w:ascii="Times New Roman" w:hAnsi="Times New Roman"/>
          <w:b/>
          <w:i/>
          <w:noProof/>
          <w:sz w:val="24"/>
          <w:szCs w:val="24"/>
        </w:rPr>
      </w:pPr>
    </w:p>
    <w:p w:rsidR="00A76752" w:rsidRPr="000E1BC3" w:rsidRDefault="00A76752" w:rsidP="00A76752">
      <w:pPr>
        <w:rPr>
          <w:rFonts w:ascii="Times New Roman" w:hAnsi="Times New Roman"/>
          <w:noProof/>
          <w:sz w:val="24"/>
          <w:szCs w:val="24"/>
        </w:rPr>
      </w:pPr>
      <w:r w:rsidRPr="000E1BC3">
        <w:rPr>
          <w:rFonts w:ascii="Times New Roman" w:hAnsi="Times New Roman"/>
          <w:b/>
          <w:i/>
          <w:noProof/>
          <w:sz w:val="24"/>
          <w:szCs w:val="24"/>
        </w:rPr>
        <w:t>Bictegravir:</w:t>
      </w:r>
      <w:r w:rsidRPr="000E1BC3">
        <w:rPr>
          <w:rFonts w:ascii="Times New Roman" w:hAnsi="Times New Roman"/>
          <w:noProof/>
          <w:sz w:val="24"/>
          <w:szCs w:val="24"/>
        </w:rPr>
        <w:t xml:space="preserve"> The chemical name of bictegravir sodium is </w:t>
      </w:r>
    </w:p>
    <w:p w:rsidR="00A76752" w:rsidRPr="000E1BC3" w:rsidRDefault="00A76752" w:rsidP="00A76752">
      <w:pPr>
        <w:rPr>
          <w:rFonts w:ascii="Times New Roman" w:hAnsi="Times New Roman"/>
          <w:noProof/>
          <w:sz w:val="24"/>
          <w:szCs w:val="24"/>
        </w:rPr>
      </w:pPr>
      <w:r w:rsidRPr="000E1BC3">
        <w:rPr>
          <w:rFonts w:ascii="Times New Roman" w:hAnsi="Times New Roman"/>
          <w:noProof/>
          <w:sz w:val="24"/>
          <w:szCs w:val="24"/>
        </w:rPr>
        <w:t>2,5-Methanopyrido[1’,2’:4,5]pyrazino[2,1-</w:t>
      </w:r>
      <w:r w:rsidRPr="000E1BC3">
        <w:rPr>
          <w:rFonts w:ascii="Times New Roman" w:hAnsi="Times New Roman"/>
          <w:i/>
          <w:noProof/>
          <w:sz w:val="24"/>
          <w:szCs w:val="24"/>
        </w:rPr>
        <w:t>b</w:t>
      </w:r>
      <w:r w:rsidRPr="000E1BC3">
        <w:rPr>
          <w:rFonts w:ascii="Times New Roman" w:hAnsi="Times New Roman"/>
          <w:noProof/>
          <w:sz w:val="24"/>
          <w:szCs w:val="24"/>
        </w:rPr>
        <w:t>][1,3]oxazepine-10-carboxamide, 2,3,4,5,7,9,13,13a-octahydro-8-hydroxy-7,9-dioxo-</w:t>
      </w:r>
      <w:r w:rsidRPr="000E1BC3">
        <w:rPr>
          <w:rFonts w:ascii="Times New Roman" w:hAnsi="Times New Roman"/>
          <w:i/>
          <w:noProof/>
          <w:sz w:val="24"/>
          <w:szCs w:val="24"/>
        </w:rPr>
        <w:t>N</w:t>
      </w:r>
      <w:r w:rsidRPr="000E1BC3">
        <w:rPr>
          <w:rFonts w:ascii="Times New Roman" w:hAnsi="Times New Roman"/>
          <w:noProof/>
          <w:sz w:val="24"/>
          <w:szCs w:val="24"/>
        </w:rPr>
        <w:t>-[(2,4,6-trifluorophenyl)methyl]-, sodium salt (1:1), (2</w:t>
      </w:r>
      <w:r w:rsidRPr="000E1BC3">
        <w:rPr>
          <w:rFonts w:ascii="Times New Roman" w:hAnsi="Times New Roman"/>
          <w:i/>
          <w:noProof/>
          <w:sz w:val="24"/>
          <w:szCs w:val="24"/>
        </w:rPr>
        <w:t>R</w:t>
      </w:r>
      <w:r w:rsidRPr="000E1BC3">
        <w:rPr>
          <w:rFonts w:ascii="Times New Roman" w:hAnsi="Times New Roman"/>
          <w:noProof/>
          <w:sz w:val="24"/>
          <w:szCs w:val="24"/>
        </w:rPr>
        <w:t>,5S,13a</w:t>
      </w:r>
      <w:r w:rsidRPr="000E1BC3">
        <w:rPr>
          <w:rFonts w:ascii="Times New Roman" w:hAnsi="Times New Roman"/>
          <w:i/>
          <w:noProof/>
          <w:sz w:val="24"/>
          <w:szCs w:val="24"/>
        </w:rPr>
        <w:t>R</w:t>
      </w:r>
      <w:r w:rsidRPr="000E1BC3">
        <w:rPr>
          <w:rFonts w:ascii="Times New Roman" w:hAnsi="Times New Roman"/>
          <w:noProof/>
          <w:sz w:val="24"/>
          <w:szCs w:val="24"/>
        </w:rPr>
        <w:t>)-.</w:t>
      </w:r>
    </w:p>
    <w:p w:rsidR="00A76752" w:rsidRPr="000E1BC3" w:rsidRDefault="00A76752" w:rsidP="00A76752">
      <w:pPr>
        <w:rPr>
          <w:rFonts w:ascii="Times New Roman" w:hAnsi="Times New Roman"/>
          <w:noProof/>
          <w:sz w:val="24"/>
          <w:szCs w:val="24"/>
        </w:rPr>
      </w:pPr>
    </w:p>
    <w:p w:rsidR="00A76752" w:rsidRPr="000E1BC3" w:rsidRDefault="00A76752" w:rsidP="00A76752">
      <w:pPr>
        <w:rPr>
          <w:rFonts w:ascii="Times New Roman" w:hAnsi="Times New Roman"/>
          <w:noProof/>
          <w:sz w:val="24"/>
          <w:szCs w:val="24"/>
        </w:rPr>
      </w:pPr>
      <w:r w:rsidRPr="000E1BC3">
        <w:rPr>
          <w:rFonts w:ascii="Times New Roman" w:hAnsi="Times New Roman"/>
          <w:noProof/>
          <w:sz w:val="24"/>
          <w:szCs w:val="24"/>
        </w:rPr>
        <w:t>Bictegravir sodium has a molecular formula of C</w:t>
      </w:r>
      <w:r w:rsidRPr="000E1BC3">
        <w:rPr>
          <w:rFonts w:ascii="Times New Roman" w:hAnsi="Times New Roman"/>
          <w:noProof/>
          <w:sz w:val="24"/>
          <w:szCs w:val="24"/>
          <w:vertAlign w:val="subscript"/>
        </w:rPr>
        <w:t>21</w:t>
      </w:r>
      <w:r w:rsidRPr="000E1BC3">
        <w:rPr>
          <w:rFonts w:ascii="Times New Roman" w:hAnsi="Times New Roman"/>
          <w:noProof/>
          <w:sz w:val="24"/>
          <w:szCs w:val="24"/>
        </w:rPr>
        <w:t>H</w:t>
      </w:r>
      <w:r w:rsidRPr="000E1BC3">
        <w:rPr>
          <w:rFonts w:ascii="Times New Roman" w:hAnsi="Times New Roman"/>
          <w:noProof/>
          <w:sz w:val="24"/>
          <w:szCs w:val="24"/>
          <w:vertAlign w:val="subscript"/>
        </w:rPr>
        <w:t>17</w:t>
      </w:r>
      <w:r w:rsidRPr="000E1BC3">
        <w:rPr>
          <w:rFonts w:ascii="Times New Roman" w:hAnsi="Times New Roman"/>
          <w:noProof/>
          <w:sz w:val="24"/>
          <w:szCs w:val="24"/>
        </w:rPr>
        <w:t>F</w:t>
      </w:r>
      <w:r w:rsidRPr="000E1BC3">
        <w:rPr>
          <w:rFonts w:ascii="Times New Roman" w:hAnsi="Times New Roman"/>
          <w:noProof/>
          <w:sz w:val="24"/>
          <w:szCs w:val="24"/>
          <w:vertAlign w:val="subscript"/>
        </w:rPr>
        <w:t>3</w:t>
      </w:r>
      <w:r w:rsidRPr="000E1BC3">
        <w:rPr>
          <w:rFonts w:ascii="Times New Roman" w:hAnsi="Times New Roman"/>
          <w:noProof/>
          <w:sz w:val="24"/>
          <w:szCs w:val="24"/>
        </w:rPr>
        <w:t>N</w:t>
      </w:r>
      <w:r w:rsidRPr="000E1BC3">
        <w:rPr>
          <w:rFonts w:ascii="Times New Roman" w:hAnsi="Times New Roman"/>
          <w:noProof/>
          <w:sz w:val="24"/>
          <w:szCs w:val="24"/>
          <w:vertAlign w:val="subscript"/>
        </w:rPr>
        <w:t>3</w:t>
      </w:r>
      <w:r w:rsidRPr="000E1BC3">
        <w:rPr>
          <w:rFonts w:ascii="Times New Roman" w:hAnsi="Times New Roman"/>
          <w:noProof/>
          <w:sz w:val="24"/>
          <w:szCs w:val="24"/>
        </w:rPr>
        <w:t>NaO</w:t>
      </w:r>
      <w:r w:rsidRPr="000E1BC3">
        <w:rPr>
          <w:rFonts w:ascii="Times New Roman" w:hAnsi="Times New Roman"/>
          <w:noProof/>
          <w:sz w:val="24"/>
          <w:szCs w:val="24"/>
          <w:vertAlign w:val="subscript"/>
        </w:rPr>
        <w:t>5</w:t>
      </w:r>
      <w:r w:rsidRPr="000E1BC3">
        <w:rPr>
          <w:rFonts w:ascii="Times New Roman" w:hAnsi="Times New Roman"/>
          <w:noProof/>
          <w:sz w:val="24"/>
          <w:szCs w:val="24"/>
        </w:rPr>
        <w:t xml:space="preserve"> and a molecular weight of 471.</w:t>
      </w:r>
      <w:r w:rsidR="005F5F1A" w:rsidRPr="000E1BC3">
        <w:rPr>
          <w:rFonts w:ascii="Times New Roman" w:hAnsi="Times New Roman"/>
          <w:noProof/>
          <w:sz w:val="24"/>
          <w:szCs w:val="24"/>
        </w:rPr>
        <w:t xml:space="preserve">4 </w:t>
      </w:r>
      <w:r w:rsidRPr="000E1BC3">
        <w:rPr>
          <w:rFonts w:ascii="Times New Roman" w:hAnsi="Times New Roman"/>
          <w:noProof/>
          <w:sz w:val="24"/>
          <w:szCs w:val="24"/>
        </w:rPr>
        <w:t>and has the following structural formula:</w:t>
      </w:r>
    </w:p>
    <w:p w:rsidR="00A76752" w:rsidRPr="000E1BC3" w:rsidRDefault="00A76752" w:rsidP="00A76752">
      <w:pPr>
        <w:rPr>
          <w:rFonts w:ascii="Times New Roman" w:hAnsi="Times New Roman"/>
          <w:noProof/>
          <w:sz w:val="24"/>
          <w:szCs w:val="24"/>
        </w:rPr>
      </w:pPr>
    </w:p>
    <w:p w:rsidR="00A76752" w:rsidRPr="000E1BC3" w:rsidRDefault="008F4423" w:rsidP="00A76752">
      <w:pPr>
        <w:rPr>
          <w:rFonts w:ascii="Times New Roman" w:hAnsi="Times New Roman"/>
          <w:noProof/>
          <w:sz w:val="24"/>
          <w:szCs w:val="24"/>
        </w:rPr>
      </w:pPr>
      <w:r>
        <w:rPr>
          <w:noProof/>
          <w:color w:val="1F497D"/>
          <w:lang w:eastAsia="en-A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13.3pt;height:82.85pt;visibility:visible">
            <v:imagedata r:id="rId15" o:title=""/>
          </v:shape>
        </w:pict>
      </w:r>
    </w:p>
    <w:p w:rsidR="00A76752" w:rsidRPr="000E1BC3" w:rsidRDefault="00A76752" w:rsidP="00A76752">
      <w:pPr>
        <w:rPr>
          <w:rFonts w:ascii="Times New Roman" w:hAnsi="Times New Roman"/>
          <w:sz w:val="24"/>
          <w:szCs w:val="24"/>
        </w:rPr>
      </w:pPr>
    </w:p>
    <w:p w:rsidR="00F14239" w:rsidRPr="000E1BC3" w:rsidRDefault="00F14239" w:rsidP="00A76752">
      <w:pPr>
        <w:rPr>
          <w:rFonts w:ascii="Times New Roman" w:hAnsi="Times New Roman"/>
          <w:noProof/>
          <w:sz w:val="24"/>
          <w:szCs w:val="24"/>
        </w:rPr>
      </w:pPr>
    </w:p>
    <w:p w:rsidR="00A76752" w:rsidRPr="000E1BC3" w:rsidRDefault="00A76752" w:rsidP="00A76752">
      <w:pPr>
        <w:rPr>
          <w:rFonts w:ascii="Times New Roman" w:hAnsi="Times New Roman"/>
          <w:noProof/>
          <w:sz w:val="24"/>
          <w:szCs w:val="24"/>
        </w:rPr>
      </w:pPr>
      <w:r w:rsidRPr="000E1BC3">
        <w:rPr>
          <w:rFonts w:ascii="Times New Roman" w:hAnsi="Times New Roman"/>
          <w:noProof/>
          <w:sz w:val="24"/>
          <w:szCs w:val="24"/>
        </w:rPr>
        <w:t>Bictegravir sodium is a white to off-white to yellow solid with a solubility of 0.</w:t>
      </w:r>
      <w:r w:rsidR="00DF7C54" w:rsidRPr="000E1BC3">
        <w:rPr>
          <w:rFonts w:ascii="Times New Roman" w:hAnsi="Times New Roman"/>
          <w:noProof/>
          <w:sz w:val="24"/>
          <w:szCs w:val="24"/>
        </w:rPr>
        <w:t>1</w:t>
      </w:r>
      <w:r w:rsidRPr="000E1BC3">
        <w:rPr>
          <w:rFonts w:ascii="Times New Roman" w:hAnsi="Times New Roman"/>
          <w:noProof/>
          <w:sz w:val="24"/>
          <w:szCs w:val="24"/>
        </w:rPr>
        <w:t xml:space="preserve"> mg per mL in water at 20 °C.</w:t>
      </w:r>
    </w:p>
    <w:p w:rsidR="00A76752" w:rsidRPr="000E1BC3" w:rsidRDefault="00A76752" w:rsidP="00A76752">
      <w:pPr>
        <w:rPr>
          <w:rFonts w:ascii="Times New Roman" w:hAnsi="Times New Roman"/>
          <w:noProof/>
          <w:sz w:val="24"/>
          <w:szCs w:val="24"/>
        </w:rPr>
      </w:pPr>
    </w:p>
    <w:p w:rsidR="00F53665" w:rsidRDefault="00A76752" w:rsidP="00A76752">
      <w:pPr>
        <w:rPr>
          <w:rFonts w:ascii="Times New Roman" w:hAnsi="Times New Roman"/>
          <w:sz w:val="24"/>
          <w:szCs w:val="24"/>
        </w:rPr>
      </w:pPr>
      <w:r w:rsidRPr="000E1BC3">
        <w:rPr>
          <w:rFonts w:ascii="Times New Roman" w:hAnsi="Times New Roman"/>
          <w:b/>
          <w:i/>
          <w:sz w:val="24"/>
          <w:szCs w:val="24"/>
        </w:rPr>
        <w:t>Emtricitabine:</w:t>
      </w:r>
      <w:r w:rsidRPr="000E1BC3">
        <w:rPr>
          <w:rFonts w:ascii="Times New Roman" w:hAnsi="Times New Roman"/>
          <w:b/>
          <w:sz w:val="24"/>
          <w:szCs w:val="24"/>
        </w:rPr>
        <w:t xml:space="preserve"> </w:t>
      </w:r>
      <w:r w:rsidR="00CB7BB9" w:rsidRPr="000E1BC3">
        <w:rPr>
          <w:rFonts w:ascii="Times New Roman" w:hAnsi="Times New Roman"/>
          <w:bCs/>
          <w:noProof/>
          <w:sz w:val="24"/>
          <w:szCs w:val="24"/>
        </w:rPr>
        <w:t>FTC is</w:t>
      </w:r>
      <w:r w:rsidR="00CB7BB9" w:rsidRPr="000E1BC3">
        <w:rPr>
          <w:rFonts w:ascii="Times New Roman" w:hAnsi="Times New Roman"/>
          <w:sz w:val="24"/>
          <w:lang w:val="en-US"/>
        </w:rPr>
        <w:t xml:space="preserve"> </w:t>
      </w:r>
      <w:r w:rsidR="00CB7BB9" w:rsidRPr="000E1BC3">
        <w:rPr>
          <w:rFonts w:ascii="Times New Roman" w:hAnsi="Times New Roman"/>
          <w:bCs/>
          <w:noProof/>
          <w:sz w:val="24"/>
          <w:szCs w:val="24"/>
          <w:lang w:val="en-US"/>
        </w:rPr>
        <w:t>a synthetic nucleoside analog of cytidine.</w:t>
      </w:r>
      <w:r w:rsidRPr="000E1BC3">
        <w:rPr>
          <w:rFonts w:ascii="Times New Roman" w:hAnsi="Times New Roman"/>
          <w:sz w:val="24"/>
          <w:szCs w:val="24"/>
        </w:rPr>
        <w:t>The chemical name of FTC is 5-fluoro-1-(2</w:t>
      </w:r>
      <w:r w:rsidRPr="000E1BC3">
        <w:rPr>
          <w:rFonts w:ascii="Times New Roman" w:hAnsi="Times New Roman"/>
          <w:i/>
          <w:sz w:val="24"/>
          <w:szCs w:val="24"/>
        </w:rPr>
        <w:t>R</w:t>
      </w:r>
      <w:r w:rsidRPr="000E1BC3">
        <w:rPr>
          <w:rFonts w:ascii="Times New Roman" w:hAnsi="Times New Roman"/>
          <w:sz w:val="24"/>
          <w:szCs w:val="24"/>
        </w:rPr>
        <w:t>,5</w:t>
      </w:r>
      <w:r w:rsidRPr="000E1BC3">
        <w:rPr>
          <w:rFonts w:ascii="Times New Roman" w:hAnsi="Times New Roman"/>
          <w:i/>
          <w:sz w:val="24"/>
          <w:szCs w:val="24"/>
        </w:rPr>
        <w:t>S</w:t>
      </w:r>
      <w:r w:rsidRPr="000E1BC3">
        <w:rPr>
          <w:rFonts w:ascii="Times New Roman" w:hAnsi="Times New Roman"/>
          <w:sz w:val="24"/>
          <w:szCs w:val="24"/>
        </w:rPr>
        <w:t xml:space="preserve">)-[2-(hydroxymethyl)-1,3-oxathiolan-5-yl]cytosine.  FTC is the </w:t>
      </w:r>
    </w:p>
    <w:p w:rsidR="00A76752" w:rsidRPr="000E1BC3" w:rsidRDefault="00F53665" w:rsidP="00A76752">
      <w:pPr>
        <w:rPr>
          <w:rFonts w:ascii="Times New Roman" w:hAnsi="Times New Roman"/>
          <w:sz w:val="24"/>
          <w:szCs w:val="24"/>
        </w:rPr>
      </w:pPr>
      <w:r w:rsidRPr="000E1BC3">
        <w:rPr>
          <w:rFonts w:ascii="Times New Roman" w:hAnsi="Times New Roman"/>
          <w:sz w:val="24"/>
          <w:szCs w:val="24"/>
        </w:rPr>
        <w:t>(</w:t>
      </w:r>
      <w:r>
        <w:rPr>
          <w:rFonts w:ascii="Times New Roman" w:hAnsi="Times New Roman"/>
          <w:sz w:val="24"/>
          <w:szCs w:val="24"/>
        </w:rPr>
        <w:t>-</w:t>
      </w:r>
      <w:r w:rsidR="00A76752" w:rsidRPr="000E1BC3">
        <w:rPr>
          <w:rFonts w:ascii="Times New Roman" w:hAnsi="Times New Roman"/>
          <w:sz w:val="24"/>
          <w:szCs w:val="24"/>
        </w:rPr>
        <w:t>) enantiomer of a thio analog of cytidine, which differs from other cytidine analogs in that it has a fluorine in the 5-position.</w:t>
      </w:r>
    </w:p>
    <w:p w:rsidR="00A76752" w:rsidRPr="000E1BC3" w:rsidRDefault="00A76752" w:rsidP="00A76752">
      <w:pPr>
        <w:rPr>
          <w:rFonts w:ascii="Times New Roman" w:hAnsi="Times New Roman"/>
          <w:sz w:val="24"/>
          <w:szCs w:val="24"/>
        </w:rPr>
      </w:pPr>
    </w:p>
    <w:p w:rsidR="00A76752" w:rsidRPr="000E1BC3" w:rsidRDefault="00A76752" w:rsidP="00A76752">
      <w:pPr>
        <w:jc w:val="both"/>
        <w:rPr>
          <w:rFonts w:ascii="Times New Roman" w:hAnsi="Times New Roman"/>
          <w:sz w:val="24"/>
          <w:szCs w:val="24"/>
        </w:rPr>
      </w:pPr>
      <w:r w:rsidRPr="000E1BC3">
        <w:rPr>
          <w:rFonts w:ascii="Times New Roman" w:hAnsi="Times New Roman"/>
          <w:sz w:val="24"/>
          <w:szCs w:val="24"/>
        </w:rPr>
        <w:t>It has a molecular formula of C</w:t>
      </w:r>
      <w:r w:rsidRPr="000E1BC3">
        <w:rPr>
          <w:rFonts w:ascii="Times New Roman" w:hAnsi="Times New Roman"/>
          <w:sz w:val="24"/>
          <w:szCs w:val="24"/>
          <w:vertAlign w:val="subscript"/>
        </w:rPr>
        <w:t>8</w:t>
      </w:r>
      <w:r w:rsidRPr="000E1BC3">
        <w:rPr>
          <w:rFonts w:ascii="Times New Roman" w:hAnsi="Times New Roman"/>
          <w:sz w:val="24"/>
          <w:szCs w:val="24"/>
        </w:rPr>
        <w:t>H</w:t>
      </w:r>
      <w:r w:rsidRPr="000E1BC3">
        <w:rPr>
          <w:rFonts w:ascii="Times New Roman" w:hAnsi="Times New Roman"/>
          <w:sz w:val="24"/>
          <w:szCs w:val="24"/>
          <w:vertAlign w:val="subscript"/>
        </w:rPr>
        <w:t>10</w:t>
      </w:r>
      <w:r w:rsidRPr="000E1BC3">
        <w:rPr>
          <w:rFonts w:ascii="Times New Roman" w:hAnsi="Times New Roman"/>
          <w:sz w:val="24"/>
          <w:szCs w:val="24"/>
        </w:rPr>
        <w:t>FN</w:t>
      </w:r>
      <w:r w:rsidRPr="000E1BC3">
        <w:rPr>
          <w:rFonts w:ascii="Times New Roman" w:hAnsi="Times New Roman"/>
          <w:sz w:val="24"/>
          <w:szCs w:val="24"/>
          <w:vertAlign w:val="subscript"/>
        </w:rPr>
        <w:t>3</w:t>
      </w:r>
      <w:r w:rsidRPr="000E1BC3">
        <w:rPr>
          <w:rFonts w:ascii="Times New Roman" w:hAnsi="Times New Roman"/>
          <w:sz w:val="24"/>
          <w:szCs w:val="24"/>
        </w:rPr>
        <w:t>O</w:t>
      </w:r>
      <w:r w:rsidRPr="000E1BC3">
        <w:rPr>
          <w:rFonts w:ascii="Times New Roman" w:hAnsi="Times New Roman"/>
          <w:sz w:val="24"/>
          <w:szCs w:val="24"/>
          <w:vertAlign w:val="subscript"/>
        </w:rPr>
        <w:t>3</w:t>
      </w:r>
      <w:r w:rsidRPr="000E1BC3">
        <w:rPr>
          <w:rFonts w:ascii="Times New Roman" w:hAnsi="Times New Roman"/>
          <w:sz w:val="24"/>
          <w:szCs w:val="24"/>
        </w:rPr>
        <w:t>S and a molecular weight of 247.2. It has the following structural formula:</w:t>
      </w:r>
    </w:p>
    <w:p w:rsidR="00A76752" w:rsidRPr="000E1BC3" w:rsidRDefault="00A76752" w:rsidP="00A76752">
      <w:pPr>
        <w:jc w:val="both"/>
        <w:rPr>
          <w:rFonts w:ascii="Times New Roman" w:hAnsi="Times New Roman"/>
          <w:sz w:val="24"/>
          <w:szCs w:val="24"/>
        </w:rPr>
      </w:pPr>
    </w:p>
    <w:p w:rsidR="00A76752" w:rsidRPr="000E1BC3" w:rsidRDefault="00D80053" w:rsidP="00A76752">
      <w:pPr>
        <w:pStyle w:val="Text10"/>
        <w:spacing w:before="120" w:after="120"/>
        <w:rPr>
          <w:sz w:val="22"/>
          <w:szCs w:val="22"/>
        </w:rPr>
      </w:pPr>
      <w:r>
        <w:rPr>
          <w:sz w:val="22"/>
          <w:szCs w:val="22"/>
        </w:rPr>
        <w:pict>
          <v:shape id="_x0000_i1026" type="#_x0000_t75" style="width:156.9pt;height:68.6pt" fillcolor="window">
            <v:imagedata r:id="rId16" o:title=""/>
          </v:shape>
        </w:pict>
      </w:r>
    </w:p>
    <w:p w:rsidR="00F53665" w:rsidRPr="000E1BC3" w:rsidRDefault="00F53665" w:rsidP="00A76752">
      <w:pPr>
        <w:rPr>
          <w:rFonts w:ascii="Times New Roman" w:hAnsi="Times New Roman"/>
          <w:sz w:val="24"/>
          <w:szCs w:val="24"/>
        </w:rPr>
      </w:pPr>
    </w:p>
    <w:p w:rsidR="00A76752" w:rsidRPr="000E1BC3" w:rsidRDefault="00A76752" w:rsidP="00A76752">
      <w:pPr>
        <w:rPr>
          <w:rFonts w:ascii="Times New Roman" w:hAnsi="Times New Roman"/>
          <w:sz w:val="24"/>
          <w:szCs w:val="24"/>
        </w:rPr>
      </w:pPr>
      <w:r w:rsidRPr="000E1BC3">
        <w:rPr>
          <w:rFonts w:ascii="Times New Roman" w:hAnsi="Times New Roman"/>
          <w:sz w:val="24"/>
          <w:szCs w:val="24"/>
        </w:rPr>
        <w:t xml:space="preserve">FTC is a white to off-white crystalline powder with a solubility of approximately 112 mg per mL in water at 25 </w:t>
      </w:r>
      <w:r w:rsidRPr="000E1BC3">
        <w:rPr>
          <w:rFonts w:ascii="Times New Roman" w:hAnsi="Times New Roman"/>
          <w:sz w:val="24"/>
          <w:szCs w:val="24"/>
          <w:vertAlign w:val="superscript"/>
        </w:rPr>
        <w:t>o</w:t>
      </w:r>
      <w:r w:rsidRPr="000E1BC3">
        <w:rPr>
          <w:rFonts w:ascii="Times New Roman" w:hAnsi="Times New Roman"/>
          <w:sz w:val="24"/>
          <w:szCs w:val="24"/>
        </w:rPr>
        <w:t>C.  The partition coefficient (</w:t>
      </w:r>
      <w:r w:rsidRPr="000E1BC3">
        <w:rPr>
          <w:rFonts w:ascii="Times New Roman" w:hAnsi="Times New Roman"/>
          <w:i/>
          <w:sz w:val="24"/>
          <w:szCs w:val="24"/>
        </w:rPr>
        <w:t>log</w:t>
      </w:r>
      <w:r w:rsidRPr="000E1BC3">
        <w:rPr>
          <w:rFonts w:ascii="Times New Roman" w:hAnsi="Times New Roman"/>
          <w:i/>
          <w:sz w:val="24"/>
          <w:szCs w:val="24"/>
          <w:vertAlign w:val="superscript"/>
        </w:rPr>
        <w:t xml:space="preserve"> </w:t>
      </w:r>
      <w:r w:rsidRPr="000E1BC3">
        <w:rPr>
          <w:rFonts w:ascii="Times New Roman" w:hAnsi="Times New Roman"/>
          <w:i/>
          <w:sz w:val="24"/>
          <w:szCs w:val="24"/>
        </w:rPr>
        <w:t>p</w:t>
      </w:r>
      <w:r w:rsidRPr="000E1BC3">
        <w:rPr>
          <w:rFonts w:ascii="Times New Roman" w:hAnsi="Times New Roman"/>
          <w:sz w:val="24"/>
          <w:szCs w:val="24"/>
        </w:rPr>
        <w:t>) for emtricitabine is -0.43 and the pKa is 2.65.</w:t>
      </w:r>
    </w:p>
    <w:p w:rsidR="00A76752" w:rsidRPr="000E1BC3" w:rsidRDefault="00A76752" w:rsidP="00A76752">
      <w:pPr>
        <w:rPr>
          <w:rFonts w:ascii="Times New Roman" w:hAnsi="Times New Roman"/>
          <w:b/>
          <w:i/>
          <w:sz w:val="24"/>
          <w:szCs w:val="24"/>
        </w:rPr>
      </w:pPr>
    </w:p>
    <w:p w:rsidR="00CB7BB9" w:rsidRPr="000E1BC3" w:rsidRDefault="00A76752" w:rsidP="00CB7BB9">
      <w:pPr>
        <w:rPr>
          <w:rFonts w:ascii="Times New Roman" w:hAnsi="Times New Roman"/>
          <w:sz w:val="24"/>
          <w:szCs w:val="24"/>
        </w:rPr>
      </w:pPr>
      <w:r w:rsidRPr="000E1BC3">
        <w:rPr>
          <w:rFonts w:ascii="Times New Roman" w:hAnsi="Times New Roman"/>
          <w:b/>
          <w:i/>
          <w:sz w:val="24"/>
          <w:szCs w:val="24"/>
        </w:rPr>
        <w:t xml:space="preserve">Tenofovir </w:t>
      </w:r>
      <w:r w:rsidRPr="000E1BC3">
        <w:rPr>
          <w:rFonts w:ascii="Times New Roman" w:hAnsi="Times New Roman"/>
          <w:b/>
          <w:i/>
          <w:sz w:val="24"/>
          <w:szCs w:val="24"/>
          <w:lang w:val="en-US"/>
        </w:rPr>
        <w:t>Alafenamide Fumarate</w:t>
      </w:r>
      <w:r w:rsidRPr="000E1BC3">
        <w:rPr>
          <w:rFonts w:ascii="Times New Roman" w:hAnsi="Times New Roman"/>
          <w:sz w:val="24"/>
          <w:szCs w:val="24"/>
        </w:rPr>
        <w:t xml:space="preserve">: </w:t>
      </w:r>
      <w:r w:rsidR="00CB7BB9" w:rsidRPr="000E1BC3">
        <w:rPr>
          <w:rFonts w:ascii="Times New Roman" w:hAnsi="Times New Roman"/>
          <w:bCs/>
          <w:noProof/>
          <w:sz w:val="24"/>
          <w:szCs w:val="24"/>
          <w:lang w:val="en-US"/>
        </w:rPr>
        <w:t>TAF</w:t>
      </w:r>
      <w:r w:rsidR="00CB7BB9" w:rsidRPr="000E1BC3">
        <w:rPr>
          <w:rFonts w:ascii="Times New Roman" w:hAnsi="Times New Roman"/>
          <w:sz w:val="24"/>
          <w:szCs w:val="24"/>
        </w:rPr>
        <w:t xml:space="preserve"> </w:t>
      </w:r>
      <w:r w:rsidR="00CB7BB9" w:rsidRPr="000E1BC3">
        <w:rPr>
          <w:rFonts w:ascii="Times New Roman" w:hAnsi="Times New Roman"/>
          <w:sz w:val="24"/>
          <w:szCs w:val="24"/>
          <w:lang w:val="en-US"/>
        </w:rPr>
        <w:t xml:space="preserve">is converted </w:t>
      </w:r>
      <w:r w:rsidR="00CB7BB9" w:rsidRPr="000E1BC3">
        <w:rPr>
          <w:rFonts w:ascii="Times New Roman" w:hAnsi="Times New Roman"/>
          <w:i/>
          <w:sz w:val="24"/>
          <w:szCs w:val="24"/>
          <w:lang w:val="en-US"/>
        </w:rPr>
        <w:t>in vivo</w:t>
      </w:r>
      <w:r w:rsidR="00CB7BB9" w:rsidRPr="000E1BC3">
        <w:rPr>
          <w:rFonts w:ascii="Times New Roman" w:hAnsi="Times New Roman"/>
          <w:sz w:val="24"/>
          <w:szCs w:val="24"/>
          <w:lang w:val="en-US"/>
        </w:rPr>
        <w:t xml:space="preserve"> to tenofovir, an acyclic nucleoside phosphonate (nucleotide) analog of adenosine 5′-monophosphate.  </w:t>
      </w:r>
      <w:r w:rsidR="00CB7BB9" w:rsidRPr="000E1BC3">
        <w:rPr>
          <w:rFonts w:ascii="Times New Roman" w:hAnsi="Times New Roman"/>
          <w:sz w:val="24"/>
          <w:szCs w:val="24"/>
        </w:rPr>
        <w:t xml:space="preserve"> </w:t>
      </w:r>
      <w:r w:rsidR="00CB7BB9" w:rsidRPr="000E1BC3">
        <w:rPr>
          <w:rFonts w:ascii="Times New Roman" w:hAnsi="Times New Roman"/>
          <w:sz w:val="24"/>
          <w:szCs w:val="24"/>
          <w:lang w:val="en-US"/>
        </w:rPr>
        <w:t xml:space="preserve"> </w:t>
      </w:r>
      <w:r w:rsidR="00CB7BB9" w:rsidRPr="000E1BC3">
        <w:rPr>
          <w:rFonts w:ascii="Times New Roman" w:hAnsi="Times New Roman"/>
          <w:sz w:val="24"/>
          <w:szCs w:val="24"/>
        </w:rPr>
        <w:t xml:space="preserve"> </w:t>
      </w:r>
    </w:p>
    <w:p w:rsidR="00A76752" w:rsidRPr="000E1BC3" w:rsidRDefault="00A76752" w:rsidP="00A76752">
      <w:pPr>
        <w:rPr>
          <w:rFonts w:ascii="Times New Roman" w:hAnsi="Times New Roman"/>
          <w:sz w:val="24"/>
          <w:szCs w:val="24"/>
        </w:rPr>
      </w:pPr>
      <w:r w:rsidRPr="000E1BC3">
        <w:rPr>
          <w:rFonts w:ascii="Times New Roman" w:hAnsi="Times New Roman"/>
          <w:sz w:val="24"/>
          <w:szCs w:val="24"/>
        </w:rPr>
        <w:t xml:space="preserve">The chemical name of </w:t>
      </w:r>
      <w:r w:rsidRPr="000E1BC3">
        <w:rPr>
          <w:rFonts w:ascii="Times New Roman" w:hAnsi="Times New Roman"/>
          <w:bCs/>
          <w:noProof/>
          <w:sz w:val="24"/>
          <w:szCs w:val="24"/>
        </w:rPr>
        <w:t>tenofovir alafenamide</w:t>
      </w:r>
      <w:r w:rsidRPr="000E1BC3">
        <w:rPr>
          <w:rFonts w:ascii="Times New Roman" w:hAnsi="Times New Roman"/>
          <w:sz w:val="24"/>
          <w:szCs w:val="24"/>
        </w:rPr>
        <w:t xml:space="preserve"> fumarate is </w:t>
      </w:r>
      <w:r w:rsidRPr="000E1BC3">
        <w:rPr>
          <w:rFonts w:ascii="Times New Roman" w:hAnsi="Times New Roman"/>
          <w:smallCaps/>
          <w:sz w:val="24"/>
          <w:szCs w:val="24"/>
        </w:rPr>
        <w:t>L</w:t>
      </w:r>
      <w:r w:rsidRPr="000E1BC3">
        <w:rPr>
          <w:rFonts w:ascii="Times New Roman" w:hAnsi="Times New Roman"/>
          <w:sz w:val="24"/>
          <w:szCs w:val="24"/>
        </w:rPr>
        <w:t xml:space="preserve">-Alanine, </w:t>
      </w:r>
      <w:r w:rsidRPr="000E1BC3">
        <w:rPr>
          <w:rFonts w:ascii="Times New Roman" w:hAnsi="Times New Roman"/>
          <w:i/>
          <w:sz w:val="24"/>
          <w:szCs w:val="24"/>
        </w:rPr>
        <w:t>N</w:t>
      </w:r>
      <w:r w:rsidRPr="000E1BC3">
        <w:rPr>
          <w:rFonts w:ascii="Times New Roman" w:hAnsi="Times New Roman"/>
          <w:sz w:val="24"/>
          <w:szCs w:val="24"/>
        </w:rPr>
        <w:t>-[(</w:t>
      </w:r>
      <w:r w:rsidRPr="000E1BC3">
        <w:rPr>
          <w:rFonts w:ascii="Times New Roman" w:hAnsi="Times New Roman"/>
          <w:i/>
          <w:sz w:val="24"/>
          <w:szCs w:val="24"/>
        </w:rPr>
        <w:t>S</w:t>
      </w:r>
      <w:r w:rsidRPr="000E1BC3">
        <w:rPr>
          <w:rFonts w:ascii="Times New Roman" w:hAnsi="Times New Roman"/>
          <w:sz w:val="24"/>
          <w:szCs w:val="24"/>
        </w:rPr>
        <w:t>)-[[(1</w:t>
      </w:r>
      <w:r w:rsidRPr="000E1BC3">
        <w:rPr>
          <w:rFonts w:ascii="Times New Roman" w:hAnsi="Times New Roman"/>
          <w:i/>
          <w:sz w:val="24"/>
          <w:szCs w:val="24"/>
        </w:rPr>
        <w:t>R</w:t>
      </w:r>
      <w:r w:rsidRPr="000E1BC3">
        <w:rPr>
          <w:rFonts w:ascii="Times New Roman" w:hAnsi="Times New Roman"/>
          <w:sz w:val="24"/>
          <w:szCs w:val="24"/>
        </w:rPr>
        <w:t>)-2-(6-amino-9</w:t>
      </w:r>
      <w:r w:rsidRPr="000E1BC3">
        <w:rPr>
          <w:rFonts w:ascii="Times New Roman" w:hAnsi="Times New Roman"/>
          <w:i/>
          <w:sz w:val="24"/>
          <w:szCs w:val="24"/>
        </w:rPr>
        <w:t>H</w:t>
      </w:r>
      <w:r w:rsidRPr="000E1BC3">
        <w:rPr>
          <w:rFonts w:ascii="Times New Roman" w:hAnsi="Times New Roman"/>
          <w:sz w:val="24"/>
          <w:szCs w:val="24"/>
        </w:rPr>
        <w:t>-purin-9-yl)-1-methylethoxy]methyl]phenoxyphosphinyl]-, 1-methylethyl ester, (2</w:t>
      </w:r>
      <w:r w:rsidRPr="000E1BC3">
        <w:rPr>
          <w:rFonts w:ascii="Times New Roman" w:hAnsi="Times New Roman"/>
          <w:i/>
          <w:sz w:val="24"/>
          <w:szCs w:val="24"/>
        </w:rPr>
        <w:t>E</w:t>
      </w:r>
      <w:r w:rsidRPr="000E1BC3">
        <w:rPr>
          <w:rFonts w:ascii="Times New Roman" w:hAnsi="Times New Roman"/>
          <w:sz w:val="24"/>
          <w:szCs w:val="24"/>
        </w:rPr>
        <w:t>)-2-butenedioate (2:1).</w:t>
      </w:r>
    </w:p>
    <w:p w:rsidR="00A76752" w:rsidRPr="000E1BC3" w:rsidRDefault="00A76752" w:rsidP="00A76752">
      <w:pPr>
        <w:rPr>
          <w:rFonts w:ascii="Times New Roman" w:hAnsi="Times New Roman"/>
          <w:sz w:val="24"/>
          <w:szCs w:val="24"/>
        </w:rPr>
      </w:pPr>
    </w:p>
    <w:p w:rsidR="00A76752" w:rsidRPr="000E1BC3" w:rsidRDefault="00A76752" w:rsidP="00A76752">
      <w:pPr>
        <w:rPr>
          <w:rFonts w:ascii="Times New Roman" w:hAnsi="Times New Roman"/>
          <w:sz w:val="24"/>
          <w:szCs w:val="24"/>
        </w:rPr>
      </w:pPr>
      <w:r w:rsidRPr="000E1BC3">
        <w:rPr>
          <w:rFonts w:ascii="Times New Roman" w:hAnsi="Times New Roman"/>
          <w:sz w:val="24"/>
          <w:szCs w:val="24"/>
        </w:rPr>
        <w:t>It has an empirical formula of C</w:t>
      </w:r>
      <w:r w:rsidRPr="000E1BC3">
        <w:rPr>
          <w:rFonts w:ascii="Times New Roman" w:hAnsi="Times New Roman"/>
          <w:sz w:val="24"/>
          <w:szCs w:val="24"/>
          <w:vertAlign w:val="subscript"/>
        </w:rPr>
        <w:t>21</w:t>
      </w:r>
      <w:r w:rsidRPr="000E1BC3">
        <w:rPr>
          <w:rFonts w:ascii="Times New Roman" w:hAnsi="Times New Roman"/>
          <w:sz w:val="24"/>
          <w:szCs w:val="24"/>
        </w:rPr>
        <w:t>H</w:t>
      </w:r>
      <w:r w:rsidRPr="000E1BC3">
        <w:rPr>
          <w:rFonts w:ascii="Times New Roman" w:hAnsi="Times New Roman"/>
          <w:sz w:val="24"/>
          <w:szCs w:val="24"/>
          <w:vertAlign w:val="subscript"/>
        </w:rPr>
        <w:t>29</w:t>
      </w:r>
      <w:r w:rsidRPr="000E1BC3">
        <w:rPr>
          <w:rFonts w:ascii="Times New Roman" w:hAnsi="Times New Roman"/>
          <w:sz w:val="24"/>
          <w:szCs w:val="24"/>
        </w:rPr>
        <w:t>O</w:t>
      </w:r>
      <w:r w:rsidRPr="000E1BC3">
        <w:rPr>
          <w:rFonts w:ascii="Times New Roman" w:hAnsi="Times New Roman"/>
          <w:sz w:val="24"/>
          <w:szCs w:val="24"/>
          <w:vertAlign w:val="subscript"/>
        </w:rPr>
        <w:t>5</w:t>
      </w:r>
      <w:r w:rsidRPr="000E1BC3">
        <w:rPr>
          <w:rFonts w:ascii="Times New Roman" w:hAnsi="Times New Roman"/>
          <w:sz w:val="24"/>
          <w:szCs w:val="24"/>
        </w:rPr>
        <w:t>N</w:t>
      </w:r>
      <w:r w:rsidRPr="000E1BC3">
        <w:rPr>
          <w:rFonts w:ascii="Times New Roman" w:hAnsi="Times New Roman"/>
          <w:sz w:val="24"/>
          <w:szCs w:val="24"/>
          <w:vertAlign w:val="subscript"/>
        </w:rPr>
        <w:t>6</w:t>
      </w:r>
      <w:r w:rsidRPr="000E1BC3">
        <w:rPr>
          <w:rFonts w:ascii="Times New Roman" w:hAnsi="Times New Roman"/>
          <w:sz w:val="24"/>
          <w:szCs w:val="24"/>
        </w:rPr>
        <w:t>P•½(C</w:t>
      </w:r>
      <w:r w:rsidRPr="000E1BC3">
        <w:rPr>
          <w:rFonts w:ascii="Times New Roman" w:hAnsi="Times New Roman"/>
          <w:sz w:val="24"/>
          <w:szCs w:val="24"/>
          <w:vertAlign w:val="subscript"/>
        </w:rPr>
        <w:t>4</w:t>
      </w:r>
      <w:r w:rsidRPr="000E1BC3">
        <w:rPr>
          <w:rFonts w:ascii="Times New Roman" w:hAnsi="Times New Roman"/>
          <w:sz w:val="24"/>
          <w:szCs w:val="24"/>
        </w:rPr>
        <w:t>H</w:t>
      </w:r>
      <w:r w:rsidRPr="000E1BC3">
        <w:rPr>
          <w:rFonts w:ascii="Times New Roman" w:hAnsi="Times New Roman"/>
          <w:sz w:val="24"/>
          <w:szCs w:val="24"/>
          <w:vertAlign w:val="subscript"/>
        </w:rPr>
        <w:t>4</w:t>
      </w:r>
      <w:r w:rsidRPr="000E1BC3">
        <w:rPr>
          <w:rFonts w:ascii="Times New Roman" w:hAnsi="Times New Roman"/>
          <w:sz w:val="24"/>
          <w:szCs w:val="24"/>
        </w:rPr>
        <w:t>O</w:t>
      </w:r>
      <w:r w:rsidRPr="000E1BC3">
        <w:rPr>
          <w:rFonts w:ascii="Times New Roman" w:hAnsi="Times New Roman"/>
          <w:sz w:val="24"/>
          <w:szCs w:val="24"/>
          <w:vertAlign w:val="subscript"/>
        </w:rPr>
        <w:t>4</w:t>
      </w:r>
      <w:r w:rsidRPr="000E1BC3">
        <w:rPr>
          <w:rFonts w:ascii="Times New Roman" w:hAnsi="Times New Roman"/>
          <w:sz w:val="24"/>
          <w:szCs w:val="24"/>
        </w:rPr>
        <w:t>) and a molecular weight of 534.5.  It has the following structural formula:</w:t>
      </w:r>
    </w:p>
    <w:p w:rsidR="00A76752" w:rsidRPr="000E1BC3" w:rsidRDefault="00A76752" w:rsidP="00A76752">
      <w:pPr>
        <w:pStyle w:val="BodyTextIndent"/>
        <w:keepNext/>
        <w:spacing w:before="240"/>
        <w:rPr>
          <w:rFonts w:ascii="Times New Roman" w:hAnsi="Times New Roman"/>
          <w:sz w:val="22"/>
          <w:szCs w:val="22"/>
        </w:rPr>
      </w:pPr>
      <w:r w:rsidRPr="000E1BC3">
        <w:object w:dxaOrig="5049" w:dyaOrig="2258">
          <v:shape id="_x0000_i1027" type="#_x0000_t75" style="width:249.95pt;height:112.1pt" o:ole="">
            <v:imagedata r:id="rId17" o:title=""/>
          </v:shape>
          <o:OLEObject Type="Embed" ProgID="ChemDraw.Document.6.0" ShapeID="_x0000_i1027" DrawAspect="Content" ObjectID="_1630750522" r:id="rId18"/>
        </w:object>
      </w:r>
    </w:p>
    <w:p w:rsidR="00A76752" w:rsidRDefault="00A76752" w:rsidP="00A76752">
      <w:pPr>
        <w:rPr>
          <w:rFonts w:ascii="Times New Roman" w:hAnsi="Times New Roman"/>
          <w:sz w:val="24"/>
          <w:szCs w:val="24"/>
        </w:rPr>
      </w:pPr>
      <w:r w:rsidRPr="000E1BC3">
        <w:rPr>
          <w:rFonts w:ascii="Times New Roman" w:hAnsi="Times New Roman"/>
          <w:sz w:val="24"/>
          <w:szCs w:val="24"/>
        </w:rPr>
        <w:t xml:space="preserve">TAF is a white to off-white or tan powder with a solubility of 4.7 mg per mL in water at </w:t>
      </w:r>
      <w:r w:rsidRPr="000E1BC3">
        <w:rPr>
          <w:rFonts w:ascii="Times New Roman" w:hAnsi="Times New Roman"/>
          <w:sz w:val="24"/>
          <w:szCs w:val="24"/>
        </w:rPr>
        <w:br/>
        <w:t>20 °C.</w:t>
      </w:r>
    </w:p>
    <w:p w:rsidR="00346E0B" w:rsidRDefault="00346E0B" w:rsidP="00346E0B">
      <w:pPr>
        <w:numPr>
          <w:ilvl w:val="0"/>
          <w:numId w:val="28"/>
        </w:numPr>
        <w:rPr>
          <w:rFonts w:ascii="Times New Roman" w:hAnsi="Times New Roman"/>
          <w:b/>
          <w:sz w:val="24"/>
          <w:szCs w:val="24"/>
        </w:rPr>
      </w:pPr>
      <w:r>
        <w:rPr>
          <w:rFonts w:ascii="Times New Roman" w:hAnsi="Times New Roman"/>
          <w:b/>
          <w:sz w:val="24"/>
          <w:szCs w:val="24"/>
        </w:rPr>
        <w:t xml:space="preserve">CAS number </w:t>
      </w:r>
    </w:p>
    <w:p w:rsidR="00346E0B" w:rsidRDefault="00346E0B" w:rsidP="00346E0B">
      <w:pPr>
        <w:rPr>
          <w:rFonts w:ascii="Times New Roman" w:hAnsi="Times New Roman"/>
          <w:sz w:val="24"/>
          <w:szCs w:val="24"/>
        </w:rPr>
      </w:pPr>
      <w:r w:rsidRPr="000E1BC3">
        <w:rPr>
          <w:rFonts w:ascii="Times New Roman" w:hAnsi="Times New Roman"/>
          <w:noProof/>
          <w:sz w:val="24"/>
          <w:szCs w:val="24"/>
        </w:rPr>
        <w:t>Bictegravir sodium</w:t>
      </w:r>
      <w:r>
        <w:rPr>
          <w:rFonts w:ascii="Times New Roman" w:hAnsi="Times New Roman"/>
          <w:noProof/>
          <w:sz w:val="24"/>
          <w:szCs w:val="24"/>
        </w:rPr>
        <w:t xml:space="preserve"> </w:t>
      </w:r>
      <w:r w:rsidRPr="0091176D">
        <w:rPr>
          <w:rFonts w:ascii="Times New Roman" w:hAnsi="Times New Roman"/>
          <w:sz w:val="24"/>
          <w:szCs w:val="24"/>
        </w:rPr>
        <w:t>CAS number</w:t>
      </w:r>
      <w:r w:rsidRPr="000E1BC3">
        <w:rPr>
          <w:rFonts w:ascii="Times New Roman" w:hAnsi="Times New Roman"/>
          <w:sz w:val="24"/>
          <w:szCs w:val="24"/>
        </w:rPr>
        <w:t xml:space="preserve">: 1807988-02-8 </w:t>
      </w:r>
    </w:p>
    <w:p w:rsidR="00346E0B" w:rsidRPr="000E1BC3" w:rsidRDefault="00346E0B" w:rsidP="00346E0B">
      <w:pPr>
        <w:rPr>
          <w:rFonts w:ascii="Times New Roman" w:hAnsi="Times New Roman"/>
          <w:sz w:val="24"/>
          <w:szCs w:val="24"/>
        </w:rPr>
      </w:pPr>
      <w:r w:rsidRPr="0091176D">
        <w:rPr>
          <w:rFonts w:ascii="Times New Roman" w:hAnsi="Times New Roman"/>
          <w:sz w:val="24"/>
          <w:szCs w:val="24"/>
        </w:rPr>
        <w:t>Emtricitabine</w:t>
      </w:r>
      <w:r>
        <w:rPr>
          <w:rFonts w:ascii="Times New Roman" w:hAnsi="Times New Roman"/>
          <w:sz w:val="24"/>
          <w:szCs w:val="24"/>
        </w:rPr>
        <w:t xml:space="preserve"> </w:t>
      </w:r>
      <w:r w:rsidRPr="0091176D">
        <w:rPr>
          <w:rFonts w:ascii="Times New Roman" w:hAnsi="Times New Roman"/>
          <w:sz w:val="24"/>
          <w:szCs w:val="24"/>
        </w:rPr>
        <w:t>CAS number</w:t>
      </w:r>
      <w:r w:rsidRPr="000E1BC3">
        <w:rPr>
          <w:rFonts w:ascii="Times New Roman" w:hAnsi="Times New Roman"/>
          <w:sz w:val="24"/>
          <w:szCs w:val="24"/>
        </w:rPr>
        <w:t>: 143491-57-0</w:t>
      </w:r>
    </w:p>
    <w:p w:rsidR="00346E0B" w:rsidRPr="009604EB" w:rsidRDefault="00346E0B" w:rsidP="00346E0B">
      <w:pPr>
        <w:rPr>
          <w:rFonts w:ascii="Times New Roman" w:hAnsi="Times New Roman"/>
          <w:sz w:val="24"/>
          <w:szCs w:val="24"/>
        </w:rPr>
      </w:pPr>
      <w:r w:rsidRPr="009604EB">
        <w:rPr>
          <w:rFonts w:ascii="Times New Roman" w:hAnsi="Times New Roman"/>
          <w:sz w:val="24"/>
          <w:szCs w:val="24"/>
        </w:rPr>
        <w:t>Tenofovir alafenamide CAS number: 379270-37-8</w:t>
      </w:r>
    </w:p>
    <w:p w:rsidR="00346E0B" w:rsidRPr="000E1BC3" w:rsidRDefault="00346E0B" w:rsidP="00346E0B">
      <w:pPr>
        <w:rPr>
          <w:rFonts w:ascii="Times New Roman" w:hAnsi="Times New Roman"/>
          <w:sz w:val="24"/>
          <w:szCs w:val="24"/>
        </w:rPr>
      </w:pPr>
      <w:r w:rsidRPr="009604EB">
        <w:rPr>
          <w:rFonts w:ascii="Times New Roman" w:hAnsi="Times New Roman"/>
          <w:sz w:val="24"/>
          <w:szCs w:val="24"/>
        </w:rPr>
        <w:t>Tenofovir alafenamide fumarate</w:t>
      </w:r>
      <w:r w:rsidRPr="00404037">
        <w:rPr>
          <w:rFonts w:ascii="Times New Roman" w:hAnsi="Times New Roman"/>
          <w:b/>
          <w:sz w:val="24"/>
          <w:szCs w:val="24"/>
        </w:rPr>
        <w:t xml:space="preserve"> </w:t>
      </w:r>
      <w:r w:rsidRPr="0091176D">
        <w:rPr>
          <w:rFonts w:ascii="Times New Roman" w:hAnsi="Times New Roman"/>
          <w:sz w:val="24"/>
          <w:szCs w:val="24"/>
        </w:rPr>
        <w:t>CAS number</w:t>
      </w:r>
      <w:r w:rsidRPr="00404037">
        <w:rPr>
          <w:rFonts w:ascii="Times New Roman" w:hAnsi="Times New Roman"/>
          <w:b/>
          <w:sz w:val="24"/>
          <w:szCs w:val="24"/>
        </w:rPr>
        <w:t>:</w:t>
      </w:r>
      <w:r w:rsidRPr="000E1BC3">
        <w:rPr>
          <w:rFonts w:ascii="Times New Roman" w:hAnsi="Times New Roman"/>
          <w:sz w:val="24"/>
          <w:szCs w:val="24"/>
        </w:rPr>
        <w:t xml:space="preserve"> 1392275-56-7</w:t>
      </w:r>
    </w:p>
    <w:p w:rsidR="00EA7B89" w:rsidRDefault="00EA7B89" w:rsidP="00D80053">
      <w:pPr>
        <w:pageBreakBefore/>
        <w:spacing w:after="120"/>
        <w:jc w:val="both"/>
        <w:rPr>
          <w:rFonts w:ascii="Times New Roman" w:hAnsi="Times New Roman"/>
          <w:b/>
          <w:noProof/>
          <w:sz w:val="24"/>
          <w:szCs w:val="24"/>
        </w:rPr>
      </w:pPr>
      <w:r w:rsidRPr="00F94199">
        <w:rPr>
          <w:rFonts w:ascii="Times New Roman" w:hAnsi="Times New Roman"/>
          <w:b/>
          <w:noProof/>
          <w:sz w:val="24"/>
          <w:szCs w:val="24"/>
        </w:rPr>
        <w:t xml:space="preserve">7. </w:t>
      </w:r>
      <w:r w:rsidR="00F75C45" w:rsidRPr="00F94199">
        <w:rPr>
          <w:rFonts w:ascii="Times New Roman" w:hAnsi="Times New Roman"/>
          <w:b/>
          <w:noProof/>
          <w:sz w:val="24"/>
          <w:szCs w:val="24"/>
        </w:rPr>
        <w:t xml:space="preserve">MEDICINES </w:t>
      </w:r>
      <w:r w:rsidRPr="00F94199">
        <w:rPr>
          <w:rFonts w:ascii="Times New Roman" w:hAnsi="Times New Roman"/>
          <w:b/>
          <w:noProof/>
          <w:sz w:val="24"/>
          <w:szCs w:val="24"/>
        </w:rPr>
        <w:t xml:space="preserve">SCHEDULE </w:t>
      </w:r>
      <w:r w:rsidR="00F75C45" w:rsidRPr="00F94199">
        <w:rPr>
          <w:rFonts w:ascii="Times New Roman" w:hAnsi="Times New Roman"/>
          <w:b/>
          <w:noProof/>
          <w:sz w:val="24"/>
          <w:szCs w:val="24"/>
        </w:rPr>
        <w:t>(POISONS STANDARD)</w:t>
      </w:r>
    </w:p>
    <w:p w:rsidR="00EA7B89" w:rsidRPr="000E1BC3" w:rsidRDefault="00874A79" w:rsidP="00EA7B89">
      <w:pPr>
        <w:jc w:val="both"/>
        <w:rPr>
          <w:rFonts w:ascii="Times New Roman" w:hAnsi="Times New Roman"/>
          <w:noProof/>
          <w:sz w:val="24"/>
          <w:szCs w:val="24"/>
        </w:rPr>
      </w:pPr>
      <w:r w:rsidRPr="000E1BC3">
        <w:rPr>
          <w:rFonts w:ascii="Times New Roman" w:hAnsi="Times New Roman"/>
          <w:noProof/>
          <w:sz w:val="24"/>
          <w:szCs w:val="24"/>
        </w:rPr>
        <w:t>Schedule 4 – Prescription Only Medicine</w:t>
      </w:r>
    </w:p>
    <w:p w:rsidR="0091176D" w:rsidRDefault="0091176D" w:rsidP="00F53665">
      <w:pPr>
        <w:spacing w:after="120"/>
        <w:jc w:val="both"/>
        <w:rPr>
          <w:rFonts w:ascii="Times New Roman" w:hAnsi="Times New Roman"/>
          <w:b/>
          <w:noProof/>
          <w:sz w:val="24"/>
          <w:szCs w:val="24"/>
        </w:rPr>
      </w:pPr>
    </w:p>
    <w:p w:rsidR="00F53665" w:rsidRPr="00DD64CE" w:rsidRDefault="00EA7B89" w:rsidP="00F53665">
      <w:pPr>
        <w:spacing w:after="120"/>
        <w:jc w:val="both"/>
        <w:rPr>
          <w:rFonts w:ascii="Times New Roman" w:hAnsi="Times New Roman"/>
          <w:b/>
          <w:noProof/>
          <w:sz w:val="24"/>
          <w:szCs w:val="24"/>
        </w:rPr>
      </w:pPr>
      <w:r w:rsidRPr="00DD64CE">
        <w:rPr>
          <w:rFonts w:ascii="Times New Roman" w:hAnsi="Times New Roman"/>
          <w:b/>
          <w:noProof/>
          <w:sz w:val="24"/>
          <w:szCs w:val="24"/>
        </w:rPr>
        <w:t xml:space="preserve">8. </w:t>
      </w:r>
      <w:r w:rsidR="007254DD" w:rsidRPr="00DD64CE">
        <w:rPr>
          <w:rFonts w:ascii="Times New Roman" w:hAnsi="Times New Roman"/>
          <w:b/>
          <w:noProof/>
          <w:sz w:val="24"/>
          <w:szCs w:val="24"/>
        </w:rPr>
        <w:t>SPONSOR</w:t>
      </w:r>
    </w:p>
    <w:p w:rsidR="007254DD" w:rsidRPr="000E1BC3" w:rsidRDefault="007254DD" w:rsidP="007254DD">
      <w:pPr>
        <w:jc w:val="both"/>
        <w:rPr>
          <w:rFonts w:ascii="Times New Roman" w:hAnsi="Times New Roman"/>
          <w:sz w:val="24"/>
          <w:szCs w:val="24"/>
        </w:rPr>
      </w:pPr>
      <w:r w:rsidRPr="000E1BC3">
        <w:rPr>
          <w:rFonts w:ascii="Times New Roman" w:hAnsi="Times New Roman"/>
          <w:sz w:val="24"/>
          <w:szCs w:val="24"/>
        </w:rPr>
        <w:t>Gilead Sciences Pty Ltd</w:t>
      </w:r>
    </w:p>
    <w:p w:rsidR="007254DD" w:rsidRPr="000E1BC3" w:rsidRDefault="005468D5" w:rsidP="007254DD">
      <w:pPr>
        <w:jc w:val="both"/>
        <w:rPr>
          <w:rFonts w:ascii="Times New Roman" w:hAnsi="Times New Roman"/>
          <w:sz w:val="24"/>
          <w:szCs w:val="24"/>
        </w:rPr>
      </w:pPr>
      <w:r w:rsidRPr="000E1BC3">
        <w:rPr>
          <w:rFonts w:ascii="Times New Roman" w:hAnsi="Times New Roman"/>
          <w:sz w:val="24"/>
          <w:szCs w:val="24"/>
        </w:rPr>
        <w:t>Level 6, 417 St Kilda Road</w:t>
      </w:r>
    </w:p>
    <w:p w:rsidR="007254DD" w:rsidRDefault="007254DD" w:rsidP="007254DD">
      <w:pPr>
        <w:jc w:val="both"/>
        <w:rPr>
          <w:rFonts w:ascii="Times New Roman" w:hAnsi="Times New Roman"/>
          <w:sz w:val="24"/>
          <w:szCs w:val="24"/>
        </w:rPr>
      </w:pPr>
      <w:r w:rsidRPr="000E1BC3">
        <w:rPr>
          <w:rFonts w:ascii="Times New Roman" w:hAnsi="Times New Roman"/>
          <w:sz w:val="24"/>
          <w:szCs w:val="24"/>
        </w:rPr>
        <w:t xml:space="preserve">Melbourne, Victoria </w:t>
      </w:r>
      <w:r w:rsidR="005468D5" w:rsidRPr="000E1BC3">
        <w:rPr>
          <w:rFonts w:ascii="Times New Roman" w:hAnsi="Times New Roman"/>
          <w:sz w:val="24"/>
          <w:szCs w:val="24"/>
        </w:rPr>
        <w:t>3004</w:t>
      </w:r>
    </w:p>
    <w:p w:rsidR="00327AC2" w:rsidRDefault="00327AC2" w:rsidP="007254DD">
      <w:pPr>
        <w:jc w:val="both"/>
        <w:rPr>
          <w:rFonts w:ascii="Times New Roman" w:hAnsi="Times New Roman"/>
          <w:sz w:val="24"/>
          <w:szCs w:val="24"/>
        </w:rPr>
      </w:pPr>
    </w:p>
    <w:p w:rsidR="00327AC2" w:rsidRDefault="00327AC2" w:rsidP="007254DD">
      <w:pPr>
        <w:jc w:val="both"/>
        <w:rPr>
          <w:rFonts w:ascii="Times New Roman" w:hAnsi="Times New Roman"/>
          <w:sz w:val="24"/>
          <w:szCs w:val="24"/>
        </w:rPr>
      </w:pPr>
      <w:r>
        <w:rPr>
          <w:rFonts w:ascii="Times New Roman" w:hAnsi="Times New Roman"/>
          <w:sz w:val="24"/>
          <w:szCs w:val="24"/>
        </w:rPr>
        <w:t xml:space="preserve">Telephone: </w:t>
      </w:r>
      <w:r w:rsidRPr="00327AC2">
        <w:rPr>
          <w:rFonts w:ascii="Times New Roman" w:hAnsi="Times New Roman"/>
          <w:sz w:val="24"/>
          <w:szCs w:val="24"/>
        </w:rPr>
        <w:t>1800 806 112</w:t>
      </w:r>
    </w:p>
    <w:p w:rsidR="00327AC2" w:rsidRPr="000E1BC3" w:rsidRDefault="00327AC2" w:rsidP="007254DD">
      <w:pPr>
        <w:jc w:val="both"/>
        <w:rPr>
          <w:rFonts w:ascii="Times New Roman" w:hAnsi="Times New Roman"/>
          <w:sz w:val="24"/>
          <w:szCs w:val="24"/>
        </w:rPr>
      </w:pPr>
      <w:r>
        <w:rPr>
          <w:rFonts w:ascii="Times New Roman" w:hAnsi="Times New Roman"/>
          <w:sz w:val="24"/>
          <w:szCs w:val="24"/>
        </w:rPr>
        <w:t xml:space="preserve">Email: </w:t>
      </w:r>
      <w:hyperlink r:id="rId19" w:history="1">
        <w:r w:rsidRPr="001A077B">
          <w:rPr>
            <w:rStyle w:val="Hyperlink"/>
            <w:rFonts w:ascii="Times New Roman" w:hAnsi="Times New Roman"/>
            <w:sz w:val="24"/>
            <w:szCs w:val="24"/>
          </w:rPr>
          <w:t>au.nz.medinfo@gilead.com</w:t>
        </w:r>
      </w:hyperlink>
      <w:r>
        <w:rPr>
          <w:rFonts w:ascii="Times New Roman" w:hAnsi="Times New Roman"/>
          <w:sz w:val="24"/>
          <w:szCs w:val="24"/>
        </w:rPr>
        <w:t xml:space="preserve"> </w:t>
      </w:r>
    </w:p>
    <w:p w:rsidR="009F536A" w:rsidRDefault="009F536A" w:rsidP="007254DD">
      <w:pPr>
        <w:jc w:val="both"/>
        <w:rPr>
          <w:rFonts w:ascii="Times New Roman" w:hAnsi="Times New Roman"/>
          <w:noProof/>
          <w:sz w:val="24"/>
          <w:szCs w:val="24"/>
        </w:rPr>
      </w:pPr>
    </w:p>
    <w:p w:rsidR="0061539A" w:rsidRPr="00F94199" w:rsidRDefault="00C53659" w:rsidP="009C2A78">
      <w:pPr>
        <w:spacing w:after="120"/>
        <w:ind w:left="284" w:hanging="284"/>
        <w:jc w:val="both"/>
        <w:rPr>
          <w:rFonts w:ascii="Times New Roman" w:hAnsi="Times New Roman"/>
          <w:b/>
          <w:noProof/>
          <w:sz w:val="24"/>
          <w:szCs w:val="24"/>
        </w:rPr>
      </w:pPr>
      <w:r w:rsidRPr="00F94199">
        <w:rPr>
          <w:rFonts w:ascii="Times New Roman" w:hAnsi="Times New Roman"/>
          <w:b/>
          <w:noProof/>
          <w:sz w:val="24"/>
          <w:szCs w:val="24"/>
        </w:rPr>
        <w:t>9.</w:t>
      </w:r>
      <w:r w:rsidRPr="00F94199">
        <w:rPr>
          <w:rFonts w:ascii="Times New Roman" w:hAnsi="Times New Roman"/>
          <w:b/>
          <w:noProof/>
          <w:sz w:val="24"/>
          <w:szCs w:val="24"/>
        </w:rPr>
        <w:tab/>
      </w:r>
      <w:r w:rsidR="007254DD" w:rsidRPr="00F94199">
        <w:rPr>
          <w:rFonts w:ascii="Times New Roman" w:hAnsi="Times New Roman"/>
          <w:b/>
          <w:noProof/>
          <w:sz w:val="24"/>
          <w:szCs w:val="24"/>
        </w:rPr>
        <w:t xml:space="preserve">DATE OF </w:t>
      </w:r>
      <w:r w:rsidR="00EA7B89" w:rsidRPr="00F94199">
        <w:rPr>
          <w:rFonts w:ascii="Times New Roman" w:hAnsi="Times New Roman"/>
          <w:b/>
          <w:noProof/>
          <w:sz w:val="24"/>
          <w:szCs w:val="24"/>
        </w:rPr>
        <w:t xml:space="preserve">FIRST </w:t>
      </w:r>
      <w:r w:rsidR="00F75C45" w:rsidRPr="00F94199">
        <w:rPr>
          <w:rFonts w:ascii="Times New Roman" w:hAnsi="Times New Roman"/>
          <w:b/>
          <w:noProof/>
          <w:sz w:val="24"/>
          <w:szCs w:val="24"/>
        </w:rPr>
        <w:t>APPROVAL</w:t>
      </w:r>
    </w:p>
    <w:p w:rsidR="00032CB2" w:rsidRDefault="002F34B8" w:rsidP="007254DD">
      <w:pPr>
        <w:jc w:val="both"/>
        <w:rPr>
          <w:rFonts w:ascii="Times New Roman" w:hAnsi="Times New Roman"/>
          <w:noProof/>
          <w:sz w:val="24"/>
          <w:szCs w:val="24"/>
        </w:rPr>
      </w:pPr>
      <w:r>
        <w:rPr>
          <w:rFonts w:ascii="Times New Roman" w:hAnsi="Times New Roman"/>
          <w:noProof/>
          <w:sz w:val="24"/>
          <w:szCs w:val="24"/>
        </w:rPr>
        <w:t>1</w:t>
      </w:r>
      <w:r w:rsidR="009D131E">
        <w:rPr>
          <w:rFonts w:ascii="Times New Roman" w:hAnsi="Times New Roman"/>
          <w:noProof/>
          <w:sz w:val="24"/>
          <w:szCs w:val="24"/>
        </w:rPr>
        <w:t>2</w:t>
      </w:r>
      <w:r>
        <w:rPr>
          <w:rFonts w:ascii="Times New Roman" w:hAnsi="Times New Roman"/>
          <w:noProof/>
          <w:sz w:val="24"/>
          <w:szCs w:val="24"/>
        </w:rPr>
        <w:t xml:space="preserve"> July 2018</w:t>
      </w:r>
    </w:p>
    <w:p w:rsidR="00AA1A26" w:rsidRDefault="00AA1A26" w:rsidP="007254DD">
      <w:pPr>
        <w:jc w:val="both"/>
        <w:rPr>
          <w:rFonts w:ascii="Times New Roman" w:hAnsi="Times New Roman"/>
          <w:noProof/>
          <w:sz w:val="24"/>
          <w:szCs w:val="24"/>
        </w:rPr>
      </w:pPr>
    </w:p>
    <w:p w:rsidR="00AA1A26" w:rsidRPr="00F94199" w:rsidRDefault="007B71AD" w:rsidP="009326E4">
      <w:pPr>
        <w:spacing w:after="120"/>
        <w:jc w:val="both"/>
        <w:rPr>
          <w:rFonts w:ascii="Times New Roman" w:hAnsi="Times New Roman"/>
          <w:b/>
          <w:noProof/>
          <w:sz w:val="24"/>
          <w:szCs w:val="24"/>
        </w:rPr>
      </w:pPr>
      <w:r w:rsidRPr="00F94199">
        <w:rPr>
          <w:rFonts w:ascii="Times New Roman" w:hAnsi="Times New Roman"/>
          <w:b/>
          <w:noProof/>
          <w:sz w:val="24"/>
          <w:szCs w:val="24"/>
        </w:rPr>
        <w:t xml:space="preserve">10. </w:t>
      </w:r>
      <w:r w:rsidR="00AA1A26" w:rsidRPr="00F94199">
        <w:rPr>
          <w:rFonts w:ascii="Times New Roman" w:hAnsi="Times New Roman"/>
          <w:b/>
          <w:noProof/>
          <w:sz w:val="24"/>
          <w:szCs w:val="24"/>
        </w:rPr>
        <w:t xml:space="preserve">DATE OF </w:t>
      </w:r>
      <w:r w:rsidR="00F75C45" w:rsidRPr="00F94199">
        <w:rPr>
          <w:rFonts w:ascii="Times New Roman" w:hAnsi="Times New Roman"/>
          <w:b/>
          <w:noProof/>
          <w:sz w:val="24"/>
          <w:szCs w:val="24"/>
        </w:rPr>
        <w:t>REVISION</w:t>
      </w:r>
    </w:p>
    <w:p w:rsidR="00AA1A26" w:rsidRPr="008B7865" w:rsidRDefault="00FE703D" w:rsidP="007254DD">
      <w:pPr>
        <w:jc w:val="both"/>
        <w:rPr>
          <w:rFonts w:ascii="Times New Roman" w:hAnsi="Times New Roman"/>
          <w:noProof/>
          <w:sz w:val="24"/>
          <w:szCs w:val="24"/>
        </w:rPr>
      </w:pPr>
      <w:r>
        <w:rPr>
          <w:rFonts w:ascii="Times New Roman" w:hAnsi="Times New Roman"/>
          <w:noProof/>
          <w:sz w:val="24"/>
          <w:szCs w:val="24"/>
        </w:rPr>
        <w:t>TBD</w:t>
      </w:r>
    </w:p>
    <w:p w:rsidR="00F75C45" w:rsidRPr="00404037" w:rsidRDefault="00F75C45" w:rsidP="00F53665">
      <w:pPr>
        <w:spacing w:after="120"/>
        <w:jc w:val="both"/>
        <w:rPr>
          <w:rFonts w:ascii="Times New Roman Bold" w:eastAsia="Batang" w:hAnsi="Times New Roman Bold" w:hint="eastAsia"/>
          <w:b/>
          <w:caps/>
          <w:sz w:val="24"/>
          <w:szCs w:val="24"/>
          <w:lang w:val="en-US"/>
        </w:rPr>
      </w:pPr>
      <w:r w:rsidRPr="00404037">
        <w:rPr>
          <w:rFonts w:ascii="Times New Roman Bold" w:eastAsia="Batang" w:hAnsi="Times New Roman Bold"/>
          <w:b/>
          <w:caps/>
          <w:sz w:val="24"/>
          <w:szCs w:val="24"/>
          <w:lang w:val="en-US"/>
        </w:rPr>
        <w:t>Summary table of changes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6A0" w:firstRow="1" w:lastRow="0" w:firstColumn="1" w:lastColumn="0" w:noHBand="1" w:noVBand="1"/>
      </w:tblPr>
      <w:tblGrid>
        <w:gridCol w:w="1509"/>
        <w:gridCol w:w="7486"/>
      </w:tblGrid>
      <w:tr w:rsidR="00F75C45" w:rsidRPr="00C33830" w:rsidTr="00C33830">
        <w:tc>
          <w:tcPr>
            <w:tcW w:w="1526" w:type="dxa"/>
            <w:tcBorders>
              <w:top w:val="single" w:sz="8" w:space="0" w:color="000000"/>
              <w:left w:val="single" w:sz="8" w:space="0" w:color="000000"/>
              <w:bottom w:val="single" w:sz="18" w:space="0" w:color="000000"/>
              <w:right w:val="single" w:sz="8" w:space="0" w:color="000000"/>
            </w:tcBorders>
            <w:shd w:val="clear" w:color="auto" w:fill="F2F2F2"/>
            <w:vAlign w:val="center"/>
          </w:tcPr>
          <w:p w:rsidR="00F75C45" w:rsidRPr="00C33830" w:rsidRDefault="00F75C45" w:rsidP="00C33830">
            <w:pPr>
              <w:jc w:val="both"/>
              <w:rPr>
                <w:rFonts w:ascii="Times New Roman" w:eastAsia="Batang" w:hAnsi="Times New Roman"/>
                <w:b/>
                <w:bCs/>
                <w:sz w:val="24"/>
                <w:szCs w:val="24"/>
                <w:lang w:val="en-US"/>
              </w:rPr>
            </w:pPr>
            <w:r w:rsidRPr="00C33830">
              <w:rPr>
                <w:rFonts w:ascii="Times New Roman" w:eastAsia="Batang" w:hAnsi="Times New Roman"/>
                <w:b/>
                <w:bCs/>
                <w:sz w:val="24"/>
                <w:szCs w:val="24"/>
                <w:lang w:val="en-US"/>
              </w:rPr>
              <w:t xml:space="preserve">Section </w:t>
            </w:r>
            <w:r w:rsidR="00404037">
              <w:rPr>
                <w:rFonts w:ascii="Times New Roman" w:eastAsia="Batang" w:hAnsi="Times New Roman"/>
                <w:b/>
                <w:bCs/>
                <w:sz w:val="24"/>
                <w:szCs w:val="24"/>
                <w:lang w:val="en-US"/>
              </w:rPr>
              <w:t>c</w:t>
            </w:r>
            <w:r w:rsidRPr="00C33830">
              <w:rPr>
                <w:rFonts w:ascii="Times New Roman" w:eastAsia="Batang" w:hAnsi="Times New Roman"/>
                <w:b/>
                <w:bCs/>
                <w:sz w:val="24"/>
                <w:szCs w:val="24"/>
                <w:lang w:val="en-US"/>
              </w:rPr>
              <w:t>hanged</w:t>
            </w:r>
          </w:p>
        </w:tc>
        <w:tc>
          <w:tcPr>
            <w:tcW w:w="7716" w:type="dxa"/>
            <w:tcBorders>
              <w:top w:val="single" w:sz="8" w:space="0" w:color="000000"/>
              <w:left w:val="single" w:sz="8" w:space="0" w:color="000000"/>
              <w:bottom w:val="single" w:sz="18" w:space="0" w:color="000000"/>
              <w:right w:val="single" w:sz="8" w:space="0" w:color="000000"/>
            </w:tcBorders>
            <w:shd w:val="clear" w:color="auto" w:fill="F2F2F2"/>
            <w:vAlign w:val="center"/>
          </w:tcPr>
          <w:p w:rsidR="00F75C45" w:rsidRPr="00C33830" w:rsidRDefault="00F75C45" w:rsidP="00C33830">
            <w:pPr>
              <w:jc w:val="both"/>
              <w:rPr>
                <w:rFonts w:ascii="Times New Roman" w:eastAsia="Batang" w:hAnsi="Times New Roman"/>
                <w:b/>
                <w:bCs/>
                <w:sz w:val="24"/>
                <w:szCs w:val="24"/>
                <w:lang w:val="en-US"/>
              </w:rPr>
            </w:pPr>
            <w:r w:rsidRPr="00C33830">
              <w:rPr>
                <w:rFonts w:ascii="Times New Roman" w:eastAsia="Batang" w:hAnsi="Times New Roman"/>
                <w:b/>
                <w:bCs/>
                <w:sz w:val="24"/>
                <w:szCs w:val="24"/>
                <w:lang w:val="en-US"/>
              </w:rPr>
              <w:t>Summary of new information</w:t>
            </w:r>
          </w:p>
        </w:tc>
      </w:tr>
      <w:tr w:rsidR="00F75C45" w:rsidRPr="00C33830" w:rsidTr="00C33830">
        <w:tc>
          <w:tcPr>
            <w:tcW w:w="1526" w:type="dxa"/>
            <w:shd w:val="clear" w:color="auto" w:fill="auto"/>
            <w:vAlign w:val="center"/>
          </w:tcPr>
          <w:p w:rsidR="00F75C45" w:rsidRPr="00C33830" w:rsidRDefault="00F75C45" w:rsidP="00C33830">
            <w:pPr>
              <w:jc w:val="both"/>
              <w:rPr>
                <w:rFonts w:ascii="Times New Roman" w:eastAsia="Batang" w:hAnsi="Times New Roman"/>
                <w:b/>
                <w:bCs/>
                <w:sz w:val="24"/>
                <w:szCs w:val="24"/>
                <w:lang w:val="en-US"/>
              </w:rPr>
            </w:pPr>
          </w:p>
        </w:tc>
        <w:tc>
          <w:tcPr>
            <w:tcW w:w="7716" w:type="dxa"/>
            <w:shd w:val="clear" w:color="auto" w:fill="auto"/>
            <w:vAlign w:val="center"/>
          </w:tcPr>
          <w:p w:rsidR="00F75C45" w:rsidRPr="00C33830" w:rsidRDefault="00F75C45" w:rsidP="00C33830">
            <w:pPr>
              <w:jc w:val="both"/>
              <w:rPr>
                <w:rFonts w:ascii="Times New Roman" w:eastAsia="Batang" w:hAnsi="Times New Roman"/>
                <w:sz w:val="24"/>
                <w:szCs w:val="24"/>
                <w:lang w:val="en-US"/>
              </w:rPr>
            </w:pPr>
          </w:p>
        </w:tc>
      </w:tr>
      <w:tr w:rsidR="00F75C45" w:rsidRPr="00C33830" w:rsidTr="00C33830">
        <w:tc>
          <w:tcPr>
            <w:tcW w:w="1526" w:type="dxa"/>
            <w:shd w:val="clear" w:color="auto" w:fill="auto"/>
            <w:vAlign w:val="center"/>
          </w:tcPr>
          <w:p w:rsidR="00F75C45" w:rsidRPr="00C33830" w:rsidRDefault="00F75C45" w:rsidP="00C33830">
            <w:pPr>
              <w:jc w:val="both"/>
              <w:rPr>
                <w:rFonts w:ascii="Times New Roman" w:eastAsia="Batang" w:hAnsi="Times New Roman"/>
                <w:b/>
                <w:bCs/>
                <w:sz w:val="24"/>
                <w:szCs w:val="24"/>
                <w:lang w:val="en-US"/>
              </w:rPr>
            </w:pPr>
          </w:p>
        </w:tc>
        <w:tc>
          <w:tcPr>
            <w:tcW w:w="7716" w:type="dxa"/>
            <w:shd w:val="clear" w:color="auto" w:fill="auto"/>
            <w:vAlign w:val="center"/>
          </w:tcPr>
          <w:p w:rsidR="00F75C45" w:rsidRPr="00C33830" w:rsidRDefault="00F75C45" w:rsidP="00C33830">
            <w:pPr>
              <w:jc w:val="both"/>
              <w:rPr>
                <w:rFonts w:ascii="Times New Roman" w:eastAsia="Batang" w:hAnsi="Times New Roman"/>
                <w:sz w:val="24"/>
                <w:szCs w:val="24"/>
                <w:lang w:val="en-US"/>
              </w:rPr>
            </w:pPr>
          </w:p>
        </w:tc>
      </w:tr>
      <w:tr w:rsidR="00F75C45" w:rsidRPr="00C33830" w:rsidTr="00C33830">
        <w:tc>
          <w:tcPr>
            <w:tcW w:w="1526" w:type="dxa"/>
            <w:shd w:val="clear" w:color="auto" w:fill="auto"/>
            <w:vAlign w:val="center"/>
          </w:tcPr>
          <w:p w:rsidR="00F75C45" w:rsidRPr="00C33830" w:rsidRDefault="00F75C45" w:rsidP="00C33830">
            <w:pPr>
              <w:jc w:val="both"/>
              <w:rPr>
                <w:rFonts w:ascii="Times New Roman" w:eastAsia="Batang" w:hAnsi="Times New Roman"/>
                <w:b/>
                <w:bCs/>
                <w:sz w:val="24"/>
                <w:szCs w:val="24"/>
                <w:lang w:val="en-US"/>
              </w:rPr>
            </w:pPr>
          </w:p>
        </w:tc>
        <w:tc>
          <w:tcPr>
            <w:tcW w:w="7716" w:type="dxa"/>
            <w:shd w:val="clear" w:color="auto" w:fill="auto"/>
            <w:vAlign w:val="center"/>
          </w:tcPr>
          <w:p w:rsidR="00F75C45" w:rsidRPr="00C33830" w:rsidRDefault="00F75C45" w:rsidP="00C33830">
            <w:pPr>
              <w:jc w:val="both"/>
              <w:rPr>
                <w:rFonts w:ascii="Times New Roman" w:eastAsia="Batang" w:hAnsi="Times New Roman"/>
                <w:sz w:val="24"/>
                <w:szCs w:val="24"/>
                <w:lang w:val="en-US"/>
              </w:rPr>
            </w:pPr>
          </w:p>
        </w:tc>
      </w:tr>
    </w:tbl>
    <w:p w:rsidR="002F34B8" w:rsidRDefault="002F43D2" w:rsidP="00BA5024">
      <w:pPr>
        <w:rPr>
          <w:rFonts w:ascii="Times New Roman" w:hAnsi="Times New Roman"/>
        </w:rPr>
        <w:sectPr w:rsidR="002F34B8" w:rsidSect="005F458C">
          <w:headerReference w:type="even" r:id="rId20"/>
          <w:headerReference w:type="default" r:id="rId21"/>
          <w:footerReference w:type="even" r:id="rId22"/>
          <w:footerReference w:type="default" r:id="rId23"/>
          <w:headerReference w:type="first" r:id="rId24"/>
          <w:footerReference w:type="first" r:id="rId25"/>
          <w:pgSz w:w="11907" w:h="16839" w:code="9"/>
          <w:pgMar w:top="1134" w:right="1710" w:bottom="958" w:left="1418" w:header="720" w:footer="720" w:gutter="0"/>
          <w:paperSrc w:first="1" w:other="1"/>
          <w:pgNumType w:start="1"/>
          <w:cols w:space="251"/>
          <w:docGrid w:linePitch="272"/>
        </w:sectPr>
      </w:pPr>
      <w:r>
        <w:rPr>
          <w:rFonts w:ascii="Times New Roman" w:hAnsi="Times New Roman"/>
        </w:rPr>
        <w:t>BIKTARVY</w:t>
      </w:r>
      <w:r w:rsidR="00764BA0">
        <w:rPr>
          <w:rFonts w:ascii="Times New Roman" w:hAnsi="Times New Roman"/>
        </w:rPr>
        <w:t xml:space="preserve">, </w:t>
      </w:r>
      <w:r w:rsidR="00CA49FC">
        <w:rPr>
          <w:rFonts w:ascii="Times New Roman" w:hAnsi="Times New Roman"/>
        </w:rPr>
        <w:t xml:space="preserve">DESCOVY, </w:t>
      </w:r>
      <w:r w:rsidR="00AA4476">
        <w:rPr>
          <w:rFonts w:ascii="Times New Roman" w:hAnsi="Times New Roman"/>
        </w:rPr>
        <w:t>GENVOYA</w:t>
      </w:r>
      <w:r w:rsidR="00B43934">
        <w:rPr>
          <w:rFonts w:ascii="Times New Roman" w:hAnsi="Times New Roman"/>
        </w:rPr>
        <w:t xml:space="preserve">, </w:t>
      </w:r>
      <w:r w:rsidR="005D5C95">
        <w:rPr>
          <w:rFonts w:ascii="Times New Roman" w:hAnsi="Times New Roman"/>
        </w:rPr>
        <w:t xml:space="preserve">GILEAD, GSI, </w:t>
      </w:r>
      <w:r w:rsidR="00CA49FC">
        <w:rPr>
          <w:rFonts w:ascii="Times New Roman" w:hAnsi="Times New Roman"/>
        </w:rPr>
        <w:t xml:space="preserve">TRUVADA </w:t>
      </w:r>
      <w:r w:rsidR="00C53659">
        <w:rPr>
          <w:rFonts w:ascii="Times New Roman" w:hAnsi="Times New Roman"/>
        </w:rPr>
        <w:t>and are</w:t>
      </w:r>
      <w:r w:rsidR="005D5C95">
        <w:rPr>
          <w:rFonts w:ascii="Times New Roman" w:hAnsi="Times New Roman"/>
        </w:rPr>
        <w:t xml:space="preserve"> registered trademarks of Gilead Sciences, Inc.,</w:t>
      </w:r>
      <w:r w:rsidR="0047799B">
        <w:rPr>
          <w:rFonts w:ascii="Times New Roman" w:hAnsi="Times New Roman"/>
        </w:rPr>
        <w:t xml:space="preserve"> </w:t>
      </w:r>
      <w:r w:rsidR="005D5C95">
        <w:rPr>
          <w:rFonts w:ascii="Times New Roman" w:hAnsi="Times New Roman"/>
        </w:rPr>
        <w:t xml:space="preserve">or its related companies. </w:t>
      </w:r>
      <w:r w:rsidR="001379D5">
        <w:rPr>
          <w:rFonts w:ascii="Times New Roman" w:hAnsi="Times New Roman"/>
        </w:rPr>
        <w:t>All o</w:t>
      </w:r>
      <w:r w:rsidR="003C1AC9" w:rsidRPr="008B7865">
        <w:rPr>
          <w:rFonts w:ascii="Times New Roman" w:hAnsi="Times New Roman"/>
        </w:rPr>
        <w:t xml:space="preserve">ther </w:t>
      </w:r>
      <w:r w:rsidR="001379D5">
        <w:rPr>
          <w:rFonts w:ascii="Times New Roman" w:hAnsi="Times New Roman"/>
        </w:rPr>
        <w:t xml:space="preserve">trademarks referenced herein are the property of </w:t>
      </w:r>
      <w:r w:rsidR="003C1AC9" w:rsidRPr="008B7865">
        <w:rPr>
          <w:rFonts w:ascii="Times New Roman" w:hAnsi="Times New Roman"/>
        </w:rPr>
        <w:t>their</w:t>
      </w:r>
      <w:r w:rsidR="007867B0">
        <w:rPr>
          <w:rFonts w:ascii="Times New Roman" w:hAnsi="Times New Roman"/>
        </w:rPr>
        <w:t xml:space="preserve"> </w:t>
      </w:r>
      <w:r w:rsidR="003C1AC9" w:rsidRPr="008B7865">
        <w:rPr>
          <w:rFonts w:ascii="Times New Roman" w:hAnsi="Times New Roman"/>
        </w:rPr>
        <w:t>respective owners</w:t>
      </w:r>
      <w:r w:rsidR="003C0AB7">
        <w:rPr>
          <w:rFonts w:ascii="Times New Roman" w:hAnsi="Times New Roman"/>
        </w:rPr>
        <w:t>.</w:t>
      </w:r>
      <w:r w:rsidR="00BA5024" w:rsidDel="00BA5024">
        <w:rPr>
          <w:rFonts w:ascii="Times New Roman" w:hAnsi="Times New Roman"/>
        </w:rPr>
        <w:t xml:space="preserve"> </w:t>
      </w:r>
    </w:p>
    <w:p w:rsidR="001C7DDC" w:rsidRDefault="001C7DDC" w:rsidP="00D80053">
      <w:bookmarkStart w:id="24" w:name="_GoBack"/>
      <w:bookmarkEnd w:id="24"/>
    </w:p>
    <w:sectPr w:rsidR="001C7DDC" w:rsidSect="00EF6B5F">
      <w:footerReference w:type="default" r:id="rId26"/>
      <w:pgSz w:w="11907" w:h="16839" w:code="9"/>
      <w:pgMar w:top="1134" w:right="1710" w:bottom="958" w:left="1418" w:header="720" w:footer="720" w:gutter="0"/>
      <w:paperSrc w:first="1" w:other="1"/>
      <w:pgNumType w:start="1"/>
      <w:cols w:space="25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24" w:rsidRDefault="00924724">
      <w:r>
        <w:separator/>
      </w:r>
    </w:p>
  </w:endnote>
  <w:endnote w:type="continuationSeparator" w:id="0">
    <w:p w:rsidR="00924724" w:rsidRDefault="009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00"/>
    <w:family w:val="roman"/>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23" w:rsidRPr="008D0584" w:rsidRDefault="002F43D2" w:rsidP="008D0584">
    <w:pPr>
      <w:pStyle w:val="Footer"/>
      <w:tabs>
        <w:tab w:val="clear" w:pos="9361"/>
        <w:tab w:val="right" w:pos="7371"/>
      </w:tabs>
      <w:jc w:val="center"/>
      <w:rPr>
        <w:rFonts w:ascii="Times New Roman" w:hAnsi="Times New Roman"/>
      </w:rPr>
    </w:pPr>
    <w:r>
      <w:rPr>
        <w:rFonts w:ascii="Times New Roman" w:hAnsi="Times New Roman"/>
        <w:noProof/>
        <w:sz w:val="20"/>
      </w:rPr>
      <w:t>BIKTARVY</w:t>
    </w:r>
    <w:r w:rsidR="00044223">
      <w:rPr>
        <w:rFonts w:ascii="Times New Roman" w:hAnsi="Times New Roman"/>
        <w:noProof/>
        <w:sz w:val="20"/>
      </w:rPr>
      <w:t xml:space="preserve"> </w:t>
    </w:r>
    <w:r w:rsidR="00044223">
      <w:rPr>
        <w:rFonts w:ascii="Times New Roman" w:hAnsi="Times New Roman"/>
        <w:sz w:val="20"/>
      </w:rPr>
      <w:t>Product Information v</w:t>
    </w:r>
    <w:r w:rsidR="002F34B8">
      <w:rPr>
        <w:rFonts w:ascii="Times New Roman" w:hAnsi="Times New Roman"/>
        <w:sz w:val="20"/>
      </w:rPr>
      <w:t xml:space="preserve">1.0 </w:t>
    </w:r>
    <w:r w:rsidR="00044223">
      <w:rPr>
        <w:rFonts w:ascii="Times New Roman" w:hAnsi="Times New Roman"/>
        <w:sz w:val="20"/>
      </w:rPr>
      <w:t>– (</w:t>
    </w:r>
    <w:r w:rsidR="00605EBF">
      <w:rPr>
        <w:rFonts w:ascii="Times New Roman" w:hAnsi="Times New Roman"/>
        <w:sz w:val="20"/>
      </w:rPr>
      <w:t>10</w:t>
    </w:r>
    <w:r w:rsidR="00C82649">
      <w:rPr>
        <w:rFonts w:ascii="Times New Roman" w:hAnsi="Times New Roman"/>
        <w:sz w:val="20"/>
      </w:rPr>
      <w:t xml:space="preserve"> July</w:t>
    </w:r>
    <w:r w:rsidR="00C30073">
      <w:rPr>
        <w:rFonts w:ascii="Times New Roman" w:hAnsi="Times New Roman"/>
        <w:sz w:val="20"/>
      </w:rPr>
      <w:t xml:space="preserve"> </w:t>
    </w:r>
    <w:r w:rsidR="00044223">
      <w:rPr>
        <w:rFonts w:ascii="Times New Roman" w:hAnsi="Times New Roman"/>
        <w:sz w:val="20"/>
      </w:rPr>
      <w:t>201</w:t>
    </w:r>
    <w:r w:rsidR="009473E1">
      <w:rPr>
        <w:rFonts w:ascii="Times New Roman" w:hAnsi="Times New Roman"/>
        <w:sz w:val="20"/>
      </w:rPr>
      <w:t>8</w:t>
    </w:r>
    <w:r w:rsidR="00044223">
      <w:rPr>
        <w:rFonts w:ascii="Times New Roman" w:hAnsi="Times New Roman"/>
        <w:sz w:val="20"/>
      </w:rPr>
      <w:t>)</w:t>
    </w:r>
    <w:r w:rsidR="00044223">
      <w:rPr>
        <w:rFonts w:ascii="Times New Roman" w:hAnsi="Times New Roman"/>
        <w:sz w:val="20"/>
      </w:rPr>
      <w:tab/>
    </w:r>
    <w:r w:rsidR="00FA63BF">
      <w:rPr>
        <w:rFonts w:ascii="Times New Roman" w:hAnsi="Times New Roman"/>
        <w:sz w:val="20"/>
      </w:rPr>
      <w:t xml:space="preserve"> </w:t>
    </w:r>
    <w:r w:rsidR="002F34B8">
      <w:rPr>
        <w:rFonts w:ascii="Times New Roman" w:hAnsi="Times New Roman"/>
        <w:sz w:val="20"/>
      </w:rPr>
      <w:tab/>
    </w:r>
    <w:r w:rsidR="00044223" w:rsidRPr="008D0584">
      <w:rPr>
        <w:rFonts w:ascii="Times New Roman" w:hAnsi="Times New Roman"/>
      </w:rPr>
      <w:t xml:space="preserve">Page </w:t>
    </w:r>
    <w:r w:rsidR="00044223" w:rsidRPr="008D0584">
      <w:rPr>
        <w:rFonts w:ascii="Times New Roman" w:hAnsi="Times New Roman"/>
        <w:bCs/>
        <w:sz w:val="24"/>
        <w:szCs w:val="24"/>
      </w:rPr>
      <w:fldChar w:fldCharType="begin"/>
    </w:r>
    <w:r w:rsidR="00044223" w:rsidRPr="008D0584">
      <w:rPr>
        <w:rFonts w:ascii="Times New Roman" w:hAnsi="Times New Roman"/>
        <w:bCs/>
      </w:rPr>
      <w:instrText xml:space="preserve"> PAGE </w:instrText>
    </w:r>
    <w:r w:rsidR="00044223" w:rsidRPr="008D0584">
      <w:rPr>
        <w:rFonts w:ascii="Times New Roman" w:hAnsi="Times New Roman"/>
        <w:bCs/>
        <w:sz w:val="24"/>
        <w:szCs w:val="24"/>
      </w:rPr>
      <w:fldChar w:fldCharType="separate"/>
    </w:r>
    <w:r w:rsidR="00D80053">
      <w:rPr>
        <w:rFonts w:ascii="Times New Roman" w:hAnsi="Times New Roman"/>
        <w:bCs/>
        <w:noProof/>
      </w:rPr>
      <w:t>29</w:t>
    </w:r>
    <w:r w:rsidR="00044223" w:rsidRPr="008D0584">
      <w:rPr>
        <w:rFonts w:ascii="Times New Roman" w:hAnsi="Times New Roman"/>
        <w:bCs/>
        <w:sz w:val="24"/>
        <w:szCs w:val="24"/>
      </w:rPr>
      <w:fldChar w:fldCharType="end"/>
    </w:r>
    <w:r w:rsidR="00044223" w:rsidRPr="008D0584">
      <w:rPr>
        <w:rFonts w:ascii="Times New Roman" w:hAnsi="Times New Roman"/>
      </w:rPr>
      <w:t xml:space="preserve"> of </w:t>
    </w:r>
    <w:r w:rsidR="002153A4">
      <w:rPr>
        <w:rFonts w:ascii="Times New Roman" w:hAnsi="Times New Roman"/>
      </w:rPr>
      <w:t>2</w:t>
    </w:r>
    <w:r w:rsidR="002F34B8">
      <w:rPr>
        <w:rFonts w:ascii="Times New Roman" w:hAnsi="Times New Roman"/>
      </w:rPr>
      <w:t>7</w:t>
    </w:r>
  </w:p>
  <w:p w:rsidR="00044223" w:rsidRPr="008D0584" w:rsidRDefault="00044223" w:rsidP="0010141C">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223" w:rsidRDefault="00044223" w:rsidP="007867B0">
    <w:pPr>
      <w:pStyle w:val="Footer"/>
      <w:tabs>
        <w:tab w:val="clear" w:pos="9361"/>
        <w:tab w:val="right" w:pos="891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24" w:rsidRDefault="00924724">
      <w:r>
        <w:separator/>
      </w:r>
    </w:p>
  </w:footnote>
  <w:footnote w:type="continuationSeparator" w:id="0">
    <w:p w:rsidR="00924724" w:rsidRDefault="0092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D80053" w:rsidRPr="002E7F61" w:rsidTr="00D80053">
      <w:trPr>
        <w:trHeight w:val="590"/>
      </w:trPr>
      <w:tc>
        <w:tcPr>
          <w:tcW w:w="8720" w:type="dxa"/>
          <w:shd w:val="clear" w:color="auto" w:fill="E4F2E0"/>
        </w:tcPr>
        <w:p w:rsidR="00D80053" w:rsidRPr="00D80053" w:rsidRDefault="00D80053" w:rsidP="00D80053">
          <w:pPr>
            <w:pStyle w:val="Footer"/>
            <w:rPr>
              <w:b/>
              <w:sz w:val="18"/>
              <w:szCs w:val="18"/>
            </w:rPr>
          </w:pPr>
          <w:r w:rsidRPr="00D80053">
            <w:rPr>
              <w:b/>
              <w:sz w:val="18"/>
              <w:szCs w:val="18"/>
            </w:rPr>
            <w:t>Attachment 1: Product information AusPAR - Biktarvy - Bictegravir / emtricitabine / tenofovir alafenamide - Gilead Sciences - PM-2017-02454-1-2 - FINAL 1 August 2019. This is the Product Information that was approved with the submission described in this AusPAR. It may have been superseded. For the most recent PI, please refer to the TGA website at &lt;</w:t>
          </w:r>
          <w:hyperlink r:id="rId1" w:history="1">
            <w:r w:rsidRPr="00D80053">
              <w:rPr>
                <w:rStyle w:val="Hyperlink"/>
                <w:b/>
                <w:sz w:val="18"/>
                <w:szCs w:val="18"/>
              </w:rPr>
              <w:t>https://www.tga.gov.au/product-information-pi</w:t>
            </w:r>
          </w:hyperlink>
          <w:r w:rsidRPr="00D80053">
            <w:rPr>
              <w:b/>
              <w:sz w:val="18"/>
              <w:szCs w:val="18"/>
              <w:u w:val="single"/>
            </w:rPr>
            <w:t>&gt;</w:t>
          </w:r>
        </w:p>
      </w:tc>
    </w:tr>
  </w:tbl>
  <w:p w:rsidR="00D80053" w:rsidRDefault="00D80053" w:rsidP="00D80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53" w:rsidRDefault="00D8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E271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41E9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86FD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96DB0"/>
    <w:multiLevelType w:val="hybridMultilevel"/>
    <w:tmpl w:val="0E180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583B65"/>
    <w:multiLevelType w:val="hybridMultilevel"/>
    <w:tmpl w:val="CEA42628"/>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3" w15:restartNumberingAfterBreak="0">
    <w:nsid w:val="18275117"/>
    <w:multiLevelType w:val="multilevel"/>
    <w:tmpl w:val="A6ACA668"/>
    <w:styleLink w:val="GListAlpha"/>
    <w:lvl w:ilvl="0">
      <w:start w:val="1"/>
      <w:numFmt w:val="upperLetter"/>
      <w:pStyle w:val="GListAlphas"/>
      <w:lvlText w:val="%1)"/>
      <w:lvlJc w:val="left"/>
      <w:pPr>
        <w:tabs>
          <w:tab w:val="num" w:pos="360"/>
        </w:tabs>
        <w:ind w:left="360" w:hanging="360"/>
      </w:pPr>
      <w:rPr>
        <w:rFonts w:ascii="Times New Roman" w:hAnsi="Times New Roman" w:hint="default"/>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lowerLetter"/>
      <w:lvlText w:val="(%4)"/>
      <w:lvlJc w:val="left"/>
      <w:pPr>
        <w:tabs>
          <w:tab w:val="num" w:pos="1440"/>
        </w:tabs>
        <w:ind w:left="1440" w:hanging="360"/>
      </w:pPr>
      <w:rPr>
        <w:rFonts w:ascii="Times New Roman" w:hAnsi="Times New Roman" w:hint="default"/>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1A920538"/>
    <w:multiLevelType w:val="hybridMultilevel"/>
    <w:tmpl w:val="66D68FBC"/>
    <w:lvl w:ilvl="0" w:tplc="C4F0A2C0">
      <w:start w:val="1"/>
      <w:numFmt w:val="bullet"/>
      <w:pStyle w:val="instdo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0A80435"/>
    <w:multiLevelType w:val="multilevel"/>
    <w:tmpl w:val="A6ACA668"/>
    <w:numStyleLink w:val="GListAlpha"/>
  </w:abstractNum>
  <w:abstractNum w:abstractNumId="17" w15:restartNumberingAfterBreak="0">
    <w:nsid w:val="20B2720F"/>
    <w:multiLevelType w:val="hybridMultilevel"/>
    <w:tmpl w:val="29F88B2E"/>
    <w:lvl w:ilvl="0" w:tplc="8A86A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C3229"/>
    <w:multiLevelType w:val="hybridMultilevel"/>
    <w:tmpl w:val="0C54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F0FB4"/>
    <w:multiLevelType w:val="hybridMultilevel"/>
    <w:tmpl w:val="EB387B48"/>
    <w:lvl w:ilvl="0" w:tplc="D59EC7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AB79D2"/>
    <w:multiLevelType w:val="hybridMultilevel"/>
    <w:tmpl w:val="00C289B6"/>
    <w:lvl w:ilvl="0" w:tplc="5FA848DC">
      <w:start w:val="1"/>
      <w:numFmt w:val="bullet"/>
      <w:lvlText w:val=""/>
      <w:lvlJc w:val="left"/>
      <w:pPr>
        <w:ind w:left="360" w:hanging="360"/>
      </w:pPr>
      <w:rPr>
        <w:rFonts w:ascii="Symbol" w:hAnsi="Symbo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2" w15:restartNumberingAfterBreak="0">
    <w:nsid w:val="4A270D9D"/>
    <w:multiLevelType w:val="hybridMultilevel"/>
    <w:tmpl w:val="B29802A8"/>
    <w:lvl w:ilvl="0" w:tplc="3E34DDE0">
      <w:start w:val="1"/>
      <w:numFmt w:val="lowerLetter"/>
      <w:lvlText w:val="%1."/>
      <w:lvlJc w:val="left"/>
      <w:pPr>
        <w:ind w:left="360" w:hanging="360"/>
      </w:pPr>
      <w:rPr>
        <w:rFonts w:ascii="Times New Roman" w:hAnsi="Times New Roman" w:hint="default"/>
        <w:b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0963F3"/>
    <w:multiLevelType w:val="multilevel"/>
    <w:tmpl w:val="6C127BEC"/>
    <w:numStyleLink w:val="GListBullet"/>
  </w:abstractNum>
  <w:abstractNum w:abstractNumId="24" w15:restartNumberingAfterBreak="0">
    <w:nsid w:val="59572456"/>
    <w:multiLevelType w:val="hybridMultilevel"/>
    <w:tmpl w:val="78CCC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717678"/>
    <w:multiLevelType w:val="hybridMultilevel"/>
    <w:tmpl w:val="DB165C8C"/>
    <w:lvl w:ilvl="0" w:tplc="50EA728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D73560D"/>
    <w:multiLevelType w:val="hybridMultilevel"/>
    <w:tmpl w:val="0EE6CC16"/>
    <w:lvl w:ilvl="0" w:tplc="2A58D90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0A4319B"/>
    <w:multiLevelType w:val="hybridMultilevel"/>
    <w:tmpl w:val="DB165C8C"/>
    <w:lvl w:ilvl="0" w:tplc="50EA728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1CC2B17"/>
    <w:multiLevelType w:val="multilevel"/>
    <w:tmpl w:val="6C127BEC"/>
    <w:styleLink w:val="GListBullet"/>
    <w:lvl w:ilvl="0">
      <w:start w:val="1"/>
      <w:numFmt w:val="bullet"/>
      <w:pStyle w:val="GListBullet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Times New Roman" w:hAnsi="Times New Roman" w:cs="Times New Roman" w:hint="default"/>
        <w:color w:val="auto"/>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none"/>
      <w:lvlText w:val=""/>
      <w:lvlJc w:val="left"/>
      <w:pPr>
        <w:tabs>
          <w:tab w:val="num" w:pos="1800"/>
        </w:tabs>
        <w:ind w:left="1800" w:hanging="360"/>
      </w:pPr>
      <w:rPr>
        <w:rFonts w:hint="default"/>
        <w:color w:val="auto"/>
      </w:rPr>
    </w:lvl>
    <w:lvl w:ilvl="5">
      <w:start w:val="1"/>
      <w:numFmt w:val="none"/>
      <w:lvlText w:val="%6"/>
      <w:lvlJc w:val="left"/>
      <w:pPr>
        <w:tabs>
          <w:tab w:val="num" w:pos="2160"/>
        </w:tabs>
        <w:ind w:left="2160" w:hanging="360"/>
      </w:pPr>
      <w:rPr>
        <w:rFonts w:hint="default"/>
        <w:color w:val="auto"/>
      </w:rPr>
    </w:lvl>
    <w:lvl w:ilvl="6">
      <w:start w:val="1"/>
      <w:numFmt w:val="none"/>
      <w:lvlText w:val=""/>
      <w:lvlJc w:val="left"/>
      <w:pPr>
        <w:tabs>
          <w:tab w:val="num" w:pos="2520"/>
        </w:tabs>
        <w:ind w:left="2520" w:hanging="360"/>
      </w:pPr>
      <w:rPr>
        <w:rFonts w:hint="default"/>
        <w:color w:val="auto"/>
      </w:rPr>
    </w:lvl>
    <w:lvl w:ilvl="7">
      <w:start w:val="1"/>
      <w:numFmt w:val="none"/>
      <w:lvlText w:val=""/>
      <w:lvlJc w:val="left"/>
      <w:pPr>
        <w:tabs>
          <w:tab w:val="num" w:pos="2880"/>
        </w:tabs>
        <w:ind w:left="2880" w:hanging="360"/>
      </w:pPr>
      <w:rPr>
        <w:rFonts w:hint="default"/>
        <w:color w:val="auto"/>
      </w:rPr>
    </w:lvl>
    <w:lvl w:ilvl="8">
      <w:start w:val="1"/>
      <w:numFmt w:val="none"/>
      <w:lvlText w:val=""/>
      <w:lvlJc w:val="left"/>
      <w:pPr>
        <w:tabs>
          <w:tab w:val="num" w:pos="3240"/>
        </w:tabs>
        <w:ind w:left="3240" w:hanging="360"/>
      </w:pPr>
      <w:rPr>
        <w:rFonts w:hint="default"/>
        <w:color w:val="auto"/>
      </w:rPr>
    </w:lvl>
  </w:abstractNum>
  <w:abstractNum w:abstractNumId="29" w15:restartNumberingAfterBreak="0">
    <w:nsid w:val="6A0F0340"/>
    <w:multiLevelType w:val="hybridMultilevel"/>
    <w:tmpl w:val="96305B30"/>
    <w:lvl w:ilvl="0" w:tplc="5FA848DC">
      <w:start w:val="1"/>
      <w:numFmt w:val="bullet"/>
      <w:lvlText w:val=""/>
      <w:lvlJc w:val="left"/>
      <w:pPr>
        <w:ind w:left="360" w:hanging="360"/>
      </w:pPr>
      <w:rPr>
        <w:rFonts w:ascii="Symbol" w:hAnsi="Symbo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40303"/>
    <w:multiLevelType w:val="hybridMultilevel"/>
    <w:tmpl w:val="8F9AAA98"/>
    <w:lvl w:ilvl="0" w:tplc="5FA848DC">
      <w:start w:val="1"/>
      <w:numFmt w:val="bullet"/>
      <w:lvlText w:val=""/>
      <w:lvlJc w:val="left"/>
      <w:pPr>
        <w:ind w:left="3196" w:hanging="360"/>
      </w:pPr>
      <w:rPr>
        <w:rFonts w:ascii="Symbol" w:hAnsi="Symbol" w:hint="default"/>
        <w:u w:val="no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BED35EB"/>
    <w:multiLevelType w:val="hybridMultilevel"/>
    <w:tmpl w:val="2C0E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3" w15:restartNumberingAfterBreak="0">
    <w:nsid w:val="75C5596A"/>
    <w:multiLevelType w:val="hybridMultilevel"/>
    <w:tmpl w:val="023A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81F58"/>
    <w:multiLevelType w:val="hybridMultilevel"/>
    <w:tmpl w:val="7310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92423"/>
    <w:multiLevelType w:val="hybridMultilevel"/>
    <w:tmpl w:val="768439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1F51BB"/>
    <w:multiLevelType w:val="hybridMultilevel"/>
    <w:tmpl w:val="553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5"/>
  </w:num>
  <w:num w:numId="13">
    <w:abstractNumId w:val="21"/>
  </w:num>
  <w:num w:numId="14">
    <w:abstractNumId w:val="12"/>
  </w:num>
  <w:num w:numId="15">
    <w:abstractNumId w:val="11"/>
  </w:num>
  <w:num w:numId="16">
    <w:abstractNumId w:val="22"/>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0"/>
  </w:num>
  <w:num w:numId="21">
    <w:abstractNumId w:val="20"/>
  </w:num>
  <w:num w:numId="22">
    <w:abstractNumId w:val="29"/>
  </w:num>
  <w:num w:numId="23">
    <w:abstractNumId w:val="14"/>
  </w:num>
  <w:num w:numId="24">
    <w:abstractNumId w:val="19"/>
  </w:num>
  <w:num w:numId="25">
    <w:abstractNumId w:val="2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4"/>
  </w:num>
  <w:num w:numId="29">
    <w:abstractNumId w:val="17"/>
  </w:num>
  <w:num w:numId="30">
    <w:abstractNumId w:val="10"/>
  </w:num>
  <w:num w:numId="31">
    <w:abstractNumId w:val="33"/>
  </w:num>
  <w:num w:numId="32">
    <w:abstractNumId w:val="34"/>
  </w:num>
  <w:num w:numId="33">
    <w:abstractNumId w:val="36"/>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B43"/>
    <w:rsid w:val="0000016E"/>
    <w:rsid w:val="00000812"/>
    <w:rsid w:val="00000A00"/>
    <w:rsid w:val="00000C0D"/>
    <w:rsid w:val="00000DB0"/>
    <w:rsid w:val="000011B1"/>
    <w:rsid w:val="000025EA"/>
    <w:rsid w:val="00002AB5"/>
    <w:rsid w:val="00002FB1"/>
    <w:rsid w:val="00004A2F"/>
    <w:rsid w:val="00004FD1"/>
    <w:rsid w:val="00005BD9"/>
    <w:rsid w:val="00005C1B"/>
    <w:rsid w:val="000068E7"/>
    <w:rsid w:val="00006996"/>
    <w:rsid w:val="00006C5F"/>
    <w:rsid w:val="00006E68"/>
    <w:rsid w:val="00007008"/>
    <w:rsid w:val="000076FC"/>
    <w:rsid w:val="00007824"/>
    <w:rsid w:val="00007A04"/>
    <w:rsid w:val="00007C74"/>
    <w:rsid w:val="00007DAF"/>
    <w:rsid w:val="00011263"/>
    <w:rsid w:val="00012D11"/>
    <w:rsid w:val="0001317B"/>
    <w:rsid w:val="00013A95"/>
    <w:rsid w:val="0001433A"/>
    <w:rsid w:val="000146DD"/>
    <w:rsid w:val="00014A05"/>
    <w:rsid w:val="0001541D"/>
    <w:rsid w:val="00015A5C"/>
    <w:rsid w:val="000169CA"/>
    <w:rsid w:val="00020ACE"/>
    <w:rsid w:val="00021090"/>
    <w:rsid w:val="00021C2B"/>
    <w:rsid w:val="00022162"/>
    <w:rsid w:val="000230A1"/>
    <w:rsid w:val="00023A86"/>
    <w:rsid w:val="000241B8"/>
    <w:rsid w:val="000243FD"/>
    <w:rsid w:val="0002459E"/>
    <w:rsid w:val="00024C37"/>
    <w:rsid w:val="00024DE5"/>
    <w:rsid w:val="00024E08"/>
    <w:rsid w:val="0002560E"/>
    <w:rsid w:val="00025A3E"/>
    <w:rsid w:val="00027C10"/>
    <w:rsid w:val="0003061C"/>
    <w:rsid w:val="0003221E"/>
    <w:rsid w:val="00032B9F"/>
    <w:rsid w:val="00032CB2"/>
    <w:rsid w:val="0003333A"/>
    <w:rsid w:val="00034A78"/>
    <w:rsid w:val="00034CC3"/>
    <w:rsid w:val="000350CB"/>
    <w:rsid w:val="00036BA5"/>
    <w:rsid w:val="000371A0"/>
    <w:rsid w:val="00037FBB"/>
    <w:rsid w:val="00041A2A"/>
    <w:rsid w:val="00041C73"/>
    <w:rsid w:val="0004205D"/>
    <w:rsid w:val="000425B2"/>
    <w:rsid w:val="00042FCE"/>
    <w:rsid w:val="000431CF"/>
    <w:rsid w:val="00043486"/>
    <w:rsid w:val="0004393E"/>
    <w:rsid w:val="000439D2"/>
    <w:rsid w:val="00044223"/>
    <w:rsid w:val="00044570"/>
    <w:rsid w:val="00044F2B"/>
    <w:rsid w:val="00045157"/>
    <w:rsid w:val="000457F3"/>
    <w:rsid w:val="000458F7"/>
    <w:rsid w:val="0004669A"/>
    <w:rsid w:val="00046AE1"/>
    <w:rsid w:val="00046B64"/>
    <w:rsid w:val="0004728A"/>
    <w:rsid w:val="00047333"/>
    <w:rsid w:val="00047754"/>
    <w:rsid w:val="00047E91"/>
    <w:rsid w:val="00050A3A"/>
    <w:rsid w:val="00051263"/>
    <w:rsid w:val="00051323"/>
    <w:rsid w:val="00051591"/>
    <w:rsid w:val="000518BB"/>
    <w:rsid w:val="00051F42"/>
    <w:rsid w:val="00052981"/>
    <w:rsid w:val="00052D0A"/>
    <w:rsid w:val="0005383C"/>
    <w:rsid w:val="00053909"/>
    <w:rsid w:val="00053DCA"/>
    <w:rsid w:val="00053F4E"/>
    <w:rsid w:val="00053FA8"/>
    <w:rsid w:val="00054EFC"/>
    <w:rsid w:val="000551E1"/>
    <w:rsid w:val="00055AF0"/>
    <w:rsid w:val="00056AF5"/>
    <w:rsid w:val="000571BC"/>
    <w:rsid w:val="0005720A"/>
    <w:rsid w:val="00060633"/>
    <w:rsid w:val="0006112E"/>
    <w:rsid w:val="000618DB"/>
    <w:rsid w:val="00062612"/>
    <w:rsid w:val="00062990"/>
    <w:rsid w:val="00062CE1"/>
    <w:rsid w:val="00063E22"/>
    <w:rsid w:val="000643D7"/>
    <w:rsid w:val="0006444E"/>
    <w:rsid w:val="0006452E"/>
    <w:rsid w:val="00064B28"/>
    <w:rsid w:val="000653E1"/>
    <w:rsid w:val="000654CF"/>
    <w:rsid w:val="00065FF9"/>
    <w:rsid w:val="0006675C"/>
    <w:rsid w:val="00066E30"/>
    <w:rsid w:val="0006741C"/>
    <w:rsid w:val="0007025E"/>
    <w:rsid w:val="00070B24"/>
    <w:rsid w:val="00070B93"/>
    <w:rsid w:val="000714B0"/>
    <w:rsid w:val="00071704"/>
    <w:rsid w:val="00072D5B"/>
    <w:rsid w:val="000734D7"/>
    <w:rsid w:val="00073D0F"/>
    <w:rsid w:val="00074A4E"/>
    <w:rsid w:val="00075298"/>
    <w:rsid w:val="0007575F"/>
    <w:rsid w:val="00076320"/>
    <w:rsid w:val="000768EA"/>
    <w:rsid w:val="00076C18"/>
    <w:rsid w:val="00076C5E"/>
    <w:rsid w:val="00080CF8"/>
    <w:rsid w:val="0008230E"/>
    <w:rsid w:val="00083829"/>
    <w:rsid w:val="00083856"/>
    <w:rsid w:val="00083AA4"/>
    <w:rsid w:val="00084110"/>
    <w:rsid w:val="00084A7E"/>
    <w:rsid w:val="0008558E"/>
    <w:rsid w:val="000861BA"/>
    <w:rsid w:val="00086D89"/>
    <w:rsid w:val="000870E8"/>
    <w:rsid w:val="0008774B"/>
    <w:rsid w:val="0008796D"/>
    <w:rsid w:val="00090919"/>
    <w:rsid w:val="00091269"/>
    <w:rsid w:val="000918DC"/>
    <w:rsid w:val="0009297A"/>
    <w:rsid w:val="000931BA"/>
    <w:rsid w:val="00094BF8"/>
    <w:rsid w:val="00095804"/>
    <w:rsid w:val="00095F87"/>
    <w:rsid w:val="00096026"/>
    <w:rsid w:val="00096C04"/>
    <w:rsid w:val="00097267"/>
    <w:rsid w:val="000977CB"/>
    <w:rsid w:val="00097FD2"/>
    <w:rsid w:val="000A0E4B"/>
    <w:rsid w:val="000A2558"/>
    <w:rsid w:val="000A2BD1"/>
    <w:rsid w:val="000A336F"/>
    <w:rsid w:val="000A3839"/>
    <w:rsid w:val="000A3956"/>
    <w:rsid w:val="000A3F48"/>
    <w:rsid w:val="000A44A2"/>
    <w:rsid w:val="000A58E8"/>
    <w:rsid w:val="000A6251"/>
    <w:rsid w:val="000A7BC8"/>
    <w:rsid w:val="000A7C0A"/>
    <w:rsid w:val="000B04D3"/>
    <w:rsid w:val="000B0FCE"/>
    <w:rsid w:val="000B1807"/>
    <w:rsid w:val="000B2A25"/>
    <w:rsid w:val="000B420B"/>
    <w:rsid w:val="000B4EB8"/>
    <w:rsid w:val="000B523C"/>
    <w:rsid w:val="000B53D5"/>
    <w:rsid w:val="000B5762"/>
    <w:rsid w:val="000B5DDB"/>
    <w:rsid w:val="000B6EFD"/>
    <w:rsid w:val="000B7C60"/>
    <w:rsid w:val="000C050F"/>
    <w:rsid w:val="000C1AE8"/>
    <w:rsid w:val="000C1E4F"/>
    <w:rsid w:val="000C247B"/>
    <w:rsid w:val="000C2747"/>
    <w:rsid w:val="000C2BDE"/>
    <w:rsid w:val="000C2C4E"/>
    <w:rsid w:val="000C3FEA"/>
    <w:rsid w:val="000C420A"/>
    <w:rsid w:val="000C442D"/>
    <w:rsid w:val="000C4FEF"/>
    <w:rsid w:val="000C6BDD"/>
    <w:rsid w:val="000D08E5"/>
    <w:rsid w:val="000D097D"/>
    <w:rsid w:val="000D0A56"/>
    <w:rsid w:val="000D156A"/>
    <w:rsid w:val="000D1715"/>
    <w:rsid w:val="000D1C93"/>
    <w:rsid w:val="000D1DFD"/>
    <w:rsid w:val="000D25B5"/>
    <w:rsid w:val="000D2B4F"/>
    <w:rsid w:val="000D2CC6"/>
    <w:rsid w:val="000D30D3"/>
    <w:rsid w:val="000D3FCC"/>
    <w:rsid w:val="000D44A6"/>
    <w:rsid w:val="000D52CA"/>
    <w:rsid w:val="000D5D0D"/>
    <w:rsid w:val="000D5F6B"/>
    <w:rsid w:val="000D6D2E"/>
    <w:rsid w:val="000D6F4A"/>
    <w:rsid w:val="000D7776"/>
    <w:rsid w:val="000E13C5"/>
    <w:rsid w:val="000E19CA"/>
    <w:rsid w:val="000E1BC3"/>
    <w:rsid w:val="000E2FBB"/>
    <w:rsid w:val="000E3001"/>
    <w:rsid w:val="000E3A1B"/>
    <w:rsid w:val="000E7DBC"/>
    <w:rsid w:val="000E7E67"/>
    <w:rsid w:val="000F1AE8"/>
    <w:rsid w:val="000F2000"/>
    <w:rsid w:val="000F215E"/>
    <w:rsid w:val="000F26C0"/>
    <w:rsid w:val="000F3232"/>
    <w:rsid w:val="000F4322"/>
    <w:rsid w:val="000F4A75"/>
    <w:rsid w:val="000F4D15"/>
    <w:rsid w:val="000F4D59"/>
    <w:rsid w:val="000F5EEE"/>
    <w:rsid w:val="000F63F4"/>
    <w:rsid w:val="000F66BD"/>
    <w:rsid w:val="000F6BAA"/>
    <w:rsid w:val="000F6F5B"/>
    <w:rsid w:val="000F7106"/>
    <w:rsid w:val="000F7C57"/>
    <w:rsid w:val="000F7E9D"/>
    <w:rsid w:val="000F7F75"/>
    <w:rsid w:val="001007CE"/>
    <w:rsid w:val="00101309"/>
    <w:rsid w:val="0010141C"/>
    <w:rsid w:val="001029D3"/>
    <w:rsid w:val="00102C73"/>
    <w:rsid w:val="00102FCB"/>
    <w:rsid w:val="00103400"/>
    <w:rsid w:val="0010377C"/>
    <w:rsid w:val="0010409F"/>
    <w:rsid w:val="001040B8"/>
    <w:rsid w:val="0010559C"/>
    <w:rsid w:val="00105642"/>
    <w:rsid w:val="00105646"/>
    <w:rsid w:val="00105C2F"/>
    <w:rsid w:val="001068CC"/>
    <w:rsid w:val="00107128"/>
    <w:rsid w:val="001072EA"/>
    <w:rsid w:val="001076D1"/>
    <w:rsid w:val="00107C6A"/>
    <w:rsid w:val="001104A7"/>
    <w:rsid w:val="00111012"/>
    <w:rsid w:val="001119CA"/>
    <w:rsid w:val="00111AD2"/>
    <w:rsid w:val="0011279B"/>
    <w:rsid w:val="00113804"/>
    <w:rsid w:val="00113C87"/>
    <w:rsid w:val="0011491A"/>
    <w:rsid w:val="00114E75"/>
    <w:rsid w:val="001150D4"/>
    <w:rsid w:val="00115B69"/>
    <w:rsid w:val="00116056"/>
    <w:rsid w:val="001166BD"/>
    <w:rsid w:val="00116A33"/>
    <w:rsid w:val="00117239"/>
    <w:rsid w:val="00117428"/>
    <w:rsid w:val="00117494"/>
    <w:rsid w:val="00117C96"/>
    <w:rsid w:val="00117F04"/>
    <w:rsid w:val="001200F8"/>
    <w:rsid w:val="001206B6"/>
    <w:rsid w:val="00120A00"/>
    <w:rsid w:val="00121181"/>
    <w:rsid w:val="00121A98"/>
    <w:rsid w:val="0012205F"/>
    <w:rsid w:val="001220E6"/>
    <w:rsid w:val="00122C18"/>
    <w:rsid w:val="00122D67"/>
    <w:rsid w:val="001234C6"/>
    <w:rsid w:val="00123904"/>
    <w:rsid w:val="0012393B"/>
    <w:rsid w:val="00123B1F"/>
    <w:rsid w:val="0012496D"/>
    <w:rsid w:val="00125027"/>
    <w:rsid w:val="00125402"/>
    <w:rsid w:val="00125C77"/>
    <w:rsid w:val="001275B1"/>
    <w:rsid w:val="00127DFF"/>
    <w:rsid w:val="00130240"/>
    <w:rsid w:val="00130B1E"/>
    <w:rsid w:val="001310A9"/>
    <w:rsid w:val="00131736"/>
    <w:rsid w:val="00131819"/>
    <w:rsid w:val="001320B1"/>
    <w:rsid w:val="0013221C"/>
    <w:rsid w:val="0013247D"/>
    <w:rsid w:val="0013258A"/>
    <w:rsid w:val="001325E4"/>
    <w:rsid w:val="00132888"/>
    <w:rsid w:val="00132C5C"/>
    <w:rsid w:val="00133447"/>
    <w:rsid w:val="0013499A"/>
    <w:rsid w:val="00135001"/>
    <w:rsid w:val="001358B0"/>
    <w:rsid w:val="00135B48"/>
    <w:rsid w:val="001366A9"/>
    <w:rsid w:val="00136752"/>
    <w:rsid w:val="001372C1"/>
    <w:rsid w:val="001376A9"/>
    <w:rsid w:val="001379D5"/>
    <w:rsid w:val="00140245"/>
    <w:rsid w:val="00140E6D"/>
    <w:rsid w:val="001416F4"/>
    <w:rsid w:val="00141779"/>
    <w:rsid w:val="00143841"/>
    <w:rsid w:val="00144322"/>
    <w:rsid w:val="001446D5"/>
    <w:rsid w:val="00144713"/>
    <w:rsid w:val="0014562B"/>
    <w:rsid w:val="00146269"/>
    <w:rsid w:val="00146785"/>
    <w:rsid w:val="00146907"/>
    <w:rsid w:val="0014779E"/>
    <w:rsid w:val="00150372"/>
    <w:rsid w:val="00150652"/>
    <w:rsid w:val="00151489"/>
    <w:rsid w:val="00151D47"/>
    <w:rsid w:val="00151F87"/>
    <w:rsid w:val="00153048"/>
    <w:rsid w:val="0015386D"/>
    <w:rsid w:val="00153F93"/>
    <w:rsid w:val="00154669"/>
    <w:rsid w:val="001549E8"/>
    <w:rsid w:val="00155474"/>
    <w:rsid w:val="00160D54"/>
    <w:rsid w:val="00162092"/>
    <w:rsid w:val="00162253"/>
    <w:rsid w:val="00162E06"/>
    <w:rsid w:val="00163253"/>
    <w:rsid w:val="001657C1"/>
    <w:rsid w:val="00165C2F"/>
    <w:rsid w:val="00165EB3"/>
    <w:rsid w:val="0016689A"/>
    <w:rsid w:val="00166EA8"/>
    <w:rsid w:val="001675E3"/>
    <w:rsid w:val="00170470"/>
    <w:rsid w:val="001713D3"/>
    <w:rsid w:val="00171D2F"/>
    <w:rsid w:val="00171E4A"/>
    <w:rsid w:val="00172152"/>
    <w:rsid w:val="0017284C"/>
    <w:rsid w:val="0017341F"/>
    <w:rsid w:val="00174021"/>
    <w:rsid w:val="001747D5"/>
    <w:rsid w:val="00174EB9"/>
    <w:rsid w:val="00174FFC"/>
    <w:rsid w:val="00175942"/>
    <w:rsid w:val="00175E10"/>
    <w:rsid w:val="00175FBA"/>
    <w:rsid w:val="0017638D"/>
    <w:rsid w:val="001768FD"/>
    <w:rsid w:val="00177684"/>
    <w:rsid w:val="001777AE"/>
    <w:rsid w:val="00177D42"/>
    <w:rsid w:val="0018018E"/>
    <w:rsid w:val="001807C4"/>
    <w:rsid w:val="001812C4"/>
    <w:rsid w:val="00181B7D"/>
    <w:rsid w:val="00181CDD"/>
    <w:rsid w:val="0018270F"/>
    <w:rsid w:val="00182E74"/>
    <w:rsid w:val="00183211"/>
    <w:rsid w:val="00183A59"/>
    <w:rsid w:val="00184822"/>
    <w:rsid w:val="0018485B"/>
    <w:rsid w:val="00184F98"/>
    <w:rsid w:val="00185A01"/>
    <w:rsid w:val="00185E01"/>
    <w:rsid w:val="00186381"/>
    <w:rsid w:val="00186F4D"/>
    <w:rsid w:val="00187500"/>
    <w:rsid w:val="0018799C"/>
    <w:rsid w:val="00187C0D"/>
    <w:rsid w:val="00187EA0"/>
    <w:rsid w:val="001905A0"/>
    <w:rsid w:val="00190E98"/>
    <w:rsid w:val="0019221F"/>
    <w:rsid w:val="00192B92"/>
    <w:rsid w:val="001930DC"/>
    <w:rsid w:val="001934EE"/>
    <w:rsid w:val="001937D2"/>
    <w:rsid w:val="00194928"/>
    <w:rsid w:val="0019510F"/>
    <w:rsid w:val="00197A86"/>
    <w:rsid w:val="00197ADA"/>
    <w:rsid w:val="001A0AB9"/>
    <w:rsid w:val="001A0C5D"/>
    <w:rsid w:val="001A0FA8"/>
    <w:rsid w:val="001A207F"/>
    <w:rsid w:val="001A29CF"/>
    <w:rsid w:val="001A2F1D"/>
    <w:rsid w:val="001A3008"/>
    <w:rsid w:val="001A3BD9"/>
    <w:rsid w:val="001A3DE2"/>
    <w:rsid w:val="001A5F79"/>
    <w:rsid w:val="001A65C7"/>
    <w:rsid w:val="001A6A28"/>
    <w:rsid w:val="001A7AA7"/>
    <w:rsid w:val="001A7BE0"/>
    <w:rsid w:val="001A7F20"/>
    <w:rsid w:val="001B0430"/>
    <w:rsid w:val="001B0F14"/>
    <w:rsid w:val="001B1630"/>
    <w:rsid w:val="001B2198"/>
    <w:rsid w:val="001B2C2E"/>
    <w:rsid w:val="001B3366"/>
    <w:rsid w:val="001B3752"/>
    <w:rsid w:val="001B426C"/>
    <w:rsid w:val="001B4985"/>
    <w:rsid w:val="001B568B"/>
    <w:rsid w:val="001B577E"/>
    <w:rsid w:val="001B5997"/>
    <w:rsid w:val="001B5B76"/>
    <w:rsid w:val="001B5DFD"/>
    <w:rsid w:val="001B6BBB"/>
    <w:rsid w:val="001B6C67"/>
    <w:rsid w:val="001B7160"/>
    <w:rsid w:val="001B75B0"/>
    <w:rsid w:val="001B7A63"/>
    <w:rsid w:val="001B7E8B"/>
    <w:rsid w:val="001C0238"/>
    <w:rsid w:val="001C045E"/>
    <w:rsid w:val="001C0BC6"/>
    <w:rsid w:val="001C113D"/>
    <w:rsid w:val="001C233D"/>
    <w:rsid w:val="001C2A04"/>
    <w:rsid w:val="001C321C"/>
    <w:rsid w:val="001C3E58"/>
    <w:rsid w:val="001C438C"/>
    <w:rsid w:val="001C4B3E"/>
    <w:rsid w:val="001C5B62"/>
    <w:rsid w:val="001C67F5"/>
    <w:rsid w:val="001C74BC"/>
    <w:rsid w:val="001C7DDC"/>
    <w:rsid w:val="001D01B2"/>
    <w:rsid w:val="001D05B5"/>
    <w:rsid w:val="001D05B8"/>
    <w:rsid w:val="001D100F"/>
    <w:rsid w:val="001D148F"/>
    <w:rsid w:val="001D2279"/>
    <w:rsid w:val="001D23DE"/>
    <w:rsid w:val="001D37B9"/>
    <w:rsid w:val="001D37BC"/>
    <w:rsid w:val="001D3FDA"/>
    <w:rsid w:val="001D4CD3"/>
    <w:rsid w:val="001D5057"/>
    <w:rsid w:val="001D505E"/>
    <w:rsid w:val="001D5FA1"/>
    <w:rsid w:val="001D6462"/>
    <w:rsid w:val="001D7535"/>
    <w:rsid w:val="001E0B05"/>
    <w:rsid w:val="001E12F4"/>
    <w:rsid w:val="001E146D"/>
    <w:rsid w:val="001E24E7"/>
    <w:rsid w:val="001E2CD2"/>
    <w:rsid w:val="001E2D12"/>
    <w:rsid w:val="001E325D"/>
    <w:rsid w:val="001E32D8"/>
    <w:rsid w:val="001E3BBA"/>
    <w:rsid w:val="001E5096"/>
    <w:rsid w:val="001E5702"/>
    <w:rsid w:val="001E66BE"/>
    <w:rsid w:val="001F007E"/>
    <w:rsid w:val="001F08AC"/>
    <w:rsid w:val="001F15BC"/>
    <w:rsid w:val="001F208B"/>
    <w:rsid w:val="001F291B"/>
    <w:rsid w:val="001F29B1"/>
    <w:rsid w:val="001F2C3F"/>
    <w:rsid w:val="001F33BC"/>
    <w:rsid w:val="001F34E2"/>
    <w:rsid w:val="001F3866"/>
    <w:rsid w:val="001F3A3E"/>
    <w:rsid w:val="001F44CF"/>
    <w:rsid w:val="001F4E8F"/>
    <w:rsid w:val="001F57AF"/>
    <w:rsid w:val="001F58D5"/>
    <w:rsid w:val="001F59C9"/>
    <w:rsid w:val="001F7D05"/>
    <w:rsid w:val="00201285"/>
    <w:rsid w:val="002012B4"/>
    <w:rsid w:val="002016D5"/>
    <w:rsid w:val="002029BD"/>
    <w:rsid w:val="00202D42"/>
    <w:rsid w:val="0020363E"/>
    <w:rsid w:val="002053B4"/>
    <w:rsid w:val="002067A6"/>
    <w:rsid w:val="00206AD0"/>
    <w:rsid w:val="002071A3"/>
    <w:rsid w:val="002073C0"/>
    <w:rsid w:val="00207AE8"/>
    <w:rsid w:val="002100D8"/>
    <w:rsid w:val="002102C5"/>
    <w:rsid w:val="002104AE"/>
    <w:rsid w:val="0021102D"/>
    <w:rsid w:val="002112E4"/>
    <w:rsid w:val="00211372"/>
    <w:rsid w:val="00211590"/>
    <w:rsid w:val="00211E65"/>
    <w:rsid w:val="00212738"/>
    <w:rsid w:val="00212C02"/>
    <w:rsid w:val="00213D98"/>
    <w:rsid w:val="00214036"/>
    <w:rsid w:val="00214E32"/>
    <w:rsid w:val="00215155"/>
    <w:rsid w:val="002152A8"/>
    <w:rsid w:val="002153A4"/>
    <w:rsid w:val="002166C2"/>
    <w:rsid w:val="00217580"/>
    <w:rsid w:val="00217840"/>
    <w:rsid w:val="00217C0A"/>
    <w:rsid w:val="00221679"/>
    <w:rsid w:val="00221F44"/>
    <w:rsid w:val="002227DE"/>
    <w:rsid w:val="002234AE"/>
    <w:rsid w:val="00224708"/>
    <w:rsid w:val="0022472E"/>
    <w:rsid w:val="00224A6E"/>
    <w:rsid w:val="00224DDC"/>
    <w:rsid w:val="00226666"/>
    <w:rsid w:val="00226843"/>
    <w:rsid w:val="00227397"/>
    <w:rsid w:val="002275A3"/>
    <w:rsid w:val="002275B0"/>
    <w:rsid w:val="00230135"/>
    <w:rsid w:val="00230283"/>
    <w:rsid w:val="00230A50"/>
    <w:rsid w:val="00231550"/>
    <w:rsid w:val="002319B2"/>
    <w:rsid w:val="00232CA7"/>
    <w:rsid w:val="0023326F"/>
    <w:rsid w:val="002350DC"/>
    <w:rsid w:val="002354B4"/>
    <w:rsid w:val="00235937"/>
    <w:rsid w:val="002365E0"/>
    <w:rsid w:val="00236A10"/>
    <w:rsid w:val="00236C7B"/>
    <w:rsid w:val="00236DD0"/>
    <w:rsid w:val="00236E5F"/>
    <w:rsid w:val="00236FA5"/>
    <w:rsid w:val="00237F08"/>
    <w:rsid w:val="00237F6F"/>
    <w:rsid w:val="002411DD"/>
    <w:rsid w:val="00241507"/>
    <w:rsid w:val="002421D9"/>
    <w:rsid w:val="0024263B"/>
    <w:rsid w:val="00242D2C"/>
    <w:rsid w:val="00243320"/>
    <w:rsid w:val="00243DD0"/>
    <w:rsid w:val="00244D66"/>
    <w:rsid w:val="002453A6"/>
    <w:rsid w:val="00246A8E"/>
    <w:rsid w:val="00246EC7"/>
    <w:rsid w:val="002476D1"/>
    <w:rsid w:val="002477B6"/>
    <w:rsid w:val="002479C9"/>
    <w:rsid w:val="00247C8B"/>
    <w:rsid w:val="0025061D"/>
    <w:rsid w:val="002507FC"/>
    <w:rsid w:val="0025192C"/>
    <w:rsid w:val="00251D49"/>
    <w:rsid w:val="00252F00"/>
    <w:rsid w:val="0025304F"/>
    <w:rsid w:val="00253308"/>
    <w:rsid w:val="00253429"/>
    <w:rsid w:val="002550C8"/>
    <w:rsid w:val="002553F1"/>
    <w:rsid w:val="0025554F"/>
    <w:rsid w:val="00255DCC"/>
    <w:rsid w:val="00256924"/>
    <w:rsid w:val="00257383"/>
    <w:rsid w:val="00257530"/>
    <w:rsid w:val="002575EB"/>
    <w:rsid w:val="00261897"/>
    <w:rsid w:val="0026191B"/>
    <w:rsid w:val="00261BC6"/>
    <w:rsid w:val="002625DF"/>
    <w:rsid w:val="00262C31"/>
    <w:rsid w:val="00264020"/>
    <w:rsid w:val="00264D64"/>
    <w:rsid w:val="002657D3"/>
    <w:rsid w:val="002661D7"/>
    <w:rsid w:val="002665B4"/>
    <w:rsid w:val="0026772A"/>
    <w:rsid w:val="00267A7C"/>
    <w:rsid w:val="00270FD5"/>
    <w:rsid w:val="002721D5"/>
    <w:rsid w:val="00272BF3"/>
    <w:rsid w:val="00273AFE"/>
    <w:rsid w:val="002746FB"/>
    <w:rsid w:val="00275002"/>
    <w:rsid w:val="002750AE"/>
    <w:rsid w:val="00275554"/>
    <w:rsid w:val="00275629"/>
    <w:rsid w:val="00275FDA"/>
    <w:rsid w:val="00275FF4"/>
    <w:rsid w:val="002764CA"/>
    <w:rsid w:val="00276BCB"/>
    <w:rsid w:val="00277067"/>
    <w:rsid w:val="00277530"/>
    <w:rsid w:val="0027757D"/>
    <w:rsid w:val="00277864"/>
    <w:rsid w:val="00277AC2"/>
    <w:rsid w:val="0028029E"/>
    <w:rsid w:val="002802A1"/>
    <w:rsid w:val="002817F7"/>
    <w:rsid w:val="00281BF9"/>
    <w:rsid w:val="002821FC"/>
    <w:rsid w:val="00282338"/>
    <w:rsid w:val="0028284F"/>
    <w:rsid w:val="00283209"/>
    <w:rsid w:val="002835E4"/>
    <w:rsid w:val="00283C7A"/>
    <w:rsid w:val="002840AA"/>
    <w:rsid w:val="0028471D"/>
    <w:rsid w:val="002849D3"/>
    <w:rsid w:val="00284D7E"/>
    <w:rsid w:val="00284D9D"/>
    <w:rsid w:val="00284E01"/>
    <w:rsid w:val="00285C64"/>
    <w:rsid w:val="00286B72"/>
    <w:rsid w:val="00286C68"/>
    <w:rsid w:val="00287076"/>
    <w:rsid w:val="00287CBA"/>
    <w:rsid w:val="0029015E"/>
    <w:rsid w:val="002904AF"/>
    <w:rsid w:val="002908FB"/>
    <w:rsid w:val="00290F68"/>
    <w:rsid w:val="00291069"/>
    <w:rsid w:val="002911CC"/>
    <w:rsid w:val="00291820"/>
    <w:rsid w:val="00291934"/>
    <w:rsid w:val="00291E1A"/>
    <w:rsid w:val="00292D66"/>
    <w:rsid w:val="002937B4"/>
    <w:rsid w:val="0029502C"/>
    <w:rsid w:val="002952F4"/>
    <w:rsid w:val="00295675"/>
    <w:rsid w:val="00296817"/>
    <w:rsid w:val="00296D9D"/>
    <w:rsid w:val="002A0014"/>
    <w:rsid w:val="002A010F"/>
    <w:rsid w:val="002A0179"/>
    <w:rsid w:val="002A0305"/>
    <w:rsid w:val="002A08DE"/>
    <w:rsid w:val="002A1F54"/>
    <w:rsid w:val="002A22AF"/>
    <w:rsid w:val="002A2E28"/>
    <w:rsid w:val="002A3068"/>
    <w:rsid w:val="002A41B2"/>
    <w:rsid w:val="002A4CC0"/>
    <w:rsid w:val="002A4FD6"/>
    <w:rsid w:val="002A50EF"/>
    <w:rsid w:val="002A52C3"/>
    <w:rsid w:val="002A6AC7"/>
    <w:rsid w:val="002A7279"/>
    <w:rsid w:val="002A7529"/>
    <w:rsid w:val="002B0B84"/>
    <w:rsid w:val="002B0DAA"/>
    <w:rsid w:val="002B138C"/>
    <w:rsid w:val="002B1C2B"/>
    <w:rsid w:val="002B1E33"/>
    <w:rsid w:val="002B26C9"/>
    <w:rsid w:val="002B2915"/>
    <w:rsid w:val="002B2C82"/>
    <w:rsid w:val="002B354A"/>
    <w:rsid w:val="002B46DA"/>
    <w:rsid w:val="002B471C"/>
    <w:rsid w:val="002B56FB"/>
    <w:rsid w:val="002B5AD2"/>
    <w:rsid w:val="002B5E71"/>
    <w:rsid w:val="002B6192"/>
    <w:rsid w:val="002B65A8"/>
    <w:rsid w:val="002B6788"/>
    <w:rsid w:val="002B6B96"/>
    <w:rsid w:val="002C01D7"/>
    <w:rsid w:val="002C0523"/>
    <w:rsid w:val="002C0F6D"/>
    <w:rsid w:val="002C16F0"/>
    <w:rsid w:val="002C2B63"/>
    <w:rsid w:val="002C2F37"/>
    <w:rsid w:val="002C3EAC"/>
    <w:rsid w:val="002C4A9D"/>
    <w:rsid w:val="002C4C40"/>
    <w:rsid w:val="002C4E58"/>
    <w:rsid w:val="002C59A8"/>
    <w:rsid w:val="002C65D9"/>
    <w:rsid w:val="002C6CEE"/>
    <w:rsid w:val="002C72C1"/>
    <w:rsid w:val="002C7847"/>
    <w:rsid w:val="002D04CF"/>
    <w:rsid w:val="002D0F06"/>
    <w:rsid w:val="002D1400"/>
    <w:rsid w:val="002D1914"/>
    <w:rsid w:val="002D1E76"/>
    <w:rsid w:val="002D33C8"/>
    <w:rsid w:val="002D343F"/>
    <w:rsid w:val="002D39DD"/>
    <w:rsid w:val="002D4114"/>
    <w:rsid w:val="002D4243"/>
    <w:rsid w:val="002D4762"/>
    <w:rsid w:val="002D5DCE"/>
    <w:rsid w:val="002D5EA9"/>
    <w:rsid w:val="002D6663"/>
    <w:rsid w:val="002D69BE"/>
    <w:rsid w:val="002D7065"/>
    <w:rsid w:val="002E0188"/>
    <w:rsid w:val="002E030B"/>
    <w:rsid w:val="002E09D7"/>
    <w:rsid w:val="002E0CB7"/>
    <w:rsid w:val="002E0DF5"/>
    <w:rsid w:val="002E0F7B"/>
    <w:rsid w:val="002E12A5"/>
    <w:rsid w:val="002E1DEB"/>
    <w:rsid w:val="002E23F9"/>
    <w:rsid w:val="002E2547"/>
    <w:rsid w:val="002E290C"/>
    <w:rsid w:val="002E2BF0"/>
    <w:rsid w:val="002E3B09"/>
    <w:rsid w:val="002E3D2B"/>
    <w:rsid w:val="002E4494"/>
    <w:rsid w:val="002E4CEA"/>
    <w:rsid w:val="002E5B92"/>
    <w:rsid w:val="002E67C3"/>
    <w:rsid w:val="002E71F4"/>
    <w:rsid w:val="002E7604"/>
    <w:rsid w:val="002E7A4F"/>
    <w:rsid w:val="002F1034"/>
    <w:rsid w:val="002F1173"/>
    <w:rsid w:val="002F1183"/>
    <w:rsid w:val="002F242E"/>
    <w:rsid w:val="002F2717"/>
    <w:rsid w:val="002F2C53"/>
    <w:rsid w:val="002F340F"/>
    <w:rsid w:val="002F34B8"/>
    <w:rsid w:val="002F43D2"/>
    <w:rsid w:val="002F440A"/>
    <w:rsid w:val="002F44C4"/>
    <w:rsid w:val="002F49B4"/>
    <w:rsid w:val="002F4B7F"/>
    <w:rsid w:val="002F4BBE"/>
    <w:rsid w:val="002F61C4"/>
    <w:rsid w:val="0030061B"/>
    <w:rsid w:val="0030113A"/>
    <w:rsid w:val="003016D8"/>
    <w:rsid w:val="00302FD8"/>
    <w:rsid w:val="00303416"/>
    <w:rsid w:val="0030396D"/>
    <w:rsid w:val="00303EFA"/>
    <w:rsid w:val="0030471C"/>
    <w:rsid w:val="00304A53"/>
    <w:rsid w:val="00305958"/>
    <w:rsid w:val="00305C1B"/>
    <w:rsid w:val="00307095"/>
    <w:rsid w:val="00310447"/>
    <w:rsid w:val="00311407"/>
    <w:rsid w:val="00311545"/>
    <w:rsid w:val="003119F3"/>
    <w:rsid w:val="00311ADB"/>
    <w:rsid w:val="0031401C"/>
    <w:rsid w:val="00314235"/>
    <w:rsid w:val="0031428B"/>
    <w:rsid w:val="00314497"/>
    <w:rsid w:val="003144B4"/>
    <w:rsid w:val="00314B0E"/>
    <w:rsid w:val="00314DB9"/>
    <w:rsid w:val="00314E10"/>
    <w:rsid w:val="003150E5"/>
    <w:rsid w:val="003155FF"/>
    <w:rsid w:val="003156E9"/>
    <w:rsid w:val="003159FD"/>
    <w:rsid w:val="00315FE6"/>
    <w:rsid w:val="00316F9C"/>
    <w:rsid w:val="00317370"/>
    <w:rsid w:val="00317BE0"/>
    <w:rsid w:val="00320F50"/>
    <w:rsid w:val="0032110E"/>
    <w:rsid w:val="00321DE2"/>
    <w:rsid w:val="00321E8F"/>
    <w:rsid w:val="00322C33"/>
    <w:rsid w:val="003232BD"/>
    <w:rsid w:val="00323B02"/>
    <w:rsid w:val="00323FFC"/>
    <w:rsid w:val="00324691"/>
    <w:rsid w:val="003249D4"/>
    <w:rsid w:val="00324D0C"/>
    <w:rsid w:val="00325135"/>
    <w:rsid w:val="00325981"/>
    <w:rsid w:val="003264EF"/>
    <w:rsid w:val="003271DB"/>
    <w:rsid w:val="00327AC2"/>
    <w:rsid w:val="00327F0E"/>
    <w:rsid w:val="003300F0"/>
    <w:rsid w:val="0033109E"/>
    <w:rsid w:val="00331C8C"/>
    <w:rsid w:val="00331DF9"/>
    <w:rsid w:val="0033236A"/>
    <w:rsid w:val="00333200"/>
    <w:rsid w:val="00333ADE"/>
    <w:rsid w:val="00334A2C"/>
    <w:rsid w:val="00334A76"/>
    <w:rsid w:val="00334B00"/>
    <w:rsid w:val="00336812"/>
    <w:rsid w:val="00336F9C"/>
    <w:rsid w:val="00337D95"/>
    <w:rsid w:val="0034010F"/>
    <w:rsid w:val="003404B6"/>
    <w:rsid w:val="00340688"/>
    <w:rsid w:val="0034068E"/>
    <w:rsid w:val="00340738"/>
    <w:rsid w:val="00342129"/>
    <w:rsid w:val="003421E7"/>
    <w:rsid w:val="003424BE"/>
    <w:rsid w:val="003429B9"/>
    <w:rsid w:val="00343535"/>
    <w:rsid w:val="00343D30"/>
    <w:rsid w:val="00344234"/>
    <w:rsid w:val="0034464B"/>
    <w:rsid w:val="00344B09"/>
    <w:rsid w:val="00344DF9"/>
    <w:rsid w:val="00346BBB"/>
    <w:rsid w:val="00346E0B"/>
    <w:rsid w:val="003479DE"/>
    <w:rsid w:val="00347E7B"/>
    <w:rsid w:val="00350129"/>
    <w:rsid w:val="00350232"/>
    <w:rsid w:val="00350625"/>
    <w:rsid w:val="00350F44"/>
    <w:rsid w:val="00351951"/>
    <w:rsid w:val="00352812"/>
    <w:rsid w:val="00352928"/>
    <w:rsid w:val="00352C65"/>
    <w:rsid w:val="003530F2"/>
    <w:rsid w:val="00353371"/>
    <w:rsid w:val="00353F7D"/>
    <w:rsid w:val="003540C7"/>
    <w:rsid w:val="003571EB"/>
    <w:rsid w:val="00357A50"/>
    <w:rsid w:val="00357CD8"/>
    <w:rsid w:val="003614F7"/>
    <w:rsid w:val="0036265F"/>
    <w:rsid w:val="0036289C"/>
    <w:rsid w:val="003632E7"/>
    <w:rsid w:val="00363700"/>
    <w:rsid w:val="003638EF"/>
    <w:rsid w:val="00364A0E"/>
    <w:rsid w:val="00364C27"/>
    <w:rsid w:val="003656BA"/>
    <w:rsid w:val="00366035"/>
    <w:rsid w:val="00366A8A"/>
    <w:rsid w:val="00366E41"/>
    <w:rsid w:val="00367D4D"/>
    <w:rsid w:val="003706B9"/>
    <w:rsid w:val="00371060"/>
    <w:rsid w:val="00371439"/>
    <w:rsid w:val="00371468"/>
    <w:rsid w:val="003725A6"/>
    <w:rsid w:val="00372FB9"/>
    <w:rsid w:val="0037394A"/>
    <w:rsid w:val="00373E2F"/>
    <w:rsid w:val="00374375"/>
    <w:rsid w:val="00375C6B"/>
    <w:rsid w:val="00376834"/>
    <w:rsid w:val="00376B03"/>
    <w:rsid w:val="00377ABE"/>
    <w:rsid w:val="00377EC1"/>
    <w:rsid w:val="003804F2"/>
    <w:rsid w:val="003809BB"/>
    <w:rsid w:val="003811D8"/>
    <w:rsid w:val="003818C6"/>
    <w:rsid w:val="003825D5"/>
    <w:rsid w:val="003829EA"/>
    <w:rsid w:val="00382A90"/>
    <w:rsid w:val="00382CB0"/>
    <w:rsid w:val="0038383D"/>
    <w:rsid w:val="003838D3"/>
    <w:rsid w:val="003844EB"/>
    <w:rsid w:val="00384648"/>
    <w:rsid w:val="0038497C"/>
    <w:rsid w:val="003868C3"/>
    <w:rsid w:val="00387183"/>
    <w:rsid w:val="00387350"/>
    <w:rsid w:val="00387A59"/>
    <w:rsid w:val="00387F24"/>
    <w:rsid w:val="00391A5B"/>
    <w:rsid w:val="00391D18"/>
    <w:rsid w:val="00392C2C"/>
    <w:rsid w:val="0039334F"/>
    <w:rsid w:val="00393429"/>
    <w:rsid w:val="0039378B"/>
    <w:rsid w:val="00393F21"/>
    <w:rsid w:val="003944F4"/>
    <w:rsid w:val="00394A2D"/>
    <w:rsid w:val="00394A8A"/>
    <w:rsid w:val="00395527"/>
    <w:rsid w:val="00395A78"/>
    <w:rsid w:val="00396688"/>
    <w:rsid w:val="00397527"/>
    <w:rsid w:val="003A1D2F"/>
    <w:rsid w:val="003A2770"/>
    <w:rsid w:val="003A2BDF"/>
    <w:rsid w:val="003A2CA0"/>
    <w:rsid w:val="003A3447"/>
    <w:rsid w:val="003A3A53"/>
    <w:rsid w:val="003A4D6E"/>
    <w:rsid w:val="003A5001"/>
    <w:rsid w:val="003A52E7"/>
    <w:rsid w:val="003A64E2"/>
    <w:rsid w:val="003A6EEB"/>
    <w:rsid w:val="003A755F"/>
    <w:rsid w:val="003B0970"/>
    <w:rsid w:val="003B152B"/>
    <w:rsid w:val="003B15FE"/>
    <w:rsid w:val="003B1BDE"/>
    <w:rsid w:val="003B2579"/>
    <w:rsid w:val="003B2643"/>
    <w:rsid w:val="003B26BC"/>
    <w:rsid w:val="003B3162"/>
    <w:rsid w:val="003B330F"/>
    <w:rsid w:val="003B3C2F"/>
    <w:rsid w:val="003B4008"/>
    <w:rsid w:val="003B4423"/>
    <w:rsid w:val="003B4472"/>
    <w:rsid w:val="003B5046"/>
    <w:rsid w:val="003B50E7"/>
    <w:rsid w:val="003B5C28"/>
    <w:rsid w:val="003B6292"/>
    <w:rsid w:val="003B7956"/>
    <w:rsid w:val="003B7B58"/>
    <w:rsid w:val="003B7FD3"/>
    <w:rsid w:val="003C0AB7"/>
    <w:rsid w:val="003C0FCF"/>
    <w:rsid w:val="003C1588"/>
    <w:rsid w:val="003C1850"/>
    <w:rsid w:val="003C1AC9"/>
    <w:rsid w:val="003C275D"/>
    <w:rsid w:val="003C391B"/>
    <w:rsid w:val="003C3ADF"/>
    <w:rsid w:val="003C426C"/>
    <w:rsid w:val="003C42BF"/>
    <w:rsid w:val="003C547D"/>
    <w:rsid w:val="003C5E9E"/>
    <w:rsid w:val="003C5EF7"/>
    <w:rsid w:val="003C61CA"/>
    <w:rsid w:val="003C66B5"/>
    <w:rsid w:val="003C6FA4"/>
    <w:rsid w:val="003C70D1"/>
    <w:rsid w:val="003C7887"/>
    <w:rsid w:val="003C7911"/>
    <w:rsid w:val="003C7E52"/>
    <w:rsid w:val="003D08E7"/>
    <w:rsid w:val="003D0CCA"/>
    <w:rsid w:val="003D1781"/>
    <w:rsid w:val="003D1980"/>
    <w:rsid w:val="003D235A"/>
    <w:rsid w:val="003D289C"/>
    <w:rsid w:val="003D376F"/>
    <w:rsid w:val="003D3FD7"/>
    <w:rsid w:val="003D55A5"/>
    <w:rsid w:val="003D63E4"/>
    <w:rsid w:val="003D65DF"/>
    <w:rsid w:val="003D7105"/>
    <w:rsid w:val="003D7D16"/>
    <w:rsid w:val="003E0787"/>
    <w:rsid w:val="003E12F5"/>
    <w:rsid w:val="003E1CE4"/>
    <w:rsid w:val="003E1F20"/>
    <w:rsid w:val="003E21F0"/>
    <w:rsid w:val="003E21FE"/>
    <w:rsid w:val="003E2A98"/>
    <w:rsid w:val="003E2BB4"/>
    <w:rsid w:val="003E3448"/>
    <w:rsid w:val="003E3A13"/>
    <w:rsid w:val="003E3D95"/>
    <w:rsid w:val="003E3FF4"/>
    <w:rsid w:val="003E4567"/>
    <w:rsid w:val="003E4685"/>
    <w:rsid w:val="003E4915"/>
    <w:rsid w:val="003E5511"/>
    <w:rsid w:val="003E55AF"/>
    <w:rsid w:val="003E62FD"/>
    <w:rsid w:val="003E6D2D"/>
    <w:rsid w:val="003E7025"/>
    <w:rsid w:val="003E73AE"/>
    <w:rsid w:val="003E76F5"/>
    <w:rsid w:val="003E78F1"/>
    <w:rsid w:val="003E7FEE"/>
    <w:rsid w:val="003F003F"/>
    <w:rsid w:val="003F0EB1"/>
    <w:rsid w:val="003F1FE0"/>
    <w:rsid w:val="003F21CC"/>
    <w:rsid w:val="003F21EF"/>
    <w:rsid w:val="003F2502"/>
    <w:rsid w:val="003F2735"/>
    <w:rsid w:val="003F36E9"/>
    <w:rsid w:val="003F3E2A"/>
    <w:rsid w:val="003F4967"/>
    <w:rsid w:val="003F5301"/>
    <w:rsid w:val="003F5376"/>
    <w:rsid w:val="003F562A"/>
    <w:rsid w:val="003F5D88"/>
    <w:rsid w:val="003F5E1F"/>
    <w:rsid w:val="003F5EB7"/>
    <w:rsid w:val="003F60BB"/>
    <w:rsid w:val="003F63F5"/>
    <w:rsid w:val="003F6D9D"/>
    <w:rsid w:val="003F77BA"/>
    <w:rsid w:val="004006B4"/>
    <w:rsid w:val="004007DF"/>
    <w:rsid w:val="00400CD5"/>
    <w:rsid w:val="00401CBC"/>
    <w:rsid w:val="00401F94"/>
    <w:rsid w:val="004021E3"/>
    <w:rsid w:val="00402EC5"/>
    <w:rsid w:val="00402F18"/>
    <w:rsid w:val="00403CA3"/>
    <w:rsid w:val="00404037"/>
    <w:rsid w:val="004040AC"/>
    <w:rsid w:val="00404211"/>
    <w:rsid w:val="00404258"/>
    <w:rsid w:val="00404E84"/>
    <w:rsid w:val="0040506C"/>
    <w:rsid w:val="004053F9"/>
    <w:rsid w:val="004064BD"/>
    <w:rsid w:val="0040663D"/>
    <w:rsid w:val="004068A4"/>
    <w:rsid w:val="00406A6A"/>
    <w:rsid w:val="00406E51"/>
    <w:rsid w:val="00407360"/>
    <w:rsid w:val="0040737E"/>
    <w:rsid w:val="004076C6"/>
    <w:rsid w:val="0041011A"/>
    <w:rsid w:val="00410257"/>
    <w:rsid w:val="004112DE"/>
    <w:rsid w:val="0041175B"/>
    <w:rsid w:val="00413580"/>
    <w:rsid w:val="004139EF"/>
    <w:rsid w:val="004141A8"/>
    <w:rsid w:val="00414383"/>
    <w:rsid w:val="0041479A"/>
    <w:rsid w:val="0041498A"/>
    <w:rsid w:val="00417BA6"/>
    <w:rsid w:val="00420CF9"/>
    <w:rsid w:val="00420D69"/>
    <w:rsid w:val="0042191C"/>
    <w:rsid w:val="00422831"/>
    <w:rsid w:val="00422F0F"/>
    <w:rsid w:val="00423148"/>
    <w:rsid w:val="004235E7"/>
    <w:rsid w:val="00424DDD"/>
    <w:rsid w:val="00427186"/>
    <w:rsid w:val="00430144"/>
    <w:rsid w:val="00430BBA"/>
    <w:rsid w:val="0043117A"/>
    <w:rsid w:val="00431211"/>
    <w:rsid w:val="00431920"/>
    <w:rsid w:val="00431BFC"/>
    <w:rsid w:val="00431F78"/>
    <w:rsid w:val="0043288F"/>
    <w:rsid w:val="00432B91"/>
    <w:rsid w:val="00433DDB"/>
    <w:rsid w:val="00433E0A"/>
    <w:rsid w:val="00433F46"/>
    <w:rsid w:val="004341CD"/>
    <w:rsid w:val="00434A1E"/>
    <w:rsid w:val="00434E68"/>
    <w:rsid w:val="00436B79"/>
    <w:rsid w:val="0043780F"/>
    <w:rsid w:val="0044051B"/>
    <w:rsid w:val="00440F18"/>
    <w:rsid w:val="004415A9"/>
    <w:rsid w:val="00442BC4"/>
    <w:rsid w:val="0044378F"/>
    <w:rsid w:val="00444043"/>
    <w:rsid w:val="00444B16"/>
    <w:rsid w:val="004453A8"/>
    <w:rsid w:val="0044562B"/>
    <w:rsid w:val="004460ED"/>
    <w:rsid w:val="00446AE8"/>
    <w:rsid w:val="00447825"/>
    <w:rsid w:val="00447E48"/>
    <w:rsid w:val="004507B2"/>
    <w:rsid w:val="004510F9"/>
    <w:rsid w:val="00451760"/>
    <w:rsid w:val="00452E57"/>
    <w:rsid w:val="00452FCE"/>
    <w:rsid w:val="004530B1"/>
    <w:rsid w:val="004533C9"/>
    <w:rsid w:val="00453E2D"/>
    <w:rsid w:val="004547FA"/>
    <w:rsid w:val="00454BA7"/>
    <w:rsid w:val="00454BB1"/>
    <w:rsid w:val="00454FC1"/>
    <w:rsid w:val="00455B61"/>
    <w:rsid w:val="004572CE"/>
    <w:rsid w:val="00457E5C"/>
    <w:rsid w:val="004603A7"/>
    <w:rsid w:val="00460A9D"/>
    <w:rsid w:val="00461288"/>
    <w:rsid w:val="004618BE"/>
    <w:rsid w:val="00462F4F"/>
    <w:rsid w:val="004635B6"/>
    <w:rsid w:val="004637E0"/>
    <w:rsid w:val="00463924"/>
    <w:rsid w:val="00463ADB"/>
    <w:rsid w:val="0046454E"/>
    <w:rsid w:val="0046461A"/>
    <w:rsid w:val="0046489A"/>
    <w:rsid w:val="00464AE9"/>
    <w:rsid w:val="00465181"/>
    <w:rsid w:val="00465733"/>
    <w:rsid w:val="00465B31"/>
    <w:rsid w:val="0046638A"/>
    <w:rsid w:val="00466739"/>
    <w:rsid w:val="00466C64"/>
    <w:rsid w:val="00466EF4"/>
    <w:rsid w:val="00467E1B"/>
    <w:rsid w:val="00470061"/>
    <w:rsid w:val="004707C4"/>
    <w:rsid w:val="00470832"/>
    <w:rsid w:val="00470861"/>
    <w:rsid w:val="00470B9E"/>
    <w:rsid w:val="00470D1F"/>
    <w:rsid w:val="004714D4"/>
    <w:rsid w:val="00471C03"/>
    <w:rsid w:val="00472230"/>
    <w:rsid w:val="00474268"/>
    <w:rsid w:val="004746C5"/>
    <w:rsid w:val="00474B55"/>
    <w:rsid w:val="00475006"/>
    <w:rsid w:val="00476C03"/>
    <w:rsid w:val="00476E35"/>
    <w:rsid w:val="0047799B"/>
    <w:rsid w:val="00477ED4"/>
    <w:rsid w:val="00482538"/>
    <w:rsid w:val="004827DB"/>
    <w:rsid w:val="00482D86"/>
    <w:rsid w:val="0048309A"/>
    <w:rsid w:val="004834C7"/>
    <w:rsid w:val="004836EB"/>
    <w:rsid w:val="004838BA"/>
    <w:rsid w:val="00483ED1"/>
    <w:rsid w:val="0048562F"/>
    <w:rsid w:val="004860AA"/>
    <w:rsid w:val="004860F2"/>
    <w:rsid w:val="0049007A"/>
    <w:rsid w:val="00490385"/>
    <w:rsid w:val="00490A66"/>
    <w:rsid w:val="0049137E"/>
    <w:rsid w:val="004916C3"/>
    <w:rsid w:val="00491A48"/>
    <w:rsid w:val="00491E06"/>
    <w:rsid w:val="00492294"/>
    <w:rsid w:val="00493CF9"/>
    <w:rsid w:val="004948D2"/>
    <w:rsid w:val="00494CD9"/>
    <w:rsid w:val="00494E90"/>
    <w:rsid w:val="00494F2C"/>
    <w:rsid w:val="00495115"/>
    <w:rsid w:val="00495C45"/>
    <w:rsid w:val="00495FB8"/>
    <w:rsid w:val="004962FB"/>
    <w:rsid w:val="0049751E"/>
    <w:rsid w:val="00497D6D"/>
    <w:rsid w:val="004A04F6"/>
    <w:rsid w:val="004A13EC"/>
    <w:rsid w:val="004A1EC6"/>
    <w:rsid w:val="004A2299"/>
    <w:rsid w:val="004A334F"/>
    <w:rsid w:val="004A344E"/>
    <w:rsid w:val="004A3D4F"/>
    <w:rsid w:val="004A44B9"/>
    <w:rsid w:val="004A4EA2"/>
    <w:rsid w:val="004A6372"/>
    <w:rsid w:val="004A7773"/>
    <w:rsid w:val="004B04C4"/>
    <w:rsid w:val="004B0A3A"/>
    <w:rsid w:val="004B1794"/>
    <w:rsid w:val="004B1A14"/>
    <w:rsid w:val="004B270A"/>
    <w:rsid w:val="004B2CAC"/>
    <w:rsid w:val="004B2E2B"/>
    <w:rsid w:val="004B318E"/>
    <w:rsid w:val="004B32B6"/>
    <w:rsid w:val="004B3810"/>
    <w:rsid w:val="004B3AF4"/>
    <w:rsid w:val="004B4302"/>
    <w:rsid w:val="004B4CCE"/>
    <w:rsid w:val="004B508A"/>
    <w:rsid w:val="004B5D93"/>
    <w:rsid w:val="004B66EE"/>
    <w:rsid w:val="004B719A"/>
    <w:rsid w:val="004B73ED"/>
    <w:rsid w:val="004C0D25"/>
    <w:rsid w:val="004C0D40"/>
    <w:rsid w:val="004C192A"/>
    <w:rsid w:val="004C21AB"/>
    <w:rsid w:val="004C24E3"/>
    <w:rsid w:val="004C32BB"/>
    <w:rsid w:val="004C3384"/>
    <w:rsid w:val="004C3402"/>
    <w:rsid w:val="004C3474"/>
    <w:rsid w:val="004C3EAB"/>
    <w:rsid w:val="004C6356"/>
    <w:rsid w:val="004C6616"/>
    <w:rsid w:val="004C6C7F"/>
    <w:rsid w:val="004C7FE0"/>
    <w:rsid w:val="004D003C"/>
    <w:rsid w:val="004D0A44"/>
    <w:rsid w:val="004D0A55"/>
    <w:rsid w:val="004D12B4"/>
    <w:rsid w:val="004D22F3"/>
    <w:rsid w:val="004D399F"/>
    <w:rsid w:val="004D48B6"/>
    <w:rsid w:val="004D50C5"/>
    <w:rsid w:val="004D59B6"/>
    <w:rsid w:val="004D5ECA"/>
    <w:rsid w:val="004D6B9A"/>
    <w:rsid w:val="004E0766"/>
    <w:rsid w:val="004E09F5"/>
    <w:rsid w:val="004E17AD"/>
    <w:rsid w:val="004E2AE0"/>
    <w:rsid w:val="004E32C4"/>
    <w:rsid w:val="004E386A"/>
    <w:rsid w:val="004E459A"/>
    <w:rsid w:val="004E67B7"/>
    <w:rsid w:val="004E6811"/>
    <w:rsid w:val="004E6DF4"/>
    <w:rsid w:val="004F0229"/>
    <w:rsid w:val="004F0340"/>
    <w:rsid w:val="004F0F58"/>
    <w:rsid w:val="004F1D7E"/>
    <w:rsid w:val="004F3279"/>
    <w:rsid w:val="004F3660"/>
    <w:rsid w:val="004F534F"/>
    <w:rsid w:val="004F5363"/>
    <w:rsid w:val="004F5B18"/>
    <w:rsid w:val="004F6820"/>
    <w:rsid w:val="004F683E"/>
    <w:rsid w:val="004F73C7"/>
    <w:rsid w:val="004F784D"/>
    <w:rsid w:val="00500A08"/>
    <w:rsid w:val="00501C48"/>
    <w:rsid w:val="0050326E"/>
    <w:rsid w:val="005035FF"/>
    <w:rsid w:val="005042D6"/>
    <w:rsid w:val="005057F6"/>
    <w:rsid w:val="00505D7A"/>
    <w:rsid w:val="0050639A"/>
    <w:rsid w:val="00506D15"/>
    <w:rsid w:val="005074DD"/>
    <w:rsid w:val="00507991"/>
    <w:rsid w:val="00507EC3"/>
    <w:rsid w:val="00510392"/>
    <w:rsid w:val="00511863"/>
    <w:rsid w:val="00512932"/>
    <w:rsid w:val="00512972"/>
    <w:rsid w:val="00512D9D"/>
    <w:rsid w:val="0051344A"/>
    <w:rsid w:val="00513A0F"/>
    <w:rsid w:val="005164E5"/>
    <w:rsid w:val="0051718B"/>
    <w:rsid w:val="0051736E"/>
    <w:rsid w:val="00517425"/>
    <w:rsid w:val="00517C2B"/>
    <w:rsid w:val="00520328"/>
    <w:rsid w:val="005209E2"/>
    <w:rsid w:val="005209FA"/>
    <w:rsid w:val="005213EC"/>
    <w:rsid w:val="00521423"/>
    <w:rsid w:val="00521C7E"/>
    <w:rsid w:val="005226D4"/>
    <w:rsid w:val="00523683"/>
    <w:rsid w:val="005238E3"/>
    <w:rsid w:val="005242C0"/>
    <w:rsid w:val="005242C7"/>
    <w:rsid w:val="00525366"/>
    <w:rsid w:val="00526202"/>
    <w:rsid w:val="0052626E"/>
    <w:rsid w:val="00526EF0"/>
    <w:rsid w:val="00530411"/>
    <w:rsid w:val="005306BA"/>
    <w:rsid w:val="00531105"/>
    <w:rsid w:val="00531406"/>
    <w:rsid w:val="0053142A"/>
    <w:rsid w:val="005315BB"/>
    <w:rsid w:val="005316AA"/>
    <w:rsid w:val="0053183A"/>
    <w:rsid w:val="00531F05"/>
    <w:rsid w:val="0053225B"/>
    <w:rsid w:val="00532814"/>
    <w:rsid w:val="00533949"/>
    <w:rsid w:val="005341E6"/>
    <w:rsid w:val="00534533"/>
    <w:rsid w:val="0053481B"/>
    <w:rsid w:val="005348A7"/>
    <w:rsid w:val="005351BF"/>
    <w:rsid w:val="00535E6A"/>
    <w:rsid w:val="00536748"/>
    <w:rsid w:val="0053693E"/>
    <w:rsid w:val="00536BAC"/>
    <w:rsid w:val="00536D4F"/>
    <w:rsid w:val="005371FA"/>
    <w:rsid w:val="00540525"/>
    <w:rsid w:val="00540721"/>
    <w:rsid w:val="0054121C"/>
    <w:rsid w:val="005415E5"/>
    <w:rsid w:val="00541767"/>
    <w:rsid w:val="00541F55"/>
    <w:rsid w:val="00542B73"/>
    <w:rsid w:val="00543754"/>
    <w:rsid w:val="00544319"/>
    <w:rsid w:val="00544397"/>
    <w:rsid w:val="00545FCE"/>
    <w:rsid w:val="00546225"/>
    <w:rsid w:val="005468D5"/>
    <w:rsid w:val="00546ADC"/>
    <w:rsid w:val="00547892"/>
    <w:rsid w:val="005479B7"/>
    <w:rsid w:val="00547B58"/>
    <w:rsid w:val="00547B8E"/>
    <w:rsid w:val="00550215"/>
    <w:rsid w:val="005506AA"/>
    <w:rsid w:val="00551311"/>
    <w:rsid w:val="00552526"/>
    <w:rsid w:val="00552684"/>
    <w:rsid w:val="00553B32"/>
    <w:rsid w:val="005543C6"/>
    <w:rsid w:val="00554F32"/>
    <w:rsid w:val="005559BB"/>
    <w:rsid w:val="005561E3"/>
    <w:rsid w:val="005572F0"/>
    <w:rsid w:val="00557D77"/>
    <w:rsid w:val="005601F3"/>
    <w:rsid w:val="00560CBB"/>
    <w:rsid w:val="00560DD9"/>
    <w:rsid w:val="00560F42"/>
    <w:rsid w:val="005613F5"/>
    <w:rsid w:val="00561D54"/>
    <w:rsid w:val="00562261"/>
    <w:rsid w:val="005622C3"/>
    <w:rsid w:val="00562DEF"/>
    <w:rsid w:val="00562E0A"/>
    <w:rsid w:val="00562FA0"/>
    <w:rsid w:val="005636AD"/>
    <w:rsid w:val="00563B19"/>
    <w:rsid w:val="00563C51"/>
    <w:rsid w:val="005650C3"/>
    <w:rsid w:val="00565C6C"/>
    <w:rsid w:val="0056708A"/>
    <w:rsid w:val="00567215"/>
    <w:rsid w:val="0056723B"/>
    <w:rsid w:val="00567767"/>
    <w:rsid w:val="00567D26"/>
    <w:rsid w:val="005700A6"/>
    <w:rsid w:val="005708C6"/>
    <w:rsid w:val="00570963"/>
    <w:rsid w:val="00571050"/>
    <w:rsid w:val="0057125F"/>
    <w:rsid w:val="00571E90"/>
    <w:rsid w:val="00572020"/>
    <w:rsid w:val="005724B4"/>
    <w:rsid w:val="00572A44"/>
    <w:rsid w:val="005737E9"/>
    <w:rsid w:val="00573D74"/>
    <w:rsid w:val="0057441B"/>
    <w:rsid w:val="00574503"/>
    <w:rsid w:val="0057474A"/>
    <w:rsid w:val="00574F74"/>
    <w:rsid w:val="00575C03"/>
    <w:rsid w:val="005771FF"/>
    <w:rsid w:val="0058059D"/>
    <w:rsid w:val="005810C0"/>
    <w:rsid w:val="00581761"/>
    <w:rsid w:val="00581844"/>
    <w:rsid w:val="00581C8F"/>
    <w:rsid w:val="00582846"/>
    <w:rsid w:val="005832C7"/>
    <w:rsid w:val="00583BAF"/>
    <w:rsid w:val="00583C9D"/>
    <w:rsid w:val="0058445F"/>
    <w:rsid w:val="00584887"/>
    <w:rsid w:val="005852D9"/>
    <w:rsid w:val="00585A23"/>
    <w:rsid w:val="00585A56"/>
    <w:rsid w:val="005869E7"/>
    <w:rsid w:val="005877E8"/>
    <w:rsid w:val="0059013D"/>
    <w:rsid w:val="0059053A"/>
    <w:rsid w:val="00591279"/>
    <w:rsid w:val="005913CD"/>
    <w:rsid w:val="00591AD9"/>
    <w:rsid w:val="005922FA"/>
    <w:rsid w:val="00592383"/>
    <w:rsid w:val="00593536"/>
    <w:rsid w:val="00593D96"/>
    <w:rsid w:val="005949AC"/>
    <w:rsid w:val="00594C0A"/>
    <w:rsid w:val="00595B1E"/>
    <w:rsid w:val="00595BF7"/>
    <w:rsid w:val="00595D0B"/>
    <w:rsid w:val="00596321"/>
    <w:rsid w:val="00596CD0"/>
    <w:rsid w:val="00597752"/>
    <w:rsid w:val="005A04C9"/>
    <w:rsid w:val="005A04E3"/>
    <w:rsid w:val="005A0690"/>
    <w:rsid w:val="005A10EF"/>
    <w:rsid w:val="005A1133"/>
    <w:rsid w:val="005A13F0"/>
    <w:rsid w:val="005A241E"/>
    <w:rsid w:val="005A2589"/>
    <w:rsid w:val="005A33CA"/>
    <w:rsid w:val="005A34B4"/>
    <w:rsid w:val="005A40A0"/>
    <w:rsid w:val="005A47E0"/>
    <w:rsid w:val="005A54F6"/>
    <w:rsid w:val="005A5524"/>
    <w:rsid w:val="005A6136"/>
    <w:rsid w:val="005A77BC"/>
    <w:rsid w:val="005A7D0D"/>
    <w:rsid w:val="005A7F33"/>
    <w:rsid w:val="005B0A80"/>
    <w:rsid w:val="005B1A47"/>
    <w:rsid w:val="005B2636"/>
    <w:rsid w:val="005B31A3"/>
    <w:rsid w:val="005B37DD"/>
    <w:rsid w:val="005B37FE"/>
    <w:rsid w:val="005B3AF1"/>
    <w:rsid w:val="005B3BC2"/>
    <w:rsid w:val="005B4165"/>
    <w:rsid w:val="005B436D"/>
    <w:rsid w:val="005B4382"/>
    <w:rsid w:val="005B4F63"/>
    <w:rsid w:val="005B57BE"/>
    <w:rsid w:val="005B63EC"/>
    <w:rsid w:val="005B66A2"/>
    <w:rsid w:val="005C07BE"/>
    <w:rsid w:val="005C0A93"/>
    <w:rsid w:val="005C1F76"/>
    <w:rsid w:val="005C2274"/>
    <w:rsid w:val="005C3625"/>
    <w:rsid w:val="005C405D"/>
    <w:rsid w:val="005C4294"/>
    <w:rsid w:val="005C43CE"/>
    <w:rsid w:val="005C4561"/>
    <w:rsid w:val="005C47BD"/>
    <w:rsid w:val="005C61CC"/>
    <w:rsid w:val="005C6292"/>
    <w:rsid w:val="005C6C8E"/>
    <w:rsid w:val="005C708F"/>
    <w:rsid w:val="005C7DDA"/>
    <w:rsid w:val="005D0BF5"/>
    <w:rsid w:val="005D1991"/>
    <w:rsid w:val="005D1D38"/>
    <w:rsid w:val="005D2173"/>
    <w:rsid w:val="005D2747"/>
    <w:rsid w:val="005D401E"/>
    <w:rsid w:val="005D478E"/>
    <w:rsid w:val="005D551D"/>
    <w:rsid w:val="005D5526"/>
    <w:rsid w:val="005D5C95"/>
    <w:rsid w:val="005D6203"/>
    <w:rsid w:val="005D6C58"/>
    <w:rsid w:val="005D7DB9"/>
    <w:rsid w:val="005D7FAA"/>
    <w:rsid w:val="005E0812"/>
    <w:rsid w:val="005E0C6F"/>
    <w:rsid w:val="005E0EB8"/>
    <w:rsid w:val="005E24ED"/>
    <w:rsid w:val="005E3432"/>
    <w:rsid w:val="005E42E8"/>
    <w:rsid w:val="005E49B4"/>
    <w:rsid w:val="005E532E"/>
    <w:rsid w:val="005E5ABD"/>
    <w:rsid w:val="005E6940"/>
    <w:rsid w:val="005E6E4B"/>
    <w:rsid w:val="005E7D65"/>
    <w:rsid w:val="005F0511"/>
    <w:rsid w:val="005F07E2"/>
    <w:rsid w:val="005F2015"/>
    <w:rsid w:val="005F35C7"/>
    <w:rsid w:val="005F458C"/>
    <w:rsid w:val="005F5F1A"/>
    <w:rsid w:val="005F6D0C"/>
    <w:rsid w:val="005F74BC"/>
    <w:rsid w:val="00600E2C"/>
    <w:rsid w:val="006013ED"/>
    <w:rsid w:val="00601FAA"/>
    <w:rsid w:val="00602438"/>
    <w:rsid w:val="0060261C"/>
    <w:rsid w:val="00602ADE"/>
    <w:rsid w:val="00603302"/>
    <w:rsid w:val="0060515F"/>
    <w:rsid w:val="00605A1A"/>
    <w:rsid w:val="00605EBF"/>
    <w:rsid w:val="0060713E"/>
    <w:rsid w:val="00607615"/>
    <w:rsid w:val="00607B93"/>
    <w:rsid w:val="00607D6C"/>
    <w:rsid w:val="00607F7A"/>
    <w:rsid w:val="00610651"/>
    <w:rsid w:val="0061108C"/>
    <w:rsid w:val="00612865"/>
    <w:rsid w:val="00612D86"/>
    <w:rsid w:val="006139B8"/>
    <w:rsid w:val="006141E0"/>
    <w:rsid w:val="00614958"/>
    <w:rsid w:val="006149CD"/>
    <w:rsid w:val="00614EDA"/>
    <w:rsid w:val="00614EEA"/>
    <w:rsid w:val="0061539A"/>
    <w:rsid w:val="006154D0"/>
    <w:rsid w:val="00615864"/>
    <w:rsid w:val="00615AB0"/>
    <w:rsid w:val="00615CE6"/>
    <w:rsid w:val="006165E0"/>
    <w:rsid w:val="00616C4D"/>
    <w:rsid w:val="00620162"/>
    <w:rsid w:val="0062069B"/>
    <w:rsid w:val="00621485"/>
    <w:rsid w:val="006218D5"/>
    <w:rsid w:val="006220C2"/>
    <w:rsid w:val="00622131"/>
    <w:rsid w:val="0062418C"/>
    <w:rsid w:val="006245FC"/>
    <w:rsid w:val="00624718"/>
    <w:rsid w:val="00624D2E"/>
    <w:rsid w:val="00624F91"/>
    <w:rsid w:val="006252D2"/>
    <w:rsid w:val="0062590E"/>
    <w:rsid w:val="00625AA5"/>
    <w:rsid w:val="0062622A"/>
    <w:rsid w:val="00626317"/>
    <w:rsid w:val="00626747"/>
    <w:rsid w:val="00626E4F"/>
    <w:rsid w:val="00627082"/>
    <w:rsid w:val="00627150"/>
    <w:rsid w:val="0062752D"/>
    <w:rsid w:val="006301F2"/>
    <w:rsid w:val="00631571"/>
    <w:rsid w:val="00631BB2"/>
    <w:rsid w:val="00631CC4"/>
    <w:rsid w:val="00632051"/>
    <w:rsid w:val="00632572"/>
    <w:rsid w:val="006325F2"/>
    <w:rsid w:val="006333FD"/>
    <w:rsid w:val="0063441D"/>
    <w:rsid w:val="0063469D"/>
    <w:rsid w:val="006348A6"/>
    <w:rsid w:val="00634C1A"/>
    <w:rsid w:val="00634CBE"/>
    <w:rsid w:val="0063562B"/>
    <w:rsid w:val="00635869"/>
    <w:rsid w:val="006379CA"/>
    <w:rsid w:val="00640415"/>
    <w:rsid w:val="00640513"/>
    <w:rsid w:val="00640913"/>
    <w:rsid w:val="00641537"/>
    <w:rsid w:val="006416BC"/>
    <w:rsid w:val="0064178A"/>
    <w:rsid w:val="00641B67"/>
    <w:rsid w:val="00641D59"/>
    <w:rsid w:val="00642C24"/>
    <w:rsid w:val="00642E06"/>
    <w:rsid w:val="0064484A"/>
    <w:rsid w:val="00644D92"/>
    <w:rsid w:val="0064577C"/>
    <w:rsid w:val="00646D89"/>
    <w:rsid w:val="0064748E"/>
    <w:rsid w:val="00647741"/>
    <w:rsid w:val="006504AA"/>
    <w:rsid w:val="00650744"/>
    <w:rsid w:val="00650D31"/>
    <w:rsid w:val="00650F89"/>
    <w:rsid w:val="006514ED"/>
    <w:rsid w:val="00652642"/>
    <w:rsid w:val="00653C75"/>
    <w:rsid w:val="00653C9D"/>
    <w:rsid w:val="006546E3"/>
    <w:rsid w:val="00654CA4"/>
    <w:rsid w:val="0065704F"/>
    <w:rsid w:val="00657E96"/>
    <w:rsid w:val="0066070F"/>
    <w:rsid w:val="00660FCF"/>
    <w:rsid w:val="00661292"/>
    <w:rsid w:val="0066135A"/>
    <w:rsid w:val="0066173B"/>
    <w:rsid w:val="006624CF"/>
    <w:rsid w:val="0066333F"/>
    <w:rsid w:val="00663DA0"/>
    <w:rsid w:val="0066405C"/>
    <w:rsid w:val="00664CE0"/>
    <w:rsid w:val="00665271"/>
    <w:rsid w:val="0066561A"/>
    <w:rsid w:val="006668B8"/>
    <w:rsid w:val="006673A7"/>
    <w:rsid w:val="00670625"/>
    <w:rsid w:val="00670663"/>
    <w:rsid w:val="006709B8"/>
    <w:rsid w:val="006711B2"/>
    <w:rsid w:val="00671251"/>
    <w:rsid w:val="00671260"/>
    <w:rsid w:val="00671522"/>
    <w:rsid w:val="00671EC6"/>
    <w:rsid w:val="00671FE1"/>
    <w:rsid w:val="00672A88"/>
    <w:rsid w:val="00673464"/>
    <w:rsid w:val="00673520"/>
    <w:rsid w:val="006736F7"/>
    <w:rsid w:val="00673DE9"/>
    <w:rsid w:val="00674263"/>
    <w:rsid w:val="00674B02"/>
    <w:rsid w:val="00674E11"/>
    <w:rsid w:val="006756FD"/>
    <w:rsid w:val="00675ADC"/>
    <w:rsid w:val="00675F2B"/>
    <w:rsid w:val="00676038"/>
    <w:rsid w:val="0067679D"/>
    <w:rsid w:val="006769AE"/>
    <w:rsid w:val="0067758A"/>
    <w:rsid w:val="006775A5"/>
    <w:rsid w:val="00677C5B"/>
    <w:rsid w:val="006804BD"/>
    <w:rsid w:val="0068068F"/>
    <w:rsid w:val="00680C6B"/>
    <w:rsid w:val="006811AF"/>
    <w:rsid w:val="0068176C"/>
    <w:rsid w:val="00681956"/>
    <w:rsid w:val="00681972"/>
    <w:rsid w:val="00681AC0"/>
    <w:rsid w:val="00681F0B"/>
    <w:rsid w:val="00682CF0"/>
    <w:rsid w:val="006830F7"/>
    <w:rsid w:val="006831A5"/>
    <w:rsid w:val="006838B1"/>
    <w:rsid w:val="00683A7A"/>
    <w:rsid w:val="00683DC1"/>
    <w:rsid w:val="00683EEF"/>
    <w:rsid w:val="00684303"/>
    <w:rsid w:val="00684EBF"/>
    <w:rsid w:val="006857D5"/>
    <w:rsid w:val="00685E1A"/>
    <w:rsid w:val="006860AD"/>
    <w:rsid w:val="0068700D"/>
    <w:rsid w:val="006871B4"/>
    <w:rsid w:val="006875E8"/>
    <w:rsid w:val="00687A5D"/>
    <w:rsid w:val="00687BFE"/>
    <w:rsid w:val="00687CFC"/>
    <w:rsid w:val="006900EF"/>
    <w:rsid w:val="0069023C"/>
    <w:rsid w:val="0069025B"/>
    <w:rsid w:val="0069040F"/>
    <w:rsid w:val="00690511"/>
    <w:rsid w:val="0069051E"/>
    <w:rsid w:val="006909D9"/>
    <w:rsid w:val="00691F65"/>
    <w:rsid w:val="00692388"/>
    <w:rsid w:val="00693263"/>
    <w:rsid w:val="00693370"/>
    <w:rsid w:val="006934BC"/>
    <w:rsid w:val="00693A17"/>
    <w:rsid w:val="006940D1"/>
    <w:rsid w:val="00694B79"/>
    <w:rsid w:val="00694D8C"/>
    <w:rsid w:val="00694F66"/>
    <w:rsid w:val="006957C0"/>
    <w:rsid w:val="00696724"/>
    <w:rsid w:val="00697014"/>
    <w:rsid w:val="00697959"/>
    <w:rsid w:val="00697FF1"/>
    <w:rsid w:val="006A0A05"/>
    <w:rsid w:val="006A0EE1"/>
    <w:rsid w:val="006A1498"/>
    <w:rsid w:val="006A174A"/>
    <w:rsid w:val="006A2D3A"/>
    <w:rsid w:val="006A44D9"/>
    <w:rsid w:val="006A4E11"/>
    <w:rsid w:val="006A54D3"/>
    <w:rsid w:val="006A59AC"/>
    <w:rsid w:val="006A5EA4"/>
    <w:rsid w:val="006A5EFE"/>
    <w:rsid w:val="006A6518"/>
    <w:rsid w:val="006A67E2"/>
    <w:rsid w:val="006A69F0"/>
    <w:rsid w:val="006A70A8"/>
    <w:rsid w:val="006A778D"/>
    <w:rsid w:val="006A7A64"/>
    <w:rsid w:val="006B13D0"/>
    <w:rsid w:val="006B15D9"/>
    <w:rsid w:val="006B1855"/>
    <w:rsid w:val="006B2167"/>
    <w:rsid w:val="006B26FA"/>
    <w:rsid w:val="006B295D"/>
    <w:rsid w:val="006B33CC"/>
    <w:rsid w:val="006B3D4D"/>
    <w:rsid w:val="006B447B"/>
    <w:rsid w:val="006B46DF"/>
    <w:rsid w:val="006B5171"/>
    <w:rsid w:val="006B51C6"/>
    <w:rsid w:val="006B6122"/>
    <w:rsid w:val="006B654A"/>
    <w:rsid w:val="006B7006"/>
    <w:rsid w:val="006B71CB"/>
    <w:rsid w:val="006B73AA"/>
    <w:rsid w:val="006C1370"/>
    <w:rsid w:val="006C15C0"/>
    <w:rsid w:val="006C1763"/>
    <w:rsid w:val="006C17AF"/>
    <w:rsid w:val="006C1E4E"/>
    <w:rsid w:val="006C2525"/>
    <w:rsid w:val="006C2897"/>
    <w:rsid w:val="006C32CF"/>
    <w:rsid w:val="006C38EA"/>
    <w:rsid w:val="006C4AA0"/>
    <w:rsid w:val="006C4E81"/>
    <w:rsid w:val="006C51A5"/>
    <w:rsid w:val="006C649F"/>
    <w:rsid w:val="006C6993"/>
    <w:rsid w:val="006C6CF1"/>
    <w:rsid w:val="006C6E7A"/>
    <w:rsid w:val="006C6FBD"/>
    <w:rsid w:val="006C7623"/>
    <w:rsid w:val="006C7AB0"/>
    <w:rsid w:val="006C7C78"/>
    <w:rsid w:val="006D1042"/>
    <w:rsid w:val="006D1127"/>
    <w:rsid w:val="006D1B85"/>
    <w:rsid w:val="006D1E01"/>
    <w:rsid w:val="006D1F18"/>
    <w:rsid w:val="006D25D7"/>
    <w:rsid w:val="006D373D"/>
    <w:rsid w:val="006D3944"/>
    <w:rsid w:val="006D3E65"/>
    <w:rsid w:val="006D3E8B"/>
    <w:rsid w:val="006D4942"/>
    <w:rsid w:val="006D5752"/>
    <w:rsid w:val="006D5C0B"/>
    <w:rsid w:val="006D5DFE"/>
    <w:rsid w:val="006D678B"/>
    <w:rsid w:val="006D6896"/>
    <w:rsid w:val="006D6D7E"/>
    <w:rsid w:val="006D7554"/>
    <w:rsid w:val="006D7674"/>
    <w:rsid w:val="006D7EE6"/>
    <w:rsid w:val="006E0CCF"/>
    <w:rsid w:val="006E206B"/>
    <w:rsid w:val="006E2199"/>
    <w:rsid w:val="006E21A9"/>
    <w:rsid w:val="006E2B7F"/>
    <w:rsid w:val="006E33C4"/>
    <w:rsid w:val="006E3873"/>
    <w:rsid w:val="006E5211"/>
    <w:rsid w:val="006E53F2"/>
    <w:rsid w:val="006E6675"/>
    <w:rsid w:val="006E66DD"/>
    <w:rsid w:val="006E705E"/>
    <w:rsid w:val="006E7398"/>
    <w:rsid w:val="006E741D"/>
    <w:rsid w:val="006E7B17"/>
    <w:rsid w:val="006F228D"/>
    <w:rsid w:val="006F43CF"/>
    <w:rsid w:val="006F4483"/>
    <w:rsid w:val="006F4E77"/>
    <w:rsid w:val="006F4F8A"/>
    <w:rsid w:val="006F5050"/>
    <w:rsid w:val="006F618F"/>
    <w:rsid w:val="006F6FCF"/>
    <w:rsid w:val="006F7369"/>
    <w:rsid w:val="007000E2"/>
    <w:rsid w:val="00700D12"/>
    <w:rsid w:val="00701002"/>
    <w:rsid w:val="00701D35"/>
    <w:rsid w:val="00702580"/>
    <w:rsid w:val="007027D7"/>
    <w:rsid w:val="007032F7"/>
    <w:rsid w:val="00703B96"/>
    <w:rsid w:val="007041CD"/>
    <w:rsid w:val="007042BC"/>
    <w:rsid w:val="00704A88"/>
    <w:rsid w:val="00704CF6"/>
    <w:rsid w:val="0070559D"/>
    <w:rsid w:val="00705A01"/>
    <w:rsid w:val="00706577"/>
    <w:rsid w:val="007069DF"/>
    <w:rsid w:val="00706F6B"/>
    <w:rsid w:val="007074D7"/>
    <w:rsid w:val="00707628"/>
    <w:rsid w:val="00710342"/>
    <w:rsid w:val="007103D1"/>
    <w:rsid w:val="007107D8"/>
    <w:rsid w:val="00710C76"/>
    <w:rsid w:val="00710D89"/>
    <w:rsid w:val="00711612"/>
    <w:rsid w:val="00711B82"/>
    <w:rsid w:val="00712971"/>
    <w:rsid w:val="00712A40"/>
    <w:rsid w:val="00712C92"/>
    <w:rsid w:val="00712ED8"/>
    <w:rsid w:val="007131E5"/>
    <w:rsid w:val="00713738"/>
    <w:rsid w:val="007153FE"/>
    <w:rsid w:val="0071578F"/>
    <w:rsid w:val="0071673C"/>
    <w:rsid w:val="007169E7"/>
    <w:rsid w:val="00716A4A"/>
    <w:rsid w:val="0072075E"/>
    <w:rsid w:val="00720CEB"/>
    <w:rsid w:val="00721524"/>
    <w:rsid w:val="00721696"/>
    <w:rsid w:val="00721D61"/>
    <w:rsid w:val="00721E62"/>
    <w:rsid w:val="007220CE"/>
    <w:rsid w:val="00723BC7"/>
    <w:rsid w:val="007241E6"/>
    <w:rsid w:val="007241E9"/>
    <w:rsid w:val="00724325"/>
    <w:rsid w:val="007254DD"/>
    <w:rsid w:val="0072591B"/>
    <w:rsid w:val="00725974"/>
    <w:rsid w:val="00725BDD"/>
    <w:rsid w:val="00726057"/>
    <w:rsid w:val="00726215"/>
    <w:rsid w:val="00727074"/>
    <w:rsid w:val="00727FA5"/>
    <w:rsid w:val="00730231"/>
    <w:rsid w:val="00733569"/>
    <w:rsid w:val="00733E72"/>
    <w:rsid w:val="007341EA"/>
    <w:rsid w:val="00734FB7"/>
    <w:rsid w:val="0073505C"/>
    <w:rsid w:val="007350D8"/>
    <w:rsid w:val="007358C2"/>
    <w:rsid w:val="0073590C"/>
    <w:rsid w:val="00735A1B"/>
    <w:rsid w:val="007362EC"/>
    <w:rsid w:val="00736814"/>
    <w:rsid w:val="007371CD"/>
    <w:rsid w:val="007371F8"/>
    <w:rsid w:val="00737310"/>
    <w:rsid w:val="007402F6"/>
    <w:rsid w:val="0074095E"/>
    <w:rsid w:val="00741754"/>
    <w:rsid w:val="00741890"/>
    <w:rsid w:val="007426D8"/>
    <w:rsid w:val="007428D7"/>
    <w:rsid w:val="0074298E"/>
    <w:rsid w:val="0074334F"/>
    <w:rsid w:val="00743BFE"/>
    <w:rsid w:val="00745165"/>
    <w:rsid w:val="007455FA"/>
    <w:rsid w:val="007460C7"/>
    <w:rsid w:val="00746B7D"/>
    <w:rsid w:val="00747180"/>
    <w:rsid w:val="00747569"/>
    <w:rsid w:val="007477B2"/>
    <w:rsid w:val="007479EC"/>
    <w:rsid w:val="00747E13"/>
    <w:rsid w:val="007500B0"/>
    <w:rsid w:val="00750113"/>
    <w:rsid w:val="00750B06"/>
    <w:rsid w:val="0075131C"/>
    <w:rsid w:val="00751BF7"/>
    <w:rsid w:val="00751DB6"/>
    <w:rsid w:val="00752B19"/>
    <w:rsid w:val="00752E6F"/>
    <w:rsid w:val="00752F5E"/>
    <w:rsid w:val="007533D2"/>
    <w:rsid w:val="00753446"/>
    <w:rsid w:val="00754804"/>
    <w:rsid w:val="0075586B"/>
    <w:rsid w:val="00756451"/>
    <w:rsid w:val="007565EB"/>
    <w:rsid w:val="00756DAC"/>
    <w:rsid w:val="007573D4"/>
    <w:rsid w:val="00757EF2"/>
    <w:rsid w:val="0076010A"/>
    <w:rsid w:val="00760716"/>
    <w:rsid w:val="00760B73"/>
    <w:rsid w:val="007610FD"/>
    <w:rsid w:val="007613AB"/>
    <w:rsid w:val="007618E9"/>
    <w:rsid w:val="00761B31"/>
    <w:rsid w:val="00761C55"/>
    <w:rsid w:val="00762321"/>
    <w:rsid w:val="00763444"/>
    <w:rsid w:val="00764443"/>
    <w:rsid w:val="00764642"/>
    <w:rsid w:val="00764BA0"/>
    <w:rsid w:val="00765673"/>
    <w:rsid w:val="007664AD"/>
    <w:rsid w:val="007665EC"/>
    <w:rsid w:val="00766661"/>
    <w:rsid w:val="00766D0A"/>
    <w:rsid w:val="00767014"/>
    <w:rsid w:val="00767731"/>
    <w:rsid w:val="00767891"/>
    <w:rsid w:val="00767DA4"/>
    <w:rsid w:val="00770E8D"/>
    <w:rsid w:val="0077192F"/>
    <w:rsid w:val="00773022"/>
    <w:rsid w:val="00774A0B"/>
    <w:rsid w:val="00777947"/>
    <w:rsid w:val="00777C22"/>
    <w:rsid w:val="00777F8D"/>
    <w:rsid w:val="0078037D"/>
    <w:rsid w:val="0078045C"/>
    <w:rsid w:val="00780526"/>
    <w:rsid w:val="00780B75"/>
    <w:rsid w:val="00782C7D"/>
    <w:rsid w:val="007841FB"/>
    <w:rsid w:val="00784436"/>
    <w:rsid w:val="007848E9"/>
    <w:rsid w:val="00785426"/>
    <w:rsid w:val="007859C6"/>
    <w:rsid w:val="00785ECD"/>
    <w:rsid w:val="007862D0"/>
    <w:rsid w:val="007865A9"/>
    <w:rsid w:val="007867B0"/>
    <w:rsid w:val="00786EF7"/>
    <w:rsid w:val="0078748E"/>
    <w:rsid w:val="00787B68"/>
    <w:rsid w:val="00790467"/>
    <w:rsid w:val="00790DC4"/>
    <w:rsid w:val="0079167A"/>
    <w:rsid w:val="00791B05"/>
    <w:rsid w:val="00791B82"/>
    <w:rsid w:val="00792703"/>
    <w:rsid w:val="00792F3D"/>
    <w:rsid w:val="00793756"/>
    <w:rsid w:val="00793974"/>
    <w:rsid w:val="00793E04"/>
    <w:rsid w:val="00794053"/>
    <w:rsid w:val="00794629"/>
    <w:rsid w:val="0079472E"/>
    <w:rsid w:val="0079477E"/>
    <w:rsid w:val="007947F8"/>
    <w:rsid w:val="0079502B"/>
    <w:rsid w:val="00795556"/>
    <w:rsid w:val="007956DE"/>
    <w:rsid w:val="00796EE6"/>
    <w:rsid w:val="0079722D"/>
    <w:rsid w:val="00797573"/>
    <w:rsid w:val="00797694"/>
    <w:rsid w:val="007978D4"/>
    <w:rsid w:val="00797B6E"/>
    <w:rsid w:val="007A02E2"/>
    <w:rsid w:val="007A0880"/>
    <w:rsid w:val="007A0B9F"/>
    <w:rsid w:val="007A10B8"/>
    <w:rsid w:val="007A144F"/>
    <w:rsid w:val="007A171D"/>
    <w:rsid w:val="007A1775"/>
    <w:rsid w:val="007A1921"/>
    <w:rsid w:val="007A1D66"/>
    <w:rsid w:val="007A25E5"/>
    <w:rsid w:val="007A2C08"/>
    <w:rsid w:val="007A3F64"/>
    <w:rsid w:val="007A4A49"/>
    <w:rsid w:val="007A4BB4"/>
    <w:rsid w:val="007A5211"/>
    <w:rsid w:val="007A5A28"/>
    <w:rsid w:val="007A64DE"/>
    <w:rsid w:val="007A6F6E"/>
    <w:rsid w:val="007A7712"/>
    <w:rsid w:val="007A7F0E"/>
    <w:rsid w:val="007B0768"/>
    <w:rsid w:val="007B08FD"/>
    <w:rsid w:val="007B0D49"/>
    <w:rsid w:val="007B0FCC"/>
    <w:rsid w:val="007B10C3"/>
    <w:rsid w:val="007B2DCC"/>
    <w:rsid w:val="007B32DF"/>
    <w:rsid w:val="007B32E6"/>
    <w:rsid w:val="007B34E2"/>
    <w:rsid w:val="007B3ACF"/>
    <w:rsid w:val="007B4ADE"/>
    <w:rsid w:val="007B55F1"/>
    <w:rsid w:val="007B57A7"/>
    <w:rsid w:val="007B66F1"/>
    <w:rsid w:val="007B71AD"/>
    <w:rsid w:val="007B74F5"/>
    <w:rsid w:val="007C0253"/>
    <w:rsid w:val="007C12CE"/>
    <w:rsid w:val="007C1451"/>
    <w:rsid w:val="007C2103"/>
    <w:rsid w:val="007C26E5"/>
    <w:rsid w:val="007C2975"/>
    <w:rsid w:val="007C2CF3"/>
    <w:rsid w:val="007C2EBB"/>
    <w:rsid w:val="007C35F3"/>
    <w:rsid w:val="007C3AE5"/>
    <w:rsid w:val="007C3EA9"/>
    <w:rsid w:val="007C47A5"/>
    <w:rsid w:val="007C4B24"/>
    <w:rsid w:val="007C4C0D"/>
    <w:rsid w:val="007C50B5"/>
    <w:rsid w:val="007C5282"/>
    <w:rsid w:val="007C5888"/>
    <w:rsid w:val="007C6D22"/>
    <w:rsid w:val="007C7B46"/>
    <w:rsid w:val="007C7B88"/>
    <w:rsid w:val="007D041D"/>
    <w:rsid w:val="007D04A1"/>
    <w:rsid w:val="007D0554"/>
    <w:rsid w:val="007D07E3"/>
    <w:rsid w:val="007D120A"/>
    <w:rsid w:val="007D2208"/>
    <w:rsid w:val="007D2219"/>
    <w:rsid w:val="007D2657"/>
    <w:rsid w:val="007D3A2A"/>
    <w:rsid w:val="007D3BD3"/>
    <w:rsid w:val="007D3F82"/>
    <w:rsid w:val="007D4458"/>
    <w:rsid w:val="007D4831"/>
    <w:rsid w:val="007D49A6"/>
    <w:rsid w:val="007D4F0B"/>
    <w:rsid w:val="007D52E7"/>
    <w:rsid w:val="007D5B37"/>
    <w:rsid w:val="007D6B0B"/>
    <w:rsid w:val="007D6DC9"/>
    <w:rsid w:val="007D7075"/>
    <w:rsid w:val="007D7972"/>
    <w:rsid w:val="007D7AC6"/>
    <w:rsid w:val="007D7DBE"/>
    <w:rsid w:val="007E00B1"/>
    <w:rsid w:val="007E0475"/>
    <w:rsid w:val="007E04D2"/>
    <w:rsid w:val="007E057B"/>
    <w:rsid w:val="007E0FBF"/>
    <w:rsid w:val="007E213D"/>
    <w:rsid w:val="007E3151"/>
    <w:rsid w:val="007E3334"/>
    <w:rsid w:val="007E3C1D"/>
    <w:rsid w:val="007E4183"/>
    <w:rsid w:val="007E4FE1"/>
    <w:rsid w:val="007E5518"/>
    <w:rsid w:val="007E5C91"/>
    <w:rsid w:val="007E6010"/>
    <w:rsid w:val="007E662F"/>
    <w:rsid w:val="007E7389"/>
    <w:rsid w:val="007E78E0"/>
    <w:rsid w:val="007F032E"/>
    <w:rsid w:val="007F0BA9"/>
    <w:rsid w:val="007F0E2E"/>
    <w:rsid w:val="007F12B4"/>
    <w:rsid w:val="007F2957"/>
    <w:rsid w:val="007F2F25"/>
    <w:rsid w:val="007F31AE"/>
    <w:rsid w:val="007F3725"/>
    <w:rsid w:val="007F48BD"/>
    <w:rsid w:val="007F4E7A"/>
    <w:rsid w:val="007F553A"/>
    <w:rsid w:val="007F5EC2"/>
    <w:rsid w:val="007F6059"/>
    <w:rsid w:val="007F629C"/>
    <w:rsid w:val="007F6AA8"/>
    <w:rsid w:val="007F6ABB"/>
    <w:rsid w:val="007F6D24"/>
    <w:rsid w:val="007F6D96"/>
    <w:rsid w:val="007F733C"/>
    <w:rsid w:val="00800F2E"/>
    <w:rsid w:val="00801255"/>
    <w:rsid w:val="008013E9"/>
    <w:rsid w:val="00801F99"/>
    <w:rsid w:val="00802012"/>
    <w:rsid w:val="00802297"/>
    <w:rsid w:val="008028F0"/>
    <w:rsid w:val="008030ED"/>
    <w:rsid w:val="00803B5F"/>
    <w:rsid w:val="00804449"/>
    <w:rsid w:val="0080493A"/>
    <w:rsid w:val="00804C10"/>
    <w:rsid w:val="00804F67"/>
    <w:rsid w:val="00804FEE"/>
    <w:rsid w:val="00805F79"/>
    <w:rsid w:val="00806C83"/>
    <w:rsid w:val="00806F05"/>
    <w:rsid w:val="00807009"/>
    <w:rsid w:val="00810681"/>
    <w:rsid w:val="00810749"/>
    <w:rsid w:val="008112B9"/>
    <w:rsid w:val="008115BC"/>
    <w:rsid w:val="008115FD"/>
    <w:rsid w:val="00811610"/>
    <w:rsid w:val="00812F98"/>
    <w:rsid w:val="00813125"/>
    <w:rsid w:val="008131AA"/>
    <w:rsid w:val="00814125"/>
    <w:rsid w:val="0081557D"/>
    <w:rsid w:val="00815788"/>
    <w:rsid w:val="00815B53"/>
    <w:rsid w:val="00815F4E"/>
    <w:rsid w:val="00816006"/>
    <w:rsid w:val="00816C64"/>
    <w:rsid w:val="00816C7D"/>
    <w:rsid w:val="00816C9D"/>
    <w:rsid w:val="00817AEA"/>
    <w:rsid w:val="00820168"/>
    <w:rsid w:val="008201D5"/>
    <w:rsid w:val="008208F0"/>
    <w:rsid w:val="00820A45"/>
    <w:rsid w:val="00821072"/>
    <w:rsid w:val="00821633"/>
    <w:rsid w:val="00821E68"/>
    <w:rsid w:val="0082296A"/>
    <w:rsid w:val="00822D8A"/>
    <w:rsid w:val="00823249"/>
    <w:rsid w:val="008236E0"/>
    <w:rsid w:val="008238DC"/>
    <w:rsid w:val="00825FB5"/>
    <w:rsid w:val="00827C5F"/>
    <w:rsid w:val="00827FB5"/>
    <w:rsid w:val="008303A8"/>
    <w:rsid w:val="00830747"/>
    <w:rsid w:val="008307EA"/>
    <w:rsid w:val="00830F78"/>
    <w:rsid w:val="00831902"/>
    <w:rsid w:val="00832A0D"/>
    <w:rsid w:val="00834C1E"/>
    <w:rsid w:val="00834CE3"/>
    <w:rsid w:val="0083514C"/>
    <w:rsid w:val="00835567"/>
    <w:rsid w:val="00835F97"/>
    <w:rsid w:val="00836216"/>
    <w:rsid w:val="00836326"/>
    <w:rsid w:val="008375B1"/>
    <w:rsid w:val="00837F7E"/>
    <w:rsid w:val="00840604"/>
    <w:rsid w:val="0084086A"/>
    <w:rsid w:val="00840925"/>
    <w:rsid w:val="008410F3"/>
    <w:rsid w:val="008412AB"/>
    <w:rsid w:val="00843124"/>
    <w:rsid w:val="008431E7"/>
    <w:rsid w:val="00844D01"/>
    <w:rsid w:val="00844DB4"/>
    <w:rsid w:val="008459D4"/>
    <w:rsid w:val="00846690"/>
    <w:rsid w:val="008503B3"/>
    <w:rsid w:val="00850AF5"/>
    <w:rsid w:val="00850F16"/>
    <w:rsid w:val="008511A5"/>
    <w:rsid w:val="008515E8"/>
    <w:rsid w:val="00852011"/>
    <w:rsid w:val="00852150"/>
    <w:rsid w:val="0085249E"/>
    <w:rsid w:val="0085267E"/>
    <w:rsid w:val="008533AB"/>
    <w:rsid w:val="008537F2"/>
    <w:rsid w:val="00853EFE"/>
    <w:rsid w:val="008551C9"/>
    <w:rsid w:val="0085737B"/>
    <w:rsid w:val="008575C4"/>
    <w:rsid w:val="008609C7"/>
    <w:rsid w:val="00860E6C"/>
    <w:rsid w:val="00861A38"/>
    <w:rsid w:val="00862E6F"/>
    <w:rsid w:val="00862F56"/>
    <w:rsid w:val="008637BF"/>
    <w:rsid w:val="00863CD9"/>
    <w:rsid w:val="00863D22"/>
    <w:rsid w:val="00864302"/>
    <w:rsid w:val="00864D26"/>
    <w:rsid w:val="008652B0"/>
    <w:rsid w:val="008653F8"/>
    <w:rsid w:val="00865782"/>
    <w:rsid w:val="008663DA"/>
    <w:rsid w:val="00866C2E"/>
    <w:rsid w:val="0087127B"/>
    <w:rsid w:val="0087149C"/>
    <w:rsid w:val="00871ACA"/>
    <w:rsid w:val="00871F14"/>
    <w:rsid w:val="0087202E"/>
    <w:rsid w:val="00872321"/>
    <w:rsid w:val="00872B0E"/>
    <w:rsid w:val="008730E7"/>
    <w:rsid w:val="00873341"/>
    <w:rsid w:val="00874A79"/>
    <w:rsid w:val="00874A82"/>
    <w:rsid w:val="00874D5D"/>
    <w:rsid w:val="008753B1"/>
    <w:rsid w:val="0087562A"/>
    <w:rsid w:val="008757A3"/>
    <w:rsid w:val="008759FE"/>
    <w:rsid w:val="008762C1"/>
    <w:rsid w:val="0087656C"/>
    <w:rsid w:val="00877417"/>
    <w:rsid w:val="00877D2F"/>
    <w:rsid w:val="00877E57"/>
    <w:rsid w:val="008802E8"/>
    <w:rsid w:val="008802EF"/>
    <w:rsid w:val="00880CD3"/>
    <w:rsid w:val="00880EB2"/>
    <w:rsid w:val="00881097"/>
    <w:rsid w:val="008812B3"/>
    <w:rsid w:val="00881B0C"/>
    <w:rsid w:val="00881B32"/>
    <w:rsid w:val="00882747"/>
    <w:rsid w:val="00882D37"/>
    <w:rsid w:val="0088334B"/>
    <w:rsid w:val="00883E97"/>
    <w:rsid w:val="00885246"/>
    <w:rsid w:val="00885329"/>
    <w:rsid w:val="00885ADF"/>
    <w:rsid w:val="00885EFC"/>
    <w:rsid w:val="00886906"/>
    <w:rsid w:val="008869C5"/>
    <w:rsid w:val="0088704C"/>
    <w:rsid w:val="00887FFA"/>
    <w:rsid w:val="00890801"/>
    <w:rsid w:val="008909AD"/>
    <w:rsid w:val="0089161D"/>
    <w:rsid w:val="0089165A"/>
    <w:rsid w:val="00891C36"/>
    <w:rsid w:val="00892965"/>
    <w:rsid w:val="00892A59"/>
    <w:rsid w:val="0089323A"/>
    <w:rsid w:val="00893AF0"/>
    <w:rsid w:val="00893B57"/>
    <w:rsid w:val="00894AB4"/>
    <w:rsid w:val="008950D9"/>
    <w:rsid w:val="00895BFB"/>
    <w:rsid w:val="00895E5F"/>
    <w:rsid w:val="00896300"/>
    <w:rsid w:val="00896394"/>
    <w:rsid w:val="008963A3"/>
    <w:rsid w:val="0089697E"/>
    <w:rsid w:val="0089733C"/>
    <w:rsid w:val="008976CB"/>
    <w:rsid w:val="00897918"/>
    <w:rsid w:val="008A02D2"/>
    <w:rsid w:val="008A04BB"/>
    <w:rsid w:val="008A0817"/>
    <w:rsid w:val="008A0DBD"/>
    <w:rsid w:val="008A12BD"/>
    <w:rsid w:val="008A13C8"/>
    <w:rsid w:val="008A22FE"/>
    <w:rsid w:val="008A2690"/>
    <w:rsid w:val="008A270A"/>
    <w:rsid w:val="008A2796"/>
    <w:rsid w:val="008A3ED2"/>
    <w:rsid w:val="008A462C"/>
    <w:rsid w:val="008A47CC"/>
    <w:rsid w:val="008A4F31"/>
    <w:rsid w:val="008A5D61"/>
    <w:rsid w:val="008A6145"/>
    <w:rsid w:val="008A7A50"/>
    <w:rsid w:val="008B019F"/>
    <w:rsid w:val="008B08B0"/>
    <w:rsid w:val="008B129B"/>
    <w:rsid w:val="008B1A4F"/>
    <w:rsid w:val="008B1AF9"/>
    <w:rsid w:val="008B1C29"/>
    <w:rsid w:val="008B1FFB"/>
    <w:rsid w:val="008B2BB9"/>
    <w:rsid w:val="008B2DE5"/>
    <w:rsid w:val="008B2F96"/>
    <w:rsid w:val="008B30F5"/>
    <w:rsid w:val="008B320D"/>
    <w:rsid w:val="008B44DF"/>
    <w:rsid w:val="008B4C7E"/>
    <w:rsid w:val="008B56B4"/>
    <w:rsid w:val="008B5ADF"/>
    <w:rsid w:val="008B5DE7"/>
    <w:rsid w:val="008B64C0"/>
    <w:rsid w:val="008B6D2B"/>
    <w:rsid w:val="008B71E8"/>
    <w:rsid w:val="008B7865"/>
    <w:rsid w:val="008C05FB"/>
    <w:rsid w:val="008C1489"/>
    <w:rsid w:val="008C14AF"/>
    <w:rsid w:val="008C2185"/>
    <w:rsid w:val="008C26CE"/>
    <w:rsid w:val="008C29AC"/>
    <w:rsid w:val="008C2B70"/>
    <w:rsid w:val="008C3926"/>
    <w:rsid w:val="008C3952"/>
    <w:rsid w:val="008C53FC"/>
    <w:rsid w:val="008C5C07"/>
    <w:rsid w:val="008C65EF"/>
    <w:rsid w:val="008D017D"/>
    <w:rsid w:val="008D0467"/>
    <w:rsid w:val="008D0584"/>
    <w:rsid w:val="008D06EA"/>
    <w:rsid w:val="008D0E90"/>
    <w:rsid w:val="008D1E4E"/>
    <w:rsid w:val="008D211C"/>
    <w:rsid w:val="008D2153"/>
    <w:rsid w:val="008D2271"/>
    <w:rsid w:val="008D28AA"/>
    <w:rsid w:val="008D2BA5"/>
    <w:rsid w:val="008D3B33"/>
    <w:rsid w:val="008D4836"/>
    <w:rsid w:val="008D607B"/>
    <w:rsid w:val="008D62A7"/>
    <w:rsid w:val="008D668D"/>
    <w:rsid w:val="008D6E77"/>
    <w:rsid w:val="008D78ED"/>
    <w:rsid w:val="008D7E13"/>
    <w:rsid w:val="008E057A"/>
    <w:rsid w:val="008E06B3"/>
    <w:rsid w:val="008E0B34"/>
    <w:rsid w:val="008E0D59"/>
    <w:rsid w:val="008E107F"/>
    <w:rsid w:val="008E29B3"/>
    <w:rsid w:val="008E3721"/>
    <w:rsid w:val="008E3EB0"/>
    <w:rsid w:val="008E4BE2"/>
    <w:rsid w:val="008E4CE9"/>
    <w:rsid w:val="008E5C08"/>
    <w:rsid w:val="008E5E22"/>
    <w:rsid w:val="008E5E2F"/>
    <w:rsid w:val="008E5FB6"/>
    <w:rsid w:val="008E624D"/>
    <w:rsid w:val="008E6380"/>
    <w:rsid w:val="008E642F"/>
    <w:rsid w:val="008E7557"/>
    <w:rsid w:val="008F0911"/>
    <w:rsid w:val="008F0D51"/>
    <w:rsid w:val="008F108F"/>
    <w:rsid w:val="008F1A18"/>
    <w:rsid w:val="008F1FA7"/>
    <w:rsid w:val="008F2161"/>
    <w:rsid w:val="008F225B"/>
    <w:rsid w:val="008F2665"/>
    <w:rsid w:val="008F2918"/>
    <w:rsid w:val="008F2E73"/>
    <w:rsid w:val="008F3AA4"/>
    <w:rsid w:val="008F3F10"/>
    <w:rsid w:val="008F4423"/>
    <w:rsid w:val="008F4809"/>
    <w:rsid w:val="008F4BCD"/>
    <w:rsid w:val="008F4DC9"/>
    <w:rsid w:val="008F71C9"/>
    <w:rsid w:val="008F7208"/>
    <w:rsid w:val="008F7265"/>
    <w:rsid w:val="008F7B75"/>
    <w:rsid w:val="008F7F9A"/>
    <w:rsid w:val="009004B4"/>
    <w:rsid w:val="00900E52"/>
    <w:rsid w:val="0090155C"/>
    <w:rsid w:val="00901DED"/>
    <w:rsid w:val="009020D7"/>
    <w:rsid w:val="009020F7"/>
    <w:rsid w:val="00902795"/>
    <w:rsid w:val="00904241"/>
    <w:rsid w:val="009043F4"/>
    <w:rsid w:val="00904727"/>
    <w:rsid w:val="009051A2"/>
    <w:rsid w:val="0090589F"/>
    <w:rsid w:val="009061E7"/>
    <w:rsid w:val="0090711D"/>
    <w:rsid w:val="00910222"/>
    <w:rsid w:val="009102D3"/>
    <w:rsid w:val="00910355"/>
    <w:rsid w:val="009110D7"/>
    <w:rsid w:val="0091176D"/>
    <w:rsid w:val="009117F3"/>
    <w:rsid w:val="00911A08"/>
    <w:rsid w:val="00911AA9"/>
    <w:rsid w:val="00911E8C"/>
    <w:rsid w:val="00911FFA"/>
    <w:rsid w:val="009121E0"/>
    <w:rsid w:val="0091244E"/>
    <w:rsid w:val="0091261E"/>
    <w:rsid w:val="00912E0A"/>
    <w:rsid w:val="00913138"/>
    <w:rsid w:val="0091337A"/>
    <w:rsid w:val="00913E02"/>
    <w:rsid w:val="009147D7"/>
    <w:rsid w:val="00914EBF"/>
    <w:rsid w:val="009154E7"/>
    <w:rsid w:val="0091590D"/>
    <w:rsid w:val="00917464"/>
    <w:rsid w:val="00917B22"/>
    <w:rsid w:val="00920510"/>
    <w:rsid w:val="009206D1"/>
    <w:rsid w:val="00921443"/>
    <w:rsid w:val="009215C0"/>
    <w:rsid w:val="00921C3E"/>
    <w:rsid w:val="00921EFA"/>
    <w:rsid w:val="0092248D"/>
    <w:rsid w:val="009228A7"/>
    <w:rsid w:val="00922DCA"/>
    <w:rsid w:val="00924724"/>
    <w:rsid w:val="009248B5"/>
    <w:rsid w:val="00924A26"/>
    <w:rsid w:val="00924A61"/>
    <w:rsid w:val="00924AFB"/>
    <w:rsid w:val="00925488"/>
    <w:rsid w:val="009259E1"/>
    <w:rsid w:val="00925B69"/>
    <w:rsid w:val="009262E4"/>
    <w:rsid w:val="009268E9"/>
    <w:rsid w:val="0092781D"/>
    <w:rsid w:val="00931B66"/>
    <w:rsid w:val="00931D53"/>
    <w:rsid w:val="00931E78"/>
    <w:rsid w:val="009326E4"/>
    <w:rsid w:val="00932BC3"/>
    <w:rsid w:val="00932F79"/>
    <w:rsid w:val="009334FE"/>
    <w:rsid w:val="0093396C"/>
    <w:rsid w:val="00933BC8"/>
    <w:rsid w:val="0093468D"/>
    <w:rsid w:val="009346E4"/>
    <w:rsid w:val="009348CE"/>
    <w:rsid w:val="009348EE"/>
    <w:rsid w:val="00934C26"/>
    <w:rsid w:val="0093575A"/>
    <w:rsid w:val="0093620A"/>
    <w:rsid w:val="00936426"/>
    <w:rsid w:val="009379F9"/>
    <w:rsid w:val="00937B14"/>
    <w:rsid w:val="00940A07"/>
    <w:rsid w:val="00941E4D"/>
    <w:rsid w:val="00941F8F"/>
    <w:rsid w:val="0094286E"/>
    <w:rsid w:val="009429E4"/>
    <w:rsid w:val="00942C5A"/>
    <w:rsid w:val="00943570"/>
    <w:rsid w:val="00944A79"/>
    <w:rsid w:val="009457B6"/>
    <w:rsid w:val="0094593B"/>
    <w:rsid w:val="00946591"/>
    <w:rsid w:val="0094710C"/>
    <w:rsid w:val="009473E1"/>
    <w:rsid w:val="00947B29"/>
    <w:rsid w:val="00950805"/>
    <w:rsid w:val="00951284"/>
    <w:rsid w:val="00951389"/>
    <w:rsid w:val="009522E8"/>
    <w:rsid w:val="009524F2"/>
    <w:rsid w:val="00952CAE"/>
    <w:rsid w:val="00952EC5"/>
    <w:rsid w:val="00953A50"/>
    <w:rsid w:val="00953BE4"/>
    <w:rsid w:val="00954CF7"/>
    <w:rsid w:val="00954E8D"/>
    <w:rsid w:val="009553C8"/>
    <w:rsid w:val="009557BD"/>
    <w:rsid w:val="009557E9"/>
    <w:rsid w:val="00955B4C"/>
    <w:rsid w:val="00955E10"/>
    <w:rsid w:val="00957EA0"/>
    <w:rsid w:val="00957F33"/>
    <w:rsid w:val="009604EB"/>
    <w:rsid w:val="0096131D"/>
    <w:rsid w:val="00961380"/>
    <w:rsid w:val="00962725"/>
    <w:rsid w:val="0096290C"/>
    <w:rsid w:val="00962C49"/>
    <w:rsid w:val="00962CC6"/>
    <w:rsid w:val="00964138"/>
    <w:rsid w:val="00965296"/>
    <w:rsid w:val="009653D9"/>
    <w:rsid w:val="00965C1C"/>
    <w:rsid w:val="0096668C"/>
    <w:rsid w:val="0096671E"/>
    <w:rsid w:val="00966784"/>
    <w:rsid w:val="00966ABA"/>
    <w:rsid w:val="00967933"/>
    <w:rsid w:val="00970152"/>
    <w:rsid w:val="00970607"/>
    <w:rsid w:val="00970B26"/>
    <w:rsid w:val="009714DF"/>
    <w:rsid w:val="009716CD"/>
    <w:rsid w:val="00971987"/>
    <w:rsid w:val="00971E88"/>
    <w:rsid w:val="00971EE4"/>
    <w:rsid w:val="00972089"/>
    <w:rsid w:val="00972A8F"/>
    <w:rsid w:val="00972E51"/>
    <w:rsid w:val="0097351F"/>
    <w:rsid w:val="00973728"/>
    <w:rsid w:val="009748C7"/>
    <w:rsid w:val="00974AB3"/>
    <w:rsid w:val="00975DC0"/>
    <w:rsid w:val="009767BB"/>
    <w:rsid w:val="00976935"/>
    <w:rsid w:val="009771D6"/>
    <w:rsid w:val="00980085"/>
    <w:rsid w:val="00981ED1"/>
    <w:rsid w:val="009821FE"/>
    <w:rsid w:val="009832B3"/>
    <w:rsid w:val="00983F9E"/>
    <w:rsid w:val="009840AA"/>
    <w:rsid w:val="00984843"/>
    <w:rsid w:val="0098487B"/>
    <w:rsid w:val="009855B6"/>
    <w:rsid w:val="0098661D"/>
    <w:rsid w:val="00986674"/>
    <w:rsid w:val="00986BE6"/>
    <w:rsid w:val="009878AC"/>
    <w:rsid w:val="00987FDE"/>
    <w:rsid w:val="009916B2"/>
    <w:rsid w:val="00991A4D"/>
    <w:rsid w:val="00992555"/>
    <w:rsid w:val="00992A45"/>
    <w:rsid w:val="00993086"/>
    <w:rsid w:val="009936C9"/>
    <w:rsid w:val="0099381C"/>
    <w:rsid w:val="00993C19"/>
    <w:rsid w:val="0099535D"/>
    <w:rsid w:val="00995997"/>
    <w:rsid w:val="00996B5A"/>
    <w:rsid w:val="009A0471"/>
    <w:rsid w:val="009A11AD"/>
    <w:rsid w:val="009A1AFB"/>
    <w:rsid w:val="009A1C7C"/>
    <w:rsid w:val="009A1CCD"/>
    <w:rsid w:val="009A2BF4"/>
    <w:rsid w:val="009A3FA4"/>
    <w:rsid w:val="009A4A3F"/>
    <w:rsid w:val="009A6559"/>
    <w:rsid w:val="009A6B6F"/>
    <w:rsid w:val="009A6CE4"/>
    <w:rsid w:val="009A76AD"/>
    <w:rsid w:val="009B011B"/>
    <w:rsid w:val="009B0234"/>
    <w:rsid w:val="009B0BF8"/>
    <w:rsid w:val="009B1A03"/>
    <w:rsid w:val="009B1C4F"/>
    <w:rsid w:val="009B2183"/>
    <w:rsid w:val="009B254B"/>
    <w:rsid w:val="009B29DA"/>
    <w:rsid w:val="009B2AFC"/>
    <w:rsid w:val="009B3404"/>
    <w:rsid w:val="009B374E"/>
    <w:rsid w:val="009B3840"/>
    <w:rsid w:val="009B3DEB"/>
    <w:rsid w:val="009B52A6"/>
    <w:rsid w:val="009B5AAB"/>
    <w:rsid w:val="009B672E"/>
    <w:rsid w:val="009B791D"/>
    <w:rsid w:val="009B7ED0"/>
    <w:rsid w:val="009C06C9"/>
    <w:rsid w:val="009C09C3"/>
    <w:rsid w:val="009C1898"/>
    <w:rsid w:val="009C1CF8"/>
    <w:rsid w:val="009C2483"/>
    <w:rsid w:val="009C26A5"/>
    <w:rsid w:val="009C2A78"/>
    <w:rsid w:val="009C36BF"/>
    <w:rsid w:val="009C3B94"/>
    <w:rsid w:val="009C3E37"/>
    <w:rsid w:val="009C3E7B"/>
    <w:rsid w:val="009C405A"/>
    <w:rsid w:val="009C49E6"/>
    <w:rsid w:val="009C6281"/>
    <w:rsid w:val="009C6B31"/>
    <w:rsid w:val="009C72D4"/>
    <w:rsid w:val="009C7377"/>
    <w:rsid w:val="009C761A"/>
    <w:rsid w:val="009C767F"/>
    <w:rsid w:val="009C7F5D"/>
    <w:rsid w:val="009D01E0"/>
    <w:rsid w:val="009D06C2"/>
    <w:rsid w:val="009D08D0"/>
    <w:rsid w:val="009D0CE6"/>
    <w:rsid w:val="009D131E"/>
    <w:rsid w:val="009D133A"/>
    <w:rsid w:val="009D13E1"/>
    <w:rsid w:val="009D1C6F"/>
    <w:rsid w:val="009D2269"/>
    <w:rsid w:val="009D2339"/>
    <w:rsid w:val="009D253C"/>
    <w:rsid w:val="009D2888"/>
    <w:rsid w:val="009D2E2D"/>
    <w:rsid w:val="009D3308"/>
    <w:rsid w:val="009D330A"/>
    <w:rsid w:val="009D34F2"/>
    <w:rsid w:val="009D42C9"/>
    <w:rsid w:val="009D4C0D"/>
    <w:rsid w:val="009D4E11"/>
    <w:rsid w:val="009D66F4"/>
    <w:rsid w:val="009D6982"/>
    <w:rsid w:val="009D6DFC"/>
    <w:rsid w:val="009D70D5"/>
    <w:rsid w:val="009D7C0D"/>
    <w:rsid w:val="009E02CC"/>
    <w:rsid w:val="009E080B"/>
    <w:rsid w:val="009E266E"/>
    <w:rsid w:val="009E3494"/>
    <w:rsid w:val="009E4854"/>
    <w:rsid w:val="009E4AAE"/>
    <w:rsid w:val="009E615C"/>
    <w:rsid w:val="009E6621"/>
    <w:rsid w:val="009E6A31"/>
    <w:rsid w:val="009E7615"/>
    <w:rsid w:val="009E77C8"/>
    <w:rsid w:val="009E7846"/>
    <w:rsid w:val="009E795D"/>
    <w:rsid w:val="009F1143"/>
    <w:rsid w:val="009F13B4"/>
    <w:rsid w:val="009F22F2"/>
    <w:rsid w:val="009F3522"/>
    <w:rsid w:val="009F3B43"/>
    <w:rsid w:val="009F3E1B"/>
    <w:rsid w:val="009F3F8C"/>
    <w:rsid w:val="009F536A"/>
    <w:rsid w:val="009F5792"/>
    <w:rsid w:val="009F61CC"/>
    <w:rsid w:val="009F61FB"/>
    <w:rsid w:val="009F6CC6"/>
    <w:rsid w:val="009F6E5E"/>
    <w:rsid w:val="009F6FAA"/>
    <w:rsid w:val="009F7206"/>
    <w:rsid w:val="009F73B8"/>
    <w:rsid w:val="009F7F3B"/>
    <w:rsid w:val="00A0046B"/>
    <w:rsid w:val="00A006CD"/>
    <w:rsid w:val="00A00772"/>
    <w:rsid w:val="00A00B7A"/>
    <w:rsid w:val="00A01027"/>
    <w:rsid w:val="00A012CD"/>
    <w:rsid w:val="00A01880"/>
    <w:rsid w:val="00A026BA"/>
    <w:rsid w:val="00A02BBA"/>
    <w:rsid w:val="00A03413"/>
    <w:rsid w:val="00A03A62"/>
    <w:rsid w:val="00A03E12"/>
    <w:rsid w:val="00A04D15"/>
    <w:rsid w:val="00A0564A"/>
    <w:rsid w:val="00A0638C"/>
    <w:rsid w:val="00A063DC"/>
    <w:rsid w:val="00A0684B"/>
    <w:rsid w:val="00A0760A"/>
    <w:rsid w:val="00A0777E"/>
    <w:rsid w:val="00A078FC"/>
    <w:rsid w:val="00A07A7E"/>
    <w:rsid w:val="00A10351"/>
    <w:rsid w:val="00A106F5"/>
    <w:rsid w:val="00A1078F"/>
    <w:rsid w:val="00A112F4"/>
    <w:rsid w:val="00A11678"/>
    <w:rsid w:val="00A11BB1"/>
    <w:rsid w:val="00A120B8"/>
    <w:rsid w:val="00A128EA"/>
    <w:rsid w:val="00A12EDD"/>
    <w:rsid w:val="00A1350D"/>
    <w:rsid w:val="00A137F2"/>
    <w:rsid w:val="00A14003"/>
    <w:rsid w:val="00A14741"/>
    <w:rsid w:val="00A14A7F"/>
    <w:rsid w:val="00A14E16"/>
    <w:rsid w:val="00A1577D"/>
    <w:rsid w:val="00A1627E"/>
    <w:rsid w:val="00A16434"/>
    <w:rsid w:val="00A169FD"/>
    <w:rsid w:val="00A1750B"/>
    <w:rsid w:val="00A20402"/>
    <w:rsid w:val="00A20B03"/>
    <w:rsid w:val="00A2171F"/>
    <w:rsid w:val="00A22840"/>
    <w:rsid w:val="00A245B1"/>
    <w:rsid w:val="00A2508B"/>
    <w:rsid w:val="00A25789"/>
    <w:rsid w:val="00A25928"/>
    <w:rsid w:val="00A265D3"/>
    <w:rsid w:val="00A26F17"/>
    <w:rsid w:val="00A276E3"/>
    <w:rsid w:val="00A277DF"/>
    <w:rsid w:val="00A27D90"/>
    <w:rsid w:val="00A27FB0"/>
    <w:rsid w:val="00A304DD"/>
    <w:rsid w:val="00A308D9"/>
    <w:rsid w:val="00A30DF3"/>
    <w:rsid w:val="00A31265"/>
    <w:rsid w:val="00A31D2F"/>
    <w:rsid w:val="00A31DBA"/>
    <w:rsid w:val="00A32A3B"/>
    <w:rsid w:val="00A33D37"/>
    <w:rsid w:val="00A341AB"/>
    <w:rsid w:val="00A34416"/>
    <w:rsid w:val="00A3480A"/>
    <w:rsid w:val="00A348A0"/>
    <w:rsid w:val="00A34BDE"/>
    <w:rsid w:val="00A3584D"/>
    <w:rsid w:val="00A35CF8"/>
    <w:rsid w:val="00A35E67"/>
    <w:rsid w:val="00A3695C"/>
    <w:rsid w:val="00A37727"/>
    <w:rsid w:val="00A40092"/>
    <w:rsid w:val="00A403BE"/>
    <w:rsid w:val="00A4088E"/>
    <w:rsid w:val="00A40F90"/>
    <w:rsid w:val="00A41496"/>
    <w:rsid w:val="00A4158C"/>
    <w:rsid w:val="00A44B27"/>
    <w:rsid w:val="00A44D47"/>
    <w:rsid w:val="00A44E1F"/>
    <w:rsid w:val="00A45319"/>
    <w:rsid w:val="00A4644F"/>
    <w:rsid w:val="00A46FE2"/>
    <w:rsid w:val="00A47254"/>
    <w:rsid w:val="00A4764B"/>
    <w:rsid w:val="00A5005C"/>
    <w:rsid w:val="00A50173"/>
    <w:rsid w:val="00A50400"/>
    <w:rsid w:val="00A50E2A"/>
    <w:rsid w:val="00A51D0A"/>
    <w:rsid w:val="00A53059"/>
    <w:rsid w:val="00A534A2"/>
    <w:rsid w:val="00A539E7"/>
    <w:rsid w:val="00A54F1D"/>
    <w:rsid w:val="00A55386"/>
    <w:rsid w:val="00A560F6"/>
    <w:rsid w:val="00A56112"/>
    <w:rsid w:val="00A577E0"/>
    <w:rsid w:val="00A60E25"/>
    <w:rsid w:val="00A6145D"/>
    <w:rsid w:val="00A61E16"/>
    <w:rsid w:val="00A63884"/>
    <w:rsid w:val="00A63ABB"/>
    <w:rsid w:val="00A6486F"/>
    <w:rsid w:val="00A65CD2"/>
    <w:rsid w:val="00A66C80"/>
    <w:rsid w:val="00A6751D"/>
    <w:rsid w:val="00A6786A"/>
    <w:rsid w:val="00A67C72"/>
    <w:rsid w:val="00A70168"/>
    <w:rsid w:val="00A703CE"/>
    <w:rsid w:val="00A7118E"/>
    <w:rsid w:val="00A71902"/>
    <w:rsid w:val="00A72531"/>
    <w:rsid w:val="00A725A6"/>
    <w:rsid w:val="00A737CF"/>
    <w:rsid w:val="00A738D2"/>
    <w:rsid w:val="00A73A1F"/>
    <w:rsid w:val="00A74629"/>
    <w:rsid w:val="00A74C50"/>
    <w:rsid w:val="00A74F06"/>
    <w:rsid w:val="00A765B6"/>
    <w:rsid w:val="00A76752"/>
    <w:rsid w:val="00A767FD"/>
    <w:rsid w:val="00A768AA"/>
    <w:rsid w:val="00A77238"/>
    <w:rsid w:val="00A776C3"/>
    <w:rsid w:val="00A77908"/>
    <w:rsid w:val="00A77B0C"/>
    <w:rsid w:val="00A77D9F"/>
    <w:rsid w:val="00A77EB0"/>
    <w:rsid w:val="00A80CB5"/>
    <w:rsid w:val="00A81106"/>
    <w:rsid w:val="00A83031"/>
    <w:rsid w:val="00A8379A"/>
    <w:rsid w:val="00A83EE0"/>
    <w:rsid w:val="00A8411C"/>
    <w:rsid w:val="00A85DEB"/>
    <w:rsid w:val="00A86CB3"/>
    <w:rsid w:val="00A876F6"/>
    <w:rsid w:val="00A90229"/>
    <w:rsid w:val="00A90660"/>
    <w:rsid w:val="00A90E23"/>
    <w:rsid w:val="00A9227A"/>
    <w:rsid w:val="00A9288C"/>
    <w:rsid w:val="00A92BFE"/>
    <w:rsid w:val="00A93F21"/>
    <w:rsid w:val="00A9415D"/>
    <w:rsid w:val="00A969AC"/>
    <w:rsid w:val="00A97451"/>
    <w:rsid w:val="00A97636"/>
    <w:rsid w:val="00A97C6A"/>
    <w:rsid w:val="00AA006D"/>
    <w:rsid w:val="00AA0370"/>
    <w:rsid w:val="00AA0C0F"/>
    <w:rsid w:val="00AA1A26"/>
    <w:rsid w:val="00AA1F73"/>
    <w:rsid w:val="00AA3F70"/>
    <w:rsid w:val="00AA4476"/>
    <w:rsid w:val="00AA4A17"/>
    <w:rsid w:val="00AA5002"/>
    <w:rsid w:val="00AA59E7"/>
    <w:rsid w:val="00AA5B3F"/>
    <w:rsid w:val="00AA6065"/>
    <w:rsid w:val="00AA62E2"/>
    <w:rsid w:val="00AA6F24"/>
    <w:rsid w:val="00AA73B1"/>
    <w:rsid w:val="00AA752D"/>
    <w:rsid w:val="00AA757E"/>
    <w:rsid w:val="00AA76B1"/>
    <w:rsid w:val="00AB0023"/>
    <w:rsid w:val="00AB03B7"/>
    <w:rsid w:val="00AB0DC4"/>
    <w:rsid w:val="00AB0E85"/>
    <w:rsid w:val="00AB159C"/>
    <w:rsid w:val="00AB18CA"/>
    <w:rsid w:val="00AB1914"/>
    <w:rsid w:val="00AB1E7F"/>
    <w:rsid w:val="00AB216B"/>
    <w:rsid w:val="00AB26C1"/>
    <w:rsid w:val="00AB2B72"/>
    <w:rsid w:val="00AB372B"/>
    <w:rsid w:val="00AB3777"/>
    <w:rsid w:val="00AB4047"/>
    <w:rsid w:val="00AB56FA"/>
    <w:rsid w:val="00AB5E26"/>
    <w:rsid w:val="00AB61B0"/>
    <w:rsid w:val="00AB6525"/>
    <w:rsid w:val="00AB6770"/>
    <w:rsid w:val="00AB6A43"/>
    <w:rsid w:val="00AB74C4"/>
    <w:rsid w:val="00AC1138"/>
    <w:rsid w:val="00AC1489"/>
    <w:rsid w:val="00AC1A10"/>
    <w:rsid w:val="00AC1C3C"/>
    <w:rsid w:val="00AC2275"/>
    <w:rsid w:val="00AC300B"/>
    <w:rsid w:val="00AC30DD"/>
    <w:rsid w:val="00AC3466"/>
    <w:rsid w:val="00AC3CB4"/>
    <w:rsid w:val="00AC4317"/>
    <w:rsid w:val="00AC4BAA"/>
    <w:rsid w:val="00AC6C0B"/>
    <w:rsid w:val="00AC7246"/>
    <w:rsid w:val="00AC7838"/>
    <w:rsid w:val="00AD0AFD"/>
    <w:rsid w:val="00AD14A1"/>
    <w:rsid w:val="00AD2CC0"/>
    <w:rsid w:val="00AD2FF4"/>
    <w:rsid w:val="00AD3043"/>
    <w:rsid w:val="00AD38F0"/>
    <w:rsid w:val="00AD3D3D"/>
    <w:rsid w:val="00AD3EFB"/>
    <w:rsid w:val="00AD4130"/>
    <w:rsid w:val="00AD4ABA"/>
    <w:rsid w:val="00AD4F09"/>
    <w:rsid w:val="00AD51AE"/>
    <w:rsid w:val="00AD5561"/>
    <w:rsid w:val="00AD6273"/>
    <w:rsid w:val="00AD63B8"/>
    <w:rsid w:val="00AD698F"/>
    <w:rsid w:val="00AD7EA9"/>
    <w:rsid w:val="00AE05E7"/>
    <w:rsid w:val="00AE0880"/>
    <w:rsid w:val="00AE0A5F"/>
    <w:rsid w:val="00AE0F07"/>
    <w:rsid w:val="00AE2669"/>
    <w:rsid w:val="00AE306B"/>
    <w:rsid w:val="00AE3118"/>
    <w:rsid w:val="00AE5386"/>
    <w:rsid w:val="00AE6E1B"/>
    <w:rsid w:val="00AE73FB"/>
    <w:rsid w:val="00AE7925"/>
    <w:rsid w:val="00AE7C65"/>
    <w:rsid w:val="00AF01B8"/>
    <w:rsid w:val="00AF0FB4"/>
    <w:rsid w:val="00AF19F7"/>
    <w:rsid w:val="00AF1F63"/>
    <w:rsid w:val="00AF2B0F"/>
    <w:rsid w:val="00AF3264"/>
    <w:rsid w:val="00AF3BE6"/>
    <w:rsid w:val="00AF4730"/>
    <w:rsid w:val="00AF4FE4"/>
    <w:rsid w:val="00AF514A"/>
    <w:rsid w:val="00AF5440"/>
    <w:rsid w:val="00AF5931"/>
    <w:rsid w:val="00AF5946"/>
    <w:rsid w:val="00B01477"/>
    <w:rsid w:val="00B01670"/>
    <w:rsid w:val="00B01D74"/>
    <w:rsid w:val="00B01FCC"/>
    <w:rsid w:val="00B02047"/>
    <w:rsid w:val="00B024E4"/>
    <w:rsid w:val="00B0287D"/>
    <w:rsid w:val="00B0291A"/>
    <w:rsid w:val="00B02DCB"/>
    <w:rsid w:val="00B02F43"/>
    <w:rsid w:val="00B03098"/>
    <w:rsid w:val="00B034DD"/>
    <w:rsid w:val="00B03BB4"/>
    <w:rsid w:val="00B04C65"/>
    <w:rsid w:val="00B04D84"/>
    <w:rsid w:val="00B04E84"/>
    <w:rsid w:val="00B05107"/>
    <w:rsid w:val="00B05BEC"/>
    <w:rsid w:val="00B0694D"/>
    <w:rsid w:val="00B070F8"/>
    <w:rsid w:val="00B07406"/>
    <w:rsid w:val="00B07A06"/>
    <w:rsid w:val="00B108D8"/>
    <w:rsid w:val="00B10BFF"/>
    <w:rsid w:val="00B11A40"/>
    <w:rsid w:val="00B11B9F"/>
    <w:rsid w:val="00B123AD"/>
    <w:rsid w:val="00B12B64"/>
    <w:rsid w:val="00B13654"/>
    <w:rsid w:val="00B140A4"/>
    <w:rsid w:val="00B16B98"/>
    <w:rsid w:val="00B2028A"/>
    <w:rsid w:val="00B209A1"/>
    <w:rsid w:val="00B20B57"/>
    <w:rsid w:val="00B217A0"/>
    <w:rsid w:val="00B21A68"/>
    <w:rsid w:val="00B21F4E"/>
    <w:rsid w:val="00B23236"/>
    <w:rsid w:val="00B24899"/>
    <w:rsid w:val="00B24CD4"/>
    <w:rsid w:val="00B26313"/>
    <w:rsid w:val="00B26477"/>
    <w:rsid w:val="00B27688"/>
    <w:rsid w:val="00B27DE1"/>
    <w:rsid w:val="00B303A4"/>
    <w:rsid w:val="00B306F8"/>
    <w:rsid w:val="00B30741"/>
    <w:rsid w:val="00B30AD4"/>
    <w:rsid w:val="00B31480"/>
    <w:rsid w:val="00B31ED1"/>
    <w:rsid w:val="00B32347"/>
    <w:rsid w:val="00B32773"/>
    <w:rsid w:val="00B328D4"/>
    <w:rsid w:val="00B3355E"/>
    <w:rsid w:val="00B339A2"/>
    <w:rsid w:val="00B342F4"/>
    <w:rsid w:val="00B34747"/>
    <w:rsid w:val="00B3538D"/>
    <w:rsid w:val="00B41C3C"/>
    <w:rsid w:val="00B42192"/>
    <w:rsid w:val="00B42E64"/>
    <w:rsid w:val="00B43934"/>
    <w:rsid w:val="00B439C3"/>
    <w:rsid w:val="00B44973"/>
    <w:rsid w:val="00B44C0B"/>
    <w:rsid w:val="00B45B19"/>
    <w:rsid w:val="00B45C09"/>
    <w:rsid w:val="00B4652D"/>
    <w:rsid w:val="00B4671E"/>
    <w:rsid w:val="00B46CDA"/>
    <w:rsid w:val="00B46E31"/>
    <w:rsid w:val="00B47B7F"/>
    <w:rsid w:val="00B47F1D"/>
    <w:rsid w:val="00B502A3"/>
    <w:rsid w:val="00B503DA"/>
    <w:rsid w:val="00B5076A"/>
    <w:rsid w:val="00B50D4E"/>
    <w:rsid w:val="00B51371"/>
    <w:rsid w:val="00B51661"/>
    <w:rsid w:val="00B51D70"/>
    <w:rsid w:val="00B523CC"/>
    <w:rsid w:val="00B5303E"/>
    <w:rsid w:val="00B53AA4"/>
    <w:rsid w:val="00B53C0C"/>
    <w:rsid w:val="00B53D99"/>
    <w:rsid w:val="00B5482C"/>
    <w:rsid w:val="00B54B9F"/>
    <w:rsid w:val="00B5510F"/>
    <w:rsid w:val="00B56007"/>
    <w:rsid w:val="00B5689A"/>
    <w:rsid w:val="00B57020"/>
    <w:rsid w:val="00B571C7"/>
    <w:rsid w:val="00B579FA"/>
    <w:rsid w:val="00B579FD"/>
    <w:rsid w:val="00B57A60"/>
    <w:rsid w:val="00B57AE5"/>
    <w:rsid w:val="00B60E8C"/>
    <w:rsid w:val="00B625A9"/>
    <w:rsid w:val="00B62DA6"/>
    <w:rsid w:val="00B64389"/>
    <w:rsid w:val="00B6496F"/>
    <w:rsid w:val="00B65496"/>
    <w:rsid w:val="00B6610F"/>
    <w:rsid w:val="00B66243"/>
    <w:rsid w:val="00B66E78"/>
    <w:rsid w:val="00B66FF3"/>
    <w:rsid w:val="00B675D7"/>
    <w:rsid w:val="00B703C2"/>
    <w:rsid w:val="00B70DA1"/>
    <w:rsid w:val="00B70F26"/>
    <w:rsid w:val="00B70F62"/>
    <w:rsid w:val="00B71B63"/>
    <w:rsid w:val="00B72F6E"/>
    <w:rsid w:val="00B73929"/>
    <w:rsid w:val="00B739CE"/>
    <w:rsid w:val="00B73CA7"/>
    <w:rsid w:val="00B7441E"/>
    <w:rsid w:val="00B74643"/>
    <w:rsid w:val="00B74793"/>
    <w:rsid w:val="00B74D4A"/>
    <w:rsid w:val="00B74FDB"/>
    <w:rsid w:val="00B766DF"/>
    <w:rsid w:val="00B768FB"/>
    <w:rsid w:val="00B77576"/>
    <w:rsid w:val="00B775B3"/>
    <w:rsid w:val="00B77AF6"/>
    <w:rsid w:val="00B77B41"/>
    <w:rsid w:val="00B77C96"/>
    <w:rsid w:val="00B77FDE"/>
    <w:rsid w:val="00B8019A"/>
    <w:rsid w:val="00B80A6E"/>
    <w:rsid w:val="00B810D9"/>
    <w:rsid w:val="00B81550"/>
    <w:rsid w:val="00B81658"/>
    <w:rsid w:val="00B81A87"/>
    <w:rsid w:val="00B81D85"/>
    <w:rsid w:val="00B838B5"/>
    <w:rsid w:val="00B85294"/>
    <w:rsid w:val="00B85398"/>
    <w:rsid w:val="00B85688"/>
    <w:rsid w:val="00B8573B"/>
    <w:rsid w:val="00B85AC6"/>
    <w:rsid w:val="00B85C44"/>
    <w:rsid w:val="00B85F1A"/>
    <w:rsid w:val="00B86881"/>
    <w:rsid w:val="00B87B2A"/>
    <w:rsid w:val="00B9020E"/>
    <w:rsid w:val="00B90DDD"/>
    <w:rsid w:val="00B91472"/>
    <w:rsid w:val="00B9152C"/>
    <w:rsid w:val="00B91FEF"/>
    <w:rsid w:val="00B9225B"/>
    <w:rsid w:val="00B93CF1"/>
    <w:rsid w:val="00B94332"/>
    <w:rsid w:val="00B9465B"/>
    <w:rsid w:val="00B94662"/>
    <w:rsid w:val="00B949C5"/>
    <w:rsid w:val="00B94CB6"/>
    <w:rsid w:val="00B94F94"/>
    <w:rsid w:val="00B95325"/>
    <w:rsid w:val="00B955B8"/>
    <w:rsid w:val="00B95BFE"/>
    <w:rsid w:val="00B95F7C"/>
    <w:rsid w:val="00B967EE"/>
    <w:rsid w:val="00B9762B"/>
    <w:rsid w:val="00B97A4D"/>
    <w:rsid w:val="00B97CB6"/>
    <w:rsid w:val="00BA06F0"/>
    <w:rsid w:val="00BA09CB"/>
    <w:rsid w:val="00BA0F96"/>
    <w:rsid w:val="00BA1169"/>
    <w:rsid w:val="00BA1716"/>
    <w:rsid w:val="00BA1D0E"/>
    <w:rsid w:val="00BA21EB"/>
    <w:rsid w:val="00BA224A"/>
    <w:rsid w:val="00BA2ACD"/>
    <w:rsid w:val="00BA2C54"/>
    <w:rsid w:val="00BA376E"/>
    <w:rsid w:val="00BA3E2D"/>
    <w:rsid w:val="00BA447B"/>
    <w:rsid w:val="00BA5024"/>
    <w:rsid w:val="00BA53E1"/>
    <w:rsid w:val="00BA554F"/>
    <w:rsid w:val="00BA56C7"/>
    <w:rsid w:val="00BA5ADD"/>
    <w:rsid w:val="00BA65F5"/>
    <w:rsid w:val="00BA6970"/>
    <w:rsid w:val="00BA745F"/>
    <w:rsid w:val="00BA781C"/>
    <w:rsid w:val="00BB051F"/>
    <w:rsid w:val="00BB08F4"/>
    <w:rsid w:val="00BB096E"/>
    <w:rsid w:val="00BB09F8"/>
    <w:rsid w:val="00BB253E"/>
    <w:rsid w:val="00BB2C7F"/>
    <w:rsid w:val="00BB2EC7"/>
    <w:rsid w:val="00BB2EE8"/>
    <w:rsid w:val="00BB3F29"/>
    <w:rsid w:val="00BB644D"/>
    <w:rsid w:val="00BB69F2"/>
    <w:rsid w:val="00BB6F60"/>
    <w:rsid w:val="00BB78D0"/>
    <w:rsid w:val="00BB7E50"/>
    <w:rsid w:val="00BC0006"/>
    <w:rsid w:val="00BC01DE"/>
    <w:rsid w:val="00BC09B4"/>
    <w:rsid w:val="00BC11CF"/>
    <w:rsid w:val="00BC1EBF"/>
    <w:rsid w:val="00BC27BD"/>
    <w:rsid w:val="00BC27F9"/>
    <w:rsid w:val="00BC3A6E"/>
    <w:rsid w:val="00BC41C2"/>
    <w:rsid w:val="00BC4430"/>
    <w:rsid w:val="00BC453D"/>
    <w:rsid w:val="00BC487C"/>
    <w:rsid w:val="00BC5394"/>
    <w:rsid w:val="00BC5CAF"/>
    <w:rsid w:val="00BC5E39"/>
    <w:rsid w:val="00BC69DC"/>
    <w:rsid w:val="00BC6BC6"/>
    <w:rsid w:val="00BC6D9F"/>
    <w:rsid w:val="00BC758D"/>
    <w:rsid w:val="00BC7C72"/>
    <w:rsid w:val="00BC7F33"/>
    <w:rsid w:val="00BD0903"/>
    <w:rsid w:val="00BD16ED"/>
    <w:rsid w:val="00BD2151"/>
    <w:rsid w:val="00BD259F"/>
    <w:rsid w:val="00BD2B68"/>
    <w:rsid w:val="00BD362F"/>
    <w:rsid w:val="00BD3D2B"/>
    <w:rsid w:val="00BD4086"/>
    <w:rsid w:val="00BD4871"/>
    <w:rsid w:val="00BD5DD2"/>
    <w:rsid w:val="00BD699C"/>
    <w:rsid w:val="00BD7B74"/>
    <w:rsid w:val="00BE01AA"/>
    <w:rsid w:val="00BE07FB"/>
    <w:rsid w:val="00BE0BF1"/>
    <w:rsid w:val="00BE0DB9"/>
    <w:rsid w:val="00BE1443"/>
    <w:rsid w:val="00BE16CB"/>
    <w:rsid w:val="00BE34E7"/>
    <w:rsid w:val="00BE39C1"/>
    <w:rsid w:val="00BE4292"/>
    <w:rsid w:val="00BE45D8"/>
    <w:rsid w:val="00BE4C2F"/>
    <w:rsid w:val="00BE4E0D"/>
    <w:rsid w:val="00BE5149"/>
    <w:rsid w:val="00BE5233"/>
    <w:rsid w:val="00BE53F5"/>
    <w:rsid w:val="00BE5DA5"/>
    <w:rsid w:val="00BE5EF0"/>
    <w:rsid w:val="00BE6268"/>
    <w:rsid w:val="00BE6327"/>
    <w:rsid w:val="00BE6C22"/>
    <w:rsid w:val="00BE7368"/>
    <w:rsid w:val="00BF03A0"/>
    <w:rsid w:val="00BF0973"/>
    <w:rsid w:val="00BF231B"/>
    <w:rsid w:val="00BF2D74"/>
    <w:rsid w:val="00BF32A5"/>
    <w:rsid w:val="00BF3B87"/>
    <w:rsid w:val="00BF42A8"/>
    <w:rsid w:val="00BF44D7"/>
    <w:rsid w:val="00BF4A41"/>
    <w:rsid w:val="00BF4C4B"/>
    <w:rsid w:val="00BF4C5C"/>
    <w:rsid w:val="00BF5841"/>
    <w:rsid w:val="00BF5892"/>
    <w:rsid w:val="00BF5EA5"/>
    <w:rsid w:val="00BF63A6"/>
    <w:rsid w:val="00BF6EA2"/>
    <w:rsid w:val="00BF70F2"/>
    <w:rsid w:val="00BF73A5"/>
    <w:rsid w:val="00BF7C8F"/>
    <w:rsid w:val="00C003EA"/>
    <w:rsid w:val="00C006C5"/>
    <w:rsid w:val="00C03200"/>
    <w:rsid w:val="00C0419F"/>
    <w:rsid w:val="00C04354"/>
    <w:rsid w:val="00C06E0A"/>
    <w:rsid w:val="00C07B0B"/>
    <w:rsid w:val="00C10077"/>
    <w:rsid w:val="00C1149F"/>
    <w:rsid w:val="00C12BFA"/>
    <w:rsid w:val="00C13128"/>
    <w:rsid w:val="00C133DC"/>
    <w:rsid w:val="00C134F6"/>
    <w:rsid w:val="00C1385E"/>
    <w:rsid w:val="00C13AA9"/>
    <w:rsid w:val="00C14494"/>
    <w:rsid w:val="00C156B7"/>
    <w:rsid w:val="00C15D9D"/>
    <w:rsid w:val="00C17556"/>
    <w:rsid w:val="00C1762F"/>
    <w:rsid w:val="00C17698"/>
    <w:rsid w:val="00C17B8C"/>
    <w:rsid w:val="00C17F1A"/>
    <w:rsid w:val="00C200A7"/>
    <w:rsid w:val="00C20108"/>
    <w:rsid w:val="00C20DB8"/>
    <w:rsid w:val="00C2149A"/>
    <w:rsid w:val="00C21CF9"/>
    <w:rsid w:val="00C222AD"/>
    <w:rsid w:val="00C2295F"/>
    <w:rsid w:val="00C22EF4"/>
    <w:rsid w:val="00C23C02"/>
    <w:rsid w:val="00C245A9"/>
    <w:rsid w:val="00C248AE"/>
    <w:rsid w:val="00C248C8"/>
    <w:rsid w:val="00C2498D"/>
    <w:rsid w:val="00C24BB1"/>
    <w:rsid w:val="00C25037"/>
    <w:rsid w:val="00C25AD5"/>
    <w:rsid w:val="00C25BFA"/>
    <w:rsid w:val="00C25D23"/>
    <w:rsid w:val="00C2610E"/>
    <w:rsid w:val="00C266A5"/>
    <w:rsid w:val="00C26988"/>
    <w:rsid w:val="00C2794B"/>
    <w:rsid w:val="00C27E1F"/>
    <w:rsid w:val="00C30073"/>
    <w:rsid w:val="00C301FE"/>
    <w:rsid w:val="00C30639"/>
    <w:rsid w:val="00C30E18"/>
    <w:rsid w:val="00C319A6"/>
    <w:rsid w:val="00C31BCB"/>
    <w:rsid w:val="00C32EA7"/>
    <w:rsid w:val="00C332C7"/>
    <w:rsid w:val="00C33830"/>
    <w:rsid w:val="00C3388F"/>
    <w:rsid w:val="00C343ED"/>
    <w:rsid w:val="00C3441D"/>
    <w:rsid w:val="00C34831"/>
    <w:rsid w:val="00C35AAA"/>
    <w:rsid w:val="00C35E05"/>
    <w:rsid w:val="00C35FC6"/>
    <w:rsid w:val="00C369D9"/>
    <w:rsid w:val="00C37B6C"/>
    <w:rsid w:val="00C37B7A"/>
    <w:rsid w:val="00C401CA"/>
    <w:rsid w:val="00C4093F"/>
    <w:rsid w:val="00C41255"/>
    <w:rsid w:val="00C4206D"/>
    <w:rsid w:val="00C42964"/>
    <w:rsid w:val="00C42A1D"/>
    <w:rsid w:val="00C42F84"/>
    <w:rsid w:val="00C4515E"/>
    <w:rsid w:val="00C45831"/>
    <w:rsid w:val="00C460EC"/>
    <w:rsid w:val="00C46338"/>
    <w:rsid w:val="00C465B4"/>
    <w:rsid w:val="00C47133"/>
    <w:rsid w:val="00C479AF"/>
    <w:rsid w:val="00C50188"/>
    <w:rsid w:val="00C5078F"/>
    <w:rsid w:val="00C50963"/>
    <w:rsid w:val="00C5220D"/>
    <w:rsid w:val="00C53659"/>
    <w:rsid w:val="00C538F4"/>
    <w:rsid w:val="00C5407A"/>
    <w:rsid w:val="00C558AE"/>
    <w:rsid w:val="00C56601"/>
    <w:rsid w:val="00C56CE2"/>
    <w:rsid w:val="00C56D4C"/>
    <w:rsid w:val="00C61368"/>
    <w:rsid w:val="00C61567"/>
    <w:rsid w:val="00C62223"/>
    <w:rsid w:val="00C623EA"/>
    <w:rsid w:val="00C62917"/>
    <w:rsid w:val="00C62E8B"/>
    <w:rsid w:val="00C63D07"/>
    <w:rsid w:val="00C64858"/>
    <w:rsid w:val="00C65711"/>
    <w:rsid w:val="00C6584E"/>
    <w:rsid w:val="00C65C6A"/>
    <w:rsid w:val="00C65D4F"/>
    <w:rsid w:val="00C660A1"/>
    <w:rsid w:val="00C67FD3"/>
    <w:rsid w:val="00C70BFB"/>
    <w:rsid w:val="00C743DE"/>
    <w:rsid w:val="00C7506C"/>
    <w:rsid w:val="00C755B1"/>
    <w:rsid w:val="00C765E2"/>
    <w:rsid w:val="00C76A7C"/>
    <w:rsid w:val="00C770B0"/>
    <w:rsid w:val="00C77EFD"/>
    <w:rsid w:val="00C8160E"/>
    <w:rsid w:val="00C817BA"/>
    <w:rsid w:val="00C822E9"/>
    <w:rsid w:val="00C82649"/>
    <w:rsid w:val="00C8265D"/>
    <w:rsid w:val="00C82D8C"/>
    <w:rsid w:val="00C836EF"/>
    <w:rsid w:val="00C837C3"/>
    <w:rsid w:val="00C84231"/>
    <w:rsid w:val="00C85409"/>
    <w:rsid w:val="00C8592F"/>
    <w:rsid w:val="00C85F11"/>
    <w:rsid w:val="00C867EF"/>
    <w:rsid w:val="00C87068"/>
    <w:rsid w:val="00C9015C"/>
    <w:rsid w:val="00C906F3"/>
    <w:rsid w:val="00C91471"/>
    <w:rsid w:val="00C91F2F"/>
    <w:rsid w:val="00C92638"/>
    <w:rsid w:val="00C93EC9"/>
    <w:rsid w:val="00C93F12"/>
    <w:rsid w:val="00C94F3A"/>
    <w:rsid w:val="00C95E94"/>
    <w:rsid w:val="00C963AD"/>
    <w:rsid w:val="00C97FB8"/>
    <w:rsid w:val="00CA01D5"/>
    <w:rsid w:val="00CA0287"/>
    <w:rsid w:val="00CA0495"/>
    <w:rsid w:val="00CA0CD9"/>
    <w:rsid w:val="00CA0E3C"/>
    <w:rsid w:val="00CA1306"/>
    <w:rsid w:val="00CA1465"/>
    <w:rsid w:val="00CA154E"/>
    <w:rsid w:val="00CA1C49"/>
    <w:rsid w:val="00CA2E58"/>
    <w:rsid w:val="00CA3DAF"/>
    <w:rsid w:val="00CA4166"/>
    <w:rsid w:val="00CA49FC"/>
    <w:rsid w:val="00CA50B5"/>
    <w:rsid w:val="00CA5FA4"/>
    <w:rsid w:val="00CA61EC"/>
    <w:rsid w:val="00CA652B"/>
    <w:rsid w:val="00CA69B2"/>
    <w:rsid w:val="00CB0A31"/>
    <w:rsid w:val="00CB0BAB"/>
    <w:rsid w:val="00CB1903"/>
    <w:rsid w:val="00CB197A"/>
    <w:rsid w:val="00CB2072"/>
    <w:rsid w:val="00CB2916"/>
    <w:rsid w:val="00CB30BE"/>
    <w:rsid w:val="00CB3395"/>
    <w:rsid w:val="00CB33A5"/>
    <w:rsid w:val="00CB3C3A"/>
    <w:rsid w:val="00CB47E0"/>
    <w:rsid w:val="00CB4B48"/>
    <w:rsid w:val="00CB4E3F"/>
    <w:rsid w:val="00CB58C0"/>
    <w:rsid w:val="00CB5B32"/>
    <w:rsid w:val="00CB77C5"/>
    <w:rsid w:val="00CB79E2"/>
    <w:rsid w:val="00CB7BB9"/>
    <w:rsid w:val="00CC0E0A"/>
    <w:rsid w:val="00CC1217"/>
    <w:rsid w:val="00CC1A0F"/>
    <w:rsid w:val="00CC1C16"/>
    <w:rsid w:val="00CC2083"/>
    <w:rsid w:val="00CC2601"/>
    <w:rsid w:val="00CC2896"/>
    <w:rsid w:val="00CC36C5"/>
    <w:rsid w:val="00CC3A69"/>
    <w:rsid w:val="00CC4002"/>
    <w:rsid w:val="00CC45B0"/>
    <w:rsid w:val="00CC4D68"/>
    <w:rsid w:val="00CC5010"/>
    <w:rsid w:val="00CC534A"/>
    <w:rsid w:val="00CC5A56"/>
    <w:rsid w:val="00CC5C5A"/>
    <w:rsid w:val="00CC5F87"/>
    <w:rsid w:val="00CC6359"/>
    <w:rsid w:val="00CC6A89"/>
    <w:rsid w:val="00CC6D65"/>
    <w:rsid w:val="00CC6E88"/>
    <w:rsid w:val="00CD03AF"/>
    <w:rsid w:val="00CD075C"/>
    <w:rsid w:val="00CD0BC2"/>
    <w:rsid w:val="00CD165C"/>
    <w:rsid w:val="00CD2CA9"/>
    <w:rsid w:val="00CD2CE5"/>
    <w:rsid w:val="00CD3A3F"/>
    <w:rsid w:val="00CD4DEB"/>
    <w:rsid w:val="00CD5057"/>
    <w:rsid w:val="00CD61B2"/>
    <w:rsid w:val="00CD7CD1"/>
    <w:rsid w:val="00CE0303"/>
    <w:rsid w:val="00CE0356"/>
    <w:rsid w:val="00CE08F0"/>
    <w:rsid w:val="00CE0C3A"/>
    <w:rsid w:val="00CE0F9D"/>
    <w:rsid w:val="00CE1071"/>
    <w:rsid w:val="00CE150E"/>
    <w:rsid w:val="00CE16CD"/>
    <w:rsid w:val="00CE17AB"/>
    <w:rsid w:val="00CE20A5"/>
    <w:rsid w:val="00CE32B3"/>
    <w:rsid w:val="00CE3C57"/>
    <w:rsid w:val="00CE3F03"/>
    <w:rsid w:val="00CE4063"/>
    <w:rsid w:val="00CE5B34"/>
    <w:rsid w:val="00CE6076"/>
    <w:rsid w:val="00CE6586"/>
    <w:rsid w:val="00CE70EE"/>
    <w:rsid w:val="00CE7738"/>
    <w:rsid w:val="00CE7AFB"/>
    <w:rsid w:val="00CE7DC1"/>
    <w:rsid w:val="00CF03D5"/>
    <w:rsid w:val="00CF153B"/>
    <w:rsid w:val="00CF15FE"/>
    <w:rsid w:val="00CF1634"/>
    <w:rsid w:val="00CF18BB"/>
    <w:rsid w:val="00CF1E3A"/>
    <w:rsid w:val="00CF30CF"/>
    <w:rsid w:val="00CF3717"/>
    <w:rsid w:val="00CF38CA"/>
    <w:rsid w:val="00CF3DCF"/>
    <w:rsid w:val="00CF3FC5"/>
    <w:rsid w:val="00CF5E15"/>
    <w:rsid w:val="00CF658B"/>
    <w:rsid w:val="00CF67E8"/>
    <w:rsid w:val="00CF6B32"/>
    <w:rsid w:val="00CF7454"/>
    <w:rsid w:val="00D00515"/>
    <w:rsid w:val="00D008E0"/>
    <w:rsid w:val="00D0148E"/>
    <w:rsid w:val="00D01FE3"/>
    <w:rsid w:val="00D0262E"/>
    <w:rsid w:val="00D02827"/>
    <w:rsid w:val="00D02971"/>
    <w:rsid w:val="00D02D64"/>
    <w:rsid w:val="00D038BC"/>
    <w:rsid w:val="00D03F81"/>
    <w:rsid w:val="00D03FB1"/>
    <w:rsid w:val="00D050D6"/>
    <w:rsid w:val="00D05725"/>
    <w:rsid w:val="00D0625E"/>
    <w:rsid w:val="00D06951"/>
    <w:rsid w:val="00D072BF"/>
    <w:rsid w:val="00D0744C"/>
    <w:rsid w:val="00D07795"/>
    <w:rsid w:val="00D1027F"/>
    <w:rsid w:val="00D106FA"/>
    <w:rsid w:val="00D1100B"/>
    <w:rsid w:val="00D11CD7"/>
    <w:rsid w:val="00D125A5"/>
    <w:rsid w:val="00D12A8F"/>
    <w:rsid w:val="00D12DEC"/>
    <w:rsid w:val="00D131A3"/>
    <w:rsid w:val="00D1328E"/>
    <w:rsid w:val="00D13B66"/>
    <w:rsid w:val="00D148E6"/>
    <w:rsid w:val="00D14D84"/>
    <w:rsid w:val="00D1551A"/>
    <w:rsid w:val="00D16696"/>
    <w:rsid w:val="00D16B6D"/>
    <w:rsid w:val="00D21274"/>
    <w:rsid w:val="00D214FC"/>
    <w:rsid w:val="00D2175C"/>
    <w:rsid w:val="00D22521"/>
    <w:rsid w:val="00D229F5"/>
    <w:rsid w:val="00D23B0E"/>
    <w:rsid w:val="00D23C36"/>
    <w:rsid w:val="00D24D51"/>
    <w:rsid w:val="00D24D7D"/>
    <w:rsid w:val="00D261E3"/>
    <w:rsid w:val="00D264E0"/>
    <w:rsid w:val="00D26DF2"/>
    <w:rsid w:val="00D2765B"/>
    <w:rsid w:val="00D3053F"/>
    <w:rsid w:val="00D306D0"/>
    <w:rsid w:val="00D3190F"/>
    <w:rsid w:val="00D31A8D"/>
    <w:rsid w:val="00D31B41"/>
    <w:rsid w:val="00D32146"/>
    <w:rsid w:val="00D32403"/>
    <w:rsid w:val="00D32BF4"/>
    <w:rsid w:val="00D32E2A"/>
    <w:rsid w:val="00D33624"/>
    <w:rsid w:val="00D3382C"/>
    <w:rsid w:val="00D33916"/>
    <w:rsid w:val="00D33E6D"/>
    <w:rsid w:val="00D34236"/>
    <w:rsid w:val="00D3453C"/>
    <w:rsid w:val="00D34E43"/>
    <w:rsid w:val="00D3507E"/>
    <w:rsid w:val="00D355C3"/>
    <w:rsid w:val="00D35C24"/>
    <w:rsid w:val="00D3635C"/>
    <w:rsid w:val="00D36DAE"/>
    <w:rsid w:val="00D3718B"/>
    <w:rsid w:val="00D401BC"/>
    <w:rsid w:val="00D40408"/>
    <w:rsid w:val="00D40648"/>
    <w:rsid w:val="00D40911"/>
    <w:rsid w:val="00D41091"/>
    <w:rsid w:val="00D411CA"/>
    <w:rsid w:val="00D41479"/>
    <w:rsid w:val="00D41823"/>
    <w:rsid w:val="00D41CAE"/>
    <w:rsid w:val="00D41DBE"/>
    <w:rsid w:val="00D422A9"/>
    <w:rsid w:val="00D425AD"/>
    <w:rsid w:val="00D43546"/>
    <w:rsid w:val="00D437AD"/>
    <w:rsid w:val="00D43F34"/>
    <w:rsid w:val="00D448F0"/>
    <w:rsid w:val="00D44BA4"/>
    <w:rsid w:val="00D45531"/>
    <w:rsid w:val="00D45928"/>
    <w:rsid w:val="00D45E3B"/>
    <w:rsid w:val="00D460AC"/>
    <w:rsid w:val="00D47362"/>
    <w:rsid w:val="00D47520"/>
    <w:rsid w:val="00D479EB"/>
    <w:rsid w:val="00D47B48"/>
    <w:rsid w:val="00D50578"/>
    <w:rsid w:val="00D5086B"/>
    <w:rsid w:val="00D50DF3"/>
    <w:rsid w:val="00D511A9"/>
    <w:rsid w:val="00D516BD"/>
    <w:rsid w:val="00D52180"/>
    <w:rsid w:val="00D52CC5"/>
    <w:rsid w:val="00D53049"/>
    <w:rsid w:val="00D5309B"/>
    <w:rsid w:val="00D53587"/>
    <w:rsid w:val="00D55FF6"/>
    <w:rsid w:val="00D56352"/>
    <w:rsid w:val="00D5716D"/>
    <w:rsid w:val="00D60A52"/>
    <w:rsid w:val="00D61196"/>
    <w:rsid w:val="00D61476"/>
    <w:rsid w:val="00D62735"/>
    <w:rsid w:val="00D62F6D"/>
    <w:rsid w:val="00D6378C"/>
    <w:rsid w:val="00D639B4"/>
    <w:rsid w:val="00D64955"/>
    <w:rsid w:val="00D6531C"/>
    <w:rsid w:val="00D65AB0"/>
    <w:rsid w:val="00D66E1B"/>
    <w:rsid w:val="00D67503"/>
    <w:rsid w:val="00D703E4"/>
    <w:rsid w:val="00D707F7"/>
    <w:rsid w:val="00D70E90"/>
    <w:rsid w:val="00D70F3C"/>
    <w:rsid w:val="00D710A8"/>
    <w:rsid w:val="00D71149"/>
    <w:rsid w:val="00D71885"/>
    <w:rsid w:val="00D71F20"/>
    <w:rsid w:val="00D71F6E"/>
    <w:rsid w:val="00D7302B"/>
    <w:rsid w:val="00D73718"/>
    <w:rsid w:val="00D73A33"/>
    <w:rsid w:val="00D73D53"/>
    <w:rsid w:val="00D74CAC"/>
    <w:rsid w:val="00D74CD5"/>
    <w:rsid w:val="00D74D5B"/>
    <w:rsid w:val="00D753CB"/>
    <w:rsid w:val="00D755F4"/>
    <w:rsid w:val="00D75809"/>
    <w:rsid w:val="00D76EDF"/>
    <w:rsid w:val="00D76FB5"/>
    <w:rsid w:val="00D770DB"/>
    <w:rsid w:val="00D77C94"/>
    <w:rsid w:val="00D80053"/>
    <w:rsid w:val="00D81084"/>
    <w:rsid w:val="00D81B12"/>
    <w:rsid w:val="00D824DA"/>
    <w:rsid w:val="00D83A81"/>
    <w:rsid w:val="00D83B12"/>
    <w:rsid w:val="00D83DB6"/>
    <w:rsid w:val="00D83F5A"/>
    <w:rsid w:val="00D84507"/>
    <w:rsid w:val="00D846E4"/>
    <w:rsid w:val="00D84968"/>
    <w:rsid w:val="00D84B4B"/>
    <w:rsid w:val="00D84EC8"/>
    <w:rsid w:val="00D852BF"/>
    <w:rsid w:val="00D858B8"/>
    <w:rsid w:val="00D85B42"/>
    <w:rsid w:val="00D86770"/>
    <w:rsid w:val="00D8704A"/>
    <w:rsid w:val="00D87CFD"/>
    <w:rsid w:val="00D87D1D"/>
    <w:rsid w:val="00D90504"/>
    <w:rsid w:val="00D90FA2"/>
    <w:rsid w:val="00D926F4"/>
    <w:rsid w:val="00D92948"/>
    <w:rsid w:val="00D92FC6"/>
    <w:rsid w:val="00D934D9"/>
    <w:rsid w:val="00D93C9E"/>
    <w:rsid w:val="00D93D88"/>
    <w:rsid w:val="00D93E90"/>
    <w:rsid w:val="00D93F4F"/>
    <w:rsid w:val="00D94439"/>
    <w:rsid w:val="00D9459C"/>
    <w:rsid w:val="00D94ADC"/>
    <w:rsid w:val="00D958DE"/>
    <w:rsid w:val="00D96910"/>
    <w:rsid w:val="00D96B17"/>
    <w:rsid w:val="00D96C9C"/>
    <w:rsid w:val="00D96D29"/>
    <w:rsid w:val="00D96F7C"/>
    <w:rsid w:val="00D97419"/>
    <w:rsid w:val="00DA04DC"/>
    <w:rsid w:val="00DA0CA1"/>
    <w:rsid w:val="00DA0CC0"/>
    <w:rsid w:val="00DA0EB2"/>
    <w:rsid w:val="00DA10A0"/>
    <w:rsid w:val="00DA12A7"/>
    <w:rsid w:val="00DA1597"/>
    <w:rsid w:val="00DA16B8"/>
    <w:rsid w:val="00DA1A5E"/>
    <w:rsid w:val="00DA2B20"/>
    <w:rsid w:val="00DA2D80"/>
    <w:rsid w:val="00DA4EA7"/>
    <w:rsid w:val="00DA7159"/>
    <w:rsid w:val="00DA7B82"/>
    <w:rsid w:val="00DA7CEB"/>
    <w:rsid w:val="00DB003F"/>
    <w:rsid w:val="00DB00EF"/>
    <w:rsid w:val="00DB0115"/>
    <w:rsid w:val="00DB0F7E"/>
    <w:rsid w:val="00DB1A2A"/>
    <w:rsid w:val="00DB1ABC"/>
    <w:rsid w:val="00DB2097"/>
    <w:rsid w:val="00DB2317"/>
    <w:rsid w:val="00DB2827"/>
    <w:rsid w:val="00DB3747"/>
    <w:rsid w:val="00DB3D2B"/>
    <w:rsid w:val="00DB46C2"/>
    <w:rsid w:val="00DB4755"/>
    <w:rsid w:val="00DB62F6"/>
    <w:rsid w:val="00DB6FC3"/>
    <w:rsid w:val="00DB70E5"/>
    <w:rsid w:val="00DB756C"/>
    <w:rsid w:val="00DB7B75"/>
    <w:rsid w:val="00DC081F"/>
    <w:rsid w:val="00DC0833"/>
    <w:rsid w:val="00DC1E19"/>
    <w:rsid w:val="00DC250D"/>
    <w:rsid w:val="00DC3FB3"/>
    <w:rsid w:val="00DC42E1"/>
    <w:rsid w:val="00DC43BD"/>
    <w:rsid w:val="00DC4B03"/>
    <w:rsid w:val="00DC4C5D"/>
    <w:rsid w:val="00DC5FD6"/>
    <w:rsid w:val="00DC611F"/>
    <w:rsid w:val="00DC7628"/>
    <w:rsid w:val="00DC76A6"/>
    <w:rsid w:val="00DC7BDB"/>
    <w:rsid w:val="00DD03BE"/>
    <w:rsid w:val="00DD0430"/>
    <w:rsid w:val="00DD0633"/>
    <w:rsid w:val="00DD1BC1"/>
    <w:rsid w:val="00DD1F74"/>
    <w:rsid w:val="00DD2D0B"/>
    <w:rsid w:val="00DD3CF8"/>
    <w:rsid w:val="00DD4918"/>
    <w:rsid w:val="00DD4945"/>
    <w:rsid w:val="00DD560E"/>
    <w:rsid w:val="00DD579B"/>
    <w:rsid w:val="00DD5949"/>
    <w:rsid w:val="00DD5A4D"/>
    <w:rsid w:val="00DD5EDD"/>
    <w:rsid w:val="00DD6137"/>
    <w:rsid w:val="00DD64CE"/>
    <w:rsid w:val="00DD661B"/>
    <w:rsid w:val="00DD6D60"/>
    <w:rsid w:val="00DE00E4"/>
    <w:rsid w:val="00DE067B"/>
    <w:rsid w:val="00DE0FD3"/>
    <w:rsid w:val="00DE11BB"/>
    <w:rsid w:val="00DE1EB8"/>
    <w:rsid w:val="00DE21A4"/>
    <w:rsid w:val="00DE2AB4"/>
    <w:rsid w:val="00DE2B93"/>
    <w:rsid w:val="00DE3BF8"/>
    <w:rsid w:val="00DE3D09"/>
    <w:rsid w:val="00DE6E3F"/>
    <w:rsid w:val="00DE7290"/>
    <w:rsid w:val="00DE76F4"/>
    <w:rsid w:val="00DE7E01"/>
    <w:rsid w:val="00DF0A1B"/>
    <w:rsid w:val="00DF0E2A"/>
    <w:rsid w:val="00DF196F"/>
    <w:rsid w:val="00DF22EF"/>
    <w:rsid w:val="00DF25EB"/>
    <w:rsid w:val="00DF2E8C"/>
    <w:rsid w:val="00DF4680"/>
    <w:rsid w:val="00DF4EC0"/>
    <w:rsid w:val="00DF59D6"/>
    <w:rsid w:val="00DF5F79"/>
    <w:rsid w:val="00DF60B0"/>
    <w:rsid w:val="00DF75A7"/>
    <w:rsid w:val="00DF7982"/>
    <w:rsid w:val="00DF7C54"/>
    <w:rsid w:val="00DF7D7D"/>
    <w:rsid w:val="00DF7E36"/>
    <w:rsid w:val="00E01889"/>
    <w:rsid w:val="00E02FA8"/>
    <w:rsid w:val="00E038AE"/>
    <w:rsid w:val="00E03A48"/>
    <w:rsid w:val="00E03E0E"/>
    <w:rsid w:val="00E0425C"/>
    <w:rsid w:val="00E04336"/>
    <w:rsid w:val="00E0629F"/>
    <w:rsid w:val="00E077EC"/>
    <w:rsid w:val="00E10B7B"/>
    <w:rsid w:val="00E124A8"/>
    <w:rsid w:val="00E12D2A"/>
    <w:rsid w:val="00E133CF"/>
    <w:rsid w:val="00E1372C"/>
    <w:rsid w:val="00E13AF3"/>
    <w:rsid w:val="00E1408B"/>
    <w:rsid w:val="00E14963"/>
    <w:rsid w:val="00E15550"/>
    <w:rsid w:val="00E15596"/>
    <w:rsid w:val="00E156B4"/>
    <w:rsid w:val="00E1578D"/>
    <w:rsid w:val="00E157B9"/>
    <w:rsid w:val="00E15FD2"/>
    <w:rsid w:val="00E16663"/>
    <w:rsid w:val="00E16CAA"/>
    <w:rsid w:val="00E17E11"/>
    <w:rsid w:val="00E17F6C"/>
    <w:rsid w:val="00E20320"/>
    <w:rsid w:val="00E20F7A"/>
    <w:rsid w:val="00E21605"/>
    <w:rsid w:val="00E21A8E"/>
    <w:rsid w:val="00E21D66"/>
    <w:rsid w:val="00E21D68"/>
    <w:rsid w:val="00E21DC5"/>
    <w:rsid w:val="00E248CF"/>
    <w:rsid w:val="00E24A53"/>
    <w:rsid w:val="00E24CF4"/>
    <w:rsid w:val="00E24E51"/>
    <w:rsid w:val="00E25389"/>
    <w:rsid w:val="00E25C86"/>
    <w:rsid w:val="00E261F6"/>
    <w:rsid w:val="00E264B6"/>
    <w:rsid w:val="00E27894"/>
    <w:rsid w:val="00E27916"/>
    <w:rsid w:val="00E27CA4"/>
    <w:rsid w:val="00E27DFB"/>
    <w:rsid w:val="00E3019D"/>
    <w:rsid w:val="00E30475"/>
    <w:rsid w:val="00E310B2"/>
    <w:rsid w:val="00E31F9F"/>
    <w:rsid w:val="00E32559"/>
    <w:rsid w:val="00E33425"/>
    <w:rsid w:val="00E33930"/>
    <w:rsid w:val="00E33AFA"/>
    <w:rsid w:val="00E34279"/>
    <w:rsid w:val="00E349AC"/>
    <w:rsid w:val="00E3552A"/>
    <w:rsid w:val="00E35ACB"/>
    <w:rsid w:val="00E364DF"/>
    <w:rsid w:val="00E36A5C"/>
    <w:rsid w:val="00E36B0F"/>
    <w:rsid w:val="00E371EB"/>
    <w:rsid w:val="00E37975"/>
    <w:rsid w:val="00E379FD"/>
    <w:rsid w:val="00E4020B"/>
    <w:rsid w:val="00E4091D"/>
    <w:rsid w:val="00E410F0"/>
    <w:rsid w:val="00E41505"/>
    <w:rsid w:val="00E4155D"/>
    <w:rsid w:val="00E41745"/>
    <w:rsid w:val="00E43823"/>
    <w:rsid w:val="00E43E68"/>
    <w:rsid w:val="00E449AE"/>
    <w:rsid w:val="00E4557E"/>
    <w:rsid w:val="00E4596C"/>
    <w:rsid w:val="00E462C8"/>
    <w:rsid w:val="00E46789"/>
    <w:rsid w:val="00E46AA8"/>
    <w:rsid w:val="00E47D83"/>
    <w:rsid w:val="00E50564"/>
    <w:rsid w:val="00E508C1"/>
    <w:rsid w:val="00E51EE9"/>
    <w:rsid w:val="00E52D23"/>
    <w:rsid w:val="00E53903"/>
    <w:rsid w:val="00E53D1A"/>
    <w:rsid w:val="00E54285"/>
    <w:rsid w:val="00E5461A"/>
    <w:rsid w:val="00E54A82"/>
    <w:rsid w:val="00E557F1"/>
    <w:rsid w:val="00E5599E"/>
    <w:rsid w:val="00E560FE"/>
    <w:rsid w:val="00E5614F"/>
    <w:rsid w:val="00E578FA"/>
    <w:rsid w:val="00E57A15"/>
    <w:rsid w:val="00E57FDB"/>
    <w:rsid w:val="00E60393"/>
    <w:rsid w:val="00E608A5"/>
    <w:rsid w:val="00E618BD"/>
    <w:rsid w:val="00E62200"/>
    <w:rsid w:val="00E629FF"/>
    <w:rsid w:val="00E62CD7"/>
    <w:rsid w:val="00E63E2A"/>
    <w:rsid w:val="00E63F6C"/>
    <w:rsid w:val="00E643B7"/>
    <w:rsid w:val="00E64D87"/>
    <w:rsid w:val="00E64DD6"/>
    <w:rsid w:val="00E658FD"/>
    <w:rsid w:val="00E65918"/>
    <w:rsid w:val="00E6601B"/>
    <w:rsid w:val="00E663A2"/>
    <w:rsid w:val="00E67797"/>
    <w:rsid w:val="00E67902"/>
    <w:rsid w:val="00E67C65"/>
    <w:rsid w:val="00E703EA"/>
    <w:rsid w:val="00E728C9"/>
    <w:rsid w:val="00E73D0E"/>
    <w:rsid w:val="00E73E10"/>
    <w:rsid w:val="00E73EED"/>
    <w:rsid w:val="00E741CE"/>
    <w:rsid w:val="00E74C09"/>
    <w:rsid w:val="00E7547C"/>
    <w:rsid w:val="00E754BA"/>
    <w:rsid w:val="00E75853"/>
    <w:rsid w:val="00E75B90"/>
    <w:rsid w:val="00E75CBF"/>
    <w:rsid w:val="00E75E72"/>
    <w:rsid w:val="00E7636B"/>
    <w:rsid w:val="00E76EBE"/>
    <w:rsid w:val="00E77851"/>
    <w:rsid w:val="00E80346"/>
    <w:rsid w:val="00E829E5"/>
    <w:rsid w:val="00E85755"/>
    <w:rsid w:val="00E85819"/>
    <w:rsid w:val="00E85954"/>
    <w:rsid w:val="00E85BA6"/>
    <w:rsid w:val="00E860EF"/>
    <w:rsid w:val="00E86A97"/>
    <w:rsid w:val="00E873D3"/>
    <w:rsid w:val="00E90672"/>
    <w:rsid w:val="00E90C8E"/>
    <w:rsid w:val="00E91109"/>
    <w:rsid w:val="00E917BA"/>
    <w:rsid w:val="00E91B83"/>
    <w:rsid w:val="00E91CD0"/>
    <w:rsid w:val="00E92CE5"/>
    <w:rsid w:val="00E92D31"/>
    <w:rsid w:val="00E93328"/>
    <w:rsid w:val="00E94262"/>
    <w:rsid w:val="00E94855"/>
    <w:rsid w:val="00E957DE"/>
    <w:rsid w:val="00E9591F"/>
    <w:rsid w:val="00E95F9F"/>
    <w:rsid w:val="00E965EA"/>
    <w:rsid w:val="00E97538"/>
    <w:rsid w:val="00E976EE"/>
    <w:rsid w:val="00E97A31"/>
    <w:rsid w:val="00EA0AD9"/>
    <w:rsid w:val="00EA1A7F"/>
    <w:rsid w:val="00EA2CA0"/>
    <w:rsid w:val="00EA318D"/>
    <w:rsid w:val="00EA3CE6"/>
    <w:rsid w:val="00EA4209"/>
    <w:rsid w:val="00EA4D23"/>
    <w:rsid w:val="00EA5AE1"/>
    <w:rsid w:val="00EA5B54"/>
    <w:rsid w:val="00EA5C4D"/>
    <w:rsid w:val="00EA649B"/>
    <w:rsid w:val="00EA6CAC"/>
    <w:rsid w:val="00EA7B89"/>
    <w:rsid w:val="00EB0407"/>
    <w:rsid w:val="00EB06E0"/>
    <w:rsid w:val="00EB0AAE"/>
    <w:rsid w:val="00EB1364"/>
    <w:rsid w:val="00EB248B"/>
    <w:rsid w:val="00EB3671"/>
    <w:rsid w:val="00EB3A03"/>
    <w:rsid w:val="00EB45D5"/>
    <w:rsid w:val="00EB4B75"/>
    <w:rsid w:val="00EB4C5C"/>
    <w:rsid w:val="00EB4F47"/>
    <w:rsid w:val="00EB61B7"/>
    <w:rsid w:val="00EB69F5"/>
    <w:rsid w:val="00EB6D21"/>
    <w:rsid w:val="00EB755A"/>
    <w:rsid w:val="00EB7871"/>
    <w:rsid w:val="00EC0618"/>
    <w:rsid w:val="00EC1C58"/>
    <w:rsid w:val="00EC1ED0"/>
    <w:rsid w:val="00EC21D9"/>
    <w:rsid w:val="00EC346C"/>
    <w:rsid w:val="00EC4627"/>
    <w:rsid w:val="00EC5029"/>
    <w:rsid w:val="00EC50EC"/>
    <w:rsid w:val="00EC59FD"/>
    <w:rsid w:val="00EC5AA1"/>
    <w:rsid w:val="00EC5E8D"/>
    <w:rsid w:val="00EC6512"/>
    <w:rsid w:val="00EC6BF3"/>
    <w:rsid w:val="00EC78C2"/>
    <w:rsid w:val="00EC7A56"/>
    <w:rsid w:val="00EC7B4D"/>
    <w:rsid w:val="00ED050D"/>
    <w:rsid w:val="00ED0876"/>
    <w:rsid w:val="00ED0EFB"/>
    <w:rsid w:val="00ED227E"/>
    <w:rsid w:val="00ED5262"/>
    <w:rsid w:val="00ED52A5"/>
    <w:rsid w:val="00ED5BEB"/>
    <w:rsid w:val="00ED6ADA"/>
    <w:rsid w:val="00ED7C27"/>
    <w:rsid w:val="00EE08F9"/>
    <w:rsid w:val="00EE2348"/>
    <w:rsid w:val="00EE2CA9"/>
    <w:rsid w:val="00EE2F51"/>
    <w:rsid w:val="00EE3537"/>
    <w:rsid w:val="00EE5EFA"/>
    <w:rsid w:val="00EE6265"/>
    <w:rsid w:val="00EE6579"/>
    <w:rsid w:val="00EE7192"/>
    <w:rsid w:val="00EE74EB"/>
    <w:rsid w:val="00EF117F"/>
    <w:rsid w:val="00EF11F7"/>
    <w:rsid w:val="00EF126F"/>
    <w:rsid w:val="00EF12CB"/>
    <w:rsid w:val="00EF15A3"/>
    <w:rsid w:val="00EF1807"/>
    <w:rsid w:val="00EF1F2C"/>
    <w:rsid w:val="00EF267F"/>
    <w:rsid w:val="00EF2DE2"/>
    <w:rsid w:val="00EF3428"/>
    <w:rsid w:val="00EF3432"/>
    <w:rsid w:val="00EF3B15"/>
    <w:rsid w:val="00EF3EC4"/>
    <w:rsid w:val="00EF4223"/>
    <w:rsid w:val="00EF4854"/>
    <w:rsid w:val="00EF4A6F"/>
    <w:rsid w:val="00EF55F3"/>
    <w:rsid w:val="00EF5C8F"/>
    <w:rsid w:val="00EF6B5F"/>
    <w:rsid w:val="00EF7271"/>
    <w:rsid w:val="00EF7485"/>
    <w:rsid w:val="00F00C48"/>
    <w:rsid w:val="00F010B3"/>
    <w:rsid w:val="00F01C7E"/>
    <w:rsid w:val="00F01FA6"/>
    <w:rsid w:val="00F02052"/>
    <w:rsid w:val="00F029CF"/>
    <w:rsid w:val="00F02E11"/>
    <w:rsid w:val="00F03122"/>
    <w:rsid w:val="00F04342"/>
    <w:rsid w:val="00F05984"/>
    <w:rsid w:val="00F06074"/>
    <w:rsid w:val="00F07DCC"/>
    <w:rsid w:val="00F1000A"/>
    <w:rsid w:val="00F1055B"/>
    <w:rsid w:val="00F1097B"/>
    <w:rsid w:val="00F11165"/>
    <w:rsid w:val="00F114E5"/>
    <w:rsid w:val="00F1258B"/>
    <w:rsid w:val="00F127DD"/>
    <w:rsid w:val="00F12964"/>
    <w:rsid w:val="00F130AE"/>
    <w:rsid w:val="00F13292"/>
    <w:rsid w:val="00F1362D"/>
    <w:rsid w:val="00F1375A"/>
    <w:rsid w:val="00F137F2"/>
    <w:rsid w:val="00F14239"/>
    <w:rsid w:val="00F14469"/>
    <w:rsid w:val="00F144E5"/>
    <w:rsid w:val="00F14E02"/>
    <w:rsid w:val="00F15B2D"/>
    <w:rsid w:val="00F15B5F"/>
    <w:rsid w:val="00F16D5A"/>
    <w:rsid w:val="00F175CE"/>
    <w:rsid w:val="00F1794C"/>
    <w:rsid w:val="00F20214"/>
    <w:rsid w:val="00F203BE"/>
    <w:rsid w:val="00F212CB"/>
    <w:rsid w:val="00F2181F"/>
    <w:rsid w:val="00F21B70"/>
    <w:rsid w:val="00F21D64"/>
    <w:rsid w:val="00F21D73"/>
    <w:rsid w:val="00F21E27"/>
    <w:rsid w:val="00F21EAD"/>
    <w:rsid w:val="00F2243D"/>
    <w:rsid w:val="00F22C16"/>
    <w:rsid w:val="00F23D3A"/>
    <w:rsid w:val="00F241FF"/>
    <w:rsid w:val="00F24376"/>
    <w:rsid w:val="00F25B04"/>
    <w:rsid w:val="00F25CC9"/>
    <w:rsid w:val="00F25E5F"/>
    <w:rsid w:val="00F26750"/>
    <w:rsid w:val="00F26753"/>
    <w:rsid w:val="00F26938"/>
    <w:rsid w:val="00F26D0A"/>
    <w:rsid w:val="00F27137"/>
    <w:rsid w:val="00F279CD"/>
    <w:rsid w:val="00F30230"/>
    <w:rsid w:val="00F3273C"/>
    <w:rsid w:val="00F32A65"/>
    <w:rsid w:val="00F32DE4"/>
    <w:rsid w:val="00F33844"/>
    <w:rsid w:val="00F33F1F"/>
    <w:rsid w:val="00F350B9"/>
    <w:rsid w:val="00F358BF"/>
    <w:rsid w:val="00F35A9B"/>
    <w:rsid w:val="00F36B92"/>
    <w:rsid w:val="00F40114"/>
    <w:rsid w:val="00F40D38"/>
    <w:rsid w:val="00F40EEF"/>
    <w:rsid w:val="00F41E98"/>
    <w:rsid w:val="00F43623"/>
    <w:rsid w:val="00F44198"/>
    <w:rsid w:val="00F44610"/>
    <w:rsid w:val="00F45494"/>
    <w:rsid w:val="00F45E2B"/>
    <w:rsid w:val="00F46420"/>
    <w:rsid w:val="00F467BD"/>
    <w:rsid w:val="00F476DD"/>
    <w:rsid w:val="00F50E09"/>
    <w:rsid w:val="00F50F93"/>
    <w:rsid w:val="00F51265"/>
    <w:rsid w:val="00F519A4"/>
    <w:rsid w:val="00F51A05"/>
    <w:rsid w:val="00F51A23"/>
    <w:rsid w:val="00F527B9"/>
    <w:rsid w:val="00F52A83"/>
    <w:rsid w:val="00F52D12"/>
    <w:rsid w:val="00F53461"/>
    <w:rsid w:val="00F53665"/>
    <w:rsid w:val="00F54034"/>
    <w:rsid w:val="00F56084"/>
    <w:rsid w:val="00F56095"/>
    <w:rsid w:val="00F564F1"/>
    <w:rsid w:val="00F56BC2"/>
    <w:rsid w:val="00F56CB4"/>
    <w:rsid w:val="00F5716E"/>
    <w:rsid w:val="00F572D2"/>
    <w:rsid w:val="00F60DAA"/>
    <w:rsid w:val="00F610DB"/>
    <w:rsid w:val="00F611A4"/>
    <w:rsid w:val="00F61EAA"/>
    <w:rsid w:val="00F62AB6"/>
    <w:rsid w:val="00F63984"/>
    <w:rsid w:val="00F644C3"/>
    <w:rsid w:val="00F64CD1"/>
    <w:rsid w:val="00F656D1"/>
    <w:rsid w:val="00F659A4"/>
    <w:rsid w:val="00F659C7"/>
    <w:rsid w:val="00F65AC3"/>
    <w:rsid w:val="00F670FE"/>
    <w:rsid w:val="00F676F1"/>
    <w:rsid w:val="00F70398"/>
    <w:rsid w:val="00F70533"/>
    <w:rsid w:val="00F716AD"/>
    <w:rsid w:val="00F7189A"/>
    <w:rsid w:val="00F7219B"/>
    <w:rsid w:val="00F72444"/>
    <w:rsid w:val="00F72885"/>
    <w:rsid w:val="00F73127"/>
    <w:rsid w:val="00F731ED"/>
    <w:rsid w:val="00F73CBF"/>
    <w:rsid w:val="00F74006"/>
    <w:rsid w:val="00F7409C"/>
    <w:rsid w:val="00F74935"/>
    <w:rsid w:val="00F74E41"/>
    <w:rsid w:val="00F74F09"/>
    <w:rsid w:val="00F75C45"/>
    <w:rsid w:val="00F7653E"/>
    <w:rsid w:val="00F76725"/>
    <w:rsid w:val="00F76BF9"/>
    <w:rsid w:val="00F76C6E"/>
    <w:rsid w:val="00F76CB5"/>
    <w:rsid w:val="00F76FE6"/>
    <w:rsid w:val="00F772ED"/>
    <w:rsid w:val="00F77307"/>
    <w:rsid w:val="00F808D7"/>
    <w:rsid w:val="00F80DFD"/>
    <w:rsid w:val="00F8158A"/>
    <w:rsid w:val="00F815AA"/>
    <w:rsid w:val="00F828D5"/>
    <w:rsid w:val="00F82D8B"/>
    <w:rsid w:val="00F82E35"/>
    <w:rsid w:val="00F82E63"/>
    <w:rsid w:val="00F83019"/>
    <w:rsid w:val="00F8502D"/>
    <w:rsid w:val="00F85750"/>
    <w:rsid w:val="00F8604F"/>
    <w:rsid w:val="00F86167"/>
    <w:rsid w:val="00F86A77"/>
    <w:rsid w:val="00F86F34"/>
    <w:rsid w:val="00F878C8"/>
    <w:rsid w:val="00F90825"/>
    <w:rsid w:val="00F90E26"/>
    <w:rsid w:val="00F920AD"/>
    <w:rsid w:val="00F9220D"/>
    <w:rsid w:val="00F925B1"/>
    <w:rsid w:val="00F92B3C"/>
    <w:rsid w:val="00F93E48"/>
    <w:rsid w:val="00F94199"/>
    <w:rsid w:val="00F94F74"/>
    <w:rsid w:val="00F955D7"/>
    <w:rsid w:val="00F95931"/>
    <w:rsid w:val="00F9693C"/>
    <w:rsid w:val="00F96BAE"/>
    <w:rsid w:val="00F97094"/>
    <w:rsid w:val="00F9788B"/>
    <w:rsid w:val="00FA011D"/>
    <w:rsid w:val="00FA024B"/>
    <w:rsid w:val="00FA0B73"/>
    <w:rsid w:val="00FA0DA8"/>
    <w:rsid w:val="00FA0EA6"/>
    <w:rsid w:val="00FA21DE"/>
    <w:rsid w:val="00FA23DF"/>
    <w:rsid w:val="00FA2D58"/>
    <w:rsid w:val="00FA355B"/>
    <w:rsid w:val="00FA3CA5"/>
    <w:rsid w:val="00FA4210"/>
    <w:rsid w:val="00FA4276"/>
    <w:rsid w:val="00FA524A"/>
    <w:rsid w:val="00FA60FF"/>
    <w:rsid w:val="00FA63BF"/>
    <w:rsid w:val="00FA6CA6"/>
    <w:rsid w:val="00FB0A7B"/>
    <w:rsid w:val="00FB21B6"/>
    <w:rsid w:val="00FB3058"/>
    <w:rsid w:val="00FB37D9"/>
    <w:rsid w:val="00FB4404"/>
    <w:rsid w:val="00FB4AC9"/>
    <w:rsid w:val="00FB54F2"/>
    <w:rsid w:val="00FB586B"/>
    <w:rsid w:val="00FB5AA4"/>
    <w:rsid w:val="00FB6734"/>
    <w:rsid w:val="00FB707F"/>
    <w:rsid w:val="00FB788D"/>
    <w:rsid w:val="00FB7F00"/>
    <w:rsid w:val="00FC0C0F"/>
    <w:rsid w:val="00FC1063"/>
    <w:rsid w:val="00FC170F"/>
    <w:rsid w:val="00FC1BDC"/>
    <w:rsid w:val="00FC1BFD"/>
    <w:rsid w:val="00FC1E92"/>
    <w:rsid w:val="00FC2055"/>
    <w:rsid w:val="00FC2171"/>
    <w:rsid w:val="00FC2854"/>
    <w:rsid w:val="00FC2A07"/>
    <w:rsid w:val="00FC2A20"/>
    <w:rsid w:val="00FC2D52"/>
    <w:rsid w:val="00FC330D"/>
    <w:rsid w:val="00FC3DD2"/>
    <w:rsid w:val="00FC5241"/>
    <w:rsid w:val="00FC6A9A"/>
    <w:rsid w:val="00FC7CCE"/>
    <w:rsid w:val="00FD0FF5"/>
    <w:rsid w:val="00FD1A26"/>
    <w:rsid w:val="00FD27B9"/>
    <w:rsid w:val="00FD3868"/>
    <w:rsid w:val="00FD413B"/>
    <w:rsid w:val="00FD4693"/>
    <w:rsid w:val="00FD60A2"/>
    <w:rsid w:val="00FD6944"/>
    <w:rsid w:val="00FD786C"/>
    <w:rsid w:val="00FD7CD9"/>
    <w:rsid w:val="00FE0191"/>
    <w:rsid w:val="00FE01B7"/>
    <w:rsid w:val="00FE1039"/>
    <w:rsid w:val="00FE1B73"/>
    <w:rsid w:val="00FE34B9"/>
    <w:rsid w:val="00FE384F"/>
    <w:rsid w:val="00FE426C"/>
    <w:rsid w:val="00FE431B"/>
    <w:rsid w:val="00FE48DC"/>
    <w:rsid w:val="00FE501B"/>
    <w:rsid w:val="00FE6F9D"/>
    <w:rsid w:val="00FE703D"/>
    <w:rsid w:val="00FF02E6"/>
    <w:rsid w:val="00FF131F"/>
    <w:rsid w:val="00FF1400"/>
    <w:rsid w:val="00FF1656"/>
    <w:rsid w:val="00FF250F"/>
    <w:rsid w:val="00FF29A8"/>
    <w:rsid w:val="00FF3047"/>
    <w:rsid w:val="00FF364D"/>
    <w:rsid w:val="00FF365A"/>
    <w:rsid w:val="00FF3761"/>
    <w:rsid w:val="00FF376E"/>
    <w:rsid w:val="00FF3CB3"/>
    <w:rsid w:val="00FF4287"/>
    <w:rsid w:val="00FF54BB"/>
    <w:rsid w:val="00FF54C8"/>
    <w:rsid w:val="00FF583B"/>
    <w:rsid w:val="00FF5927"/>
    <w:rsid w:val="00FF6B6D"/>
    <w:rsid w:val="00FF6E2B"/>
    <w:rsid w:val="00FF7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93B1C39B-A574-451E-AF4D-00342455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4B6"/>
    <w:rPr>
      <w:rFonts w:ascii="Arial" w:hAnsi="Arial"/>
      <w:lang w:eastAsia="en-US"/>
    </w:rPr>
  </w:style>
  <w:style w:type="paragraph" w:styleId="Heading1">
    <w:name w:val="heading 1"/>
    <w:basedOn w:val="Normal"/>
    <w:next w:val="Normal"/>
    <w:link w:val="Heading1Char"/>
    <w:qFormat/>
    <w:pPr>
      <w:keepNext/>
      <w:outlineLvl w:val="0"/>
    </w:pPr>
    <w:rPr>
      <w:rFonts w:ascii="Times New Roman" w:hAnsi="Times New Roman"/>
      <w:i/>
      <w:lang w:val="en-US"/>
    </w:rPr>
  </w:style>
  <w:style w:type="paragraph" w:styleId="Heading2">
    <w:name w:val="heading 2"/>
    <w:basedOn w:val="Normal"/>
    <w:next w:val="Normal"/>
    <w:link w:val="Heading2Char"/>
    <w:qFormat/>
    <w:pPr>
      <w:keepNext/>
      <w:outlineLvl w:val="1"/>
    </w:pPr>
    <w:rPr>
      <w:rFonts w:ascii="Times New Roman" w:hAnsi="Times New Roman"/>
      <w:sz w:val="24"/>
      <w:lang w:val="en-US"/>
    </w:rPr>
  </w:style>
  <w:style w:type="paragraph" w:styleId="Heading3">
    <w:name w:val="heading 3"/>
    <w:basedOn w:val="Normal"/>
    <w:next w:val="Normal"/>
    <w:link w:val="Heading3Char"/>
    <w:qFormat/>
    <w:pPr>
      <w:keepNext/>
      <w:ind w:right="-187"/>
      <w:outlineLvl w:val="2"/>
    </w:pPr>
    <w:rPr>
      <w:rFonts w:ascii="Times New Roman" w:hAnsi="Times New Roman"/>
      <w:b/>
      <w:sz w:val="24"/>
    </w:rPr>
  </w:style>
  <w:style w:type="paragraph" w:styleId="Heading4">
    <w:name w:val="heading 4"/>
    <w:basedOn w:val="Normal"/>
    <w:next w:val="Normal"/>
    <w:link w:val="Heading4Char"/>
    <w:qFormat/>
    <w:pPr>
      <w:keepNext/>
      <w:ind w:right="1829"/>
      <w:outlineLvl w:val="3"/>
    </w:pPr>
    <w:rPr>
      <w:rFonts w:ascii="Times New Roman" w:hAnsi="Times New Roman"/>
      <w:color w:val="000000"/>
      <w:sz w:val="24"/>
      <w:lang w:val="en-US"/>
    </w:rPr>
  </w:style>
  <w:style w:type="paragraph" w:styleId="Heading5">
    <w:name w:val="heading 5"/>
    <w:basedOn w:val="Normal"/>
    <w:next w:val="Normal"/>
    <w:qFormat/>
    <w:pPr>
      <w:keepNext/>
      <w:tabs>
        <w:tab w:val="left" w:pos="1440"/>
      </w:tabs>
      <w:outlineLvl w:val="4"/>
    </w:pPr>
    <w:rPr>
      <w:rFonts w:ascii="Times New Roman" w:hAnsi="Times New Roman"/>
      <w:b/>
      <w:color w:val="000000"/>
      <w:sz w:val="24"/>
    </w:rPr>
  </w:style>
  <w:style w:type="paragraph" w:styleId="Heading6">
    <w:name w:val="heading 6"/>
    <w:basedOn w:val="Normal"/>
    <w:next w:val="Normal"/>
    <w:qFormat/>
    <w:pPr>
      <w:keepNext/>
      <w:ind w:right="1829"/>
      <w:outlineLvl w:val="5"/>
    </w:pPr>
    <w:rPr>
      <w:rFonts w:ascii="Times New Roman" w:hAnsi="Times New Roman"/>
      <w:i/>
      <w:iCs/>
      <w:color w:val="000000"/>
      <w:sz w:val="24"/>
    </w:rPr>
  </w:style>
  <w:style w:type="paragraph" w:styleId="Heading7">
    <w:name w:val="heading 7"/>
    <w:basedOn w:val="Normal"/>
    <w:next w:val="Normal"/>
    <w:qFormat/>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qFormat/>
    <w:rsid w:val="00A341AB"/>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A341A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semiHidden/>
    <w:pPr>
      <w:tabs>
        <w:tab w:val="left" w:pos="567"/>
      </w:tabs>
    </w:pPr>
    <w:rPr>
      <w:rFonts w:ascii="Times New Roman" w:hAnsi="Times New Roman"/>
      <w:sz w:val="22"/>
      <w:lang w:val="en-GB"/>
    </w:rPr>
  </w:style>
  <w:style w:type="paragraph" w:customStyle="1" w:styleId="text1">
    <w:name w:val="text 1"/>
    <w:basedOn w:val="Normal"/>
    <w:pPr>
      <w:spacing w:after="240"/>
    </w:pPr>
    <w:rPr>
      <w:rFonts w:ascii="Times New Roman" w:hAnsi="Times New Roman"/>
      <w:sz w:val="24"/>
      <w:lang w:val="en-US"/>
    </w:rPr>
  </w:style>
  <w:style w:type="paragraph" w:customStyle="1" w:styleId="TableHeading">
    <w:name w:val="Table Heading"/>
    <w:basedOn w:val="Normal"/>
    <w:pPr>
      <w:keepNext/>
      <w:keepLines/>
      <w:spacing w:before="60" w:after="60"/>
    </w:pPr>
    <w:rPr>
      <w:rFonts w:ascii="Times New Roman" w:hAnsi="Times New Roman"/>
      <w:b/>
      <w:sz w:val="24"/>
      <w:lang w:val="en-US"/>
    </w:rPr>
  </w:style>
  <w:style w:type="paragraph" w:customStyle="1" w:styleId="Text10">
    <w:name w:val="Text 1"/>
    <w:basedOn w:val="Normal"/>
    <w:link w:val="Text1Char"/>
    <w:qFormat/>
    <w:pPr>
      <w:spacing w:after="240"/>
    </w:pPr>
    <w:rPr>
      <w:rFonts w:ascii="Times New Roman" w:hAnsi="Times New Roman"/>
      <w:sz w:val="24"/>
      <w:lang w:val="en-US"/>
    </w:rPr>
  </w:style>
  <w:style w:type="paragraph" w:styleId="BodyText3">
    <w:name w:val="Body Text 3"/>
    <w:basedOn w:val="Normal"/>
    <w:pPr>
      <w:tabs>
        <w:tab w:val="left" w:pos="567"/>
      </w:tabs>
      <w:spacing w:line="260" w:lineRule="exact"/>
      <w:jc w:val="both"/>
    </w:pPr>
    <w:rPr>
      <w:rFonts w:ascii="Times New Roman" w:hAnsi="Times New Roman"/>
      <w:b/>
      <w:i/>
      <w:sz w:val="22"/>
      <w:lang w:val="en-GB"/>
    </w:rPr>
  </w:style>
  <w:style w:type="paragraph" w:styleId="BodyText">
    <w:name w:val="Body Text"/>
    <w:basedOn w:val="Normal"/>
    <w:link w:val="BodyTextChar"/>
    <w:pPr>
      <w:ind w:right="1829"/>
    </w:pPr>
    <w:rPr>
      <w:rFonts w:ascii="Times New Roman" w:hAnsi="Times New Roman"/>
      <w:color w:val="000000"/>
      <w:sz w:val="24"/>
    </w:rPr>
  </w:style>
  <w:style w:type="paragraph" w:styleId="Footer">
    <w:name w:val="footer"/>
    <w:basedOn w:val="Normal"/>
    <w:link w:val="FooterChar"/>
    <w:pPr>
      <w:widowControl w:val="0"/>
      <w:tabs>
        <w:tab w:val="center" w:pos="4683"/>
        <w:tab w:val="right" w:pos="9361"/>
      </w:tabs>
    </w:pPr>
    <w:rPr>
      <w:sz w:val="22"/>
      <w:lang w:val="en-US"/>
    </w:rPr>
  </w:style>
  <w:style w:type="paragraph" w:customStyle="1" w:styleId="BulletsText">
    <w:name w:val="Bullets Text"/>
    <w:basedOn w:val="Normal"/>
    <w:pPr>
      <w:numPr>
        <w:numId w:val="11"/>
      </w:numPr>
      <w:spacing w:after="240"/>
    </w:pPr>
    <w:rPr>
      <w:rFonts w:ascii="Times New Roman" w:hAnsi="Times New Roman"/>
      <w:sz w:val="24"/>
      <w:lang w:val="en-US"/>
    </w:rPr>
  </w:style>
  <w:style w:type="paragraph" w:customStyle="1" w:styleId="Table-Text">
    <w:name w:val="Table-Text"/>
    <w:basedOn w:val="Normal"/>
    <w:link w:val="Table-TextChar"/>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pPr>
      <w:widowControl w:val="0"/>
      <w:spacing w:before="113" w:after="57"/>
      <w:ind w:left="1418" w:hanging="1418"/>
    </w:pPr>
    <w:rPr>
      <w:b/>
      <w:sz w:val="22"/>
      <w:lang w:val="en-US"/>
    </w:rPr>
  </w:style>
  <w:style w:type="paragraph" w:customStyle="1" w:styleId="TextTi11">
    <w:name w:val="Text:Ti11"/>
    <w:basedOn w:val="Normal"/>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FE1039"/>
    <w:pPr>
      <w:tabs>
        <w:tab w:val="right" w:leader="dot" w:pos="8640"/>
      </w:tabs>
      <w:ind w:right="-72"/>
    </w:pPr>
    <w:rPr>
      <w:rFonts w:ascii="Times New Roman" w:hAnsi="Times New Roman"/>
      <w:sz w:val="24"/>
      <w:lang w:val="en-US"/>
    </w:rPr>
  </w:style>
  <w:style w:type="paragraph" w:styleId="BodyText2">
    <w:name w:val="Body Text 2"/>
    <w:basedOn w:val="Normal"/>
    <w:pPr>
      <w:ind w:right="-360"/>
    </w:pPr>
    <w:rPr>
      <w:rFonts w:ascii="Times New Roman" w:hAnsi="Times New Roman"/>
      <w:b/>
      <w:color w:val="000000"/>
      <w:sz w:val="24"/>
    </w:rPr>
  </w:style>
  <w:style w:type="paragraph" w:styleId="Header">
    <w:name w:val="header"/>
    <w:basedOn w:val="Normal"/>
    <w:link w:val="HeaderChar"/>
    <w:uiPriority w:val="99"/>
    <w:pPr>
      <w:widowControl w:val="0"/>
      <w:tabs>
        <w:tab w:val="center" w:pos="4683"/>
        <w:tab w:val="right" w:pos="9361"/>
      </w:tabs>
    </w:pPr>
    <w:rPr>
      <w:b/>
      <w:sz w:val="22"/>
      <w:lang w:val="en-US"/>
    </w:rPr>
  </w:style>
  <w:style w:type="paragraph" w:customStyle="1" w:styleId="TOCHeadings">
    <w:name w:val="TOC Headings"/>
    <w:basedOn w:val="Normal"/>
    <w:pPr>
      <w:widowControl w:val="0"/>
      <w:tabs>
        <w:tab w:val="center" w:pos="4672"/>
        <w:tab w:val="right" w:pos="9344"/>
      </w:tabs>
      <w:spacing w:before="397" w:after="227"/>
    </w:pPr>
    <w:rPr>
      <w:b/>
      <w:sz w:val="22"/>
      <w:lang w:val="en-US"/>
    </w:rPr>
  </w:style>
  <w:style w:type="paragraph" w:styleId="BodyTextIndent">
    <w:name w:val="Body Text Indent"/>
    <w:basedOn w:val="Normal"/>
    <w:pPr>
      <w:spacing w:line="240" w:lineRule="atLeast"/>
      <w:ind w:left="360"/>
    </w:pPr>
    <w:rPr>
      <w:snapToGrid w:val="0"/>
      <w:color w:val="000000"/>
      <w:sz w:val="18"/>
      <w:lang w:val="en-US"/>
    </w:rPr>
  </w:style>
  <w:style w:type="paragraph" w:styleId="CommentText">
    <w:name w:val="annotation text"/>
    <w:aliases w:val="Annotationtext"/>
    <w:basedOn w:val="Normal"/>
    <w:link w:val="CommentTextChar"/>
    <w:rPr>
      <w:rFonts w:ascii="Times New Roman" w:hAnsi="Times New Roman"/>
      <w:lang w:val="en-US"/>
    </w:rPr>
  </w:style>
  <w:style w:type="character" w:styleId="PageNumber">
    <w:name w:val="page number"/>
    <w:basedOn w:val="DefaultParagraphFont"/>
  </w:style>
  <w:style w:type="paragraph" w:styleId="BodyTextIndent2">
    <w:name w:val="Body Text Indent 2"/>
    <w:basedOn w:val="Normal"/>
    <w:pPr>
      <w:ind w:left="1440" w:hanging="1440"/>
    </w:pPr>
    <w:rPr>
      <w:b/>
    </w:rPr>
  </w:style>
  <w:style w:type="paragraph" w:styleId="BalloonText">
    <w:name w:val="Balloon Text"/>
    <w:basedOn w:val="Normal"/>
    <w:semiHidden/>
    <w:rsid w:val="00B739CE"/>
    <w:rPr>
      <w:rFonts w:ascii="Tahoma" w:hAnsi="Tahoma" w:cs="Tahoma"/>
      <w:sz w:val="16"/>
      <w:szCs w:val="16"/>
    </w:rPr>
  </w:style>
  <w:style w:type="table" w:styleId="TableGrid">
    <w:name w:val="Table Grid"/>
    <w:basedOn w:val="TableNormal"/>
    <w:uiPriority w:val="59"/>
    <w:rsid w:val="00C7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Annotationmark"/>
    <w:rsid w:val="00B108D8"/>
    <w:rPr>
      <w:sz w:val="16"/>
      <w:szCs w:val="16"/>
    </w:rPr>
  </w:style>
  <w:style w:type="paragraph" w:styleId="CommentSubject">
    <w:name w:val="annotation subject"/>
    <w:basedOn w:val="CommentText"/>
    <w:next w:val="CommentText"/>
    <w:semiHidden/>
    <w:rsid w:val="00B108D8"/>
    <w:rPr>
      <w:rFonts w:ascii="Arial" w:hAnsi="Arial"/>
      <w:b/>
      <w:bCs/>
      <w:lang w:val="en-AU"/>
    </w:rPr>
  </w:style>
  <w:style w:type="paragraph" w:styleId="Title">
    <w:name w:val="Title"/>
    <w:basedOn w:val="Normal"/>
    <w:link w:val="TitleChar"/>
    <w:qFormat/>
    <w:rsid w:val="00860E6C"/>
    <w:pPr>
      <w:jc w:val="center"/>
    </w:pPr>
    <w:rPr>
      <w:rFonts w:ascii="TimesNewRoman,Bold" w:hAnsi="TimesNewRoman,Bold"/>
      <w:b/>
      <w:snapToGrid w:val="0"/>
      <w:sz w:val="22"/>
      <w:lang w:val="en-US"/>
    </w:rPr>
  </w:style>
  <w:style w:type="paragraph" w:styleId="Subtitle">
    <w:name w:val="Subtitle"/>
    <w:basedOn w:val="Normal"/>
    <w:link w:val="SubtitleChar"/>
    <w:qFormat/>
    <w:rsid w:val="00860E6C"/>
    <w:pPr>
      <w:jc w:val="center"/>
    </w:pPr>
    <w:rPr>
      <w:rFonts w:ascii="TimesNewRoman,Bold" w:hAnsi="TimesNewRoman,Bold"/>
      <w:b/>
      <w:snapToGrid w:val="0"/>
      <w:sz w:val="22"/>
      <w:lang w:val="en-US"/>
    </w:rPr>
  </w:style>
  <w:style w:type="paragraph" w:customStyle="1" w:styleId="Table-Footer">
    <w:name w:val="Table-Footer"/>
    <w:basedOn w:val="Normal"/>
    <w:link w:val="Table-FooterChar"/>
    <w:rsid w:val="00704CF6"/>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80493A"/>
    <w:pPr>
      <w:spacing w:before="60" w:after="60" w:line="480" w:lineRule="auto"/>
    </w:pPr>
    <w:rPr>
      <w:sz w:val="24"/>
      <w:lang w:val="en-US"/>
    </w:rPr>
  </w:style>
  <w:style w:type="character" w:customStyle="1" w:styleId="text1CharCharChar">
    <w:name w:val="text 1 Char Char Char"/>
    <w:link w:val="text1CharChar"/>
    <w:rsid w:val="00F86F34"/>
    <w:rPr>
      <w:rFonts w:ascii="Arial" w:hAnsi="Arial"/>
      <w:sz w:val="24"/>
      <w:lang w:val="en-US" w:eastAsia="en-US" w:bidi="ar-SA"/>
    </w:rPr>
  </w:style>
  <w:style w:type="paragraph" w:customStyle="1" w:styleId="text1CharChar">
    <w:name w:val="text 1 Char Char"/>
    <w:basedOn w:val="Normal"/>
    <w:link w:val="text1CharCharChar"/>
    <w:rsid w:val="00F86F34"/>
    <w:pPr>
      <w:spacing w:after="240"/>
    </w:pPr>
    <w:rPr>
      <w:sz w:val="24"/>
      <w:lang w:val="en-US"/>
    </w:rPr>
  </w:style>
  <w:style w:type="paragraph" w:customStyle="1" w:styleId="text1Char0">
    <w:name w:val="text 1 Char"/>
    <w:basedOn w:val="Normal"/>
    <w:rsid w:val="004C6C7F"/>
    <w:pPr>
      <w:spacing w:after="240"/>
    </w:pPr>
    <w:rPr>
      <w:sz w:val="24"/>
      <w:lang w:val="en-US"/>
    </w:rPr>
  </w:style>
  <w:style w:type="character" w:customStyle="1" w:styleId="msoins0">
    <w:name w:val="msoins"/>
    <w:rsid w:val="007E00B1"/>
    <w:rPr>
      <w:color w:val="008080"/>
      <w:u w:val="single"/>
    </w:rPr>
  </w:style>
  <w:style w:type="paragraph" w:customStyle="1" w:styleId="Normal-text">
    <w:name w:val="Normal-text"/>
    <w:basedOn w:val="Normal"/>
    <w:rsid w:val="003159FD"/>
    <w:pPr>
      <w:tabs>
        <w:tab w:val="left" w:pos="0"/>
      </w:tabs>
      <w:suppressAutoHyphens/>
      <w:spacing w:before="60" w:after="120"/>
    </w:pPr>
    <w:rPr>
      <w:sz w:val="24"/>
      <w:lang w:val="en-US"/>
    </w:rPr>
  </w:style>
  <w:style w:type="paragraph" w:customStyle="1" w:styleId="Table">
    <w:name w:val="Table"/>
    <w:basedOn w:val="Normal"/>
    <w:rsid w:val="003159FD"/>
    <w:pPr>
      <w:widowControl w:val="0"/>
    </w:pPr>
    <w:rPr>
      <w:sz w:val="18"/>
      <w:lang w:val="en-US"/>
    </w:rPr>
  </w:style>
  <w:style w:type="paragraph" w:styleId="DocumentMap">
    <w:name w:val="Document Map"/>
    <w:basedOn w:val="Normal"/>
    <w:semiHidden/>
    <w:rsid w:val="00AD5561"/>
    <w:pPr>
      <w:shd w:val="clear" w:color="auto" w:fill="000080"/>
    </w:pPr>
    <w:rPr>
      <w:rFonts w:ascii="Tahoma" w:hAnsi="Tahoma" w:cs="Tahoma"/>
    </w:rPr>
  </w:style>
  <w:style w:type="paragraph" w:styleId="BlockText">
    <w:name w:val="Block Text"/>
    <w:basedOn w:val="Normal"/>
    <w:rsid w:val="00A341AB"/>
    <w:pPr>
      <w:spacing w:after="120"/>
      <w:ind w:left="1440" w:right="1440"/>
    </w:pPr>
  </w:style>
  <w:style w:type="paragraph" w:styleId="BodyTextFirstIndent">
    <w:name w:val="Body Text First Indent"/>
    <w:basedOn w:val="BodyText"/>
    <w:rsid w:val="00A341AB"/>
    <w:pPr>
      <w:spacing w:after="120"/>
      <w:ind w:right="0" w:firstLine="210"/>
    </w:pPr>
    <w:rPr>
      <w:rFonts w:ascii="Arial" w:hAnsi="Arial"/>
      <w:color w:val="auto"/>
      <w:sz w:val="20"/>
    </w:rPr>
  </w:style>
  <w:style w:type="paragraph" w:styleId="BodyTextFirstIndent2">
    <w:name w:val="Body Text First Indent 2"/>
    <w:basedOn w:val="BodyTextIndent"/>
    <w:rsid w:val="00A341AB"/>
    <w:pPr>
      <w:spacing w:after="120" w:line="240" w:lineRule="auto"/>
      <w:ind w:firstLine="210"/>
    </w:pPr>
    <w:rPr>
      <w:snapToGrid/>
      <w:color w:val="auto"/>
      <w:sz w:val="20"/>
      <w:lang w:val="en-AU"/>
    </w:rPr>
  </w:style>
  <w:style w:type="paragraph" w:styleId="BodyTextIndent3">
    <w:name w:val="Body Text Indent 3"/>
    <w:basedOn w:val="Normal"/>
    <w:rsid w:val="00A341AB"/>
    <w:pPr>
      <w:spacing w:after="120"/>
      <w:ind w:left="360"/>
    </w:pPr>
    <w:rPr>
      <w:sz w:val="16"/>
      <w:szCs w:val="16"/>
    </w:rPr>
  </w:style>
  <w:style w:type="paragraph" w:styleId="Closing">
    <w:name w:val="Closing"/>
    <w:basedOn w:val="Normal"/>
    <w:rsid w:val="00A341AB"/>
    <w:pPr>
      <w:ind w:left="4320"/>
    </w:pPr>
  </w:style>
  <w:style w:type="paragraph" w:styleId="Date">
    <w:name w:val="Date"/>
    <w:basedOn w:val="Normal"/>
    <w:next w:val="Normal"/>
    <w:rsid w:val="00A341AB"/>
  </w:style>
  <w:style w:type="paragraph" w:styleId="E-mailSignature">
    <w:name w:val="E-mail Signature"/>
    <w:basedOn w:val="Normal"/>
    <w:rsid w:val="00A341AB"/>
  </w:style>
  <w:style w:type="paragraph" w:styleId="EnvelopeAddress">
    <w:name w:val="envelope address"/>
    <w:basedOn w:val="Normal"/>
    <w:rsid w:val="00A341AB"/>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A341AB"/>
    <w:rPr>
      <w:rFonts w:cs="Arial"/>
    </w:rPr>
  </w:style>
  <w:style w:type="paragraph" w:styleId="FootnoteText">
    <w:name w:val="footnote text"/>
    <w:basedOn w:val="Normal"/>
    <w:semiHidden/>
    <w:rsid w:val="00A341AB"/>
  </w:style>
  <w:style w:type="paragraph" w:styleId="HTMLAddress">
    <w:name w:val="HTML Address"/>
    <w:basedOn w:val="Normal"/>
    <w:rsid w:val="00A341AB"/>
    <w:rPr>
      <w:i/>
      <w:iCs/>
    </w:rPr>
  </w:style>
  <w:style w:type="paragraph" w:styleId="HTMLPreformatted">
    <w:name w:val="HTML Preformatted"/>
    <w:basedOn w:val="Normal"/>
    <w:rsid w:val="00A341AB"/>
    <w:rPr>
      <w:rFonts w:ascii="Courier New" w:hAnsi="Courier New" w:cs="Courier New"/>
    </w:rPr>
  </w:style>
  <w:style w:type="paragraph" w:styleId="Index1">
    <w:name w:val="index 1"/>
    <w:basedOn w:val="Normal"/>
    <w:next w:val="Normal"/>
    <w:autoRedefine/>
    <w:semiHidden/>
    <w:rsid w:val="00A341AB"/>
    <w:pPr>
      <w:ind w:left="200" w:hanging="200"/>
    </w:pPr>
  </w:style>
  <w:style w:type="paragraph" w:styleId="Index2">
    <w:name w:val="index 2"/>
    <w:basedOn w:val="Normal"/>
    <w:next w:val="Normal"/>
    <w:autoRedefine/>
    <w:semiHidden/>
    <w:rsid w:val="00A341AB"/>
    <w:pPr>
      <w:ind w:left="400" w:hanging="200"/>
    </w:pPr>
  </w:style>
  <w:style w:type="paragraph" w:styleId="Index3">
    <w:name w:val="index 3"/>
    <w:basedOn w:val="Normal"/>
    <w:next w:val="Normal"/>
    <w:autoRedefine/>
    <w:semiHidden/>
    <w:rsid w:val="00A341AB"/>
    <w:pPr>
      <w:ind w:left="600" w:hanging="200"/>
    </w:pPr>
  </w:style>
  <w:style w:type="paragraph" w:styleId="Index4">
    <w:name w:val="index 4"/>
    <w:basedOn w:val="Normal"/>
    <w:next w:val="Normal"/>
    <w:autoRedefine/>
    <w:semiHidden/>
    <w:rsid w:val="00A341AB"/>
    <w:pPr>
      <w:ind w:left="800" w:hanging="200"/>
    </w:pPr>
  </w:style>
  <w:style w:type="paragraph" w:styleId="Index5">
    <w:name w:val="index 5"/>
    <w:basedOn w:val="Normal"/>
    <w:next w:val="Normal"/>
    <w:autoRedefine/>
    <w:semiHidden/>
    <w:rsid w:val="00A341AB"/>
    <w:pPr>
      <w:ind w:left="1000" w:hanging="200"/>
    </w:pPr>
  </w:style>
  <w:style w:type="paragraph" w:styleId="Index6">
    <w:name w:val="index 6"/>
    <w:basedOn w:val="Normal"/>
    <w:next w:val="Normal"/>
    <w:autoRedefine/>
    <w:semiHidden/>
    <w:rsid w:val="00A341AB"/>
    <w:pPr>
      <w:ind w:left="1200" w:hanging="200"/>
    </w:pPr>
  </w:style>
  <w:style w:type="paragraph" w:styleId="Index7">
    <w:name w:val="index 7"/>
    <w:basedOn w:val="Normal"/>
    <w:next w:val="Normal"/>
    <w:autoRedefine/>
    <w:semiHidden/>
    <w:rsid w:val="00A341AB"/>
    <w:pPr>
      <w:ind w:left="1400" w:hanging="200"/>
    </w:pPr>
  </w:style>
  <w:style w:type="paragraph" w:styleId="Index8">
    <w:name w:val="index 8"/>
    <w:basedOn w:val="Normal"/>
    <w:next w:val="Normal"/>
    <w:autoRedefine/>
    <w:semiHidden/>
    <w:rsid w:val="00A341AB"/>
    <w:pPr>
      <w:ind w:left="1600" w:hanging="200"/>
    </w:pPr>
  </w:style>
  <w:style w:type="paragraph" w:styleId="Index9">
    <w:name w:val="index 9"/>
    <w:basedOn w:val="Normal"/>
    <w:next w:val="Normal"/>
    <w:autoRedefine/>
    <w:semiHidden/>
    <w:rsid w:val="00A341AB"/>
    <w:pPr>
      <w:ind w:left="1800" w:hanging="200"/>
    </w:pPr>
  </w:style>
  <w:style w:type="paragraph" w:styleId="IndexHeading">
    <w:name w:val="index heading"/>
    <w:basedOn w:val="Normal"/>
    <w:next w:val="Index1"/>
    <w:semiHidden/>
    <w:rsid w:val="00A341AB"/>
    <w:rPr>
      <w:rFonts w:cs="Arial"/>
      <w:b/>
      <w:bCs/>
    </w:rPr>
  </w:style>
  <w:style w:type="paragraph" w:styleId="List">
    <w:name w:val="List"/>
    <w:basedOn w:val="Normal"/>
    <w:rsid w:val="00A341AB"/>
    <w:pPr>
      <w:ind w:left="360" w:hanging="360"/>
    </w:pPr>
  </w:style>
  <w:style w:type="paragraph" w:styleId="List2">
    <w:name w:val="List 2"/>
    <w:basedOn w:val="Normal"/>
    <w:rsid w:val="00A341AB"/>
    <w:pPr>
      <w:ind w:left="720" w:hanging="360"/>
    </w:pPr>
  </w:style>
  <w:style w:type="paragraph" w:styleId="List3">
    <w:name w:val="List 3"/>
    <w:basedOn w:val="Normal"/>
    <w:rsid w:val="00A341AB"/>
    <w:pPr>
      <w:ind w:left="1080" w:hanging="360"/>
    </w:pPr>
  </w:style>
  <w:style w:type="paragraph" w:styleId="List4">
    <w:name w:val="List 4"/>
    <w:basedOn w:val="Normal"/>
    <w:rsid w:val="00A341AB"/>
    <w:pPr>
      <w:ind w:left="1440" w:hanging="360"/>
    </w:pPr>
  </w:style>
  <w:style w:type="paragraph" w:styleId="List5">
    <w:name w:val="List 5"/>
    <w:basedOn w:val="Normal"/>
    <w:rsid w:val="00A341AB"/>
    <w:pPr>
      <w:ind w:left="1800" w:hanging="360"/>
    </w:pPr>
  </w:style>
  <w:style w:type="paragraph" w:styleId="ListBullet">
    <w:name w:val="List Bullet"/>
    <w:basedOn w:val="Normal"/>
    <w:autoRedefine/>
    <w:rsid w:val="00A341AB"/>
    <w:pPr>
      <w:numPr>
        <w:numId w:val="1"/>
      </w:numPr>
    </w:pPr>
  </w:style>
  <w:style w:type="paragraph" w:styleId="ListBullet2">
    <w:name w:val="List Bullet 2"/>
    <w:basedOn w:val="Normal"/>
    <w:autoRedefine/>
    <w:rsid w:val="00A341AB"/>
    <w:pPr>
      <w:numPr>
        <w:numId w:val="2"/>
      </w:numPr>
    </w:pPr>
  </w:style>
  <w:style w:type="paragraph" w:styleId="ListBullet3">
    <w:name w:val="List Bullet 3"/>
    <w:basedOn w:val="Normal"/>
    <w:autoRedefine/>
    <w:rsid w:val="00A341AB"/>
    <w:pPr>
      <w:numPr>
        <w:numId w:val="3"/>
      </w:numPr>
    </w:pPr>
  </w:style>
  <w:style w:type="paragraph" w:styleId="ListBullet4">
    <w:name w:val="List Bullet 4"/>
    <w:basedOn w:val="Normal"/>
    <w:autoRedefine/>
    <w:rsid w:val="00A341AB"/>
    <w:pPr>
      <w:numPr>
        <w:numId w:val="4"/>
      </w:numPr>
    </w:pPr>
  </w:style>
  <w:style w:type="paragraph" w:styleId="ListBullet5">
    <w:name w:val="List Bullet 5"/>
    <w:basedOn w:val="Normal"/>
    <w:autoRedefine/>
    <w:rsid w:val="00A341AB"/>
    <w:pPr>
      <w:numPr>
        <w:numId w:val="5"/>
      </w:numPr>
    </w:pPr>
  </w:style>
  <w:style w:type="paragraph" w:styleId="ListContinue">
    <w:name w:val="List Continue"/>
    <w:basedOn w:val="Normal"/>
    <w:rsid w:val="00A341AB"/>
    <w:pPr>
      <w:spacing w:after="120"/>
      <w:ind w:left="360"/>
    </w:pPr>
  </w:style>
  <w:style w:type="paragraph" w:styleId="ListContinue2">
    <w:name w:val="List Continue 2"/>
    <w:basedOn w:val="Normal"/>
    <w:rsid w:val="00A341AB"/>
    <w:pPr>
      <w:spacing w:after="120"/>
      <w:ind w:left="720"/>
    </w:pPr>
  </w:style>
  <w:style w:type="paragraph" w:styleId="ListContinue3">
    <w:name w:val="List Continue 3"/>
    <w:basedOn w:val="Normal"/>
    <w:rsid w:val="00A341AB"/>
    <w:pPr>
      <w:spacing w:after="120"/>
      <w:ind w:left="1080"/>
    </w:pPr>
  </w:style>
  <w:style w:type="paragraph" w:styleId="ListContinue4">
    <w:name w:val="List Continue 4"/>
    <w:basedOn w:val="Normal"/>
    <w:rsid w:val="00A341AB"/>
    <w:pPr>
      <w:spacing w:after="120"/>
      <w:ind w:left="1440"/>
    </w:pPr>
  </w:style>
  <w:style w:type="paragraph" w:styleId="ListContinue5">
    <w:name w:val="List Continue 5"/>
    <w:basedOn w:val="Normal"/>
    <w:rsid w:val="00A341AB"/>
    <w:pPr>
      <w:spacing w:after="120"/>
      <w:ind w:left="1800"/>
    </w:pPr>
  </w:style>
  <w:style w:type="paragraph" w:styleId="ListNumber">
    <w:name w:val="List Number"/>
    <w:basedOn w:val="Normal"/>
    <w:rsid w:val="00A341AB"/>
    <w:pPr>
      <w:numPr>
        <w:numId w:val="6"/>
      </w:numPr>
    </w:pPr>
  </w:style>
  <w:style w:type="paragraph" w:styleId="ListNumber2">
    <w:name w:val="List Number 2"/>
    <w:basedOn w:val="Normal"/>
    <w:rsid w:val="00A341AB"/>
    <w:pPr>
      <w:numPr>
        <w:numId w:val="7"/>
      </w:numPr>
    </w:pPr>
  </w:style>
  <w:style w:type="paragraph" w:styleId="ListNumber3">
    <w:name w:val="List Number 3"/>
    <w:basedOn w:val="Normal"/>
    <w:rsid w:val="00A341AB"/>
    <w:pPr>
      <w:numPr>
        <w:numId w:val="8"/>
      </w:numPr>
    </w:pPr>
  </w:style>
  <w:style w:type="paragraph" w:styleId="ListNumber4">
    <w:name w:val="List Number 4"/>
    <w:basedOn w:val="Normal"/>
    <w:rsid w:val="00A341AB"/>
    <w:pPr>
      <w:numPr>
        <w:numId w:val="9"/>
      </w:numPr>
    </w:pPr>
  </w:style>
  <w:style w:type="paragraph" w:styleId="ListNumber5">
    <w:name w:val="List Number 5"/>
    <w:basedOn w:val="Normal"/>
    <w:rsid w:val="00A341AB"/>
    <w:pPr>
      <w:numPr>
        <w:numId w:val="10"/>
      </w:numPr>
    </w:pPr>
  </w:style>
  <w:style w:type="paragraph" w:styleId="MacroText">
    <w:name w:val="macro"/>
    <w:semiHidden/>
    <w:rsid w:val="00A341A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341AB"/>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link w:val="NormalWebChar"/>
    <w:uiPriority w:val="99"/>
    <w:rsid w:val="00A341AB"/>
    <w:rPr>
      <w:rFonts w:ascii="Times New Roman" w:hAnsi="Times New Roman"/>
      <w:sz w:val="24"/>
      <w:szCs w:val="24"/>
    </w:rPr>
  </w:style>
  <w:style w:type="paragraph" w:styleId="NormalIndent">
    <w:name w:val="Normal Indent"/>
    <w:basedOn w:val="Normal"/>
    <w:rsid w:val="00A341AB"/>
    <w:pPr>
      <w:ind w:left="720"/>
    </w:pPr>
  </w:style>
  <w:style w:type="paragraph" w:styleId="NoteHeading">
    <w:name w:val="Note Heading"/>
    <w:basedOn w:val="Normal"/>
    <w:next w:val="Normal"/>
    <w:rsid w:val="00A341AB"/>
  </w:style>
  <w:style w:type="paragraph" w:styleId="PlainText">
    <w:name w:val="Plain Text"/>
    <w:basedOn w:val="Normal"/>
    <w:rsid w:val="00A341AB"/>
    <w:rPr>
      <w:rFonts w:ascii="Courier New" w:hAnsi="Courier New" w:cs="Courier New"/>
    </w:rPr>
  </w:style>
  <w:style w:type="paragraph" w:styleId="Salutation">
    <w:name w:val="Salutation"/>
    <w:basedOn w:val="Normal"/>
    <w:next w:val="Normal"/>
    <w:rsid w:val="00A341AB"/>
  </w:style>
  <w:style w:type="paragraph" w:styleId="Signature">
    <w:name w:val="Signature"/>
    <w:basedOn w:val="Normal"/>
    <w:rsid w:val="00A341AB"/>
    <w:pPr>
      <w:ind w:left="4320"/>
    </w:pPr>
  </w:style>
  <w:style w:type="paragraph" w:styleId="TableofAuthorities">
    <w:name w:val="table of authorities"/>
    <w:basedOn w:val="Normal"/>
    <w:next w:val="Normal"/>
    <w:semiHidden/>
    <w:rsid w:val="00A341AB"/>
    <w:pPr>
      <w:ind w:left="200" w:hanging="200"/>
    </w:pPr>
  </w:style>
  <w:style w:type="paragraph" w:styleId="TableofFigures">
    <w:name w:val="table of figures"/>
    <w:basedOn w:val="Normal"/>
    <w:next w:val="Normal"/>
    <w:semiHidden/>
    <w:rsid w:val="00A341AB"/>
    <w:pPr>
      <w:ind w:left="400" w:hanging="400"/>
    </w:pPr>
  </w:style>
  <w:style w:type="paragraph" w:styleId="TOAHeading">
    <w:name w:val="toa heading"/>
    <w:basedOn w:val="Normal"/>
    <w:next w:val="Normal"/>
    <w:semiHidden/>
    <w:rsid w:val="00A341AB"/>
    <w:pPr>
      <w:spacing w:before="120"/>
    </w:pPr>
    <w:rPr>
      <w:rFonts w:cs="Arial"/>
      <w:b/>
      <w:bCs/>
      <w:sz w:val="24"/>
      <w:szCs w:val="24"/>
    </w:rPr>
  </w:style>
  <w:style w:type="paragraph" w:styleId="TOC1">
    <w:name w:val="toc 1"/>
    <w:basedOn w:val="Normal"/>
    <w:next w:val="Normal"/>
    <w:autoRedefine/>
    <w:semiHidden/>
    <w:rsid w:val="00A341AB"/>
  </w:style>
  <w:style w:type="paragraph" w:styleId="TOC2">
    <w:name w:val="toc 2"/>
    <w:basedOn w:val="Normal"/>
    <w:next w:val="Normal"/>
    <w:autoRedefine/>
    <w:semiHidden/>
    <w:rsid w:val="00A341AB"/>
    <w:pPr>
      <w:ind w:left="200"/>
    </w:pPr>
  </w:style>
  <w:style w:type="paragraph" w:styleId="TOC3">
    <w:name w:val="toc 3"/>
    <w:basedOn w:val="Normal"/>
    <w:next w:val="Normal"/>
    <w:autoRedefine/>
    <w:semiHidden/>
    <w:rsid w:val="00A341AB"/>
    <w:pPr>
      <w:ind w:left="400"/>
    </w:pPr>
  </w:style>
  <w:style w:type="paragraph" w:styleId="TOC5">
    <w:name w:val="toc 5"/>
    <w:basedOn w:val="Normal"/>
    <w:next w:val="Normal"/>
    <w:autoRedefine/>
    <w:semiHidden/>
    <w:rsid w:val="00A341AB"/>
    <w:pPr>
      <w:ind w:left="800"/>
    </w:pPr>
  </w:style>
  <w:style w:type="paragraph" w:styleId="TOC6">
    <w:name w:val="toc 6"/>
    <w:basedOn w:val="Normal"/>
    <w:next w:val="Normal"/>
    <w:autoRedefine/>
    <w:semiHidden/>
    <w:rsid w:val="00A341AB"/>
    <w:pPr>
      <w:ind w:left="1000"/>
    </w:pPr>
  </w:style>
  <w:style w:type="paragraph" w:styleId="TOC7">
    <w:name w:val="toc 7"/>
    <w:basedOn w:val="Normal"/>
    <w:next w:val="Normal"/>
    <w:autoRedefine/>
    <w:semiHidden/>
    <w:rsid w:val="00A341AB"/>
    <w:pPr>
      <w:ind w:left="1200"/>
    </w:pPr>
  </w:style>
  <w:style w:type="paragraph" w:styleId="TOC8">
    <w:name w:val="toc 8"/>
    <w:basedOn w:val="Normal"/>
    <w:next w:val="Normal"/>
    <w:autoRedefine/>
    <w:semiHidden/>
    <w:rsid w:val="00A341AB"/>
    <w:pPr>
      <w:ind w:left="1400"/>
    </w:pPr>
  </w:style>
  <w:style w:type="paragraph" w:styleId="TOC9">
    <w:name w:val="toc 9"/>
    <w:basedOn w:val="Normal"/>
    <w:next w:val="Normal"/>
    <w:autoRedefine/>
    <w:semiHidden/>
    <w:rsid w:val="00A341AB"/>
    <w:pPr>
      <w:ind w:left="1600"/>
    </w:pPr>
  </w:style>
  <w:style w:type="character" w:customStyle="1" w:styleId="Text1Char">
    <w:name w:val="Text 1 Char"/>
    <w:link w:val="Text10"/>
    <w:rsid w:val="007254DD"/>
    <w:rPr>
      <w:sz w:val="24"/>
      <w:lang w:val="en-US" w:eastAsia="en-US" w:bidi="ar-SA"/>
    </w:rPr>
  </w:style>
  <w:style w:type="paragraph" w:customStyle="1" w:styleId="BMSBodyTextCharChar">
    <w:name w:val="BMS Body Text Char Char"/>
    <w:link w:val="BMSBodyTextCharCharChar1"/>
    <w:rsid w:val="007254DD"/>
    <w:pPr>
      <w:spacing w:before="120" w:after="120" w:line="300" w:lineRule="auto"/>
      <w:jc w:val="both"/>
    </w:pPr>
    <w:rPr>
      <w:rFonts w:ascii="Arial" w:hAnsi="Arial"/>
      <w:color w:val="000000"/>
      <w:sz w:val="24"/>
      <w:lang w:val="en-US" w:eastAsia="en-US"/>
    </w:rPr>
  </w:style>
  <w:style w:type="character" w:customStyle="1" w:styleId="BMSBodyTextCharCharChar1">
    <w:name w:val="BMS Body Text Char Char Char1"/>
    <w:link w:val="BMSBodyTextCharChar"/>
    <w:rsid w:val="007254DD"/>
    <w:rPr>
      <w:rFonts w:ascii="Arial" w:hAnsi="Arial"/>
      <w:color w:val="000000"/>
      <w:sz w:val="24"/>
      <w:lang w:val="en-US" w:eastAsia="en-US" w:bidi="ar-SA"/>
    </w:rPr>
  </w:style>
  <w:style w:type="paragraph" w:customStyle="1" w:styleId="EMEABodyText">
    <w:name w:val="EMEA Body Text"/>
    <w:basedOn w:val="Normal"/>
    <w:rsid w:val="007254DD"/>
    <w:rPr>
      <w:rFonts w:ascii="Times New Roman" w:hAnsi="Times New Roman"/>
      <w:sz w:val="22"/>
      <w:lang w:val="en-GB"/>
    </w:rPr>
  </w:style>
  <w:style w:type="paragraph" w:customStyle="1" w:styleId="EMEAEnBodyText">
    <w:name w:val="EMEA En Body Text"/>
    <w:basedOn w:val="Normal"/>
    <w:rsid w:val="007254DD"/>
    <w:pPr>
      <w:spacing w:before="120" w:after="120"/>
      <w:jc w:val="both"/>
    </w:pPr>
    <w:rPr>
      <w:rFonts w:ascii="Times New Roman" w:hAnsi="Times New Roman"/>
      <w:sz w:val="22"/>
      <w:lang w:val="en-US"/>
    </w:rPr>
  </w:style>
  <w:style w:type="character" w:styleId="Hyperlink">
    <w:name w:val="Hyperlink"/>
    <w:uiPriority w:val="99"/>
    <w:rsid w:val="007254DD"/>
    <w:rPr>
      <w:color w:val="0000FF"/>
      <w:u w:val="single"/>
    </w:rPr>
  </w:style>
  <w:style w:type="paragraph" w:customStyle="1" w:styleId="AHeader1">
    <w:name w:val="AHeader 1"/>
    <w:basedOn w:val="Normal"/>
    <w:rsid w:val="007254DD"/>
    <w:pPr>
      <w:numPr>
        <w:numId w:val="12"/>
      </w:numPr>
      <w:spacing w:after="120"/>
    </w:pPr>
    <w:rPr>
      <w:rFonts w:cs="Arial"/>
      <w:b/>
      <w:bCs/>
      <w:sz w:val="24"/>
      <w:lang w:val="en-GB"/>
    </w:rPr>
  </w:style>
  <w:style w:type="paragraph" w:customStyle="1" w:styleId="AHeader2">
    <w:name w:val="AHeader 2"/>
    <w:basedOn w:val="AHeader1"/>
    <w:rsid w:val="007254DD"/>
    <w:pPr>
      <w:numPr>
        <w:ilvl w:val="1"/>
      </w:numPr>
      <w:tabs>
        <w:tab w:val="clear" w:pos="709"/>
        <w:tab w:val="num" w:pos="360"/>
      </w:tabs>
    </w:pPr>
    <w:rPr>
      <w:sz w:val="22"/>
    </w:rPr>
  </w:style>
  <w:style w:type="paragraph" w:customStyle="1" w:styleId="AHeader3">
    <w:name w:val="AHeader 3"/>
    <w:basedOn w:val="AHeader2"/>
    <w:rsid w:val="007254DD"/>
    <w:pPr>
      <w:numPr>
        <w:ilvl w:val="2"/>
      </w:numPr>
      <w:tabs>
        <w:tab w:val="clear" w:pos="1276"/>
        <w:tab w:val="num" w:pos="360"/>
      </w:tabs>
    </w:pPr>
  </w:style>
  <w:style w:type="paragraph" w:customStyle="1" w:styleId="AHeader2abc">
    <w:name w:val="AHeader 2 abc"/>
    <w:basedOn w:val="AHeader3"/>
    <w:rsid w:val="007254DD"/>
    <w:pPr>
      <w:numPr>
        <w:ilvl w:val="3"/>
      </w:numPr>
      <w:tabs>
        <w:tab w:val="clear" w:pos="1276"/>
        <w:tab w:val="num" w:pos="360"/>
      </w:tabs>
      <w:jc w:val="both"/>
    </w:pPr>
    <w:rPr>
      <w:b w:val="0"/>
      <w:bCs w:val="0"/>
    </w:rPr>
  </w:style>
  <w:style w:type="paragraph" w:customStyle="1" w:styleId="AHeader3abc">
    <w:name w:val="AHeader 3 abc"/>
    <w:basedOn w:val="AHeader2abc"/>
    <w:rsid w:val="007254DD"/>
    <w:pPr>
      <w:numPr>
        <w:ilvl w:val="4"/>
      </w:numPr>
      <w:tabs>
        <w:tab w:val="clear" w:pos="1701"/>
        <w:tab w:val="num" w:pos="360"/>
      </w:tabs>
    </w:pPr>
  </w:style>
  <w:style w:type="character" w:styleId="FollowedHyperlink">
    <w:name w:val="FollowedHyperlink"/>
    <w:rsid w:val="007254DD"/>
    <w:rPr>
      <w:color w:val="800080"/>
      <w:u w:val="single"/>
    </w:rPr>
  </w:style>
  <w:style w:type="character" w:customStyle="1" w:styleId="BMSSubscript">
    <w:name w:val="BMS Subscript"/>
    <w:rsid w:val="007254DD"/>
    <w:rPr>
      <w:sz w:val="28"/>
      <w:vertAlign w:val="subscript"/>
    </w:rPr>
  </w:style>
  <w:style w:type="paragraph" w:customStyle="1" w:styleId="EMEABodyTextIndent">
    <w:name w:val="EMEA Body Text Indent"/>
    <w:basedOn w:val="Normal"/>
    <w:next w:val="Normal"/>
    <w:rsid w:val="007254DD"/>
    <w:pPr>
      <w:numPr>
        <w:numId w:val="13"/>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7254DD"/>
    <w:pPr>
      <w:widowControl/>
      <w:tabs>
        <w:tab w:val="clear" w:pos="4683"/>
        <w:tab w:val="clear" w:pos="9361"/>
      </w:tabs>
      <w:jc w:val="center"/>
    </w:pPr>
    <w:rPr>
      <w:sz w:val="20"/>
      <w:lang w:val="en-GB"/>
    </w:rPr>
  </w:style>
  <w:style w:type="paragraph" w:customStyle="1" w:styleId="TEXT11">
    <w:name w:val="TEXT1"/>
    <w:basedOn w:val="Normal"/>
    <w:link w:val="TEXT1Char1"/>
    <w:rsid w:val="007254DD"/>
    <w:pPr>
      <w:spacing w:before="120" w:after="120"/>
    </w:pPr>
    <w:rPr>
      <w:sz w:val="24"/>
      <w:lang w:val="en-US"/>
    </w:rPr>
  </w:style>
  <w:style w:type="character" w:customStyle="1" w:styleId="TEXT1Char1">
    <w:name w:val="TEXT1 Char"/>
    <w:link w:val="TEXT11"/>
    <w:rsid w:val="007254DD"/>
    <w:rPr>
      <w:rFonts w:ascii="Arial" w:hAnsi="Arial"/>
      <w:sz w:val="24"/>
      <w:lang w:val="en-US" w:eastAsia="en-US" w:bidi="ar-SA"/>
    </w:rPr>
  </w:style>
  <w:style w:type="paragraph" w:customStyle="1" w:styleId="BMSBodyText">
    <w:name w:val="BMS Body Text"/>
    <w:rsid w:val="007254DD"/>
    <w:pPr>
      <w:spacing w:before="120" w:after="120" w:line="300" w:lineRule="auto"/>
      <w:jc w:val="both"/>
    </w:pPr>
    <w:rPr>
      <w:color w:val="000000"/>
      <w:sz w:val="24"/>
      <w:lang w:val="en-US" w:eastAsia="en-US"/>
    </w:rPr>
  </w:style>
  <w:style w:type="paragraph" w:customStyle="1" w:styleId="BMSTableHeader">
    <w:name w:val="BMS Table Header"/>
    <w:basedOn w:val="BMSTableTextCharChar"/>
    <w:rsid w:val="007254DD"/>
    <w:rPr>
      <w:b/>
    </w:rPr>
  </w:style>
  <w:style w:type="paragraph" w:customStyle="1" w:styleId="BMSTableTextCharChar">
    <w:name w:val="BMS Table Text Char Char"/>
    <w:rsid w:val="007254DD"/>
    <w:pPr>
      <w:tabs>
        <w:tab w:val="left" w:pos="360"/>
      </w:tabs>
      <w:spacing w:before="60" w:after="60"/>
      <w:jc w:val="center"/>
    </w:pPr>
    <w:rPr>
      <w:rFonts w:ascii="Arial" w:hAnsi="Arial"/>
      <w:sz w:val="24"/>
      <w:lang w:val="en-US" w:eastAsia="en-US"/>
    </w:rPr>
  </w:style>
  <w:style w:type="character" w:customStyle="1" w:styleId="BMSSuperscript">
    <w:name w:val="BMS Superscript"/>
    <w:rsid w:val="007254DD"/>
    <w:rPr>
      <w:sz w:val="28"/>
      <w:vertAlign w:val="superscript"/>
    </w:rPr>
  </w:style>
  <w:style w:type="paragraph" w:customStyle="1" w:styleId="BMSBodyTextChar">
    <w:name w:val="BMS Body Text Char"/>
    <w:rsid w:val="007254DD"/>
    <w:pPr>
      <w:spacing w:before="120" w:after="120" w:line="300" w:lineRule="auto"/>
      <w:jc w:val="both"/>
    </w:pPr>
    <w:rPr>
      <w:rFonts w:eastAsia="Batang"/>
      <w:color w:val="000000"/>
      <w:sz w:val="24"/>
      <w:lang w:val="en-US" w:eastAsia="en-US"/>
    </w:rPr>
  </w:style>
  <w:style w:type="paragraph" w:customStyle="1" w:styleId="BMSTableTextChar">
    <w:name w:val="BMS Table Text Char"/>
    <w:rsid w:val="007254DD"/>
    <w:pPr>
      <w:tabs>
        <w:tab w:val="left" w:pos="360"/>
      </w:tabs>
      <w:spacing w:before="60" w:after="60"/>
      <w:jc w:val="center"/>
    </w:pPr>
    <w:rPr>
      <w:rFonts w:ascii="Arial" w:eastAsia="Batang" w:hAnsi="Arial"/>
      <w:sz w:val="24"/>
      <w:lang w:val="en-US" w:eastAsia="en-US"/>
    </w:rPr>
  </w:style>
  <w:style w:type="paragraph" w:customStyle="1" w:styleId="Table1">
    <w:name w:val="Table1"/>
    <w:rsid w:val="003C1AC9"/>
    <w:pPr>
      <w:spacing w:before="120" w:after="120"/>
    </w:pPr>
    <w:rPr>
      <w:rFonts w:ascii="Palatino Linotype" w:hAnsi="Palatino Linotype"/>
      <w:b/>
      <w:noProof/>
      <w:sz w:val="22"/>
      <w:lang w:eastAsia="en-US"/>
    </w:rPr>
  </w:style>
  <w:style w:type="paragraph" w:customStyle="1" w:styleId="BulletText">
    <w:name w:val="Bullet Text"/>
    <w:basedOn w:val="Normal"/>
    <w:link w:val="BulletTextChar"/>
    <w:rsid w:val="00512D9D"/>
    <w:pPr>
      <w:numPr>
        <w:numId w:val="14"/>
      </w:numPr>
      <w:spacing w:before="120"/>
    </w:pPr>
    <w:rPr>
      <w:rFonts w:cs="Arial"/>
      <w:sz w:val="24"/>
      <w:szCs w:val="24"/>
      <w:lang w:val="en-US"/>
    </w:rPr>
  </w:style>
  <w:style w:type="character" w:customStyle="1" w:styleId="BulletTextChar">
    <w:name w:val="Bullet Text Char"/>
    <w:link w:val="BulletText"/>
    <w:rsid w:val="00512D9D"/>
    <w:rPr>
      <w:rFonts w:ascii="Arial" w:hAnsi="Arial" w:cs="Arial"/>
      <w:sz w:val="24"/>
      <w:szCs w:val="24"/>
      <w:lang w:val="en-US" w:eastAsia="en-US"/>
    </w:rPr>
  </w:style>
  <w:style w:type="paragraph" w:customStyle="1" w:styleId="Subheading2">
    <w:name w:val="Subheading 2"/>
    <w:basedOn w:val="Normal"/>
    <w:next w:val="Text10"/>
    <w:link w:val="Subheading2Char"/>
    <w:rsid w:val="0087127B"/>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87127B"/>
    <w:rPr>
      <w:b/>
      <w:bCs/>
      <w:i/>
      <w:iCs/>
      <w:sz w:val="24"/>
      <w:szCs w:val="24"/>
      <w:lang w:val="en-US" w:eastAsia="en-US" w:bidi="ar-SA"/>
    </w:rPr>
  </w:style>
  <w:style w:type="paragraph" w:customStyle="1" w:styleId="Style1BoldCap">
    <w:name w:val="Style1BoldCap"/>
    <w:basedOn w:val="Normal"/>
    <w:rsid w:val="00DE3BF8"/>
    <w:pPr>
      <w:keepNext/>
      <w:jc w:val="center"/>
    </w:pPr>
    <w:rPr>
      <w:rFonts w:ascii="Times New Roman" w:hAnsi="Times New Roman"/>
      <w:b/>
      <w:bCs/>
      <w:caps/>
      <w:sz w:val="24"/>
      <w:szCs w:val="24"/>
      <w:lang w:val="en-US"/>
    </w:rPr>
  </w:style>
  <w:style w:type="character" w:customStyle="1" w:styleId="Heading9Char">
    <w:name w:val="Heading 9 Char"/>
    <w:link w:val="Heading9"/>
    <w:semiHidden/>
    <w:locked/>
    <w:rsid w:val="00FE1039"/>
    <w:rPr>
      <w:rFonts w:ascii="Arial" w:hAnsi="Arial" w:cs="Arial"/>
      <w:sz w:val="22"/>
      <w:szCs w:val="22"/>
      <w:lang w:val="en-AU" w:eastAsia="en-US" w:bidi="ar-SA"/>
    </w:rPr>
  </w:style>
  <w:style w:type="paragraph" w:customStyle="1" w:styleId="TableFooter">
    <w:name w:val="Table Footer"/>
    <w:basedOn w:val="Normal"/>
    <w:link w:val="TableFooterChar"/>
    <w:rsid w:val="00F07DCC"/>
    <w:pPr>
      <w:spacing w:before="60"/>
      <w:ind w:left="330" w:hanging="330"/>
    </w:pPr>
    <w:rPr>
      <w:rFonts w:cs="Arial"/>
      <w:sz w:val="18"/>
      <w:szCs w:val="18"/>
      <w:lang w:val="en-GB"/>
    </w:rPr>
  </w:style>
  <w:style w:type="character" w:customStyle="1" w:styleId="CaptionChar">
    <w:name w:val="Caption Char"/>
    <w:aliases w:val="Char Char"/>
    <w:link w:val="Caption"/>
    <w:rsid w:val="00F07DCC"/>
    <w:rPr>
      <w:rFonts w:ascii="Arial" w:hAnsi="Arial"/>
      <w:b/>
      <w:sz w:val="22"/>
      <w:lang w:val="en-US" w:eastAsia="en-US" w:bidi="ar-SA"/>
    </w:rPr>
  </w:style>
  <w:style w:type="character" w:customStyle="1" w:styleId="Table-FooterChar">
    <w:name w:val="Table-Footer Char"/>
    <w:link w:val="Table-Footer"/>
    <w:rsid w:val="00F572D2"/>
    <w:rPr>
      <w:rFonts w:ascii="Arial" w:hAnsi="Arial"/>
      <w:sz w:val="16"/>
      <w:lang w:val="en-US" w:eastAsia="en-US" w:bidi="ar-SA"/>
    </w:rPr>
  </w:style>
  <w:style w:type="character" w:customStyle="1" w:styleId="DeltaViewInsertion">
    <w:name w:val="DeltaView Insertion"/>
    <w:rsid w:val="00F572D2"/>
    <w:rPr>
      <w:color w:val="0000FF"/>
      <w:spacing w:val="0"/>
      <w:u w:val="double"/>
    </w:rPr>
  </w:style>
  <w:style w:type="paragraph" w:customStyle="1" w:styleId="StyleTable-HeadingLeft">
    <w:name w:val="Style Table-Heading + Left"/>
    <w:basedOn w:val="Table-Heading"/>
    <w:rsid w:val="009A2BF4"/>
    <w:pPr>
      <w:spacing w:before="60" w:after="60"/>
    </w:pPr>
    <w:rPr>
      <w:bCs/>
    </w:rPr>
  </w:style>
  <w:style w:type="paragraph" w:customStyle="1" w:styleId="PIText">
    <w:name w:val="PI Text"/>
    <w:basedOn w:val="Normal"/>
    <w:link w:val="PITextChar"/>
    <w:rsid w:val="00253429"/>
    <w:pPr>
      <w:spacing w:before="120"/>
    </w:pPr>
    <w:rPr>
      <w:sz w:val="24"/>
      <w:szCs w:val="24"/>
      <w:lang w:val="en-US"/>
    </w:rPr>
  </w:style>
  <w:style w:type="character" w:customStyle="1" w:styleId="PITextChar">
    <w:name w:val="PI Text Char"/>
    <w:link w:val="PIText"/>
    <w:rsid w:val="00253429"/>
    <w:rPr>
      <w:rFonts w:ascii="Arial" w:hAnsi="Arial"/>
      <w:sz w:val="24"/>
      <w:szCs w:val="24"/>
      <w:lang w:val="en-US" w:eastAsia="en-US" w:bidi="ar-SA"/>
    </w:rPr>
  </w:style>
  <w:style w:type="character" w:customStyle="1" w:styleId="NormalWebChar">
    <w:name w:val="Normal (Web) Char"/>
    <w:link w:val="NormalWeb"/>
    <w:rsid w:val="00B45C09"/>
    <w:rPr>
      <w:sz w:val="24"/>
      <w:szCs w:val="24"/>
      <w:lang w:val="en-AU" w:eastAsia="en-US" w:bidi="ar-SA"/>
    </w:rPr>
  </w:style>
  <w:style w:type="character" w:styleId="Strong">
    <w:name w:val="Strong"/>
    <w:qFormat/>
    <w:rsid w:val="00FC3DD2"/>
    <w:rPr>
      <w:b/>
      <w:bCs/>
    </w:rPr>
  </w:style>
  <w:style w:type="paragraph" w:customStyle="1" w:styleId="TableText">
    <w:name w:val="Table Text"/>
    <w:basedOn w:val="Normal"/>
    <w:rsid w:val="00FD27B9"/>
    <w:pPr>
      <w:keepNext/>
      <w:keepLines/>
      <w:spacing w:before="60" w:after="60"/>
      <w:jc w:val="center"/>
    </w:pPr>
    <w:rPr>
      <w:rFonts w:cs="Arial"/>
      <w:lang w:val="en-US"/>
    </w:rPr>
  </w:style>
  <w:style w:type="character" w:customStyle="1" w:styleId="CommentTextChar">
    <w:name w:val="Comment Text Char"/>
    <w:aliases w:val="Annotationtext Char"/>
    <w:link w:val="CommentText"/>
    <w:rsid w:val="003150E5"/>
    <w:rPr>
      <w:lang w:val="en-US" w:eastAsia="en-US" w:bidi="ar-SA"/>
    </w:rPr>
  </w:style>
  <w:style w:type="paragraph" w:customStyle="1" w:styleId="TableFootnote">
    <w:name w:val="Table Footnote"/>
    <w:basedOn w:val="Normal"/>
    <w:rsid w:val="00352C65"/>
    <w:pPr>
      <w:keepNext/>
      <w:keepLines/>
      <w:ind w:left="360" w:hanging="360"/>
    </w:pPr>
    <w:rPr>
      <w:sz w:val="18"/>
      <w:szCs w:val="18"/>
      <w:lang w:val="en-US"/>
    </w:rPr>
  </w:style>
  <w:style w:type="character" w:customStyle="1" w:styleId="FooterChar">
    <w:name w:val="Footer Char"/>
    <w:link w:val="Footer"/>
    <w:locked/>
    <w:rsid w:val="00E92D31"/>
    <w:rPr>
      <w:rFonts w:ascii="Arial" w:hAnsi="Arial"/>
      <w:sz w:val="22"/>
      <w:lang w:val="en-US" w:eastAsia="en-US" w:bidi="ar-SA"/>
    </w:rPr>
  </w:style>
  <w:style w:type="character" w:customStyle="1" w:styleId="Table-TextChar">
    <w:name w:val="Table-Text Char"/>
    <w:link w:val="Table-Text"/>
    <w:rsid w:val="00E92D31"/>
    <w:rPr>
      <w:sz w:val="16"/>
      <w:lang w:val="en-US" w:eastAsia="en-US" w:bidi="ar-SA"/>
    </w:rPr>
  </w:style>
  <w:style w:type="character" w:customStyle="1" w:styleId="FontStyle20">
    <w:name w:val="Font Style20"/>
    <w:rsid w:val="00F65AC3"/>
    <w:rPr>
      <w:rFonts w:ascii="Times New Roman" w:hAnsi="Times New Roman" w:cs="Times New Roman"/>
      <w:color w:val="000000"/>
      <w:sz w:val="20"/>
      <w:szCs w:val="20"/>
    </w:rPr>
  </w:style>
  <w:style w:type="paragraph" w:customStyle="1" w:styleId="Default">
    <w:name w:val="Default"/>
    <w:rsid w:val="00323FFC"/>
    <w:pPr>
      <w:autoSpaceDE w:val="0"/>
      <w:autoSpaceDN w:val="0"/>
      <w:adjustRightInd w:val="0"/>
    </w:pPr>
    <w:rPr>
      <w:color w:val="000000"/>
      <w:sz w:val="24"/>
      <w:szCs w:val="24"/>
    </w:rPr>
  </w:style>
  <w:style w:type="paragraph" w:customStyle="1" w:styleId="SynopsisIndent">
    <w:name w:val="Synopsis Indent"/>
    <w:basedOn w:val="Normal"/>
    <w:rsid w:val="00EE08F9"/>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89697E"/>
    <w:rPr>
      <w:sz w:val="24"/>
    </w:rPr>
  </w:style>
  <w:style w:type="paragraph" w:customStyle="1" w:styleId="PIText1">
    <w:name w:val="PI Text 1"/>
    <w:basedOn w:val="Text10"/>
    <w:link w:val="PIText1Char"/>
    <w:rsid w:val="00396688"/>
    <w:pPr>
      <w:spacing w:before="180" w:after="180"/>
      <w:outlineLvl w:val="1"/>
    </w:pPr>
    <w:rPr>
      <w:rFonts w:ascii="Arial" w:hAnsi="Arial" w:cs="Arial"/>
      <w:szCs w:val="24"/>
    </w:rPr>
  </w:style>
  <w:style w:type="character" w:customStyle="1" w:styleId="PIText1Char">
    <w:name w:val="PI Text 1 Char"/>
    <w:link w:val="PIText1"/>
    <w:rsid w:val="00396688"/>
    <w:rPr>
      <w:rFonts w:ascii="Arial" w:hAnsi="Arial" w:cs="Arial"/>
      <w:sz w:val="24"/>
      <w:szCs w:val="24"/>
    </w:rPr>
  </w:style>
  <w:style w:type="paragraph" w:customStyle="1" w:styleId="StyleTable-Heading12pt">
    <w:name w:val="Style Table-Heading + 12 pt"/>
    <w:basedOn w:val="Table-Heading"/>
    <w:rsid w:val="00396688"/>
    <w:pPr>
      <w:spacing w:before="60" w:after="60"/>
      <w:jc w:val="center"/>
    </w:pPr>
    <w:rPr>
      <w:rFonts w:ascii="Arial" w:hAnsi="Arial"/>
      <w:bCs/>
      <w:sz w:val="24"/>
    </w:rPr>
  </w:style>
  <w:style w:type="character" w:customStyle="1" w:styleId="BodyTextChar">
    <w:name w:val="Body Text Char"/>
    <w:link w:val="BodyText"/>
    <w:rsid w:val="007618E9"/>
    <w:rPr>
      <w:color w:val="000000"/>
      <w:sz w:val="24"/>
      <w:lang w:val="en-AU"/>
    </w:rPr>
  </w:style>
  <w:style w:type="character" w:customStyle="1" w:styleId="TitleChar">
    <w:name w:val="Title Char"/>
    <w:link w:val="Title"/>
    <w:rsid w:val="007618E9"/>
    <w:rPr>
      <w:rFonts w:ascii="TimesNewRoman,Bold" w:hAnsi="TimesNewRoman,Bold"/>
      <w:b/>
      <w:snapToGrid w:val="0"/>
      <w:sz w:val="22"/>
    </w:rPr>
  </w:style>
  <w:style w:type="character" w:customStyle="1" w:styleId="SubtitleChar">
    <w:name w:val="Subtitle Char"/>
    <w:link w:val="Subtitle"/>
    <w:rsid w:val="007618E9"/>
    <w:rPr>
      <w:rFonts w:ascii="TimesNewRoman,Bold" w:hAnsi="TimesNewRoman,Bold"/>
      <w:b/>
      <w:snapToGrid w:val="0"/>
      <w:sz w:val="22"/>
    </w:rPr>
  </w:style>
  <w:style w:type="paragraph" w:styleId="Revision">
    <w:name w:val="Revision"/>
    <w:hidden/>
    <w:uiPriority w:val="99"/>
    <w:semiHidden/>
    <w:rsid w:val="001F2C3F"/>
    <w:rPr>
      <w:rFonts w:ascii="Arial" w:hAnsi="Arial"/>
      <w:lang w:eastAsia="en-US"/>
    </w:rPr>
  </w:style>
  <w:style w:type="paragraph" w:customStyle="1" w:styleId="expldot1">
    <w:name w:val="expldot1"/>
    <w:basedOn w:val="Normal"/>
    <w:qFormat/>
    <w:rsid w:val="005042D6"/>
    <w:pPr>
      <w:numPr>
        <w:numId w:val="15"/>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 w:type="paragraph" w:customStyle="1" w:styleId="Style1Bold">
    <w:name w:val="Style1Bold"/>
    <w:basedOn w:val="Normal"/>
    <w:rsid w:val="00844D01"/>
    <w:pPr>
      <w:tabs>
        <w:tab w:val="left" w:pos="2160"/>
        <w:tab w:val="right" w:pos="9360"/>
      </w:tabs>
    </w:pPr>
    <w:rPr>
      <w:rFonts w:ascii="Times New Roman" w:hAnsi="Times New Roman"/>
      <w:b/>
      <w:color w:val="000000"/>
      <w:sz w:val="24"/>
      <w:lang w:val="en-US"/>
    </w:rPr>
  </w:style>
  <w:style w:type="paragraph" w:customStyle="1" w:styleId="TableCellCenter">
    <w:name w:val="Table Cell Center"/>
    <w:basedOn w:val="Normal"/>
    <w:rsid w:val="00AC1A10"/>
    <w:pPr>
      <w:spacing w:before="60" w:after="60"/>
      <w:jc w:val="center"/>
    </w:pPr>
    <w:rPr>
      <w:rFonts w:ascii="Times New Roman" w:eastAsia="Arial Unicode MS" w:hAnsi="Times New Roman"/>
      <w:color w:val="000000"/>
      <w:szCs w:val="24"/>
      <w:lang w:val="en-US"/>
    </w:rPr>
  </w:style>
  <w:style w:type="character" w:customStyle="1" w:styleId="TableFooterChar">
    <w:name w:val="Table Footer Char"/>
    <w:link w:val="TableFooter"/>
    <w:rsid w:val="00AC1A10"/>
    <w:rPr>
      <w:rFonts w:ascii="Arial" w:hAnsi="Arial" w:cs="Arial"/>
      <w:sz w:val="18"/>
      <w:szCs w:val="18"/>
      <w:lang w:val="en-GB" w:eastAsia="en-US"/>
    </w:rPr>
  </w:style>
  <w:style w:type="paragraph" w:customStyle="1" w:styleId="GListAlphas">
    <w:name w:val="G List Alphas"/>
    <w:basedOn w:val="Text10"/>
    <w:qFormat/>
    <w:rsid w:val="00034A78"/>
    <w:pPr>
      <w:numPr>
        <w:numId w:val="18"/>
      </w:numPr>
      <w:tabs>
        <w:tab w:val="clear" w:pos="360"/>
        <w:tab w:val="num" w:pos="720"/>
      </w:tabs>
      <w:ind w:left="720"/>
    </w:pPr>
    <w:rPr>
      <w:color w:val="000000"/>
    </w:rPr>
  </w:style>
  <w:style w:type="numbering" w:customStyle="1" w:styleId="GListAlpha">
    <w:name w:val="G List Alpha"/>
    <w:uiPriority w:val="99"/>
    <w:rsid w:val="00034A78"/>
    <w:pPr>
      <w:numPr>
        <w:numId w:val="17"/>
      </w:numPr>
    </w:pPr>
  </w:style>
  <w:style w:type="paragraph" w:styleId="ListParagraph">
    <w:name w:val="List Paragraph"/>
    <w:basedOn w:val="Normal"/>
    <w:uiPriority w:val="34"/>
    <w:qFormat/>
    <w:rsid w:val="00034A78"/>
    <w:pPr>
      <w:ind w:left="720"/>
      <w:contextualSpacing/>
    </w:pPr>
    <w:rPr>
      <w:sz w:val="24"/>
      <w:lang w:val="en-US"/>
    </w:rPr>
  </w:style>
  <w:style w:type="character" w:customStyle="1" w:styleId="HeaderChar">
    <w:name w:val="Header Char"/>
    <w:link w:val="Header"/>
    <w:uiPriority w:val="99"/>
    <w:rsid w:val="000011B1"/>
    <w:rPr>
      <w:rFonts w:ascii="Arial" w:hAnsi="Arial"/>
      <w:b/>
      <w:sz w:val="22"/>
      <w:lang w:val="en-US" w:eastAsia="en-US"/>
    </w:rPr>
  </w:style>
  <w:style w:type="character" w:customStyle="1" w:styleId="Heading1Char">
    <w:name w:val="Heading 1 Char"/>
    <w:link w:val="Heading1"/>
    <w:rsid w:val="001C7DDC"/>
    <w:rPr>
      <w:i/>
      <w:lang w:val="en-US" w:eastAsia="en-US"/>
    </w:rPr>
  </w:style>
  <w:style w:type="character" w:customStyle="1" w:styleId="Heading2Char">
    <w:name w:val="Heading 2 Char"/>
    <w:link w:val="Heading2"/>
    <w:rsid w:val="001C7DDC"/>
    <w:rPr>
      <w:sz w:val="24"/>
      <w:lang w:val="en-US" w:eastAsia="en-US"/>
    </w:rPr>
  </w:style>
  <w:style w:type="character" w:customStyle="1" w:styleId="Heading3Char">
    <w:name w:val="Heading 3 Char"/>
    <w:link w:val="Heading3"/>
    <w:rsid w:val="001C7DDC"/>
    <w:rPr>
      <w:b/>
      <w:sz w:val="24"/>
      <w:lang w:eastAsia="en-US"/>
    </w:rPr>
  </w:style>
  <w:style w:type="character" w:customStyle="1" w:styleId="Heading4Char">
    <w:name w:val="Heading 4 Char"/>
    <w:link w:val="Heading4"/>
    <w:rsid w:val="001C7DDC"/>
    <w:rPr>
      <w:color w:val="000000"/>
      <w:sz w:val="24"/>
      <w:lang w:val="en-US" w:eastAsia="en-US"/>
    </w:rPr>
  </w:style>
  <w:style w:type="paragraph" w:customStyle="1" w:styleId="CMI">
    <w:name w:val="CMI"/>
    <w:basedOn w:val="Heading1"/>
    <w:rsid w:val="001C7DDC"/>
    <w:pPr>
      <w:keepNext w:val="0"/>
      <w:widowControl w:val="0"/>
      <w:suppressAutoHyphens/>
      <w:spacing w:after="180" w:line="360" w:lineRule="exact"/>
      <w:ind w:right="3403"/>
    </w:pPr>
    <w:rPr>
      <w:rFonts w:ascii="Helvetica" w:hAnsi="Helvetica"/>
      <w:b/>
      <w:i w:val="0"/>
      <w:kern w:val="28"/>
      <w:sz w:val="22"/>
      <w:szCs w:val="22"/>
      <w:lang w:val="en-AU"/>
    </w:rPr>
  </w:style>
  <w:style w:type="paragraph" w:customStyle="1" w:styleId="expl">
    <w:name w:val="expl"/>
    <w:basedOn w:val="Normal"/>
    <w:rsid w:val="001C7DDC"/>
    <w:pPr>
      <w:spacing w:before="20" w:after="80" w:line="260" w:lineRule="exact"/>
    </w:pPr>
    <w:rPr>
      <w:rFonts w:ascii="Times New Roman" w:hAnsi="Times New Roman"/>
      <w:lang w:eastAsia="en-AU"/>
    </w:rPr>
  </w:style>
  <w:style w:type="paragraph" w:customStyle="1" w:styleId="genericname">
    <w:name w:val="generic name"/>
    <w:basedOn w:val="Normal"/>
    <w:rsid w:val="001C7DDC"/>
    <w:pPr>
      <w:pBdr>
        <w:bottom w:val="single" w:sz="4" w:space="3" w:color="000000"/>
      </w:pBdr>
      <w:spacing w:after="80"/>
    </w:pPr>
    <w:rPr>
      <w:rFonts w:ascii="Helvetica" w:hAnsi="Helvetica"/>
      <w:i/>
      <w:sz w:val="22"/>
      <w:lang w:eastAsia="en-AU"/>
    </w:rPr>
  </w:style>
  <w:style w:type="paragraph" w:customStyle="1" w:styleId="Heading2MAINFIRST">
    <w:name w:val="Heading 2 MAIN FIRST"/>
    <w:basedOn w:val="Heading2"/>
    <w:rsid w:val="001C7DDC"/>
    <w:pPr>
      <w:pBdr>
        <w:top w:val="single" w:sz="4" w:space="3" w:color="auto"/>
        <w:bottom w:val="single" w:sz="4" w:space="3" w:color="auto"/>
      </w:pBdr>
      <w:spacing w:after="180" w:line="280" w:lineRule="exact"/>
    </w:pPr>
    <w:rPr>
      <w:rFonts w:ascii="Helvetica" w:hAnsi="Helvetica"/>
      <w:b/>
      <w:sz w:val="28"/>
      <w:lang w:val="en-AU" w:eastAsia="en-AU"/>
    </w:rPr>
  </w:style>
  <w:style w:type="paragraph" w:customStyle="1" w:styleId="inst">
    <w:name w:val="inst"/>
    <w:basedOn w:val="expl"/>
    <w:rsid w:val="001C7DDC"/>
    <w:rPr>
      <w:b/>
      <w:bCs/>
    </w:rPr>
  </w:style>
  <w:style w:type="paragraph" w:customStyle="1" w:styleId="instdot1">
    <w:name w:val="instdot1"/>
    <w:basedOn w:val="Normal"/>
    <w:qFormat/>
    <w:rsid w:val="001C7DDC"/>
    <w:pPr>
      <w:numPr>
        <w:numId w:val="23"/>
      </w:numPr>
      <w:tabs>
        <w:tab w:val="left" w:pos="284"/>
        <w:tab w:val="left" w:pos="567"/>
        <w:tab w:val="left" w:pos="851"/>
        <w:tab w:val="left" w:pos="1134"/>
        <w:tab w:val="left" w:pos="1418"/>
      </w:tabs>
      <w:spacing w:before="20" w:after="80" w:line="260" w:lineRule="exact"/>
    </w:pPr>
    <w:rPr>
      <w:rFonts w:ascii="Times New Roman" w:hAnsi="Times New Roman"/>
      <w:b/>
      <w:bCs/>
      <w:lang w:eastAsia="en-AU"/>
    </w:rPr>
  </w:style>
  <w:style w:type="table" w:styleId="LightGrid">
    <w:name w:val="Light Grid"/>
    <w:basedOn w:val="TableNormal"/>
    <w:uiPriority w:val="62"/>
    <w:rsid w:val="00F75C4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graph">
    <w:name w:val="Paragraph"/>
    <w:rsid w:val="00D83F5A"/>
    <w:pPr>
      <w:spacing w:after="240"/>
    </w:pPr>
    <w:rPr>
      <w:rFonts w:eastAsia="Arial Unicode MS"/>
      <w:sz w:val="24"/>
      <w:szCs w:val="24"/>
      <w:lang w:val="en-US" w:eastAsia="en-US"/>
    </w:rPr>
  </w:style>
  <w:style w:type="numbering" w:customStyle="1" w:styleId="GListBullet">
    <w:name w:val="G List Bullet"/>
    <w:basedOn w:val="NoList"/>
    <w:uiPriority w:val="99"/>
    <w:rsid w:val="009C6B31"/>
    <w:pPr>
      <w:numPr>
        <w:numId w:val="25"/>
      </w:numPr>
    </w:pPr>
  </w:style>
  <w:style w:type="paragraph" w:customStyle="1" w:styleId="GListBullets">
    <w:name w:val="G List Bullets"/>
    <w:basedOn w:val="Text10"/>
    <w:qFormat/>
    <w:rsid w:val="009C6B31"/>
    <w:pPr>
      <w:numPr>
        <w:numId w:val="26"/>
      </w:numPr>
      <w:tabs>
        <w:tab w:val="clear" w:pos="360"/>
        <w:tab w:val="num" w:pos="1080"/>
      </w:tabs>
      <w:spacing w:before="120"/>
      <w:ind w:left="1080" w:hanging="72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964">
      <w:bodyDiv w:val="1"/>
      <w:marLeft w:val="0"/>
      <w:marRight w:val="0"/>
      <w:marTop w:val="0"/>
      <w:marBottom w:val="0"/>
      <w:divBdr>
        <w:top w:val="none" w:sz="0" w:space="0" w:color="auto"/>
        <w:left w:val="none" w:sz="0" w:space="0" w:color="auto"/>
        <w:bottom w:val="none" w:sz="0" w:space="0" w:color="auto"/>
        <w:right w:val="none" w:sz="0" w:space="0" w:color="auto"/>
      </w:divBdr>
    </w:div>
    <w:div w:id="41443838">
      <w:bodyDiv w:val="1"/>
      <w:marLeft w:val="0"/>
      <w:marRight w:val="0"/>
      <w:marTop w:val="0"/>
      <w:marBottom w:val="0"/>
      <w:divBdr>
        <w:top w:val="none" w:sz="0" w:space="0" w:color="auto"/>
        <w:left w:val="none" w:sz="0" w:space="0" w:color="auto"/>
        <w:bottom w:val="none" w:sz="0" w:space="0" w:color="auto"/>
        <w:right w:val="none" w:sz="0" w:space="0" w:color="auto"/>
      </w:divBdr>
    </w:div>
    <w:div w:id="45841254">
      <w:bodyDiv w:val="1"/>
      <w:marLeft w:val="0"/>
      <w:marRight w:val="0"/>
      <w:marTop w:val="0"/>
      <w:marBottom w:val="0"/>
      <w:divBdr>
        <w:top w:val="none" w:sz="0" w:space="0" w:color="auto"/>
        <w:left w:val="none" w:sz="0" w:space="0" w:color="auto"/>
        <w:bottom w:val="none" w:sz="0" w:space="0" w:color="auto"/>
        <w:right w:val="none" w:sz="0" w:space="0" w:color="auto"/>
      </w:divBdr>
    </w:div>
    <w:div w:id="116217669">
      <w:bodyDiv w:val="1"/>
      <w:marLeft w:val="0"/>
      <w:marRight w:val="0"/>
      <w:marTop w:val="0"/>
      <w:marBottom w:val="0"/>
      <w:divBdr>
        <w:top w:val="none" w:sz="0" w:space="0" w:color="auto"/>
        <w:left w:val="none" w:sz="0" w:space="0" w:color="auto"/>
        <w:bottom w:val="none" w:sz="0" w:space="0" w:color="auto"/>
        <w:right w:val="none" w:sz="0" w:space="0" w:color="auto"/>
      </w:divBdr>
    </w:div>
    <w:div w:id="147867369">
      <w:bodyDiv w:val="1"/>
      <w:marLeft w:val="0"/>
      <w:marRight w:val="0"/>
      <w:marTop w:val="0"/>
      <w:marBottom w:val="0"/>
      <w:divBdr>
        <w:top w:val="none" w:sz="0" w:space="0" w:color="auto"/>
        <w:left w:val="none" w:sz="0" w:space="0" w:color="auto"/>
        <w:bottom w:val="none" w:sz="0" w:space="0" w:color="auto"/>
        <w:right w:val="none" w:sz="0" w:space="0" w:color="auto"/>
      </w:divBdr>
    </w:div>
    <w:div w:id="184943751">
      <w:bodyDiv w:val="1"/>
      <w:marLeft w:val="0"/>
      <w:marRight w:val="0"/>
      <w:marTop w:val="0"/>
      <w:marBottom w:val="0"/>
      <w:divBdr>
        <w:top w:val="none" w:sz="0" w:space="0" w:color="auto"/>
        <w:left w:val="none" w:sz="0" w:space="0" w:color="auto"/>
        <w:bottom w:val="none" w:sz="0" w:space="0" w:color="auto"/>
        <w:right w:val="none" w:sz="0" w:space="0" w:color="auto"/>
      </w:divBdr>
    </w:div>
    <w:div w:id="197471570">
      <w:bodyDiv w:val="1"/>
      <w:marLeft w:val="0"/>
      <w:marRight w:val="0"/>
      <w:marTop w:val="0"/>
      <w:marBottom w:val="0"/>
      <w:divBdr>
        <w:top w:val="none" w:sz="0" w:space="0" w:color="auto"/>
        <w:left w:val="none" w:sz="0" w:space="0" w:color="auto"/>
        <w:bottom w:val="none" w:sz="0" w:space="0" w:color="auto"/>
        <w:right w:val="none" w:sz="0" w:space="0" w:color="auto"/>
      </w:divBdr>
    </w:div>
    <w:div w:id="202442544">
      <w:bodyDiv w:val="1"/>
      <w:marLeft w:val="0"/>
      <w:marRight w:val="0"/>
      <w:marTop w:val="0"/>
      <w:marBottom w:val="0"/>
      <w:divBdr>
        <w:top w:val="none" w:sz="0" w:space="0" w:color="auto"/>
        <w:left w:val="none" w:sz="0" w:space="0" w:color="auto"/>
        <w:bottom w:val="none" w:sz="0" w:space="0" w:color="auto"/>
        <w:right w:val="none" w:sz="0" w:space="0" w:color="auto"/>
      </w:divBdr>
    </w:div>
    <w:div w:id="218128353">
      <w:bodyDiv w:val="1"/>
      <w:marLeft w:val="0"/>
      <w:marRight w:val="0"/>
      <w:marTop w:val="0"/>
      <w:marBottom w:val="0"/>
      <w:divBdr>
        <w:top w:val="none" w:sz="0" w:space="0" w:color="auto"/>
        <w:left w:val="none" w:sz="0" w:space="0" w:color="auto"/>
        <w:bottom w:val="none" w:sz="0" w:space="0" w:color="auto"/>
        <w:right w:val="none" w:sz="0" w:space="0" w:color="auto"/>
      </w:divBdr>
    </w:div>
    <w:div w:id="235894383">
      <w:bodyDiv w:val="1"/>
      <w:marLeft w:val="0"/>
      <w:marRight w:val="0"/>
      <w:marTop w:val="0"/>
      <w:marBottom w:val="0"/>
      <w:divBdr>
        <w:top w:val="none" w:sz="0" w:space="0" w:color="auto"/>
        <w:left w:val="none" w:sz="0" w:space="0" w:color="auto"/>
        <w:bottom w:val="none" w:sz="0" w:space="0" w:color="auto"/>
        <w:right w:val="none" w:sz="0" w:space="0" w:color="auto"/>
      </w:divBdr>
    </w:div>
    <w:div w:id="249435318">
      <w:bodyDiv w:val="1"/>
      <w:marLeft w:val="0"/>
      <w:marRight w:val="0"/>
      <w:marTop w:val="0"/>
      <w:marBottom w:val="0"/>
      <w:divBdr>
        <w:top w:val="none" w:sz="0" w:space="0" w:color="auto"/>
        <w:left w:val="none" w:sz="0" w:space="0" w:color="auto"/>
        <w:bottom w:val="none" w:sz="0" w:space="0" w:color="auto"/>
        <w:right w:val="none" w:sz="0" w:space="0" w:color="auto"/>
      </w:divBdr>
    </w:div>
    <w:div w:id="258372469">
      <w:bodyDiv w:val="1"/>
      <w:marLeft w:val="0"/>
      <w:marRight w:val="0"/>
      <w:marTop w:val="0"/>
      <w:marBottom w:val="0"/>
      <w:divBdr>
        <w:top w:val="none" w:sz="0" w:space="0" w:color="auto"/>
        <w:left w:val="none" w:sz="0" w:space="0" w:color="auto"/>
        <w:bottom w:val="none" w:sz="0" w:space="0" w:color="auto"/>
        <w:right w:val="none" w:sz="0" w:space="0" w:color="auto"/>
      </w:divBdr>
    </w:div>
    <w:div w:id="288164975">
      <w:bodyDiv w:val="1"/>
      <w:marLeft w:val="0"/>
      <w:marRight w:val="0"/>
      <w:marTop w:val="0"/>
      <w:marBottom w:val="0"/>
      <w:divBdr>
        <w:top w:val="none" w:sz="0" w:space="0" w:color="auto"/>
        <w:left w:val="none" w:sz="0" w:space="0" w:color="auto"/>
        <w:bottom w:val="none" w:sz="0" w:space="0" w:color="auto"/>
        <w:right w:val="none" w:sz="0" w:space="0" w:color="auto"/>
      </w:divBdr>
    </w:div>
    <w:div w:id="359673700">
      <w:bodyDiv w:val="1"/>
      <w:marLeft w:val="0"/>
      <w:marRight w:val="0"/>
      <w:marTop w:val="0"/>
      <w:marBottom w:val="0"/>
      <w:divBdr>
        <w:top w:val="none" w:sz="0" w:space="0" w:color="auto"/>
        <w:left w:val="none" w:sz="0" w:space="0" w:color="auto"/>
        <w:bottom w:val="none" w:sz="0" w:space="0" w:color="auto"/>
        <w:right w:val="none" w:sz="0" w:space="0" w:color="auto"/>
      </w:divBdr>
    </w:div>
    <w:div w:id="364645642">
      <w:bodyDiv w:val="1"/>
      <w:marLeft w:val="0"/>
      <w:marRight w:val="0"/>
      <w:marTop w:val="0"/>
      <w:marBottom w:val="0"/>
      <w:divBdr>
        <w:top w:val="none" w:sz="0" w:space="0" w:color="auto"/>
        <w:left w:val="none" w:sz="0" w:space="0" w:color="auto"/>
        <w:bottom w:val="none" w:sz="0" w:space="0" w:color="auto"/>
        <w:right w:val="none" w:sz="0" w:space="0" w:color="auto"/>
      </w:divBdr>
    </w:div>
    <w:div w:id="428041657">
      <w:bodyDiv w:val="1"/>
      <w:marLeft w:val="0"/>
      <w:marRight w:val="0"/>
      <w:marTop w:val="0"/>
      <w:marBottom w:val="0"/>
      <w:divBdr>
        <w:top w:val="none" w:sz="0" w:space="0" w:color="auto"/>
        <w:left w:val="none" w:sz="0" w:space="0" w:color="auto"/>
        <w:bottom w:val="none" w:sz="0" w:space="0" w:color="auto"/>
        <w:right w:val="none" w:sz="0" w:space="0" w:color="auto"/>
      </w:divBdr>
    </w:div>
    <w:div w:id="453141111">
      <w:bodyDiv w:val="1"/>
      <w:marLeft w:val="0"/>
      <w:marRight w:val="0"/>
      <w:marTop w:val="0"/>
      <w:marBottom w:val="0"/>
      <w:divBdr>
        <w:top w:val="none" w:sz="0" w:space="0" w:color="auto"/>
        <w:left w:val="none" w:sz="0" w:space="0" w:color="auto"/>
        <w:bottom w:val="none" w:sz="0" w:space="0" w:color="auto"/>
        <w:right w:val="none" w:sz="0" w:space="0" w:color="auto"/>
      </w:divBdr>
    </w:div>
    <w:div w:id="485364327">
      <w:bodyDiv w:val="1"/>
      <w:marLeft w:val="0"/>
      <w:marRight w:val="0"/>
      <w:marTop w:val="0"/>
      <w:marBottom w:val="0"/>
      <w:divBdr>
        <w:top w:val="none" w:sz="0" w:space="0" w:color="auto"/>
        <w:left w:val="none" w:sz="0" w:space="0" w:color="auto"/>
        <w:bottom w:val="none" w:sz="0" w:space="0" w:color="auto"/>
        <w:right w:val="none" w:sz="0" w:space="0" w:color="auto"/>
      </w:divBdr>
    </w:div>
    <w:div w:id="507254322">
      <w:bodyDiv w:val="1"/>
      <w:marLeft w:val="0"/>
      <w:marRight w:val="0"/>
      <w:marTop w:val="0"/>
      <w:marBottom w:val="0"/>
      <w:divBdr>
        <w:top w:val="none" w:sz="0" w:space="0" w:color="auto"/>
        <w:left w:val="none" w:sz="0" w:space="0" w:color="auto"/>
        <w:bottom w:val="none" w:sz="0" w:space="0" w:color="auto"/>
        <w:right w:val="none" w:sz="0" w:space="0" w:color="auto"/>
      </w:divBdr>
    </w:div>
    <w:div w:id="600996556">
      <w:bodyDiv w:val="1"/>
      <w:marLeft w:val="0"/>
      <w:marRight w:val="0"/>
      <w:marTop w:val="0"/>
      <w:marBottom w:val="0"/>
      <w:divBdr>
        <w:top w:val="none" w:sz="0" w:space="0" w:color="auto"/>
        <w:left w:val="none" w:sz="0" w:space="0" w:color="auto"/>
        <w:bottom w:val="none" w:sz="0" w:space="0" w:color="auto"/>
        <w:right w:val="none" w:sz="0" w:space="0" w:color="auto"/>
      </w:divBdr>
    </w:div>
    <w:div w:id="630481067">
      <w:bodyDiv w:val="1"/>
      <w:marLeft w:val="0"/>
      <w:marRight w:val="0"/>
      <w:marTop w:val="0"/>
      <w:marBottom w:val="0"/>
      <w:divBdr>
        <w:top w:val="none" w:sz="0" w:space="0" w:color="auto"/>
        <w:left w:val="none" w:sz="0" w:space="0" w:color="auto"/>
        <w:bottom w:val="none" w:sz="0" w:space="0" w:color="auto"/>
        <w:right w:val="none" w:sz="0" w:space="0" w:color="auto"/>
      </w:divBdr>
    </w:div>
    <w:div w:id="649676641">
      <w:bodyDiv w:val="1"/>
      <w:marLeft w:val="0"/>
      <w:marRight w:val="0"/>
      <w:marTop w:val="0"/>
      <w:marBottom w:val="0"/>
      <w:divBdr>
        <w:top w:val="none" w:sz="0" w:space="0" w:color="auto"/>
        <w:left w:val="none" w:sz="0" w:space="0" w:color="auto"/>
        <w:bottom w:val="none" w:sz="0" w:space="0" w:color="auto"/>
        <w:right w:val="none" w:sz="0" w:space="0" w:color="auto"/>
      </w:divBdr>
    </w:div>
    <w:div w:id="656304908">
      <w:bodyDiv w:val="1"/>
      <w:marLeft w:val="0"/>
      <w:marRight w:val="0"/>
      <w:marTop w:val="0"/>
      <w:marBottom w:val="0"/>
      <w:divBdr>
        <w:top w:val="none" w:sz="0" w:space="0" w:color="auto"/>
        <w:left w:val="none" w:sz="0" w:space="0" w:color="auto"/>
        <w:bottom w:val="none" w:sz="0" w:space="0" w:color="auto"/>
        <w:right w:val="none" w:sz="0" w:space="0" w:color="auto"/>
      </w:divBdr>
    </w:div>
    <w:div w:id="672025402">
      <w:bodyDiv w:val="1"/>
      <w:marLeft w:val="0"/>
      <w:marRight w:val="0"/>
      <w:marTop w:val="0"/>
      <w:marBottom w:val="0"/>
      <w:divBdr>
        <w:top w:val="none" w:sz="0" w:space="0" w:color="auto"/>
        <w:left w:val="none" w:sz="0" w:space="0" w:color="auto"/>
        <w:bottom w:val="none" w:sz="0" w:space="0" w:color="auto"/>
        <w:right w:val="none" w:sz="0" w:space="0" w:color="auto"/>
      </w:divBdr>
    </w:div>
    <w:div w:id="731468452">
      <w:bodyDiv w:val="1"/>
      <w:marLeft w:val="0"/>
      <w:marRight w:val="0"/>
      <w:marTop w:val="0"/>
      <w:marBottom w:val="0"/>
      <w:divBdr>
        <w:top w:val="none" w:sz="0" w:space="0" w:color="auto"/>
        <w:left w:val="none" w:sz="0" w:space="0" w:color="auto"/>
        <w:bottom w:val="none" w:sz="0" w:space="0" w:color="auto"/>
        <w:right w:val="none" w:sz="0" w:space="0" w:color="auto"/>
      </w:divBdr>
    </w:div>
    <w:div w:id="792092275">
      <w:bodyDiv w:val="1"/>
      <w:marLeft w:val="0"/>
      <w:marRight w:val="0"/>
      <w:marTop w:val="0"/>
      <w:marBottom w:val="0"/>
      <w:divBdr>
        <w:top w:val="none" w:sz="0" w:space="0" w:color="auto"/>
        <w:left w:val="none" w:sz="0" w:space="0" w:color="auto"/>
        <w:bottom w:val="none" w:sz="0" w:space="0" w:color="auto"/>
        <w:right w:val="none" w:sz="0" w:space="0" w:color="auto"/>
      </w:divBdr>
    </w:div>
    <w:div w:id="826169168">
      <w:bodyDiv w:val="1"/>
      <w:marLeft w:val="0"/>
      <w:marRight w:val="0"/>
      <w:marTop w:val="0"/>
      <w:marBottom w:val="0"/>
      <w:divBdr>
        <w:top w:val="none" w:sz="0" w:space="0" w:color="auto"/>
        <w:left w:val="none" w:sz="0" w:space="0" w:color="auto"/>
        <w:bottom w:val="none" w:sz="0" w:space="0" w:color="auto"/>
        <w:right w:val="none" w:sz="0" w:space="0" w:color="auto"/>
      </w:divBdr>
    </w:div>
    <w:div w:id="854614772">
      <w:bodyDiv w:val="1"/>
      <w:marLeft w:val="0"/>
      <w:marRight w:val="0"/>
      <w:marTop w:val="0"/>
      <w:marBottom w:val="0"/>
      <w:divBdr>
        <w:top w:val="none" w:sz="0" w:space="0" w:color="auto"/>
        <w:left w:val="none" w:sz="0" w:space="0" w:color="auto"/>
        <w:bottom w:val="none" w:sz="0" w:space="0" w:color="auto"/>
        <w:right w:val="none" w:sz="0" w:space="0" w:color="auto"/>
      </w:divBdr>
    </w:div>
    <w:div w:id="856650338">
      <w:bodyDiv w:val="1"/>
      <w:marLeft w:val="0"/>
      <w:marRight w:val="0"/>
      <w:marTop w:val="0"/>
      <w:marBottom w:val="0"/>
      <w:divBdr>
        <w:top w:val="none" w:sz="0" w:space="0" w:color="auto"/>
        <w:left w:val="none" w:sz="0" w:space="0" w:color="auto"/>
        <w:bottom w:val="none" w:sz="0" w:space="0" w:color="auto"/>
        <w:right w:val="none" w:sz="0" w:space="0" w:color="auto"/>
      </w:divBdr>
    </w:div>
    <w:div w:id="883905209">
      <w:bodyDiv w:val="1"/>
      <w:marLeft w:val="0"/>
      <w:marRight w:val="0"/>
      <w:marTop w:val="0"/>
      <w:marBottom w:val="0"/>
      <w:divBdr>
        <w:top w:val="none" w:sz="0" w:space="0" w:color="auto"/>
        <w:left w:val="none" w:sz="0" w:space="0" w:color="auto"/>
        <w:bottom w:val="none" w:sz="0" w:space="0" w:color="auto"/>
        <w:right w:val="none" w:sz="0" w:space="0" w:color="auto"/>
      </w:divBdr>
    </w:div>
    <w:div w:id="910581972">
      <w:bodyDiv w:val="1"/>
      <w:marLeft w:val="0"/>
      <w:marRight w:val="0"/>
      <w:marTop w:val="0"/>
      <w:marBottom w:val="0"/>
      <w:divBdr>
        <w:top w:val="none" w:sz="0" w:space="0" w:color="auto"/>
        <w:left w:val="none" w:sz="0" w:space="0" w:color="auto"/>
        <w:bottom w:val="none" w:sz="0" w:space="0" w:color="auto"/>
        <w:right w:val="none" w:sz="0" w:space="0" w:color="auto"/>
      </w:divBdr>
    </w:div>
    <w:div w:id="935753548">
      <w:bodyDiv w:val="1"/>
      <w:marLeft w:val="0"/>
      <w:marRight w:val="0"/>
      <w:marTop w:val="0"/>
      <w:marBottom w:val="0"/>
      <w:divBdr>
        <w:top w:val="none" w:sz="0" w:space="0" w:color="auto"/>
        <w:left w:val="none" w:sz="0" w:space="0" w:color="auto"/>
        <w:bottom w:val="none" w:sz="0" w:space="0" w:color="auto"/>
        <w:right w:val="none" w:sz="0" w:space="0" w:color="auto"/>
      </w:divBdr>
    </w:div>
    <w:div w:id="945965604">
      <w:bodyDiv w:val="1"/>
      <w:marLeft w:val="0"/>
      <w:marRight w:val="0"/>
      <w:marTop w:val="0"/>
      <w:marBottom w:val="0"/>
      <w:divBdr>
        <w:top w:val="none" w:sz="0" w:space="0" w:color="auto"/>
        <w:left w:val="none" w:sz="0" w:space="0" w:color="auto"/>
        <w:bottom w:val="none" w:sz="0" w:space="0" w:color="auto"/>
        <w:right w:val="none" w:sz="0" w:space="0" w:color="auto"/>
      </w:divBdr>
    </w:div>
    <w:div w:id="968583211">
      <w:bodyDiv w:val="1"/>
      <w:marLeft w:val="0"/>
      <w:marRight w:val="0"/>
      <w:marTop w:val="0"/>
      <w:marBottom w:val="0"/>
      <w:divBdr>
        <w:top w:val="none" w:sz="0" w:space="0" w:color="auto"/>
        <w:left w:val="none" w:sz="0" w:space="0" w:color="auto"/>
        <w:bottom w:val="none" w:sz="0" w:space="0" w:color="auto"/>
        <w:right w:val="none" w:sz="0" w:space="0" w:color="auto"/>
      </w:divBdr>
    </w:div>
    <w:div w:id="976495754">
      <w:bodyDiv w:val="1"/>
      <w:marLeft w:val="0"/>
      <w:marRight w:val="0"/>
      <w:marTop w:val="0"/>
      <w:marBottom w:val="0"/>
      <w:divBdr>
        <w:top w:val="none" w:sz="0" w:space="0" w:color="auto"/>
        <w:left w:val="none" w:sz="0" w:space="0" w:color="auto"/>
        <w:bottom w:val="none" w:sz="0" w:space="0" w:color="auto"/>
        <w:right w:val="none" w:sz="0" w:space="0" w:color="auto"/>
      </w:divBdr>
    </w:div>
    <w:div w:id="987631999">
      <w:bodyDiv w:val="1"/>
      <w:marLeft w:val="0"/>
      <w:marRight w:val="0"/>
      <w:marTop w:val="0"/>
      <w:marBottom w:val="0"/>
      <w:divBdr>
        <w:top w:val="none" w:sz="0" w:space="0" w:color="auto"/>
        <w:left w:val="none" w:sz="0" w:space="0" w:color="auto"/>
        <w:bottom w:val="none" w:sz="0" w:space="0" w:color="auto"/>
        <w:right w:val="none" w:sz="0" w:space="0" w:color="auto"/>
      </w:divBdr>
    </w:div>
    <w:div w:id="989792081">
      <w:bodyDiv w:val="1"/>
      <w:marLeft w:val="0"/>
      <w:marRight w:val="0"/>
      <w:marTop w:val="0"/>
      <w:marBottom w:val="0"/>
      <w:divBdr>
        <w:top w:val="none" w:sz="0" w:space="0" w:color="auto"/>
        <w:left w:val="none" w:sz="0" w:space="0" w:color="auto"/>
        <w:bottom w:val="none" w:sz="0" w:space="0" w:color="auto"/>
        <w:right w:val="none" w:sz="0" w:space="0" w:color="auto"/>
      </w:divBdr>
    </w:div>
    <w:div w:id="100775108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48225612">
      <w:bodyDiv w:val="1"/>
      <w:marLeft w:val="0"/>
      <w:marRight w:val="0"/>
      <w:marTop w:val="0"/>
      <w:marBottom w:val="0"/>
      <w:divBdr>
        <w:top w:val="none" w:sz="0" w:space="0" w:color="auto"/>
        <w:left w:val="none" w:sz="0" w:space="0" w:color="auto"/>
        <w:bottom w:val="none" w:sz="0" w:space="0" w:color="auto"/>
        <w:right w:val="none" w:sz="0" w:space="0" w:color="auto"/>
      </w:divBdr>
    </w:div>
    <w:div w:id="1290473748">
      <w:bodyDiv w:val="1"/>
      <w:marLeft w:val="0"/>
      <w:marRight w:val="0"/>
      <w:marTop w:val="0"/>
      <w:marBottom w:val="0"/>
      <w:divBdr>
        <w:top w:val="none" w:sz="0" w:space="0" w:color="auto"/>
        <w:left w:val="none" w:sz="0" w:space="0" w:color="auto"/>
        <w:bottom w:val="none" w:sz="0" w:space="0" w:color="auto"/>
        <w:right w:val="none" w:sz="0" w:space="0" w:color="auto"/>
      </w:divBdr>
    </w:div>
    <w:div w:id="1295022184">
      <w:bodyDiv w:val="1"/>
      <w:marLeft w:val="0"/>
      <w:marRight w:val="0"/>
      <w:marTop w:val="0"/>
      <w:marBottom w:val="0"/>
      <w:divBdr>
        <w:top w:val="none" w:sz="0" w:space="0" w:color="auto"/>
        <w:left w:val="none" w:sz="0" w:space="0" w:color="auto"/>
        <w:bottom w:val="none" w:sz="0" w:space="0" w:color="auto"/>
        <w:right w:val="none" w:sz="0" w:space="0" w:color="auto"/>
      </w:divBdr>
    </w:div>
    <w:div w:id="1300838855">
      <w:bodyDiv w:val="1"/>
      <w:marLeft w:val="0"/>
      <w:marRight w:val="0"/>
      <w:marTop w:val="0"/>
      <w:marBottom w:val="0"/>
      <w:divBdr>
        <w:top w:val="none" w:sz="0" w:space="0" w:color="auto"/>
        <w:left w:val="none" w:sz="0" w:space="0" w:color="auto"/>
        <w:bottom w:val="none" w:sz="0" w:space="0" w:color="auto"/>
        <w:right w:val="none" w:sz="0" w:space="0" w:color="auto"/>
      </w:divBdr>
    </w:div>
    <w:div w:id="1322588278">
      <w:bodyDiv w:val="1"/>
      <w:marLeft w:val="0"/>
      <w:marRight w:val="0"/>
      <w:marTop w:val="0"/>
      <w:marBottom w:val="0"/>
      <w:divBdr>
        <w:top w:val="none" w:sz="0" w:space="0" w:color="auto"/>
        <w:left w:val="none" w:sz="0" w:space="0" w:color="auto"/>
        <w:bottom w:val="none" w:sz="0" w:space="0" w:color="auto"/>
        <w:right w:val="none" w:sz="0" w:space="0" w:color="auto"/>
      </w:divBdr>
    </w:div>
    <w:div w:id="1359745434">
      <w:bodyDiv w:val="1"/>
      <w:marLeft w:val="0"/>
      <w:marRight w:val="0"/>
      <w:marTop w:val="0"/>
      <w:marBottom w:val="0"/>
      <w:divBdr>
        <w:top w:val="none" w:sz="0" w:space="0" w:color="auto"/>
        <w:left w:val="none" w:sz="0" w:space="0" w:color="auto"/>
        <w:bottom w:val="none" w:sz="0" w:space="0" w:color="auto"/>
        <w:right w:val="none" w:sz="0" w:space="0" w:color="auto"/>
      </w:divBdr>
    </w:div>
    <w:div w:id="1478305678">
      <w:bodyDiv w:val="1"/>
      <w:marLeft w:val="0"/>
      <w:marRight w:val="0"/>
      <w:marTop w:val="0"/>
      <w:marBottom w:val="0"/>
      <w:divBdr>
        <w:top w:val="none" w:sz="0" w:space="0" w:color="auto"/>
        <w:left w:val="none" w:sz="0" w:space="0" w:color="auto"/>
        <w:bottom w:val="none" w:sz="0" w:space="0" w:color="auto"/>
        <w:right w:val="none" w:sz="0" w:space="0" w:color="auto"/>
      </w:divBdr>
    </w:div>
    <w:div w:id="1491284564">
      <w:bodyDiv w:val="1"/>
      <w:marLeft w:val="0"/>
      <w:marRight w:val="0"/>
      <w:marTop w:val="0"/>
      <w:marBottom w:val="0"/>
      <w:divBdr>
        <w:top w:val="none" w:sz="0" w:space="0" w:color="auto"/>
        <w:left w:val="none" w:sz="0" w:space="0" w:color="auto"/>
        <w:bottom w:val="none" w:sz="0" w:space="0" w:color="auto"/>
        <w:right w:val="none" w:sz="0" w:space="0" w:color="auto"/>
      </w:divBdr>
    </w:div>
    <w:div w:id="1510411634">
      <w:bodyDiv w:val="1"/>
      <w:marLeft w:val="0"/>
      <w:marRight w:val="0"/>
      <w:marTop w:val="0"/>
      <w:marBottom w:val="0"/>
      <w:divBdr>
        <w:top w:val="none" w:sz="0" w:space="0" w:color="auto"/>
        <w:left w:val="none" w:sz="0" w:space="0" w:color="auto"/>
        <w:bottom w:val="none" w:sz="0" w:space="0" w:color="auto"/>
        <w:right w:val="none" w:sz="0" w:space="0" w:color="auto"/>
      </w:divBdr>
    </w:div>
    <w:div w:id="1572733398">
      <w:bodyDiv w:val="1"/>
      <w:marLeft w:val="0"/>
      <w:marRight w:val="0"/>
      <w:marTop w:val="0"/>
      <w:marBottom w:val="0"/>
      <w:divBdr>
        <w:top w:val="none" w:sz="0" w:space="0" w:color="auto"/>
        <w:left w:val="none" w:sz="0" w:space="0" w:color="auto"/>
        <w:bottom w:val="none" w:sz="0" w:space="0" w:color="auto"/>
        <w:right w:val="none" w:sz="0" w:space="0" w:color="auto"/>
      </w:divBdr>
    </w:div>
    <w:div w:id="1590117204">
      <w:bodyDiv w:val="1"/>
      <w:marLeft w:val="0"/>
      <w:marRight w:val="0"/>
      <w:marTop w:val="0"/>
      <w:marBottom w:val="0"/>
      <w:divBdr>
        <w:top w:val="none" w:sz="0" w:space="0" w:color="auto"/>
        <w:left w:val="none" w:sz="0" w:space="0" w:color="auto"/>
        <w:bottom w:val="none" w:sz="0" w:space="0" w:color="auto"/>
        <w:right w:val="none" w:sz="0" w:space="0" w:color="auto"/>
      </w:divBdr>
    </w:div>
    <w:div w:id="1590699017">
      <w:bodyDiv w:val="1"/>
      <w:marLeft w:val="0"/>
      <w:marRight w:val="0"/>
      <w:marTop w:val="0"/>
      <w:marBottom w:val="0"/>
      <w:divBdr>
        <w:top w:val="none" w:sz="0" w:space="0" w:color="auto"/>
        <w:left w:val="none" w:sz="0" w:space="0" w:color="auto"/>
        <w:bottom w:val="none" w:sz="0" w:space="0" w:color="auto"/>
        <w:right w:val="none" w:sz="0" w:space="0" w:color="auto"/>
      </w:divBdr>
    </w:div>
    <w:div w:id="1602444984">
      <w:bodyDiv w:val="1"/>
      <w:marLeft w:val="0"/>
      <w:marRight w:val="0"/>
      <w:marTop w:val="0"/>
      <w:marBottom w:val="0"/>
      <w:divBdr>
        <w:top w:val="none" w:sz="0" w:space="0" w:color="auto"/>
        <w:left w:val="none" w:sz="0" w:space="0" w:color="auto"/>
        <w:bottom w:val="none" w:sz="0" w:space="0" w:color="auto"/>
        <w:right w:val="none" w:sz="0" w:space="0" w:color="auto"/>
      </w:divBdr>
    </w:div>
    <w:div w:id="1608925585">
      <w:bodyDiv w:val="1"/>
      <w:marLeft w:val="0"/>
      <w:marRight w:val="0"/>
      <w:marTop w:val="0"/>
      <w:marBottom w:val="0"/>
      <w:divBdr>
        <w:top w:val="none" w:sz="0" w:space="0" w:color="auto"/>
        <w:left w:val="none" w:sz="0" w:space="0" w:color="auto"/>
        <w:bottom w:val="none" w:sz="0" w:space="0" w:color="auto"/>
        <w:right w:val="none" w:sz="0" w:space="0" w:color="auto"/>
      </w:divBdr>
    </w:div>
    <w:div w:id="1665283494">
      <w:bodyDiv w:val="1"/>
      <w:marLeft w:val="0"/>
      <w:marRight w:val="0"/>
      <w:marTop w:val="0"/>
      <w:marBottom w:val="0"/>
      <w:divBdr>
        <w:top w:val="none" w:sz="0" w:space="0" w:color="auto"/>
        <w:left w:val="none" w:sz="0" w:space="0" w:color="auto"/>
        <w:bottom w:val="none" w:sz="0" w:space="0" w:color="auto"/>
        <w:right w:val="none" w:sz="0" w:space="0" w:color="auto"/>
      </w:divBdr>
    </w:div>
    <w:div w:id="1694722723">
      <w:bodyDiv w:val="1"/>
      <w:marLeft w:val="0"/>
      <w:marRight w:val="0"/>
      <w:marTop w:val="0"/>
      <w:marBottom w:val="0"/>
      <w:divBdr>
        <w:top w:val="none" w:sz="0" w:space="0" w:color="auto"/>
        <w:left w:val="none" w:sz="0" w:space="0" w:color="auto"/>
        <w:bottom w:val="none" w:sz="0" w:space="0" w:color="auto"/>
        <w:right w:val="none" w:sz="0" w:space="0" w:color="auto"/>
      </w:divBdr>
    </w:div>
    <w:div w:id="1796480456">
      <w:bodyDiv w:val="1"/>
      <w:marLeft w:val="0"/>
      <w:marRight w:val="0"/>
      <w:marTop w:val="0"/>
      <w:marBottom w:val="0"/>
      <w:divBdr>
        <w:top w:val="none" w:sz="0" w:space="0" w:color="auto"/>
        <w:left w:val="none" w:sz="0" w:space="0" w:color="auto"/>
        <w:bottom w:val="none" w:sz="0" w:space="0" w:color="auto"/>
        <w:right w:val="none" w:sz="0" w:space="0" w:color="auto"/>
      </w:divBdr>
    </w:div>
    <w:div w:id="1905989318">
      <w:bodyDiv w:val="1"/>
      <w:marLeft w:val="0"/>
      <w:marRight w:val="0"/>
      <w:marTop w:val="0"/>
      <w:marBottom w:val="0"/>
      <w:divBdr>
        <w:top w:val="none" w:sz="0" w:space="0" w:color="auto"/>
        <w:left w:val="none" w:sz="0" w:space="0" w:color="auto"/>
        <w:bottom w:val="none" w:sz="0" w:space="0" w:color="auto"/>
        <w:right w:val="none" w:sz="0" w:space="0" w:color="auto"/>
      </w:divBdr>
    </w:div>
    <w:div w:id="2033989469">
      <w:bodyDiv w:val="1"/>
      <w:marLeft w:val="0"/>
      <w:marRight w:val="0"/>
      <w:marTop w:val="0"/>
      <w:marBottom w:val="0"/>
      <w:divBdr>
        <w:top w:val="none" w:sz="0" w:space="0" w:color="auto"/>
        <w:left w:val="none" w:sz="0" w:space="0" w:color="auto"/>
        <w:bottom w:val="none" w:sz="0" w:space="0" w:color="auto"/>
        <w:right w:val="none" w:sz="0" w:space="0" w:color="auto"/>
      </w:divBdr>
    </w:div>
    <w:div w:id="2034181573">
      <w:bodyDiv w:val="1"/>
      <w:marLeft w:val="0"/>
      <w:marRight w:val="0"/>
      <w:marTop w:val="0"/>
      <w:marBottom w:val="0"/>
      <w:divBdr>
        <w:top w:val="none" w:sz="0" w:space="0" w:color="auto"/>
        <w:left w:val="none" w:sz="0" w:space="0" w:color="auto"/>
        <w:bottom w:val="none" w:sz="0" w:space="0" w:color="auto"/>
        <w:right w:val="none" w:sz="0" w:space="0" w:color="auto"/>
      </w:divBdr>
    </w:div>
    <w:div w:id="2050638777">
      <w:bodyDiv w:val="1"/>
      <w:marLeft w:val="0"/>
      <w:marRight w:val="0"/>
      <w:marTop w:val="0"/>
      <w:marBottom w:val="0"/>
      <w:divBdr>
        <w:top w:val="none" w:sz="0" w:space="0" w:color="auto"/>
        <w:left w:val="none" w:sz="0" w:space="0" w:color="auto"/>
        <w:bottom w:val="none" w:sz="0" w:space="0" w:color="auto"/>
        <w:right w:val="none" w:sz="0" w:space="0" w:color="auto"/>
      </w:divBdr>
    </w:div>
    <w:div w:id="2095324022">
      <w:bodyDiv w:val="1"/>
      <w:marLeft w:val="0"/>
      <w:marRight w:val="0"/>
      <w:marTop w:val="0"/>
      <w:marBottom w:val="0"/>
      <w:divBdr>
        <w:top w:val="none" w:sz="0" w:space="0" w:color="auto"/>
        <w:left w:val="none" w:sz="0" w:space="0" w:color="auto"/>
        <w:bottom w:val="none" w:sz="0" w:space="0" w:color="auto"/>
        <w:right w:val="none" w:sz="0" w:space="0" w:color="auto"/>
      </w:divBdr>
    </w:div>
    <w:div w:id="21170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ga.gov.au/reporting-problems" TargetMode="External"/><Relationship Id="rId18" Type="http://schemas.openxmlformats.org/officeDocument/2006/relationships/oleObject" Target="embeddings/oleObject1.bin"/><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u.nz.medinfo@gilead.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ga.gov.au/reporting-problems"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jor Markets" ma:contentTypeID="0x010100F50F0BB7BE1AB347B85C6324228F2D3E00214413CE02149D448CAB0E8B2DF3B633" ma:contentTypeVersion="25" ma:contentTypeDescription="" ma:contentTypeScope="" ma:versionID="e36f37fb821f50b2ab344278fa29f64a">
  <xsd:schema xmlns:xsd="http://www.w3.org/2001/XMLSchema" xmlns:xs="http://www.w3.org/2001/XMLSchema" xmlns:p="http://schemas.microsoft.com/office/2006/metadata/properties" xmlns:ns2="7a6ddcd8-e6cd-4533-ab0d-a3c581621b11" targetNamespace="http://schemas.microsoft.com/office/2006/metadata/properties" ma:root="true" ma:fieldsID="8cf08d620981f83627bf45d4b10c07c9" ns2:_="">
    <xsd:import namespace="7a6ddcd8-e6cd-4533-ab0d-a3c581621b11"/>
    <xsd:element name="properties">
      <xsd:complexType>
        <xsd:sequence>
          <xsd:element name="documentManagement">
            <xsd:complexType>
              <xsd:all>
                <xsd:element ref="ns2:Meeting_x0020_Date" minOccurs="0"/>
                <xsd:element ref="ns2:Country"/>
                <xsd:element ref="ns2:Submission_x0020_Phase"/>
                <xsd:element ref="ns2:Submission_x0020_Type"/>
                <xsd:element ref="ns2:SubmissionID"/>
                <xsd:element ref="ns2:Major_x0020_Markets_x0020_Document_x0020_Types"/>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ddcd8-e6cd-4533-ab0d-a3c581621b11" elementFormDefault="qualified">
    <xsd:import namespace="http://schemas.microsoft.com/office/2006/documentManagement/types"/>
    <xsd:import namespace="http://schemas.microsoft.com/office/infopath/2007/PartnerControls"/>
    <xsd:element name="Meeting_x0020_Date" ma:index="1" nillable="true" ma:displayName="Date" ma:format="DateOnly" ma:internalName="Date">
      <xsd:simpleType>
        <xsd:restriction base="dms:DateTime"/>
      </xsd:simpleType>
    </xsd:element>
    <xsd:element name="Country" ma:index="2" ma:displayName="Country" ma:format="Dropdown" ma:internalName="Country">
      <xsd:simpleType>
        <xsd:restriction base="dms:Choice">
          <xsd:enumeration value="Global"/>
          <xsd:enumeration value="US"/>
          <xsd:enumeration value="EU"/>
          <xsd:enumeration value="Canada"/>
          <xsd:enumeration value="Japan"/>
          <xsd:enumeration value="Switzerland"/>
          <xsd:enumeration value="Australia"/>
          <xsd:enumeration value="New Zealand"/>
          <xsd:enumeration value="US/EU"/>
        </xsd:restriction>
      </xsd:simpleType>
    </xsd:element>
    <xsd:element name="Submission_x0020_Phase" ma:index="3" ma:displayName="Submission Phase" ma:list="{f09a53ac-82fb-4d2c-96fc-613d4f8a5aac}" ma:internalName="Submission_x0020_Phase" ma:showField="Title" ma:web="7a6ddcd8-e6cd-4533-ab0d-a3c581621b11">
      <xsd:simpleType>
        <xsd:restriction base="dms:Lookup"/>
      </xsd:simpleType>
    </xsd:element>
    <xsd:element name="Submission_x0020_Type" ma:index="4" ma:displayName="Submission Type" ma:list="{edb176f5-34fb-45b4-a35e-96ce3c84636b}" ma:internalName="Submission_x0020_Type" ma:showField="Title" ma:web="7a6ddcd8-e6cd-4533-ab0d-a3c581621b11">
      <xsd:simpleType>
        <xsd:restriction base="dms:Lookup"/>
      </xsd:simpleType>
    </xsd:element>
    <xsd:element name="SubmissionID" ma:index="5" ma:displayName="Submission ID" ma:list="{94dc0b79-3088-432e-bd8d-89e6732920e8}" ma:internalName="SubmissionID" ma:showField="Title" ma:web="7a6ddcd8-e6cd-4533-ab0d-a3c581621b11">
      <xsd:simpleType>
        <xsd:restriction base="dms:Lookup"/>
      </xsd:simpleType>
    </xsd:element>
    <xsd:element name="Major_x0020_Markets_x0020_Document_x0020_Types" ma:index="6" ma:displayName="Document Types" ma:list="{9dd5bfe7-8701-45cf-b60c-07f23c05b5e3}" ma:internalName="Major_x0020_Markets_x0020_Document_x0020_Types" ma:showField="Title" ma:web="7a6ddcd8-e6cd-4533-ab0d-a3c581621b11">
      <xsd:simpleType>
        <xsd:restriction base="dms:Lookup"/>
      </xsd:simpleType>
    </xsd:element>
    <xsd:element name="Archived" ma:index="14" nillable="true" ma:displayName="Archived" ma:format="Dropdown" ma:hidden="true" ma:internalName="Archive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ssion_x0020_Phase xmlns="7a6ddcd8-e6cd-4533-ab0d-a3c581621b11">1</Submission_x0020_Phase>
    <SubmissionID xmlns="7a6ddcd8-e6cd-4533-ab0d-a3c581621b11">124</SubmissionID>
    <Country xmlns="7a6ddcd8-e6cd-4533-ab0d-a3c581621b11">Australia</Country>
    <Submission_x0020_Type xmlns="7a6ddcd8-e6cd-4533-ab0d-a3c581621b11">16</Submission_x0020_Type>
    <Archived xmlns="7a6ddcd8-e6cd-4533-ab0d-a3c581621b11" xsi:nil="true"/>
    <Meeting_x0020_Date xmlns="7a6ddcd8-e6cd-4533-ab0d-a3c581621b11">2018-06-11T21:00:00+00:00</Meeting_x0020_Date>
    <Major_x0020_Markets_x0020_Document_x0020_Types xmlns="7a6ddcd8-e6cd-4533-ab0d-a3c581621b11">19</Major_x0020_Markets_x0020_Document_x0020_Types>
  </documentManagement>
</p:properties>
</file>

<file path=customXml/item4.xml><?xml version="1.0" encoding="utf-8"?>
<?mso-contentType ?>
<SharedContentType xmlns="Microsoft.SharePoint.Taxonomy.ContentTypeSync" SourceId="c2f875ff-20bd-4758-bb3f-3226c8545cda" ContentTypeId="0x01"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CDD26-BB11-42B9-819C-7B9A357BC2CE}">
  <ds:schemaRefs>
    <ds:schemaRef ds:uri="http://schemas.microsoft.com/sharepoint/v3/contenttype/forms"/>
  </ds:schemaRefs>
</ds:datastoreItem>
</file>

<file path=customXml/itemProps2.xml><?xml version="1.0" encoding="utf-8"?>
<ds:datastoreItem xmlns:ds="http://schemas.openxmlformats.org/officeDocument/2006/customXml" ds:itemID="{1D43C572-A1CB-4515-807C-B61CBA61A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ddcd8-e6cd-4533-ab0d-a3c581621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8E7CB-9A07-4C45-8B4B-A98D67CD39A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a6ddcd8-e6cd-4533-ab0d-a3c581621b11"/>
    <ds:schemaRef ds:uri="http://www.w3.org/XML/1998/namespace"/>
  </ds:schemaRefs>
</ds:datastoreItem>
</file>

<file path=customXml/itemProps4.xml><?xml version="1.0" encoding="utf-8"?>
<ds:datastoreItem xmlns:ds="http://schemas.openxmlformats.org/officeDocument/2006/customXml" ds:itemID="{9EB775EE-4BD3-48E2-BA14-E7B28D8E58F9}">
  <ds:schemaRefs>
    <ds:schemaRef ds:uri="Microsoft.SharePoint.Taxonomy.ContentTypeSync"/>
  </ds:schemaRefs>
</ds:datastoreItem>
</file>

<file path=customXml/itemProps5.xml><?xml version="1.0" encoding="utf-8"?>
<ds:datastoreItem xmlns:ds="http://schemas.openxmlformats.org/officeDocument/2006/customXml" ds:itemID="{9AB408A2-9C47-4772-BECD-BF8BE62A5A84}">
  <ds:schemaRefs>
    <ds:schemaRef ds:uri="http://schemas.microsoft.com/office/2006/metadata/longProperties"/>
  </ds:schemaRefs>
</ds:datastoreItem>
</file>

<file path=customXml/itemProps6.xml><?xml version="1.0" encoding="utf-8"?>
<ds:datastoreItem xmlns:ds="http://schemas.openxmlformats.org/officeDocument/2006/customXml" ds:itemID="{89D929AB-1C72-4B92-A757-3CB486A2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10235</Words>
  <Characters>57731</Characters>
  <Application>Microsoft Office Word</Application>
  <DocSecurity>0</DocSecurity>
  <Lines>1255</Lines>
  <Paragraphs>617</Paragraphs>
  <ScaleCrop>false</ScaleCrop>
  <HeadingPairs>
    <vt:vector size="2" baseType="variant">
      <vt:variant>
        <vt:lpstr>Title</vt:lpstr>
      </vt:variant>
      <vt:variant>
        <vt:i4>1</vt:i4>
      </vt:variant>
    </vt:vector>
  </HeadingPairs>
  <TitlesOfParts>
    <vt:vector size="1" baseType="lpstr">
      <vt:lpstr>Product Information:</vt:lpstr>
    </vt:vector>
  </TitlesOfParts>
  <Company>Gilead Sciences</Company>
  <LinksUpToDate>false</LinksUpToDate>
  <CharactersWithSpaces>67349</CharactersWithSpaces>
  <SharedDoc>false</SharedDoc>
  <HLinks>
    <vt:vector size="18" baseType="variant">
      <vt:variant>
        <vt:i4>7602270</vt:i4>
      </vt:variant>
      <vt:variant>
        <vt:i4>9</vt:i4>
      </vt:variant>
      <vt:variant>
        <vt:i4>0</vt:i4>
      </vt:variant>
      <vt:variant>
        <vt:i4>5</vt:i4>
      </vt:variant>
      <vt:variant>
        <vt:lpwstr>mailto:au.nz.medinfo@gilead.com</vt:lpwstr>
      </vt:variant>
      <vt:variant>
        <vt:lpwstr/>
      </vt: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Inotuzumab Bictegravir / Emtricitabine / Tenofovir alafenamide</dc:title>
  <dc:subject>prescription medicines</dc:subject>
  <dc:creator>WRAIGHT</dc:creator>
  <cp:keywords>AusPARs</cp:keywords>
  <cp:lastModifiedBy>LACK, Janet</cp:lastModifiedBy>
  <cp:revision>3</cp:revision>
  <cp:lastPrinted>2018-07-05T04:11:00Z</cp:lastPrinted>
  <dcterms:created xsi:type="dcterms:W3CDTF">2019-09-23T03:24:00Z</dcterms:created>
  <dcterms:modified xsi:type="dcterms:W3CDTF">2019-09-23T03:29:00Z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1524625891</vt:i4>
  </property>
  <property fmtid="{D5CDD505-2E9C-101B-9397-08002B2CF9AE}" pid="3" name="_NewReviewCycle">
    <vt:lpwstr/>
  </property>
  <property fmtid="{D5CDD505-2E9C-101B-9397-08002B2CF9AE}" pid="4" name="_EmailEntryID">
    <vt:lpwstr>000000000E05C1B5765DF041A20CC558076CAE6707005E5979625DCA324E9E3823A9DA426FB30012C562A19F0000A7EE82F26F98DC4597F23740FEC385DD00283448FF100000</vt:lpwstr>
  </property>
  <property fmtid="{D5CDD505-2E9C-101B-9397-08002B2CF9AE}" pid="5" name="_EmailStoreID0">
    <vt:lpwstr>0000000038A1BB1005E5101AA1BB08002B2A56C20000454D534D44422E444C4C00000000000000001B55FA20AA6611CD9BC800AA002FC45A0C00000062363661633134372D393937392D343462372D393730632D3465376234313062663733364067696C6561642E636F6D002F6F3D47696C65616420536369656E6365732F6</vt:lpwstr>
  </property>
  <property fmtid="{D5CDD505-2E9C-101B-9397-08002B2CF9AE}" pid="6" name="_EmailStoreID1">
    <vt:lpwstr>F753D45786368616E67652041646D696E6973747261746976652047726F7570202846594449424F484632335350444C54292F636E3D526563697069656E74732F636E3D7464756F6E6700</vt:lpwstr>
  </property>
  <property fmtid="{D5CDD505-2E9C-101B-9397-08002B2CF9AE}" pid="7" name="_EmailStoreID2">
    <vt:lpwstr>5300300031002E00650075002E00670069006C006500610064002E0063006F006D0000000000</vt:lpwstr>
  </property>
  <property fmtid="{D5CDD505-2E9C-101B-9397-08002B2CF9AE}" pid="8" name="_ReviewingToolsShownOnce">
    <vt:lpwstr/>
  </property>
</Properties>
</file>