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32378D" w:rsidP="0032378D">
            <w:pPr>
              <w:rPr>
                <w:rFonts w:ascii="Arial" w:hAnsi="Arial" w:cs="Arial"/>
                <w:b/>
                <w:color w:val="002C47"/>
                <w:sz w:val="36"/>
                <w:szCs w:val="36"/>
              </w:rPr>
            </w:pPr>
            <w:r>
              <w:rPr>
                <w:rFonts w:ascii="Arial" w:hAnsi="Arial" w:cs="Arial"/>
                <w:b/>
                <w:color w:val="002C47"/>
                <w:sz w:val="36"/>
                <w:szCs w:val="36"/>
              </w:rPr>
              <w:t>August</w:t>
            </w:r>
            <w:r w:rsidR="00DB1F06">
              <w:rPr>
                <w:rFonts w:ascii="Arial" w:hAnsi="Arial" w:cs="Arial"/>
                <w:b/>
                <w:color w:val="002C47"/>
                <w:sz w:val="36"/>
                <w:szCs w:val="36"/>
              </w:rPr>
              <w:t xml:space="preserve"> </w:t>
            </w:r>
            <w:r w:rsidR="00DA08F1">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DA08F1">
              <w:rPr>
                <w:color w:val="FFFFFF" w:themeColor="background1"/>
              </w:rPr>
              <w:t>Bictegravir / Emtricitabine / T</w:t>
            </w:r>
            <w:r w:rsidR="00DA08F1" w:rsidRPr="00DA08F1">
              <w:rPr>
                <w:color w:val="FFFFFF" w:themeColor="background1"/>
              </w:rPr>
              <w:t>enofovir alafenamide</w:t>
            </w:r>
          </w:p>
        </w:tc>
      </w:tr>
      <w:tr w:rsidR="0032583B" w:rsidRPr="00B64760" w:rsidTr="0032583B">
        <w:tc>
          <w:tcPr>
            <w:tcW w:w="9079" w:type="dxa"/>
          </w:tcPr>
          <w:p w:rsidR="0032583B" w:rsidRPr="008E7846" w:rsidRDefault="0032583B" w:rsidP="00DA08F1">
            <w:pPr>
              <w:pStyle w:val="Subtitle"/>
              <w:rPr>
                <w:color w:val="FFFFFF" w:themeColor="background1"/>
              </w:rPr>
            </w:pPr>
            <w:r w:rsidRPr="008E7846">
              <w:rPr>
                <w:color w:val="FFFFFF" w:themeColor="background1"/>
              </w:rPr>
              <w:t xml:space="preserve">Proprietary Product Name: </w:t>
            </w:r>
            <w:r w:rsidR="00071C78">
              <w:rPr>
                <w:color w:val="FFFFFF" w:themeColor="background1"/>
              </w:rPr>
              <w:t>Biktarvy</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DA08F1">
              <w:rPr>
                <w:color w:val="FFFFFF" w:themeColor="background1"/>
              </w:rPr>
              <w:t>Gilead Sciences</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1E2662">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 xml:space="preserve">the TGA website </w:t>
      </w:r>
      <w:r w:rsidR="00251457">
        <w:t xml:space="preserve">&lt; </w:t>
      </w:r>
      <w:hyperlink r:id="rId8" w:history="1">
        <w:r w:rsidR="00441C3F">
          <w:rPr>
            <w:rStyle w:val="Hyperlink"/>
          </w:rPr>
          <w:t>https://www.tga.gov.au</w:t>
        </w:r>
      </w:hyperlink>
      <w:r w:rsidR="00251457">
        <w:t>&gt;</w:t>
      </w:r>
      <w:bookmarkStart w:id="0" w:name="_GoBack"/>
      <w:bookmarkEnd w:id="0"/>
      <w:r w:rsidR="00441C3F">
        <w: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6912D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251457">
        <w:rPr>
          <w:rFonts w:cs="Arial"/>
          <w:lang w:val="en-GB"/>
        </w:rPr>
        <w:t xml:space="preserve">&lt; </w:t>
      </w:r>
      <w:hyperlink r:id="rId9" w:history="1">
        <w:r w:rsidRPr="00191B3B">
          <w:rPr>
            <w:rStyle w:val="Hyperlink"/>
            <w:rFonts w:cs="Arial"/>
            <w:lang w:val="en-GB"/>
          </w:rPr>
          <w:t>tga.copyright@tga.gov.au</w:t>
        </w:r>
      </w:hyperlink>
      <w:r w:rsidR="00251457">
        <w:rPr>
          <w:rFonts w:cs="Arial"/>
        </w:rPr>
        <w:t xml:space="preserve">&gt; </w:t>
      </w:r>
      <w:r w:rsidRPr="00191B3B">
        <w:rPr>
          <w:rFonts w:cs="Arial"/>
        </w:rPr>
        <w: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E2662"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0133957" w:history="1">
            <w:r w:rsidR="001E2662" w:rsidRPr="00511CAD">
              <w:rPr>
                <w:rStyle w:val="Hyperlink"/>
                <w:noProof/>
              </w:rPr>
              <w:t>Common abbreviations</w:t>
            </w:r>
            <w:r w:rsidR="001E2662">
              <w:rPr>
                <w:noProof/>
                <w:webHidden/>
              </w:rPr>
              <w:tab/>
            </w:r>
            <w:r w:rsidR="001E2662">
              <w:rPr>
                <w:noProof/>
                <w:webHidden/>
              </w:rPr>
              <w:fldChar w:fldCharType="begin"/>
            </w:r>
            <w:r w:rsidR="001E2662">
              <w:rPr>
                <w:noProof/>
                <w:webHidden/>
              </w:rPr>
              <w:instrText xml:space="preserve"> PAGEREF _Toc20133957 \h </w:instrText>
            </w:r>
            <w:r w:rsidR="001E2662">
              <w:rPr>
                <w:noProof/>
                <w:webHidden/>
              </w:rPr>
            </w:r>
            <w:r w:rsidR="001E2662">
              <w:rPr>
                <w:noProof/>
                <w:webHidden/>
              </w:rPr>
              <w:fldChar w:fldCharType="separate"/>
            </w:r>
            <w:r w:rsidR="001E2662">
              <w:rPr>
                <w:noProof/>
                <w:webHidden/>
              </w:rPr>
              <w:t>5</w:t>
            </w:r>
            <w:r w:rsidR="001E2662">
              <w:rPr>
                <w:noProof/>
                <w:webHidden/>
              </w:rPr>
              <w:fldChar w:fldCharType="end"/>
            </w:r>
          </w:hyperlink>
        </w:p>
        <w:p w:rsidR="001E2662" w:rsidRDefault="00040F04">
          <w:pPr>
            <w:pStyle w:val="TOC2"/>
            <w:rPr>
              <w:rFonts w:asciiTheme="minorHAnsi" w:eastAsiaTheme="minorEastAsia" w:hAnsiTheme="minorHAnsi" w:cstheme="minorBidi"/>
              <w:b w:val="0"/>
              <w:noProof/>
              <w:sz w:val="22"/>
              <w:lang w:eastAsia="en-AU"/>
            </w:rPr>
          </w:pPr>
          <w:hyperlink w:anchor="_Toc20133958" w:history="1">
            <w:r w:rsidR="001E2662" w:rsidRPr="00511CAD">
              <w:rPr>
                <w:rStyle w:val="Hyperlink"/>
                <w:noProof/>
              </w:rPr>
              <w:t>I. Introduction to product submission</w:t>
            </w:r>
            <w:r w:rsidR="001E2662">
              <w:rPr>
                <w:noProof/>
                <w:webHidden/>
              </w:rPr>
              <w:tab/>
            </w:r>
            <w:r w:rsidR="001E2662">
              <w:rPr>
                <w:noProof/>
                <w:webHidden/>
              </w:rPr>
              <w:fldChar w:fldCharType="begin"/>
            </w:r>
            <w:r w:rsidR="001E2662">
              <w:rPr>
                <w:noProof/>
                <w:webHidden/>
              </w:rPr>
              <w:instrText xml:space="preserve"> PAGEREF _Toc20133958 \h </w:instrText>
            </w:r>
            <w:r w:rsidR="001E2662">
              <w:rPr>
                <w:noProof/>
                <w:webHidden/>
              </w:rPr>
            </w:r>
            <w:r w:rsidR="001E2662">
              <w:rPr>
                <w:noProof/>
                <w:webHidden/>
              </w:rPr>
              <w:fldChar w:fldCharType="separate"/>
            </w:r>
            <w:r w:rsidR="001E2662">
              <w:rPr>
                <w:noProof/>
                <w:webHidden/>
              </w:rPr>
              <w:t>10</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59" w:history="1">
            <w:r w:rsidR="001E2662" w:rsidRPr="00511CAD">
              <w:rPr>
                <w:rStyle w:val="Hyperlink"/>
                <w:noProof/>
                <w:lang w:eastAsia="en-AU"/>
              </w:rPr>
              <w:t>Submission details</w:t>
            </w:r>
            <w:r w:rsidR="001E2662">
              <w:rPr>
                <w:noProof/>
                <w:webHidden/>
              </w:rPr>
              <w:tab/>
            </w:r>
            <w:r w:rsidR="001E2662">
              <w:rPr>
                <w:noProof/>
                <w:webHidden/>
              </w:rPr>
              <w:fldChar w:fldCharType="begin"/>
            </w:r>
            <w:r w:rsidR="001E2662">
              <w:rPr>
                <w:noProof/>
                <w:webHidden/>
              </w:rPr>
              <w:instrText xml:space="preserve"> PAGEREF _Toc20133959 \h </w:instrText>
            </w:r>
            <w:r w:rsidR="001E2662">
              <w:rPr>
                <w:noProof/>
                <w:webHidden/>
              </w:rPr>
            </w:r>
            <w:r w:rsidR="001E2662">
              <w:rPr>
                <w:noProof/>
                <w:webHidden/>
              </w:rPr>
              <w:fldChar w:fldCharType="separate"/>
            </w:r>
            <w:r w:rsidR="001E2662">
              <w:rPr>
                <w:noProof/>
                <w:webHidden/>
              </w:rPr>
              <w:t>10</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60" w:history="1">
            <w:r w:rsidR="001E2662" w:rsidRPr="00511CAD">
              <w:rPr>
                <w:rStyle w:val="Hyperlink"/>
                <w:noProof/>
              </w:rPr>
              <w:t>Product background</w:t>
            </w:r>
            <w:r w:rsidR="001E2662">
              <w:rPr>
                <w:noProof/>
                <w:webHidden/>
              </w:rPr>
              <w:tab/>
            </w:r>
            <w:r w:rsidR="001E2662">
              <w:rPr>
                <w:noProof/>
                <w:webHidden/>
              </w:rPr>
              <w:fldChar w:fldCharType="begin"/>
            </w:r>
            <w:r w:rsidR="001E2662">
              <w:rPr>
                <w:noProof/>
                <w:webHidden/>
              </w:rPr>
              <w:instrText xml:space="preserve"> PAGEREF _Toc20133960 \h </w:instrText>
            </w:r>
            <w:r w:rsidR="001E2662">
              <w:rPr>
                <w:noProof/>
                <w:webHidden/>
              </w:rPr>
            </w:r>
            <w:r w:rsidR="001E2662">
              <w:rPr>
                <w:noProof/>
                <w:webHidden/>
              </w:rPr>
              <w:fldChar w:fldCharType="separate"/>
            </w:r>
            <w:r w:rsidR="001E2662">
              <w:rPr>
                <w:noProof/>
                <w:webHidden/>
              </w:rPr>
              <w:t>11</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61" w:history="1">
            <w:r w:rsidR="001E2662" w:rsidRPr="00511CAD">
              <w:rPr>
                <w:rStyle w:val="Hyperlink"/>
                <w:noProof/>
              </w:rPr>
              <w:t>Regulatory status</w:t>
            </w:r>
            <w:r w:rsidR="001E2662">
              <w:rPr>
                <w:noProof/>
                <w:webHidden/>
              </w:rPr>
              <w:tab/>
            </w:r>
            <w:r w:rsidR="001E2662">
              <w:rPr>
                <w:noProof/>
                <w:webHidden/>
              </w:rPr>
              <w:fldChar w:fldCharType="begin"/>
            </w:r>
            <w:r w:rsidR="001E2662">
              <w:rPr>
                <w:noProof/>
                <w:webHidden/>
              </w:rPr>
              <w:instrText xml:space="preserve"> PAGEREF _Toc20133961 \h </w:instrText>
            </w:r>
            <w:r w:rsidR="001E2662">
              <w:rPr>
                <w:noProof/>
                <w:webHidden/>
              </w:rPr>
            </w:r>
            <w:r w:rsidR="001E2662">
              <w:rPr>
                <w:noProof/>
                <w:webHidden/>
              </w:rPr>
              <w:fldChar w:fldCharType="separate"/>
            </w:r>
            <w:r w:rsidR="001E2662">
              <w:rPr>
                <w:noProof/>
                <w:webHidden/>
              </w:rPr>
              <w:t>11</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62" w:history="1">
            <w:r w:rsidR="001E2662" w:rsidRPr="00511CAD">
              <w:rPr>
                <w:rStyle w:val="Hyperlink"/>
                <w:noProof/>
              </w:rPr>
              <w:t>Product Information</w:t>
            </w:r>
            <w:r w:rsidR="001E2662">
              <w:rPr>
                <w:noProof/>
                <w:webHidden/>
              </w:rPr>
              <w:tab/>
            </w:r>
            <w:r w:rsidR="001E2662">
              <w:rPr>
                <w:noProof/>
                <w:webHidden/>
              </w:rPr>
              <w:fldChar w:fldCharType="begin"/>
            </w:r>
            <w:r w:rsidR="001E2662">
              <w:rPr>
                <w:noProof/>
                <w:webHidden/>
              </w:rPr>
              <w:instrText xml:space="preserve"> PAGEREF _Toc20133962 \h </w:instrText>
            </w:r>
            <w:r w:rsidR="001E2662">
              <w:rPr>
                <w:noProof/>
                <w:webHidden/>
              </w:rPr>
            </w:r>
            <w:r w:rsidR="001E2662">
              <w:rPr>
                <w:noProof/>
                <w:webHidden/>
              </w:rPr>
              <w:fldChar w:fldCharType="separate"/>
            </w:r>
            <w:r w:rsidR="001E2662">
              <w:rPr>
                <w:noProof/>
                <w:webHidden/>
              </w:rPr>
              <w:t>12</w:t>
            </w:r>
            <w:r w:rsidR="001E2662">
              <w:rPr>
                <w:noProof/>
                <w:webHidden/>
              </w:rPr>
              <w:fldChar w:fldCharType="end"/>
            </w:r>
          </w:hyperlink>
        </w:p>
        <w:p w:rsidR="001E2662" w:rsidRDefault="00040F04">
          <w:pPr>
            <w:pStyle w:val="TOC2"/>
            <w:rPr>
              <w:rFonts w:asciiTheme="minorHAnsi" w:eastAsiaTheme="minorEastAsia" w:hAnsiTheme="minorHAnsi" w:cstheme="minorBidi"/>
              <w:b w:val="0"/>
              <w:noProof/>
              <w:sz w:val="22"/>
              <w:lang w:eastAsia="en-AU"/>
            </w:rPr>
          </w:pPr>
          <w:hyperlink w:anchor="_Toc20133963" w:history="1">
            <w:r w:rsidR="001E2662" w:rsidRPr="00511CAD">
              <w:rPr>
                <w:rStyle w:val="Hyperlink"/>
                <w:noProof/>
              </w:rPr>
              <w:t>II. Registration time line</w:t>
            </w:r>
            <w:r w:rsidR="001E2662">
              <w:rPr>
                <w:noProof/>
                <w:webHidden/>
              </w:rPr>
              <w:tab/>
            </w:r>
            <w:r w:rsidR="001E2662">
              <w:rPr>
                <w:noProof/>
                <w:webHidden/>
              </w:rPr>
              <w:fldChar w:fldCharType="begin"/>
            </w:r>
            <w:r w:rsidR="001E2662">
              <w:rPr>
                <w:noProof/>
                <w:webHidden/>
              </w:rPr>
              <w:instrText xml:space="preserve"> PAGEREF _Toc20133963 \h </w:instrText>
            </w:r>
            <w:r w:rsidR="001E2662">
              <w:rPr>
                <w:noProof/>
                <w:webHidden/>
              </w:rPr>
            </w:r>
            <w:r w:rsidR="001E2662">
              <w:rPr>
                <w:noProof/>
                <w:webHidden/>
              </w:rPr>
              <w:fldChar w:fldCharType="separate"/>
            </w:r>
            <w:r w:rsidR="001E2662">
              <w:rPr>
                <w:noProof/>
                <w:webHidden/>
              </w:rPr>
              <w:t>12</w:t>
            </w:r>
            <w:r w:rsidR="001E2662">
              <w:rPr>
                <w:noProof/>
                <w:webHidden/>
              </w:rPr>
              <w:fldChar w:fldCharType="end"/>
            </w:r>
          </w:hyperlink>
        </w:p>
        <w:p w:rsidR="001E2662" w:rsidRDefault="00040F04">
          <w:pPr>
            <w:pStyle w:val="TOC2"/>
            <w:rPr>
              <w:rFonts w:asciiTheme="minorHAnsi" w:eastAsiaTheme="minorEastAsia" w:hAnsiTheme="minorHAnsi" w:cstheme="minorBidi"/>
              <w:b w:val="0"/>
              <w:noProof/>
              <w:sz w:val="22"/>
              <w:lang w:eastAsia="en-AU"/>
            </w:rPr>
          </w:pPr>
          <w:hyperlink w:anchor="_Toc20133964" w:history="1">
            <w:r w:rsidR="001E2662" w:rsidRPr="00511CAD">
              <w:rPr>
                <w:rStyle w:val="Hyperlink"/>
                <w:noProof/>
              </w:rPr>
              <w:t>III. Quality findings</w:t>
            </w:r>
            <w:r w:rsidR="001E2662">
              <w:rPr>
                <w:noProof/>
                <w:webHidden/>
              </w:rPr>
              <w:tab/>
            </w:r>
            <w:r w:rsidR="001E2662">
              <w:rPr>
                <w:noProof/>
                <w:webHidden/>
              </w:rPr>
              <w:fldChar w:fldCharType="begin"/>
            </w:r>
            <w:r w:rsidR="001E2662">
              <w:rPr>
                <w:noProof/>
                <w:webHidden/>
              </w:rPr>
              <w:instrText xml:space="preserve"> PAGEREF _Toc20133964 \h </w:instrText>
            </w:r>
            <w:r w:rsidR="001E2662">
              <w:rPr>
                <w:noProof/>
                <w:webHidden/>
              </w:rPr>
            </w:r>
            <w:r w:rsidR="001E2662">
              <w:rPr>
                <w:noProof/>
                <w:webHidden/>
              </w:rPr>
              <w:fldChar w:fldCharType="separate"/>
            </w:r>
            <w:r w:rsidR="001E2662">
              <w:rPr>
                <w:noProof/>
                <w:webHidden/>
              </w:rPr>
              <w:t>13</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65" w:history="1">
            <w:r w:rsidR="001E2662" w:rsidRPr="00511CAD">
              <w:rPr>
                <w:rStyle w:val="Hyperlink"/>
                <w:noProof/>
              </w:rPr>
              <w:t>Introduction</w:t>
            </w:r>
            <w:r w:rsidR="001E2662">
              <w:rPr>
                <w:noProof/>
                <w:webHidden/>
              </w:rPr>
              <w:tab/>
            </w:r>
            <w:r w:rsidR="001E2662">
              <w:rPr>
                <w:noProof/>
                <w:webHidden/>
              </w:rPr>
              <w:fldChar w:fldCharType="begin"/>
            </w:r>
            <w:r w:rsidR="001E2662">
              <w:rPr>
                <w:noProof/>
                <w:webHidden/>
              </w:rPr>
              <w:instrText xml:space="preserve"> PAGEREF _Toc20133965 \h </w:instrText>
            </w:r>
            <w:r w:rsidR="001E2662">
              <w:rPr>
                <w:noProof/>
                <w:webHidden/>
              </w:rPr>
            </w:r>
            <w:r w:rsidR="001E2662">
              <w:rPr>
                <w:noProof/>
                <w:webHidden/>
              </w:rPr>
              <w:fldChar w:fldCharType="separate"/>
            </w:r>
            <w:r w:rsidR="001E2662">
              <w:rPr>
                <w:noProof/>
                <w:webHidden/>
              </w:rPr>
              <w:t>13</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66" w:history="1">
            <w:r w:rsidR="001E2662" w:rsidRPr="00511CAD">
              <w:rPr>
                <w:rStyle w:val="Hyperlink"/>
                <w:noProof/>
              </w:rPr>
              <w:t>Drug substances (active ingredients)</w:t>
            </w:r>
            <w:r w:rsidR="001E2662">
              <w:rPr>
                <w:noProof/>
                <w:webHidden/>
              </w:rPr>
              <w:tab/>
            </w:r>
            <w:r w:rsidR="001E2662">
              <w:rPr>
                <w:noProof/>
                <w:webHidden/>
              </w:rPr>
              <w:fldChar w:fldCharType="begin"/>
            </w:r>
            <w:r w:rsidR="001E2662">
              <w:rPr>
                <w:noProof/>
                <w:webHidden/>
              </w:rPr>
              <w:instrText xml:space="preserve"> PAGEREF _Toc20133966 \h </w:instrText>
            </w:r>
            <w:r w:rsidR="001E2662">
              <w:rPr>
                <w:noProof/>
                <w:webHidden/>
              </w:rPr>
            </w:r>
            <w:r w:rsidR="001E2662">
              <w:rPr>
                <w:noProof/>
                <w:webHidden/>
              </w:rPr>
              <w:fldChar w:fldCharType="separate"/>
            </w:r>
            <w:r w:rsidR="001E2662">
              <w:rPr>
                <w:noProof/>
                <w:webHidden/>
              </w:rPr>
              <w:t>13</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67" w:history="1">
            <w:r w:rsidR="001E2662" w:rsidRPr="00511CAD">
              <w:rPr>
                <w:rStyle w:val="Hyperlink"/>
                <w:noProof/>
              </w:rPr>
              <w:t>Drug product</w:t>
            </w:r>
            <w:r w:rsidR="001E2662">
              <w:rPr>
                <w:noProof/>
                <w:webHidden/>
              </w:rPr>
              <w:tab/>
            </w:r>
            <w:r w:rsidR="001E2662">
              <w:rPr>
                <w:noProof/>
                <w:webHidden/>
              </w:rPr>
              <w:fldChar w:fldCharType="begin"/>
            </w:r>
            <w:r w:rsidR="001E2662">
              <w:rPr>
                <w:noProof/>
                <w:webHidden/>
              </w:rPr>
              <w:instrText xml:space="preserve"> PAGEREF _Toc20133967 \h </w:instrText>
            </w:r>
            <w:r w:rsidR="001E2662">
              <w:rPr>
                <w:noProof/>
                <w:webHidden/>
              </w:rPr>
            </w:r>
            <w:r w:rsidR="001E2662">
              <w:rPr>
                <w:noProof/>
                <w:webHidden/>
              </w:rPr>
              <w:fldChar w:fldCharType="separate"/>
            </w:r>
            <w:r w:rsidR="001E2662">
              <w:rPr>
                <w:noProof/>
                <w:webHidden/>
              </w:rPr>
              <w:t>15</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68" w:history="1">
            <w:r w:rsidR="001E2662" w:rsidRPr="00511CAD">
              <w:rPr>
                <w:rStyle w:val="Hyperlink"/>
                <w:noProof/>
              </w:rPr>
              <w:t>Biopharmaceutics</w:t>
            </w:r>
            <w:r w:rsidR="001E2662">
              <w:rPr>
                <w:noProof/>
                <w:webHidden/>
              </w:rPr>
              <w:tab/>
            </w:r>
            <w:r w:rsidR="001E2662">
              <w:rPr>
                <w:noProof/>
                <w:webHidden/>
              </w:rPr>
              <w:fldChar w:fldCharType="begin"/>
            </w:r>
            <w:r w:rsidR="001E2662">
              <w:rPr>
                <w:noProof/>
                <w:webHidden/>
              </w:rPr>
              <w:instrText xml:space="preserve"> PAGEREF _Toc20133968 \h </w:instrText>
            </w:r>
            <w:r w:rsidR="001E2662">
              <w:rPr>
                <w:noProof/>
                <w:webHidden/>
              </w:rPr>
            </w:r>
            <w:r w:rsidR="001E2662">
              <w:rPr>
                <w:noProof/>
                <w:webHidden/>
              </w:rPr>
              <w:fldChar w:fldCharType="separate"/>
            </w:r>
            <w:r w:rsidR="001E2662">
              <w:rPr>
                <w:noProof/>
                <w:webHidden/>
              </w:rPr>
              <w:t>15</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69" w:history="1">
            <w:r w:rsidR="001E2662" w:rsidRPr="00511CAD">
              <w:rPr>
                <w:rStyle w:val="Hyperlink"/>
                <w:noProof/>
              </w:rPr>
              <w:t>Quality summary and conclusions</w:t>
            </w:r>
            <w:r w:rsidR="001E2662">
              <w:rPr>
                <w:noProof/>
                <w:webHidden/>
              </w:rPr>
              <w:tab/>
            </w:r>
            <w:r w:rsidR="001E2662">
              <w:rPr>
                <w:noProof/>
                <w:webHidden/>
              </w:rPr>
              <w:fldChar w:fldCharType="begin"/>
            </w:r>
            <w:r w:rsidR="001E2662">
              <w:rPr>
                <w:noProof/>
                <w:webHidden/>
              </w:rPr>
              <w:instrText xml:space="preserve"> PAGEREF _Toc20133969 \h </w:instrText>
            </w:r>
            <w:r w:rsidR="001E2662">
              <w:rPr>
                <w:noProof/>
                <w:webHidden/>
              </w:rPr>
            </w:r>
            <w:r w:rsidR="001E2662">
              <w:rPr>
                <w:noProof/>
                <w:webHidden/>
              </w:rPr>
              <w:fldChar w:fldCharType="separate"/>
            </w:r>
            <w:r w:rsidR="001E2662">
              <w:rPr>
                <w:noProof/>
                <w:webHidden/>
              </w:rPr>
              <w:t>16</w:t>
            </w:r>
            <w:r w:rsidR="001E2662">
              <w:rPr>
                <w:noProof/>
                <w:webHidden/>
              </w:rPr>
              <w:fldChar w:fldCharType="end"/>
            </w:r>
          </w:hyperlink>
        </w:p>
        <w:p w:rsidR="001E2662" w:rsidRDefault="00040F04">
          <w:pPr>
            <w:pStyle w:val="TOC2"/>
            <w:rPr>
              <w:rFonts w:asciiTheme="minorHAnsi" w:eastAsiaTheme="minorEastAsia" w:hAnsiTheme="minorHAnsi" w:cstheme="minorBidi"/>
              <w:b w:val="0"/>
              <w:noProof/>
              <w:sz w:val="22"/>
              <w:lang w:eastAsia="en-AU"/>
            </w:rPr>
          </w:pPr>
          <w:hyperlink w:anchor="_Toc20133970" w:history="1">
            <w:r w:rsidR="001E2662" w:rsidRPr="00511CAD">
              <w:rPr>
                <w:rStyle w:val="Hyperlink"/>
                <w:noProof/>
              </w:rPr>
              <w:t>IV. Nonclinical findings</w:t>
            </w:r>
            <w:r w:rsidR="001E2662">
              <w:rPr>
                <w:noProof/>
                <w:webHidden/>
              </w:rPr>
              <w:tab/>
            </w:r>
            <w:r w:rsidR="001E2662">
              <w:rPr>
                <w:noProof/>
                <w:webHidden/>
              </w:rPr>
              <w:fldChar w:fldCharType="begin"/>
            </w:r>
            <w:r w:rsidR="001E2662">
              <w:rPr>
                <w:noProof/>
                <w:webHidden/>
              </w:rPr>
              <w:instrText xml:space="preserve"> PAGEREF _Toc20133970 \h </w:instrText>
            </w:r>
            <w:r w:rsidR="001E2662">
              <w:rPr>
                <w:noProof/>
                <w:webHidden/>
              </w:rPr>
            </w:r>
            <w:r w:rsidR="001E2662">
              <w:rPr>
                <w:noProof/>
                <w:webHidden/>
              </w:rPr>
              <w:fldChar w:fldCharType="separate"/>
            </w:r>
            <w:r w:rsidR="001E2662">
              <w:rPr>
                <w:noProof/>
                <w:webHidden/>
              </w:rPr>
              <w:t>17</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71" w:history="1">
            <w:r w:rsidR="001E2662" w:rsidRPr="00511CAD">
              <w:rPr>
                <w:rStyle w:val="Hyperlink"/>
                <w:noProof/>
              </w:rPr>
              <w:t>Introduction</w:t>
            </w:r>
            <w:r w:rsidR="001E2662">
              <w:rPr>
                <w:noProof/>
                <w:webHidden/>
              </w:rPr>
              <w:tab/>
            </w:r>
            <w:r w:rsidR="001E2662">
              <w:rPr>
                <w:noProof/>
                <w:webHidden/>
              </w:rPr>
              <w:fldChar w:fldCharType="begin"/>
            </w:r>
            <w:r w:rsidR="001E2662">
              <w:rPr>
                <w:noProof/>
                <w:webHidden/>
              </w:rPr>
              <w:instrText xml:space="preserve"> PAGEREF _Toc20133971 \h </w:instrText>
            </w:r>
            <w:r w:rsidR="001E2662">
              <w:rPr>
                <w:noProof/>
                <w:webHidden/>
              </w:rPr>
            </w:r>
            <w:r w:rsidR="001E2662">
              <w:rPr>
                <w:noProof/>
                <w:webHidden/>
              </w:rPr>
              <w:fldChar w:fldCharType="separate"/>
            </w:r>
            <w:r w:rsidR="001E2662">
              <w:rPr>
                <w:noProof/>
                <w:webHidden/>
              </w:rPr>
              <w:t>17</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72" w:history="1">
            <w:r w:rsidR="001E2662" w:rsidRPr="00511CAD">
              <w:rPr>
                <w:rStyle w:val="Hyperlink"/>
                <w:noProof/>
              </w:rPr>
              <w:t>Pharmacology</w:t>
            </w:r>
            <w:r w:rsidR="001E2662">
              <w:rPr>
                <w:noProof/>
                <w:webHidden/>
              </w:rPr>
              <w:tab/>
            </w:r>
            <w:r w:rsidR="001E2662">
              <w:rPr>
                <w:noProof/>
                <w:webHidden/>
              </w:rPr>
              <w:fldChar w:fldCharType="begin"/>
            </w:r>
            <w:r w:rsidR="001E2662">
              <w:rPr>
                <w:noProof/>
                <w:webHidden/>
              </w:rPr>
              <w:instrText xml:space="preserve"> PAGEREF _Toc20133972 \h </w:instrText>
            </w:r>
            <w:r w:rsidR="001E2662">
              <w:rPr>
                <w:noProof/>
                <w:webHidden/>
              </w:rPr>
            </w:r>
            <w:r w:rsidR="001E2662">
              <w:rPr>
                <w:noProof/>
                <w:webHidden/>
              </w:rPr>
              <w:fldChar w:fldCharType="separate"/>
            </w:r>
            <w:r w:rsidR="001E2662">
              <w:rPr>
                <w:noProof/>
                <w:webHidden/>
              </w:rPr>
              <w:t>17</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73" w:history="1">
            <w:r w:rsidR="001E2662" w:rsidRPr="00511CAD">
              <w:rPr>
                <w:rStyle w:val="Hyperlink"/>
                <w:noProof/>
              </w:rPr>
              <w:t>Pharmacokinetics</w:t>
            </w:r>
            <w:r w:rsidR="001E2662">
              <w:rPr>
                <w:noProof/>
                <w:webHidden/>
              </w:rPr>
              <w:tab/>
            </w:r>
            <w:r w:rsidR="001E2662">
              <w:rPr>
                <w:noProof/>
                <w:webHidden/>
              </w:rPr>
              <w:fldChar w:fldCharType="begin"/>
            </w:r>
            <w:r w:rsidR="001E2662">
              <w:rPr>
                <w:noProof/>
                <w:webHidden/>
              </w:rPr>
              <w:instrText xml:space="preserve"> PAGEREF _Toc20133973 \h </w:instrText>
            </w:r>
            <w:r w:rsidR="001E2662">
              <w:rPr>
                <w:noProof/>
                <w:webHidden/>
              </w:rPr>
            </w:r>
            <w:r w:rsidR="001E2662">
              <w:rPr>
                <w:noProof/>
                <w:webHidden/>
              </w:rPr>
              <w:fldChar w:fldCharType="separate"/>
            </w:r>
            <w:r w:rsidR="001E2662">
              <w:rPr>
                <w:noProof/>
                <w:webHidden/>
              </w:rPr>
              <w:t>20</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74" w:history="1">
            <w:r w:rsidR="001E2662" w:rsidRPr="00511CAD">
              <w:rPr>
                <w:rStyle w:val="Hyperlink"/>
                <w:noProof/>
              </w:rPr>
              <w:t>Toxicology</w:t>
            </w:r>
            <w:r w:rsidR="001E2662">
              <w:rPr>
                <w:noProof/>
                <w:webHidden/>
              </w:rPr>
              <w:tab/>
            </w:r>
            <w:r w:rsidR="001E2662">
              <w:rPr>
                <w:noProof/>
                <w:webHidden/>
              </w:rPr>
              <w:fldChar w:fldCharType="begin"/>
            </w:r>
            <w:r w:rsidR="001E2662">
              <w:rPr>
                <w:noProof/>
                <w:webHidden/>
              </w:rPr>
              <w:instrText xml:space="preserve"> PAGEREF _Toc20133974 \h </w:instrText>
            </w:r>
            <w:r w:rsidR="001E2662">
              <w:rPr>
                <w:noProof/>
                <w:webHidden/>
              </w:rPr>
            </w:r>
            <w:r w:rsidR="001E2662">
              <w:rPr>
                <w:noProof/>
                <w:webHidden/>
              </w:rPr>
              <w:fldChar w:fldCharType="separate"/>
            </w:r>
            <w:r w:rsidR="001E2662">
              <w:rPr>
                <w:noProof/>
                <w:webHidden/>
              </w:rPr>
              <w:t>22</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75" w:history="1">
            <w:r w:rsidR="001E2662" w:rsidRPr="00511CAD">
              <w:rPr>
                <w:rStyle w:val="Hyperlink"/>
                <w:noProof/>
              </w:rPr>
              <w:t>Nonclinical summary and conclusions</w:t>
            </w:r>
            <w:r w:rsidR="001E2662">
              <w:rPr>
                <w:noProof/>
                <w:webHidden/>
              </w:rPr>
              <w:tab/>
            </w:r>
            <w:r w:rsidR="001E2662">
              <w:rPr>
                <w:noProof/>
                <w:webHidden/>
              </w:rPr>
              <w:fldChar w:fldCharType="begin"/>
            </w:r>
            <w:r w:rsidR="001E2662">
              <w:rPr>
                <w:noProof/>
                <w:webHidden/>
              </w:rPr>
              <w:instrText xml:space="preserve"> PAGEREF _Toc20133975 \h </w:instrText>
            </w:r>
            <w:r w:rsidR="001E2662">
              <w:rPr>
                <w:noProof/>
                <w:webHidden/>
              </w:rPr>
            </w:r>
            <w:r w:rsidR="001E2662">
              <w:rPr>
                <w:noProof/>
                <w:webHidden/>
              </w:rPr>
              <w:fldChar w:fldCharType="separate"/>
            </w:r>
            <w:r w:rsidR="001E2662">
              <w:rPr>
                <w:noProof/>
                <w:webHidden/>
              </w:rPr>
              <w:t>26</w:t>
            </w:r>
            <w:r w:rsidR="001E2662">
              <w:rPr>
                <w:noProof/>
                <w:webHidden/>
              </w:rPr>
              <w:fldChar w:fldCharType="end"/>
            </w:r>
          </w:hyperlink>
        </w:p>
        <w:p w:rsidR="001E2662" w:rsidRDefault="00040F04">
          <w:pPr>
            <w:pStyle w:val="TOC2"/>
            <w:rPr>
              <w:rFonts w:asciiTheme="minorHAnsi" w:eastAsiaTheme="minorEastAsia" w:hAnsiTheme="minorHAnsi" w:cstheme="minorBidi"/>
              <w:b w:val="0"/>
              <w:noProof/>
              <w:sz w:val="22"/>
              <w:lang w:eastAsia="en-AU"/>
            </w:rPr>
          </w:pPr>
          <w:hyperlink w:anchor="_Toc20133976" w:history="1">
            <w:r w:rsidR="001E2662" w:rsidRPr="00511CAD">
              <w:rPr>
                <w:rStyle w:val="Hyperlink"/>
                <w:noProof/>
              </w:rPr>
              <w:t>V. Clinical findings</w:t>
            </w:r>
            <w:r w:rsidR="001E2662">
              <w:rPr>
                <w:noProof/>
                <w:webHidden/>
              </w:rPr>
              <w:tab/>
            </w:r>
            <w:r w:rsidR="001E2662">
              <w:rPr>
                <w:noProof/>
                <w:webHidden/>
              </w:rPr>
              <w:fldChar w:fldCharType="begin"/>
            </w:r>
            <w:r w:rsidR="001E2662">
              <w:rPr>
                <w:noProof/>
                <w:webHidden/>
              </w:rPr>
              <w:instrText xml:space="preserve"> PAGEREF _Toc20133976 \h </w:instrText>
            </w:r>
            <w:r w:rsidR="001E2662">
              <w:rPr>
                <w:noProof/>
                <w:webHidden/>
              </w:rPr>
            </w:r>
            <w:r w:rsidR="001E2662">
              <w:rPr>
                <w:noProof/>
                <w:webHidden/>
              </w:rPr>
              <w:fldChar w:fldCharType="separate"/>
            </w:r>
            <w:r w:rsidR="001E2662">
              <w:rPr>
                <w:noProof/>
                <w:webHidden/>
              </w:rPr>
              <w:t>28</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77" w:history="1">
            <w:r w:rsidR="001E2662" w:rsidRPr="00511CAD">
              <w:rPr>
                <w:rStyle w:val="Hyperlink"/>
                <w:noProof/>
              </w:rPr>
              <w:t>Introduction</w:t>
            </w:r>
            <w:r w:rsidR="001E2662">
              <w:rPr>
                <w:noProof/>
                <w:webHidden/>
              </w:rPr>
              <w:tab/>
            </w:r>
            <w:r w:rsidR="001E2662">
              <w:rPr>
                <w:noProof/>
                <w:webHidden/>
              </w:rPr>
              <w:fldChar w:fldCharType="begin"/>
            </w:r>
            <w:r w:rsidR="001E2662">
              <w:rPr>
                <w:noProof/>
                <w:webHidden/>
              </w:rPr>
              <w:instrText xml:space="preserve"> PAGEREF _Toc20133977 \h </w:instrText>
            </w:r>
            <w:r w:rsidR="001E2662">
              <w:rPr>
                <w:noProof/>
                <w:webHidden/>
              </w:rPr>
            </w:r>
            <w:r w:rsidR="001E2662">
              <w:rPr>
                <w:noProof/>
                <w:webHidden/>
              </w:rPr>
              <w:fldChar w:fldCharType="separate"/>
            </w:r>
            <w:r w:rsidR="001E2662">
              <w:rPr>
                <w:noProof/>
                <w:webHidden/>
              </w:rPr>
              <w:t>28</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78" w:history="1">
            <w:r w:rsidR="001E2662" w:rsidRPr="00511CAD">
              <w:rPr>
                <w:rStyle w:val="Hyperlink"/>
                <w:noProof/>
              </w:rPr>
              <w:t>Pharmacokinetics</w:t>
            </w:r>
            <w:r w:rsidR="001E2662">
              <w:rPr>
                <w:noProof/>
                <w:webHidden/>
              </w:rPr>
              <w:tab/>
            </w:r>
            <w:r w:rsidR="001E2662">
              <w:rPr>
                <w:noProof/>
                <w:webHidden/>
              </w:rPr>
              <w:fldChar w:fldCharType="begin"/>
            </w:r>
            <w:r w:rsidR="001E2662">
              <w:rPr>
                <w:noProof/>
                <w:webHidden/>
              </w:rPr>
              <w:instrText xml:space="preserve"> PAGEREF _Toc20133978 \h </w:instrText>
            </w:r>
            <w:r w:rsidR="001E2662">
              <w:rPr>
                <w:noProof/>
                <w:webHidden/>
              </w:rPr>
            </w:r>
            <w:r w:rsidR="001E2662">
              <w:rPr>
                <w:noProof/>
                <w:webHidden/>
              </w:rPr>
              <w:fldChar w:fldCharType="separate"/>
            </w:r>
            <w:r w:rsidR="001E2662">
              <w:rPr>
                <w:noProof/>
                <w:webHidden/>
              </w:rPr>
              <w:t>33</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79" w:history="1">
            <w:r w:rsidR="001E2662" w:rsidRPr="00511CAD">
              <w:rPr>
                <w:rStyle w:val="Hyperlink"/>
                <w:noProof/>
              </w:rPr>
              <w:t>Pharmacodynamics</w:t>
            </w:r>
            <w:r w:rsidR="001E2662">
              <w:rPr>
                <w:noProof/>
                <w:webHidden/>
              </w:rPr>
              <w:tab/>
            </w:r>
            <w:r w:rsidR="001E2662">
              <w:rPr>
                <w:noProof/>
                <w:webHidden/>
              </w:rPr>
              <w:fldChar w:fldCharType="begin"/>
            </w:r>
            <w:r w:rsidR="001E2662">
              <w:rPr>
                <w:noProof/>
                <w:webHidden/>
              </w:rPr>
              <w:instrText xml:space="preserve"> PAGEREF _Toc20133979 \h </w:instrText>
            </w:r>
            <w:r w:rsidR="001E2662">
              <w:rPr>
                <w:noProof/>
                <w:webHidden/>
              </w:rPr>
            </w:r>
            <w:r w:rsidR="001E2662">
              <w:rPr>
                <w:noProof/>
                <w:webHidden/>
              </w:rPr>
              <w:fldChar w:fldCharType="separate"/>
            </w:r>
            <w:r w:rsidR="001E2662">
              <w:rPr>
                <w:noProof/>
                <w:webHidden/>
              </w:rPr>
              <w:t>38</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80" w:history="1">
            <w:r w:rsidR="001E2662" w:rsidRPr="00511CAD">
              <w:rPr>
                <w:rStyle w:val="Hyperlink"/>
                <w:noProof/>
              </w:rPr>
              <w:t>Dosage selection for the pivotal studies</w:t>
            </w:r>
            <w:r w:rsidR="001E2662">
              <w:rPr>
                <w:noProof/>
                <w:webHidden/>
              </w:rPr>
              <w:tab/>
            </w:r>
            <w:r w:rsidR="001E2662">
              <w:rPr>
                <w:noProof/>
                <w:webHidden/>
              </w:rPr>
              <w:fldChar w:fldCharType="begin"/>
            </w:r>
            <w:r w:rsidR="001E2662">
              <w:rPr>
                <w:noProof/>
                <w:webHidden/>
              </w:rPr>
              <w:instrText xml:space="preserve"> PAGEREF _Toc20133980 \h </w:instrText>
            </w:r>
            <w:r w:rsidR="001E2662">
              <w:rPr>
                <w:noProof/>
                <w:webHidden/>
              </w:rPr>
            </w:r>
            <w:r w:rsidR="001E2662">
              <w:rPr>
                <w:noProof/>
                <w:webHidden/>
              </w:rPr>
              <w:fldChar w:fldCharType="separate"/>
            </w:r>
            <w:r w:rsidR="001E2662">
              <w:rPr>
                <w:noProof/>
                <w:webHidden/>
              </w:rPr>
              <w:t>39</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81" w:history="1">
            <w:r w:rsidR="001E2662" w:rsidRPr="00511CAD">
              <w:rPr>
                <w:rStyle w:val="Hyperlink"/>
                <w:noProof/>
              </w:rPr>
              <w:t>Efficacy</w:t>
            </w:r>
            <w:r w:rsidR="001E2662">
              <w:rPr>
                <w:noProof/>
                <w:webHidden/>
              </w:rPr>
              <w:tab/>
            </w:r>
            <w:r w:rsidR="001E2662">
              <w:rPr>
                <w:noProof/>
                <w:webHidden/>
              </w:rPr>
              <w:fldChar w:fldCharType="begin"/>
            </w:r>
            <w:r w:rsidR="001E2662">
              <w:rPr>
                <w:noProof/>
                <w:webHidden/>
              </w:rPr>
              <w:instrText xml:space="preserve"> PAGEREF _Toc20133981 \h </w:instrText>
            </w:r>
            <w:r w:rsidR="001E2662">
              <w:rPr>
                <w:noProof/>
                <w:webHidden/>
              </w:rPr>
            </w:r>
            <w:r w:rsidR="001E2662">
              <w:rPr>
                <w:noProof/>
                <w:webHidden/>
              </w:rPr>
              <w:fldChar w:fldCharType="separate"/>
            </w:r>
            <w:r w:rsidR="001E2662">
              <w:rPr>
                <w:noProof/>
                <w:webHidden/>
              </w:rPr>
              <w:t>40</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82" w:history="1">
            <w:r w:rsidR="001E2662" w:rsidRPr="00511CAD">
              <w:rPr>
                <w:rStyle w:val="Hyperlink"/>
                <w:noProof/>
              </w:rPr>
              <w:t>Safety</w:t>
            </w:r>
            <w:r w:rsidR="001E2662">
              <w:rPr>
                <w:noProof/>
                <w:webHidden/>
              </w:rPr>
              <w:tab/>
            </w:r>
            <w:r w:rsidR="001E2662">
              <w:rPr>
                <w:noProof/>
                <w:webHidden/>
              </w:rPr>
              <w:fldChar w:fldCharType="begin"/>
            </w:r>
            <w:r w:rsidR="001E2662">
              <w:rPr>
                <w:noProof/>
                <w:webHidden/>
              </w:rPr>
              <w:instrText xml:space="preserve"> PAGEREF _Toc20133982 \h </w:instrText>
            </w:r>
            <w:r w:rsidR="001E2662">
              <w:rPr>
                <w:noProof/>
                <w:webHidden/>
              </w:rPr>
            </w:r>
            <w:r w:rsidR="001E2662">
              <w:rPr>
                <w:noProof/>
                <w:webHidden/>
              </w:rPr>
              <w:fldChar w:fldCharType="separate"/>
            </w:r>
            <w:r w:rsidR="001E2662">
              <w:rPr>
                <w:noProof/>
                <w:webHidden/>
              </w:rPr>
              <w:t>41</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83" w:history="1">
            <w:r w:rsidR="001E2662" w:rsidRPr="00511CAD">
              <w:rPr>
                <w:rStyle w:val="Hyperlink"/>
                <w:noProof/>
              </w:rPr>
              <w:t>First round benefit-risk assessment</w:t>
            </w:r>
            <w:r w:rsidR="001E2662">
              <w:rPr>
                <w:noProof/>
                <w:webHidden/>
              </w:rPr>
              <w:tab/>
            </w:r>
            <w:r w:rsidR="001E2662">
              <w:rPr>
                <w:noProof/>
                <w:webHidden/>
              </w:rPr>
              <w:fldChar w:fldCharType="begin"/>
            </w:r>
            <w:r w:rsidR="001E2662">
              <w:rPr>
                <w:noProof/>
                <w:webHidden/>
              </w:rPr>
              <w:instrText xml:space="preserve"> PAGEREF _Toc20133983 \h </w:instrText>
            </w:r>
            <w:r w:rsidR="001E2662">
              <w:rPr>
                <w:noProof/>
                <w:webHidden/>
              </w:rPr>
            </w:r>
            <w:r w:rsidR="001E2662">
              <w:rPr>
                <w:noProof/>
                <w:webHidden/>
              </w:rPr>
              <w:fldChar w:fldCharType="separate"/>
            </w:r>
            <w:r w:rsidR="001E2662">
              <w:rPr>
                <w:noProof/>
                <w:webHidden/>
              </w:rPr>
              <w:t>56</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84" w:history="1">
            <w:r w:rsidR="001E2662" w:rsidRPr="00511CAD">
              <w:rPr>
                <w:rStyle w:val="Hyperlink"/>
                <w:noProof/>
              </w:rPr>
              <w:t>First round recommendation regarding authorisation</w:t>
            </w:r>
            <w:r w:rsidR="001E2662">
              <w:rPr>
                <w:noProof/>
                <w:webHidden/>
              </w:rPr>
              <w:tab/>
            </w:r>
            <w:r w:rsidR="001E2662">
              <w:rPr>
                <w:noProof/>
                <w:webHidden/>
              </w:rPr>
              <w:fldChar w:fldCharType="begin"/>
            </w:r>
            <w:r w:rsidR="001E2662">
              <w:rPr>
                <w:noProof/>
                <w:webHidden/>
              </w:rPr>
              <w:instrText xml:space="preserve"> PAGEREF _Toc20133984 \h </w:instrText>
            </w:r>
            <w:r w:rsidR="001E2662">
              <w:rPr>
                <w:noProof/>
                <w:webHidden/>
              </w:rPr>
            </w:r>
            <w:r w:rsidR="001E2662">
              <w:rPr>
                <w:noProof/>
                <w:webHidden/>
              </w:rPr>
              <w:fldChar w:fldCharType="separate"/>
            </w:r>
            <w:r w:rsidR="001E2662">
              <w:rPr>
                <w:noProof/>
                <w:webHidden/>
              </w:rPr>
              <w:t>58</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85" w:history="1">
            <w:r w:rsidR="001E2662" w:rsidRPr="00511CAD">
              <w:rPr>
                <w:rStyle w:val="Hyperlink"/>
                <w:noProof/>
              </w:rPr>
              <w:t>Clinical questions and second round evaluation</w:t>
            </w:r>
            <w:r w:rsidR="001E2662">
              <w:rPr>
                <w:noProof/>
                <w:webHidden/>
              </w:rPr>
              <w:tab/>
            </w:r>
            <w:r w:rsidR="001E2662">
              <w:rPr>
                <w:noProof/>
                <w:webHidden/>
              </w:rPr>
              <w:fldChar w:fldCharType="begin"/>
            </w:r>
            <w:r w:rsidR="001E2662">
              <w:rPr>
                <w:noProof/>
                <w:webHidden/>
              </w:rPr>
              <w:instrText xml:space="preserve"> PAGEREF _Toc20133985 \h </w:instrText>
            </w:r>
            <w:r w:rsidR="001E2662">
              <w:rPr>
                <w:noProof/>
                <w:webHidden/>
              </w:rPr>
            </w:r>
            <w:r w:rsidR="001E2662">
              <w:rPr>
                <w:noProof/>
                <w:webHidden/>
              </w:rPr>
              <w:fldChar w:fldCharType="separate"/>
            </w:r>
            <w:r w:rsidR="001E2662">
              <w:rPr>
                <w:noProof/>
                <w:webHidden/>
              </w:rPr>
              <w:t>58</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86" w:history="1">
            <w:r w:rsidR="001E2662" w:rsidRPr="00511CAD">
              <w:rPr>
                <w:rStyle w:val="Hyperlink"/>
                <w:noProof/>
              </w:rPr>
              <w:t>Second round benefit-risk assessment</w:t>
            </w:r>
            <w:r w:rsidR="001E2662">
              <w:rPr>
                <w:noProof/>
                <w:webHidden/>
              </w:rPr>
              <w:tab/>
            </w:r>
            <w:r w:rsidR="001E2662">
              <w:rPr>
                <w:noProof/>
                <w:webHidden/>
              </w:rPr>
              <w:fldChar w:fldCharType="begin"/>
            </w:r>
            <w:r w:rsidR="001E2662">
              <w:rPr>
                <w:noProof/>
                <w:webHidden/>
              </w:rPr>
              <w:instrText xml:space="preserve"> PAGEREF _Toc20133986 \h </w:instrText>
            </w:r>
            <w:r w:rsidR="001E2662">
              <w:rPr>
                <w:noProof/>
                <w:webHidden/>
              </w:rPr>
            </w:r>
            <w:r w:rsidR="001E2662">
              <w:rPr>
                <w:noProof/>
                <w:webHidden/>
              </w:rPr>
              <w:fldChar w:fldCharType="separate"/>
            </w:r>
            <w:r w:rsidR="001E2662">
              <w:rPr>
                <w:noProof/>
                <w:webHidden/>
              </w:rPr>
              <w:t>60</w:t>
            </w:r>
            <w:r w:rsidR="001E2662">
              <w:rPr>
                <w:noProof/>
                <w:webHidden/>
              </w:rPr>
              <w:fldChar w:fldCharType="end"/>
            </w:r>
          </w:hyperlink>
        </w:p>
        <w:p w:rsidR="001E2662" w:rsidRDefault="00040F04">
          <w:pPr>
            <w:pStyle w:val="TOC2"/>
            <w:rPr>
              <w:rFonts w:asciiTheme="minorHAnsi" w:eastAsiaTheme="minorEastAsia" w:hAnsiTheme="minorHAnsi" w:cstheme="minorBidi"/>
              <w:b w:val="0"/>
              <w:noProof/>
              <w:sz w:val="22"/>
              <w:lang w:eastAsia="en-AU"/>
            </w:rPr>
          </w:pPr>
          <w:hyperlink w:anchor="_Toc20133987" w:history="1">
            <w:r w:rsidR="001E2662" w:rsidRPr="00511CAD">
              <w:rPr>
                <w:rStyle w:val="Hyperlink"/>
                <w:noProof/>
              </w:rPr>
              <w:t>VI. Pharmacovigilance findings</w:t>
            </w:r>
            <w:r w:rsidR="001E2662">
              <w:rPr>
                <w:noProof/>
                <w:webHidden/>
              </w:rPr>
              <w:tab/>
            </w:r>
            <w:r w:rsidR="001E2662">
              <w:rPr>
                <w:noProof/>
                <w:webHidden/>
              </w:rPr>
              <w:fldChar w:fldCharType="begin"/>
            </w:r>
            <w:r w:rsidR="001E2662">
              <w:rPr>
                <w:noProof/>
                <w:webHidden/>
              </w:rPr>
              <w:instrText xml:space="preserve"> PAGEREF _Toc20133987 \h </w:instrText>
            </w:r>
            <w:r w:rsidR="001E2662">
              <w:rPr>
                <w:noProof/>
                <w:webHidden/>
              </w:rPr>
            </w:r>
            <w:r w:rsidR="001E2662">
              <w:rPr>
                <w:noProof/>
                <w:webHidden/>
              </w:rPr>
              <w:fldChar w:fldCharType="separate"/>
            </w:r>
            <w:r w:rsidR="001E2662">
              <w:rPr>
                <w:noProof/>
                <w:webHidden/>
              </w:rPr>
              <w:t>60</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88" w:history="1">
            <w:r w:rsidR="001E2662" w:rsidRPr="00511CAD">
              <w:rPr>
                <w:rStyle w:val="Hyperlink"/>
                <w:noProof/>
                <w:lang w:eastAsia="en-AU"/>
              </w:rPr>
              <w:t>Risk management plan</w:t>
            </w:r>
            <w:r w:rsidR="001E2662">
              <w:rPr>
                <w:noProof/>
                <w:webHidden/>
              </w:rPr>
              <w:tab/>
            </w:r>
            <w:r w:rsidR="001E2662">
              <w:rPr>
                <w:noProof/>
                <w:webHidden/>
              </w:rPr>
              <w:fldChar w:fldCharType="begin"/>
            </w:r>
            <w:r w:rsidR="001E2662">
              <w:rPr>
                <w:noProof/>
                <w:webHidden/>
              </w:rPr>
              <w:instrText xml:space="preserve"> PAGEREF _Toc20133988 \h </w:instrText>
            </w:r>
            <w:r w:rsidR="001E2662">
              <w:rPr>
                <w:noProof/>
                <w:webHidden/>
              </w:rPr>
            </w:r>
            <w:r w:rsidR="001E2662">
              <w:rPr>
                <w:noProof/>
                <w:webHidden/>
              </w:rPr>
              <w:fldChar w:fldCharType="separate"/>
            </w:r>
            <w:r w:rsidR="001E2662">
              <w:rPr>
                <w:noProof/>
                <w:webHidden/>
              </w:rPr>
              <w:t>60</w:t>
            </w:r>
            <w:r w:rsidR="001E2662">
              <w:rPr>
                <w:noProof/>
                <w:webHidden/>
              </w:rPr>
              <w:fldChar w:fldCharType="end"/>
            </w:r>
          </w:hyperlink>
        </w:p>
        <w:p w:rsidR="001E2662" w:rsidRDefault="00040F04">
          <w:pPr>
            <w:pStyle w:val="TOC2"/>
            <w:rPr>
              <w:rFonts w:asciiTheme="minorHAnsi" w:eastAsiaTheme="minorEastAsia" w:hAnsiTheme="minorHAnsi" w:cstheme="minorBidi"/>
              <w:b w:val="0"/>
              <w:noProof/>
              <w:sz w:val="22"/>
              <w:lang w:eastAsia="en-AU"/>
            </w:rPr>
          </w:pPr>
          <w:hyperlink w:anchor="_Toc20133989" w:history="1">
            <w:r w:rsidR="001E2662" w:rsidRPr="00511CAD">
              <w:rPr>
                <w:rStyle w:val="Hyperlink"/>
                <w:noProof/>
              </w:rPr>
              <w:t>VII. Overall conclusion and risk/benefit assessment</w:t>
            </w:r>
            <w:r w:rsidR="001E2662">
              <w:rPr>
                <w:noProof/>
                <w:webHidden/>
              </w:rPr>
              <w:tab/>
            </w:r>
            <w:r w:rsidR="001E2662">
              <w:rPr>
                <w:noProof/>
                <w:webHidden/>
              </w:rPr>
              <w:fldChar w:fldCharType="begin"/>
            </w:r>
            <w:r w:rsidR="001E2662">
              <w:rPr>
                <w:noProof/>
                <w:webHidden/>
              </w:rPr>
              <w:instrText xml:space="preserve"> PAGEREF _Toc20133989 \h </w:instrText>
            </w:r>
            <w:r w:rsidR="001E2662">
              <w:rPr>
                <w:noProof/>
                <w:webHidden/>
              </w:rPr>
            </w:r>
            <w:r w:rsidR="001E2662">
              <w:rPr>
                <w:noProof/>
                <w:webHidden/>
              </w:rPr>
              <w:fldChar w:fldCharType="separate"/>
            </w:r>
            <w:r w:rsidR="001E2662">
              <w:rPr>
                <w:noProof/>
                <w:webHidden/>
              </w:rPr>
              <w:t>62</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90" w:history="1">
            <w:r w:rsidR="001E2662" w:rsidRPr="00511CAD">
              <w:rPr>
                <w:rStyle w:val="Hyperlink"/>
                <w:noProof/>
              </w:rPr>
              <w:t>Introduction</w:t>
            </w:r>
            <w:r w:rsidR="001E2662">
              <w:rPr>
                <w:noProof/>
                <w:webHidden/>
              </w:rPr>
              <w:tab/>
            </w:r>
            <w:r w:rsidR="001E2662">
              <w:rPr>
                <w:noProof/>
                <w:webHidden/>
              </w:rPr>
              <w:fldChar w:fldCharType="begin"/>
            </w:r>
            <w:r w:rsidR="001E2662">
              <w:rPr>
                <w:noProof/>
                <w:webHidden/>
              </w:rPr>
              <w:instrText xml:space="preserve"> PAGEREF _Toc20133990 \h </w:instrText>
            </w:r>
            <w:r w:rsidR="001E2662">
              <w:rPr>
                <w:noProof/>
                <w:webHidden/>
              </w:rPr>
            </w:r>
            <w:r w:rsidR="001E2662">
              <w:rPr>
                <w:noProof/>
                <w:webHidden/>
              </w:rPr>
              <w:fldChar w:fldCharType="separate"/>
            </w:r>
            <w:r w:rsidR="001E2662">
              <w:rPr>
                <w:noProof/>
                <w:webHidden/>
              </w:rPr>
              <w:t>62</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91" w:history="1">
            <w:r w:rsidR="001E2662" w:rsidRPr="00511CAD">
              <w:rPr>
                <w:rStyle w:val="Hyperlink"/>
                <w:noProof/>
              </w:rPr>
              <w:t>Quality</w:t>
            </w:r>
            <w:r w:rsidR="001E2662">
              <w:rPr>
                <w:noProof/>
                <w:webHidden/>
              </w:rPr>
              <w:tab/>
            </w:r>
            <w:r w:rsidR="001E2662">
              <w:rPr>
                <w:noProof/>
                <w:webHidden/>
              </w:rPr>
              <w:fldChar w:fldCharType="begin"/>
            </w:r>
            <w:r w:rsidR="001E2662">
              <w:rPr>
                <w:noProof/>
                <w:webHidden/>
              </w:rPr>
              <w:instrText xml:space="preserve"> PAGEREF _Toc20133991 \h </w:instrText>
            </w:r>
            <w:r w:rsidR="001E2662">
              <w:rPr>
                <w:noProof/>
                <w:webHidden/>
              </w:rPr>
            </w:r>
            <w:r w:rsidR="001E2662">
              <w:rPr>
                <w:noProof/>
                <w:webHidden/>
              </w:rPr>
              <w:fldChar w:fldCharType="separate"/>
            </w:r>
            <w:r w:rsidR="001E2662">
              <w:rPr>
                <w:noProof/>
                <w:webHidden/>
              </w:rPr>
              <w:t>63</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92" w:history="1">
            <w:r w:rsidR="001E2662" w:rsidRPr="00511CAD">
              <w:rPr>
                <w:rStyle w:val="Hyperlink"/>
                <w:noProof/>
              </w:rPr>
              <w:t>Nonclinical</w:t>
            </w:r>
            <w:r w:rsidR="001E2662">
              <w:rPr>
                <w:noProof/>
                <w:webHidden/>
              </w:rPr>
              <w:tab/>
            </w:r>
            <w:r w:rsidR="001E2662">
              <w:rPr>
                <w:noProof/>
                <w:webHidden/>
              </w:rPr>
              <w:fldChar w:fldCharType="begin"/>
            </w:r>
            <w:r w:rsidR="001E2662">
              <w:rPr>
                <w:noProof/>
                <w:webHidden/>
              </w:rPr>
              <w:instrText xml:space="preserve"> PAGEREF _Toc20133992 \h </w:instrText>
            </w:r>
            <w:r w:rsidR="001E2662">
              <w:rPr>
                <w:noProof/>
                <w:webHidden/>
              </w:rPr>
            </w:r>
            <w:r w:rsidR="001E2662">
              <w:rPr>
                <w:noProof/>
                <w:webHidden/>
              </w:rPr>
              <w:fldChar w:fldCharType="separate"/>
            </w:r>
            <w:r w:rsidR="001E2662">
              <w:rPr>
                <w:noProof/>
                <w:webHidden/>
              </w:rPr>
              <w:t>63</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93" w:history="1">
            <w:r w:rsidR="001E2662" w:rsidRPr="00511CAD">
              <w:rPr>
                <w:rStyle w:val="Hyperlink"/>
                <w:noProof/>
              </w:rPr>
              <w:t>Clinical</w:t>
            </w:r>
            <w:r w:rsidR="001E2662">
              <w:rPr>
                <w:noProof/>
                <w:webHidden/>
              </w:rPr>
              <w:tab/>
            </w:r>
            <w:r w:rsidR="001E2662">
              <w:rPr>
                <w:noProof/>
                <w:webHidden/>
              </w:rPr>
              <w:fldChar w:fldCharType="begin"/>
            </w:r>
            <w:r w:rsidR="001E2662">
              <w:rPr>
                <w:noProof/>
                <w:webHidden/>
              </w:rPr>
              <w:instrText xml:space="preserve"> PAGEREF _Toc20133993 \h </w:instrText>
            </w:r>
            <w:r w:rsidR="001E2662">
              <w:rPr>
                <w:noProof/>
                <w:webHidden/>
              </w:rPr>
            </w:r>
            <w:r w:rsidR="001E2662">
              <w:rPr>
                <w:noProof/>
                <w:webHidden/>
              </w:rPr>
              <w:fldChar w:fldCharType="separate"/>
            </w:r>
            <w:r w:rsidR="001E2662">
              <w:rPr>
                <w:noProof/>
                <w:webHidden/>
              </w:rPr>
              <w:t>64</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94" w:history="1">
            <w:r w:rsidR="001E2662" w:rsidRPr="00511CAD">
              <w:rPr>
                <w:rStyle w:val="Hyperlink"/>
                <w:noProof/>
                <w:lang w:eastAsia="en-AU"/>
              </w:rPr>
              <w:t>Risk management plan</w:t>
            </w:r>
            <w:r w:rsidR="001E2662">
              <w:rPr>
                <w:noProof/>
                <w:webHidden/>
              </w:rPr>
              <w:tab/>
            </w:r>
            <w:r w:rsidR="001E2662">
              <w:rPr>
                <w:noProof/>
                <w:webHidden/>
              </w:rPr>
              <w:fldChar w:fldCharType="begin"/>
            </w:r>
            <w:r w:rsidR="001E2662">
              <w:rPr>
                <w:noProof/>
                <w:webHidden/>
              </w:rPr>
              <w:instrText xml:space="preserve"> PAGEREF _Toc20133994 \h </w:instrText>
            </w:r>
            <w:r w:rsidR="001E2662">
              <w:rPr>
                <w:noProof/>
                <w:webHidden/>
              </w:rPr>
            </w:r>
            <w:r w:rsidR="001E2662">
              <w:rPr>
                <w:noProof/>
                <w:webHidden/>
              </w:rPr>
              <w:fldChar w:fldCharType="separate"/>
            </w:r>
            <w:r w:rsidR="001E2662">
              <w:rPr>
                <w:noProof/>
                <w:webHidden/>
              </w:rPr>
              <w:t>78</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95" w:history="1">
            <w:r w:rsidR="001E2662" w:rsidRPr="00511CAD">
              <w:rPr>
                <w:rStyle w:val="Hyperlink"/>
                <w:noProof/>
              </w:rPr>
              <w:t>Risk-benefit analysis</w:t>
            </w:r>
            <w:r w:rsidR="001E2662">
              <w:rPr>
                <w:noProof/>
                <w:webHidden/>
              </w:rPr>
              <w:tab/>
            </w:r>
            <w:r w:rsidR="001E2662">
              <w:rPr>
                <w:noProof/>
                <w:webHidden/>
              </w:rPr>
              <w:fldChar w:fldCharType="begin"/>
            </w:r>
            <w:r w:rsidR="001E2662">
              <w:rPr>
                <w:noProof/>
                <w:webHidden/>
              </w:rPr>
              <w:instrText xml:space="preserve"> PAGEREF _Toc20133995 \h </w:instrText>
            </w:r>
            <w:r w:rsidR="001E2662">
              <w:rPr>
                <w:noProof/>
                <w:webHidden/>
              </w:rPr>
            </w:r>
            <w:r w:rsidR="001E2662">
              <w:rPr>
                <w:noProof/>
                <w:webHidden/>
              </w:rPr>
              <w:fldChar w:fldCharType="separate"/>
            </w:r>
            <w:r w:rsidR="001E2662">
              <w:rPr>
                <w:noProof/>
                <w:webHidden/>
              </w:rPr>
              <w:t>78</w:t>
            </w:r>
            <w:r w:rsidR="001E2662">
              <w:rPr>
                <w:noProof/>
                <w:webHidden/>
              </w:rPr>
              <w:fldChar w:fldCharType="end"/>
            </w:r>
          </w:hyperlink>
        </w:p>
        <w:p w:rsidR="001E2662" w:rsidRDefault="00040F04">
          <w:pPr>
            <w:pStyle w:val="TOC3"/>
            <w:rPr>
              <w:rFonts w:asciiTheme="minorHAnsi" w:eastAsiaTheme="minorEastAsia" w:hAnsiTheme="minorHAnsi" w:cstheme="minorBidi"/>
              <w:noProof/>
              <w:lang w:eastAsia="en-AU"/>
            </w:rPr>
          </w:pPr>
          <w:hyperlink w:anchor="_Toc20133996" w:history="1">
            <w:r w:rsidR="001E2662" w:rsidRPr="00511CAD">
              <w:rPr>
                <w:rStyle w:val="Hyperlink"/>
                <w:noProof/>
              </w:rPr>
              <w:t>Outcome</w:t>
            </w:r>
            <w:r w:rsidR="001E2662">
              <w:rPr>
                <w:noProof/>
                <w:webHidden/>
              </w:rPr>
              <w:tab/>
            </w:r>
            <w:r w:rsidR="001E2662">
              <w:rPr>
                <w:noProof/>
                <w:webHidden/>
              </w:rPr>
              <w:fldChar w:fldCharType="begin"/>
            </w:r>
            <w:r w:rsidR="001E2662">
              <w:rPr>
                <w:noProof/>
                <w:webHidden/>
              </w:rPr>
              <w:instrText xml:space="preserve"> PAGEREF _Toc20133996 \h </w:instrText>
            </w:r>
            <w:r w:rsidR="001E2662">
              <w:rPr>
                <w:noProof/>
                <w:webHidden/>
              </w:rPr>
            </w:r>
            <w:r w:rsidR="001E2662">
              <w:rPr>
                <w:noProof/>
                <w:webHidden/>
              </w:rPr>
              <w:fldChar w:fldCharType="separate"/>
            </w:r>
            <w:r w:rsidR="001E2662">
              <w:rPr>
                <w:noProof/>
                <w:webHidden/>
              </w:rPr>
              <w:t>87</w:t>
            </w:r>
            <w:r w:rsidR="001E2662">
              <w:rPr>
                <w:noProof/>
                <w:webHidden/>
              </w:rPr>
              <w:fldChar w:fldCharType="end"/>
            </w:r>
          </w:hyperlink>
        </w:p>
        <w:p w:rsidR="001E2662" w:rsidRDefault="00040F04">
          <w:pPr>
            <w:pStyle w:val="TOC2"/>
            <w:rPr>
              <w:rFonts w:asciiTheme="minorHAnsi" w:eastAsiaTheme="minorEastAsia" w:hAnsiTheme="minorHAnsi" w:cstheme="minorBidi"/>
              <w:b w:val="0"/>
              <w:noProof/>
              <w:sz w:val="22"/>
              <w:lang w:eastAsia="en-AU"/>
            </w:rPr>
          </w:pPr>
          <w:hyperlink w:anchor="_Toc20133997" w:history="1">
            <w:r w:rsidR="001E2662" w:rsidRPr="00511CAD">
              <w:rPr>
                <w:rStyle w:val="Hyperlink"/>
                <w:noProof/>
              </w:rPr>
              <w:t>Attachment 1. Product Information</w:t>
            </w:r>
            <w:r w:rsidR="001E2662">
              <w:rPr>
                <w:noProof/>
                <w:webHidden/>
              </w:rPr>
              <w:tab/>
            </w:r>
            <w:r w:rsidR="001E2662">
              <w:rPr>
                <w:noProof/>
                <w:webHidden/>
              </w:rPr>
              <w:fldChar w:fldCharType="begin"/>
            </w:r>
            <w:r w:rsidR="001E2662">
              <w:rPr>
                <w:noProof/>
                <w:webHidden/>
              </w:rPr>
              <w:instrText xml:space="preserve"> PAGEREF _Toc20133997 \h </w:instrText>
            </w:r>
            <w:r w:rsidR="001E2662">
              <w:rPr>
                <w:noProof/>
                <w:webHidden/>
              </w:rPr>
            </w:r>
            <w:r w:rsidR="001E2662">
              <w:rPr>
                <w:noProof/>
                <w:webHidden/>
              </w:rPr>
              <w:fldChar w:fldCharType="separate"/>
            </w:r>
            <w:r w:rsidR="001E2662">
              <w:rPr>
                <w:noProof/>
                <w:webHidden/>
              </w:rPr>
              <w:t>87</w:t>
            </w:r>
            <w:r w:rsidR="001E2662">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20133957"/>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FD119B" w:rsidTr="00EB5BEF">
        <w:trPr>
          <w:cnfStyle w:val="100000000000" w:firstRow="1" w:lastRow="0" w:firstColumn="0" w:lastColumn="0" w:oddVBand="0" w:evenVBand="0" w:oddHBand="0" w:evenHBand="0" w:firstRowFirstColumn="0" w:firstRowLastColumn="0" w:lastRowFirstColumn="0" w:lastRowLastColumn="0"/>
        </w:trPr>
        <w:tc>
          <w:tcPr>
            <w:tcW w:w="1890" w:type="dxa"/>
          </w:tcPr>
          <w:p w:rsidR="00FD119B" w:rsidRPr="00FD119B" w:rsidRDefault="00FD119B" w:rsidP="00BD430E">
            <w:pPr>
              <w:rPr>
                <w:lang w:eastAsia="en-US"/>
              </w:rPr>
            </w:pPr>
            <w:r w:rsidRPr="00FD119B">
              <w:rPr>
                <w:lang w:eastAsia="en-US"/>
              </w:rPr>
              <w:t>Abbreviation</w:t>
            </w:r>
          </w:p>
        </w:tc>
        <w:tc>
          <w:tcPr>
            <w:tcW w:w="6830" w:type="dxa"/>
          </w:tcPr>
          <w:p w:rsidR="00FD119B" w:rsidRPr="00FD119B" w:rsidRDefault="00FD119B" w:rsidP="00BD430E">
            <w:pPr>
              <w:rPr>
                <w:lang w:eastAsia="en-US"/>
              </w:rPr>
            </w:pPr>
            <w:r w:rsidRPr="00FD119B">
              <w:rPr>
                <w:lang w:eastAsia="en-US"/>
              </w:rPr>
              <w:t>Meaning</w:t>
            </w:r>
          </w:p>
        </w:tc>
      </w:tr>
      <w:tr w:rsidR="00BD430E" w:rsidRPr="00FD119B" w:rsidTr="00EB5BEF">
        <w:tc>
          <w:tcPr>
            <w:tcW w:w="1890" w:type="dxa"/>
          </w:tcPr>
          <w:p w:rsidR="00BD430E" w:rsidRPr="00A41D8E" w:rsidRDefault="004E4AAB" w:rsidP="00BD430E">
            <w:pPr>
              <w:rPr>
                <w:rFonts w:cstheme="minorHAnsi"/>
                <w:color w:val="auto"/>
              </w:rPr>
            </w:pPr>
            <w:r>
              <w:rPr>
                <w:rFonts w:cstheme="minorHAnsi"/>
                <w:color w:val="auto"/>
              </w:rPr>
              <w:t>(</w:t>
            </w:r>
            <w:r w:rsidR="00BD430E" w:rsidRPr="00A41D8E">
              <w:rPr>
                <w:rFonts w:cstheme="minorHAnsi"/>
                <w:color w:val="auto"/>
                <w:vertAlign w:val="superscript"/>
              </w:rPr>
              <w:t>14</w:t>
            </w:r>
            <w:r w:rsidR="00BD430E" w:rsidRPr="00A41D8E">
              <w:rPr>
                <w:rFonts w:cstheme="minorHAnsi"/>
                <w:color w:val="auto"/>
              </w:rPr>
              <w:t>C</w:t>
            </w:r>
            <w:r>
              <w:rPr>
                <w:rFonts w:cstheme="minorHAnsi"/>
                <w:color w:val="auto"/>
              </w:rPr>
              <w:t>)</w:t>
            </w:r>
          </w:p>
        </w:tc>
        <w:tc>
          <w:tcPr>
            <w:tcW w:w="6830" w:type="dxa"/>
          </w:tcPr>
          <w:p w:rsidR="00BD430E" w:rsidRPr="00A41D8E" w:rsidRDefault="001B5D97" w:rsidP="00BD430E">
            <w:pPr>
              <w:rPr>
                <w:rFonts w:cstheme="minorHAnsi"/>
                <w:color w:val="auto"/>
              </w:rPr>
            </w:pPr>
            <w:r>
              <w:rPr>
                <w:rFonts w:eastAsia="TimesNewRoman" w:cstheme="minorHAnsi"/>
                <w:color w:val="auto"/>
              </w:rPr>
              <w:t>C</w:t>
            </w:r>
            <w:r w:rsidR="00BD430E" w:rsidRPr="00A41D8E">
              <w:rPr>
                <w:rFonts w:eastAsia="TimesNewRoman" w:cstheme="minorHAnsi"/>
                <w:color w:val="auto"/>
              </w:rPr>
              <w:t>arbon-14</w:t>
            </w:r>
          </w:p>
        </w:tc>
      </w:tr>
      <w:tr w:rsidR="00BD430E" w:rsidRPr="00FD119B" w:rsidTr="00EB5BEF">
        <w:tc>
          <w:tcPr>
            <w:tcW w:w="1890" w:type="dxa"/>
          </w:tcPr>
          <w:p w:rsidR="00BD430E" w:rsidRPr="00A41D8E" w:rsidRDefault="00BD430E" w:rsidP="00BD430E">
            <w:pPr>
              <w:rPr>
                <w:color w:val="auto"/>
              </w:rPr>
            </w:pPr>
            <w:r w:rsidRPr="00A41D8E">
              <w:rPr>
                <w:color w:val="auto"/>
              </w:rPr>
              <w:t>3TC</w:t>
            </w:r>
          </w:p>
        </w:tc>
        <w:tc>
          <w:tcPr>
            <w:tcW w:w="6830" w:type="dxa"/>
          </w:tcPr>
          <w:p w:rsidR="00BD430E" w:rsidRPr="00A41D8E" w:rsidRDefault="001E27FD" w:rsidP="00BD430E">
            <w:pPr>
              <w:rPr>
                <w:color w:val="auto"/>
              </w:rPr>
            </w:pPr>
            <w:r>
              <w:rPr>
                <w:color w:val="auto"/>
              </w:rPr>
              <w:t>L</w:t>
            </w:r>
            <w:r w:rsidR="00BD430E" w:rsidRPr="00A41D8E">
              <w:rPr>
                <w:color w:val="auto"/>
              </w:rPr>
              <w:t>amivudine</w:t>
            </w:r>
          </w:p>
        </w:tc>
      </w:tr>
      <w:tr w:rsidR="00BD430E" w:rsidRPr="00FD119B" w:rsidTr="00EB5BEF">
        <w:tc>
          <w:tcPr>
            <w:tcW w:w="1890" w:type="dxa"/>
          </w:tcPr>
          <w:p w:rsidR="00BD430E" w:rsidRPr="00A41D8E" w:rsidRDefault="00BD430E" w:rsidP="00BD430E">
            <w:pPr>
              <w:rPr>
                <w:color w:val="auto"/>
              </w:rPr>
            </w:pPr>
            <w:r w:rsidRPr="00A41D8E">
              <w:rPr>
                <w:color w:val="auto"/>
              </w:rPr>
              <w:t>ABC</w:t>
            </w:r>
          </w:p>
        </w:tc>
        <w:tc>
          <w:tcPr>
            <w:tcW w:w="6830" w:type="dxa"/>
          </w:tcPr>
          <w:p w:rsidR="00BD430E" w:rsidRPr="00A41D8E" w:rsidRDefault="00BD430E" w:rsidP="00BD430E">
            <w:pPr>
              <w:rPr>
                <w:color w:val="auto"/>
              </w:rPr>
            </w:pPr>
            <w:r w:rsidRPr="00A41D8E">
              <w:rPr>
                <w:color w:val="auto"/>
              </w:rPr>
              <w:t>Abacavir</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ADME</w:t>
            </w:r>
          </w:p>
        </w:tc>
        <w:tc>
          <w:tcPr>
            <w:tcW w:w="6830" w:type="dxa"/>
          </w:tcPr>
          <w:p w:rsidR="00BD430E" w:rsidRPr="00A41D8E" w:rsidRDefault="00BD430E" w:rsidP="00BD430E">
            <w:pPr>
              <w:rPr>
                <w:rFonts w:cstheme="minorHAnsi"/>
                <w:color w:val="auto"/>
              </w:rPr>
            </w:pPr>
            <w:r w:rsidRPr="00A41D8E">
              <w:rPr>
                <w:rFonts w:cstheme="minorHAnsi"/>
                <w:color w:val="auto"/>
              </w:rPr>
              <w:t>Absorption, distribution, metabolism and excretion</w:t>
            </w:r>
          </w:p>
        </w:tc>
      </w:tr>
      <w:tr w:rsidR="00F80D3D" w:rsidRPr="00FD119B" w:rsidTr="00EB5BEF">
        <w:tc>
          <w:tcPr>
            <w:tcW w:w="1890" w:type="dxa"/>
          </w:tcPr>
          <w:p w:rsidR="00F80D3D" w:rsidRPr="00A41D8E" w:rsidRDefault="00F80D3D" w:rsidP="00BD430E">
            <w:pPr>
              <w:rPr>
                <w:rFonts w:cstheme="minorHAnsi"/>
              </w:rPr>
            </w:pPr>
            <w:r>
              <w:rPr>
                <w:rFonts w:cstheme="minorHAnsi"/>
              </w:rPr>
              <w:t>ADR</w:t>
            </w:r>
          </w:p>
        </w:tc>
        <w:tc>
          <w:tcPr>
            <w:tcW w:w="6830" w:type="dxa"/>
          </w:tcPr>
          <w:p w:rsidR="00F80D3D" w:rsidRPr="00A41D8E" w:rsidRDefault="00F80D3D" w:rsidP="00BD430E">
            <w:pPr>
              <w:rPr>
                <w:rFonts w:cstheme="minorHAnsi"/>
              </w:rPr>
            </w:pPr>
            <w:r>
              <w:rPr>
                <w:rFonts w:cstheme="minorHAnsi"/>
              </w:rPr>
              <w:t>A</w:t>
            </w:r>
            <w:r w:rsidRPr="00F80D3D">
              <w:rPr>
                <w:rFonts w:cstheme="minorHAnsi"/>
              </w:rPr>
              <w:t>dverse drug reaction</w:t>
            </w:r>
          </w:p>
        </w:tc>
      </w:tr>
      <w:tr w:rsidR="00BD430E" w:rsidRPr="00FD119B" w:rsidTr="00EB5BEF">
        <w:tc>
          <w:tcPr>
            <w:tcW w:w="1890" w:type="dxa"/>
          </w:tcPr>
          <w:p w:rsidR="00BD430E" w:rsidRPr="00A41D8E" w:rsidRDefault="00BD430E" w:rsidP="00BD430E">
            <w:pPr>
              <w:rPr>
                <w:color w:val="auto"/>
              </w:rPr>
            </w:pPr>
            <w:r w:rsidRPr="00A41D8E">
              <w:rPr>
                <w:color w:val="auto"/>
              </w:rPr>
              <w:t>AE</w:t>
            </w:r>
          </w:p>
        </w:tc>
        <w:tc>
          <w:tcPr>
            <w:tcW w:w="6830" w:type="dxa"/>
          </w:tcPr>
          <w:p w:rsidR="00BD430E" w:rsidRPr="00A41D8E" w:rsidRDefault="00BD430E" w:rsidP="00BD430E">
            <w:pPr>
              <w:rPr>
                <w:color w:val="auto"/>
              </w:rPr>
            </w:pPr>
            <w:r w:rsidRPr="00A41D8E">
              <w:rPr>
                <w:color w:val="auto"/>
              </w:rPr>
              <w:t>Adverse event</w:t>
            </w:r>
          </w:p>
        </w:tc>
      </w:tr>
      <w:tr w:rsidR="00BD430E" w:rsidRPr="00FD119B" w:rsidTr="00EB5BEF">
        <w:tc>
          <w:tcPr>
            <w:tcW w:w="1890" w:type="dxa"/>
          </w:tcPr>
          <w:p w:rsidR="00BD430E" w:rsidRPr="00A41D8E" w:rsidRDefault="00BD430E" w:rsidP="00BD430E">
            <w:pPr>
              <w:rPr>
                <w:color w:val="auto"/>
              </w:rPr>
            </w:pPr>
            <w:r w:rsidRPr="00A41D8E">
              <w:rPr>
                <w:color w:val="auto"/>
              </w:rPr>
              <w:t>AIDS</w:t>
            </w:r>
          </w:p>
        </w:tc>
        <w:tc>
          <w:tcPr>
            <w:tcW w:w="6830" w:type="dxa"/>
          </w:tcPr>
          <w:p w:rsidR="00BD430E" w:rsidRPr="00A41D8E" w:rsidRDefault="00BD430E" w:rsidP="00BD430E">
            <w:pPr>
              <w:rPr>
                <w:color w:val="auto"/>
              </w:rPr>
            </w:pPr>
            <w:r w:rsidRPr="00A41D8E">
              <w:rPr>
                <w:color w:val="auto"/>
              </w:rPr>
              <w:t>Acquired immunodeficiency syndrome</w:t>
            </w:r>
          </w:p>
        </w:tc>
      </w:tr>
      <w:tr w:rsidR="00BD430E" w:rsidRPr="00FD119B" w:rsidTr="00EB5BEF">
        <w:tc>
          <w:tcPr>
            <w:tcW w:w="1890" w:type="dxa"/>
          </w:tcPr>
          <w:p w:rsidR="00BD430E" w:rsidRPr="00A41D8E" w:rsidRDefault="00BD430E" w:rsidP="00BD430E">
            <w:pPr>
              <w:rPr>
                <w:color w:val="auto"/>
              </w:rPr>
            </w:pPr>
            <w:r w:rsidRPr="00A41D8E">
              <w:rPr>
                <w:color w:val="auto"/>
              </w:rPr>
              <w:t>ALT</w:t>
            </w:r>
          </w:p>
        </w:tc>
        <w:tc>
          <w:tcPr>
            <w:tcW w:w="6830" w:type="dxa"/>
          </w:tcPr>
          <w:p w:rsidR="00BD430E" w:rsidRPr="00A41D8E" w:rsidRDefault="00BD430E" w:rsidP="00BD430E">
            <w:pPr>
              <w:rPr>
                <w:color w:val="auto"/>
              </w:rPr>
            </w:pPr>
            <w:r w:rsidRPr="00A41D8E">
              <w:rPr>
                <w:color w:val="auto"/>
              </w:rPr>
              <w:t>Alanine aminotransferase</w:t>
            </w:r>
          </w:p>
        </w:tc>
      </w:tr>
      <w:tr w:rsidR="00BD430E" w:rsidRPr="00FD119B" w:rsidTr="00EB5BEF">
        <w:tc>
          <w:tcPr>
            <w:tcW w:w="1890" w:type="dxa"/>
          </w:tcPr>
          <w:p w:rsidR="00BD430E" w:rsidRPr="00A41D8E" w:rsidRDefault="00BD430E" w:rsidP="00BD430E">
            <w:pPr>
              <w:rPr>
                <w:color w:val="auto"/>
              </w:rPr>
            </w:pPr>
            <w:r w:rsidRPr="00A41D8E">
              <w:rPr>
                <w:color w:val="auto"/>
              </w:rPr>
              <w:t>ART</w:t>
            </w:r>
          </w:p>
        </w:tc>
        <w:tc>
          <w:tcPr>
            <w:tcW w:w="6830" w:type="dxa"/>
          </w:tcPr>
          <w:p w:rsidR="001E27FD" w:rsidRPr="006912D4" w:rsidRDefault="00A92B53" w:rsidP="006912D4">
            <w:r>
              <w:t>A</w:t>
            </w:r>
            <w:r w:rsidRPr="00380451">
              <w:t>ntiretroviral therapy</w:t>
            </w:r>
          </w:p>
        </w:tc>
      </w:tr>
      <w:tr w:rsidR="00BD430E" w:rsidRPr="00FD119B" w:rsidTr="00EB5BEF">
        <w:tc>
          <w:tcPr>
            <w:tcW w:w="1890" w:type="dxa"/>
          </w:tcPr>
          <w:p w:rsidR="00BD430E" w:rsidRPr="00A41D8E" w:rsidRDefault="00BD430E" w:rsidP="00BD430E">
            <w:pPr>
              <w:rPr>
                <w:color w:val="auto"/>
              </w:rPr>
            </w:pPr>
            <w:r w:rsidRPr="00A41D8E">
              <w:rPr>
                <w:color w:val="auto"/>
              </w:rPr>
              <w:t>ARV</w:t>
            </w:r>
          </w:p>
        </w:tc>
        <w:tc>
          <w:tcPr>
            <w:tcW w:w="6830" w:type="dxa"/>
          </w:tcPr>
          <w:p w:rsidR="00BD430E" w:rsidRPr="00A41D8E" w:rsidRDefault="00BD430E" w:rsidP="00BD430E">
            <w:pPr>
              <w:rPr>
                <w:color w:val="auto"/>
              </w:rPr>
            </w:pPr>
            <w:r w:rsidRPr="00A41D8E">
              <w:rPr>
                <w:color w:val="auto"/>
              </w:rPr>
              <w:t>Antiretroviral</w:t>
            </w:r>
          </w:p>
        </w:tc>
      </w:tr>
      <w:tr w:rsidR="00BD430E" w:rsidRPr="00FD119B" w:rsidTr="00EB5BEF">
        <w:tc>
          <w:tcPr>
            <w:tcW w:w="1890" w:type="dxa"/>
          </w:tcPr>
          <w:p w:rsidR="00BD430E" w:rsidRPr="00A41D8E" w:rsidRDefault="00BD430E" w:rsidP="00BD430E">
            <w:pPr>
              <w:rPr>
                <w:color w:val="auto"/>
              </w:rPr>
            </w:pPr>
            <w:r w:rsidRPr="00A41D8E">
              <w:rPr>
                <w:color w:val="auto"/>
              </w:rPr>
              <w:t>AST</w:t>
            </w:r>
          </w:p>
        </w:tc>
        <w:tc>
          <w:tcPr>
            <w:tcW w:w="6830" w:type="dxa"/>
          </w:tcPr>
          <w:p w:rsidR="00BD430E" w:rsidRPr="00A41D8E" w:rsidRDefault="00BD430E" w:rsidP="00BD430E">
            <w:pPr>
              <w:rPr>
                <w:color w:val="auto"/>
              </w:rPr>
            </w:pPr>
            <w:r w:rsidRPr="00A41D8E">
              <w:rPr>
                <w:color w:val="auto"/>
              </w:rPr>
              <w:t>Aspartate aminotransferase</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ATV</w:t>
            </w:r>
          </w:p>
        </w:tc>
        <w:tc>
          <w:tcPr>
            <w:tcW w:w="6830" w:type="dxa"/>
          </w:tcPr>
          <w:p w:rsidR="00BD430E" w:rsidRPr="00A41D8E" w:rsidRDefault="001B5D97" w:rsidP="00BD430E">
            <w:pPr>
              <w:rPr>
                <w:rFonts w:cstheme="minorHAnsi"/>
                <w:color w:val="auto"/>
              </w:rPr>
            </w:pPr>
            <w:r>
              <w:rPr>
                <w:rFonts w:cstheme="minorHAnsi"/>
                <w:color w:val="auto"/>
              </w:rPr>
              <w:t>A</w:t>
            </w:r>
            <w:r w:rsidR="00BD430E" w:rsidRPr="00A41D8E">
              <w:rPr>
                <w:rFonts w:cstheme="minorHAnsi"/>
                <w:color w:val="auto"/>
              </w:rPr>
              <w:t>tazanavir</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AUC</w:t>
            </w:r>
            <w:r w:rsidRPr="00EB5BEF">
              <w:rPr>
                <w:rFonts w:cstheme="minorHAnsi"/>
                <w:color w:val="auto"/>
                <w:vertAlign w:val="subscript"/>
              </w:rPr>
              <w:t>inf</w:t>
            </w:r>
          </w:p>
        </w:tc>
        <w:tc>
          <w:tcPr>
            <w:tcW w:w="6830" w:type="dxa"/>
          </w:tcPr>
          <w:p w:rsidR="00BD430E" w:rsidRPr="00A41D8E" w:rsidRDefault="00EB5BEF" w:rsidP="00BD430E">
            <w:pPr>
              <w:rPr>
                <w:rFonts w:cstheme="minorHAnsi"/>
                <w:color w:val="auto"/>
              </w:rPr>
            </w:pPr>
            <w:r>
              <w:rPr>
                <w:rFonts w:cstheme="minorHAnsi"/>
                <w:color w:val="auto"/>
              </w:rPr>
              <w:t>A</w:t>
            </w:r>
            <w:r w:rsidR="00A26F7F">
              <w:rPr>
                <w:rFonts w:cstheme="minorHAnsi"/>
                <w:color w:val="auto"/>
              </w:rPr>
              <w:t>r</w:t>
            </w:r>
            <w:r w:rsidR="00BD430E" w:rsidRPr="00A41D8E">
              <w:rPr>
                <w:rFonts w:cstheme="minorHAnsi"/>
                <w:color w:val="auto"/>
              </w:rPr>
              <w:t>ea under the plasma concentration versus time curve extrapolated to infinite time</w:t>
            </w:r>
          </w:p>
        </w:tc>
      </w:tr>
      <w:tr w:rsidR="00BD430E" w:rsidRPr="00FD119B" w:rsidTr="00EB5BEF">
        <w:tc>
          <w:tcPr>
            <w:tcW w:w="1890" w:type="dxa"/>
          </w:tcPr>
          <w:p w:rsidR="00BD430E" w:rsidRPr="00A41D8E" w:rsidRDefault="00BD430E" w:rsidP="00BD430E">
            <w:pPr>
              <w:rPr>
                <w:rFonts w:cstheme="minorHAnsi"/>
                <w:color w:val="auto"/>
                <w:vertAlign w:val="subscript"/>
              </w:rPr>
            </w:pPr>
            <w:r w:rsidRPr="00A41D8E">
              <w:rPr>
                <w:rFonts w:cstheme="minorHAnsi"/>
                <w:color w:val="auto"/>
              </w:rPr>
              <w:t>AUC</w:t>
            </w:r>
            <w:r w:rsidRPr="00A41D8E">
              <w:rPr>
                <w:rFonts w:cstheme="minorHAnsi"/>
                <w:color w:val="auto"/>
                <w:vertAlign w:val="subscript"/>
              </w:rPr>
              <w:t>last</w:t>
            </w:r>
          </w:p>
        </w:tc>
        <w:tc>
          <w:tcPr>
            <w:tcW w:w="6830" w:type="dxa"/>
          </w:tcPr>
          <w:p w:rsidR="00BD430E" w:rsidRPr="00A41D8E" w:rsidRDefault="00EB5BEF" w:rsidP="00BD430E">
            <w:pPr>
              <w:rPr>
                <w:rFonts w:cstheme="minorHAnsi"/>
                <w:color w:val="auto"/>
              </w:rPr>
            </w:pPr>
            <w:r>
              <w:rPr>
                <w:rFonts w:cstheme="minorHAnsi"/>
                <w:color w:val="auto"/>
              </w:rPr>
              <w:t>A</w:t>
            </w:r>
            <w:r w:rsidR="00BD430E" w:rsidRPr="00A41D8E">
              <w:rPr>
                <w:rFonts w:cstheme="minorHAnsi"/>
                <w:color w:val="auto"/>
              </w:rPr>
              <w:t>rea under the plasma concentration versus time curve from time zero to the last quantifiable concentration</w:t>
            </w:r>
          </w:p>
        </w:tc>
      </w:tr>
      <w:tr w:rsidR="00BD430E" w:rsidRPr="00FD119B" w:rsidTr="00EB5BEF">
        <w:tc>
          <w:tcPr>
            <w:tcW w:w="1890" w:type="dxa"/>
          </w:tcPr>
          <w:p w:rsidR="00BD430E" w:rsidRPr="00A41D8E" w:rsidRDefault="00BD430E" w:rsidP="00BD430E">
            <w:pPr>
              <w:rPr>
                <w:color w:val="auto"/>
              </w:rPr>
            </w:pPr>
            <w:r w:rsidRPr="00A41D8E">
              <w:rPr>
                <w:color w:val="auto"/>
              </w:rPr>
              <w:t>B/F/TAF</w:t>
            </w:r>
          </w:p>
        </w:tc>
        <w:tc>
          <w:tcPr>
            <w:tcW w:w="6830" w:type="dxa"/>
          </w:tcPr>
          <w:p w:rsidR="00BD430E" w:rsidRPr="00A41D8E" w:rsidRDefault="00BD430E" w:rsidP="001B5D97">
            <w:pPr>
              <w:rPr>
                <w:color w:val="auto"/>
              </w:rPr>
            </w:pPr>
            <w:r w:rsidRPr="00A41D8E">
              <w:rPr>
                <w:color w:val="auto"/>
              </w:rPr>
              <w:t>Fixed dose combination of bictegravir 50 mg</w:t>
            </w:r>
            <w:r w:rsidR="001B5D97" w:rsidRPr="00A41D8E">
              <w:rPr>
                <w:color w:val="auto"/>
              </w:rPr>
              <w:t xml:space="preserve"> (B)</w:t>
            </w:r>
            <w:r w:rsidRPr="00A41D8E">
              <w:rPr>
                <w:color w:val="auto"/>
              </w:rPr>
              <w:t>/emtricitabine 200 mg</w:t>
            </w:r>
            <w:r w:rsidR="001B5D97">
              <w:rPr>
                <w:color w:val="auto"/>
              </w:rPr>
              <w:t xml:space="preserve"> (F)</w:t>
            </w:r>
            <w:r w:rsidRPr="00A41D8E">
              <w:rPr>
                <w:color w:val="auto"/>
              </w:rPr>
              <w:t>/tenofovir alafenamide 25 mg</w:t>
            </w:r>
            <w:r w:rsidR="001B5D97">
              <w:rPr>
                <w:color w:val="auto"/>
              </w:rPr>
              <w:t xml:space="preserve"> </w:t>
            </w:r>
            <w:r w:rsidR="001B5D97" w:rsidRPr="00A41D8E">
              <w:rPr>
                <w:color w:val="auto"/>
              </w:rPr>
              <w:t>(TAF)</w:t>
            </w:r>
          </w:p>
        </w:tc>
      </w:tr>
      <w:tr w:rsidR="00164F07" w:rsidRPr="00FD119B" w:rsidTr="00EB5BEF">
        <w:tc>
          <w:tcPr>
            <w:tcW w:w="1890" w:type="dxa"/>
          </w:tcPr>
          <w:p w:rsidR="00164F07" w:rsidRPr="00A41D8E" w:rsidRDefault="00164F07" w:rsidP="00BD430E">
            <w:pPr>
              <w:rPr>
                <w:rFonts w:cstheme="minorHAnsi"/>
              </w:rPr>
            </w:pPr>
            <w:r>
              <w:rPr>
                <w:rFonts w:cstheme="minorHAnsi"/>
              </w:rPr>
              <w:t>BCRP</w:t>
            </w:r>
          </w:p>
        </w:tc>
        <w:tc>
          <w:tcPr>
            <w:tcW w:w="6830" w:type="dxa"/>
          </w:tcPr>
          <w:p w:rsidR="00164F07" w:rsidRPr="00A41D8E" w:rsidRDefault="00164F07" w:rsidP="00BD430E">
            <w:pPr>
              <w:rPr>
                <w:rFonts w:cstheme="minorHAnsi"/>
              </w:rPr>
            </w:pPr>
            <w:r>
              <w:rPr>
                <w:rFonts w:cstheme="minorHAnsi"/>
              </w:rPr>
              <w:t>B</w:t>
            </w:r>
            <w:r w:rsidRPr="00164F07">
              <w:rPr>
                <w:rFonts w:cstheme="minorHAnsi"/>
              </w:rPr>
              <w:t>reast cancer resistance protein</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BCS</w:t>
            </w:r>
          </w:p>
        </w:tc>
        <w:tc>
          <w:tcPr>
            <w:tcW w:w="6830" w:type="dxa"/>
          </w:tcPr>
          <w:p w:rsidR="00BD430E" w:rsidRPr="00A41D8E" w:rsidRDefault="00BD430E" w:rsidP="00BD430E">
            <w:pPr>
              <w:rPr>
                <w:rFonts w:cstheme="minorHAnsi"/>
                <w:color w:val="auto"/>
              </w:rPr>
            </w:pPr>
            <w:r w:rsidRPr="00A41D8E">
              <w:rPr>
                <w:rFonts w:cstheme="minorHAnsi"/>
                <w:color w:val="auto"/>
              </w:rPr>
              <w:t>Biopharmaceutics Classification System</w:t>
            </w:r>
          </w:p>
        </w:tc>
      </w:tr>
      <w:tr w:rsidR="00BD430E" w:rsidRPr="00FD119B" w:rsidTr="00EB5BEF">
        <w:tc>
          <w:tcPr>
            <w:tcW w:w="1890" w:type="dxa"/>
          </w:tcPr>
          <w:p w:rsidR="00BD430E" w:rsidRPr="00A41D8E" w:rsidRDefault="00BD430E" w:rsidP="00BD430E">
            <w:pPr>
              <w:rPr>
                <w:color w:val="auto"/>
              </w:rPr>
            </w:pPr>
            <w:r w:rsidRPr="00A41D8E">
              <w:rPr>
                <w:color w:val="auto"/>
              </w:rPr>
              <w:t>BIC</w:t>
            </w:r>
          </w:p>
        </w:tc>
        <w:tc>
          <w:tcPr>
            <w:tcW w:w="6830" w:type="dxa"/>
          </w:tcPr>
          <w:p w:rsidR="00BD430E" w:rsidRPr="00A41D8E" w:rsidRDefault="00BD430E" w:rsidP="00BD430E">
            <w:pPr>
              <w:rPr>
                <w:color w:val="auto"/>
              </w:rPr>
            </w:pPr>
            <w:r w:rsidRPr="00A41D8E">
              <w:rPr>
                <w:color w:val="auto"/>
              </w:rPr>
              <w:t>Bictegravir (GS-9883)</w:t>
            </w:r>
          </w:p>
        </w:tc>
      </w:tr>
      <w:tr w:rsidR="00BD430E" w:rsidRPr="00FD119B" w:rsidTr="00EB5BEF">
        <w:tc>
          <w:tcPr>
            <w:tcW w:w="1890" w:type="dxa"/>
          </w:tcPr>
          <w:p w:rsidR="00BD430E" w:rsidRPr="00A41D8E" w:rsidRDefault="00BD430E" w:rsidP="00BD430E">
            <w:pPr>
              <w:rPr>
                <w:color w:val="auto"/>
              </w:rPr>
            </w:pPr>
            <w:r w:rsidRPr="00A41D8E">
              <w:rPr>
                <w:color w:val="auto"/>
              </w:rPr>
              <w:t>CD4</w:t>
            </w:r>
          </w:p>
        </w:tc>
        <w:tc>
          <w:tcPr>
            <w:tcW w:w="6830" w:type="dxa"/>
          </w:tcPr>
          <w:p w:rsidR="00BD430E" w:rsidRPr="00A41D8E" w:rsidRDefault="00BD430E" w:rsidP="00BD430E">
            <w:pPr>
              <w:rPr>
                <w:color w:val="auto"/>
              </w:rPr>
            </w:pPr>
            <w:r w:rsidRPr="00A41D8E">
              <w:rPr>
                <w:color w:val="auto"/>
              </w:rPr>
              <w:t>Cluster determinant 4</w:t>
            </w:r>
          </w:p>
        </w:tc>
      </w:tr>
      <w:tr w:rsidR="00F80D3D" w:rsidRPr="00FD119B" w:rsidTr="00EB5BEF">
        <w:tc>
          <w:tcPr>
            <w:tcW w:w="1890" w:type="dxa"/>
          </w:tcPr>
          <w:p w:rsidR="00F80D3D" w:rsidRPr="00A41D8E" w:rsidRDefault="00F80D3D" w:rsidP="00BD430E">
            <w:r>
              <w:t>CHMP</w:t>
            </w:r>
          </w:p>
        </w:tc>
        <w:tc>
          <w:tcPr>
            <w:tcW w:w="6830" w:type="dxa"/>
          </w:tcPr>
          <w:p w:rsidR="00F80D3D" w:rsidRPr="00A41D8E" w:rsidRDefault="00F80D3D" w:rsidP="00BD430E">
            <w:r w:rsidRPr="00F80D3D">
              <w:t>Committee for Medicinal Products for Human Use</w:t>
            </w:r>
          </w:p>
        </w:tc>
      </w:tr>
      <w:tr w:rsidR="00BD430E" w:rsidRPr="00FD119B" w:rsidTr="00EB5BEF">
        <w:tc>
          <w:tcPr>
            <w:tcW w:w="1890" w:type="dxa"/>
          </w:tcPr>
          <w:p w:rsidR="00BD430E" w:rsidRPr="00A41D8E" w:rsidRDefault="00BD430E" w:rsidP="00BD430E">
            <w:pPr>
              <w:rPr>
                <w:color w:val="auto"/>
              </w:rPr>
            </w:pPr>
            <w:r w:rsidRPr="00A41D8E">
              <w:rPr>
                <w:color w:val="auto"/>
              </w:rPr>
              <w:t>CI</w:t>
            </w:r>
          </w:p>
        </w:tc>
        <w:tc>
          <w:tcPr>
            <w:tcW w:w="6830" w:type="dxa"/>
          </w:tcPr>
          <w:p w:rsidR="00BD430E" w:rsidRPr="00A41D8E" w:rsidRDefault="00BD430E" w:rsidP="00BD430E">
            <w:pPr>
              <w:rPr>
                <w:color w:val="auto"/>
              </w:rPr>
            </w:pPr>
            <w:r w:rsidRPr="00A41D8E">
              <w:rPr>
                <w:color w:val="auto"/>
              </w:rPr>
              <w:t>Confidence interval</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CL/F</w:t>
            </w:r>
          </w:p>
        </w:tc>
        <w:tc>
          <w:tcPr>
            <w:tcW w:w="6830" w:type="dxa"/>
          </w:tcPr>
          <w:p w:rsidR="00BD430E" w:rsidRPr="00A41D8E" w:rsidRDefault="00EB5BEF" w:rsidP="00BD430E">
            <w:pPr>
              <w:rPr>
                <w:rFonts w:cstheme="minorHAnsi"/>
                <w:color w:val="auto"/>
              </w:rPr>
            </w:pPr>
            <w:r>
              <w:rPr>
                <w:rFonts w:cstheme="minorHAnsi"/>
                <w:color w:val="auto"/>
              </w:rPr>
              <w:t>A</w:t>
            </w:r>
            <w:r w:rsidR="00BD430E" w:rsidRPr="00A41D8E">
              <w:rPr>
                <w:rFonts w:cstheme="minorHAnsi"/>
                <w:color w:val="auto"/>
              </w:rPr>
              <w:t>pparent oral clearance after administration of the drug</w:t>
            </w:r>
          </w:p>
        </w:tc>
      </w:tr>
      <w:tr w:rsidR="00BD430E" w:rsidRPr="00FD119B" w:rsidTr="00EB5BEF">
        <w:tc>
          <w:tcPr>
            <w:tcW w:w="1890" w:type="dxa"/>
          </w:tcPr>
          <w:p w:rsidR="00BD430E" w:rsidRPr="00A41D8E" w:rsidRDefault="00080EC5" w:rsidP="00BD430E">
            <w:pPr>
              <w:rPr>
                <w:rFonts w:cstheme="minorHAnsi"/>
                <w:color w:val="auto"/>
              </w:rPr>
            </w:pPr>
            <w:r>
              <w:t>C</w:t>
            </w:r>
            <w:r w:rsidRPr="00080EC5">
              <w:rPr>
                <w:vertAlign w:val="subscript"/>
              </w:rPr>
              <w:t>max</w:t>
            </w:r>
          </w:p>
        </w:tc>
        <w:tc>
          <w:tcPr>
            <w:tcW w:w="6830" w:type="dxa"/>
          </w:tcPr>
          <w:p w:rsidR="00BD430E" w:rsidRPr="00A41D8E" w:rsidRDefault="001B5D97" w:rsidP="00BD430E">
            <w:pPr>
              <w:rPr>
                <w:rFonts w:cstheme="minorHAnsi"/>
                <w:color w:val="auto"/>
              </w:rPr>
            </w:pPr>
            <w:r>
              <w:rPr>
                <w:rFonts w:cstheme="minorHAnsi"/>
                <w:color w:val="auto"/>
              </w:rPr>
              <w:t>M</w:t>
            </w:r>
            <w:r w:rsidR="00BD430E" w:rsidRPr="00A41D8E">
              <w:rPr>
                <w:rFonts w:cstheme="minorHAnsi"/>
                <w:color w:val="auto"/>
              </w:rPr>
              <w:t>aximum observed concentration of drug</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lastRenderedPageBreak/>
              <w:t>COBI</w:t>
            </w:r>
          </w:p>
        </w:tc>
        <w:tc>
          <w:tcPr>
            <w:tcW w:w="6830" w:type="dxa"/>
          </w:tcPr>
          <w:p w:rsidR="00BD430E" w:rsidRPr="00A41D8E" w:rsidRDefault="001B5D97" w:rsidP="00BD430E">
            <w:pPr>
              <w:rPr>
                <w:rFonts w:cstheme="minorHAnsi"/>
                <w:color w:val="auto"/>
              </w:rPr>
            </w:pPr>
            <w:r>
              <w:rPr>
                <w:rFonts w:eastAsia="TimesNewRoman" w:cstheme="minorHAnsi"/>
                <w:color w:val="auto"/>
              </w:rPr>
              <w:t>C</w:t>
            </w:r>
            <w:r w:rsidR="00BD430E" w:rsidRPr="00A41D8E">
              <w:rPr>
                <w:rFonts w:eastAsia="TimesNewRoman" w:cstheme="minorHAnsi"/>
                <w:color w:val="auto"/>
              </w:rPr>
              <w:t>obicistat</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C</w:t>
            </w:r>
            <w:r w:rsidRPr="001B5D97">
              <w:rPr>
                <w:rFonts w:cstheme="minorHAnsi"/>
                <w:color w:val="auto"/>
                <w:vertAlign w:val="subscript"/>
              </w:rPr>
              <w:t>tau</w:t>
            </w:r>
          </w:p>
        </w:tc>
        <w:tc>
          <w:tcPr>
            <w:tcW w:w="6830" w:type="dxa"/>
          </w:tcPr>
          <w:p w:rsidR="00BD430E" w:rsidRPr="00A41D8E" w:rsidRDefault="001B5D97" w:rsidP="00BD430E">
            <w:pPr>
              <w:rPr>
                <w:rFonts w:cstheme="minorHAnsi"/>
                <w:color w:val="auto"/>
              </w:rPr>
            </w:pPr>
            <w:r>
              <w:rPr>
                <w:rFonts w:cstheme="minorHAnsi"/>
                <w:color w:val="auto"/>
              </w:rPr>
              <w:t>O</w:t>
            </w:r>
            <w:r w:rsidR="00BD430E" w:rsidRPr="00A41D8E">
              <w:rPr>
                <w:rFonts w:cstheme="minorHAnsi"/>
                <w:color w:val="auto"/>
              </w:rPr>
              <w:t>bserved drug concentration at the end of the dosing interval</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CV</w:t>
            </w:r>
          </w:p>
        </w:tc>
        <w:tc>
          <w:tcPr>
            <w:tcW w:w="6830" w:type="dxa"/>
          </w:tcPr>
          <w:p w:rsidR="00BD430E" w:rsidRPr="00A41D8E" w:rsidRDefault="00BD430E" w:rsidP="00BD430E">
            <w:pPr>
              <w:rPr>
                <w:rFonts w:cstheme="minorHAnsi"/>
                <w:color w:val="auto"/>
              </w:rPr>
            </w:pPr>
            <w:r w:rsidRPr="00A41D8E">
              <w:rPr>
                <w:rFonts w:cstheme="minorHAnsi"/>
                <w:color w:val="auto"/>
              </w:rPr>
              <w:t>Coefficient of variation</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CYP</w:t>
            </w:r>
          </w:p>
        </w:tc>
        <w:tc>
          <w:tcPr>
            <w:tcW w:w="6830" w:type="dxa"/>
          </w:tcPr>
          <w:p w:rsidR="00BD430E" w:rsidRPr="00A41D8E" w:rsidRDefault="00BD430E" w:rsidP="00BD430E">
            <w:pPr>
              <w:rPr>
                <w:rFonts w:cstheme="minorHAnsi"/>
                <w:color w:val="auto"/>
              </w:rPr>
            </w:pPr>
            <w:r w:rsidRPr="00A41D8E">
              <w:rPr>
                <w:rFonts w:cstheme="minorHAnsi"/>
                <w:color w:val="auto"/>
              </w:rPr>
              <w:t>Cytochrome P450</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D1</w:t>
            </w:r>
          </w:p>
        </w:tc>
        <w:tc>
          <w:tcPr>
            <w:tcW w:w="6830" w:type="dxa"/>
          </w:tcPr>
          <w:p w:rsidR="00BD430E" w:rsidRPr="00A41D8E" w:rsidRDefault="00BD430E" w:rsidP="00BD430E">
            <w:pPr>
              <w:rPr>
                <w:rFonts w:cstheme="minorHAnsi"/>
                <w:color w:val="auto"/>
              </w:rPr>
            </w:pPr>
            <w:r w:rsidRPr="00A41D8E">
              <w:rPr>
                <w:rFonts w:cstheme="minorHAnsi"/>
                <w:color w:val="auto"/>
              </w:rPr>
              <w:t>Duration of the depot compartment</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DAVG</w:t>
            </w:r>
            <w:r w:rsidRPr="00A41D8E">
              <w:rPr>
                <w:rFonts w:cstheme="minorHAnsi"/>
                <w:color w:val="auto"/>
                <w:vertAlign w:val="subscript"/>
              </w:rPr>
              <w:t>11</w:t>
            </w:r>
          </w:p>
        </w:tc>
        <w:tc>
          <w:tcPr>
            <w:tcW w:w="6830" w:type="dxa"/>
          </w:tcPr>
          <w:p w:rsidR="00BD430E" w:rsidRPr="00A41D8E" w:rsidRDefault="001B5D97" w:rsidP="00BD430E">
            <w:pPr>
              <w:rPr>
                <w:rFonts w:cstheme="minorHAnsi"/>
                <w:color w:val="auto"/>
              </w:rPr>
            </w:pPr>
            <w:r>
              <w:rPr>
                <w:rFonts w:eastAsia="TimesNewRoman" w:cs="TimesNewRoman"/>
                <w:color w:val="auto"/>
              </w:rPr>
              <w:t>T</w:t>
            </w:r>
            <w:r w:rsidR="00BD430E" w:rsidRPr="00A41D8E">
              <w:rPr>
                <w:rFonts w:eastAsia="TimesNewRoman" w:cs="TimesNewRoman"/>
                <w:color w:val="auto"/>
              </w:rPr>
              <w:t>ime-weighted average change from baseline to study Day 11</w:t>
            </w:r>
          </w:p>
        </w:tc>
      </w:tr>
      <w:tr w:rsidR="00BD430E" w:rsidRPr="00FD119B" w:rsidTr="00EB5BEF">
        <w:tc>
          <w:tcPr>
            <w:tcW w:w="1890" w:type="dxa"/>
          </w:tcPr>
          <w:p w:rsidR="00BD430E" w:rsidRPr="00A41D8E" w:rsidRDefault="00BD430E" w:rsidP="00BD430E">
            <w:pPr>
              <w:rPr>
                <w:color w:val="auto"/>
              </w:rPr>
            </w:pPr>
            <w:r w:rsidRPr="00A41D8E">
              <w:rPr>
                <w:color w:val="auto"/>
              </w:rPr>
              <w:t>DB</w:t>
            </w:r>
          </w:p>
        </w:tc>
        <w:tc>
          <w:tcPr>
            <w:tcW w:w="6830" w:type="dxa"/>
          </w:tcPr>
          <w:p w:rsidR="00BD430E" w:rsidRPr="00A41D8E" w:rsidRDefault="00BD430E" w:rsidP="00BD430E">
            <w:pPr>
              <w:rPr>
                <w:color w:val="auto"/>
              </w:rPr>
            </w:pPr>
            <w:r w:rsidRPr="00A41D8E">
              <w:rPr>
                <w:color w:val="auto"/>
              </w:rPr>
              <w:t>Double-blind (treatment period)</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DDI</w:t>
            </w:r>
          </w:p>
        </w:tc>
        <w:tc>
          <w:tcPr>
            <w:tcW w:w="6830" w:type="dxa"/>
          </w:tcPr>
          <w:p w:rsidR="00BD430E" w:rsidRPr="00A41D8E" w:rsidRDefault="00BD430E" w:rsidP="00BD430E">
            <w:pPr>
              <w:rPr>
                <w:rFonts w:cstheme="minorHAnsi"/>
                <w:color w:val="auto"/>
              </w:rPr>
            </w:pPr>
            <w:r w:rsidRPr="00A41D8E">
              <w:rPr>
                <w:rFonts w:cstheme="minorHAnsi"/>
                <w:color w:val="auto"/>
              </w:rPr>
              <w:t>Drug-drug interaction</w:t>
            </w:r>
          </w:p>
        </w:tc>
      </w:tr>
      <w:tr w:rsidR="00BD430E" w:rsidRPr="00FD119B" w:rsidTr="00EB5BEF">
        <w:tc>
          <w:tcPr>
            <w:tcW w:w="1890" w:type="dxa"/>
          </w:tcPr>
          <w:p w:rsidR="00BD430E" w:rsidRPr="00A41D8E" w:rsidRDefault="00BD430E" w:rsidP="00BD430E">
            <w:pPr>
              <w:rPr>
                <w:color w:val="auto"/>
              </w:rPr>
            </w:pPr>
            <w:r w:rsidRPr="00A41D8E">
              <w:rPr>
                <w:color w:val="auto"/>
              </w:rPr>
              <w:t>DILI</w:t>
            </w:r>
          </w:p>
        </w:tc>
        <w:tc>
          <w:tcPr>
            <w:tcW w:w="6830" w:type="dxa"/>
          </w:tcPr>
          <w:p w:rsidR="00BD430E" w:rsidRPr="00A41D8E" w:rsidRDefault="00BD430E" w:rsidP="00BD430E">
            <w:pPr>
              <w:rPr>
                <w:color w:val="auto"/>
              </w:rPr>
            </w:pPr>
            <w:r w:rsidRPr="00A41D8E">
              <w:rPr>
                <w:color w:val="auto"/>
              </w:rPr>
              <w:t>Drug induced liver injury</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DNA</w:t>
            </w:r>
          </w:p>
        </w:tc>
        <w:tc>
          <w:tcPr>
            <w:tcW w:w="6830" w:type="dxa"/>
          </w:tcPr>
          <w:p w:rsidR="00BD430E" w:rsidRPr="00A41D8E" w:rsidRDefault="001B5D97" w:rsidP="00BD430E">
            <w:pPr>
              <w:rPr>
                <w:rFonts w:eastAsia="TimesNewRoman" w:cstheme="minorHAnsi"/>
                <w:color w:val="auto"/>
              </w:rPr>
            </w:pPr>
            <w:r>
              <w:rPr>
                <w:rFonts w:cs="Arial"/>
                <w:color w:val="auto"/>
              </w:rPr>
              <w:t>D</w:t>
            </w:r>
            <w:r w:rsidR="00BD430E" w:rsidRPr="00A41D8E">
              <w:rPr>
                <w:rFonts w:cs="Arial"/>
                <w:color w:val="auto"/>
              </w:rPr>
              <w:t>eoxyribonucleic acid</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DRV</w:t>
            </w:r>
          </w:p>
        </w:tc>
        <w:tc>
          <w:tcPr>
            <w:tcW w:w="6830" w:type="dxa"/>
          </w:tcPr>
          <w:p w:rsidR="00BD430E" w:rsidRPr="00A41D8E" w:rsidRDefault="00EB5BEF" w:rsidP="00BD430E">
            <w:pPr>
              <w:rPr>
                <w:rFonts w:cstheme="minorHAnsi"/>
                <w:color w:val="auto"/>
              </w:rPr>
            </w:pPr>
            <w:r>
              <w:rPr>
                <w:rFonts w:eastAsia="TimesNewRoman" w:cstheme="minorHAnsi"/>
                <w:color w:val="auto"/>
              </w:rPr>
              <w:t>D</w:t>
            </w:r>
            <w:r w:rsidR="00BD430E" w:rsidRPr="00A41D8E">
              <w:rPr>
                <w:rFonts w:eastAsia="TimesNewRoman" w:cstheme="minorHAnsi"/>
                <w:color w:val="auto"/>
              </w:rPr>
              <w:t>arunavir</w:t>
            </w:r>
          </w:p>
        </w:tc>
      </w:tr>
      <w:tr w:rsidR="00BD430E" w:rsidRPr="00FD119B" w:rsidTr="00EB5BEF">
        <w:tc>
          <w:tcPr>
            <w:tcW w:w="1890" w:type="dxa"/>
          </w:tcPr>
          <w:p w:rsidR="00BD430E" w:rsidRPr="00A41D8E" w:rsidRDefault="00BD430E" w:rsidP="00BD430E">
            <w:pPr>
              <w:rPr>
                <w:color w:val="auto"/>
              </w:rPr>
            </w:pPr>
            <w:r w:rsidRPr="00A41D8E">
              <w:rPr>
                <w:color w:val="auto"/>
              </w:rPr>
              <w:t>DTG</w:t>
            </w:r>
          </w:p>
        </w:tc>
        <w:tc>
          <w:tcPr>
            <w:tcW w:w="6830" w:type="dxa"/>
          </w:tcPr>
          <w:p w:rsidR="00BD430E" w:rsidRPr="00A41D8E" w:rsidRDefault="00BD430E" w:rsidP="00BD430E">
            <w:pPr>
              <w:rPr>
                <w:color w:val="auto"/>
              </w:rPr>
            </w:pPr>
            <w:r w:rsidRPr="00A41D8E">
              <w:rPr>
                <w:color w:val="auto"/>
              </w:rPr>
              <w:t>Dolutegravir</w:t>
            </w:r>
          </w:p>
        </w:tc>
      </w:tr>
      <w:tr w:rsidR="00BD430E" w:rsidRPr="00FD119B" w:rsidTr="00EB5BEF">
        <w:tc>
          <w:tcPr>
            <w:tcW w:w="1890" w:type="dxa"/>
          </w:tcPr>
          <w:p w:rsidR="00BD430E" w:rsidRPr="00A41D8E" w:rsidRDefault="00BD430E" w:rsidP="00BD430E">
            <w:pPr>
              <w:rPr>
                <w:color w:val="auto"/>
              </w:rPr>
            </w:pPr>
            <w:r w:rsidRPr="00A41D8E">
              <w:rPr>
                <w:color w:val="auto"/>
              </w:rPr>
              <w:t>DVY</w:t>
            </w:r>
          </w:p>
        </w:tc>
        <w:tc>
          <w:tcPr>
            <w:tcW w:w="6830" w:type="dxa"/>
          </w:tcPr>
          <w:p w:rsidR="00BD430E" w:rsidRPr="00A41D8E" w:rsidRDefault="00BD430E" w:rsidP="00EB5BEF">
            <w:pPr>
              <w:rPr>
                <w:color w:val="auto"/>
              </w:rPr>
            </w:pPr>
            <w:r w:rsidRPr="00A41D8E">
              <w:rPr>
                <w:color w:val="auto"/>
              </w:rPr>
              <w:t>Emtricitabine/</w:t>
            </w:r>
            <w:r w:rsidR="00EB5BEF">
              <w:rPr>
                <w:color w:val="auto"/>
              </w:rPr>
              <w:t>T</w:t>
            </w:r>
            <w:r w:rsidRPr="00A41D8E">
              <w:rPr>
                <w:color w:val="auto"/>
              </w:rPr>
              <w:t>enofovi</w:t>
            </w:r>
            <w:r w:rsidR="00EB5BEF">
              <w:rPr>
                <w:color w:val="auto"/>
              </w:rPr>
              <w:t>r alafenamide (Descovy</w:t>
            </w:r>
            <w:r w:rsidRPr="00A41D8E">
              <w:rPr>
                <w:color w:val="auto"/>
              </w:rPr>
              <w:t>)</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E/C/F/TAF</w:t>
            </w:r>
          </w:p>
        </w:tc>
        <w:tc>
          <w:tcPr>
            <w:tcW w:w="6830" w:type="dxa"/>
          </w:tcPr>
          <w:p w:rsidR="00BD430E" w:rsidRPr="00A41D8E" w:rsidRDefault="00BD430E" w:rsidP="00BD430E">
            <w:pPr>
              <w:rPr>
                <w:rFonts w:cstheme="minorHAnsi"/>
                <w:color w:val="auto"/>
              </w:rPr>
            </w:pPr>
            <w:r w:rsidRPr="00A41D8E">
              <w:rPr>
                <w:rFonts w:cstheme="minorHAnsi"/>
                <w:color w:val="auto"/>
              </w:rPr>
              <w:t>elvitegravir/cobicistat/emtricitabine/tenofovir alaf</w:t>
            </w:r>
            <w:r w:rsidR="001411C5">
              <w:rPr>
                <w:rFonts w:cstheme="minorHAnsi"/>
                <w:color w:val="auto"/>
              </w:rPr>
              <w:t>enamide (co</w:t>
            </w:r>
            <w:r w:rsidR="00EB5BEF">
              <w:rPr>
                <w:rFonts w:cstheme="minorHAnsi"/>
                <w:color w:val="auto"/>
              </w:rPr>
              <w:t>formulated; Genvoya</w:t>
            </w:r>
            <w:r w:rsidRPr="00A41D8E">
              <w:rPr>
                <w:rFonts w:cstheme="minorHAnsi"/>
                <w:color w:val="auto"/>
              </w:rPr>
              <w:t>)</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EC</w:t>
            </w:r>
            <w:r w:rsidRPr="00EB5BEF">
              <w:rPr>
                <w:rFonts w:cstheme="minorHAnsi"/>
                <w:color w:val="auto"/>
                <w:vertAlign w:val="subscript"/>
              </w:rPr>
              <w:t>50</w:t>
            </w:r>
          </w:p>
        </w:tc>
        <w:tc>
          <w:tcPr>
            <w:tcW w:w="6830" w:type="dxa"/>
          </w:tcPr>
          <w:p w:rsidR="00BD430E" w:rsidRPr="00A41D8E" w:rsidRDefault="00EB5BEF" w:rsidP="00BD430E">
            <w:pPr>
              <w:rPr>
                <w:rFonts w:cstheme="minorHAnsi"/>
                <w:color w:val="auto"/>
              </w:rPr>
            </w:pPr>
            <w:r>
              <w:rPr>
                <w:rFonts w:cstheme="minorHAnsi"/>
                <w:color w:val="auto"/>
              </w:rPr>
              <w:t>H</w:t>
            </w:r>
            <w:r w:rsidR="00BD430E" w:rsidRPr="00A41D8E">
              <w:rPr>
                <w:rFonts w:cstheme="minorHAnsi"/>
                <w:color w:val="auto"/>
              </w:rPr>
              <w:t>alf-maximal effective concentration</w:t>
            </w:r>
          </w:p>
        </w:tc>
      </w:tr>
      <w:tr w:rsidR="00BD430E" w:rsidRPr="00FD119B" w:rsidTr="00EB5BEF">
        <w:tc>
          <w:tcPr>
            <w:tcW w:w="1890" w:type="dxa"/>
          </w:tcPr>
          <w:p w:rsidR="00BD430E" w:rsidRPr="00A41D8E" w:rsidRDefault="00BD430E" w:rsidP="00BD430E">
            <w:pPr>
              <w:rPr>
                <w:color w:val="auto"/>
              </w:rPr>
            </w:pPr>
            <w:r w:rsidRPr="00A41D8E">
              <w:rPr>
                <w:color w:val="auto"/>
              </w:rPr>
              <w:t>ECG</w:t>
            </w:r>
          </w:p>
        </w:tc>
        <w:tc>
          <w:tcPr>
            <w:tcW w:w="6830" w:type="dxa"/>
          </w:tcPr>
          <w:p w:rsidR="00BD430E" w:rsidRPr="00A41D8E" w:rsidRDefault="00BD430E" w:rsidP="00BD430E">
            <w:pPr>
              <w:rPr>
                <w:color w:val="auto"/>
              </w:rPr>
            </w:pPr>
            <w:r w:rsidRPr="00A41D8E">
              <w:rPr>
                <w:color w:val="auto"/>
              </w:rPr>
              <w:t>Electrocardiogram</w:t>
            </w:r>
          </w:p>
        </w:tc>
      </w:tr>
      <w:tr w:rsidR="00BD430E" w:rsidRPr="00FD119B" w:rsidTr="00EB5BEF">
        <w:tc>
          <w:tcPr>
            <w:tcW w:w="1890" w:type="dxa"/>
          </w:tcPr>
          <w:p w:rsidR="00BD430E" w:rsidRPr="00A41D8E" w:rsidRDefault="00BD430E" w:rsidP="00BD430E">
            <w:pPr>
              <w:rPr>
                <w:color w:val="auto"/>
              </w:rPr>
            </w:pPr>
            <w:r w:rsidRPr="00A41D8E">
              <w:rPr>
                <w:color w:val="auto"/>
              </w:rPr>
              <w:t>eGFR</w:t>
            </w:r>
          </w:p>
        </w:tc>
        <w:tc>
          <w:tcPr>
            <w:tcW w:w="6830" w:type="dxa"/>
          </w:tcPr>
          <w:p w:rsidR="00BD430E" w:rsidRPr="00A41D8E" w:rsidRDefault="00BD430E" w:rsidP="00BD430E">
            <w:pPr>
              <w:rPr>
                <w:color w:val="auto"/>
              </w:rPr>
            </w:pPr>
            <w:r w:rsidRPr="00A41D8E">
              <w:rPr>
                <w:color w:val="auto"/>
              </w:rPr>
              <w:t>Estimated glomerular filtration rate</w:t>
            </w:r>
          </w:p>
        </w:tc>
      </w:tr>
      <w:tr w:rsidR="00BD430E" w:rsidRPr="00FD119B" w:rsidTr="00EB5BEF">
        <w:tc>
          <w:tcPr>
            <w:tcW w:w="1890" w:type="dxa"/>
          </w:tcPr>
          <w:p w:rsidR="00BD430E" w:rsidRPr="00A41D8E" w:rsidRDefault="00BD430E" w:rsidP="00BD430E">
            <w:pPr>
              <w:rPr>
                <w:rFonts w:cstheme="minorHAnsi"/>
                <w:color w:val="auto"/>
              </w:rPr>
            </w:pPr>
            <w:r w:rsidRPr="00A41D8E">
              <w:rPr>
                <w:rFonts w:eastAsia="TimesNewRoman" w:cstheme="minorHAnsi"/>
                <w:color w:val="auto"/>
              </w:rPr>
              <w:t>eGFR</w:t>
            </w:r>
            <w:r w:rsidRPr="00A41D8E">
              <w:rPr>
                <w:rFonts w:eastAsia="TimesNewRoman" w:cstheme="minorHAnsi"/>
                <w:color w:val="auto"/>
                <w:vertAlign w:val="subscript"/>
              </w:rPr>
              <w:t>CG</w:t>
            </w:r>
          </w:p>
        </w:tc>
        <w:tc>
          <w:tcPr>
            <w:tcW w:w="6830" w:type="dxa"/>
          </w:tcPr>
          <w:p w:rsidR="00BD430E" w:rsidRPr="00A41D8E" w:rsidRDefault="00EB5BEF" w:rsidP="00BD430E">
            <w:pPr>
              <w:rPr>
                <w:rFonts w:cstheme="minorHAnsi"/>
                <w:color w:val="auto"/>
              </w:rPr>
            </w:pPr>
            <w:r>
              <w:rPr>
                <w:rFonts w:eastAsia="TimesNewRoman" w:cs="TimesNewRoman"/>
                <w:color w:val="auto"/>
              </w:rPr>
              <w:t>E</w:t>
            </w:r>
            <w:r w:rsidR="00BD430E" w:rsidRPr="00A41D8E">
              <w:rPr>
                <w:rFonts w:eastAsia="TimesNewRoman" w:cs="TimesNewRoman"/>
                <w:color w:val="auto"/>
              </w:rPr>
              <w:t>stimated glomerular filtration rate calculated using the Cockcroft-Gault equation</w:t>
            </w:r>
          </w:p>
        </w:tc>
      </w:tr>
      <w:tr w:rsidR="00BD430E" w:rsidRPr="00FD119B" w:rsidTr="00EB5BEF">
        <w:tc>
          <w:tcPr>
            <w:tcW w:w="1890" w:type="dxa"/>
          </w:tcPr>
          <w:p w:rsidR="00BD430E" w:rsidRPr="00A41D8E" w:rsidRDefault="00BD430E" w:rsidP="00BD430E">
            <w:pPr>
              <w:rPr>
                <w:color w:val="auto"/>
              </w:rPr>
            </w:pPr>
            <w:r w:rsidRPr="00A41D8E">
              <w:rPr>
                <w:color w:val="auto"/>
              </w:rPr>
              <w:t>F/TAF</w:t>
            </w:r>
          </w:p>
        </w:tc>
        <w:tc>
          <w:tcPr>
            <w:tcW w:w="6830" w:type="dxa"/>
          </w:tcPr>
          <w:p w:rsidR="00BD430E" w:rsidRPr="00A41D8E" w:rsidRDefault="00BD430E" w:rsidP="00BD430E">
            <w:pPr>
              <w:rPr>
                <w:color w:val="auto"/>
              </w:rPr>
            </w:pPr>
            <w:r w:rsidRPr="00A41D8E">
              <w:rPr>
                <w:color w:val="auto"/>
              </w:rPr>
              <w:t>Emtricitabine</w:t>
            </w:r>
            <w:r w:rsidR="00EB5BEF">
              <w:rPr>
                <w:color w:val="auto"/>
              </w:rPr>
              <w:t>/tenofovir alafenamide (Descovy</w:t>
            </w:r>
            <w:r w:rsidRPr="00A41D8E">
              <w:rPr>
                <w:color w:val="auto"/>
              </w:rPr>
              <w:t>)</w:t>
            </w:r>
          </w:p>
        </w:tc>
      </w:tr>
      <w:tr w:rsidR="00BD430E" w:rsidRPr="00FD119B" w:rsidTr="00EB5BEF">
        <w:tc>
          <w:tcPr>
            <w:tcW w:w="1890" w:type="dxa"/>
          </w:tcPr>
          <w:p w:rsidR="00BD430E" w:rsidRPr="00A41D8E" w:rsidRDefault="00BD430E" w:rsidP="00BD430E">
            <w:pPr>
              <w:rPr>
                <w:color w:val="auto"/>
              </w:rPr>
            </w:pPr>
            <w:r w:rsidRPr="00A41D8E">
              <w:rPr>
                <w:color w:val="auto"/>
              </w:rPr>
              <w:t>FDA</w:t>
            </w:r>
          </w:p>
        </w:tc>
        <w:tc>
          <w:tcPr>
            <w:tcW w:w="6830" w:type="dxa"/>
          </w:tcPr>
          <w:p w:rsidR="00BD430E" w:rsidRPr="00A41D8E" w:rsidRDefault="00BD430E" w:rsidP="00BD430E">
            <w:pPr>
              <w:rPr>
                <w:color w:val="auto"/>
              </w:rPr>
            </w:pPr>
            <w:r w:rsidRPr="00A41D8E">
              <w:rPr>
                <w:color w:val="auto"/>
              </w:rPr>
              <w:t>Food and Drug Administration</w:t>
            </w:r>
          </w:p>
        </w:tc>
      </w:tr>
      <w:tr w:rsidR="00BD430E" w:rsidRPr="00FD119B" w:rsidTr="00EB5BEF">
        <w:tc>
          <w:tcPr>
            <w:tcW w:w="1890" w:type="dxa"/>
          </w:tcPr>
          <w:p w:rsidR="00BD430E" w:rsidRPr="00A41D8E" w:rsidRDefault="00BD430E" w:rsidP="00BD430E">
            <w:pPr>
              <w:rPr>
                <w:color w:val="auto"/>
              </w:rPr>
            </w:pPr>
            <w:r w:rsidRPr="00A41D8E">
              <w:rPr>
                <w:color w:val="auto"/>
              </w:rPr>
              <w:t>FDC</w:t>
            </w:r>
          </w:p>
        </w:tc>
        <w:tc>
          <w:tcPr>
            <w:tcW w:w="6830" w:type="dxa"/>
          </w:tcPr>
          <w:p w:rsidR="00BD430E" w:rsidRPr="00A41D8E" w:rsidRDefault="00BD430E" w:rsidP="00BD430E">
            <w:pPr>
              <w:rPr>
                <w:color w:val="auto"/>
              </w:rPr>
            </w:pPr>
            <w:r w:rsidRPr="00A41D8E">
              <w:rPr>
                <w:color w:val="auto"/>
              </w:rPr>
              <w:t>Fixed dose combination</w:t>
            </w:r>
          </w:p>
        </w:tc>
      </w:tr>
      <w:tr w:rsidR="00BD430E" w:rsidRPr="00FD119B" w:rsidTr="00EB5BEF">
        <w:tc>
          <w:tcPr>
            <w:tcW w:w="1890" w:type="dxa"/>
          </w:tcPr>
          <w:p w:rsidR="00BD430E" w:rsidRPr="00A41D8E" w:rsidRDefault="00BD430E" w:rsidP="00BD430E">
            <w:pPr>
              <w:rPr>
                <w:color w:val="auto"/>
              </w:rPr>
            </w:pPr>
            <w:r w:rsidRPr="00A41D8E">
              <w:rPr>
                <w:color w:val="auto"/>
              </w:rPr>
              <w:t>FTC</w:t>
            </w:r>
          </w:p>
        </w:tc>
        <w:tc>
          <w:tcPr>
            <w:tcW w:w="6830" w:type="dxa"/>
          </w:tcPr>
          <w:p w:rsidR="00BD430E" w:rsidRPr="00A41D8E" w:rsidRDefault="00EB5BEF" w:rsidP="00BD430E">
            <w:pPr>
              <w:rPr>
                <w:color w:val="auto"/>
              </w:rPr>
            </w:pPr>
            <w:r>
              <w:rPr>
                <w:color w:val="auto"/>
              </w:rPr>
              <w:t>Emtricitabine (Emtriva</w:t>
            </w:r>
            <w:r w:rsidR="00BD430E" w:rsidRPr="00A41D8E">
              <w:rPr>
                <w:color w:val="auto"/>
              </w:rPr>
              <w:t>)</w:t>
            </w:r>
          </w:p>
        </w:tc>
      </w:tr>
      <w:tr w:rsidR="00BD430E" w:rsidRPr="00FD119B" w:rsidTr="00EB5BEF">
        <w:tc>
          <w:tcPr>
            <w:tcW w:w="1890" w:type="dxa"/>
          </w:tcPr>
          <w:p w:rsidR="00BD430E" w:rsidRPr="00A41D8E" w:rsidRDefault="00BD430E" w:rsidP="00BD430E">
            <w:pPr>
              <w:rPr>
                <w:color w:val="auto"/>
              </w:rPr>
            </w:pPr>
            <w:r w:rsidRPr="00A41D8E">
              <w:rPr>
                <w:color w:val="auto"/>
              </w:rPr>
              <w:t>GCP</w:t>
            </w:r>
          </w:p>
        </w:tc>
        <w:tc>
          <w:tcPr>
            <w:tcW w:w="6830" w:type="dxa"/>
          </w:tcPr>
          <w:p w:rsidR="00BD430E" w:rsidRPr="00A41D8E" w:rsidRDefault="00BD430E" w:rsidP="00BD430E">
            <w:pPr>
              <w:rPr>
                <w:color w:val="auto"/>
              </w:rPr>
            </w:pPr>
            <w:r w:rsidRPr="00A41D8E">
              <w:rPr>
                <w:color w:val="auto"/>
              </w:rPr>
              <w:t>Good Clinical Practice</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GFR</w:t>
            </w:r>
          </w:p>
        </w:tc>
        <w:tc>
          <w:tcPr>
            <w:tcW w:w="6830" w:type="dxa"/>
          </w:tcPr>
          <w:p w:rsidR="00BD430E" w:rsidRPr="00A41D8E" w:rsidRDefault="00BD430E" w:rsidP="00BD430E">
            <w:pPr>
              <w:rPr>
                <w:rFonts w:eastAsia="TimesNewRoman" w:cs="TimesNewRoman"/>
                <w:color w:val="auto"/>
              </w:rPr>
            </w:pPr>
            <w:r w:rsidRPr="00A41D8E">
              <w:rPr>
                <w:rFonts w:eastAsia="TimesNewRoman" w:cs="TimesNewRoman"/>
                <w:color w:val="auto"/>
              </w:rPr>
              <w:t>Glomerular filtration rate</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GGT</w:t>
            </w:r>
          </w:p>
        </w:tc>
        <w:tc>
          <w:tcPr>
            <w:tcW w:w="6830" w:type="dxa"/>
          </w:tcPr>
          <w:p w:rsidR="00BD430E" w:rsidRPr="00A41D8E" w:rsidRDefault="00EB5BEF" w:rsidP="00BD430E">
            <w:pPr>
              <w:rPr>
                <w:rFonts w:cstheme="minorHAnsi"/>
                <w:color w:val="auto"/>
              </w:rPr>
            </w:pPr>
            <w:r>
              <w:rPr>
                <w:rFonts w:eastAsia="TimesNewRoman" w:cs="TimesNewRoman"/>
                <w:color w:val="auto"/>
              </w:rPr>
              <w:t>G</w:t>
            </w:r>
            <w:r w:rsidR="00BD430E" w:rsidRPr="00A41D8E">
              <w:rPr>
                <w:rFonts w:eastAsia="TimesNewRoman" w:cs="TimesNewRoman"/>
                <w:color w:val="auto"/>
              </w:rPr>
              <w:t>amma glutamyl transferase</w:t>
            </w:r>
          </w:p>
        </w:tc>
      </w:tr>
      <w:tr w:rsidR="00BD430E" w:rsidRPr="00FD119B" w:rsidTr="00EB5BEF">
        <w:tc>
          <w:tcPr>
            <w:tcW w:w="1890" w:type="dxa"/>
          </w:tcPr>
          <w:p w:rsidR="00BD430E" w:rsidRPr="00A41D8E" w:rsidRDefault="00BD430E" w:rsidP="00BD430E">
            <w:pPr>
              <w:rPr>
                <w:color w:val="auto"/>
              </w:rPr>
            </w:pPr>
            <w:r w:rsidRPr="00A41D8E">
              <w:rPr>
                <w:color w:val="auto"/>
              </w:rPr>
              <w:lastRenderedPageBreak/>
              <w:t>GI</w:t>
            </w:r>
          </w:p>
        </w:tc>
        <w:tc>
          <w:tcPr>
            <w:tcW w:w="6830" w:type="dxa"/>
          </w:tcPr>
          <w:p w:rsidR="00BD430E" w:rsidRPr="00A41D8E" w:rsidRDefault="00BD430E" w:rsidP="00BD430E">
            <w:pPr>
              <w:rPr>
                <w:color w:val="auto"/>
              </w:rPr>
            </w:pPr>
            <w:r w:rsidRPr="00A41D8E">
              <w:rPr>
                <w:color w:val="auto"/>
              </w:rPr>
              <w:t>Gastrointestinal</w:t>
            </w:r>
          </w:p>
        </w:tc>
      </w:tr>
      <w:tr w:rsidR="00792D99" w:rsidRPr="00FD119B" w:rsidTr="00EB5BEF">
        <w:tc>
          <w:tcPr>
            <w:tcW w:w="1890" w:type="dxa"/>
          </w:tcPr>
          <w:p w:rsidR="00792D99" w:rsidRPr="00A41D8E" w:rsidRDefault="00792D99" w:rsidP="00BD430E">
            <w:pPr>
              <w:rPr>
                <w:rFonts w:cstheme="minorHAnsi"/>
              </w:rPr>
            </w:pPr>
            <w:r>
              <w:rPr>
                <w:rFonts w:cstheme="minorHAnsi"/>
              </w:rPr>
              <w:t>GLP</w:t>
            </w:r>
          </w:p>
        </w:tc>
        <w:tc>
          <w:tcPr>
            <w:tcW w:w="6830" w:type="dxa"/>
          </w:tcPr>
          <w:p w:rsidR="00792D99" w:rsidRDefault="00792D99" w:rsidP="00BD430E">
            <w:pPr>
              <w:rPr>
                <w:rFonts w:eastAsia="TimesNewRoman" w:cs="TimesNewRoman"/>
              </w:rPr>
            </w:pPr>
            <w:r>
              <w:t>Good Laboratory Practice</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GLP-1</w:t>
            </w:r>
          </w:p>
        </w:tc>
        <w:tc>
          <w:tcPr>
            <w:tcW w:w="6830" w:type="dxa"/>
          </w:tcPr>
          <w:p w:rsidR="00BD430E" w:rsidRPr="00A41D8E" w:rsidRDefault="001411C5" w:rsidP="00BD430E">
            <w:pPr>
              <w:rPr>
                <w:rFonts w:cstheme="minorHAnsi"/>
                <w:color w:val="auto"/>
              </w:rPr>
            </w:pPr>
            <w:r>
              <w:rPr>
                <w:rFonts w:eastAsia="TimesNewRoman" w:cs="TimesNewRoman"/>
                <w:color w:val="auto"/>
              </w:rPr>
              <w:t>Glucagon-l</w:t>
            </w:r>
            <w:r w:rsidR="00BD430E" w:rsidRPr="00A41D8E">
              <w:rPr>
                <w:rFonts w:eastAsia="TimesNewRoman" w:cs="TimesNewRoman"/>
                <w:color w:val="auto"/>
              </w:rPr>
              <w:t xml:space="preserve">ike </w:t>
            </w:r>
            <w:r w:rsidR="0032378D">
              <w:rPr>
                <w:rFonts w:eastAsia="TimesNewRoman" w:cs="TimesNewRoman"/>
                <w:color w:val="auto"/>
              </w:rPr>
              <w:t>p</w:t>
            </w:r>
            <w:r w:rsidR="00BD430E" w:rsidRPr="00A41D8E">
              <w:rPr>
                <w:rFonts w:eastAsia="TimesNewRoman" w:cs="TimesNewRoman"/>
                <w:color w:val="auto"/>
              </w:rPr>
              <w:t>eptide 1</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GLSM</w:t>
            </w:r>
          </w:p>
        </w:tc>
        <w:tc>
          <w:tcPr>
            <w:tcW w:w="6830" w:type="dxa"/>
          </w:tcPr>
          <w:p w:rsidR="00BD430E" w:rsidRPr="00A41D8E" w:rsidRDefault="00EB5BEF" w:rsidP="00BD430E">
            <w:pPr>
              <w:rPr>
                <w:rFonts w:cstheme="minorHAnsi"/>
                <w:color w:val="auto"/>
              </w:rPr>
            </w:pPr>
            <w:r>
              <w:rPr>
                <w:rFonts w:cs="TimesNewRoman"/>
                <w:color w:val="auto"/>
              </w:rPr>
              <w:t>G</w:t>
            </w:r>
            <w:r w:rsidR="00BD430E" w:rsidRPr="00A41D8E">
              <w:rPr>
                <w:rFonts w:cs="TimesNewRoman"/>
                <w:color w:val="auto"/>
              </w:rPr>
              <w:t>eometric least squares mean</w:t>
            </w:r>
          </w:p>
        </w:tc>
      </w:tr>
      <w:tr w:rsidR="00BD430E" w:rsidRPr="00FD119B" w:rsidTr="00EB5BEF">
        <w:tc>
          <w:tcPr>
            <w:tcW w:w="1890" w:type="dxa"/>
          </w:tcPr>
          <w:p w:rsidR="00BD430E" w:rsidRPr="00A41D8E" w:rsidRDefault="00BD430E" w:rsidP="00BD430E">
            <w:pPr>
              <w:rPr>
                <w:color w:val="auto"/>
              </w:rPr>
            </w:pPr>
            <w:r w:rsidRPr="00A41D8E">
              <w:rPr>
                <w:color w:val="auto"/>
              </w:rPr>
              <w:t>HBV</w:t>
            </w:r>
          </w:p>
        </w:tc>
        <w:tc>
          <w:tcPr>
            <w:tcW w:w="6830" w:type="dxa"/>
          </w:tcPr>
          <w:p w:rsidR="00BD430E" w:rsidRPr="00A41D8E" w:rsidRDefault="00BD430E" w:rsidP="00BD430E">
            <w:pPr>
              <w:rPr>
                <w:color w:val="auto"/>
              </w:rPr>
            </w:pPr>
            <w:r w:rsidRPr="00A41D8E">
              <w:rPr>
                <w:color w:val="auto"/>
              </w:rPr>
              <w:t>Hepatitis B virus</w:t>
            </w:r>
          </w:p>
        </w:tc>
      </w:tr>
      <w:tr w:rsidR="00BD430E" w:rsidRPr="00FD119B" w:rsidTr="00EB5BEF">
        <w:tc>
          <w:tcPr>
            <w:tcW w:w="1890" w:type="dxa"/>
          </w:tcPr>
          <w:p w:rsidR="00BD430E" w:rsidRPr="00A41D8E" w:rsidRDefault="00BD430E" w:rsidP="00BD430E">
            <w:pPr>
              <w:rPr>
                <w:color w:val="auto"/>
              </w:rPr>
            </w:pPr>
            <w:r w:rsidRPr="00A41D8E">
              <w:rPr>
                <w:color w:val="auto"/>
              </w:rPr>
              <w:t>HCV</w:t>
            </w:r>
          </w:p>
        </w:tc>
        <w:tc>
          <w:tcPr>
            <w:tcW w:w="6830" w:type="dxa"/>
          </w:tcPr>
          <w:p w:rsidR="00BD430E" w:rsidRPr="00A41D8E" w:rsidRDefault="00BD430E" w:rsidP="00BD430E">
            <w:pPr>
              <w:rPr>
                <w:color w:val="auto"/>
              </w:rPr>
            </w:pPr>
            <w:r w:rsidRPr="00A41D8E">
              <w:rPr>
                <w:color w:val="auto"/>
              </w:rPr>
              <w:t>Hepatitis C virus</w:t>
            </w:r>
          </w:p>
        </w:tc>
      </w:tr>
      <w:tr w:rsidR="00BD430E" w:rsidRPr="00FD119B" w:rsidTr="00EB5BEF">
        <w:tc>
          <w:tcPr>
            <w:tcW w:w="1890" w:type="dxa"/>
          </w:tcPr>
          <w:p w:rsidR="00BD430E" w:rsidRPr="00A41D8E" w:rsidRDefault="00BD430E" w:rsidP="00BD430E">
            <w:pPr>
              <w:rPr>
                <w:color w:val="auto"/>
              </w:rPr>
            </w:pPr>
            <w:r w:rsidRPr="00A41D8E">
              <w:rPr>
                <w:color w:val="auto"/>
              </w:rPr>
              <w:t>HIV</w:t>
            </w:r>
          </w:p>
        </w:tc>
        <w:tc>
          <w:tcPr>
            <w:tcW w:w="6830" w:type="dxa"/>
          </w:tcPr>
          <w:p w:rsidR="00BD430E" w:rsidRPr="00A41D8E" w:rsidRDefault="00BD430E" w:rsidP="00BD430E">
            <w:pPr>
              <w:rPr>
                <w:color w:val="auto"/>
              </w:rPr>
            </w:pPr>
            <w:r w:rsidRPr="00A41D8E">
              <w:rPr>
                <w:color w:val="auto"/>
              </w:rPr>
              <w:t>Human immunodeficiency virus</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HIV-1</w:t>
            </w:r>
          </w:p>
        </w:tc>
        <w:tc>
          <w:tcPr>
            <w:tcW w:w="6830" w:type="dxa"/>
          </w:tcPr>
          <w:p w:rsidR="00BD430E" w:rsidRPr="00A41D8E" w:rsidRDefault="00EB5BEF" w:rsidP="00BD430E">
            <w:pPr>
              <w:rPr>
                <w:rFonts w:cstheme="minorHAnsi"/>
                <w:color w:val="auto"/>
              </w:rPr>
            </w:pPr>
            <w:r>
              <w:rPr>
                <w:rFonts w:cstheme="minorHAnsi"/>
                <w:color w:val="auto"/>
              </w:rPr>
              <w:t>H</w:t>
            </w:r>
            <w:r w:rsidR="00BD430E" w:rsidRPr="00A41D8E">
              <w:rPr>
                <w:rFonts w:cstheme="minorHAnsi"/>
                <w:color w:val="auto"/>
              </w:rPr>
              <w:t>uman immunodeficiency virus type 1</w:t>
            </w:r>
          </w:p>
        </w:tc>
      </w:tr>
      <w:tr w:rsidR="00BD430E" w:rsidRPr="00FD119B" w:rsidTr="00EB5BEF">
        <w:tc>
          <w:tcPr>
            <w:tcW w:w="1890" w:type="dxa"/>
          </w:tcPr>
          <w:p w:rsidR="00BD430E" w:rsidRPr="00A41D8E" w:rsidRDefault="00BD430E" w:rsidP="00BD430E">
            <w:pPr>
              <w:rPr>
                <w:color w:val="auto"/>
              </w:rPr>
            </w:pPr>
            <w:r w:rsidRPr="00A41D8E">
              <w:rPr>
                <w:color w:val="auto"/>
              </w:rPr>
              <w:t>ICH</w:t>
            </w:r>
          </w:p>
        </w:tc>
        <w:tc>
          <w:tcPr>
            <w:tcW w:w="6830" w:type="dxa"/>
          </w:tcPr>
          <w:p w:rsidR="00BD430E" w:rsidRPr="00A41D8E" w:rsidRDefault="00BD430E" w:rsidP="00BD430E">
            <w:pPr>
              <w:rPr>
                <w:color w:val="auto"/>
              </w:rPr>
            </w:pPr>
            <w:r w:rsidRPr="00A41D8E">
              <w:rPr>
                <w:color w:val="auto"/>
              </w:rPr>
              <w:t>International Conference on Harmonisation</w:t>
            </w:r>
          </w:p>
        </w:tc>
      </w:tr>
      <w:tr w:rsidR="00BD430E" w:rsidRPr="00FD119B" w:rsidTr="00EB5BEF">
        <w:tc>
          <w:tcPr>
            <w:tcW w:w="1890" w:type="dxa"/>
          </w:tcPr>
          <w:p w:rsidR="00BD430E" w:rsidRPr="00A41D8E" w:rsidRDefault="00BD430E" w:rsidP="00BD430E">
            <w:pPr>
              <w:rPr>
                <w:color w:val="auto"/>
              </w:rPr>
            </w:pPr>
            <w:r w:rsidRPr="00A41D8E">
              <w:rPr>
                <w:color w:val="auto"/>
              </w:rPr>
              <w:t>INSTI</w:t>
            </w:r>
          </w:p>
        </w:tc>
        <w:tc>
          <w:tcPr>
            <w:tcW w:w="6830" w:type="dxa"/>
          </w:tcPr>
          <w:p w:rsidR="00BD430E" w:rsidRPr="00A41D8E" w:rsidRDefault="00BD430E" w:rsidP="00BD430E">
            <w:pPr>
              <w:rPr>
                <w:color w:val="auto"/>
              </w:rPr>
            </w:pPr>
            <w:r w:rsidRPr="00A41D8E">
              <w:rPr>
                <w:color w:val="auto"/>
              </w:rPr>
              <w:t>Integrase strand-transfer inhibitor</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IR</w:t>
            </w:r>
          </w:p>
        </w:tc>
        <w:tc>
          <w:tcPr>
            <w:tcW w:w="6830" w:type="dxa"/>
          </w:tcPr>
          <w:p w:rsidR="00BD430E" w:rsidRPr="00A41D8E" w:rsidRDefault="00BD430E" w:rsidP="00BD430E">
            <w:pPr>
              <w:rPr>
                <w:rFonts w:cstheme="minorHAnsi"/>
                <w:color w:val="auto"/>
              </w:rPr>
            </w:pPr>
            <w:r w:rsidRPr="00A41D8E">
              <w:rPr>
                <w:rFonts w:cstheme="minorHAnsi"/>
                <w:color w:val="auto"/>
              </w:rPr>
              <w:t>Immediate release</w:t>
            </w:r>
          </w:p>
        </w:tc>
      </w:tr>
      <w:tr w:rsidR="00BD430E" w:rsidRPr="00FD119B" w:rsidTr="00EB5BEF">
        <w:tc>
          <w:tcPr>
            <w:tcW w:w="1890" w:type="dxa"/>
          </w:tcPr>
          <w:p w:rsidR="00BD430E" w:rsidRPr="00A41D8E" w:rsidRDefault="00BD430E" w:rsidP="00BD430E">
            <w:pPr>
              <w:rPr>
                <w:color w:val="auto"/>
              </w:rPr>
            </w:pPr>
            <w:r w:rsidRPr="00A41D8E">
              <w:rPr>
                <w:color w:val="auto"/>
              </w:rPr>
              <w:t>IV</w:t>
            </w:r>
          </w:p>
        </w:tc>
        <w:tc>
          <w:tcPr>
            <w:tcW w:w="6830" w:type="dxa"/>
          </w:tcPr>
          <w:p w:rsidR="00BD430E" w:rsidRPr="00A41D8E" w:rsidRDefault="00BD430E" w:rsidP="00BD430E">
            <w:pPr>
              <w:rPr>
                <w:color w:val="auto"/>
              </w:rPr>
            </w:pPr>
            <w:r w:rsidRPr="00A41D8E">
              <w:rPr>
                <w:color w:val="auto"/>
              </w:rPr>
              <w:t>Intravenous</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Ka</w:t>
            </w:r>
          </w:p>
        </w:tc>
        <w:tc>
          <w:tcPr>
            <w:tcW w:w="6830" w:type="dxa"/>
          </w:tcPr>
          <w:p w:rsidR="00BD430E" w:rsidRPr="00A41D8E" w:rsidRDefault="00BD430E" w:rsidP="00BD430E">
            <w:pPr>
              <w:rPr>
                <w:rFonts w:cstheme="minorHAnsi"/>
                <w:color w:val="auto"/>
              </w:rPr>
            </w:pPr>
            <w:r w:rsidRPr="00A41D8E">
              <w:rPr>
                <w:rFonts w:cstheme="minorHAnsi"/>
                <w:color w:val="auto"/>
              </w:rPr>
              <w:t>Absorption rate</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LDV</w:t>
            </w:r>
          </w:p>
        </w:tc>
        <w:tc>
          <w:tcPr>
            <w:tcW w:w="6830" w:type="dxa"/>
          </w:tcPr>
          <w:p w:rsidR="00BD430E" w:rsidRPr="00A41D8E" w:rsidRDefault="00EB5BEF" w:rsidP="00BD430E">
            <w:pPr>
              <w:rPr>
                <w:rFonts w:eastAsia="TimesNewRoman" w:cs="TimesNewRoman"/>
                <w:color w:val="auto"/>
              </w:rPr>
            </w:pPr>
            <w:r>
              <w:rPr>
                <w:color w:val="auto"/>
              </w:rPr>
              <w:t>L</w:t>
            </w:r>
            <w:r w:rsidR="00BD430E" w:rsidRPr="00A41D8E">
              <w:rPr>
                <w:color w:val="auto"/>
              </w:rPr>
              <w:t>edipasvir</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MAD</w:t>
            </w:r>
          </w:p>
        </w:tc>
        <w:tc>
          <w:tcPr>
            <w:tcW w:w="6830" w:type="dxa"/>
          </w:tcPr>
          <w:p w:rsidR="00BD430E" w:rsidRPr="00A41D8E" w:rsidRDefault="001411C5" w:rsidP="00BD430E">
            <w:pPr>
              <w:rPr>
                <w:rFonts w:cstheme="minorHAnsi"/>
                <w:color w:val="auto"/>
              </w:rPr>
            </w:pPr>
            <w:r>
              <w:rPr>
                <w:color w:val="auto"/>
              </w:rPr>
              <w:t>Multiple-ascending d</w:t>
            </w:r>
            <w:r w:rsidR="00BD430E" w:rsidRPr="00A41D8E">
              <w:rPr>
                <w:color w:val="auto"/>
              </w:rPr>
              <w:t>oses</w:t>
            </w:r>
          </w:p>
        </w:tc>
      </w:tr>
      <w:tr w:rsidR="00B22D7D" w:rsidRPr="00FD119B" w:rsidTr="00EB5BEF">
        <w:tc>
          <w:tcPr>
            <w:tcW w:w="1890" w:type="dxa"/>
          </w:tcPr>
          <w:p w:rsidR="00B22D7D" w:rsidRPr="00A41D8E" w:rsidRDefault="00B22D7D" w:rsidP="00BD430E">
            <w:pPr>
              <w:rPr>
                <w:rFonts w:cstheme="minorHAnsi"/>
              </w:rPr>
            </w:pPr>
            <w:r>
              <w:rPr>
                <w:rFonts w:cstheme="minorHAnsi"/>
              </w:rPr>
              <w:t>MATE1</w:t>
            </w:r>
          </w:p>
        </w:tc>
        <w:tc>
          <w:tcPr>
            <w:tcW w:w="6830" w:type="dxa"/>
          </w:tcPr>
          <w:p w:rsidR="00B22D7D" w:rsidRDefault="00B22D7D" w:rsidP="00BD430E">
            <w:r>
              <w:t>M</w:t>
            </w:r>
            <w:r w:rsidRPr="00B22D7D">
              <w:t>ulti</w:t>
            </w:r>
            <w:r>
              <w:t>-</w:t>
            </w:r>
            <w:r w:rsidRPr="00B22D7D">
              <w:t>drug and toxin extrusion protein 1</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MDZ</w:t>
            </w:r>
          </w:p>
        </w:tc>
        <w:tc>
          <w:tcPr>
            <w:tcW w:w="6830" w:type="dxa"/>
          </w:tcPr>
          <w:p w:rsidR="00BD430E" w:rsidRPr="00A41D8E" w:rsidRDefault="00EB5BEF" w:rsidP="00BD430E">
            <w:pPr>
              <w:rPr>
                <w:rFonts w:cstheme="minorHAnsi"/>
                <w:color w:val="auto"/>
              </w:rPr>
            </w:pPr>
            <w:r>
              <w:rPr>
                <w:rFonts w:cstheme="minorHAnsi"/>
                <w:color w:val="auto"/>
              </w:rPr>
              <w:t>M</w:t>
            </w:r>
            <w:r w:rsidR="00BD430E" w:rsidRPr="00A41D8E">
              <w:rPr>
                <w:rFonts w:cstheme="minorHAnsi"/>
                <w:color w:val="auto"/>
              </w:rPr>
              <w:t>idazolam</w:t>
            </w:r>
          </w:p>
        </w:tc>
      </w:tr>
      <w:tr w:rsidR="00BD430E" w:rsidRPr="00FD119B" w:rsidTr="00EB5BEF">
        <w:tc>
          <w:tcPr>
            <w:tcW w:w="1890" w:type="dxa"/>
          </w:tcPr>
          <w:p w:rsidR="00BD430E" w:rsidRPr="00A41D8E" w:rsidRDefault="00BD430E" w:rsidP="00BD430E">
            <w:pPr>
              <w:rPr>
                <w:color w:val="auto"/>
              </w:rPr>
            </w:pPr>
            <w:r w:rsidRPr="00A41D8E">
              <w:rPr>
                <w:color w:val="auto"/>
              </w:rPr>
              <w:t>MedDRA</w:t>
            </w:r>
          </w:p>
        </w:tc>
        <w:tc>
          <w:tcPr>
            <w:tcW w:w="6830" w:type="dxa"/>
          </w:tcPr>
          <w:p w:rsidR="00BD430E" w:rsidRPr="00A41D8E" w:rsidRDefault="00BD430E" w:rsidP="00BD430E">
            <w:pPr>
              <w:rPr>
                <w:color w:val="auto"/>
              </w:rPr>
            </w:pPr>
            <w:r w:rsidRPr="00A41D8E">
              <w:rPr>
                <w:color w:val="auto"/>
              </w:rPr>
              <w:t>Medical Dictionary of Regulatory Activities</w:t>
            </w:r>
          </w:p>
        </w:tc>
      </w:tr>
      <w:tr w:rsidR="00164F07" w:rsidRPr="00FD119B" w:rsidTr="00EB5BEF">
        <w:tc>
          <w:tcPr>
            <w:tcW w:w="1890" w:type="dxa"/>
          </w:tcPr>
          <w:p w:rsidR="00164F07" w:rsidRPr="00A41D8E" w:rsidRDefault="00164F07" w:rsidP="00BD430E">
            <w:r>
              <w:t>mRNA</w:t>
            </w:r>
          </w:p>
        </w:tc>
        <w:tc>
          <w:tcPr>
            <w:tcW w:w="6830" w:type="dxa"/>
          </w:tcPr>
          <w:p w:rsidR="00164F07" w:rsidRPr="00A41D8E" w:rsidRDefault="00164F07" w:rsidP="00164F07">
            <w:r>
              <w:t>Messenger RNA</w:t>
            </w:r>
          </w:p>
        </w:tc>
      </w:tr>
      <w:tr w:rsidR="00BD430E" w:rsidRPr="00FD119B" w:rsidTr="00EB5BEF">
        <w:tc>
          <w:tcPr>
            <w:tcW w:w="1890" w:type="dxa"/>
          </w:tcPr>
          <w:p w:rsidR="00BD430E" w:rsidRPr="00A41D8E" w:rsidRDefault="00BD430E" w:rsidP="00BD430E">
            <w:pPr>
              <w:rPr>
                <w:color w:val="auto"/>
              </w:rPr>
            </w:pPr>
            <w:r w:rsidRPr="00A41D8E">
              <w:rPr>
                <w:color w:val="auto"/>
              </w:rPr>
              <w:t>NNRTI</w:t>
            </w:r>
          </w:p>
        </w:tc>
        <w:tc>
          <w:tcPr>
            <w:tcW w:w="6830" w:type="dxa"/>
          </w:tcPr>
          <w:p w:rsidR="00BD430E" w:rsidRPr="00A41D8E" w:rsidRDefault="00BD430E" w:rsidP="00BD430E">
            <w:pPr>
              <w:rPr>
                <w:color w:val="auto"/>
              </w:rPr>
            </w:pPr>
            <w:r w:rsidRPr="00A41D8E">
              <w:rPr>
                <w:color w:val="auto"/>
              </w:rPr>
              <w:t>Non-nucleoside reverse transcriptase inhibitor</w:t>
            </w:r>
          </w:p>
        </w:tc>
      </w:tr>
      <w:tr w:rsidR="00BD430E" w:rsidRPr="00FD119B" w:rsidTr="00EB5BEF">
        <w:tc>
          <w:tcPr>
            <w:tcW w:w="1890" w:type="dxa"/>
          </w:tcPr>
          <w:p w:rsidR="00BD430E" w:rsidRPr="00A41D8E" w:rsidRDefault="00BD430E" w:rsidP="00BD430E">
            <w:pPr>
              <w:rPr>
                <w:color w:val="auto"/>
              </w:rPr>
            </w:pPr>
            <w:r w:rsidRPr="00A41D8E">
              <w:rPr>
                <w:color w:val="auto"/>
              </w:rPr>
              <w:t>NRTI</w:t>
            </w:r>
          </w:p>
        </w:tc>
        <w:tc>
          <w:tcPr>
            <w:tcW w:w="6830" w:type="dxa"/>
          </w:tcPr>
          <w:p w:rsidR="00BD430E" w:rsidRPr="00A41D8E" w:rsidRDefault="00BD430E" w:rsidP="00BD430E">
            <w:pPr>
              <w:rPr>
                <w:color w:val="auto"/>
              </w:rPr>
            </w:pPr>
            <w:r w:rsidRPr="00A41D8E">
              <w:rPr>
                <w:color w:val="auto"/>
              </w:rPr>
              <w:t>Nucleoside reverse transcriptase inhibitor</w:t>
            </w:r>
          </w:p>
        </w:tc>
      </w:tr>
      <w:tr w:rsidR="00703948" w:rsidRPr="00FD119B" w:rsidTr="00EB5BEF">
        <w:tc>
          <w:tcPr>
            <w:tcW w:w="1890" w:type="dxa"/>
          </w:tcPr>
          <w:p w:rsidR="00703948" w:rsidRPr="00A41D8E" w:rsidRDefault="00703948" w:rsidP="00BD430E">
            <w:r>
              <w:t>OATP</w:t>
            </w:r>
          </w:p>
        </w:tc>
        <w:tc>
          <w:tcPr>
            <w:tcW w:w="6830" w:type="dxa"/>
          </w:tcPr>
          <w:p w:rsidR="00703948" w:rsidRPr="00A41D8E" w:rsidRDefault="00703948" w:rsidP="00BD430E">
            <w:r>
              <w:t>O</w:t>
            </w:r>
            <w:r w:rsidRPr="00703948">
              <w:t>rganic-anion-transporting polypeptide</w:t>
            </w:r>
          </w:p>
        </w:tc>
      </w:tr>
      <w:tr w:rsidR="00703948" w:rsidRPr="00FD119B" w:rsidTr="00EB5BEF">
        <w:tc>
          <w:tcPr>
            <w:tcW w:w="1890" w:type="dxa"/>
          </w:tcPr>
          <w:p w:rsidR="00703948" w:rsidRDefault="00703948" w:rsidP="00BD430E">
            <w:r>
              <w:t>OCT</w:t>
            </w:r>
          </w:p>
        </w:tc>
        <w:tc>
          <w:tcPr>
            <w:tcW w:w="6830" w:type="dxa"/>
          </w:tcPr>
          <w:p w:rsidR="00703948" w:rsidRDefault="00703948" w:rsidP="00BD430E">
            <w:r>
              <w:t>O</w:t>
            </w:r>
            <w:r w:rsidRPr="00703948">
              <w:t>rganic cation transporter</w:t>
            </w:r>
          </w:p>
        </w:tc>
      </w:tr>
      <w:tr w:rsidR="00BD430E" w:rsidRPr="00FD119B" w:rsidTr="00EB5BEF">
        <w:tc>
          <w:tcPr>
            <w:tcW w:w="1890" w:type="dxa"/>
          </w:tcPr>
          <w:p w:rsidR="00BD430E" w:rsidRPr="00A41D8E" w:rsidRDefault="00BD430E" w:rsidP="00BD430E">
            <w:pPr>
              <w:rPr>
                <w:color w:val="auto"/>
              </w:rPr>
            </w:pPr>
            <w:r w:rsidRPr="00A41D8E">
              <w:rPr>
                <w:color w:val="auto"/>
              </w:rPr>
              <w:t>OL</w:t>
            </w:r>
          </w:p>
        </w:tc>
        <w:tc>
          <w:tcPr>
            <w:tcW w:w="6830" w:type="dxa"/>
          </w:tcPr>
          <w:p w:rsidR="00BD430E" w:rsidRPr="00A41D8E" w:rsidRDefault="00BD430E" w:rsidP="00BD430E">
            <w:pPr>
              <w:rPr>
                <w:color w:val="auto"/>
              </w:rPr>
            </w:pPr>
            <w:r w:rsidRPr="00A41D8E">
              <w:rPr>
                <w:color w:val="auto"/>
              </w:rPr>
              <w:t>Open-label (treatment period)</w:t>
            </w:r>
          </w:p>
        </w:tc>
      </w:tr>
      <w:tr w:rsidR="0024006C" w:rsidRPr="00FD119B" w:rsidTr="00EB5BEF">
        <w:tc>
          <w:tcPr>
            <w:tcW w:w="1890" w:type="dxa"/>
          </w:tcPr>
          <w:p w:rsidR="0024006C" w:rsidRPr="00A41D8E" w:rsidRDefault="0024006C" w:rsidP="00BD430E">
            <w:pPr>
              <w:rPr>
                <w:rFonts w:cstheme="minorHAnsi"/>
              </w:rPr>
            </w:pPr>
            <w:r>
              <w:rPr>
                <w:rFonts w:cstheme="minorHAnsi"/>
              </w:rPr>
              <w:t>PBMC</w:t>
            </w:r>
          </w:p>
        </w:tc>
        <w:tc>
          <w:tcPr>
            <w:tcW w:w="6830" w:type="dxa"/>
          </w:tcPr>
          <w:p w:rsidR="0024006C" w:rsidRDefault="0024006C" w:rsidP="00BD430E">
            <w:pPr>
              <w:rPr>
                <w:rFonts w:cstheme="minorHAnsi"/>
              </w:rPr>
            </w:pPr>
            <w:r>
              <w:t>Peripheral blood mononuclear cells</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PD</w:t>
            </w:r>
          </w:p>
        </w:tc>
        <w:tc>
          <w:tcPr>
            <w:tcW w:w="6830" w:type="dxa"/>
          </w:tcPr>
          <w:p w:rsidR="00BD430E" w:rsidRPr="00A41D8E" w:rsidRDefault="00EB5BEF" w:rsidP="00BD430E">
            <w:pPr>
              <w:rPr>
                <w:rFonts w:cstheme="minorHAnsi"/>
                <w:color w:val="auto"/>
              </w:rPr>
            </w:pPr>
            <w:r>
              <w:rPr>
                <w:rFonts w:cstheme="minorHAnsi"/>
                <w:color w:val="auto"/>
              </w:rPr>
              <w:t>P</w:t>
            </w:r>
            <w:r w:rsidR="00BD430E" w:rsidRPr="00A41D8E">
              <w:rPr>
                <w:rFonts w:cstheme="minorHAnsi"/>
                <w:color w:val="auto"/>
              </w:rPr>
              <w:t>harmacodynamic(s)</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lastRenderedPageBreak/>
              <w:t>P-gp</w:t>
            </w:r>
          </w:p>
        </w:tc>
        <w:tc>
          <w:tcPr>
            <w:tcW w:w="6830" w:type="dxa"/>
          </w:tcPr>
          <w:p w:rsidR="00BD430E" w:rsidRPr="00A41D8E" w:rsidRDefault="00BD430E" w:rsidP="00BD430E">
            <w:pPr>
              <w:rPr>
                <w:rFonts w:cstheme="minorHAnsi"/>
                <w:color w:val="auto"/>
              </w:rPr>
            </w:pPr>
            <w:r w:rsidRPr="00A41D8E">
              <w:rPr>
                <w:rFonts w:cstheme="minorHAnsi"/>
                <w:color w:val="auto"/>
              </w:rPr>
              <w:t>P-glycoprotein</w:t>
            </w:r>
          </w:p>
        </w:tc>
      </w:tr>
      <w:tr w:rsidR="00BD430E" w:rsidRPr="00FD119B" w:rsidTr="00EB5BEF">
        <w:tc>
          <w:tcPr>
            <w:tcW w:w="1890" w:type="dxa"/>
          </w:tcPr>
          <w:p w:rsidR="00BD430E" w:rsidRPr="00A41D8E" w:rsidRDefault="00BD430E" w:rsidP="00BD430E">
            <w:pPr>
              <w:rPr>
                <w:color w:val="auto"/>
              </w:rPr>
            </w:pPr>
            <w:r w:rsidRPr="00A41D8E">
              <w:rPr>
                <w:color w:val="auto"/>
              </w:rPr>
              <w:t>PI</w:t>
            </w:r>
          </w:p>
        </w:tc>
        <w:tc>
          <w:tcPr>
            <w:tcW w:w="6830" w:type="dxa"/>
          </w:tcPr>
          <w:p w:rsidR="00BD430E" w:rsidRPr="00A41D8E" w:rsidRDefault="00B07B2F" w:rsidP="00CD4AC6">
            <w:pPr>
              <w:rPr>
                <w:color w:val="auto"/>
              </w:rPr>
            </w:pPr>
            <w:r>
              <w:rPr>
                <w:color w:val="auto"/>
              </w:rPr>
              <w:t>Pr</w:t>
            </w:r>
            <w:r w:rsidR="00CD4AC6">
              <w:rPr>
                <w:color w:val="auto"/>
              </w:rPr>
              <w:t>oduct</w:t>
            </w:r>
            <w:r>
              <w:rPr>
                <w:color w:val="auto"/>
              </w:rPr>
              <w:t xml:space="preserve"> information</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PK</w:t>
            </w:r>
          </w:p>
        </w:tc>
        <w:tc>
          <w:tcPr>
            <w:tcW w:w="6830" w:type="dxa"/>
          </w:tcPr>
          <w:p w:rsidR="00BD430E" w:rsidRPr="00A41D8E" w:rsidRDefault="00EB5BEF" w:rsidP="00BD430E">
            <w:pPr>
              <w:rPr>
                <w:rFonts w:cstheme="minorHAnsi"/>
                <w:color w:val="auto"/>
              </w:rPr>
            </w:pPr>
            <w:r>
              <w:rPr>
                <w:rFonts w:cstheme="minorHAnsi"/>
                <w:color w:val="auto"/>
              </w:rPr>
              <w:t>P</w:t>
            </w:r>
            <w:r w:rsidR="00BD430E" w:rsidRPr="00A41D8E">
              <w:rPr>
                <w:rFonts w:cstheme="minorHAnsi"/>
                <w:color w:val="auto"/>
              </w:rPr>
              <w:t>harmacokinetic(s)</w:t>
            </w:r>
          </w:p>
        </w:tc>
      </w:tr>
      <w:tr w:rsidR="00BE1078" w:rsidRPr="00FD119B" w:rsidTr="00EB5BEF">
        <w:tc>
          <w:tcPr>
            <w:tcW w:w="1890" w:type="dxa"/>
          </w:tcPr>
          <w:p w:rsidR="00BE1078" w:rsidRPr="00A41D8E" w:rsidRDefault="00BE1078" w:rsidP="00BD430E">
            <w:pPr>
              <w:rPr>
                <w:rFonts w:cstheme="minorHAnsi"/>
              </w:rPr>
            </w:pPr>
            <w:r>
              <w:rPr>
                <w:rFonts w:cstheme="minorHAnsi"/>
              </w:rPr>
              <w:t>PO</w:t>
            </w:r>
          </w:p>
        </w:tc>
        <w:tc>
          <w:tcPr>
            <w:tcW w:w="6830" w:type="dxa"/>
          </w:tcPr>
          <w:p w:rsidR="00BE1078" w:rsidRDefault="00BE1078" w:rsidP="00BD430E">
            <w:pPr>
              <w:rPr>
                <w:rFonts w:cstheme="minorHAnsi"/>
              </w:rPr>
            </w:pPr>
            <w:r>
              <w:rPr>
                <w:rFonts w:cstheme="minorHAnsi"/>
              </w:rPr>
              <w:t>Per oral</w:t>
            </w:r>
          </w:p>
        </w:tc>
      </w:tr>
      <w:tr w:rsidR="00BD430E" w:rsidRPr="00FD119B" w:rsidTr="00EB5BEF">
        <w:tc>
          <w:tcPr>
            <w:tcW w:w="1890" w:type="dxa"/>
          </w:tcPr>
          <w:p w:rsidR="00BD430E" w:rsidRPr="00A41D8E" w:rsidRDefault="00BD430E" w:rsidP="00BD430E">
            <w:pPr>
              <w:rPr>
                <w:color w:val="auto"/>
              </w:rPr>
            </w:pPr>
            <w:r w:rsidRPr="00A41D8E">
              <w:rPr>
                <w:color w:val="auto"/>
              </w:rPr>
              <w:t>PP</w:t>
            </w:r>
          </w:p>
        </w:tc>
        <w:tc>
          <w:tcPr>
            <w:tcW w:w="6830" w:type="dxa"/>
          </w:tcPr>
          <w:p w:rsidR="00BD430E" w:rsidRPr="00A41D8E" w:rsidRDefault="00BD430E" w:rsidP="00BD430E">
            <w:pPr>
              <w:rPr>
                <w:color w:val="auto"/>
              </w:rPr>
            </w:pPr>
            <w:r w:rsidRPr="00A41D8E">
              <w:rPr>
                <w:color w:val="auto"/>
              </w:rPr>
              <w:t>Per protocol</w:t>
            </w:r>
          </w:p>
        </w:tc>
      </w:tr>
      <w:tr w:rsidR="00BD430E" w:rsidRPr="00FD119B" w:rsidTr="00EB5BEF">
        <w:tc>
          <w:tcPr>
            <w:tcW w:w="1890" w:type="dxa"/>
          </w:tcPr>
          <w:p w:rsidR="00BD430E" w:rsidRPr="00A41D8E" w:rsidRDefault="00BD430E" w:rsidP="00BD430E">
            <w:pPr>
              <w:rPr>
                <w:color w:val="auto"/>
              </w:rPr>
            </w:pPr>
            <w:r w:rsidRPr="00A41D8E">
              <w:rPr>
                <w:color w:val="auto"/>
              </w:rPr>
              <w:t>PR</w:t>
            </w:r>
          </w:p>
        </w:tc>
        <w:tc>
          <w:tcPr>
            <w:tcW w:w="6830" w:type="dxa"/>
          </w:tcPr>
          <w:p w:rsidR="00BD430E" w:rsidRPr="00A41D8E" w:rsidRDefault="00BD430E" w:rsidP="00BD430E">
            <w:pPr>
              <w:rPr>
                <w:color w:val="auto"/>
              </w:rPr>
            </w:pPr>
            <w:r w:rsidRPr="00A41D8E">
              <w:rPr>
                <w:color w:val="auto"/>
              </w:rPr>
              <w:t>Protease</w:t>
            </w:r>
          </w:p>
        </w:tc>
      </w:tr>
      <w:tr w:rsidR="00B07B2F" w:rsidRPr="00FD119B" w:rsidTr="00EB5BEF">
        <w:tc>
          <w:tcPr>
            <w:tcW w:w="1890" w:type="dxa"/>
          </w:tcPr>
          <w:p w:rsidR="00B07B2F" w:rsidRPr="00A41D8E" w:rsidRDefault="00B07B2F" w:rsidP="00BD430E">
            <w:r>
              <w:t>PRI</w:t>
            </w:r>
          </w:p>
        </w:tc>
        <w:tc>
          <w:tcPr>
            <w:tcW w:w="6830" w:type="dxa"/>
          </w:tcPr>
          <w:p w:rsidR="00B07B2F" w:rsidRPr="00A41D8E" w:rsidRDefault="00B07B2F" w:rsidP="00BD430E">
            <w:r w:rsidRPr="00A41D8E">
              <w:rPr>
                <w:color w:val="auto"/>
              </w:rPr>
              <w:t>Protease inhibitor</w:t>
            </w:r>
          </w:p>
        </w:tc>
      </w:tr>
      <w:tr w:rsidR="00BD430E" w:rsidRPr="00FD119B" w:rsidTr="00EB5BEF">
        <w:tc>
          <w:tcPr>
            <w:tcW w:w="1890" w:type="dxa"/>
          </w:tcPr>
          <w:p w:rsidR="00BD430E" w:rsidRPr="00A41D8E" w:rsidRDefault="00BD430E" w:rsidP="00BD430E">
            <w:pPr>
              <w:rPr>
                <w:color w:val="auto"/>
              </w:rPr>
            </w:pPr>
            <w:r w:rsidRPr="00A41D8E">
              <w:rPr>
                <w:color w:val="auto"/>
              </w:rPr>
              <w:t>PrEP</w:t>
            </w:r>
          </w:p>
        </w:tc>
        <w:tc>
          <w:tcPr>
            <w:tcW w:w="6830" w:type="dxa"/>
          </w:tcPr>
          <w:p w:rsidR="00BD430E" w:rsidRPr="00A41D8E" w:rsidRDefault="00BD430E" w:rsidP="00BD430E">
            <w:pPr>
              <w:rPr>
                <w:color w:val="auto"/>
              </w:rPr>
            </w:pPr>
            <w:r w:rsidRPr="00A41D8E">
              <w:rPr>
                <w:color w:val="auto"/>
              </w:rPr>
              <w:t>Pre-exposure prophylaxis</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Q/F</w:t>
            </w:r>
          </w:p>
        </w:tc>
        <w:tc>
          <w:tcPr>
            <w:tcW w:w="6830" w:type="dxa"/>
          </w:tcPr>
          <w:p w:rsidR="00BD430E" w:rsidRPr="00A41D8E" w:rsidRDefault="00EB5BEF" w:rsidP="00BD430E">
            <w:pPr>
              <w:rPr>
                <w:rFonts w:cstheme="minorHAnsi"/>
                <w:color w:val="auto"/>
              </w:rPr>
            </w:pPr>
            <w:r>
              <w:rPr>
                <w:rFonts w:cstheme="minorHAnsi"/>
                <w:color w:val="auto"/>
              </w:rPr>
              <w:t>I</w:t>
            </w:r>
            <w:r w:rsidR="001411C5">
              <w:rPr>
                <w:rFonts w:cstheme="minorHAnsi"/>
                <w:color w:val="auto"/>
              </w:rPr>
              <w:t>nter</w:t>
            </w:r>
            <w:r w:rsidR="006912D4">
              <w:rPr>
                <w:rFonts w:cstheme="minorHAnsi"/>
                <w:color w:val="auto"/>
              </w:rPr>
              <w:t xml:space="preserve"> </w:t>
            </w:r>
            <w:r w:rsidR="00BD430E" w:rsidRPr="00A41D8E">
              <w:rPr>
                <w:rFonts w:cstheme="minorHAnsi"/>
                <w:color w:val="auto"/>
              </w:rPr>
              <w:t>compartmental clearance</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QD</w:t>
            </w:r>
          </w:p>
        </w:tc>
        <w:tc>
          <w:tcPr>
            <w:tcW w:w="6830" w:type="dxa"/>
          </w:tcPr>
          <w:p w:rsidR="00BD430E" w:rsidRPr="00A41D8E" w:rsidRDefault="001411C5" w:rsidP="00BD430E">
            <w:pPr>
              <w:rPr>
                <w:rFonts w:cstheme="minorHAnsi"/>
                <w:color w:val="auto"/>
              </w:rPr>
            </w:pPr>
            <w:r>
              <w:rPr>
                <w:rFonts w:cstheme="minorHAnsi"/>
                <w:color w:val="auto"/>
              </w:rPr>
              <w:t xml:space="preserve">Once </w:t>
            </w:r>
            <w:r w:rsidR="00BD430E" w:rsidRPr="00A41D8E">
              <w:rPr>
                <w:rFonts w:cstheme="minorHAnsi"/>
                <w:color w:val="auto"/>
              </w:rPr>
              <w:t>daily</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QT</w:t>
            </w:r>
          </w:p>
        </w:tc>
        <w:tc>
          <w:tcPr>
            <w:tcW w:w="6830" w:type="dxa"/>
          </w:tcPr>
          <w:p w:rsidR="00BD430E" w:rsidRPr="00A41D8E" w:rsidRDefault="00EB5BEF" w:rsidP="00BD430E">
            <w:pPr>
              <w:rPr>
                <w:rFonts w:cstheme="minorHAnsi"/>
                <w:color w:val="auto"/>
              </w:rPr>
            </w:pPr>
            <w:r>
              <w:rPr>
                <w:rFonts w:cstheme="minorHAnsi"/>
                <w:color w:val="auto"/>
              </w:rPr>
              <w:t>E</w:t>
            </w:r>
            <w:r w:rsidR="00BD430E" w:rsidRPr="00A41D8E">
              <w:rPr>
                <w:rFonts w:cstheme="minorHAnsi"/>
                <w:color w:val="auto"/>
              </w:rPr>
              <w:t>lectrocardiographic interval between the beginning of the Q wave and termination of the T wave, representing the tim</w:t>
            </w:r>
            <w:r w:rsidR="009D0CD5">
              <w:rPr>
                <w:rFonts w:cstheme="minorHAnsi"/>
                <w:color w:val="auto"/>
              </w:rPr>
              <w:t>e for both ventricular depolarisation and repolaris</w:t>
            </w:r>
            <w:r w:rsidR="00BD430E" w:rsidRPr="00A41D8E">
              <w:rPr>
                <w:rFonts w:cstheme="minorHAnsi"/>
                <w:color w:val="auto"/>
              </w:rPr>
              <w:t>ation to occur</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QTc</w:t>
            </w:r>
          </w:p>
        </w:tc>
        <w:tc>
          <w:tcPr>
            <w:tcW w:w="6830" w:type="dxa"/>
          </w:tcPr>
          <w:p w:rsidR="00BD430E" w:rsidRPr="00A41D8E" w:rsidRDefault="00BD430E" w:rsidP="00BD430E">
            <w:pPr>
              <w:rPr>
                <w:rFonts w:cstheme="minorHAnsi"/>
                <w:color w:val="auto"/>
              </w:rPr>
            </w:pPr>
            <w:r w:rsidRPr="00A41D8E">
              <w:rPr>
                <w:rFonts w:cstheme="minorHAnsi"/>
                <w:color w:val="auto"/>
              </w:rPr>
              <w:t>QT interval corrected for heart rate</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RBT</w:t>
            </w:r>
          </w:p>
        </w:tc>
        <w:tc>
          <w:tcPr>
            <w:tcW w:w="6830" w:type="dxa"/>
          </w:tcPr>
          <w:p w:rsidR="00BD430E" w:rsidRPr="00A41D8E" w:rsidRDefault="00EB5BEF" w:rsidP="00BD430E">
            <w:pPr>
              <w:rPr>
                <w:rFonts w:eastAsia="TimesNewRoman" w:cstheme="minorHAnsi"/>
                <w:color w:val="auto"/>
              </w:rPr>
            </w:pPr>
            <w:r>
              <w:rPr>
                <w:rFonts w:eastAsia="TimesNewRoman" w:cstheme="minorHAnsi"/>
                <w:color w:val="auto"/>
              </w:rPr>
              <w:t>R</w:t>
            </w:r>
            <w:r w:rsidR="00BD430E" w:rsidRPr="00A41D8E">
              <w:rPr>
                <w:rFonts w:eastAsia="TimesNewRoman" w:cstheme="minorHAnsi"/>
                <w:color w:val="auto"/>
              </w:rPr>
              <w:t>ifabutin</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RIF</w:t>
            </w:r>
          </w:p>
        </w:tc>
        <w:tc>
          <w:tcPr>
            <w:tcW w:w="6830" w:type="dxa"/>
          </w:tcPr>
          <w:p w:rsidR="00BD430E" w:rsidRPr="00A41D8E" w:rsidRDefault="00EB5BEF" w:rsidP="00BD430E">
            <w:pPr>
              <w:rPr>
                <w:color w:val="auto"/>
              </w:rPr>
            </w:pPr>
            <w:r>
              <w:rPr>
                <w:rFonts w:eastAsia="TimesNewRoman" w:cstheme="minorHAnsi"/>
                <w:color w:val="auto"/>
              </w:rPr>
              <w:t>R</w:t>
            </w:r>
            <w:r w:rsidR="00BD430E" w:rsidRPr="00A41D8E">
              <w:rPr>
                <w:rFonts w:eastAsia="TimesNewRoman" w:cstheme="minorHAnsi"/>
                <w:color w:val="auto"/>
              </w:rPr>
              <w:t>ifampin</w:t>
            </w:r>
          </w:p>
        </w:tc>
      </w:tr>
      <w:tr w:rsidR="00BD430E" w:rsidRPr="00FD119B" w:rsidTr="00EB5BEF">
        <w:tc>
          <w:tcPr>
            <w:tcW w:w="1890" w:type="dxa"/>
          </w:tcPr>
          <w:p w:rsidR="00BD430E" w:rsidRPr="00A41D8E" w:rsidRDefault="00BD430E" w:rsidP="00BD430E">
            <w:pPr>
              <w:rPr>
                <w:color w:val="auto"/>
              </w:rPr>
            </w:pPr>
            <w:r w:rsidRPr="00A41D8E">
              <w:rPr>
                <w:color w:val="auto"/>
              </w:rPr>
              <w:t>RNA</w:t>
            </w:r>
          </w:p>
        </w:tc>
        <w:tc>
          <w:tcPr>
            <w:tcW w:w="6830" w:type="dxa"/>
          </w:tcPr>
          <w:p w:rsidR="00BD430E" w:rsidRPr="00A41D8E" w:rsidRDefault="00BD430E" w:rsidP="00BD430E">
            <w:pPr>
              <w:rPr>
                <w:color w:val="auto"/>
              </w:rPr>
            </w:pPr>
            <w:r w:rsidRPr="00A41D8E">
              <w:rPr>
                <w:color w:val="auto"/>
              </w:rPr>
              <w:t>Ribonucleic acid</w:t>
            </w:r>
          </w:p>
        </w:tc>
      </w:tr>
      <w:tr w:rsidR="00BD430E" w:rsidRPr="00FD119B" w:rsidTr="00EB5BEF">
        <w:tc>
          <w:tcPr>
            <w:tcW w:w="1890" w:type="dxa"/>
          </w:tcPr>
          <w:p w:rsidR="00BD430E" w:rsidRPr="00A41D8E" w:rsidRDefault="00BD430E" w:rsidP="00BD430E">
            <w:pPr>
              <w:rPr>
                <w:color w:val="auto"/>
              </w:rPr>
            </w:pPr>
            <w:r w:rsidRPr="00A41D8E">
              <w:rPr>
                <w:color w:val="auto"/>
              </w:rPr>
              <w:t>RT</w:t>
            </w:r>
          </w:p>
        </w:tc>
        <w:tc>
          <w:tcPr>
            <w:tcW w:w="6830" w:type="dxa"/>
          </w:tcPr>
          <w:p w:rsidR="00BD430E" w:rsidRPr="00A41D8E" w:rsidRDefault="00BD430E" w:rsidP="00BD430E">
            <w:pPr>
              <w:rPr>
                <w:color w:val="auto"/>
              </w:rPr>
            </w:pPr>
            <w:r w:rsidRPr="00A41D8E">
              <w:rPr>
                <w:color w:val="auto"/>
              </w:rPr>
              <w:t>Reverse transcriptase</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SAD</w:t>
            </w:r>
          </w:p>
        </w:tc>
        <w:tc>
          <w:tcPr>
            <w:tcW w:w="6830" w:type="dxa"/>
          </w:tcPr>
          <w:p w:rsidR="00BD430E" w:rsidRPr="00A41D8E" w:rsidRDefault="001411C5" w:rsidP="00BD430E">
            <w:pPr>
              <w:rPr>
                <w:rFonts w:cstheme="minorHAnsi"/>
                <w:color w:val="auto"/>
              </w:rPr>
            </w:pPr>
            <w:r>
              <w:rPr>
                <w:color w:val="auto"/>
              </w:rPr>
              <w:t>Single-ascending d</w:t>
            </w:r>
            <w:r w:rsidR="00BD430E" w:rsidRPr="00A41D8E">
              <w:rPr>
                <w:color w:val="auto"/>
              </w:rPr>
              <w:t>oses</w:t>
            </w:r>
          </w:p>
        </w:tc>
      </w:tr>
      <w:tr w:rsidR="00BD430E" w:rsidRPr="00FD119B" w:rsidTr="00EB5BEF">
        <w:tc>
          <w:tcPr>
            <w:tcW w:w="1890" w:type="dxa"/>
          </w:tcPr>
          <w:p w:rsidR="00BD430E" w:rsidRPr="00A41D8E" w:rsidRDefault="00BD430E" w:rsidP="00BD430E">
            <w:pPr>
              <w:rPr>
                <w:color w:val="auto"/>
              </w:rPr>
            </w:pPr>
            <w:r w:rsidRPr="00A41D8E">
              <w:rPr>
                <w:color w:val="auto"/>
              </w:rPr>
              <w:t>SAE</w:t>
            </w:r>
          </w:p>
        </w:tc>
        <w:tc>
          <w:tcPr>
            <w:tcW w:w="6830" w:type="dxa"/>
          </w:tcPr>
          <w:p w:rsidR="00BD430E" w:rsidRPr="00A41D8E" w:rsidRDefault="00BD430E" w:rsidP="00BD430E">
            <w:pPr>
              <w:rPr>
                <w:color w:val="auto"/>
              </w:rPr>
            </w:pPr>
            <w:r w:rsidRPr="00A41D8E">
              <w:rPr>
                <w:color w:val="auto"/>
              </w:rPr>
              <w:t>Serious adverse event</w:t>
            </w:r>
          </w:p>
        </w:tc>
      </w:tr>
      <w:tr w:rsidR="00BD430E" w:rsidRPr="00FD119B" w:rsidTr="00EB5BEF">
        <w:tc>
          <w:tcPr>
            <w:tcW w:w="1890" w:type="dxa"/>
          </w:tcPr>
          <w:p w:rsidR="00BD430E" w:rsidRPr="00A41D8E" w:rsidRDefault="00BD430E" w:rsidP="00BD430E">
            <w:pPr>
              <w:rPr>
                <w:color w:val="auto"/>
              </w:rPr>
            </w:pPr>
            <w:r w:rsidRPr="00A41D8E">
              <w:rPr>
                <w:color w:val="auto"/>
              </w:rPr>
              <w:t>SBR</w:t>
            </w:r>
          </w:p>
        </w:tc>
        <w:tc>
          <w:tcPr>
            <w:tcW w:w="6830" w:type="dxa"/>
          </w:tcPr>
          <w:p w:rsidR="00BD430E" w:rsidRPr="00A41D8E" w:rsidRDefault="00BD430E" w:rsidP="0058597B">
            <w:pPr>
              <w:rPr>
                <w:color w:val="auto"/>
              </w:rPr>
            </w:pPr>
            <w:r w:rsidRPr="00A41D8E">
              <w:rPr>
                <w:color w:val="auto"/>
                <w:lang w:eastAsia="ja-JP"/>
              </w:rPr>
              <w:t xml:space="preserve">RTV or COBI-boosted ATV or DRV </w:t>
            </w:r>
            <w:r w:rsidR="0058597B">
              <w:rPr>
                <w:color w:val="auto"/>
                <w:lang w:eastAsia="ja-JP"/>
              </w:rPr>
              <w:t>+</w:t>
            </w:r>
            <w:r w:rsidRPr="00A41D8E">
              <w:rPr>
                <w:color w:val="auto"/>
                <w:lang w:eastAsia="ja-JP"/>
              </w:rPr>
              <w:t xml:space="preserve"> either FTC/TDF or ABC/3TC</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SOF</w:t>
            </w:r>
          </w:p>
        </w:tc>
        <w:tc>
          <w:tcPr>
            <w:tcW w:w="6830" w:type="dxa"/>
          </w:tcPr>
          <w:p w:rsidR="00BD430E" w:rsidRPr="00A41D8E" w:rsidRDefault="00EB5BEF" w:rsidP="00BD430E">
            <w:pPr>
              <w:rPr>
                <w:rFonts w:cstheme="minorHAnsi"/>
                <w:color w:val="auto"/>
              </w:rPr>
            </w:pPr>
            <w:r>
              <w:rPr>
                <w:rFonts w:cstheme="minorHAnsi"/>
                <w:color w:val="auto"/>
              </w:rPr>
              <w:t>S</w:t>
            </w:r>
            <w:r w:rsidR="00BD430E" w:rsidRPr="00A41D8E">
              <w:rPr>
                <w:rFonts w:cstheme="minorHAnsi"/>
                <w:color w:val="auto"/>
              </w:rPr>
              <w:t>ofosbuvir</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SS</w:t>
            </w:r>
          </w:p>
        </w:tc>
        <w:tc>
          <w:tcPr>
            <w:tcW w:w="6830" w:type="dxa"/>
          </w:tcPr>
          <w:p w:rsidR="00BD430E" w:rsidRPr="00A41D8E" w:rsidRDefault="001411C5" w:rsidP="00BD430E">
            <w:pPr>
              <w:rPr>
                <w:rFonts w:cstheme="minorHAnsi"/>
                <w:color w:val="auto"/>
              </w:rPr>
            </w:pPr>
            <w:r>
              <w:rPr>
                <w:rFonts w:cstheme="minorHAnsi"/>
                <w:color w:val="auto"/>
              </w:rPr>
              <w:t xml:space="preserve">Steady </w:t>
            </w:r>
            <w:r w:rsidR="00BD430E" w:rsidRPr="00A41D8E">
              <w:rPr>
                <w:rFonts w:cstheme="minorHAnsi"/>
                <w:color w:val="auto"/>
              </w:rPr>
              <w:t>state</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t</w:t>
            </w:r>
            <w:r w:rsidRPr="00A41D8E">
              <w:rPr>
                <w:rFonts w:cstheme="minorHAnsi"/>
                <w:color w:val="auto"/>
                <w:vertAlign w:val="subscript"/>
              </w:rPr>
              <w:t>1/2</w:t>
            </w:r>
          </w:p>
        </w:tc>
        <w:tc>
          <w:tcPr>
            <w:tcW w:w="6830" w:type="dxa"/>
          </w:tcPr>
          <w:p w:rsidR="00BD430E" w:rsidRPr="00A41D8E" w:rsidRDefault="00EB5BEF" w:rsidP="00BD430E">
            <w:pPr>
              <w:rPr>
                <w:rFonts w:cstheme="minorHAnsi"/>
                <w:color w:val="auto"/>
              </w:rPr>
            </w:pPr>
            <w:r>
              <w:rPr>
                <w:rFonts w:cstheme="minorHAnsi"/>
                <w:color w:val="auto"/>
              </w:rPr>
              <w:t>E</w:t>
            </w:r>
            <w:r w:rsidR="00BD430E" w:rsidRPr="00A41D8E">
              <w:rPr>
                <w:rFonts w:cstheme="minorHAnsi"/>
                <w:color w:val="auto"/>
              </w:rPr>
              <w:t>stimated terminal elimination half-life of the drug in plasma</w:t>
            </w:r>
          </w:p>
        </w:tc>
      </w:tr>
      <w:tr w:rsidR="00BD430E" w:rsidRPr="00FD119B" w:rsidTr="00EB5BEF">
        <w:tc>
          <w:tcPr>
            <w:tcW w:w="1890" w:type="dxa"/>
          </w:tcPr>
          <w:p w:rsidR="00BD430E" w:rsidRPr="00A41D8E" w:rsidRDefault="00BD430E" w:rsidP="00BD430E">
            <w:pPr>
              <w:rPr>
                <w:color w:val="auto"/>
              </w:rPr>
            </w:pPr>
            <w:r w:rsidRPr="00A41D8E">
              <w:rPr>
                <w:color w:val="auto"/>
              </w:rPr>
              <w:t>TAF</w:t>
            </w:r>
          </w:p>
        </w:tc>
        <w:tc>
          <w:tcPr>
            <w:tcW w:w="6830" w:type="dxa"/>
          </w:tcPr>
          <w:p w:rsidR="00BD430E" w:rsidRPr="00A41D8E" w:rsidRDefault="00BD430E" w:rsidP="00BD430E">
            <w:pPr>
              <w:rPr>
                <w:color w:val="auto"/>
              </w:rPr>
            </w:pPr>
            <w:r w:rsidRPr="00A41D8E">
              <w:rPr>
                <w:color w:val="auto"/>
              </w:rPr>
              <w:t>Tenofovir alafenamide</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TDF</w:t>
            </w:r>
          </w:p>
        </w:tc>
        <w:tc>
          <w:tcPr>
            <w:tcW w:w="6830" w:type="dxa"/>
          </w:tcPr>
          <w:p w:rsidR="00BD430E" w:rsidRPr="00A41D8E" w:rsidRDefault="00EB5BEF" w:rsidP="00BD430E">
            <w:pPr>
              <w:rPr>
                <w:rFonts w:cstheme="minorHAnsi"/>
                <w:color w:val="auto"/>
              </w:rPr>
            </w:pPr>
            <w:r>
              <w:rPr>
                <w:rFonts w:cstheme="minorHAnsi"/>
                <w:color w:val="auto"/>
              </w:rPr>
              <w:t>T</w:t>
            </w:r>
            <w:r w:rsidR="00BD430E" w:rsidRPr="00A41D8E">
              <w:rPr>
                <w:rFonts w:cstheme="minorHAnsi"/>
                <w:color w:val="auto"/>
              </w:rPr>
              <w:t>enofo</w:t>
            </w:r>
            <w:r>
              <w:rPr>
                <w:rFonts w:cstheme="minorHAnsi"/>
                <w:color w:val="auto"/>
              </w:rPr>
              <w:t>vir disoproxil fumarate (Viread</w:t>
            </w:r>
            <w:r w:rsidR="00BD430E" w:rsidRPr="00A41D8E">
              <w:rPr>
                <w:rFonts w:cstheme="minorHAnsi"/>
                <w:color w:val="auto"/>
              </w:rPr>
              <w:t>)</w:t>
            </w:r>
          </w:p>
        </w:tc>
      </w:tr>
      <w:tr w:rsidR="00BD430E" w:rsidRPr="00FD119B" w:rsidTr="00EB5BEF">
        <w:tc>
          <w:tcPr>
            <w:tcW w:w="1890" w:type="dxa"/>
          </w:tcPr>
          <w:p w:rsidR="00BD430E" w:rsidRPr="00A41D8E" w:rsidRDefault="00BD430E" w:rsidP="00BD430E">
            <w:pPr>
              <w:rPr>
                <w:color w:val="auto"/>
              </w:rPr>
            </w:pPr>
            <w:r w:rsidRPr="00A41D8E">
              <w:rPr>
                <w:color w:val="auto"/>
              </w:rPr>
              <w:t>TFV</w:t>
            </w:r>
          </w:p>
        </w:tc>
        <w:tc>
          <w:tcPr>
            <w:tcW w:w="6830" w:type="dxa"/>
          </w:tcPr>
          <w:p w:rsidR="00BD430E" w:rsidRPr="00A41D8E" w:rsidRDefault="00BD430E" w:rsidP="00BD430E">
            <w:pPr>
              <w:rPr>
                <w:color w:val="auto"/>
              </w:rPr>
            </w:pPr>
            <w:r w:rsidRPr="00A41D8E">
              <w:rPr>
                <w:color w:val="auto"/>
              </w:rPr>
              <w:t>Tenofovir</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lastRenderedPageBreak/>
              <w:t>T</w:t>
            </w:r>
            <w:r w:rsidRPr="00EB5BEF">
              <w:rPr>
                <w:rFonts w:cstheme="minorHAnsi"/>
                <w:color w:val="auto"/>
                <w:vertAlign w:val="subscript"/>
              </w:rPr>
              <w:t>max</w:t>
            </w:r>
          </w:p>
        </w:tc>
        <w:tc>
          <w:tcPr>
            <w:tcW w:w="6830" w:type="dxa"/>
          </w:tcPr>
          <w:p w:rsidR="00BD430E" w:rsidRPr="00A41D8E" w:rsidRDefault="00EB5BEF" w:rsidP="00BD430E">
            <w:pPr>
              <w:rPr>
                <w:rFonts w:cstheme="minorHAnsi"/>
                <w:color w:val="auto"/>
              </w:rPr>
            </w:pPr>
            <w:r>
              <w:rPr>
                <w:rFonts w:cstheme="minorHAnsi"/>
                <w:color w:val="auto"/>
              </w:rPr>
              <w:t>T</w:t>
            </w:r>
            <w:r w:rsidR="00BD430E" w:rsidRPr="00A41D8E">
              <w:rPr>
                <w:rFonts w:cstheme="minorHAnsi"/>
                <w:color w:val="auto"/>
              </w:rPr>
              <w:t xml:space="preserve">ime (observed time point) of </w:t>
            </w:r>
            <w:r w:rsidR="00080EC5">
              <w:t>C</w:t>
            </w:r>
            <w:r w:rsidR="00080EC5" w:rsidRPr="00080EC5">
              <w:rPr>
                <w:vertAlign w:val="subscript"/>
              </w:rPr>
              <w:t>max</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UGT</w:t>
            </w:r>
          </w:p>
        </w:tc>
        <w:tc>
          <w:tcPr>
            <w:tcW w:w="6830" w:type="dxa"/>
          </w:tcPr>
          <w:p w:rsidR="00BD430E" w:rsidRPr="00A41D8E" w:rsidRDefault="00EB5BEF" w:rsidP="00BD430E">
            <w:pPr>
              <w:rPr>
                <w:rFonts w:cstheme="minorHAnsi"/>
                <w:color w:val="auto"/>
              </w:rPr>
            </w:pPr>
            <w:r>
              <w:rPr>
                <w:rFonts w:cstheme="minorHAnsi"/>
                <w:color w:val="auto"/>
              </w:rPr>
              <w:t>U</w:t>
            </w:r>
            <w:r w:rsidR="00BD430E" w:rsidRPr="00A41D8E">
              <w:rPr>
                <w:rFonts w:cstheme="minorHAnsi"/>
                <w:color w:val="auto"/>
              </w:rPr>
              <w:t>ridine diphosphate glucuronosyltransferase</w:t>
            </w:r>
          </w:p>
        </w:tc>
      </w:tr>
      <w:tr w:rsidR="00BD430E" w:rsidRPr="00FD119B" w:rsidTr="00EB5BEF">
        <w:tc>
          <w:tcPr>
            <w:tcW w:w="1890" w:type="dxa"/>
          </w:tcPr>
          <w:p w:rsidR="00BD430E" w:rsidRPr="00A41D8E" w:rsidRDefault="00BD430E" w:rsidP="00BD430E">
            <w:pPr>
              <w:rPr>
                <w:color w:val="auto"/>
              </w:rPr>
            </w:pPr>
            <w:r w:rsidRPr="00A41D8E">
              <w:rPr>
                <w:color w:val="auto"/>
              </w:rPr>
              <w:t>ULN</w:t>
            </w:r>
          </w:p>
        </w:tc>
        <w:tc>
          <w:tcPr>
            <w:tcW w:w="6830" w:type="dxa"/>
          </w:tcPr>
          <w:p w:rsidR="00BD430E" w:rsidRPr="00A41D8E" w:rsidRDefault="00BD430E" w:rsidP="00BD430E">
            <w:pPr>
              <w:rPr>
                <w:color w:val="auto"/>
              </w:rPr>
            </w:pPr>
            <w:r w:rsidRPr="00A41D8E">
              <w:rPr>
                <w:color w:val="auto"/>
              </w:rPr>
              <w:t>Upper limit of normal</w:t>
            </w:r>
          </w:p>
        </w:tc>
      </w:tr>
      <w:tr w:rsidR="00BD430E" w:rsidRPr="00FD119B" w:rsidTr="00EB5BEF">
        <w:tc>
          <w:tcPr>
            <w:tcW w:w="1890" w:type="dxa"/>
          </w:tcPr>
          <w:p w:rsidR="00BD430E" w:rsidRPr="00A41D8E" w:rsidRDefault="00BD430E" w:rsidP="00BD430E">
            <w:pPr>
              <w:rPr>
                <w:color w:val="auto"/>
              </w:rPr>
            </w:pPr>
            <w:r w:rsidRPr="00A41D8E">
              <w:rPr>
                <w:color w:val="auto"/>
              </w:rPr>
              <w:t>URTI</w:t>
            </w:r>
          </w:p>
        </w:tc>
        <w:tc>
          <w:tcPr>
            <w:tcW w:w="6830" w:type="dxa"/>
          </w:tcPr>
          <w:p w:rsidR="00BD430E" w:rsidRPr="00A41D8E" w:rsidRDefault="00BD430E" w:rsidP="00BD430E">
            <w:pPr>
              <w:rPr>
                <w:color w:val="auto"/>
              </w:rPr>
            </w:pPr>
            <w:r w:rsidRPr="00A41D8E">
              <w:rPr>
                <w:color w:val="auto"/>
              </w:rPr>
              <w:t>Upper respiratory tract infection</w:t>
            </w:r>
          </w:p>
        </w:tc>
      </w:tr>
      <w:tr w:rsidR="00BD430E" w:rsidRPr="00FD119B" w:rsidTr="00EB5BEF">
        <w:tc>
          <w:tcPr>
            <w:tcW w:w="1890" w:type="dxa"/>
          </w:tcPr>
          <w:p w:rsidR="00BD430E" w:rsidRPr="00A41D8E" w:rsidRDefault="002D5055" w:rsidP="00BD430E">
            <w:pPr>
              <w:rPr>
                <w:color w:val="auto"/>
              </w:rPr>
            </w:pPr>
            <w:r>
              <w:rPr>
                <w:color w:val="auto"/>
              </w:rPr>
              <w:t>US</w:t>
            </w:r>
          </w:p>
        </w:tc>
        <w:tc>
          <w:tcPr>
            <w:tcW w:w="6830" w:type="dxa"/>
          </w:tcPr>
          <w:p w:rsidR="00BD430E" w:rsidRPr="00A41D8E" w:rsidRDefault="00BD430E" w:rsidP="00BD430E">
            <w:pPr>
              <w:rPr>
                <w:color w:val="auto"/>
              </w:rPr>
            </w:pPr>
            <w:r w:rsidRPr="00A41D8E">
              <w:rPr>
                <w:color w:val="auto"/>
              </w:rPr>
              <w:t>United States</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Vc/F</w:t>
            </w:r>
          </w:p>
        </w:tc>
        <w:tc>
          <w:tcPr>
            <w:tcW w:w="6830" w:type="dxa"/>
          </w:tcPr>
          <w:p w:rsidR="00BD430E" w:rsidRPr="00A41D8E" w:rsidRDefault="00EB5BEF" w:rsidP="00BD430E">
            <w:pPr>
              <w:rPr>
                <w:rFonts w:cstheme="minorHAnsi"/>
                <w:color w:val="auto"/>
              </w:rPr>
            </w:pPr>
            <w:r>
              <w:rPr>
                <w:rFonts w:cstheme="minorHAnsi"/>
                <w:color w:val="auto"/>
              </w:rPr>
              <w:t>A</w:t>
            </w:r>
            <w:r w:rsidR="00BD430E" w:rsidRPr="00A41D8E">
              <w:rPr>
                <w:rFonts w:cstheme="minorHAnsi"/>
                <w:color w:val="auto"/>
              </w:rPr>
              <w:t>pparent volume of central compartment</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VEL</w:t>
            </w:r>
          </w:p>
        </w:tc>
        <w:tc>
          <w:tcPr>
            <w:tcW w:w="6830" w:type="dxa"/>
          </w:tcPr>
          <w:p w:rsidR="00BD430E" w:rsidRPr="00A41D8E" w:rsidRDefault="00EB5BEF" w:rsidP="00BD430E">
            <w:pPr>
              <w:rPr>
                <w:rFonts w:eastAsia="TimesNewRoman" w:cstheme="minorHAnsi"/>
                <w:color w:val="auto"/>
              </w:rPr>
            </w:pPr>
            <w:r>
              <w:rPr>
                <w:rFonts w:eastAsia="TimesNewRoman" w:cs="TimesNewRoman"/>
                <w:color w:val="auto"/>
              </w:rPr>
              <w:t>V</w:t>
            </w:r>
            <w:r w:rsidR="00BD430E" w:rsidRPr="00A41D8E">
              <w:rPr>
                <w:rFonts w:eastAsia="TimesNewRoman" w:cs="TimesNewRoman"/>
                <w:color w:val="auto"/>
              </w:rPr>
              <w:t>elpatasvir</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VORI</w:t>
            </w:r>
          </w:p>
        </w:tc>
        <w:tc>
          <w:tcPr>
            <w:tcW w:w="6830" w:type="dxa"/>
          </w:tcPr>
          <w:p w:rsidR="00BD430E" w:rsidRPr="00A41D8E" w:rsidRDefault="00EB5BEF" w:rsidP="00BD430E">
            <w:pPr>
              <w:rPr>
                <w:rFonts w:cstheme="minorHAnsi"/>
                <w:color w:val="auto"/>
              </w:rPr>
            </w:pPr>
            <w:r>
              <w:rPr>
                <w:rFonts w:eastAsia="TimesNewRoman" w:cstheme="minorHAnsi"/>
                <w:color w:val="auto"/>
              </w:rPr>
              <w:t>V</w:t>
            </w:r>
            <w:r w:rsidR="00BD430E" w:rsidRPr="00A41D8E">
              <w:rPr>
                <w:rFonts w:eastAsia="TimesNewRoman" w:cstheme="minorHAnsi"/>
                <w:color w:val="auto"/>
              </w:rPr>
              <w:t>oriconazole</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VOX</w:t>
            </w:r>
          </w:p>
        </w:tc>
        <w:tc>
          <w:tcPr>
            <w:tcW w:w="6830" w:type="dxa"/>
          </w:tcPr>
          <w:p w:rsidR="00BD430E" w:rsidRPr="00A41D8E" w:rsidRDefault="00EB5BEF" w:rsidP="00BD430E">
            <w:pPr>
              <w:rPr>
                <w:rFonts w:cstheme="minorHAnsi"/>
                <w:color w:val="auto"/>
              </w:rPr>
            </w:pPr>
            <w:r>
              <w:rPr>
                <w:rFonts w:eastAsia="TimesNewRoman" w:cs="TimesNewRoman"/>
                <w:color w:val="auto"/>
              </w:rPr>
              <w:t>V</w:t>
            </w:r>
            <w:r w:rsidR="00BD430E" w:rsidRPr="00A41D8E">
              <w:rPr>
                <w:rFonts w:eastAsia="TimesNewRoman" w:cs="TimesNewRoman"/>
                <w:color w:val="auto"/>
              </w:rPr>
              <w:t>oxilaprevir</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Vss</w:t>
            </w:r>
          </w:p>
        </w:tc>
        <w:tc>
          <w:tcPr>
            <w:tcW w:w="6830" w:type="dxa"/>
          </w:tcPr>
          <w:p w:rsidR="00BD430E" w:rsidRPr="00A41D8E" w:rsidRDefault="00EB5BEF" w:rsidP="00BD430E">
            <w:pPr>
              <w:rPr>
                <w:rFonts w:cstheme="minorHAnsi"/>
                <w:color w:val="auto"/>
              </w:rPr>
            </w:pPr>
            <w:r>
              <w:rPr>
                <w:rFonts w:cstheme="minorHAnsi"/>
                <w:color w:val="auto"/>
              </w:rPr>
              <w:t>S</w:t>
            </w:r>
            <w:r w:rsidR="001411C5">
              <w:rPr>
                <w:rFonts w:cstheme="minorHAnsi"/>
                <w:color w:val="auto"/>
              </w:rPr>
              <w:t xml:space="preserve">teady </w:t>
            </w:r>
            <w:r w:rsidR="00BD430E" w:rsidRPr="00A41D8E">
              <w:rPr>
                <w:rFonts w:cstheme="minorHAnsi"/>
                <w:color w:val="auto"/>
              </w:rPr>
              <w:t>state volume of distribution</w:t>
            </w:r>
          </w:p>
        </w:tc>
      </w:tr>
      <w:tr w:rsidR="00BD430E" w:rsidRPr="00FD119B" w:rsidTr="00EB5BEF">
        <w:tc>
          <w:tcPr>
            <w:tcW w:w="1890" w:type="dxa"/>
          </w:tcPr>
          <w:p w:rsidR="00BD430E" w:rsidRPr="00A41D8E" w:rsidRDefault="00BD430E" w:rsidP="00BD430E">
            <w:pPr>
              <w:rPr>
                <w:rFonts w:cstheme="minorHAnsi"/>
                <w:color w:val="auto"/>
              </w:rPr>
            </w:pPr>
            <w:r w:rsidRPr="00A41D8E">
              <w:rPr>
                <w:rFonts w:cstheme="minorHAnsi"/>
                <w:color w:val="auto"/>
              </w:rPr>
              <w:t>Vz/F</w:t>
            </w:r>
          </w:p>
        </w:tc>
        <w:tc>
          <w:tcPr>
            <w:tcW w:w="6830" w:type="dxa"/>
          </w:tcPr>
          <w:p w:rsidR="00BD430E" w:rsidRPr="00A41D8E" w:rsidRDefault="00EB5BEF" w:rsidP="00BD430E">
            <w:pPr>
              <w:rPr>
                <w:rFonts w:cstheme="minorHAnsi"/>
                <w:color w:val="auto"/>
              </w:rPr>
            </w:pPr>
            <w:r>
              <w:rPr>
                <w:rFonts w:cstheme="minorHAnsi"/>
                <w:color w:val="auto"/>
              </w:rPr>
              <w:t>A</w:t>
            </w:r>
            <w:r w:rsidR="00BD430E" w:rsidRPr="00A41D8E">
              <w:rPr>
                <w:rFonts w:cstheme="minorHAnsi"/>
                <w:color w:val="auto"/>
              </w:rPr>
              <w:t>pparent volume of distribution of the drug</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20133958"/>
      <w:r>
        <w:lastRenderedPageBreak/>
        <w:t>I.</w:t>
      </w:r>
      <w:r w:rsidR="008E7846">
        <w:t xml:space="preserve"> Introduction to product submission</w:t>
      </w:r>
      <w:bookmarkEnd w:id="9"/>
      <w:bookmarkEnd w:id="1"/>
      <w:bookmarkEnd w:id="3"/>
    </w:p>
    <w:p w:rsidR="008E7846" w:rsidRDefault="008E7846" w:rsidP="008E7846">
      <w:pPr>
        <w:pStyle w:val="Heading3"/>
        <w:rPr>
          <w:lang w:eastAsia="en-AU"/>
        </w:rPr>
      </w:pPr>
      <w:bookmarkStart w:id="10" w:name="_Toc247691502"/>
      <w:bookmarkStart w:id="11" w:name="_Toc314842483"/>
      <w:bookmarkStart w:id="12" w:name="_Toc20133959"/>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3735BC">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1802A3">
            <w:r w:rsidRPr="003D1E62">
              <w:t xml:space="preserve">New </w:t>
            </w:r>
            <w:r w:rsidR="0047516F">
              <w:t xml:space="preserve">fixed dose </w:t>
            </w:r>
            <w:r w:rsidR="000A624F">
              <w:t>combination</w:t>
            </w:r>
            <w:r w:rsidR="0047516F">
              <w:t xml:space="preserve"> including a new chemical entity (</w:t>
            </w:r>
            <w:r w:rsidR="0047516F" w:rsidRPr="0047516F">
              <w:t>bictegravir</w:t>
            </w:r>
            <w:r w:rsidR="0047516F">
              <w:t xml:space="preserve">) and two </w:t>
            </w:r>
            <w:r w:rsidR="001802A3">
              <w:t>active ingredients that are already on the ARTG</w:t>
            </w:r>
            <w:r w:rsidR="0047516F">
              <w:t xml:space="preserve"> (e</w:t>
            </w:r>
            <w:r w:rsidR="0047516F" w:rsidRPr="0047516F">
              <w:t xml:space="preserve">mtricitabine </w:t>
            </w:r>
            <w:r w:rsidR="0047516F">
              <w:t>and t</w:t>
            </w:r>
            <w:r w:rsidR="0047516F" w:rsidRPr="0047516F">
              <w:t>enofovir alafenamide</w:t>
            </w:r>
            <w:r w:rsidR="0047516F">
              <w:t>)</w:t>
            </w:r>
            <w:r w:rsidR="000C6F65">
              <w:t>.</w:t>
            </w:r>
          </w:p>
        </w:tc>
      </w:tr>
      <w:tr w:rsidR="008E7846" w:rsidRPr="003D1E62" w:rsidTr="003735BC">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0A624F" w:rsidP="000A624F">
            <w:r>
              <w:t>Approved</w:t>
            </w:r>
          </w:p>
        </w:tc>
      </w:tr>
      <w:tr w:rsidR="008E7846" w:rsidRPr="003D1E62" w:rsidTr="003735BC">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47516F" w:rsidP="0047516F">
            <w:r>
              <w:t>10 July 2018</w:t>
            </w:r>
          </w:p>
        </w:tc>
      </w:tr>
      <w:tr w:rsidR="00ED2922" w:rsidRPr="003D1E62" w:rsidTr="003735BC">
        <w:tc>
          <w:tcPr>
            <w:tcW w:w="2907" w:type="dxa"/>
          </w:tcPr>
          <w:p w:rsidR="00ED2922" w:rsidRPr="00441C3F" w:rsidRDefault="00ED2922" w:rsidP="001B5C90">
            <w:pPr>
              <w:rPr>
                <w:i/>
              </w:rPr>
            </w:pPr>
            <w:r w:rsidRPr="00441C3F">
              <w:rPr>
                <w:i/>
              </w:rPr>
              <w:t>Date of entry onto ARTG</w:t>
            </w:r>
            <w:r w:rsidR="00500337">
              <w:rPr>
                <w:i/>
              </w:rPr>
              <w:t>:</w:t>
            </w:r>
          </w:p>
        </w:tc>
        <w:tc>
          <w:tcPr>
            <w:tcW w:w="6307" w:type="dxa"/>
          </w:tcPr>
          <w:p w:rsidR="00ED2922" w:rsidRPr="00441C3F" w:rsidRDefault="0047516F" w:rsidP="0047516F">
            <w:pPr>
              <w:rPr>
                <w:i/>
              </w:rPr>
            </w:pPr>
            <w:r>
              <w:t>12 July 2018</w:t>
            </w:r>
          </w:p>
        </w:tc>
      </w:tr>
      <w:tr w:rsidR="00500337" w:rsidRPr="003D1E62" w:rsidTr="003735BC">
        <w:tc>
          <w:tcPr>
            <w:tcW w:w="2907" w:type="dxa"/>
          </w:tcPr>
          <w:p w:rsidR="00500337" w:rsidRPr="00441C3F" w:rsidRDefault="00500337" w:rsidP="001B5C90">
            <w:pPr>
              <w:rPr>
                <w:i/>
              </w:rPr>
            </w:pPr>
            <w:r>
              <w:rPr>
                <w:i/>
              </w:rPr>
              <w:t>ARTG number:</w:t>
            </w:r>
          </w:p>
        </w:tc>
        <w:tc>
          <w:tcPr>
            <w:tcW w:w="6307" w:type="dxa"/>
          </w:tcPr>
          <w:p w:rsidR="00500337" w:rsidRPr="00441C3F" w:rsidRDefault="0047516F" w:rsidP="0047516F">
            <w:r w:rsidRPr="0047516F">
              <w:t>291923</w:t>
            </w:r>
          </w:p>
        </w:tc>
      </w:tr>
      <w:tr w:rsidR="003735BC" w:rsidRPr="003D1E62" w:rsidTr="003735BC">
        <w:tc>
          <w:tcPr>
            <w:tcW w:w="2907" w:type="dxa"/>
          </w:tcPr>
          <w:p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rsidR="003735BC" w:rsidRDefault="006912D4" w:rsidP="003735BC">
            <w:r>
              <w:t>Yes</w:t>
            </w:r>
          </w:p>
          <w:p w:rsidR="003735BC" w:rsidRPr="00487162" w:rsidRDefault="003735BC" w:rsidP="0047516F">
            <w:r>
              <w:t xml:space="preserve">This product will remain in the scheme for 5 years, starting on the date the product is first supplied in </w:t>
            </w:r>
            <w:r w:rsidR="0047516F">
              <w:t>Australia</w:t>
            </w:r>
            <w:r w:rsidR="000C6F65">
              <w:t>.</w:t>
            </w:r>
          </w:p>
        </w:tc>
      </w:tr>
      <w:tr w:rsidR="008E7846" w:rsidRPr="00487162" w:rsidTr="00BF1190">
        <w:tc>
          <w:tcPr>
            <w:tcW w:w="2907" w:type="dxa"/>
          </w:tcPr>
          <w:p w:rsidR="008E7846" w:rsidRPr="00487162" w:rsidRDefault="00A92B53" w:rsidP="00E45619">
            <w:pPr>
              <w:rPr>
                <w:i/>
              </w:rPr>
            </w:pPr>
            <w:r>
              <w:rPr>
                <w:i/>
              </w:rPr>
              <w:t>Active ingredients</w:t>
            </w:r>
            <w:r w:rsidR="001B5C90">
              <w:rPr>
                <w:i/>
              </w:rPr>
              <w:t>:</w:t>
            </w:r>
          </w:p>
        </w:tc>
        <w:tc>
          <w:tcPr>
            <w:tcW w:w="6307" w:type="dxa"/>
          </w:tcPr>
          <w:p w:rsidR="008E7846" w:rsidRPr="00487162" w:rsidRDefault="00A332A9" w:rsidP="0047516F">
            <w:r w:rsidRPr="00A332A9">
              <w:t>Bictegravir (as sodium) / Emtricitabine / Tenofovir alafenamide (as fumarate)</w:t>
            </w:r>
          </w:p>
        </w:tc>
      </w:tr>
      <w:tr w:rsidR="008E7846" w:rsidRPr="00487162" w:rsidTr="00BF1190">
        <w:tc>
          <w:tcPr>
            <w:tcW w:w="2907" w:type="dxa"/>
          </w:tcPr>
          <w:p w:rsidR="008E7846" w:rsidRPr="00487162" w:rsidRDefault="008E7846" w:rsidP="001B5C90">
            <w:pPr>
              <w:rPr>
                <w:i/>
              </w:rPr>
            </w:pPr>
            <w:r w:rsidRPr="00487162">
              <w:rPr>
                <w:i/>
              </w:rPr>
              <w:t>Product</w:t>
            </w:r>
            <w:r w:rsidR="00A92B53">
              <w:rPr>
                <w:i/>
              </w:rPr>
              <w:t xml:space="preserve"> name</w:t>
            </w:r>
            <w:r w:rsidR="001B5C90">
              <w:rPr>
                <w:i/>
              </w:rPr>
              <w:t>:</w:t>
            </w:r>
          </w:p>
        </w:tc>
        <w:tc>
          <w:tcPr>
            <w:tcW w:w="6307" w:type="dxa"/>
          </w:tcPr>
          <w:p w:rsidR="008E7846" w:rsidRPr="00487162" w:rsidRDefault="0047516F" w:rsidP="0047516F">
            <w:r>
              <w:t>Biktarvy</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47516F" w:rsidRDefault="0047516F" w:rsidP="00E45619">
            <w:r w:rsidRPr="0047516F">
              <w:t>Gilead Sciences</w:t>
            </w:r>
          </w:p>
          <w:p w:rsidR="006912D4" w:rsidRDefault="0047516F" w:rsidP="0047516F">
            <w:r w:rsidRPr="0047516F">
              <w:t xml:space="preserve">Level 6, 417 St </w:t>
            </w:r>
            <w:r w:rsidR="006912D4">
              <w:t>Kilda Road</w:t>
            </w:r>
          </w:p>
          <w:p w:rsidR="008E7846" w:rsidRPr="00487162" w:rsidRDefault="0047516F" w:rsidP="002578FC">
            <w:r>
              <w:t xml:space="preserve">Melbourne VIC </w:t>
            </w:r>
            <w:r w:rsidR="002578FC">
              <w:t>3004</w:t>
            </w:r>
          </w:p>
        </w:tc>
      </w:tr>
      <w:tr w:rsidR="008E7846" w:rsidRPr="00487162" w:rsidTr="00BF1190">
        <w:tc>
          <w:tcPr>
            <w:tcW w:w="2907" w:type="dxa"/>
          </w:tcPr>
          <w:p w:rsidR="008E7846" w:rsidRPr="00487162" w:rsidRDefault="00A92B53" w:rsidP="00E45619">
            <w:pPr>
              <w:rPr>
                <w:i/>
              </w:rPr>
            </w:pPr>
            <w:r>
              <w:rPr>
                <w:i/>
              </w:rPr>
              <w:t>Dose form</w:t>
            </w:r>
            <w:r w:rsidR="001B5C90">
              <w:rPr>
                <w:i/>
              </w:rPr>
              <w:t>:</w:t>
            </w:r>
          </w:p>
        </w:tc>
        <w:tc>
          <w:tcPr>
            <w:tcW w:w="6307" w:type="dxa"/>
          </w:tcPr>
          <w:p w:rsidR="008E7846" w:rsidRPr="00487162" w:rsidRDefault="001411C5" w:rsidP="0047516F">
            <w:r>
              <w:t xml:space="preserve">Fixed dose combination film </w:t>
            </w:r>
            <w:r w:rsidR="0047516F">
              <w:t>coated tablet</w:t>
            </w:r>
            <w:r w:rsidR="00380451">
              <w:t>s</w:t>
            </w:r>
          </w:p>
        </w:tc>
      </w:tr>
      <w:tr w:rsidR="008E7846" w:rsidRPr="00487162" w:rsidTr="00BF1190">
        <w:tc>
          <w:tcPr>
            <w:tcW w:w="2907" w:type="dxa"/>
          </w:tcPr>
          <w:p w:rsidR="008E7846" w:rsidRPr="00487162" w:rsidRDefault="006912D4" w:rsidP="00E45619">
            <w:pPr>
              <w:rPr>
                <w:i/>
              </w:rPr>
            </w:pPr>
            <w:r>
              <w:rPr>
                <w:i/>
              </w:rPr>
              <w:t>Strength:</w:t>
            </w:r>
          </w:p>
        </w:tc>
        <w:tc>
          <w:tcPr>
            <w:tcW w:w="6307" w:type="dxa"/>
          </w:tcPr>
          <w:p w:rsidR="008E7846" w:rsidRPr="00487162" w:rsidRDefault="0047516F" w:rsidP="0032378D">
            <w:r w:rsidRPr="0047516F">
              <w:t xml:space="preserve">Bictegravir </w:t>
            </w:r>
            <w:r w:rsidR="00782831">
              <w:t>50 mg</w:t>
            </w:r>
            <w:r w:rsidRPr="0047516F">
              <w:t xml:space="preserve">/Emtricitabine 200mg/Tenofovir alafenamide </w:t>
            </w:r>
            <w:r w:rsidR="00782831">
              <w:t>25 mg</w:t>
            </w:r>
          </w:p>
        </w:tc>
      </w:tr>
      <w:tr w:rsidR="008E7846" w:rsidRPr="00487162" w:rsidTr="00BF1190">
        <w:tc>
          <w:tcPr>
            <w:tcW w:w="2907" w:type="dxa"/>
          </w:tcPr>
          <w:p w:rsidR="008E7846" w:rsidRPr="00487162" w:rsidRDefault="00A92B53" w:rsidP="00E45619">
            <w:pPr>
              <w:rPr>
                <w:i/>
              </w:rPr>
            </w:pPr>
            <w:r>
              <w:rPr>
                <w:i/>
              </w:rPr>
              <w:t>Container</w:t>
            </w:r>
            <w:r w:rsidR="008E7846" w:rsidRPr="00487162">
              <w:rPr>
                <w:i/>
              </w:rPr>
              <w:t>:</w:t>
            </w:r>
          </w:p>
        </w:tc>
        <w:tc>
          <w:tcPr>
            <w:tcW w:w="6307" w:type="dxa"/>
          </w:tcPr>
          <w:p w:rsidR="008E7846" w:rsidRPr="00487162" w:rsidRDefault="00A332A9" w:rsidP="00380451">
            <w:r w:rsidRPr="00A332A9">
              <w:t xml:space="preserve">100 mL </w:t>
            </w:r>
            <w:r w:rsidR="009D7B64">
              <w:t>h</w:t>
            </w:r>
            <w:r w:rsidR="009D7B64" w:rsidRPr="0024006C">
              <w:t xml:space="preserve">igh-density polyethylene </w:t>
            </w:r>
            <w:r w:rsidR="009D7B64">
              <w:t>(</w:t>
            </w:r>
            <w:r w:rsidRPr="00A332A9">
              <w:t>HDPE</w:t>
            </w:r>
            <w:r w:rsidR="009D7B64">
              <w:t>)</w:t>
            </w:r>
            <w:r w:rsidRPr="00A332A9">
              <w:t xml:space="preserve"> bottle with child resistant screw cap</w:t>
            </w:r>
          </w:p>
        </w:tc>
      </w:tr>
      <w:tr w:rsidR="008E7846" w:rsidRPr="00487162" w:rsidTr="00BF1190">
        <w:tc>
          <w:tcPr>
            <w:tcW w:w="2907" w:type="dxa"/>
          </w:tcPr>
          <w:p w:rsidR="008E7846" w:rsidRPr="00487162" w:rsidRDefault="00A92B53" w:rsidP="00A92B53">
            <w:pPr>
              <w:rPr>
                <w:i/>
              </w:rPr>
            </w:pPr>
            <w:r>
              <w:rPr>
                <w:i/>
              </w:rPr>
              <w:t>Pack size:</w:t>
            </w:r>
          </w:p>
        </w:tc>
        <w:tc>
          <w:tcPr>
            <w:tcW w:w="6307" w:type="dxa"/>
          </w:tcPr>
          <w:p w:rsidR="008E7846" w:rsidRPr="00487162" w:rsidRDefault="00A332A9" w:rsidP="00E45619">
            <w:r w:rsidRPr="00A332A9">
              <w:t>30 tablets per bottle</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380451" w:rsidRPr="006912D4" w:rsidRDefault="00380451" w:rsidP="00380451">
            <w:pPr>
              <w:rPr>
                <w:i/>
              </w:rPr>
            </w:pPr>
            <w:r w:rsidRPr="006912D4">
              <w:rPr>
                <w:i/>
              </w:rPr>
              <w:t xml:space="preserve">Biktarvy is indicated for the treatment of HIV-1 infection in adults who are antiretroviral therapy (ART)-naïve or to replace the current antiretroviral regimen in those who are virologically-suppressed (HIV-1 RNA </w:t>
            </w:r>
            <w:r w:rsidR="00251457">
              <w:rPr>
                <w:i/>
              </w:rPr>
              <w:t xml:space="preserve">&lt; </w:t>
            </w:r>
            <w:r w:rsidRPr="006912D4">
              <w:rPr>
                <w:i/>
              </w:rPr>
              <w:t>50 copies per mL) on a stable antiretroviral regimen at the start of therapy with no history of treatment failure, and no known substitutions associated with resistance to the individual components of Biktarvy</w:t>
            </w:r>
          </w:p>
        </w:tc>
      </w:tr>
      <w:tr w:rsidR="008E7846" w:rsidRPr="00487162" w:rsidTr="00BF1190">
        <w:tc>
          <w:tcPr>
            <w:tcW w:w="2907" w:type="dxa"/>
          </w:tcPr>
          <w:p w:rsidR="008E7846" w:rsidRPr="00487162" w:rsidRDefault="006912D4" w:rsidP="00E45619">
            <w:pPr>
              <w:rPr>
                <w:i/>
              </w:rPr>
            </w:pPr>
            <w:r>
              <w:rPr>
                <w:i/>
              </w:rPr>
              <w:t>Route</w:t>
            </w:r>
            <w:r w:rsidR="008E7846" w:rsidRPr="00487162">
              <w:rPr>
                <w:i/>
              </w:rPr>
              <w:t xml:space="preserve"> of administration:</w:t>
            </w:r>
          </w:p>
        </w:tc>
        <w:tc>
          <w:tcPr>
            <w:tcW w:w="6307" w:type="dxa"/>
          </w:tcPr>
          <w:p w:rsidR="008E7846" w:rsidRPr="00487162" w:rsidRDefault="00380451"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1802A3" w:rsidP="00E45619">
            <w:r w:rsidRPr="001802A3">
              <w:t>One tablet daily with or without food</w:t>
            </w:r>
          </w:p>
        </w:tc>
      </w:tr>
    </w:tbl>
    <w:p w:rsidR="008E7846" w:rsidRDefault="008E7846" w:rsidP="008E7846">
      <w:pPr>
        <w:pStyle w:val="Heading3"/>
      </w:pPr>
      <w:bookmarkStart w:id="13" w:name="_Toc247691503"/>
      <w:bookmarkStart w:id="14" w:name="_Toc314842484"/>
      <w:bookmarkStart w:id="15" w:name="_Toc20133960"/>
      <w:r>
        <w:lastRenderedPageBreak/>
        <w:t>Product background</w:t>
      </w:r>
      <w:bookmarkEnd w:id="13"/>
      <w:bookmarkEnd w:id="14"/>
      <w:bookmarkEnd w:id="15"/>
    </w:p>
    <w:p w:rsidR="008E7846" w:rsidRDefault="00940A89" w:rsidP="00940A89">
      <w:r w:rsidRPr="00940A89">
        <w:t>This AusPAR describes the applicat</w:t>
      </w:r>
      <w:r w:rsidR="001802A3">
        <w:t>ion by the sponsor to register the new fixed dose combination</w:t>
      </w:r>
      <w:r w:rsidR="00EC0F9F">
        <w:t>;</w:t>
      </w:r>
      <w:r w:rsidR="001802A3">
        <w:t xml:space="preserve"> Biktarvy </w:t>
      </w:r>
      <w:r w:rsidR="001802A3" w:rsidRPr="001802A3">
        <w:t xml:space="preserve">containing </w:t>
      </w:r>
      <w:r w:rsidR="001802A3">
        <w:t>three</w:t>
      </w:r>
      <w:r w:rsidR="001802A3" w:rsidRPr="001802A3">
        <w:t xml:space="preserve"> active ingredients </w:t>
      </w:r>
      <w:r w:rsidR="001802A3">
        <w:t>(</w:t>
      </w:r>
      <w:r w:rsidR="001802A3" w:rsidRPr="001802A3">
        <w:t>bictegravir</w:t>
      </w:r>
      <w:r w:rsidR="001802A3">
        <w:t>,</w:t>
      </w:r>
      <w:r w:rsidR="001802A3" w:rsidRPr="001802A3">
        <w:t xml:space="preserve"> a </w:t>
      </w:r>
      <w:r w:rsidR="001802A3">
        <w:t>n</w:t>
      </w:r>
      <w:r w:rsidR="001802A3" w:rsidRPr="001802A3">
        <w:t xml:space="preserve">ew </w:t>
      </w:r>
      <w:r w:rsidR="001802A3">
        <w:t>c</w:t>
      </w:r>
      <w:r w:rsidR="001802A3" w:rsidRPr="001802A3">
        <w:t xml:space="preserve">hemical </w:t>
      </w:r>
      <w:r w:rsidR="001802A3">
        <w:t>e</w:t>
      </w:r>
      <w:r w:rsidR="001802A3" w:rsidRPr="001802A3">
        <w:t>ntity</w:t>
      </w:r>
      <w:r w:rsidR="001802A3">
        <w:t>,</w:t>
      </w:r>
      <w:r w:rsidR="001802A3" w:rsidRPr="001802A3">
        <w:t xml:space="preserve"> and </w:t>
      </w:r>
      <w:r w:rsidR="001802A3">
        <w:t>two</w:t>
      </w:r>
      <w:r w:rsidR="001802A3" w:rsidRPr="001802A3">
        <w:t xml:space="preserve"> active ingredients that are already on the </w:t>
      </w:r>
      <w:r w:rsidR="0032378D">
        <w:t>Australian Register of Therapeutic Goods (</w:t>
      </w:r>
      <w:r w:rsidR="001802A3" w:rsidRPr="001802A3">
        <w:t>ARTG</w:t>
      </w:r>
      <w:r w:rsidR="0032378D">
        <w:t>)</w:t>
      </w:r>
      <w:r w:rsidR="001B5D97">
        <w:t>,</w:t>
      </w:r>
      <w:r w:rsidR="001802A3" w:rsidRPr="001802A3">
        <w:t xml:space="preserve"> emtricitabine </w:t>
      </w:r>
      <w:r w:rsidR="001802A3">
        <w:t xml:space="preserve">and tenofovir alafenamide) </w:t>
      </w:r>
      <w:r w:rsidRPr="00940A89">
        <w:t>for the following indication</w:t>
      </w:r>
      <w:r w:rsidR="001802A3">
        <w:t>:</w:t>
      </w:r>
    </w:p>
    <w:p w:rsidR="001B5D97" w:rsidRPr="00EB5BEF" w:rsidRDefault="001802A3" w:rsidP="00EB5BEF">
      <w:pPr>
        <w:ind w:left="720"/>
        <w:rPr>
          <w:i/>
        </w:rPr>
      </w:pPr>
      <w:r w:rsidRPr="00EB5BEF">
        <w:rPr>
          <w:i/>
        </w:rPr>
        <w:t>Biktarv</w:t>
      </w:r>
      <w:r w:rsidR="001B5D97" w:rsidRPr="00EB5BEF">
        <w:rPr>
          <w:i/>
        </w:rPr>
        <w:t>y is indicated for the treatment of adults infected with human immunodeficiency virus-1 (HIV-1) without any known mutations associated with resistance to the individual components of Biktarvy. Biktarvy is also indicated for the treatment of chronic hepatitis B in adults co</w:t>
      </w:r>
      <w:r w:rsidR="00EC0F9F">
        <w:rPr>
          <w:i/>
        </w:rPr>
        <w:t>-</w:t>
      </w:r>
      <w:r w:rsidR="001B5D97" w:rsidRPr="00EB5BEF">
        <w:rPr>
          <w:i/>
        </w:rPr>
        <w:t>infected with HIV-1 and hepatitis B.</w:t>
      </w:r>
    </w:p>
    <w:p w:rsidR="001E27FD" w:rsidRDefault="001B5D97" w:rsidP="001802A3">
      <w:r>
        <w:rPr>
          <w:lang w:eastAsia="ja-JP"/>
        </w:rPr>
        <w:t>Biktarvy</w:t>
      </w:r>
      <w:r w:rsidR="001E27FD" w:rsidRPr="00A41D8E">
        <w:rPr>
          <w:lang w:eastAsia="ja-JP"/>
        </w:rPr>
        <w:t xml:space="preserve"> is a </w:t>
      </w:r>
      <w:r w:rsidR="00EC0F9F">
        <w:rPr>
          <w:lang w:eastAsia="ja-JP"/>
        </w:rPr>
        <w:t>fixed dose combination (</w:t>
      </w:r>
      <w:r w:rsidR="001E27FD" w:rsidRPr="00A41D8E">
        <w:rPr>
          <w:lang w:eastAsia="ja-JP"/>
        </w:rPr>
        <w:t>FDC</w:t>
      </w:r>
      <w:r w:rsidR="00EC0F9F">
        <w:rPr>
          <w:lang w:eastAsia="ja-JP"/>
        </w:rPr>
        <w:t>)</w:t>
      </w:r>
      <w:r w:rsidR="001E27FD" w:rsidRPr="00A41D8E">
        <w:rPr>
          <w:lang w:eastAsia="ja-JP"/>
        </w:rPr>
        <w:t xml:space="preserve"> tablet comprising </w:t>
      </w:r>
      <w:r w:rsidR="00A26F7F">
        <w:t>bictegravir (BIC), emtricitabine (FTC</w:t>
      </w:r>
      <w:r w:rsidR="001E27FD" w:rsidRPr="00A41D8E">
        <w:t xml:space="preserve">), and tenofovir alafenamide (TAF). Bictegravir is a novel integrase strand-transfer inhibitor (INSTI) for the treatment of </w:t>
      </w:r>
      <w:r w:rsidR="00E45E80">
        <w:rPr>
          <w:rFonts w:cstheme="minorHAnsi"/>
        </w:rPr>
        <w:t>Hu</w:t>
      </w:r>
      <w:r w:rsidR="004E4AAB">
        <w:rPr>
          <w:rFonts w:cstheme="minorHAnsi"/>
        </w:rPr>
        <w:t>man immunodeficiency virus type </w:t>
      </w:r>
      <w:r w:rsidR="00E45E80">
        <w:rPr>
          <w:rFonts w:cstheme="minorHAnsi"/>
        </w:rPr>
        <w:t>1 (</w:t>
      </w:r>
      <w:r w:rsidR="001E27FD" w:rsidRPr="00A41D8E">
        <w:t>HIV-1</w:t>
      </w:r>
      <w:r w:rsidR="00E45E80">
        <w:t>)</w:t>
      </w:r>
      <w:r w:rsidR="001E27FD" w:rsidRPr="00A41D8E">
        <w:t xml:space="preserve"> infection. Emtricitabine and tenofovir alafenamide are nucleoside analogue reverse transcriptase inhibitors (NRTI), recommended as backbone therapy for use in patients with HIV-1 infection who are HIV-1 anti</w:t>
      </w:r>
      <w:r w:rsidR="00EC0F9F">
        <w:t>retroviral therapy (ART</w:t>
      </w:r>
      <w:r w:rsidR="00A26F7F">
        <w:t xml:space="preserve">) </w:t>
      </w:r>
      <w:r w:rsidR="00EC0F9F">
        <w:t>naïve.</w:t>
      </w:r>
    </w:p>
    <w:p w:rsidR="00C53A94" w:rsidRPr="00087507" w:rsidRDefault="001802A3" w:rsidP="008243E0">
      <w:r>
        <w:t xml:space="preserve">Drug treatment </w:t>
      </w:r>
      <w:r w:rsidR="00DB1F06">
        <w:t xml:space="preserve">for HIV </w:t>
      </w:r>
      <w:r>
        <w:t xml:space="preserve">is directed at adults and children with known infections to suppress viral replication; to allow CD4 </w:t>
      </w:r>
      <w:r w:rsidR="00A26F7F">
        <w:t xml:space="preserve">cell </w:t>
      </w:r>
      <w:r>
        <w:t>counts to increase; and to prevent disease progression. Prophylaxis is also used in high risk groups, in particular for the prevention o</w:t>
      </w:r>
      <w:r w:rsidR="008243E0">
        <w:t>f mother to child transmission.</w:t>
      </w:r>
    </w:p>
    <w:p w:rsidR="00D32F32" w:rsidRPr="00D32F32" w:rsidRDefault="001802A3" w:rsidP="001802A3">
      <w:r>
        <w:t xml:space="preserve">The recommended initial regimen for most patients is dual NRTIs plus an INSTI. Other regimens include dual NRTIs with a </w:t>
      </w:r>
      <w:r w:rsidR="00CD4AC6">
        <w:t>non-nucleoside reverse transcriptase inhibitor (</w:t>
      </w:r>
      <w:r>
        <w:t>NNRTI</w:t>
      </w:r>
      <w:r w:rsidR="00CD4AC6">
        <w:t>)</w:t>
      </w:r>
      <w:r>
        <w:t xml:space="preserve"> or a boosted PI</w:t>
      </w:r>
      <w:r w:rsidR="004562C2">
        <w:t>.</w:t>
      </w:r>
      <w:bookmarkStart w:id="16" w:name="_Ref11929046"/>
      <w:r w:rsidR="00FD4697">
        <w:rPr>
          <w:rStyle w:val="FootnoteReference"/>
        </w:rPr>
        <w:footnoteReference w:id="1"/>
      </w:r>
      <w:bookmarkEnd w:id="16"/>
      <w:r>
        <w:t xml:space="preserve"> Simpler regimens are recommended in special circumstances such as pregnancy or </w:t>
      </w:r>
      <w:r w:rsidR="002D5055">
        <w:t>pre-exposure prophylaxis (</w:t>
      </w:r>
      <w:r>
        <w:t>PrEP</w:t>
      </w:r>
      <w:r w:rsidR="002D5055">
        <w:t>)</w:t>
      </w:r>
      <w:r w:rsidR="001411C5">
        <w:t xml:space="preserve"> in high </w:t>
      </w:r>
      <w:r>
        <w:t>risk populations. Many ART options are available and selection depends on factors including ease of administration, adverse events, dru</w:t>
      </w:r>
      <w:r w:rsidR="00D273C7">
        <w:t>g interactions, and resistance.</w:t>
      </w:r>
    </w:p>
    <w:p w:rsidR="00940A89" w:rsidRDefault="001802A3" w:rsidP="001802A3">
      <w:r>
        <w:t xml:space="preserve">Because </w:t>
      </w:r>
      <w:r w:rsidR="00A26F7F">
        <w:t>acquired immunodeficiency syndrome (</w:t>
      </w:r>
      <w:r>
        <w:t>AIDS</w:t>
      </w:r>
      <w:r w:rsidR="00A26F7F">
        <w:t xml:space="preserve">) </w:t>
      </w:r>
      <w:r>
        <w:t>related mortality and morbidity are now uncommon, optimal ART therapy is now directed towards tolerability, long-term safety, simple treatment regimens to enhance compl</w:t>
      </w:r>
      <w:r w:rsidR="001411C5">
        <w:t xml:space="preserve">iance, </w:t>
      </w:r>
      <w:r w:rsidR="008243E0">
        <w:t xml:space="preserve">improve </w:t>
      </w:r>
      <w:r w:rsidR="00D273C7">
        <w:t xml:space="preserve">lower </w:t>
      </w:r>
      <w:r w:rsidR="008243E0">
        <w:t xml:space="preserve">occurrence of </w:t>
      </w:r>
      <w:r w:rsidR="001411C5">
        <w:t>drug resistance, and non-</w:t>
      </w:r>
      <w:r>
        <w:t>A</w:t>
      </w:r>
      <w:r w:rsidR="001411C5">
        <w:t>IDS-related co</w:t>
      </w:r>
      <w:r>
        <w:t xml:space="preserve">morbidities. </w:t>
      </w:r>
      <w:r w:rsidR="00D32F32">
        <w:t>Biktarvy</w:t>
      </w:r>
      <w:r>
        <w:t xml:space="preserve"> has been developed to comply with accepted treatment guidelines, with the expectation of high rates of virologic supp</w:t>
      </w:r>
      <w:r w:rsidR="001411C5">
        <w:t xml:space="preserve">ression, low rates of treatment </w:t>
      </w:r>
      <w:r>
        <w:t>emergent resistance, and good tolerability. One FDC tablet taken once daily offers optimal treatment compliance.</w:t>
      </w:r>
    </w:p>
    <w:p w:rsidR="008E7846" w:rsidRPr="003F31A2" w:rsidRDefault="00386150" w:rsidP="008E7846">
      <w:pPr>
        <w:pStyle w:val="Heading3"/>
      </w:pPr>
      <w:bookmarkStart w:id="17" w:name="_Toc314842485"/>
      <w:bookmarkStart w:id="18" w:name="_Toc247691504"/>
      <w:bookmarkStart w:id="19" w:name="_Toc20133961"/>
      <w:r>
        <w:t>Regulatory s</w:t>
      </w:r>
      <w:r w:rsidR="008E7846">
        <w:t>tatus</w:t>
      </w:r>
      <w:bookmarkEnd w:id="17"/>
      <w:bookmarkEnd w:id="18"/>
      <w:bookmarkEnd w:id="19"/>
    </w:p>
    <w:p w:rsidR="00940A89" w:rsidRDefault="00940A89" w:rsidP="00940A89">
      <w:bookmarkStart w:id="20" w:name="_Toc247691505"/>
      <w:bookmarkStart w:id="21" w:name="_Toc314842486"/>
      <w:r w:rsidRPr="00940A89">
        <w:t>The product received initial registration on the Australian Register</w:t>
      </w:r>
      <w:r w:rsidR="00BF041F">
        <w:t xml:space="preserve"> of Therapeutic Goods (ARTG) on 12 July 2018.</w:t>
      </w:r>
    </w:p>
    <w:p w:rsidR="00D273C7" w:rsidRPr="00940A89" w:rsidRDefault="00D273C7" w:rsidP="00940A89">
      <w:r w:rsidRPr="001047A5">
        <w:t>This is a new application for a FDC product containing bictegravir, a new drug substance</w:t>
      </w:r>
      <w:r>
        <w:t xml:space="preserve"> and </w:t>
      </w:r>
      <w:r w:rsidRPr="001047A5">
        <w:t xml:space="preserve">FTC and TAF </w:t>
      </w:r>
      <w:r>
        <w:t xml:space="preserve">which </w:t>
      </w:r>
      <w:r w:rsidRPr="001047A5">
        <w:t xml:space="preserve">are already registered in multiple </w:t>
      </w:r>
      <w:r w:rsidR="0032378D">
        <w:t xml:space="preserve">human </w:t>
      </w:r>
      <w:r w:rsidR="00E45E80">
        <w:t>immunodeficiency virus</w:t>
      </w:r>
      <w:r w:rsidR="00E45E80" w:rsidRPr="001047A5">
        <w:t xml:space="preserve"> </w:t>
      </w:r>
      <w:r w:rsidR="00E45E80">
        <w:t>(</w:t>
      </w:r>
      <w:r w:rsidRPr="001047A5">
        <w:t>HIV</w:t>
      </w:r>
      <w:r w:rsidR="00E45E80">
        <w:t>)</w:t>
      </w:r>
      <w:r w:rsidRPr="001047A5">
        <w:t xml:space="preserve"> combination products. Emtricitabine was first approved in Australia in December 2004 as Emtriva. Tenofovir alafenamide was approved in Australia as part of the FDC product Genvoya in January 2016. At a pr</w:t>
      </w:r>
      <w:r>
        <w:t>e-</w:t>
      </w:r>
      <w:r w:rsidRPr="001047A5">
        <w:t>submission meeting on 26</w:t>
      </w:r>
      <w:r w:rsidR="0032378D">
        <w:t> </w:t>
      </w:r>
      <w:r w:rsidRPr="001047A5">
        <w:t>April 2017, the TGA confirmed that baseline information relating to FTC and TAF would no</w:t>
      </w:r>
      <w:r>
        <w:t>t need to be evaluated or cross-</w:t>
      </w:r>
      <w:r w:rsidRPr="001047A5">
        <w:t>referenced.</w:t>
      </w:r>
    </w:p>
    <w:p w:rsidR="001047A5" w:rsidRDefault="00940A89" w:rsidP="00940A89">
      <w:r w:rsidRPr="00940A89">
        <w:lastRenderedPageBreak/>
        <w:t>At the time the TGA</w:t>
      </w:r>
      <w:r w:rsidR="00833633">
        <w:t xml:space="preserve"> considered this application, </w:t>
      </w:r>
      <w:r w:rsidRPr="00940A89">
        <w:t>similar application</w:t>
      </w:r>
      <w:r w:rsidR="00833633">
        <w:t>s</w:t>
      </w:r>
      <w:r w:rsidRPr="00940A89">
        <w:t xml:space="preserve"> </w:t>
      </w:r>
      <w:r w:rsidR="00833633">
        <w:t xml:space="preserve">were </w:t>
      </w:r>
      <w:r w:rsidRPr="00940A89">
        <w:t>under co</w:t>
      </w:r>
      <w:r>
        <w:t xml:space="preserve">nsideration </w:t>
      </w:r>
      <w:r w:rsidR="00D273C7">
        <w:t>or approved in the countries detailed in Table 1.</w:t>
      </w:r>
      <w:r w:rsidR="001047A5" w:rsidRPr="001047A5">
        <w:t xml:space="preserve"> The Australian submission is based on the same studies and data contained in the US and EU submissions.</w:t>
      </w:r>
    </w:p>
    <w:p w:rsidR="00D273C7" w:rsidRDefault="00D273C7" w:rsidP="00D273C7">
      <w:pPr>
        <w:pStyle w:val="TableTitle"/>
      </w:pPr>
      <w:r>
        <w:t xml:space="preserve">Table 1: International </w:t>
      </w:r>
      <w:r w:rsidR="002D05A8">
        <w:t>regulatory status</w:t>
      </w:r>
    </w:p>
    <w:tbl>
      <w:tblPr>
        <w:tblStyle w:val="TableTGAblue2"/>
        <w:tblW w:w="0" w:type="auto"/>
        <w:tblLook w:val="04A0" w:firstRow="1" w:lastRow="0" w:firstColumn="1" w:lastColumn="0" w:noHBand="0" w:noVBand="1"/>
      </w:tblPr>
      <w:tblGrid>
        <w:gridCol w:w="1809"/>
        <w:gridCol w:w="2977"/>
        <w:gridCol w:w="3934"/>
      </w:tblGrid>
      <w:tr w:rsidR="00D273C7" w:rsidRPr="00D273C7" w:rsidTr="00D27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273C7" w:rsidRPr="00D273C7" w:rsidRDefault="00D273C7" w:rsidP="00D273C7">
            <w:pPr>
              <w:pStyle w:val="TableTitle"/>
              <w:keepNext w:val="0"/>
              <w:ind w:left="0" w:right="0"/>
              <w:rPr>
                <w:b/>
                <w:sz w:val="20"/>
                <w:szCs w:val="20"/>
              </w:rPr>
            </w:pPr>
            <w:r w:rsidRPr="00D273C7">
              <w:rPr>
                <w:b/>
                <w:sz w:val="20"/>
                <w:szCs w:val="20"/>
              </w:rPr>
              <w:t>Country</w:t>
            </w:r>
          </w:p>
        </w:tc>
        <w:tc>
          <w:tcPr>
            <w:tcW w:w="2977" w:type="dxa"/>
          </w:tcPr>
          <w:p w:rsidR="00D273C7" w:rsidRPr="00D273C7" w:rsidRDefault="00D273C7" w:rsidP="00D273C7">
            <w:pPr>
              <w:pStyle w:val="TableTitle"/>
              <w:keepNext w:val="0"/>
              <w:ind w:left="0" w:right="0"/>
              <w:cnfStyle w:val="100000000000" w:firstRow="1" w:lastRow="0" w:firstColumn="0" w:lastColumn="0" w:oddVBand="0" w:evenVBand="0" w:oddHBand="0" w:evenHBand="0" w:firstRowFirstColumn="0" w:firstRowLastColumn="0" w:lastRowFirstColumn="0" w:lastRowLastColumn="0"/>
              <w:rPr>
                <w:b/>
                <w:sz w:val="20"/>
                <w:szCs w:val="20"/>
              </w:rPr>
            </w:pPr>
            <w:r w:rsidRPr="00D273C7">
              <w:rPr>
                <w:b/>
                <w:sz w:val="20"/>
                <w:szCs w:val="20"/>
              </w:rPr>
              <w:t>Date(s)</w:t>
            </w:r>
          </w:p>
        </w:tc>
        <w:tc>
          <w:tcPr>
            <w:tcW w:w="3934" w:type="dxa"/>
          </w:tcPr>
          <w:p w:rsidR="00D273C7" w:rsidRPr="00D273C7" w:rsidRDefault="00D273C7" w:rsidP="00D273C7">
            <w:pPr>
              <w:pStyle w:val="TableTitle"/>
              <w:keepNext w:val="0"/>
              <w:ind w:left="0" w:right="0"/>
              <w:cnfStyle w:val="100000000000" w:firstRow="1" w:lastRow="0" w:firstColumn="0" w:lastColumn="0" w:oddVBand="0" w:evenVBand="0" w:oddHBand="0" w:evenHBand="0" w:firstRowFirstColumn="0" w:firstRowLastColumn="0" w:lastRowFirstColumn="0" w:lastRowLastColumn="0"/>
              <w:rPr>
                <w:b/>
                <w:sz w:val="20"/>
                <w:szCs w:val="20"/>
              </w:rPr>
            </w:pPr>
            <w:r w:rsidRPr="00D273C7">
              <w:rPr>
                <w:b/>
                <w:sz w:val="20"/>
                <w:szCs w:val="20"/>
              </w:rPr>
              <w:t>Approved indications</w:t>
            </w:r>
          </w:p>
        </w:tc>
      </w:tr>
      <w:tr w:rsidR="00D273C7" w:rsidRPr="00D273C7" w:rsidTr="00D273C7">
        <w:tc>
          <w:tcPr>
            <w:cnfStyle w:val="001000000000" w:firstRow="0" w:lastRow="0" w:firstColumn="1" w:lastColumn="0" w:oddVBand="0" w:evenVBand="0" w:oddHBand="0" w:evenHBand="0" w:firstRowFirstColumn="0" w:firstRowLastColumn="0" w:lastRowFirstColumn="0" w:lastRowLastColumn="0"/>
            <w:tcW w:w="1809" w:type="dxa"/>
          </w:tcPr>
          <w:p w:rsidR="00D273C7" w:rsidRPr="00D273C7" w:rsidRDefault="00D273C7" w:rsidP="00D273C7">
            <w:pPr>
              <w:ind w:left="0" w:right="0"/>
              <w:rPr>
                <w:sz w:val="20"/>
                <w:szCs w:val="20"/>
              </w:rPr>
            </w:pPr>
            <w:r w:rsidRPr="00D273C7">
              <w:rPr>
                <w:sz w:val="20"/>
                <w:szCs w:val="20"/>
              </w:rPr>
              <w:t>USA</w:t>
            </w:r>
          </w:p>
        </w:tc>
        <w:tc>
          <w:tcPr>
            <w:tcW w:w="2977" w:type="dxa"/>
          </w:tcPr>
          <w:p w:rsidR="00D273C7" w:rsidRPr="00D273C7" w:rsidRDefault="00D273C7" w:rsidP="00D273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273C7">
              <w:rPr>
                <w:sz w:val="20"/>
                <w:szCs w:val="20"/>
              </w:rPr>
              <w:t>Submitted 16 June 2017, Approved 7 February 2018</w:t>
            </w:r>
          </w:p>
        </w:tc>
        <w:tc>
          <w:tcPr>
            <w:tcW w:w="3934" w:type="dxa"/>
          </w:tcPr>
          <w:p w:rsidR="00D273C7" w:rsidRPr="00D273C7" w:rsidRDefault="0032378D" w:rsidP="00D273C7">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0"/>
                <w:szCs w:val="20"/>
              </w:rPr>
            </w:pPr>
            <w:r w:rsidRPr="00D273C7">
              <w:rPr>
                <w:sz w:val="20"/>
                <w:szCs w:val="20"/>
              </w:rPr>
              <w:t>Biktarvy</w:t>
            </w:r>
            <w:r w:rsidR="00D273C7" w:rsidRPr="00D273C7">
              <w:rPr>
                <w:sz w:val="20"/>
                <w:szCs w:val="20"/>
              </w:rPr>
              <w:t xml:space="preserve"> is indicated as a complete regimen for the treatment of human immunodeficiency virus type 1 (HIV-1) infection in adults who have no antiretroviral treatment history or to replace the current antiretroviral regimen in those who are virologically-suppressed (HIV-1 RNA less than 50 copies per mL) on a stable antiretroviral regimen for at least 3 months with no history of treatment failure and no known substitutions associated with resistance to the individual components of </w:t>
            </w:r>
            <w:r w:rsidRPr="00D273C7">
              <w:rPr>
                <w:sz w:val="20"/>
                <w:szCs w:val="20"/>
              </w:rPr>
              <w:t>Biktarvy</w:t>
            </w:r>
            <w:r w:rsidRPr="00D273C7">
              <w:rPr>
                <w:rFonts w:ascii="Times New Roman" w:eastAsiaTheme="minorHAnsi" w:hAnsi="Times New Roman"/>
                <w:sz w:val="20"/>
                <w:szCs w:val="20"/>
              </w:rPr>
              <w:t>.</w:t>
            </w:r>
          </w:p>
        </w:tc>
      </w:tr>
      <w:tr w:rsidR="00D273C7" w:rsidRPr="00D273C7" w:rsidTr="00D273C7">
        <w:tc>
          <w:tcPr>
            <w:cnfStyle w:val="001000000000" w:firstRow="0" w:lastRow="0" w:firstColumn="1" w:lastColumn="0" w:oddVBand="0" w:evenVBand="0" w:oddHBand="0" w:evenHBand="0" w:firstRowFirstColumn="0" w:firstRowLastColumn="0" w:lastRowFirstColumn="0" w:lastRowLastColumn="0"/>
            <w:tcW w:w="1809" w:type="dxa"/>
          </w:tcPr>
          <w:p w:rsidR="00D273C7" w:rsidRPr="00D273C7" w:rsidRDefault="00D273C7" w:rsidP="00D273C7">
            <w:pPr>
              <w:ind w:left="0" w:right="0"/>
              <w:rPr>
                <w:sz w:val="20"/>
                <w:szCs w:val="20"/>
              </w:rPr>
            </w:pPr>
            <w:r w:rsidRPr="00D273C7">
              <w:rPr>
                <w:sz w:val="20"/>
                <w:szCs w:val="20"/>
              </w:rPr>
              <w:t>European Union (Centralised Procedure)</w:t>
            </w:r>
          </w:p>
        </w:tc>
        <w:tc>
          <w:tcPr>
            <w:tcW w:w="2977" w:type="dxa"/>
          </w:tcPr>
          <w:p w:rsidR="00D273C7" w:rsidRPr="00D273C7" w:rsidRDefault="00D273C7" w:rsidP="00D273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273C7">
              <w:rPr>
                <w:sz w:val="20"/>
                <w:szCs w:val="20"/>
              </w:rPr>
              <w:t>21 June 2017</w:t>
            </w:r>
          </w:p>
        </w:tc>
        <w:tc>
          <w:tcPr>
            <w:tcW w:w="3934" w:type="dxa"/>
          </w:tcPr>
          <w:p w:rsidR="00D273C7" w:rsidRPr="00D273C7" w:rsidRDefault="00D273C7" w:rsidP="00D273C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273C7">
              <w:rPr>
                <w:sz w:val="20"/>
                <w:szCs w:val="20"/>
              </w:rPr>
              <w:t>Approval pending</w:t>
            </w:r>
          </w:p>
        </w:tc>
      </w:tr>
      <w:tr w:rsidR="00D273C7" w:rsidRPr="00D273C7" w:rsidTr="00D273C7">
        <w:tc>
          <w:tcPr>
            <w:cnfStyle w:val="001000000000" w:firstRow="0" w:lastRow="0" w:firstColumn="1" w:lastColumn="0" w:oddVBand="0" w:evenVBand="0" w:oddHBand="0" w:evenHBand="0" w:firstRowFirstColumn="0" w:firstRowLastColumn="0" w:lastRowFirstColumn="0" w:lastRowLastColumn="0"/>
            <w:tcW w:w="1809" w:type="dxa"/>
          </w:tcPr>
          <w:p w:rsidR="00D273C7" w:rsidRPr="00087507" w:rsidRDefault="00D273C7" w:rsidP="00D273C7">
            <w:pPr>
              <w:ind w:left="0" w:right="0"/>
              <w:rPr>
                <w:sz w:val="20"/>
              </w:rPr>
            </w:pPr>
            <w:r w:rsidRPr="00087507">
              <w:rPr>
                <w:sz w:val="20"/>
              </w:rPr>
              <w:t>Canada</w:t>
            </w:r>
          </w:p>
        </w:tc>
        <w:tc>
          <w:tcPr>
            <w:tcW w:w="2977" w:type="dxa"/>
          </w:tcPr>
          <w:p w:rsidR="00D273C7" w:rsidRPr="00087507" w:rsidRDefault="00D273C7" w:rsidP="00D273C7">
            <w:pPr>
              <w:ind w:left="0" w:right="0"/>
              <w:cnfStyle w:val="000000000000" w:firstRow="0" w:lastRow="0" w:firstColumn="0" w:lastColumn="0" w:oddVBand="0" w:evenVBand="0" w:oddHBand="0" w:evenHBand="0" w:firstRowFirstColumn="0" w:firstRowLastColumn="0" w:lastRowFirstColumn="0" w:lastRowLastColumn="0"/>
              <w:rPr>
                <w:sz w:val="20"/>
              </w:rPr>
            </w:pPr>
            <w:r w:rsidRPr="00087507">
              <w:rPr>
                <w:sz w:val="20"/>
              </w:rPr>
              <w:t>20 July 2017</w:t>
            </w:r>
          </w:p>
        </w:tc>
        <w:tc>
          <w:tcPr>
            <w:tcW w:w="3934" w:type="dxa"/>
          </w:tcPr>
          <w:p w:rsidR="00D273C7" w:rsidRPr="00D273C7" w:rsidRDefault="00D273C7" w:rsidP="00D273C7">
            <w:pPr>
              <w:ind w:left="0" w:right="0"/>
              <w:cnfStyle w:val="000000000000" w:firstRow="0" w:lastRow="0" w:firstColumn="0" w:lastColumn="0" w:oddVBand="0" w:evenVBand="0" w:oddHBand="0" w:evenHBand="0" w:firstRowFirstColumn="0" w:firstRowLastColumn="0" w:lastRowFirstColumn="0" w:lastRowLastColumn="0"/>
            </w:pPr>
            <w:r w:rsidRPr="00D273C7">
              <w:rPr>
                <w:sz w:val="20"/>
                <w:szCs w:val="20"/>
              </w:rPr>
              <w:t>Approval pending</w:t>
            </w:r>
          </w:p>
        </w:tc>
      </w:tr>
    </w:tbl>
    <w:p w:rsidR="008E7846" w:rsidRDefault="008E7846" w:rsidP="00940A89">
      <w:pPr>
        <w:pStyle w:val="Heading3"/>
      </w:pPr>
      <w:bookmarkStart w:id="22" w:name="_Toc20133962"/>
      <w:r>
        <w:t>Product Information</w:t>
      </w:r>
      <w:bookmarkEnd w:id="20"/>
      <w:bookmarkEnd w:id="21"/>
      <w:bookmarkEnd w:id="22"/>
    </w:p>
    <w:p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251457">
        <w:t xml:space="preserve">&lt; </w:t>
      </w:r>
      <w:hyperlink r:id="rId13" w:history="1">
        <w:r w:rsidR="00441C3F" w:rsidRPr="00441C3F">
          <w:rPr>
            <w:rStyle w:val="Hyperlink"/>
          </w:rPr>
          <w:t>https://www.tga.gov.au/product-information-pi</w:t>
        </w:r>
      </w:hyperlink>
      <w:r w:rsidR="00251457">
        <w:t>&gt;</w:t>
      </w:r>
      <w:r w:rsidR="00940A89" w:rsidRPr="00940A89">
        <w:t>.</w:t>
      </w:r>
    </w:p>
    <w:p w:rsidR="00500337" w:rsidRDefault="00500337" w:rsidP="00500337">
      <w:pPr>
        <w:pStyle w:val="Heading2"/>
      </w:pPr>
      <w:bookmarkStart w:id="25" w:name="_Toc504480011"/>
      <w:bookmarkStart w:id="26" w:name="_Toc20133963"/>
      <w:r>
        <w:t>II. Registration time line</w:t>
      </w:r>
      <w:bookmarkEnd w:id="25"/>
      <w:bookmarkEnd w:id="26"/>
    </w:p>
    <w:p w:rsidR="00500337" w:rsidRDefault="00500337" w:rsidP="00A332A9">
      <w:r>
        <w:t>The following table</w:t>
      </w:r>
      <w:r w:rsidR="00833633">
        <w:t xml:space="preserve"> (</w:t>
      </w:r>
      <w:r w:rsidR="002D05A8">
        <w:t>Table 2</w:t>
      </w:r>
      <w:r w:rsidR="00833633">
        <w:t>)</w:t>
      </w:r>
      <w:r>
        <w:t xml:space="preserve"> captures the key steps and dates for this application and which are detailed and discussed in this AusPAR.</w:t>
      </w:r>
    </w:p>
    <w:p w:rsidR="00833633" w:rsidRPr="00377BD4" w:rsidRDefault="00833633" w:rsidP="00833633">
      <w:pPr>
        <w:pStyle w:val="TableTitle"/>
      </w:pPr>
      <w:bookmarkStart w:id="27" w:name="_Ref5694594"/>
      <w:r>
        <w:t xml:space="preserve">Table </w:t>
      </w:r>
      <w:bookmarkEnd w:id="27"/>
      <w:r w:rsidR="002D05A8">
        <w:t>2</w:t>
      </w:r>
      <w:r>
        <w:t xml:space="preserve">: Timeline for submission </w:t>
      </w:r>
      <w:r w:rsidRPr="00DA08F1">
        <w:t>PM-2017-02454-1-2</w:t>
      </w:r>
    </w:p>
    <w:tbl>
      <w:tblPr>
        <w:tblStyle w:val="TableTGAblue"/>
        <w:tblW w:w="0" w:type="auto"/>
        <w:tblLook w:val="04A0" w:firstRow="1" w:lastRow="0" w:firstColumn="1" w:lastColumn="0" w:noHBand="0" w:noVBand="1"/>
      </w:tblPr>
      <w:tblGrid>
        <w:gridCol w:w="4360"/>
        <w:gridCol w:w="4360"/>
      </w:tblGrid>
      <w:tr w:rsidR="0050033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rsidR="00500337" w:rsidRDefault="00500337" w:rsidP="00500337">
            <w:pPr>
              <w:ind w:left="0" w:right="0"/>
            </w:pPr>
            <w:r>
              <w:t>Description</w:t>
            </w:r>
          </w:p>
        </w:tc>
        <w:tc>
          <w:tcPr>
            <w:tcW w:w="4360" w:type="dxa"/>
          </w:tcPr>
          <w:p w:rsidR="00500337" w:rsidRDefault="00500337" w:rsidP="00500337">
            <w:pPr>
              <w:ind w:left="0" w:right="0"/>
            </w:pPr>
            <w:r>
              <w:t>Date</w:t>
            </w:r>
          </w:p>
        </w:tc>
      </w:tr>
      <w:tr w:rsidR="00500337" w:rsidTr="00500337">
        <w:tc>
          <w:tcPr>
            <w:tcW w:w="4360" w:type="dxa"/>
          </w:tcPr>
          <w:p w:rsidR="00500337" w:rsidRDefault="00500337" w:rsidP="00500337">
            <w:pPr>
              <w:ind w:left="0" w:right="0"/>
            </w:pPr>
            <w:r>
              <w:t>Submission dossier accepted and first round evaluation commenced</w:t>
            </w:r>
          </w:p>
        </w:tc>
        <w:tc>
          <w:tcPr>
            <w:tcW w:w="4360" w:type="dxa"/>
          </w:tcPr>
          <w:p w:rsidR="00500337" w:rsidRDefault="00BF041F" w:rsidP="00500337">
            <w:pPr>
              <w:ind w:left="0" w:right="0"/>
            </w:pPr>
            <w:r>
              <w:t>31 August 2017</w:t>
            </w:r>
          </w:p>
        </w:tc>
      </w:tr>
      <w:tr w:rsidR="00500337" w:rsidTr="00500337">
        <w:tc>
          <w:tcPr>
            <w:tcW w:w="4360" w:type="dxa"/>
          </w:tcPr>
          <w:p w:rsidR="00500337" w:rsidRDefault="00500337" w:rsidP="00500337">
            <w:pPr>
              <w:ind w:left="0" w:right="0"/>
            </w:pPr>
            <w:r>
              <w:t>First round evaluation completed</w:t>
            </w:r>
          </w:p>
        </w:tc>
        <w:tc>
          <w:tcPr>
            <w:tcW w:w="4360" w:type="dxa"/>
          </w:tcPr>
          <w:p w:rsidR="00500337" w:rsidRDefault="001060B9" w:rsidP="00500337">
            <w:pPr>
              <w:ind w:left="0" w:right="0"/>
            </w:pPr>
            <w:r>
              <w:t>27 February 2018</w:t>
            </w:r>
          </w:p>
        </w:tc>
      </w:tr>
      <w:tr w:rsidR="00500337" w:rsidTr="00500337">
        <w:tc>
          <w:tcPr>
            <w:tcW w:w="4360" w:type="dxa"/>
          </w:tcPr>
          <w:p w:rsidR="00500337" w:rsidRDefault="00500337" w:rsidP="00500337">
            <w:pPr>
              <w:ind w:left="0" w:right="0"/>
            </w:pPr>
            <w:r>
              <w:t>Sponsor provides responses on questions raised in first round evaluation</w:t>
            </w:r>
          </w:p>
        </w:tc>
        <w:tc>
          <w:tcPr>
            <w:tcW w:w="4360" w:type="dxa"/>
          </w:tcPr>
          <w:p w:rsidR="00500337" w:rsidRDefault="001060B9" w:rsidP="00500337">
            <w:pPr>
              <w:ind w:left="0" w:right="0"/>
            </w:pPr>
            <w:r>
              <w:t>20 April 2018</w:t>
            </w:r>
          </w:p>
        </w:tc>
      </w:tr>
      <w:tr w:rsidR="00500337" w:rsidTr="00500337">
        <w:tc>
          <w:tcPr>
            <w:tcW w:w="4360" w:type="dxa"/>
          </w:tcPr>
          <w:p w:rsidR="00500337" w:rsidRDefault="00500337" w:rsidP="00500337">
            <w:pPr>
              <w:ind w:left="0" w:right="0"/>
            </w:pPr>
            <w:r>
              <w:t>Second round evaluation completed</w:t>
            </w:r>
          </w:p>
        </w:tc>
        <w:tc>
          <w:tcPr>
            <w:tcW w:w="4360" w:type="dxa"/>
          </w:tcPr>
          <w:p w:rsidR="00500337" w:rsidRDefault="001060B9" w:rsidP="00500337">
            <w:pPr>
              <w:ind w:left="0" w:right="0"/>
            </w:pPr>
            <w:r>
              <w:t>27 April 2018</w:t>
            </w:r>
          </w:p>
        </w:tc>
      </w:tr>
      <w:tr w:rsidR="00500337" w:rsidTr="00500337">
        <w:tc>
          <w:tcPr>
            <w:tcW w:w="4360" w:type="dxa"/>
          </w:tcPr>
          <w:p w:rsidR="00500337" w:rsidRDefault="00500337" w:rsidP="00500337">
            <w:pPr>
              <w:ind w:left="0" w:right="0"/>
            </w:pPr>
            <w:r>
              <w:t>Delegate’s Overall benefit-risk assessment and request for Advisory Committee advice</w:t>
            </w:r>
          </w:p>
        </w:tc>
        <w:tc>
          <w:tcPr>
            <w:tcW w:w="4360" w:type="dxa"/>
          </w:tcPr>
          <w:p w:rsidR="00500337" w:rsidRDefault="001060B9" w:rsidP="00500337">
            <w:pPr>
              <w:ind w:left="0" w:right="0"/>
            </w:pPr>
            <w:r>
              <w:t>30 April 2018</w:t>
            </w:r>
          </w:p>
        </w:tc>
      </w:tr>
      <w:tr w:rsidR="00500337" w:rsidTr="00500337">
        <w:tc>
          <w:tcPr>
            <w:tcW w:w="4360" w:type="dxa"/>
          </w:tcPr>
          <w:p w:rsidR="00500337" w:rsidRDefault="00500337" w:rsidP="00500337">
            <w:pPr>
              <w:ind w:left="0" w:right="0"/>
            </w:pPr>
            <w:r>
              <w:lastRenderedPageBreak/>
              <w:t>Sponsor’s pre-Advisory Committee response</w:t>
            </w:r>
          </w:p>
        </w:tc>
        <w:tc>
          <w:tcPr>
            <w:tcW w:w="4360" w:type="dxa"/>
          </w:tcPr>
          <w:p w:rsidR="00500337" w:rsidRDefault="001060B9" w:rsidP="00500337">
            <w:pPr>
              <w:ind w:left="0" w:right="0"/>
            </w:pPr>
            <w:r>
              <w:t>15 May 2018</w:t>
            </w:r>
          </w:p>
        </w:tc>
      </w:tr>
      <w:tr w:rsidR="00500337" w:rsidTr="00500337">
        <w:tc>
          <w:tcPr>
            <w:tcW w:w="4360" w:type="dxa"/>
          </w:tcPr>
          <w:p w:rsidR="00500337" w:rsidRDefault="00500337" w:rsidP="00500337">
            <w:pPr>
              <w:ind w:left="0" w:right="0"/>
            </w:pPr>
            <w:r>
              <w:t>Advisory Committee meeting</w:t>
            </w:r>
          </w:p>
        </w:tc>
        <w:tc>
          <w:tcPr>
            <w:tcW w:w="4360" w:type="dxa"/>
          </w:tcPr>
          <w:p w:rsidR="00500337" w:rsidRDefault="001060B9" w:rsidP="00500337">
            <w:pPr>
              <w:ind w:left="0" w:right="0"/>
            </w:pPr>
            <w:r>
              <w:t>1 June 2018</w:t>
            </w:r>
          </w:p>
        </w:tc>
      </w:tr>
      <w:tr w:rsidR="00500337" w:rsidTr="00500337">
        <w:tc>
          <w:tcPr>
            <w:tcW w:w="4360" w:type="dxa"/>
          </w:tcPr>
          <w:p w:rsidR="00500337" w:rsidRDefault="00500337" w:rsidP="00500337">
            <w:pPr>
              <w:ind w:left="0" w:right="0"/>
            </w:pPr>
            <w:r>
              <w:t>Registration decision (Outcome)</w:t>
            </w:r>
          </w:p>
        </w:tc>
        <w:tc>
          <w:tcPr>
            <w:tcW w:w="4360" w:type="dxa"/>
          </w:tcPr>
          <w:p w:rsidR="00500337" w:rsidRDefault="001060B9" w:rsidP="00500337">
            <w:pPr>
              <w:ind w:left="0" w:right="0"/>
            </w:pPr>
            <w:r>
              <w:t>10 July 2018</w:t>
            </w:r>
          </w:p>
        </w:tc>
      </w:tr>
      <w:tr w:rsidR="00500337" w:rsidTr="00500337">
        <w:tc>
          <w:tcPr>
            <w:tcW w:w="4360" w:type="dxa"/>
          </w:tcPr>
          <w:p w:rsidR="00500337" w:rsidRDefault="00500337" w:rsidP="00500337">
            <w:pPr>
              <w:ind w:left="0" w:right="0"/>
            </w:pPr>
            <w:r>
              <w:t>Completion of administrative activities and registration on ARTG</w:t>
            </w:r>
          </w:p>
        </w:tc>
        <w:tc>
          <w:tcPr>
            <w:tcW w:w="4360" w:type="dxa"/>
          </w:tcPr>
          <w:p w:rsidR="00500337" w:rsidRDefault="001060B9" w:rsidP="00500337">
            <w:pPr>
              <w:ind w:left="0" w:right="0"/>
            </w:pPr>
            <w:r>
              <w:t>12 July 2018</w:t>
            </w:r>
          </w:p>
        </w:tc>
      </w:tr>
      <w:tr w:rsidR="00500337" w:rsidTr="00500337">
        <w:tc>
          <w:tcPr>
            <w:tcW w:w="4360" w:type="dxa"/>
          </w:tcPr>
          <w:p w:rsidR="00500337" w:rsidRDefault="00500337" w:rsidP="00500337">
            <w:pPr>
              <w:ind w:left="0" w:right="0"/>
            </w:pPr>
            <w:r>
              <w:t>Number of working days from submission dossier acceptance to registration decision*</w:t>
            </w:r>
          </w:p>
        </w:tc>
        <w:tc>
          <w:tcPr>
            <w:tcW w:w="4360" w:type="dxa"/>
          </w:tcPr>
          <w:p w:rsidR="00500337" w:rsidRDefault="001060B9" w:rsidP="00500337">
            <w:pPr>
              <w:ind w:left="0" w:right="0"/>
            </w:pPr>
            <w:r>
              <w:t>195</w:t>
            </w:r>
          </w:p>
        </w:tc>
      </w:tr>
    </w:tbl>
    <w:p w:rsidR="00500337" w:rsidRPr="00833633" w:rsidRDefault="00500337" w:rsidP="00833633">
      <w:pPr>
        <w:pStyle w:val="TableDescription"/>
      </w:pPr>
      <w:r w:rsidRPr="00833633">
        <w:t>*</w:t>
      </w:r>
      <w:r w:rsidR="00BF3774" w:rsidRPr="00833633">
        <w:t xml:space="preserve">Statutory </w:t>
      </w:r>
      <w:r w:rsidRPr="00833633">
        <w:t>timeframe for standard applications is 2</w:t>
      </w:r>
      <w:r w:rsidR="00BF3774" w:rsidRPr="00833633">
        <w:t>55</w:t>
      </w:r>
      <w:r w:rsidRPr="00833633">
        <w:t xml:space="preserve"> working days</w:t>
      </w:r>
    </w:p>
    <w:p w:rsidR="00500337" w:rsidRDefault="00500337" w:rsidP="00500337">
      <w:r>
        <w:t>Evaluations included under Quality findings and Nonclinical findings incorporate both the first and second round evaluations.</w:t>
      </w:r>
    </w:p>
    <w:p w:rsidR="008E7846" w:rsidRDefault="00500337" w:rsidP="008E7846">
      <w:pPr>
        <w:pStyle w:val="Heading2"/>
        <w:ind w:left="-11"/>
      </w:pPr>
      <w:bookmarkStart w:id="28" w:name="_Toc20133964"/>
      <w:r>
        <w:t>I</w:t>
      </w:r>
      <w:r w:rsidR="008E7846">
        <w:t>II. Quality</w:t>
      </w:r>
      <w:bookmarkEnd w:id="2"/>
      <w:r w:rsidR="008E7846">
        <w:t xml:space="preserve"> findings</w:t>
      </w:r>
      <w:bookmarkEnd w:id="23"/>
      <w:bookmarkEnd w:id="24"/>
      <w:bookmarkEnd w:id="28"/>
    </w:p>
    <w:p w:rsidR="008A6F73" w:rsidRDefault="008A6F73" w:rsidP="008A6F73">
      <w:pPr>
        <w:pStyle w:val="Heading3"/>
      </w:pPr>
      <w:bookmarkStart w:id="29" w:name="_Toc20133965"/>
      <w:r>
        <w:t>Introduction</w:t>
      </w:r>
      <w:bookmarkEnd w:id="29"/>
    </w:p>
    <w:p w:rsidR="008A6F73" w:rsidRDefault="00F22213" w:rsidP="008A6F73">
      <w:r w:rsidRPr="009623B0">
        <w:rPr>
          <w:rFonts w:eastAsia="Calibri"/>
        </w:rPr>
        <w:t xml:space="preserve">This is an application to register </w:t>
      </w:r>
      <w:r w:rsidR="001B5D97">
        <w:rPr>
          <w:rFonts w:eastAsia="Calibri"/>
        </w:rPr>
        <w:t>Biktarvy</w:t>
      </w:r>
      <w:r w:rsidRPr="009623B0">
        <w:rPr>
          <w:rFonts w:eastAsia="Calibri"/>
        </w:rPr>
        <w:t>, a tablet containing</w:t>
      </w:r>
      <w:r>
        <w:rPr>
          <w:rFonts w:eastAsia="Calibri"/>
        </w:rPr>
        <w:t xml:space="preserve"> the equivalent of</w:t>
      </w:r>
      <w:r w:rsidRPr="009623B0">
        <w:rPr>
          <w:rFonts w:eastAsia="Calibri"/>
        </w:rPr>
        <w:t xml:space="preserve"> 50 mg bictegravir (BIC), 200 mg emtricitabine</w:t>
      </w:r>
      <w:r>
        <w:rPr>
          <w:rFonts w:eastAsia="Calibri"/>
        </w:rPr>
        <w:t xml:space="preserve"> </w:t>
      </w:r>
      <w:r w:rsidRPr="009623B0">
        <w:rPr>
          <w:rFonts w:eastAsia="Calibri"/>
        </w:rPr>
        <w:t>(FTC) and 25 mg tenofovir alafenamide (TAF)</w:t>
      </w:r>
      <w:r>
        <w:rPr>
          <w:rFonts w:eastAsia="Calibri"/>
        </w:rPr>
        <w:t xml:space="preserve">. </w:t>
      </w:r>
      <w:r w:rsidR="00F8234A">
        <w:t>The sponsor</w:t>
      </w:r>
      <w:r w:rsidR="008A6F73">
        <w:t xml:space="preserve"> is proposing to register a new immediate release, fixed dose combination tablet, </w:t>
      </w:r>
      <w:r w:rsidR="001B5D97">
        <w:t>Biktarvy</w:t>
      </w:r>
      <w:r w:rsidR="008A6F73">
        <w:t xml:space="preserve"> comprising of the new chemical entity bictegravir (as the sodium salt), together with two active ingredients previously approved by the TGA, emtricitabin</w:t>
      </w:r>
      <w:r w:rsidR="00F8234A">
        <w:t>e and tenofovir alafenamide.</w:t>
      </w:r>
    </w:p>
    <w:p w:rsidR="008A6F73" w:rsidRDefault="008A6F73" w:rsidP="008A6F73">
      <w:r>
        <w:t xml:space="preserve">The proposed </w:t>
      </w:r>
      <w:r w:rsidR="001B5D97">
        <w:t>Biktarvy</w:t>
      </w:r>
      <w:r>
        <w:t xml:space="preserve"> tablets contain bictegravir (50 mg, as sodium salt), emtricitabine (200 mg) and tenofovir alafenamide (25 mg, as fumarate salt) and are packaged in </w:t>
      </w:r>
      <w:r w:rsidR="009D7B64">
        <w:t>HDPE</w:t>
      </w:r>
      <w:r w:rsidR="0024006C" w:rsidRPr="0024006C">
        <w:t xml:space="preserve"> </w:t>
      </w:r>
      <w:r>
        <w:t>bottles containing 30 tablets.</w:t>
      </w:r>
    </w:p>
    <w:p w:rsidR="008E7846" w:rsidRDefault="008E7846" w:rsidP="00940A89">
      <w:pPr>
        <w:pStyle w:val="Heading3"/>
      </w:pPr>
      <w:bookmarkStart w:id="30" w:name="_Toc247691507"/>
      <w:bookmarkStart w:id="31" w:name="_Toc314842488"/>
      <w:bookmarkStart w:id="32" w:name="_Toc20133966"/>
      <w:r w:rsidRPr="008751DC">
        <w:t xml:space="preserve">Drug </w:t>
      </w:r>
      <w:r>
        <w:t>s</w:t>
      </w:r>
      <w:r w:rsidRPr="008751DC">
        <w:t>ubstance</w:t>
      </w:r>
      <w:r w:rsidR="008A6F73">
        <w:t>s</w:t>
      </w:r>
      <w:r>
        <w:t xml:space="preserve"> (active ingredient</w:t>
      </w:r>
      <w:r w:rsidR="008A6F73">
        <w:t>s</w:t>
      </w:r>
      <w:r>
        <w:t>)</w:t>
      </w:r>
      <w:bookmarkEnd w:id="30"/>
      <w:bookmarkEnd w:id="31"/>
      <w:bookmarkEnd w:id="32"/>
    </w:p>
    <w:p w:rsidR="00283945" w:rsidRDefault="006A343E" w:rsidP="00283945">
      <w:r>
        <w:t>Emtricitabine and t</w:t>
      </w:r>
      <w:r w:rsidR="00283945">
        <w:t>enofovir alafenamide fumarate are approved for use in several currently registered products on the ARTG, including together in fixed dose combination formulations in the same proportions (200 mg / 25 mg) in products registered by</w:t>
      </w:r>
      <w:r w:rsidR="00F8234A">
        <w:t xml:space="preserve"> the sponsor</w:t>
      </w:r>
      <w:r w:rsidR="00283945">
        <w:t xml:space="preserve"> (Odefsey, ARTG 260634 and Descovy, ARTG 246092).</w:t>
      </w:r>
    </w:p>
    <w:p w:rsidR="00283945" w:rsidRDefault="00283945" w:rsidP="00283945">
      <w:r>
        <w:t>Emtricitabine (FTC) is a nucleoside analogue of 2’-deoxycytidine. FTC is phosphorylated by cellular enzymes to form FTC triphosphate. FTC triphosphate inhibits HIV replication through incorporation into viral DNA by the HIV reverse transcript</w:t>
      </w:r>
      <w:r w:rsidR="001411C5">
        <w:t xml:space="preserve">ase, which results in DNA chain </w:t>
      </w:r>
      <w:r>
        <w:t>termination.</w:t>
      </w:r>
    </w:p>
    <w:p w:rsidR="00283945" w:rsidRDefault="00283945" w:rsidP="00283945">
      <w:r>
        <w:t>Tenofovir alafenamide (TAF) is a phosphonamidate prodrug of tenofovir (2’</w:t>
      </w:r>
      <w:r w:rsidR="00D509D2">
        <w:noBreakHyphen/>
      </w:r>
      <w:r>
        <w:t xml:space="preserve">deoxyadenosine monophosphate analogue). TAF is permeable into cells and due to increased plasma stability and intracellular activation through hydrolysis by cathepsin A, TAF is more efficient than tenofovir disoproxil fumarate (TDF) in loading tenofovir into peripheral blood mononuclear cells (PBMC), including lymphocytes and macrophages. Intracellular tenofovir is subsequently phosphorylated to the pharmacologically active metabolite tenofovir diphosphate. Tenofovir diphosphate inhibits HIV replication through </w:t>
      </w:r>
      <w:r>
        <w:lastRenderedPageBreak/>
        <w:t>incorporation into viral DNA by the HIV reverse transcript</w:t>
      </w:r>
      <w:r w:rsidR="001411C5">
        <w:t xml:space="preserve">ase, which results in DNA chain </w:t>
      </w:r>
      <w:r>
        <w:t>termination.</w:t>
      </w:r>
    </w:p>
    <w:p w:rsidR="00283945" w:rsidRDefault="00283945" w:rsidP="00283945">
      <w:r>
        <w:t>The following figure (</w:t>
      </w:r>
      <w:r w:rsidR="00614806">
        <w:t>Figure 1</w:t>
      </w:r>
      <w:r>
        <w:t xml:space="preserve">) describes the chemical structures of </w:t>
      </w:r>
      <w:r w:rsidRPr="006655BD">
        <w:t>tenofovir alafenamide fumarate and emtricitabine</w:t>
      </w:r>
      <w:r>
        <w:t>.</w:t>
      </w:r>
    </w:p>
    <w:p w:rsidR="00283945" w:rsidRDefault="00EE7971" w:rsidP="00087507">
      <w:pPr>
        <w:pStyle w:val="FigureTitle"/>
      </w:pPr>
      <w:bookmarkStart w:id="33" w:name="_Ref5695342"/>
      <w:r>
        <w:t>Figure</w:t>
      </w:r>
      <w:bookmarkEnd w:id="33"/>
      <w:r w:rsidR="00614806">
        <w:t xml:space="preserve"> 1</w:t>
      </w:r>
      <w:r w:rsidR="00283945">
        <w:t xml:space="preserve">: Structural formula of tenofovir alafenamide fumarate </w:t>
      </w:r>
      <w:r w:rsidR="00D509D2">
        <w:t xml:space="preserve">(TAF) </w:t>
      </w:r>
      <w:r w:rsidR="00283945">
        <w:t>and e</w:t>
      </w:r>
      <w:r w:rsidR="00283945" w:rsidRPr="006655BD">
        <w:t>mtricitabine</w:t>
      </w:r>
      <w:r w:rsidR="00D509D2">
        <w:t xml:space="preserve"> (FTC)</w:t>
      </w:r>
    </w:p>
    <w:p w:rsidR="00B3230D" w:rsidRDefault="00B3230D" w:rsidP="00283945">
      <w:r>
        <w:rPr>
          <w:noProof/>
          <w:lang w:eastAsia="en-AU"/>
        </w:rPr>
        <w:drawing>
          <wp:inline distT="0" distB="0" distL="0" distR="0" wp14:anchorId="7D8A06CF" wp14:editId="33342DEF">
            <wp:extent cx="5398770" cy="1621790"/>
            <wp:effectExtent l="0" t="0" r="0" b="0"/>
            <wp:docPr id="2" name="Picture 2" descr="Structural formula of tenofovir alafenamide fumarate (TAF) and emtricitabine (F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770" cy="1621790"/>
                    </a:xfrm>
                    <a:prstGeom prst="rect">
                      <a:avLst/>
                    </a:prstGeom>
                    <a:noFill/>
                    <a:ln>
                      <a:noFill/>
                    </a:ln>
                  </pic:spPr>
                </pic:pic>
              </a:graphicData>
            </a:graphic>
          </wp:inline>
        </w:drawing>
      </w:r>
    </w:p>
    <w:p w:rsidR="00283945" w:rsidRDefault="00283945" w:rsidP="00283945">
      <w:r>
        <w:t>Emtricitabine</w:t>
      </w:r>
      <w:r w:rsidR="00FB25B0">
        <w:t xml:space="preserve"> (FTC)</w:t>
      </w:r>
      <w:r>
        <w:t xml:space="preserve"> and tenofovir alafenamide fumarate </w:t>
      </w:r>
      <w:r w:rsidR="00FB25B0">
        <w:t xml:space="preserve">(TAF) </w:t>
      </w:r>
      <w:r>
        <w:t>used in Biktarvy are the same as used in Emtriva (ARTG 96426) and Descovy (ARTG 246093</w:t>
      </w:r>
      <w:r w:rsidR="0018333E">
        <w:t xml:space="preserve"> (200</w:t>
      </w:r>
      <w:r w:rsidR="00FB25B0">
        <w:t xml:space="preserve"> mg</w:t>
      </w:r>
      <w:r w:rsidR="0018333E">
        <w:t>/10</w:t>
      </w:r>
      <w:r w:rsidR="00FB25B0">
        <w:t xml:space="preserve"> </w:t>
      </w:r>
      <w:r w:rsidR="0018333E">
        <w:t>mg) and ARTG 246092 (200</w:t>
      </w:r>
      <w:r w:rsidR="00FB25B0">
        <w:t xml:space="preserve"> mg</w:t>
      </w:r>
      <w:r w:rsidR="0018333E">
        <w:t>/25</w:t>
      </w:r>
      <w:r w:rsidR="00FB25B0">
        <w:t xml:space="preserve"> </w:t>
      </w:r>
      <w:r w:rsidR="0018333E">
        <w:t>mg)</w:t>
      </w:r>
      <w:r>
        <w:t>). Their manufacture, quality control and stability have been assessed and approved by TGA previously, and no assessment of these has been undertaken in the current chemistry evaluation.</w:t>
      </w:r>
    </w:p>
    <w:p w:rsidR="00283945" w:rsidRDefault="00283945" w:rsidP="00283945">
      <w:r>
        <w:t xml:space="preserve">Bictegravir is a new chemical entity. Bictegravir is an </w:t>
      </w:r>
      <w:r w:rsidR="00EE7971">
        <w:t>INSTI</w:t>
      </w:r>
      <w:r>
        <w:t xml:space="preserve"> that binds to the integrase active site and blocks the strand transfer step of retroviral DNA integration which is essential for the HIV replication cycle.</w:t>
      </w:r>
    </w:p>
    <w:p w:rsidR="00283945" w:rsidRDefault="00283945" w:rsidP="002E0D75">
      <w:r>
        <w:t xml:space="preserve">The </w:t>
      </w:r>
      <w:r w:rsidR="00EE7971">
        <w:t>I</w:t>
      </w:r>
      <w:r w:rsidR="00EE7971" w:rsidRPr="004A1032">
        <w:t>nternational Union of Pure and Applied Chemistry</w:t>
      </w:r>
      <w:r w:rsidR="00EE7971">
        <w:t xml:space="preserve"> (IUPAC) </w:t>
      </w:r>
      <w:r>
        <w:t>name of bictegravir sodium is</w:t>
      </w:r>
      <w:r w:rsidR="002E0D75">
        <w:t xml:space="preserve"> </w:t>
      </w:r>
      <w:r w:rsidR="002E0D75" w:rsidRPr="00087507">
        <w:t>Sodium (2R,5S,13aR)-7,9-dioxo-10-[(2,4,6-trifluorobenzyl)carbamoyl]-2,3,4,5,7,9,13,13a-octahydro-2,5-methanopyrido[1',2':4,5]pyrazino[2,1-b][1,3]oxazepin-8-olate</w:t>
      </w:r>
      <w:r w:rsidR="002E0D75">
        <w:t xml:space="preserve"> and the CAS name is </w:t>
      </w:r>
      <w:r>
        <w:t>2,5-Methanopyrido</w:t>
      </w:r>
      <w:r w:rsidR="004E4AAB">
        <w:t>(</w:t>
      </w:r>
      <w:r>
        <w:t>1’,2’:4,5</w:t>
      </w:r>
      <w:r w:rsidR="004E4AAB">
        <w:t>)</w:t>
      </w:r>
      <w:r>
        <w:t xml:space="preserve"> pyrazino</w:t>
      </w:r>
      <w:r w:rsidR="004E4AAB">
        <w:t>(</w:t>
      </w:r>
      <w:r>
        <w:t>2,1-b</w:t>
      </w:r>
      <w:r w:rsidR="004E4AAB">
        <w:t>)(</w:t>
      </w:r>
      <w:r>
        <w:t>1,3</w:t>
      </w:r>
      <w:r w:rsidR="004E4AAB">
        <w:t>)</w:t>
      </w:r>
      <w:r>
        <w:t>oxazepine-10-carboxamide, 2,3,4,5,7,9,13,13a-octahydro-8-hydroxy-7,9-dioxo-N-</w:t>
      </w:r>
      <w:r w:rsidR="004E4AAB">
        <w:t>(</w:t>
      </w:r>
      <w:r>
        <w:t>(2,4,6-trifluo</w:t>
      </w:r>
      <w:r w:rsidR="00EE7971">
        <w:t>rophenyl)methyl</w:t>
      </w:r>
      <w:r w:rsidR="004E4AAB">
        <w:t>)</w:t>
      </w:r>
      <w:r w:rsidR="00EE7971">
        <w:t>-, sodium salt</w:t>
      </w:r>
      <w:r>
        <w:t>.</w:t>
      </w:r>
    </w:p>
    <w:p w:rsidR="00283945" w:rsidRDefault="00283945" w:rsidP="00283945">
      <w:r>
        <w:t xml:space="preserve">The following figure (Figure </w:t>
      </w:r>
      <w:r w:rsidR="00614806">
        <w:t>2</w:t>
      </w:r>
      <w:r>
        <w:t>) describes the chemical structures of bictegravir (sodium salt).</w:t>
      </w:r>
    </w:p>
    <w:p w:rsidR="00283945" w:rsidRDefault="00283945" w:rsidP="00283945">
      <w:pPr>
        <w:pStyle w:val="FigureTitle"/>
      </w:pPr>
      <w:r>
        <w:t xml:space="preserve">Figure </w:t>
      </w:r>
      <w:r w:rsidR="00614806">
        <w:t>2</w:t>
      </w:r>
      <w:r>
        <w:t>: Structural formula of bictegravir (sodium salt)</w:t>
      </w:r>
    </w:p>
    <w:p w:rsidR="00283945" w:rsidRDefault="00283945" w:rsidP="001E2662">
      <w:r>
        <w:rPr>
          <w:noProof/>
          <w:lang w:eastAsia="en-AU"/>
        </w:rPr>
        <w:drawing>
          <wp:inline distT="0" distB="0" distL="0" distR="0" wp14:anchorId="4EF140BF" wp14:editId="184DCEF5">
            <wp:extent cx="1838325" cy="742950"/>
            <wp:effectExtent l="0" t="0" r="9525" b="0"/>
            <wp:docPr id="5" name="Picture 5" descr="Structural formula of bictegravir (sodium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742950"/>
                    </a:xfrm>
                    <a:prstGeom prst="rect">
                      <a:avLst/>
                    </a:prstGeom>
                    <a:noFill/>
                  </pic:spPr>
                </pic:pic>
              </a:graphicData>
            </a:graphic>
          </wp:inline>
        </w:drawing>
      </w:r>
    </w:p>
    <w:p w:rsidR="00EE7971" w:rsidRDefault="00614806" w:rsidP="00614806">
      <w:pPr>
        <w:pStyle w:val="TableDescription"/>
      </w:pPr>
      <w:r>
        <w:t>C</w:t>
      </w:r>
      <w:r w:rsidRPr="00087507">
        <w:rPr>
          <w:vertAlign w:val="subscript"/>
        </w:rPr>
        <w:t>21</w:t>
      </w:r>
      <w:r>
        <w:t>H</w:t>
      </w:r>
      <w:r w:rsidRPr="00087507">
        <w:rPr>
          <w:vertAlign w:val="subscript"/>
        </w:rPr>
        <w:t>17</w:t>
      </w:r>
      <w:r>
        <w:t>F</w:t>
      </w:r>
      <w:r w:rsidRPr="00087507">
        <w:rPr>
          <w:vertAlign w:val="subscript"/>
        </w:rPr>
        <w:t>3</w:t>
      </w:r>
      <w:r>
        <w:t>N</w:t>
      </w:r>
      <w:r w:rsidRPr="00087507">
        <w:rPr>
          <w:vertAlign w:val="subscript"/>
        </w:rPr>
        <w:t>3</w:t>
      </w:r>
      <w:r>
        <w:t>NaO</w:t>
      </w:r>
      <w:r w:rsidRPr="00087507">
        <w:rPr>
          <w:vertAlign w:val="subscript"/>
        </w:rPr>
        <w:t>5</w:t>
      </w:r>
      <w:r>
        <w:t xml:space="preserve"> </w:t>
      </w:r>
      <w:r w:rsidR="00D72FD0">
        <w:t xml:space="preserve">Formula </w:t>
      </w:r>
      <w:r>
        <w:t>We</w:t>
      </w:r>
      <w:r w:rsidR="00EE7971">
        <w:t>ight 471.4 g/mol</w:t>
      </w:r>
    </w:p>
    <w:p w:rsidR="00283945" w:rsidRDefault="001411C5" w:rsidP="00283945">
      <w:r>
        <w:t xml:space="preserve">Bictegravir sodium is an off </w:t>
      </w:r>
      <w:r w:rsidR="00283945">
        <w:t>white to yellow, slightly hygroscopic solid. It is practically ins</w:t>
      </w:r>
      <w:r w:rsidR="006A343E">
        <w:t>oluble to very slightly soluble</w:t>
      </w:r>
      <w:r w:rsidR="00283945">
        <w:t xml:space="preserve"> in aqueous media across the</w:t>
      </w:r>
      <w:r w:rsidR="009D7B64">
        <w:t xml:space="preserve"> physiological pH range (pH 1.8 to </w:t>
      </w:r>
      <w:r w:rsidR="00283945">
        <w:t>8.8). It contains three chiral centres. Only one crystalline form of bictegravir sodium has been identified.</w:t>
      </w:r>
    </w:p>
    <w:p w:rsidR="00283945" w:rsidRDefault="00283945" w:rsidP="00283945">
      <w:r>
        <w:t>Potential impurities are adequately controlled. The enantiomeric purity of the drug sub</w:t>
      </w:r>
      <w:r w:rsidR="006A343E">
        <w:t>stance is adequately controlled</w:t>
      </w:r>
      <w:r>
        <w:t xml:space="preserve"> and particle size is controlled</w:t>
      </w:r>
      <w:r w:rsidR="006A343E">
        <w:t xml:space="preserve">. </w:t>
      </w:r>
      <w:r>
        <w:t>The influence of bictegravir sodium particle size on drug product solubility has been examine</w:t>
      </w:r>
      <w:r w:rsidR="006A343E">
        <w:t>d.</w:t>
      </w:r>
    </w:p>
    <w:p w:rsidR="00283945" w:rsidRPr="00940A89" w:rsidRDefault="00283945" w:rsidP="00283945">
      <w:r>
        <w:t>Bictegravir shows good solid state stability and adequate stability data have been provided to support a retest period for the drug substance of 24 months when stored under 30°C.</w:t>
      </w:r>
    </w:p>
    <w:p w:rsidR="008E7846" w:rsidRDefault="008E7846" w:rsidP="008E7846">
      <w:pPr>
        <w:pStyle w:val="Heading3"/>
      </w:pPr>
      <w:bookmarkStart w:id="34" w:name="_Toc247691508"/>
      <w:bookmarkStart w:id="35" w:name="_Toc314842490"/>
      <w:bookmarkStart w:id="36" w:name="_Toc20133967"/>
      <w:r w:rsidRPr="008751DC">
        <w:lastRenderedPageBreak/>
        <w:t xml:space="preserve">Drug </w:t>
      </w:r>
      <w:r>
        <w:t>p</w:t>
      </w:r>
      <w:r w:rsidRPr="008751DC">
        <w:t>roduct</w:t>
      </w:r>
      <w:bookmarkEnd w:id="34"/>
      <w:bookmarkEnd w:id="35"/>
      <w:bookmarkEnd w:id="36"/>
    </w:p>
    <w:p w:rsidR="00283945" w:rsidRDefault="00283945" w:rsidP="00283945">
      <w:r w:rsidRPr="00BE6368">
        <w:t>Bictegravir/emtricitabine/tenofovir alafenamide (B/F</w:t>
      </w:r>
      <w:r w:rsidR="001411C5">
        <w:t xml:space="preserve">/TAF) tablets are capsule shaped, film coated purplish </w:t>
      </w:r>
      <w:r w:rsidRPr="00BE6368">
        <w:t xml:space="preserve">brown, debossed with </w:t>
      </w:r>
      <w:r w:rsidR="00251457">
        <w:t>‘</w:t>
      </w:r>
      <w:r w:rsidRPr="00BE6368">
        <w:t>GSI</w:t>
      </w:r>
      <w:r w:rsidR="00251457">
        <w:t>’</w:t>
      </w:r>
      <w:r w:rsidRPr="00BE6368">
        <w:t xml:space="preserve"> on one side of the tablet and </w:t>
      </w:r>
      <w:r w:rsidR="00251457">
        <w:t>‘</w:t>
      </w:r>
      <w:r w:rsidRPr="00BE6368">
        <w:t>9883</w:t>
      </w:r>
      <w:r w:rsidR="00251457">
        <w:t>’</w:t>
      </w:r>
      <w:r w:rsidRPr="00BE6368">
        <w:t xml:space="preserve"> on the other side of the tablet. Tablets are not scored. Tablets are approximately 15 mm in length and 8 mm in width, and packaged in 100 mL </w:t>
      </w:r>
      <w:r w:rsidR="009D7B64">
        <w:t>HDPE</w:t>
      </w:r>
      <w:r w:rsidR="009D7B64" w:rsidRPr="0024006C">
        <w:t xml:space="preserve"> </w:t>
      </w:r>
      <w:r w:rsidRPr="00BE6368">
        <w:t>bottles containing 30 tablets. Each bottle contains 3 grams of desiccant and a polyester coil, and is capped with a white, continuous thread,</w:t>
      </w:r>
      <w:r w:rsidR="001411C5">
        <w:t xml:space="preserve"> child </w:t>
      </w:r>
      <w:r w:rsidRPr="00BE6368">
        <w:t>resistant polypropylene sc</w:t>
      </w:r>
      <w:r w:rsidR="001411C5">
        <w:t xml:space="preserve">rew cap lined with an induction </w:t>
      </w:r>
      <w:r w:rsidRPr="00BE6368">
        <w:t>sealed aluminium foil liner.</w:t>
      </w:r>
    </w:p>
    <w:p w:rsidR="00283945" w:rsidRDefault="00283945" w:rsidP="00283945">
      <w:r>
        <w:t>Each tablet contains bictegravir (50 mg, as sodium salt), emtricitabine (200 mg) and tenofovir alafenamide (25 mg, as fumarate salt).</w:t>
      </w:r>
    </w:p>
    <w:p w:rsidR="00283945" w:rsidRDefault="00283945" w:rsidP="00283945">
      <w:r>
        <w:t>The tablets are bilayer: one layer contains bictegravir sodium and the other contains FTC and TAF. The manufacture of the product is conventional for bilayer tablets, that is</w:t>
      </w:r>
      <w:r w:rsidR="00A70505">
        <w:t>,</w:t>
      </w:r>
      <w:r>
        <w:t xml:space="preserve"> preparation of powder blends, compression and film coating.</w:t>
      </w:r>
    </w:p>
    <w:p w:rsidR="00283945" w:rsidRDefault="00283945" w:rsidP="00283945">
      <w:r>
        <w:t>TAF is susceptible to hydrolysis. Moisture is controlled during tablet manufacture through use of a dry granulation process, and the bottle contains desiccant to control moisture during use. Finished product specifications also include an appropriate limit for water content. TAF-related impurities increase slightly on storage; however, no significant changes were observed during the stability trials.</w:t>
      </w:r>
    </w:p>
    <w:p w:rsidR="00283945" w:rsidRDefault="00283945" w:rsidP="00283945">
      <w:r>
        <w:t xml:space="preserve">The quality of the tablets is controlled by specifications that include appropriate tests and limits for assay (bictegravir sodium, emtricitabine and tenofovir alafenamide fumarate), impurities, water content, uniformity of dosage units and dissolution. The company has been requested to tighten the proposed limit for the impurity PMPA anhydride to </w:t>
      </w:r>
      <w:r w:rsidR="00FB25B0">
        <w:t>not more than (</w:t>
      </w:r>
      <w:r>
        <w:t xml:space="preserve">NMT 2.5% in accordance with TGA </w:t>
      </w:r>
      <w:r w:rsidR="006A343E">
        <w:t>nonclinical</w:t>
      </w:r>
      <w:r>
        <w:t xml:space="preserve"> advice.</w:t>
      </w:r>
    </w:p>
    <w:p w:rsidR="00940A89" w:rsidRDefault="00283945" w:rsidP="00940A89">
      <w:r>
        <w:t>Stability data have been generated under stressed, accelerated and real time conditions. These data support the proposed shelf life of 24 months, when stored below 30°C.</w:t>
      </w:r>
    </w:p>
    <w:p w:rsidR="008A6F73" w:rsidRDefault="008A6F73" w:rsidP="008A6F73">
      <w:r>
        <w:t>Provided the following issues are addressed, registration is recommended from a pharma</w:t>
      </w:r>
      <w:r w:rsidR="009D7B64">
        <w:t>ceutical chemistry perspective.</w:t>
      </w:r>
    </w:p>
    <w:p w:rsidR="008A6F73" w:rsidRDefault="008A6F73" w:rsidP="008A6F73">
      <w:pPr>
        <w:pStyle w:val="ListBullet"/>
      </w:pPr>
      <w:r>
        <w:t>The finished product specification for the impurity PMPA anhydride should be tightened to NMT 2.5% in accorda</w:t>
      </w:r>
      <w:r w:rsidR="009D7B64">
        <w:t>nce with TGA toxicology advice.</w:t>
      </w:r>
    </w:p>
    <w:p w:rsidR="008A6F73" w:rsidRDefault="008A6F73" w:rsidP="008A6F73">
      <w:pPr>
        <w:pStyle w:val="ListBullet"/>
      </w:pPr>
      <w:r>
        <w:t>The toxicology evaluation has now been completed. The proposed limit for GS-713179 is not toxicologically qualified and should be tightened to t</w:t>
      </w:r>
      <w:r w:rsidR="009D7B64">
        <w:t xml:space="preserve">he </w:t>
      </w:r>
      <w:r w:rsidR="00E45E80">
        <w:t>International Conference on Harmonisation (</w:t>
      </w:r>
      <w:r w:rsidR="009D7B64">
        <w:t>ICH</w:t>
      </w:r>
      <w:r w:rsidR="00E45E80">
        <w:t>)</w:t>
      </w:r>
      <w:r w:rsidR="009D7B64">
        <w:t xml:space="preserve"> limit (</w:t>
      </w:r>
      <w:r w:rsidR="00E45E80">
        <w:t>that is,</w:t>
      </w:r>
      <w:r w:rsidR="009D7B64">
        <w:t xml:space="preserve"> to NMT 0.15%)</w:t>
      </w:r>
      <w:r>
        <w:t>.</w:t>
      </w:r>
    </w:p>
    <w:p w:rsidR="00F22213" w:rsidRDefault="00F22213" w:rsidP="00F22213">
      <w:r>
        <w:t>The proposed limits for the other impurities, GS-71318</w:t>
      </w:r>
      <w:r w:rsidR="006A343E">
        <w:t>0 and GS-709293 are qualified.</w:t>
      </w:r>
    </w:p>
    <w:p w:rsidR="00F22213" w:rsidRPr="00087507" w:rsidRDefault="00F22213" w:rsidP="00F22213">
      <w:r w:rsidRPr="00087507">
        <w:t>Addendum 30 April 2018</w:t>
      </w:r>
      <w:r w:rsidR="007C76A4" w:rsidRPr="00087507">
        <w:t>:</w:t>
      </w:r>
    </w:p>
    <w:p w:rsidR="00F22213" w:rsidRPr="00940A89" w:rsidRDefault="00F22213" w:rsidP="00F22213">
      <w:r>
        <w:t>Previously identified issues with impurities</w:t>
      </w:r>
      <w:r w:rsidR="000F7FF4">
        <w:t xml:space="preserve"> PMPA anhydride,</w:t>
      </w:r>
      <w:r>
        <w:t xml:space="preserve"> GS-713179, GS-709293 and GS-713180 have been resolved and</w:t>
      </w:r>
      <w:r w:rsidR="007C76A4">
        <w:t xml:space="preserve"> proposed limits are qualified. Follow up advice and review clarified that t</w:t>
      </w:r>
      <w:r>
        <w:t>he proposed limits are acceptable</w:t>
      </w:r>
      <w:r w:rsidR="007C76A4">
        <w:t xml:space="preserve"> and do not require tightening.</w:t>
      </w:r>
    </w:p>
    <w:p w:rsidR="008E7846" w:rsidRDefault="008E7846" w:rsidP="008E7846">
      <w:pPr>
        <w:pStyle w:val="Heading3"/>
      </w:pPr>
      <w:bookmarkStart w:id="37" w:name="_Toc314842491"/>
      <w:bookmarkStart w:id="38" w:name="_Toc20133968"/>
      <w:r>
        <w:t>Biopharmaceutics</w:t>
      </w:r>
      <w:bookmarkEnd w:id="37"/>
      <w:bookmarkEnd w:id="38"/>
    </w:p>
    <w:p w:rsidR="00014608" w:rsidRDefault="00014608" w:rsidP="00014608">
      <w:pPr>
        <w:pStyle w:val="Heading4"/>
      </w:pPr>
      <w:r>
        <w:t>Absolute bioavailability</w:t>
      </w:r>
    </w:p>
    <w:p w:rsidR="00014608" w:rsidRDefault="00014608" w:rsidP="00014608">
      <w:r>
        <w:t>No absolute bioavailability studies were submitted. In accordance with TGA Guidance 15</w:t>
      </w:r>
      <w:r w:rsidR="004E4AAB">
        <w:t>;</w:t>
      </w:r>
      <w:r>
        <w:t xml:space="preserve"> </w:t>
      </w:r>
      <w:r w:rsidRPr="004E4AAB">
        <w:t xml:space="preserve">Biopharmaceutic Studies, </w:t>
      </w:r>
      <w:r>
        <w:t>justification for not submitting an absolute bioavailability study was provided and clinical advice on its acceptability has been sought.</w:t>
      </w:r>
    </w:p>
    <w:p w:rsidR="00014608" w:rsidRDefault="00014608" w:rsidP="00014608">
      <w:pPr>
        <w:pStyle w:val="Heading4"/>
      </w:pPr>
      <w:r>
        <w:lastRenderedPageBreak/>
        <w:t>Bioequivalence of market and clinical trial formulations</w:t>
      </w:r>
    </w:p>
    <w:p w:rsidR="00014608" w:rsidRDefault="00014608" w:rsidP="00014608">
      <w:r>
        <w:t>No Phase I studies examined the bioequivalence between the original FDC formulation, as used in some Phase I and Phase III studies, and the to</w:t>
      </w:r>
      <w:r w:rsidR="0061772C">
        <w:t>-</w:t>
      </w:r>
      <w:r>
        <w:t>be</w:t>
      </w:r>
      <w:r w:rsidR="0061772C">
        <w:t>-</w:t>
      </w:r>
      <w:r>
        <w:t xml:space="preserve">marketed formulation of </w:t>
      </w:r>
      <w:r w:rsidR="001B5D97">
        <w:t>Biktarvy</w:t>
      </w:r>
      <w:r>
        <w:t>. However, the difference between the two formulations was minor as it represented a reduction in magnesium stearate content in the FTC/TAF layer from 1.5%</w:t>
      </w:r>
      <w:r w:rsidR="00CE499F">
        <w:t xml:space="preserve"> w/w </w:t>
      </w:r>
      <w:r>
        <w:t>in the original to 1.0% w/w and dissolution studies undertaken by the sponsor indicate that the dissolution profiles of the two formulations were comparable.</w:t>
      </w:r>
    </w:p>
    <w:p w:rsidR="00014608" w:rsidRDefault="00014608" w:rsidP="00014608">
      <w:r>
        <w:t xml:space="preserve">The </w:t>
      </w:r>
      <w:r w:rsidR="00CE499F">
        <w:t>pharmacokinetics</w:t>
      </w:r>
      <w:r w:rsidR="002065F4">
        <w:t xml:space="preserve"> of single dose</w:t>
      </w:r>
      <w:r>
        <w:t xml:space="preserve"> BIC 75 mg </w:t>
      </w:r>
      <w:r w:rsidR="002065F4">
        <w:t xml:space="preserve">as a </w:t>
      </w:r>
      <w:r>
        <w:t>sing</w:t>
      </w:r>
      <w:r w:rsidR="001411C5">
        <w:t xml:space="preserve">le </w:t>
      </w:r>
      <w:r w:rsidR="002065F4">
        <w:t>agent, as used in the Phase II</w:t>
      </w:r>
      <w:r>
        <w:t xml:space="preserve"> Safety and E</w:t>
      </w:r>
      <w:r w:rsidR="001411C5">
        <w:t xml:space="preserve">fficacy </w:t>
      </w:r>
      <w:r w:rsidR="00116653">
        <w:t>Study</w:t>
      </w:r>
      <w:r w:rsidR="001411C5">
        <w:t xml:space="preserve"> GS-US-14</w:t>
      </w:r>
      <w:r w:rsidR="00992BD0">
        <w:t>1</w:t>
      </w:r>
      <w:r w:rsidR="001411C5">
        <w:t>-1475, co-</w:t>
      </w:r>
      <w:r>
        <w:t xml:space="preserve">administered with FTC/TAF 200/25 mg tablets was compared with the </w:t>
      </w:r>
      <w:r w:rsidR="002065F4">
        <w:t>pharmacokinetic</w:t>
      </w:r>
      <w:r>
        <w:t xml:space="preserve">s </w:t>
      </w:r>
      <w:r w:rsidR="006C7291">
        <w:t>of the FDC tablet containing B</w:t>
      </w:r>
      <w:r>
        <w:t>/F/TAF (50/200/25 mg) that</w:t>
      </w:r>
      <w:r w:rsidR="002065F4">
        <w:t xml:space="preserve"> was used in the initial Phase III</w:t>
      </w:r>
      <w:r>
        <w:t xml:space="preserve"> studies in healthy subjects under fasted conditions in Study GS-US-141-1233. The results indicated that the geometric least square mean (GLSM) ratios and their </w:t>
      </w:r>
      <w:r w:rsidR="002065F4">
        <w:t xml:space="preserve">90% </w:t>
      </w:r>
      <w:r w:rsidR="00A26F7F">
        <w:t>confidence intervals (</w:t>
      </w:r>
      <w:r w:rsidR="002065F4">
        <w:t>C</w:t>
      </w:r>
      <w:r w:rsidR="00A26F7F">
        <w:t>i</w:t>
      </w:r>
      <w:r w:rsidR="002065F4">
        <w:t>s</w:t>
      </w:r>
      <w:r w:rsidR="00A26F7F">
        <w:t>)</w:t>
      </w:r>
      <w:r w:rsidR="002065F4">
        <w:t xml:space="preserve"> comparing the primary pharmacokinetic</w:t>
      </w:r>
      <w:r>
        <w:t xml:space="preserve"> parameters for B</w:t>
      </w:r>
      <w:r w:rsidR="000B7F33">
        <w:t xml:space="preserve">IC, FTC, and TAF between the 50 </w:t>
      </w:r>
      <w:r>
        <w:t xml:space="preserve">mg B/F/TAF FDC and BIC 75 mg </w:t>
      </w:r>
      <w:r w:rsidR="0058597B">
        <w:t>+</w:t>
      </w:r>
      <w:r>
        <w:t xml:space="preserve"> FTC/TAF under fasted cond</w:t>
      </w:r>
      <w:r w:rsidR="001411C5">
        <w:t xml:space="preserve">itions were within the protocol </w:t>
      </w:r>
      <w:r>
        <w:t xml:space="preserve">defined boundaries of equivalence (70% to 143%), with the exception of TAF </w:t>
      </w:r>
      <w:r w:rsidR="00080EC5">
        <w:t>C</w:t>
      </w:r>
      <w:r w:rsidR="00080EC5" w:rsidRPr="00080EC5">
        <w:rPr>
          <w:vertAlign w:val="subscript"/>
        </w:rPr>
        <w:t>max</w:t>
      </w:r>
      <w:r>
        <w:t>, for which the GLSM ratio (90% CI) was 84.17% (67.59%, 104.81%).</w:t>
      </w:r>
      <w:r w:rsidR="00A26F7F">
        <w:rPr>
          <w:rStyle w:val="FootnoteReference"/>
        </w:rPr>
        <w:footnoteReference w:id="2"/>
      </w:r>
      <w:r>
        <w:t xml:space="preserve"> The difference in TAF </w:t>
      </w:r>
      <w:r w:rsidR="00080EC5">
        <w:t>C</w:t>
      </w:r>
      <w:r w:rsidR="00080EC5" w:rsidRPr="00080EC5">
        <w:rPr>
          <w:vertAlign w:val="subscript"/>
        </w:rPr>
        <w:t>max</w:t>
      </w:r>
      <w:r>
        <w:t xml:space="preserve"> identified between the two regimens is unlikely to be of clinical significance.</w:t>
      </w:r>
    </w:p>
    <w:p w:rsidR="00014608" w:rsidRDefault="000B7F33" w:rsidP="000B7F33">
      <w:pPr>
        <w:pStyle w:val="Heading4"/>
      </w:pPr>
      <w:r>
        <w:t>Effect of food</w:t>
      </w:r>
    </w:p>
    <w:p w:rsidR="00014608" w:rsidRDefault="000B7F33" w:rsidP="00014608">
      <w:r>
        <w:t>T</w:t>
      </w:r>
      <w:r w:rsidR="00014608">
        <w:t>he effects of food on the pharmacokinetics of the original FDC t</w:t>
      </w:r>
      <w:r w:rsidR="006C7291">
        <w:t>ablet formulation containing B</w:t>
      </w:r>
      <w:r w:rsidR="00014608">
        <w:t>/F/TAF (50/200/25 mg)</w:t>
      </w:r>
      <w:r>
        <w:t xml:space="preserve"> were assessed i</w:t>
      </w:r>
      <w:r w:rsidRPr="000B7F33">
        <w:t>n Study GS-US-141-1233</w:t>
      </w:r>
      <w:r w:rsidR="00014608" w:rsidRPr="000B7F33">
        <w:t>:</w:t>
      </w:r>
    </w:p>
    <w:p w:rsidR="000B7F33" w:rsidRDefault="00014608" w:rsidP="00014608">
      <w:pPr>
        <w:pStyle w:val="ListBullet"/>
      </w:pPr>
      <w:r>
        <w:t>BIC AUC</w:t>
      </w:r>
      <w:r w:rsidRPr="000B7F33">
        <w:rPr>
          <w:vertAlign w:val="subscript"/>
        </w:rPr>
        <w:t>inf</w:t>
      </w:r>
      <w:r>
        <w:t xml:space="preserve"> and </w:t>
      </w:r>
      <w:r w:rsidR="00080EC5">
        <w:t>C</w:t>
      </w:r>
      <w:r w:rsidR="00080EC5" w:rsidRPr="00080EC5">
        <w:rPr>
          <w:vertAlign w:val="subscript"/>
        </w:rPr>
        <w:t>max</w:t>
      </w:r>
      <w:r>
        <w:t xml:space="preserve"> were approximately 24% and 13% higher,</w:t>
      </w:r>
      <w:r w:rsidR="001411C5">
        <w:t xml:space="preserve"> respectively, following a high </w:t>
      </w:r>
      <w:r>
        <w:t>fat meal than they were under fasted conditions.</w:t>
      </w:r>
      <w:r w:rsidR="00A26F7F">
        <w:rPr>
          <w:rStyle w:val="FootnoteReference"/>
        </w:rPr>
        <w:footnoteReference w:id="3"/>
      </w:r>
    </w:p>
    <w:p w:rsidR="000B7F33" w:rsidRDefault="001411C5" w:rsidP="00014608">
      <w:pPr>
        <w:pStyle w:val="ListBullet"/>
      </w:pPr>
      <w:r>
        <w:t xml:space="preserve">A moderate </w:t>
      </w:r>
      <w:r w:rsidR="00014608">
        <w:t>fat meal increased BIC AUC</w:t>
      </w:r>
      <w:r w:rsidR="00014608" w:rsidRPr="000B7F33">
        <w:rPr>
          <w:vertAlign w:val="subscript"/>
        </w:rPr>
        <w:t>inf</w:t>
      </w:r>
      <w:r w:rsidR="00014608">
        <w:t xml:space="preserve"> and </w:t>
      </w:r>
      <w:r w:rsidR="00080EC5">
        <w:t>C</w:t>
      </w:r>
      <w:r w:rsidR="00080EC5" w:rsidRPr="00080EC5">
        <w:rPr>
          <w:vertAlign w:val="subscript"/>
        </w:rPr>
        <w:t>max</w:t>
      </w:r>
      <w:r w:rsidR="000B7F33">
        <w:t xml:space="preserve"> by 24% and 20%, respectively.</w:t>
      </w:r>
    </w:p>
    <w:p w:rsidR="000B7F33" w:rsidRDefault="001411C5" w:rsidP="00014608">
      <w:pPr>
        <w:pStyle w:val="ListBullet"/>
      </w:pPr>
      <w:r>
        <w:t xml:space="preserve">A high </w:t>
      </w:r>
      <w:r w:rsidR="00014608">
        <w:t>fat meal increased TAF AUC</w:t>
      </w:r>
      <w:r w:rsidR="00014608" w:rsidRPr="000B7F33">
        <w:rPr>
          <w:vertAlign w:val="subscript"/>
        </w:rPr>
        <w:t>last</w:t>
      </w:r>
      <w:r w:rsidR="00014608">
        <w:t xml:space="preserve"> by 63% compared to fasted condit</w:t>
      </w:r>
      <w:r w:rsidR="002D2B38">
        <w:t xml:space="preserve">ions, whereas, a moderate </w:t>
      </w:r>
      <w:r w:rsidR="00014608">
        <w:t>fat meal increased TAF AUC</w:t>
      </w:r>
      <w:r w:rsidR="00014608" w:rsidRPr="000B7F33">
        <w:rPr>
          <w:vertAlign w:val="subscript"/>
        </w:rPr>
        <w:t>last</w:t>
      </w:r>
      <w:r w:rsidR="000B7F33">
        <w:t xml:space="preserve"> by 48%.</w:t>
      </w:r>
      <w:r w:rsidR="00A26F7F">
        <w:rPr>
          <w:rStyle w:val="FootnoteReference"/>
        </w:rPr>
        <w:footnoteReference w:id="4"/>
      </w:r>
    </w:p>
    <w:p w:rsidR="00014608" w:rsidRDefault="00014608" w:rsidP="00014608">
      <w:pPr>
        <w:pStyle w:val="ListBullet"/>
      </w:pPr>
      <w:r>
        <w:t xml:space="preserve">By contrast, food had little to no meaningful effect on TAF </w:t>
      </w:r>
      <w:r w:rsidR="00080EC5">
        <w:t>C</w:t>
      </w:r>
      <w:r w:rsidR="00080EC5" w:rsidRPr="00080EC5">
        <w:rPr>
          <w:vertAlign w:val="subscript"/>
        </w:rPr>
        <w:t>max</w:t>
      </w:r>
      <w:r>
        <w:t xml:space="preserve"> or the AUC of FTC. However, a small decrease (14%) in FTC </w:t>
      </w:r>
      <w:r w:rsidR="00080EC5">
        <w:t>C</w:t>
      </w:r>
      <w:r w:rsidR="00080EC5" w:rsidRPr="00080EC5">
        <w:rPr>
          <w:vertAlign w:val="subscript"/>
        </w:rPr>
        <w:t>max</w:t>
      </w:r>
      <w:r>
        <w:t xml:space="preserve"> was observed follo</w:t>
      </w:r>
      <w:r w:rsidR="002D2B38">
        <w:t xml:space="preserve">wing administration with a high </w:t>
      </w:r>
      <w:r>
        <w:t>fat meal.</w:t>
      </w:r>
    </w:p>
    <w:p w:rsidR="00014608" w:rsidRPr="00014608" w:rsidRDefault="00014608" w:rsidP="00014608">
      <w:r>
        <w:t>The study supports the PI statement regarding dosing with or without food.</w:t>
      </w:r>
    </w:p>
    <w:p w:rsidR="008E7846" w:rsidRPr="008751DC" w:rsidRDefault="008E7846" w:rsidP="008E7846">
      <w:pPr>
        <w:pStyle w:val="Heading3"/>
      </w:pPr>
      <w:bookmarkStart w:id="39" w:name="_Toc247691509"/>
      <w:bookmarkStart w:id="40" w:name="_Toc314842493"/>
      <w:bookmarkStart w:id="41" w:name="_Toc20133969"/>
      <w:r>
        <w:t>Quality s</w:t>
      </w:r>
      <w:r w:rsidRPr="008751DC">
        <w:t>ummary</w:t>
      </w:r>
      <w:r>
        <w:t xml:space="preserve"> and conclusions</w:t>
      </w:r>
      <w:bookmarkEnd w:id="39"/>
      <w:bookmarkEnd w:id="40"/>
      <w:bookmarkEnd w:id="41"/>
    </w:p>
    <w:p w:rsidR="000B7F33" w:rsidRDefault="000B7F33" w:rsidP="000B7F33">
      <w:r>
        <w:t xml:space="preserve">The applicant has been requested to tighten the specification for one impurity in the drug product specifications in line with advice from TGA toxicology section. </w:t>
      </w:r>
      <w:r w:rsidR="002D05A8">
        <w:t>(T</w:t>
      </w:r>
      <w:r>
        <w:t xml:space="preserve">his </w:t>
      </w:r>
      <w:r w:rsidR="002D05A8">
        <w:t>issue was</w:t>
      </w:r>
      <w:r>
        <w:t xml:space="preserve"> resolved prior to the decision phase</w:t>
      </w:r>
      <w:r w:rsidR="002D05A8">
        <w:t>)</w:t>
      </w:r>
      <w:r>
        <w:t>.</w:t>
      </w:r>
    </w:p>
    <w:p w:rsidR="008E7846" w:rsidRDefault="000B7F33" w:rsidP="000B7F33">
      <w:r>
        <w:t>Approval is recommended from a chemistry and quality perspective.</w:t>
      </w:r>
    </w:p>
    <w:p w:rsidR="008E7846" w:rsidRDefault="008E7846" w:rsidP="008E7846">
      <w:pPr>
        <w:pStyle w:val="Heading2"/>
      </w:pPr>
      <w:bookmarkStart w:id="42" w:name="_Toc196046439"/>
      <w:bookmarkStart w:id="43" w:name="_Toc247691510"/>
      <w:bookmarkStart w:id="44" w:name="_Toc314842494"/>
      <w:bookmarkStart w:id="45" w:name="_Toc20133970"/>
      <w:r>
        <w:lastRenderedPageBreak/>
        <w:t>I</w:t>
      </w:r>
      <w:r w:rsidR="00500337">
        <w:t>V</w:t>
      </w:r>
      <w:r>
        <w:t>. Nonclinical</w:t>
      </w:r>
      <w:bookmarkEnd w:id="42"/>
      <w:r>
        <w:t xml:space="preserve"> findings</w:t>
      </w:r>
      <w:bookmarkEnd w:id="43"/>
      <w:bookmarkEnd w:id="44"/>
      <w:bookmarkEnd w:id="45"/>
    </w:p>
    <w:p w:rsidR="00644EA7" w:rsidRDefault="00644EA7" w:rsidP="00644EA7">
      <w:pPr>
        <w:pStyle w:val="Heading3"/>
      </w:pPr>
      <w:bookmarkStart w:id="46" w:name="_Toc20133971"/>
      <w:bookmarkStart w:id="47" w:name="_Toc247691511"/>
      <w:bookmarkStart w:id="48" w:name="_Toc314842495"/>
      <w:r>
        <w:t>Introduction</w:t>
      </w:r>
      <w:bookmarkEnd w:id="46"/>
    </w:p>
    <w:p w:rsidR="00AD4A16" w:rsidRDefault="00AD4A16" w:rsidP="00AD4A16">
      <w:r>
        <w:t>The sponsor has appli</w:t>
      </w:r>
      <w:r w:rsidR="002D2B38">
        <w:t xml:space="preserve">ed to register a new oral fixed </w:t>
      </w:r>
      <w:r>
        <w:t xml:space="preserve">dose combination tablet containing bictegravir, emtricitabine and tenofovir alafenamide (50/200/25 mg/day </w:t>
      </w:r>
      <w:r w:rsidR="00CD4AC6">
        <w:rPr>
          <w:rFonts w:cstheme="minorHAnsi"/>
        </w:rPr>
        <w:t>per oral</w:t>
      </w:r>
      <w:r w:rsidR="00CD4AC6">
        <w:t xml:space="preserve"> (</w:t>
      </w:r>
      <w:r>
        <w:t>PO</w:t>
      </w:r>
      <w:r w:rsidR="00CD4AC6">
        <w:t>)</w:t>
      </w:r>
      <w:r>
        <w:t xml:space="preserve">; </w:t>
      </w:r>
      <w:r w:rsidR="001B5D97">
        <w:t>Biktarvy</w:t>
      </w:r>
      <w:r>
        <w:t>) for the treatment of human immunodeficiency virus-1 (HIV-1) infection and the treatment of chronic hepatitis B in adults co-infected with HIV-1. Bictegravir is a new chemical entity whereas emtricitabine and tenofovir alafenamide have been previously evaluated. Accordingly, the focus of this evaluation is on bictegravir.</w:t>
      </w:r>
    </w:p>
    <w:p w:rsidR="004334C7" w:rsidRPr="004334C7" w:rsidRDefault="00AD4A16" w:rsidP="004334C7">
      <w:r>
        <w:t>The</w:t>
      </w:r>
      <w:r w:rsidR="0020115C">
        <w:t xml:space="preserve"> s</w:t>
      </w:r>
      <w:r>
        <w:t>ponsor has provided a high quality dossier of studies focused on bictegravir. Except where stated below triple drug combination studies were not supplied. Full carcinogenicity studies were also not supplied</w:t>
      </w:r>
      <w:r w:rsidR="0020115C">
        <w:t>;</w:t>
      </w:r>
      <w:r>
        <w:t xml:space="preserve"> however</w:t>
      </w:r>
      <w:r w:rsidR="0020115C">
        <w:t>,</w:t>
      </w:r>
      <w:r>
        <w:t xml:space="preserve"> as per </w:t>
      </w:r>
      <w:r w:rsidR="00A26F7F">
        <w:t>the Guideline</w:t>
      </w:r>
      <w:r w:rsidR="007C4BE8">
        <w:t>;</w:t>
      </w:r>
      <w:r w:rsidR="006C7291">
        <w:rPr>
          <w:rStyle w:val="FootnoteReference"/>
        </w:rPr>
        <w:footnoteReference w:id="5"/>
      </w:r>
      <w:r>
        <w:t xml:space="preserve"> the submission of full carcinogenicity studies can be deferred on the basis of a post-approval commitment. No combination toxicology bridging studies have been supplied. An acceptable waiving statement based on the lack of overlapping toxicity in animals was supplied. The mode of action of bictegravir (INSTI) does not overlap with the modes of action of the combination drugs (NRTI </w:t>
      </w:r>
      <w:r w:rsidR="000E0B61">
        <w:t>plus N</w:t>
      </w:r>
      <w:r>
        <w:t>RTI). Bictegravir acts synergistically with the other drugs in a combination antiviral assay (discussed below). There is also substantial nonclinical experience with the safe</w:t>
      </w:r>
      <w:r w:rsidR="000E0B61">
        <w:t>ty properties of the FTC/</w:t>
      </w:r>
      <w:r>
        <w:t>TAF drug combination.</w:t>
      </w:r>
      <w:bookmarkEnd w:id="47"/>
      <w:bookmarkEnd w:id="48"/>
    </w:p>
    <w:p w:rsidR="008E7846" w:rsidRDefault="008E7846" w:rsidP="008E7846">
      <w:pPr>
        <w:pStyle w:val="Heading3"/>
      </w:pPr>
      <w:bookmarkStart w:id="49" w:name="_Toc247691512"/>
      <w:bookmarkStart w:id="50" w:name="_Toc314842496"/>
      <w:bookmarkStart w:id="51" w:name="_Toc20133972"/>
      <w:r w:rsidRPr="00020030">
        <w:t>Pharmacology</w:t>
      </w:r>
      <w:bookmarkEnd w:id="49"/>
      <w:bookmarkEnd w:id="50"/>
      <w:bookmarkEnd w:id="51"/>
    </w:p>
    <w:p w:rsidR="00644EA7" w:rsidRDefault="00644EA7" w:rsidP="00644EA7">
      <w:pPr>
        <w:pStyle w:val="Heading4"/>
      </w:pPr>
      <w:r>
        <w:t>Nonclinical virology</w:t>
      </w:r>
    </w:p>
    <w:p w:rsidR="00644EA7" w:rsidRDefault="00644EA7" w:rsidP="00644EA7">
      <w:r>
        <w:t>Bictegravir is a second generation HIV INSTI. Other members of this drug class include dolutegravir</w:t>
      </w:r>
      <w:r w:rsidR="00473252">
        <w:t>.</w:t>
      </w:r>
      <w:r>
        <w:t xml:space="preserve"> Most of the submitted studies were evaluations of antiviral activities of bictegravir compared with dolutegravir and the first generation INSTIs, raltegravir and elvitegravir using HIV-1. No studies on hepatitis</w:t>
      </w:r>
      <w:r w:rsidR="007C4BE8">
        <w:t> </w:t>
      </w:r>
      <w:r>
        <w:t>B/HIV</w:t>
      </w:r>
      <w:r w:rsidR="00CE499F">
        <w:noBreakHyphen/>
      </w:r>
      <w:r>
        <w:t>1 co-infection were supplied.</w:t>
      </w:r>
    </w:p>
    <w:p w:rsidR="00644EA7" w:rsidRDefault="00644EA7" w:rsidP="00644EA7">
      <w:pPr>
        <w:pStyle w:val="Heading5"/>
      </w:pPr>
      <w:r>
        <w:t>Mechanism of action</w:t>
      </w:r>
    </w:p>
    <w:p w:rsidR="00644EA7" w:rsidRDefault="00644EA7" w:rsidP="00644EA7">
      <w:r>
        <w:t xml:space="preserve">The second generation INSTIs were developed to overcome the low </w:t>
      </w:r>
      <w:r w:rsidR="002D2B38">
        <w:t xml:space="preserve">barrier to resistance and cross </w:t>
      </w:r>
      <w:r>
        <w:t xml:space="preserve">resistance with the first generation INSTIs (such as raltegravir and elvitegravir). Compared with the first generation INSTIs, the second generation drugs </w:t>
      </w:r>
      <w:r w:rsidR="007E7BFA">
        <w:t xml:space="preserve">generally </w:t>
      </w:r>
      <w:r>
        <w:t>have tighter binding to the integrase inhibitor binding pocket. This partly explains their pharmacological advantages.</w:t>
      </w:r>
    </w:p>
    <w:p w:rsidR="00644EA7" w:rsidRDefault="00644EA7" w:rsidP="00644EA7">
      <w:r>
        <w:t>Bictegravir inhibited HIV strand transfer (</w:t>
      </w:r>
      <w:r w:rsidR="007C4BE8">
        <w:t>half-maximal inhibitory concentration (</w:t>
      </w:r>
      <w:r>
        <w:t>IC</w:t>
      </w:r>
      <w:r w:rsidRPr="00644EA7">
        <w:rPr>
          <w:vertAlign w:val="subscript"/>
        </w:rPr>
        <w:t>50</w:t>
      </w:r>
      <w:r w:rsidR="007C4BE8">
        <w:t xml:space="preserve">) </w:t>
      </w:r>
      <w:r>
        <w:t>7.5</w:t>
      </w:r>
      <w:r w:rsidR="007C4BE8">
        <w:t> </w:t>
      </w:r>
      <w:r>
        <w:t>nM; similar to dolutegravir and elvitegravir) and the 3’-end processing activities of recombinant HIV-1 integrase (IC</w:t>
      </w:r>
      <w:r w:rsidRPr="00644EA7">
        <w:rPr>
          <w:vertAlign w:val="subscript"/>
        </w:rPr>
        <w:t>50</w:t>
      </w:r>
      <w:r w:rsidR="00CE499F">
        <w:t> </w:t>
      </w:r>
      <w:r>
        <w:t>241</w:t>
      </w:r>
      <w:r w:rsidR="000E0B61">
        <w:t> </w:t>
      </w:r>
      <w:r>
        <w:t xml:space="preserve">nM; similar to dolutegravir but </w:t>
      </w:r>
      <w:r w:rsidR="006565A4">
        <w:t xml:space="preserve">~ </w:t>
      </w:r>
      <w:r>
        <w:t xml:space="preserve">2 </w:t>
      </w:r>
      <w:r w:rsidR="000E0B61">
        <w:t>times</w:t>
      </w:r>
      <w:r>
        <w:t xml:space="preserve"> lower than elvitegravir) </w:t>
      </w:r>
      <w:r w:rsidRPr="00087507">
        <w:rPr>
          <w:i/>
        </w:rPr>
        <w:t>in vitro</w:t>
      </w:r>
      <w:r w:rsidRPr="007C4BE8">
        <w:t>.</w:t>
      </w:r>
      <w:r>
        <w:t xml:space="preserve"> </w:t>
      </w:r>
      <w:r w:rsidR="007C4BE8">
        <w:t>Polymerase chain reaction (</w:t>
      </w:r>
      <w:r>
        <w:t>PCR</w:t>
      </w:r>
      <w:r w:rsidR="007C4BE8">
        <w:t>)</w:t>
      </w:r>
      <w:r>
        <w:t xml:space="preserve"> measurement of abortive circular viral DNA 1-LTR and 2</w:t>
      </w:r>
      <w:r w:rsidR="007C4BE8">
        <w:noBreakHyphen/>
      </w:r>
      <w:r>
        <w:t>LTR levels demonstrated that bictegravir (test concentration 28 nM) inhibited vir</w:t>
      </w:r>
      <w:r w:rsidR="002D2B38">
        <w:t xml:space="preserve">al DNA integration in a human T </w:t>
      </w:r>
      <w:r>
        <w:t xml:space="preserve">cell line </w:t>
      </w:r>
      <w:r w:rsidRPr="00087507">
        <w:rPr>
          <w:i/>
        </w:rPr>
        <w:t>in vitro</w:t>
      </w:r>
      <w:r w:rsidR="00C11F5F">
        <w:t xml:space="preserve"> (equivalent to dolutegravir).</w:t>
      </w:r>
    </w:p>
    <w:p w:rsidR="00644EA7" w:rsidRDefault="00644EA7" w:rsidP="00644EA7">
      <w:r>
        <w:t xml:space="preserve">Based on its </w:t>
      </w:r>
      <w:r w:rsidRPr="00087507">
        <w:rPr>
          <w:i/>
        </w:rPr>
        <w:t>in vitro</w:t>
      </w:r>
      <w:r w:rsidR="002D2B38">
        <w:t xml:space="preserve"> integrase </w:t>
      </w:r>
      <w:r>
        <w:t>DNA dissociation t</w:t>
      </w:r>
      <w:r w:rsidRPr="00C11F5F">
        <w:rPr>
          <w:vertAlign w:val="subscript"/>
        </w:rPr>
        <w:t>½</w:t>
      </w:r>
      <w:r>
        <w:t xml:space="preserve"> (38 h</w:t>
      </w:r>
      <w:r w:rsidR="00CE499F">
        <w:t>ours</w:t>
      </w:r>
      <w:r>
        <w:t xml:space="preserve"> with wild type integrase and 2.5 h</w:t>
      </w:r>
      <w:r w:rsidR="00CE499F">
        <w:t>ours</w:t>
      </w:r>
      <w:r>
        <w:t xml:space="preserve"> with G140S+Q148H mutant), bictegravir formed relatively more stable d</w:t>
      </w:r>
      <w:r w:rsidR="00C11F5F">
        <w:t xml:space="preserve">rug-HIV-1 </w:t>
      </w:r>
      <w:r>
        <w:t>integrase-HIV-1 LTR DNA complexes (t</w:t>
      </w:r>
      <w:r w:rsidRPr="00C11F5F">
        <w:rPr>
          <w:vertAlign w:val="subscript"/>
        </w:rPr>
        <w:t>½</w:t>
      </w:r>
      <w:r w:rsidR="002D2B38">
        <w:t xml:space="preserve"> 2 to </w:t>
      </w:r>
      <w:r>
        <w:t>4</w:t>
      </w:r>
      <w:r w:rsidR="00C11F5F">
        <w:t xml:space="preserve"> </w:t>
      </w:r>
      <w:r w:rsidR="002D2B38">
        <w:t xml:space="preserve">times </w:t>
      </w:r>
      <w:r>
        <w:t xml:space="preserve">longer than </w:t>
      </w:r>
      <w:r w:rsidR="000F7FF4">
        <w:t>dolutegravir</w:t>
      </w:r>
      <w:r>
        <w:t xml:space="preserve"> and 7</w:t>
      </w:r>
      <w:r w:rsidR="000E0B61">
        <w:t> </w:t>
      </w:r>
      <w:r w:rsidR="002D2B38">
        <w:t>to</w:t>
      </w:r>
      <w:r w:rsidR="000E0B61">
        <w:t> </w:t>
      </w:r>
      <w:r>
        <w:t>25</w:t>
      </w:r>
      <w:r w:rsidR="000E0B61">
        <w:t> </w:t>
      </w:r>
      <w:r w:rsidR="002D2B38">
        <w:t>times</w:t>
      </w:r>
      <w:r>
        <w:t xml:space="preserve"> longer than the </w:t>
      </w:r>
      <w:r w:rsidR="00C11F5F">
        <w:t>fir</w:t>
      </w:r>
      <w:r>
        <w:t>st generation INSTIs). Long dissociation t</w:t>
      </w:r>
      <w:r w:rsidRPr="00C11F5F">
        <w:rPr>
          <w:vertAlign w:val="subscript"/>
        </w:rPr>
        <w:t>½</w:t>
      </w:r>
      <w:r>
        <w:t xml:space="preserve"> correlates with </w:t>
      </w:r>
      <w:r>
        <w:lastRenderedPageBreak/>
        <w:t xml:space="preserve">improved antiretroviral activity and a higher barrier to resistance (consistent with bictegravir’s </w:t>
      </w:r>
      <w:r w:rsidRPr="00087507">
        <w:rPr>
          <w:i/>
        </w:rPr>
        <w:t>in vitro</w:t>
      </w:r>
      <w:r>
        <w:t xml:space="preserve"> antiviral activity) </w:t>
      </w:r>
      <w:r w:rsidR="00C11F5F">
        <w:t>compared with</w:t>
      </w:r>
      <w:r>
        <w:t xml:space="preserve"> the </w:t>
      </w:r>
      <w:r w:rsidR="00C11F5F">
        <w:t>first generation INSTIs.</w:t>
      </w:r>
    </w:p>
    <w:p w:rsidR="00C11F5F" w:rsidRDefault="00644EA7" w:rsidP="00C11F5F">
      <w:pPr>
        <w:pStyle w:val="Heading5"/>
      </w:pPr>
      <w:r>
        <w:t>Ant</w:t>
      </w:r>
      <w:r w:rsidR="00C11F5F">
        <w:t>iviral activity in cell culture</w:t>
      </w:r>
    </w:p>
    <w:p w:rsidR="00644EA7" w:rsidRDefault="00644EA7" w:rsidP="00644EA7">
      <w:r>
        <w:t>Bictegravir and dolutegravir displayed similar potency against a diverse range of HIV-1 strains (including clinical isolates) covering group M subtypes A through G, and groups O and N (including clinical isolates) cultured in prim</w:t>
      </w:r>
      <w:r w:rsidR="002D2B38">
        <w:t xml:space="preserve">ary T </w:t>
      </w:r>
      <w:r w:rsidR="00C11F5F">
        <w:t>cells, T</w:t>
      </w:r>
      <w:r w:rsidR="002D2B38">
        <w:t xml:space="preserve"> </w:t>
      </w:r>
      <w:r w:rsidR="00C11F5F">
        <w:t>cell lines, PBMC</w:t>
      </w:r>
      <w:r>
        <w:t xml:space="preserve"> and primary macrophages. Bictegravir </w:t>
      </w:r>
      <w:r w:rsidR="009E0328">
        <w:rPr>
          <w:rFonts w:cstheme="minorHAnsi"/>
        </w:rPr>
        <w:t>half-maximal effective concentration</w:t>
      </w:r>
      <w:r w:rsidR="009E0328">
        <w:t xml:space="preserve"> (</w:t>
      </w:r>
      <w:r>
        <w:t>EC</w:t>
      </w:r>
      <w:r w:rsidRPr="00C11F5F">
        <w:rPr>
          <w:vertAlign w:val="subscript"/>
        </w:rPr>
        <w:t>50</w:t>
      </w:r>
      <w:r w:rsidR="009E0328">
        <w:t>)</w:t>
      </w:r>
      <w:r>
        <w:t xml:space="preserve"> was in the nanomolar range, </w:t>
      </w:r>
      <w:r w:rsidR="00251457">
        <w:t xml:space="preserve">&lt; </w:t>
      </w:r>
      <w:r w:rsidR="002D2B38">
        <w:t xml:space="preserve">0.05 to </w:t>
      </w:r>
      <w:r>
        <w:t>6.6 nM, and generally slightly (</w:t>
      </w:r>
      <w:r w:rsidR="00C11F5F">
        <w:t xml:space="preserve">≤ </w:t>
      </w:r>
      <w:r w:rsidR="006565A4">
        <w:t xml:space="preserve">~ </w:t>
      </w:r>
      <w:r>
        <w:t>2</w:t>
      </w:r>
      <w:r w:rsidR="00C11F5F">
        <w:t xml:space="preserve"> </w:t>
      </w:r>
      <w:r w:rsidR="000E0B61">
        <w:t>times</w:t>
      </w:r>
      <w:r>
        <w:t>) higher than dolutegravir EC</w:t>
      </w:r>
      <w:r w:rsidRPr="00C11F5F">
        <w:rPr>
          <w:vertAlign w:val="subscript"/>
        </w:rPr>
        <w:t>50</w:t>
      </w:r>
      <w:r>
        <w:t>. At 30</w:t>
      </w:r>
      <w:r w:rsidR="00C11F5F">
        <w:t xml:space="preserve"> </w:t>
      </w:r>
      <w:r w:rsidR="000E0B61">
        <w:t>times</w:t>
      </w:r>
      <w:r>
        <w:t xml:space="preserve"> multiplicity of infection, bictegravir’s EC</w:t>
      </w:r>
      <w:r w:rsidRPr="00E76350">
        <w:rPr>
          <w:vertAlign w:val="subscript"/>
        </w:rPr>
        <w:t>50</w:t>
      </w:r>
      <w:r>
        <w:t xml:space="preserve"> increased by </w:t>
      </w:r>
      <w:r w:rsidR="006565A4">
        <w:t>~</w:t>
      </w:r>
      <w:r w:rsidR="002F3E76">
        <w:t> </w:t>
      </w:r>
      <w:r>
        <w:t>6</w:t>
      </w:r>
      <w:r w:rsidR="002F3E76">
        <w:t> </w:t>
      </w:r>
      <w:r w:rsidR="000E0B61">
        <w:t>times</w:t>
      </w:r>
      <w:r>
        <w:t>. Bictegravir had lower EC</w:t>
      </w:r>
      <w:r w:rsidRPr="00E76350">
        <w:rPr>
          <w:vertAlign w:val="subscript"/>
        </w:rPr>
        <w:t>50</w:t>
      </w:r>
      <w:r>
        <w:t xml:space="preserve"> values </w:t>
      </w:r>
      <w:r w:rsidR="00E76350">
        <w:t>compared with t</w:t>
      </w:r>
      <w:r>
        <w:t xml:space="preserve">he </w:t>
      </w:r>
      <w:r w:rsidR="00E76350">
        <w:t>first generation INSTIs raltegravir and elvitegravir</w:t>
      </w:r>
      <w:r>
        <w:t>, and the NRTIs zidovudine and tenofovir. Bictegravir’s EC</w:t>
      </w:r>
      <w:r w:rsidRPr="00E76350">
        <w:rPr>
          <w:vertAlign w:val="subscript"/>
        </w:rPr>
        <w:t>50</w:t>
      </w:r>
      <w:r>
        <w:t xml:space="preserve"> for HIV-1 BaL</w:t>
      </w:r>
      <w:r w:rsidR="00CE499F">
        <w:rPr>
          <w:rStyle w:val="FootnoteReference"/>
        </w:rPr>
        <w:footnoteReference w:id="6"/>
      </w:r>
      <w:r>
        <w:t xml:space="preserve"> was </w:t>
      </w:r>
      <w:r w:rsidR="006565A4">
        <w:t xml:space="preserve">~ </w:t>
      </w:r>
      <w:r>
        <w:t>2</w:t>
      </w:r>
      <w:r w:rsidR="00E76350">
        <w:t xml:space="preserve"> </w:t>
      </w:r>
      <w:r w:rsidR="000E0B61">
        <w:t>times</w:t>
      </w:r>
      <w:r>
        <w:t xml:space="preserve"> higher than that of the NNRTI</w:t>
      </w:r>
      <w:r w:rsidR="000E0B61">
        <w:t>,</w:t>
      </w:r>
      <w:r>
        <w:t xml:space="preserve"> efavirenz. Bictegravir (EC</w:t>
      </w:r>
      <w:r w:rsidRPr="00E76350">
        <w:rPr>
          <w:vertAlign w:val="subscript"/>
        </w:rPr>
        <w:t>50</w:t>
      </w:r>
      <w:r w:rsidR="002F3E76">
        <w:t> </w:t>
      </w:r>
      <w:r>
        <w:t>1.1</w:t>
      </w:r>
      <w:r w:rsidR="002F3E76">
        <w:t> </w:t>
      </w:r>
      <w:r>
        <w:t>nM) was 2</w:t>
      </w:r>
      <w:r w:rsidR="00E76350">
        <w:t xml:space="preserve"> </w:t>
      </w:r>
      <w:r w:rsidR="000E0B61">
        <w:t>times</w:t>
      </w:r>
      <w:r>
        <w:t xml:space="preserve"> more potent against HIV-2 than dolutegravir and 4</w:t>
      </w:r>
      <w:r w:rsidR="00E76350">
        <w:t xml:space="preserve"> </w:t>
      </w:r>
      <w:r w:rsidR="000E0B61">
        <w:t>times</w:t>
      </w:r>
      <w:r>
        <w:t xml:space="preserve"> more potent than zidovudine.</w:t>
      </w:r>
    </w:p>
    <w:p w:rsidR="00E76350" w:rsidRDefault="00644EA7" w:rsidP="00E76350">
      <w:pPr>
        <w:pStyle w:val="Heading5"/>
      </w:pPr>
      <w:r>
        <w:t>Effect of serum and serum components on bictegravir potency</w:t>
      </w:r>
    </w:p>
    <w:p w:rsidR="00644EA7" w:rsidRDefault="00644EA7" w:rsidP="00644EA7">
      <w:r>
        <w:t>Bictegravir is highly protein bound. Equilibrium dialysis of bictegravir between human plasma against the cell culture medium containing 10% f</w:t>
      </w:r>
      <w:r w:rsidR="00E76350">
        <w:t>o</w:t>
      </w:r>
      <w:r>
        <w:t>etal bovine serum (FBS) showed a 43.6</w:t>
      </w:r>
      <w:r w:rsidR="00D8620E">
        <w:t xml:space="preserve"> </w:t>
      </w:r>
      <w:r>
        <w:t xml:space="preserve">fold higher concentration of bictegravir in human plasma than in the culture medium, indicating </w:t>
      </w:r>
      <w:r w:rsidR="006565A4">
        <w:t xml:space="preserve">~ </w:t>
      </w:r>
      <w:r>
        <w:t xml:space="preserve">44 fold higher protein binding in human plasma than in 10% FBS. In an </w:t>
      </w:r>
      <w:r w:rsidRPr="00087507">
        <w:rPr>
          <w:i/>
        </w:rPr>
        <w:t>in vitro</w:t>
      </w:r>
      <w:r>
        <w:t xml:space="preserve"> antiviral test, bictegravir’s EC</w:t>
      </w:r>
      <w:r w:rsidRPr="00E76350">
        <w:rPr>
          <w:vertAlign w:val="subscript"/>
        </w:rPr>
        <w:t>50</w:t>
      </w:r>
      <w:r>
        <w:t xml:space="preserve"> increased by </w:t>
      </w:r>
      <w:r w:rsidR="006565A4">
        <w:t xml:space="preserve">~ </w:t>
      </w:r>
      <w:r>
        <w:t>20</w:t>
      </w:r>
      <w:r w:rsidR="00E76350">
        <w:t xml:space="preserve"> </w:t>
      </w:r>
      <w:r w:rsidR="000E0B61">
        <w:t>times</w:t>
      </w:r>
      <w:r>
        <w:t xml:space="preserve"> in the presence of physiological concentrations of human serum albumin and alpha-1-acid glycoprotein based on its </w:t>
      </w:r>
      <w:r w:rsidRPr="00087507">
        <w:rPr>
          <w:i/>
        </w:rPr>
        <w:t>in vitro</w:t>
      </w:r>
      <w:r>
        <w:t xml:space="preserve"> effects on HIV-1 LAI-RLuc. In 100% human serum, the EC</w:t>
      </w:r>
      <w:r w:rsidRPr="00E76350">
        <w:rPr>
          <w:vertAlign w:val="subscript"/>
        </w:rPr>
        <w:t>50</w:t>
      </w:r>
      <w:r>
        <w:t xml:space="preserve"> of bictegravir (linear extrapolation from EC</w:t>
      </w:r>
      <w:r w:rsidRPr="00E76350">
        <w:rPr>
          <w:vertAlign w:val="subscript"/>
        </w:rPr>
        <w:t>50</w:t>
      </w:r>
      <w:r>
        <w:t xml:space="preserve"> from 10 to 50% human serum) increased 74</w:t>
      </w:r>
      <w:r w:rsidR="004E4AAB">
        <w:t xml:space="preserve"> fold </w:t>
      </w:r>
      <w:r w:rsidR="00E76350">
        <w:t>compared with</w:t>
      </w:r>
      <w:r>
        <w:t xml:space="preserve"> cell culture medium. Correcting for a 74</w:t>
      </w:r>
      <w:r w:rsidR="004E4AAB">
        <w:t xml:space="preserve"> fold </w:t>
      </w:r>
      <w:r>
        <w:t>shift in potency in the presence of human serum, the EC</w:t>
      </w:r>
      <w:r w:rsidRPr="00E76350">
        <w:rPr>
          <w:vertAlign w:val="subscript"/>
        </w:rPr>
        <w:t>50</w:t>
      </w:r>
      <w:r>
        <w:t xml:space="preserve"> values for bictegravir in cell cultures (</w:t>
      </w:r>
      <w:r w:rsidR="00251457">
        <w:t xml:space="preserve">&lt; </w:t>
      </w:r>
      <w:r w:rsidR="00E76350">
        <w:t xml:space="preserve">0.05 to </w:t>
      </w:r>
      <w:r>
        <w:t>8 nM) would correspond to human plasma concentrations of up to 592 nM, which are below the clinical plasma bictegravir concentrations (C</w:t>
      </w:r>
      <w:r w:rsidRPr="00E76350">
        <w:rPr>
          <w:vertAlign w:val="subscript"/>
        </w:rPr>
        <w:t>tau</w:t>
      </w:r>
      <w:r>
        <w:t xml:space="preserve"> 5.8 </w:t>
      </w:r>
      <w:r w:rsidR="000E0B61">
        <w:t>µ</w:t>
      </w:r>
      <w:r>
        <w:t xml:space="preserve">M, </w:t>
      </w:r>
      <w:r w:rsidR="00080EC5">
        <w:t>C</w:t>
      </w:r>
      <w:r w:rsidR="00080EC5" w:rsidRPr="00080EC5">
        <w:rPr>
          <w:vertAlign w:val="subscript"/>
        </w:rPr>
        <w:t>max</w:t>
      </w:r>
      <w:r>
        <w:t xml:space="preserve"> 13.7 </w:t>
      </w:r>
      <w:r w:rsidR="000E0B61">
        <w:t>µ</w:t>
      </w:r>
      <w:r>
        <w:t>M).</w:t>
      </w:r>
      <w:r w:rsidR="00A26F7F">
        <w:rPr>
          <w:rStyle w:val="FootnoteReference"/>
        </w:rPr>
        <w:footnoteReference w:id="7"/>
      </w:r>
      <w:r>
        <w:t xml:space="preserve"> In an antiviral assay in MT-4 cells, the protein binding adjusted EC</w:t>
      </w:r>
      <w:r w:rsidRPr="00F55D87">
        <w:rPr>
          <w:vertAlign w:val="subscript"/>
        </w:rPr>
        <w:t>95</w:t>
      </w:r>
      <w:r>
        <w:t xml:space="preserve"> was 361 nM, which is below the clinical </w:t>
      </w:r>
      <w:r w:rsidR="00080EC5">
        <w:t>C</w:t>
      </w:r>
      <w:r w:rsidR="00080EC5" w:rsidRPr="00080EC5">
        <w:rPr>
          <w:vertAlign w:val="subscript"/>
        </w:rPr>
        <w:t>max</w:t>
      </w:r>
      <w:r>
        <w:t xml:space="preserve"> or C</w:t>
      </w:r>
      <w:r w:rsidRPr="00F55D87">
        <w:rPr>
          <w:vertAlign w:val="subscript"/>
        </w:rPr>
        <w:t>tau</w:t>
      </w:r>
      <w:r w:rsidR="00F55D87">
        <w:t>.</w:t>
      </w:r>
    </w:p>
    <w:p w:rsidR="00F55D87" w:rsidRDefault="00644EA7" w:rsidP="00F55D87">
      <w:pPr>
        <w:pStyle w:val="Heading5"/>
      </w:pPr>
      <w:r>
        <w:t>Cytotoxic</w:t>
      </w:r>
      <w:r w:rsidR="00F55D87">
        <w:t>ity and mitochondrial toxicity</w:t>
      </w:r>
    </w:p>
    <w:p w:rsidR="00644EA7" w:rsidRDefault="00644EA7" w:rsidP="00644EA7">
      <w:r>
        <w:t>Cytotoxicity of bictegravir was determined in the antiviral assays. The cytotoxicity concentration (CC</w:t>
      </w:r>
      <w:r w:rsidRPr="00F55D87">
        <w:rPr>
          <w:vertAlign w:val="subscript"/>
        </w:rPr>
        <w:t>50</w:t>
      </w:r>
      <w:r w:rsidR="002D2B38">
        <w:t xml:space="preserve">) of bictegravir to T cells or resting and mitogen </w:t>
      </w:r>
      <w:r>
        <w:t>activated PBMC ranged from 1.5 µM to 9 µM, giving selectivity indices (CC</w:t>
      </w:r>
      <w:r w:rsidRPr="00F55D87">
        <w:rPr>
          <w:vertAlign w:val="subscript"/>
        </w:rPr>
        <w:t>50</w:t>
      </w:r>
      <w:r>
        <w:t>/EC</w:t>
      </w:r>
      <w:r w:rsidRPr="00F55D87">
        <w:rPr>
          <w:vertAlign w:val="subscript"/>
        </w:rPr>
        <w:t>50</w:t>
      </w:r>
      <w:r>
        <w:t xml:space="preserve">) of </w:t>
      </w:r>
      <w:r w:rsidR="006565A4">
        <w:t xml:space="preserve">~ </w:t>
      </w:r>
      <w:r>
        <w:t>1500</w:t>
      </w:r>
      <w:r w:rsidR="00F55D87">
        <w:t xml:space="preserve"> to </w:t>
      </w:r>
      <w:r>
        <w:t>8500. Bictegravir’s selectivity index was generally lower than that of dolutegravir (by 6</w:t>
      </w:r>
      <w:r w:rsidR="00F55D87">
        <w:t xml:space="preserve"> </w:t>
      </w:r>
      <w:r w:rsidR="000E0B61">
        <w:t>times</w:t>
      </w:r>
      <w:r>
        <w:t xml:space="preserve"> in MT-2 cells and 4</w:t>
      </w:r>
      <w:r w:rsidR="00F55D87">
        <w:t xml:space="preserve"> </w:t>
      </w:r>
      <w:r w:rsidR="000E0B61">
        <w:t>times</w:t>
      </w:r>
      <w:r>
        <w:t xml:space="preserve"> in PBMCs) except in MT-4 cells (2</w:t>
      </w:r>
      <w:r w:rsidR="00F55D87">
        <w:t xml:space="preserve"> </w:t>
      </w:r>
      <w:r w:rsidR="000E0B61">
        <w:t>times</w:t>
      </w:r>
      <w:r w:rsidR="00F55D87">
        <w:t xml:space="preserve"> higher than dolutegravir).</w:t>
      </w:r>
    </w:p>
    <w:p w:rsidR="00644EA7" w:rsidRDefault="00644EA7" w:rsidP="00644EA7">
      <w:r>
        <w:t xml:space="preserve">Bictegravir’s cytotoxicity to non-target cells was evaluated in primary human hepatocytes, human hepatoma cells, human prostate cancer cells and human </w:t>
      </w:r>
      <w:r w:rsidRPr="002F3E76">
        <w:t xml:space="preserve">fibroblasts </w:t>
      </w:r>
      <w:r w:rsidRPr="00087507">
        <w:rPr>
          <w:i/>
        </w:rPr>
        <w:t>in vitro</w:t>
      </w:r>
      <w:r w:rsidRPr="002F3E76">
        <w:t>.</w:t>
      </w:r>
      <w:r>
        <w:t xml:space="preserve"> CC</w:t>
      </w:r>
      <w:r w:rsidRPr="00F55D87">
        <w:rPr>
          <w:vertAlign w:val="subscript"/>
        </w:rPr>
        <w:t>50</w:t>
      </w:r>
      <w:r>
        <w:t xml:space="preserve"> values were </w:t>
      </w:r>
      <w:r w:rsidR="00251457">
        <w:t xml:space="preserve">&gt; </w:t>
      </w:r>
      <w:r>
        <w:t>30 µM (</w:t>
      </w:r>
      <w:r w:rsidR="00251457">
        <w:t xml:space="preserve">&gt; </w:t>
      </w:r>
      <w:r>
        <w:t>100 µM in hepatocyte toxicity), with essentially equivalen</w:t>
      </w:r>
      <w:r w:rsidR="00F55D87">
        <w:t>t cytotoxicity to dolutegravir.</w:t>
      </w:r>
    </w:p>
    <w:p w:rsidR="00644EA7" w:rsidRDefault="00644EA7" w:rsidP="00644EA7">
      <w:r>
        <w:t>No specific mitochondrial toxicity studies were conducted. Since bictegravir is not an NRTI, it is not expected to caus</w:t>
      </w:r>
      <w:r w:rsidR="00F55D87">
        <w:t>e mitochondrial toxicity.</w:t>
      </w:r>
      <w:r w:rsidR="00D8620E">
        <w:rPr>
          <w:rStyle w:val="FootnoteReference"/>
        </w:rPr>
        <w:footnoteReference w:id="8"/>
      </w:r>
      <w:r w:rsidR="00F55D87">
        <w:t xml:space="preserve"> </w:t>
      </w:r>
      <w:r>
        <w:t>The lack of significant cytotoxicity in hepatocytes (discussed above) also indica</w:t>
      </w:r>
      <w:r w:rsidR="00F55D87">
        <w:t>tes low mitochondrial toxicity.</w:t>
      </w:r>
    </w:p>
    <w:p w:rsidR="00F55D87" w:rsidRDefault="00F55D87" w:rsidP="00F55D87">
      <w:pPr>
        <w:pStyle w:val="Heading5"/>
      </w:pPr>
      <w:r>
        <w:t>Combination antiviral activity</w:t>
      </w:r>
    </w:p>
    <w:p w:rsidR="00644EA7" w:rsidRDefault="00644EA7" w:rsidP="00644EA7">
      <w:r w:rsidRPr="002F3E76">
        <w:t>In</w:t>
      </w:r>
      <w:r w:rsidR="002F3E76">
        <w:t xml:space="preserve"> the</w:t>
      </w:r>
      <w:r w:rsidRPr="002F3E76">
        <w:t xml:space="preserve"> </w:t>
      </w:r>
      <w:r w:rsidRPr="00087507">
        <w:rPr>
          <w:i/>
        </w:rPr>
        <w:t>in vitro</w:t>
      </w:r>
      <w:r>
        <w:t xml:space="preserve"> triple drug combination studies, bictegravir acted synergistically with emtricitabine and tenofovir alafenamide. The level of synergism was approximately the </w:t>
      </w:r>
      <w:r>
        <w:lastRenderedPageBreak/>
        <w:t xml:space="preserve">same as dolutegravir. In double combination studies, bictegravir behaved synergistically with tenofovir alafenamide, emtricitabine, and the </w:t>
      </w:r>
      <w:r w:rsidR="002D5055">
        <w:t>protease inhibitor (</w:t>
      </w:r>
      <w:r w:rsidR="00F55D87">
        <w:t>PRI</w:t>
      </w:r>
      <w:r w:rsidR="002D5055">
        <w:t>)</w:t>
      </w:r>
      <w:r>
        <w:t xml:space="preserve"> darunavir. Bictegrav</w:t>
      </w:r>
      <w:r w:rsidR="00F55D87">
        <w:t>ir behaved additively with the first generation INSTIs.</w:t>
      </w:r>
    </w:p>
    <w:p w:rsidR="00F55D87" w:rsidRDefault="002D2B38" w:rsidP="00F55D87">
      <w:pPr>
        <w:pStyle w:val="Heading5"/>
      </w:pPr>
      <w:r>
        <w:t xml:space="preserve">Resistance and cross </w:t>
      </w:r>
      <w:r w:rsidR="00644EA7">
        <w:t>resistance</w:t>
      </w:r>
    </w:p>
    <w:p w:rsidR="00644EA7" w:rsidRDefault="00644EA7" w:rsidP="00644EA7">
      <w:r>
        <w:t>Bictegravir retained antiviral activity against most INSTI, NRTI, NNRTI and PR</w:t>
      </w:r>
      <w:r w:rsidR="004E4AAB">
        <w:t xml:space="preserve">I </w:t>
      </w:r>
      <w:r>
        <w:t xml:space="preserve">resistant HIV-1 strains (with mutations identified in clinical isolates) </w:t>
      </w:r>
      <w:r w:rsidRPr="00087507">
        <w:rPr>
          <w:i/>
        </w:rPr>
        <w:t>in vitro</w:t>
      </w:r>
      <w:r>
        <w:t xml:space="preserve"> (EC</w:t>
      </w:r>
      <w:r w:rsidRPr="00F55D87">
        <w:rPr>
          <w:vertAlign w:val="subscript"/>
        </w:rPr>
        <w:t>50</w:t>
      </w:r>
      <w:r>
        <w:t xml:space="preserve"> increased by </w:t>
      </w:r>
      <w:r w:rsidR="004E4AAB">
        <w:t>~ </w:t>
      </w:r>
      <w:r>
        <w:t>≤</w:t>
      </w:r>
      <w:r w:rsidR="00F55D87">
        <w:t> </w:t>
      </w:r>
      <w:r>
        <w:t>2</w:t>
      </w:r>
      <w:r w:rsidR="00F55D87">
        <w:t xml:space="preserve"> </w:t>
      </w:r>
      <w:r w:rsidR="00042EBE">
        <w:t>times</w:t>
      </w:r>
      <w:r>
        <w:t xml:space="preserve"> with similar activity to dolutegravir). In su</w:t>
      </w:r>
      <w:r w:rsidR="002D2B38">
        <w:t xml:space="preserve">sceptibility studies with INSTI </w:t>
      </w:r>
      <w:r>
        <w:t xml:space="preserve">resistant clinical HIV-1 isolates, nearly all isolates were susceptible to bictegravir. Only one isolate with </w:t>
      </w:r>
      <w:r w:rsidR="00F55D87">
        <w:t>three</w:t>
      </w:r>
      <w:r>
        <w:t xml:space="preserve"> mutations E138K+G140S+Q148K displaye</w:t>
      </w:r>
      <w:r w:rsidR="004E4AAB">
        <w:t xml:space="preserve">d resistance to bictegravir (19 </w:t>
      </w:r>
      <w:r>
        <w:t>fold increase in EC</w:t>
      </w:r>
      <w:r w:rsidRPr="009F0F13">
        <w:rPr>
          <w:vertAlign w:val="subscript"/>
        </w:rPr>
        <w:t>50</w:t>
      </w:r>
      <w:r>
        <w:t xml:space="preserve"> </w:t>
      </w:r>
      <w:r w:rsidR="009F0F13">
        <w:t>compared with</w:t>
      </w:r>
      <w:r>
        <w:t xml:space="preserve"> wild type isolate EC</w:t>
      </w:r>
      <w:r w:rsidRPr="009F0F13">
        <w:rPr>
          <w:vertAlign w:val="subscript"/>
        </w:rPr>
        <w:t>50</w:t>
      </w:r>
      <w:r>
        <w:t xml:space="preserve"> 1.94 nM). Six isolates displayed a 5</w:t>
      </w:r>
      <w:r w:rsidR="00042EBE">
        <w:t>-</w:t>
      </w:r>
      <w:r w:rsidR="009F0F13">
        <w:t xml:space="preserve"> to </w:t>
      </w:r>
      <w:r>
        <w:t>10</w:t>
      </w:r>
      <w:r w:rsidR="004E4AAB">
        <w:t xml:space="preserve"> fold </w:t>
      </w:r>
      <w:r>
        <w:t>reduction in susceptibility (</w:t>
      </w:r>
      <w:r w:rsidR="009F0F13">
        <w:t>compared with</w:t>
      </w:r>
      <w:r>
        <w:t xml:space="preserve"> wild type) and these mutants contain G140A/C/S and Q148H/K/R mutations (with two also carry</w:t>
      </w:r>
      <w:r w:rsidR="009F0F13">
        <w:t>ing</w:t>
      </w:r>
      <w:r>
        <w:t xml:space="preserve"> an E138A/K mutation). Other isolates with a 2</w:t>
      </w:r>
      <w:r w:rsidR="00042EBE">
        <w:t xml:space="preserve"> to </w:t>
      </w:r>
      <w:r>
        <w:t>5</w:t>
      </w:r>
      <w:r w:rsidR="004E4AAB">
        <w:t xml:space="preserve"> </w:t>
      </w:r>
      <w:r w:rsidR="009F0F13">
        <w:t>fold</w:t>
      </w:r>
      <w:r>
        <w:t xml:space="preserve"> reduction in susceptibility also carry double or triple mutations at G140, Q148 and/or E138. Bictegravir generally had a similar resistance profile </w:t>
      </w:r>
      <w:r w:rsidR="009F0F13">
        <w:t xml:space="preserve">compared with </w:t>
      </w:r>
      <w:r w:rsidR="002564BD">
        <w:t>dolutegravir</w:t>
      </w:r>
      <w:r>
        <w:t xml:space="preserve"> against th</w:t>
      </w:r>
      <w:r w:rsidR="002D2B38">
        <w:t xml:space="preserve">e integrase mutants. Site </w:t>
      </w:r>
      <w:r>
        <w:t xml:space="preserve">directed mutants with G118R and T97A+G118R had </w:t>
      </w:r>
      <w:r w:rsidR="00251457">
        <w:t xml:space="preserve">&lt; </w:t>
      </w:r>
      <w:r>
        <w:t>5</w:t>
      </w:r>
      <w:r w:rsidR="004E4AAB">
        <w:t xml:space="preserve"> fold </w:t>
      </w:r>
      <w:r>
        <w:t>reduced susceptibility to BIC</w:t>
      </w:r>
      <w:r w:rsidR="009F0F13">
        <w:t>.</w:t>
      </w:r>
    </w:p>
    <w:p w:rsidR="00644EA7" w:rsidRPr="00CB326B" w:rsidRDefault="00644EA7" w:rsidP="002B7BD4">
      <w:pPr>
        <w:rPr>
          <w:rFonts w:asciiTheme="minorHAnsi" w:eastAsiaTheme="minorHAnsi" w:hAnsiTheme="minorHAnsi"/>
        </w:rPr>
      </w:pPr>
      <w:r>
        <w:t>Based on multi-passage resistance selection of HIV-1 IIIb, HIV-1 BaL or HIV-1 xxLAI, bictegravir displayed a higher</w:t>
      </w:r>
      <w:r w:rsidRPr="002F3E76">
        <w:t xml:space="preserve"> </w:t>
      </w:r>
      <w:r w:rsidRPr="00087507">
        <w:rPr>
          <w:i/>
        </w:rPr>
        <w:t>in vitro</w:t>
      </w:r>
      <w:r w:rsidRPr="002F3E76">
        <w:t xml:space="preserve"> </w:t>
      </w:r>
      <w:r>
        <w:t xml:space="preserve">barrier to resistance </w:t>
      </w:r>
      <w:r w:rsidR="00D8620E">
        <w:t>compared with</w:t>
      </w:r>
      <w:r>
        <w:t xml:space="preserve"> elvitegravir and emtricitabine. Bictegravir’s barrier to resistance was similar to that of dolutegravir.</w:t>
      </w:r>
      <w:r w:rsidR="00D8620E">
        <w:t xml:space="preserve"> </w:t>
      </w:r>
      <w:r>
        <w:t xml:space="preserve">Bictegravir resistance selection was associated with two integrase mutations R263K and M50I. Both mutations are natural polymorphisms associated with INSTI resistance. Raltegravir and </w:t>
      </w:r>
      <w:r w:rsidR="002564BD">
        <w:t>elvitegravir</w:t>
      </w:r>
      <w:r>
        <w:t xml:space="preserve"> also selected R263K mutation, which oc</w:t>
      </w:r>
      <w:r w:rsidR="002B7BD4">
        <w:t>curs in about 0.4% patients sub-</w:t>
      </w:r>
      <w:r>
        <w:t>optimall</w:t>
      </w:r>
      <w:r w:rsidR="00D8620E">
        <w:t>y treated with dolutegravir.</w:t>
      </w:r>
      <w:r w:rsidR="00344590">
        <w:rPr>
          <w:rStyle w:val="FootnoteReference"/>
        </w:rPr>
        <w:footnoteReference w:id="9"/>
      </w:r>
      <w:r w:rsidR="00D8620E">
        <w:t xml:space="preserve"> </w:t>
      </w:r>
      <w:r>
        <w:t xml:space="preserve">The susceptibility of this mutant to bictegravir was comparable to that </w:t>
      </w:r>
      <w:r w:rsidR="00D8620E">
        <w:t>of</w:t>
      </w:r>
      <w:r>
        <w:t xml:space="preserve"> dolutegravir. Strains with this mutation are replication incompetent.</w:t>
      </w:r>
      <w:r w:rsidR="004E4AAB">
        <w:t xml:space="preserve"> </w:t>
      </w:r>
      <w:r w:rsidR="00344590">
        <w:rPr>
          <w:rStyle w:val="FootnoteReference"/>
        </w:rPr>
        <w:footnoteReference w:id="10"/>
      </w:r>
      <w:r w:rsidR="00344590" w:rsidRPr="00344590">
        <w:rPr>
          <w:vertAlign w:val="superscript"/>
        </w:rPr>
        <w:t>,</w:t>
      </w:r>
      <w:r w:rsidR="00344590">
        <w:rPr>
          <w:rStyle w:val="FootnoteReference"/>
        </w:rPr>
        <w:footnoteReference w:id="11"/>
      </w:r>
      <w:r>
        <w:t xml:space="preserve"> This data have been used to support the hypothesis that resistance against </w:t>
      </w:r>
      <w:r w:rsidRPr="00CB326B">
        <w:rPr>
          <w:rFonts w:asciiTheme="minorHAnsi" w:eastAsiaTheme="minorHAnsi" w:hAnsiTheme="minorHAnsi"/>
        </w:rPr>
        <w:t xml:space="preserve">dolutegravir may not develop via the </w:t>
      </w:r>
      <w:r w:rsidRPr="00CB326B">
        <w:t>raltegravir/</w:t>
      </w:r>
      <w:r w:rsidR="004E4AAB" w:rsidRPr="00CB326B">
        <w:t>elvitegravir</w:t>
      </w:r>
      <w:r w:rsidRPr="00CB326B">
        <w:t xml:space="preserve"> resistance pathways.</w:t>
      </w:r>
      <w:r w:rsidRPr="00CB326B">
        <w:rPr>
          <w:rStyle w:val="FootnoteReference"/>
        </w:rPr>
        <w:footnoteReference w:id="12"/>
      </w:r>
      <w:r w:rsidRPr="00CB326B">
        <w:t xml:space="preserve"> Bictegravir also selected S153F, and dolutegravir selected S153Y</w:t>
      </w:r>
      <w:r>
        <w:t xml:space="preserve">. </w:t>
      </w:r>
      <w:r w:rsidR="002D2B38">
        <w:t xml:space="preserve">The bictegravir selected mutant conferred cross </w:t>
      </w:r>
      <w:r w:rsidRPr="00CB326B">
        <w:t xml:space="preserve">resistance to dolutegravir, raltegravir and elvitegravir. The two </w:t>
      </w:r>
      <w:r w:rsidR="00D8620E">
        <w:t>second</w:t>
      </w:r>
      <w:r w:rsidRPr="00CB326B">
        <w:t xml:space="preserve"> generation NRTIs showed very similar ant</w:t>
      </w:r>
      <w:r w:rsidR="00D8620E">
        <w:t>iviral and resistance profiles.</w:t>
      </w:r>
    </w:p>
    <w:p w:rsidR="00644EA7" w:rsidRPr="00CB326B" w:rsidRDefault="00644EA7" w:rsidP="002B7BD4">
      <w:pPr>
        <w:rPr>
          <w:rFonts w:asciiTheme="minorHAnsi" w:eastAsiaTheme="minorHAnsi" w:hAnsiTheme="minorHAnsi"/>
        </w:rPr>
      </w:pPr>
      <w:r w:rsidRPr="00CB326B">
        <w:rPr>
          <w:rFonts w:asciiTheme="minorHAnsi" w:eastAsiaTheme="minorHAnsi" w:hAnsiTheme="minorHAnsi"/>
        </w:rPr>
        <w:t>For bictegravir, the most important clinically relevant resistance mutations appear to be at E138, G140 and Q148. A triple mutant (T66I</w:t>
      </w:r>
      <w:r w:rsidRPr="00A92FD9">
        <w:rPr>
          <w:rFonts w:asciiTheme="minorHAnsi" w:eastAsiaTheme="minorHAnsi" w:hAnsiTheme="minorHAnsi"/>
        </w:rPr>
        <w:t>+E138K+Q148K</w:t>
      </w:r>
      <w:r w:rsidRPr="00CB326B">
        <w:rPr>
          <w:rFonts w:asciiTheme="minorHAnsi" w:eastAsiaTheme="minorHAnsi" w:hAnsiTheme="minorHAnsi"/>
        </w:rPr>
        <w:t xml:space="preserve">) selected by elvitegravir </w:t>
      </w:r>
      <w:r w:rsidR="002F1508">
        <w:rPr>
          <w:rFonts w:asciiTheme="minorHAnsi" w:eastAsiaTheme="minorHAnsi" w:hAnsiTheme="minorHAnsi"/>
          <w:i/>
        </w:rPr>
        <w:t>in </w:t>
      </w:r>
      <w:r w:rsidRPr="00CB326B">
        <w:rPr>
          <w:rFonts w:asciiTheme="minorHAnsi" w:eastAsiaTheme="minorHAnsi" w:hAnsiTheme="minorHAnsi"/>
          <w:i/>
        </w:rPr>
        <w:t>vitro</w:t>
      </w:r>
      <w:r w:rsidRPr="00CB326B">
        <w:rPr>
          <w:rFonts w:asciiTheme="minorHAnsi" w:eastAsiaTheme="minorHAnsi" w:hAnsiTheme="minorHAnsi"/>
        </w:rPr>
        <w:t xml:space="preserve"> </w:t>
      </w:r>
      <w:r w:rsidRPr="00D8620E">
        <w:rPr>
          <w:rFonts w:asciiTheme="minorHAnsi" w:eastAsiaTheme="minorHAnsi" w:hAnsiTheme="minorHAnsi"/>
        </w:rPr>
        <w:t>(Study PC-141-2056)</w:t>
      </w:r>
      <w:r w:rsidRPr="00CB326B">
        <w:rPr>
          <w:rFonts w:asciiTheme="minorHAnsi" w:eastAsiaTheme="minorHAnsi" w:hAnsiTheme="minorHAnsi"/>
        </w:rPr>
        <w:t>, which also occurs in</w:t>
      </w:r>
      <w:r w:rsidR="002D2B38">
        <w:rPr>
          <w:rFonts w:asciiTheme="minorHAnsi" w:eastAsiaTheme="minorHAnsi" w:hAnsiTheme="minorHAnsi"/>
        </w:rPr>
        <w:t xml:space="preserve"> patients, displayed high cross </w:t>
      </w:r>
      <w:r w:rsidR="002F1508">
        <w:rPr>
          <w:rFonts w:asciiTheme="minorHAnsi" w:eastAsiaTheme="minorHAnsi" w:hAnsiTheme="minorHAnsi"/>
        </w:rPr>
        <w:t xml:space="preserve">resistance to bictegravir (44 </w:t>
      </w:r>
      <w:r w:rsidRPr="00CB326B">
        <w:rPr>
          <w:rFonts w:asciiTheme="minorHAnsi" w:eastAsiaTheme="minorHAnsi" w:hAnsiTheme="minorHAnsi"/>
        </w:rPr>
        <w:t>fold increase in EC</w:t>
      </w:r>
      <w:r w:rsidRPr="00CB326B">
        <w:rPr>
          <w:rFonts w:asciiTheme="minorHAnsi" w:eastAsiaTheme="minorHAnsi" w:hAnsiTheme="minorHAnsi"/>
          <w:vertAlign w:val="subscript"/>
        </w:rPr>
        <w:t>50</w:t>
      </w:r>
      <w:r w:rsidR="00EC22C3">
        <w:rPr>
          <w:rFonts w:asciiTheme="minorHAnsi" w:eastAsiaTheme="minorHAnsi" w:hAnsiTheme="minorHAnsi"/>
        </w:rPr>
        <w:t>) as well as dolutegravir (26</w:t>
      </w:r>
      <w:r w:rsidR="004E4AAB">
        <w:rPr>
          <w:rFonts w:asciiTheme="minorHAnsi" w:eastAsiaTheme="minorHAnsi" w:hAnsiTheme="minorHAnsi"/>
        </w:rPr>
        <w:t xml:space="preserve"> fold </w:t>
      </w:r>
      <w:r w:rsidRPr="00CB326B">
        <w:rPr>
          <w:rFonts w:asciiTheme="minorHAnsi" w:eastAsiaTheme="minorHAnsi" w:hAnsiTheme="minorHAnsi"/>
        </w:rPr>
        <w:t>increase in EC</w:t>
      </w:r>
      <w:r w:rsidRPr="00CB326B">
        <w:rPr>
          <w:rFonts w:asciiTheme="minorHAnsi" w:eastAsiaTheme="minorHAnsi" w:hAnsiTheme="minorHAnsi"/>
          <w:vertAlign w:val="subscript"/>
        </w:rPr>
        <w:t>50</w:t>
      </w:r>
      <w:r w:rsidRPr="00CB326B">
        <w:rPr>
          <w:rFonts w:asciiTheme="minorHAnsi" w:eastAsiaTheme="minorHAnsi" w:hAnsiTheme="minorHAnsi"/>
        </w:rPr>
        <w:t>)</w:t>
      </w:r>
      <w:r w:rsidR="00EC22C3">
        <w:rPr>
          <w:rFonts w:asciiTheme="minorHAnsi" w:eastAsiaTheme="minorHAnsi" w:hAnsiTheme="minorHAnsi"/>
        </w:rPr>
        <w:t>. As discussed above, a patient-</w:t>
      </w:r>
      <w:r w:rsidRPr="00CB326B">
        <w:rPr>
          <w:rFonts w:asciiTheme="minorHAnsi" w:eastAsiaTheme="minorHAnsi" w:hAnsiTheme="minorHAnsi"/>
        </w:rPr>
        <w:t xml:space="preserve">derived isolate with triple mutations </w:t>
      </w:r>
      <w:r w:rsidRPr="00A92FD9">
        <w:rPr>
          <w:rFonts w:asciiTheme="minorHAnsi" w:eastAsiaTheme="minorHAnsi" w:hAnsiTheme="minorHAnsi"/>
        </w:rPr>
        <w:t>E138K+G140A+Q148K</w:t>
      </w:r>
      <w:r w:rsidRPr="00CB326B">
        <w:rPr>
          <w:rFonts w:asciiTheme="minorHAnsi" w:eastAsiaTheme="minorHAnsi" w:hAnsiTheme="minorHAnsi"/>
        </w:rPr>
        <w:t xml:space="preserve"> was resistant to bictegravir (19 fold increase in EC</w:t>
      </w:r>
      <w:r w:rsidRPr="00CB326B">
        <w:rPr>
          <w:rFonts w:asciiTheme="minorHAnsi" w:eastAsiaTheme="minorHAnsi" w:hAnsiTheme="minorHAnsi"/>
          <w:vertAlign w:val="subscript"/>
        </w:rPr>
        <w:t>50</w:t>
      </w:r>
      <w:r w:rsidRPr="00CB326B">
        <w:rPr>
          <w:rFonts w:asciiTheme="minorHAnsi" w:eastAsiaTheme="minorHAnsi" w:hAnsiTheme="minorHAnsi"/>
        </w:rPr>
        <w:t xml:space="preserve">) and isolates with double </w:t>
      </w:r>
      <w:r w:rsidR="00D8620E">
        <w:rPr>
          <w:rFonts w:asciiTheme="minorHAnsi" w:hAnsiTheme="minorHAnsi"/>
        </w:rPr>
        <w:t xml:space="preserve">mutations at G140, Q148 </w:t>
      </w:r>
      <w:r w:rsidRPr="00CB326B">
        <w:rPr>
          <w:rFonts w:asciiTheme="minorHAnsi" w:hAnsiTheme="minorHAnsi"/>
        </w:rPr>
        <w:t xml:space="preserve">and/or E138 (and also another triple mutant </w:t>
      </w:r>
      <w:r w:rsidRPr="00CB326B">
        <w:rPr>
          <w:rFonts w:asciiTheme="minorHAnsi" w:eastAsiaTheme="minorEastAsia" w:hAnsiTheme="minorHAnsi"/>
          <w:lang w:eastAsia="zh-CN"/>
        </w:rPr>
        <w:t>E138K+G140S+Q148H</w:t>
      </w:r>
      <w:r w:rsidRPr="00CB326B">
        <w:rPr>
          <w:rFonts w:asciiTheme="minorHAnsi" w:hAnsiTheme="minorHAnsi"/>
        </w:rPr>
        <w:t>) increased bictegravir EC</w:t>
      </w:r>
      <w:r w:rsidRPr="00CB326B">
        <w:rPr>
          <w:rFonts w:asciiTheme="minorHAnsi" w:hAnsiTheme="minorHAnsi"/>
          <w:vertAlign w:val="subscript"/>
        </w:rPr>
        <w:t>50</w:t>
      </w:r>
      <w:r w:rsidR="002B7BD4">
        <w:rPr>
          <w:rFonts w:asciiTheme="minorHAnsi" w:hAnsiTheme="minorHAnsi"/>
        </w:rPr>
        <w:t xml:space="preserve"> by 2 to </w:t>
      </w:r>
      <w:r w:rsidRPr="00CB326B">
        <w:rPr>
          <w:rFonts w:asciiTheme="minorHAnsi" w:hAnsiTheme="minorHAnsi"/>
        </w:rPr>
        <w:t>8</w:t>
      </w:r>
      <w:r w:rsidR="002F1508">
        <w:rPr>
          <w:rFonts w:asciiTheme="minorHAnsi" w:hAnsiTheme="minorHAnsi"/>
        </w:rPr>
        <w:t xml:space="preserve"> </w:t>
      </w:r>
      <w:r w:rsidRPr="00CB326B">
        <w:rPr>
          <w:rFonts w:asciiTheme="minorHAnsi" w:hAnsiTheme="minorHAnsi"/>
        </w:rPr>
        <w:t>fold (</w:t>
      </w:r>
      <w:r w:rsidRPr="002B7BD4">
        <w:rPr>
          <w:rFonts w:asciiTheme="minorHAnsi" w:hAnsiTheme="minorHAnsi"/>
        </w:rPr>
        <w:t xml:space="preserve">Study </w:t>
      </w:r>
      <w:r w:rsidRPr="002B7BD4">
        <w:rPr>
          <w:rFonts w:asciiTheme="minorHAnsi" w:eastAsiaTheme="minorHAnsi" w:hAnsiTheme="minorHAnsi"/>
        </w:rPr>
        <w:t>PC-141-2051</w:t>
      </w:r>
      <w:r w:rsidRPr="00CB326B">
        <w:rPr>
          <w:rFonts w:asciiTheme="minorHAnsi" w:eastAsiaTheme="minorHAnsi" w:hAnsiTheme="minorHAnsi"/>
        </w:rPr>
        <w:t>). In another study (</w:t>
      </w:r>
      <w:r w:rsidRPr="002B7BD4">
        <w:rPr>
          <w:rFonts w:asciiTheme="minorHAnsi" w:eastAsiaTheme="minorHAnsi" w:hAnsiTheme="minorHAnsi"/>
        </w:rPr>
        <w:t>Study PC-141-2040</w:t>
      </w:r>
      <w:r w:rsidRPr="00CB326B">
        <w:rPr>
          <w:rFonts w:asciiTheme="minorHAnsi" w:eastAsiaTheme="minorHAnsi" w:hAnsiTheme="minorHAnsi"/>
        </w:rPr>
        <w:t>), a double mutant (E139K+Q148K) resistant to raltegravir and elvitegravir showed relatively high resistance to bictegravir and dolutegravir</w:t>
      </w:r>
      <w:r w:rsidR="002B7BD4">
        <w:rPr>
          <w:rFonts w:asciiTheme="minorHAnsi" w:eastAsiaTheme="minorHAnsi" w:hAnsiTheme="minorHAnsi"/>
        </w:rPr>
        <w:t xml:space="preserve"> (9 to </w:t>
      </w:r>
      <w:r w:rsidRPr="00CB326B">
        <w:rPr>
          <w:rFonts w:asciiTheme="minorHAnsi" w:eastAsiaTheme="minorHAnsi" w:hAnsiTheme="minorHAnsi"/>
        </w:rPr>
        <w:t>10</w:t>
      </w:r>
      <w:r w:rsidR="002B7BD4">
        <w:rPr>
          <w:rFonts w:asciiTheme="minorHAnsi" w:eastAsiaTheme="minorHAnsi" w:hAnsiTheme="minorHAnsi"/>
        </w:rPr>
        <w:t xml:space="preserve"> </w:t>
      </w:r>
      <w:r w:rsidR="00EC22C3">
        <w:rPr>
          <w:rFonts w:asciiTheme="minorHAnsi" w:eastAsiaTheme="minorHAnsi" w:hAnsiTheme="minorHAnsi"/>
        </w:rPr>
        <w:t>times</w:t>
      </w:r>
      <w:r w:rsidRPr="00CB326B">
        <w:rPr>
          <w:rFonts w:asciiTheme="minorHAnsi" w:eastAsiaTheme="minorHAnsi" w:hAnsiTheme="minorHAnsi"/>
        </w:rPr>
        <w:t xml:space="preserve"> increase in EC</w:t>
      </w:r>
      <w:r w:rsidRPr="00CB326B">
        <w:rPr>
          <w:rFonts w:asciiTheme="minorHAnsi" w:eastAsiaTheme="minorHAnsi" w:hAnsiTheme="minorHAnsi"/>
          <w:vertAlign w:val="subscript"/>
        </w:rPr>
        <w:t>50</w:t>
      </w:r>
      <w:r w:rsidRPr="00CB326B">
        <w:rPr>
          <w:rFonts w:asciiTheme="minorHAnsi" w:eastAsiaTheme="minorHAnsi" w:hAnsiTheme="minorHAnsi"/>
        </w:rPr>
        <w:t xml:space="preserve">) and a G140S+Q148R mutant also had some resistance to the two </w:t>
      </w:r>
      <w:r w:rsidR="002B7BD4">
        <w:rPr>
          <w:rFonts w:asciiTheme="minorHAnsi" w:eastAsiaTheme="minorHAnsi" w:hAnsiTheme="minorHAnsi"/>
        </w:rPr>
        <w:t>second</w:t>
      </w:r>
      <w:r w:rsidRPr="00CB326B">
        <w:rPr>
          <w:rFonts w:asciiTheme="minorHAnsi" w:eastAsiaTheme="minorHAnsi" w:hAnsiTheme="minorHAnsi"/>
        </w:rPr>
        <w:t xml:space="preserve"> generation INSTIs (2 and 5</w:t>
      </w:r>
      <w:r w:rsidR="004E4AAB">
        <w:rPr>
          <w:rFonts w:asciiTheme="minorHAnsi" w:eastAsiaTheme="minorHAnsi" w:hAnsiTheme="minorHAnsi"/>
        </w:rPr>
        <w:t xml:space="preserve"> fold </w:t>
      </w:r>
      <w:r w:rsidRPr="00CB326B">
        <w:rPr>
          <w:rFonts w:asciiTheme="minorHAnsi" w:eastAsiaTheme="minorHAnsi" w:hAnsiTheme="minorHAnsi"/>
        </w:rPr>
        <w:t>increase in EC</w:t>
      </w:r>
      <w:r w:rsidRPr="00CB326B">
        <w:rPr>
          <w:rFonts w:asciiTheme="minorHAnsi" w:eastAsiaTheme="minorHAnsi" w:hAnsiTheme="minorHAnsi"/>
          <w:vertAlign w:val="subscript"/>
        </w:rPr>
        <w:t>50</w:t>
      </w:r>
      <w:r w:rsidRPr="00CB326B">
        <w:rPr>
          <w:rFonts w:asciiTheme="minorHAnsi" w:eastAsiaTheme="minorHAnsi" w:hAnsiTheme="minorHAnsi"/>
        </w:rPr>
        <w:t xml:space="preserve">, </w:t>
      </w:r>
      <w:r w:rsidRPr="00CB326B">
        <w:rPr>
          <w:rFonts w:asciiTheme="minorHAnsi" w:eastAsiaTheme="minorHAnsi" w:hAnsiTheme="minorHAnsi"/>
        </w:rPr>
        <w:lastRenderedPageBreak/>
        <w:t xml:space="preserve">respectively). Consistent with the findings with </w:t>
      </w:r>
      <w:r w:rsidR="002564BD" w:rsidRPr="00CB326B">
        <w:rPr>
          <w:rFonts w:asciiTheme="minorHAnsi" w:eastAsiaTheme="minorHAnsi" w:hAnsiTheme="minorHAnsi"/>
        </w:rPr>
        <w:t>dolutegravir</w:t>
      </w:r>
      <w:r w:rsidRPr="00CB326B">
        <w:rPr>
          <w:rFonts w:asciiTheme="minorHAnsi" w:eastAsiaTheme="minorHAnsi" w:hAnsiTheme="minorHAnsi"/>
        </w:rPr>
        <w:t xml:space="preserve"> multiple mutations are required to produce </w:t>
      </w:r>
      <w:r w:rsidR="00251457">
        <w:rPr>
          <w:rFonts w:asciiTheme="minorHAnsi" w:eastAsiaTheme="minorHAnsi" w:hAnsiTheme="minorHAnsi"/>
        </w:rPr>
        <w:t xml:space="preserve">&gt; </w:t>
      </w:r>
      <w:r w:rsidRPr="00CB326B">
        <w:rPr>
          <w:rFonts w:asciiTheme="minorHAnsi" w:eastAsiaTheme="minorHAnsi" w:hAnsiTheme="minorHAnsi"/>
        </w:rPr>
        <w:t>10</w:t>
      </w:r>
      <w:r w:rsidR="002B7BD4">
        <w:rPr>
          <w:rFonts w:asciiTheme="minorHAnsi" w:eastAsiaTheme="minorHAnsi" w:hAnsiTheme="minorHAnsi"/>
        </w:rPr>
        <w:t xml:space="preserve"> </w:t>
      </w:r>
      <w:r w:rsidR="00EC22C3">
        <w:rPr>
          <w:rFonts w:asciiTheme="minorHAnsi" w:eastAsiaTheme="minorHAnsi" w:hAnsiTheme="minorHAnsi"/>
        </w:rPr>
        <w:t>times</w:t>
      </w:r>
      <w:r w:rsidRPr="00CB326B">
        <w:rPr>
          <w:rFonts w:asciiTheme="minorHAnsi" w:eastAsiaTheme="minorHAnsi" w:hAnsiTheme="minorHAnsi"/>
        </w:rPr>
        <w:t xml:space="preserve"> increase in EC</w:t>
      </w:r>
      <w:r w:rsidRPr="00CB326B">
        <w:rPr>
          <w:rFonts w:asciiTheme="minorHAnsi" w:eastAsiaTheme="minorHAnsi" w:hAnsiTheme="minorHAnsi"/>
          <w:vertAlign w:val="subscript"/>
        </w:rPr>
        <w:t>50</w:t>
      </w:r>
      <w:r w:rsidRPr="00CB326B">
        <w:rPr>
          <w:rFonts w:asciiTheme="minorHAnsi" w:eastAsiaTheme="minorHAnsi" w:hAnsiTheme="minorHAnsi"/>
        </w:rPr>
        <w:t>.</w:t>
      </w:r>
      <w:r w:rsidRPr="00CB326B">
        <w:rPr>
          <w:rStyle w:val="FootnoteReference"/>
          <w:rFonts w:asciiTheme="minorHAnsi" w:eastAsiaTheme="minorHAnsi" w:hAnsiTheme="minorHAnsi"/>
        </w:rPr>
        <w:footnoteReference w:id="13"/>
      </w:r>
    </w:p>
    <w:p w:rsidR="00644EA7" w:rsidRPr="00CB326B" w:rsidRDefault="002D2B38" w:rsidP="002B7BD4">
      <w:pPr>
        <w:rPr>
          <w:rFonts w:asciiTheme="minorHAnsi" w:eastAsiaTheme="minorHAnsi" w:hAnsiTheme="minorHAnsi"/>
        </w:rPr>
      </w:pPr>
      <w:r>
        <w:rPr>
          <w:rFonts w:asciiTheme="minorHAnsi" w:eastAsiaTheme="minorHAnsi" w:hAnsiTheme="minorHAnsi"/>
        </w:rPr>
        <w:t xml:space="preserve">Bictegravir </w:t>
      </w:r>
      <w:r w:rsidR="00644EA7" w:rsidRPr="00CB326B">
        <w:rPr>
          <w:rFonts w:asciiTheme="minorHAnsi" w:eastAsiaTheme="minorHAnsi" w:hAnsiTheme="minorHAnsi"/>
        </w:rPr>
        <w:t>selected HIV-1 mutants remained fully sensitive to the NNRTI efavirenz. Bictegr</w:t>
      </w:r>
      <w:r>
        <w:rPr>
          <w:rFonts w:asciiTheme="minorHAnsi" w:eastAsiaTheme="minorHAnsi" w:hAnsiTheme="minorHAnsi"/>
        </w:rPr>
        <w:t xml:space="preserve">avir selected mutants had cross </w:t>
      </w:r>
      <w:r w:rsidR="00644EA7" w:rsidRPr="00CB326B">
        <w:rPr>
          <w:rFonts w:asciiTheme="minorHAnsi" w:eastAsiaTheme="minorHAnsi" w:hAnsiTheme="minorHAnsi"/>
        </w:rPr>
        <w:t>resistance to dolu</w:t>
      </w:r>
      <w:r>
        <w:rPr>
          <w:rFonts w:asciiTheme="minorHAnsi" w:eastAsiaTheme="minorHAnsi" w:hAnsiTheme="minorHAnsi"/>
        </w:rPr>
        <w:t xml:space="preserve">tegravir and slightly low cross </w:t>
      </w:r>
      <w:r w:rsidR="00644EA7" w:rsidRPr="00CB326B">
        <w:rPr>
          <w:rFonts w:asciiTheme="minorHAnsi" w:eastAsiaTheme="minorHAnsi" w:hAnsiTheme="minorHAnsi"/>
        </w:rPr>
        <w:t>resistanc</w:t>
      </w:r>
      <w:r>
        <w:rPr>
          <w:rFonts w:asciiTheme="minorHAnsi" w:eastAsiaTheme="minorHAnsi" w:hAnsiTheme="minorHAnsi"/>
        </w:rPr>
        <w:t xml:space="preserve">e to raltegravir but high cross </w:t>
      </w:r>
      <w:r w:rsidR="00644EA7" w:rsidRPr="00CB326B">
        <w:rPr>
          <w:rFonts w:asciiTheme="minorHAnsi" w:eastAsiaTheme="minorHAnsi" w:hAnsiTheme="minorHAnsi"/>
        </w:rPr>
        <w:t>resistance to elvitegravir.</w:t>
      </w:r>
    </w:p>
    <w:p w:rsidR="00644EA7" w:rsidRPr="00CB326B" w:rsidRDefault="00644EA7" w:rsidP="002B7BD4">
      <w:pPr>
        <w:pStyle w:val="Heading4"/>
      </w:pPr>
      <w:r w:rsidRPr="00CB326B">
        <w:t>Secondary pharmacodynamics and safety pharmacology</w:t>
      </w:r>
    </w:p>
    <w:p w:rsidR="00644EA7" w:rsidRPr="00CB326B" w:rsidRDefault="00644EA7" w:rsidP="002B7BD4">
      <w:pPr>
        <w:rPr>
          <w:kern w:val="2"/>
        </w:rPr>
      </w:pPr>
      <w:r w:rsidRPr="00CB326B">
        <w:rPr>
          <w:kern w:val="2"/>
        </w:rPr>
        <w:t xml:space="preserve">In radioligand screening assays, no biologically relevant interactions occurred between bictegravir (10 μM; </w:t>
      </w:r>
      <w:r w:rsidR="006565A4">
        <w:rPr>
          <w:kern w:val="2"/>
        </w:rPr>
        <w:t xml:space="preserve">~ </w:t>
      </w:r>
      <w:r w:rsidRPr="00CB326B">
        <w:rPr>
          <w:kern w:val="2"/>
        </w:rPr>
        <w:t>70</w:t>
      </w:r>
      <w:r w:rsidR="002B7BD4">
        <w:rPr>
          <w:kern w:val="2"/>
        </w:rPr>
        <w:t xml:space="preserve"> </w:t>
      </w:r>
      <w:r w:rsidR="00792D99">
        <w:rPr>
          <w:kern w:val="2"/>
        </w:rPr>
        <w:t>times</w:t>
      </w:r>
      <w:r w:rsidRPr="00CB326B">
        <w:rPr>
          <w:kern w:val="2"/>
        </w:rPr>
        <w:t xml:space="preserve"> the clinical </w:t>
      </w:r>
      <w:r w:rsidR="00080EC5">
        <w:t>C</w:t>
      </w:r>
      <w:r w:rsidR="00080EC5" w:rsidRPr="00080EC5">
        <w:rPr>
          <w:vertAlign w:val="subscript"/>
        </w:rPr>
        <w:t>max</w:t>
      </w:r>
      <w:r w:rsidRPr="00CB326B">
        <w:rPr>
          <w:kern w:val="2"/>
          <w:vertAlign w:val="subscript"/>
        </w:rPr>
        <w:t xml:space="preserve"> unbound</w:t>
      </w:r>
      <w:r w:rsidRPr="00CB326B">
        <w:rPr>
          <w:kern w:val="2"/>
        </w:rPr>
        <w:t xml:space="preserve"> 0.137 µM based on 99% plasma protein binding) and neurotransmitter, hormone, ion channel and transporter systems covering the adenosine, sympathetic, parasympathetic, bradykinin, calcium channels, dopamine, en</w:t>
      </w:r>
      <w:r>
        <w:rPr>
          <w:kern w:val="2"/>
        </w:rPr>
        <w:t>d</w:t>
      </w:r>
      <w:r w:rsidRPr="00CB326B">
        <w:rPr>
          <w:kern w:val="2"/>
        </w:rPr>
        <w:t xml:space="preserve">othelin, </w:t>
      </w:r>
      <w:r w:rsidR="002F1508">
        <w:rPr>
          <w:kern w:val="2"/>
        </w:rPr>
        <w:t>epidermal growth factor (</w:t>
      </w:r>
      <w:r w:rsidRPr="00CB326B">
        <w:rPr>
          <w:kern w:val="2"/>
        </w:rPr>
        <w:t>EGF</w:t>
      </w:r>
      <w:r w:rsidR="002F1508">
        <w:rPr>
          <w:kern w:val="2"/>
        </w:rPr>
        <w:t>)</w:t>
      </w:r>
      <w:r w:rsidRPr="00CB326B">
        <w:rPr>
          <w:kern w:val="2"/>
        </w:rPr>
        <w:t xml:space="preserve">, </w:t>
      </w:r>
      <w:r w:rsidRPr="006565A4">
        <w:t xml:space="preserve">estrogen, </w:t>
      </w:r>
      <w:r w:rsidR="006565A4" w:rsidRPr="006565A4">
        <w:t>Gamma aminobutyric acid</w:t>
      </w:r>
      <w:r w:rsidR="006565A4" w:rsidRPr="006565A4">
        <w:rPr>
          <w:highlight w:val="yellow"/>
        </w:rPr>
        <w:t xml:space="preserve"> </w:t>
      </w:r>
      <w:r w:rsidR="006565A4" w:rsidRPr="006565A4">
        <w:t>(</w:t>
      </w:r>
      <w:r w:rsidRPr="006565A4">
        <w:t>GABA</w:t>
      </w:r>
      <w:r w:rsidR="006565A4" w:rsidRPr="006565A4">
        <w:t>)</w:t>
      </w:r>
      <w:r w:rsidRPr="006565A4">
        <w:t>,</w:t>
      </w:r>
      <w:r w:rsidRPr="00CB326B">
        <w:rPr>
          <w:kern w:val="2"/>
        </w:rPr>
        <w:t xml:space="preserve"> glucocorticoid, glutamate, histamine, imidazole, IL1, leukotriene, melatonin, neuropeptide, opiate, phorbol ester, </w:t>
      </w:r>
      <w:r w:rsidR="006565A4">
        <w:rPr>
          <w:kern w:val="2"/>
        </w:rPr>
        <w:t>platelet activating factor (</w:t>
      </w:r>
      <w:r w:rsidRPr="00CB326B">
        <w:rPr>
          <w:kern w:val="2"/>
        </w:rPr>
        <w:t>PAF</w:t>
      </w:r>
      <w:r w:rsidR="006565A4">
        <w:rPr>
          <w:kern w:val="2"/>
        </w:rPr>
        <w:t>)</w:t>
      </w:r>
      <w:r w:rsidRPr="00CB326B">
        <w:rPr>
          <w:kern w:val="2"/>
        </w:rPr>
        <w:t>, potassium channel, prostanoid, purinergic, rolipram, serotonin, sodium channel, tachykinin, and thyroid hormone, systems. GABA transporters were inhibited by 47% in the presence of 10</w:t>
      </w:r>
      <w:r w:rsidR="00792D99">
        <w:rPr>
          <w:kern w:val="2"/>
        </w:rPr>
        <w:t> </w:t>
      </w:r>
      <w:r w:rsidRPr="00CB326B">
        <w:rPr>
          <w:kern w:val="2"/>
        </w:rPr>
        <w:t xml:space="preserve">μM bictegravir. This is likely </w:t>
      </w:r>
      <w:r w:rsidR="005D634A">
        <w:rPr>
          <w:kern w:val="2"/>
        </w:rPr>
        <w:t>to be clinically irrelevant.</w:t>
      </w:r>
    </w:p>
    <w:p w:rsidR="00644EA7" w:rsidRPr="00CB326B" w:rsidRDefault="00644EA7" w:rsidP="002B7BD4">
      <w:pPr>
        <w:rPr>
          <w:kern w:val="2"/>
        </w:rPr>
      </w:pPr>
      <w:r w:rsidRPr="00CB326B">
        <w:rPr>
          <w:kern w:val="2"/>
        </w:rPr>
        <w:t>Bictegravir has no activity against hepatitis B and C viruses, influenza A virus, human rhinovirus a</w:t>
      </w:r>
      <w:r w:rsidR="005D634A">
        <w:rPr>
          <w:kern w:val="2"/>
        </w:rPr>
        <w:t>nd respiratory syncytial virus.</w:t>
      </w:r>
    </w:p>
    <w:p w:rsidR="004334C7" w:rsidRPr="00644EA7" w:rsidRDefault="00644EA7" w:rsidP="002B7BD4">
      <w:pPr>
        <w:rPr>
          <w:b/>
          <w:kern w:val="2"/>
        </w:rPr>
      </w:pPr>
      <w:r w:rsidRPr="00CB326B">
        <w:rPr>
          <w:kern w:val="2"/>
        </w:rPr>
        <w:t>Safety pharmacology studies (all</w:t>
      </w:r>
      <w:r w:rsidR="002D2B38">
        <w:rPr>
          <w:kern w:val="2"/>
        </w:rPr>
        <w:t xml:space="preserve"> </w:t>
      </w:r>
      <w:r w:rsidR="009E0328">
        <w:t>Good Laboratory Practice</w:t>
      </w:r>
      <w:r w:rsidR="009E0328">
        <w:rPr>
          <w:kern w:val="2"/>
        </w:rPr>
        <w:t xml:space="preserve"> (</w:t>
      </w:r>
      <w:r w:rsidR="002D2B38">
        <w:rPr>
          <w:kern w:val="2"/>
        </w:rPr>
        <w:t>GLP</w:t>
      </w:r>
      <w:r w:rsidR="009E0328">
        <w:rPr>
          <w:kern w:val="2"/>
        </w:rPr>
        <w:t>)</w:t>
      </w:r>
      <w:r w:rsidR="002D2B38">
        <w:rPr>
          <w:kern w:val="2"/>
        </w:rPr>
        <w:t xml:space="preserve"> </w:t>
      </w:r>
      <w:r w:rsidRPr="00CB326B">
        <w:rPr>
          <w:kern w:val="2"/>
        </w:rPr>
        <w:t>compliant) investigated neurobehavioral (in rats), hERG channel,</w:t>
      </w:r>
      <w:r w:rsidR="00792D99">
        <w:rPr>
          <w:rStyle w:val="FootnoteReference"/>
          <w:kern w:val="2"/>
        </w:rPr>
        <w:footnoteReference w:id="14"/>
      </w:r>
      <w:r w:rsidRPr="00CB326B">
        <w:rPr>
          <w:kern w:val="2"/>
        </w:rPr>
        <w:t xml:space="preserve"> cardiovascular (in primates) and respiratory (in rats) effects. No adverse effects on neurobehaviour, cardiovascular function or respiration were detected at doses ≤</w:t>
      </w:r>
      <w:r w:rsidR="005D634A">
        <w:rPr>
          <w:kern w:val="2"/>
        </w:rPr>
        <w:t> </w:t>
      </w:r>
      <w:r w:rsidRPr="00CB326B">
        <w:rPr>
          <w:kern w:val="2"/>
        </w:rPr>
        <w:t>300 mg/kg (</w:t>
      </w:r>
      <w:r w:rsidR="006565A4">
        <w:rPr>
          <w:kern w:val="2"/>
        </w:rPr>
        <w:t xml:space="preserve">~ </w:t>
      </w:r>
      <w:r w:rsidRPr="00CB326B">
        <w:rPr>
          <w:kern w:val="2"/>
        </w:rPr>
        <w:t>55</w:t>
      </w:r>
      <w:r w:rsidR="005D634A">
        <w:rPr>
          <w:kern w:val="2"/>
        </w:rPr>
        <w:t xml:space="preserve"> </w:t>
      </w:r>
      <w:r w:rsidR="00792D99">
        <w:rPr>
          <w:kern w:val="2"/>
        </w:rPr>
        <w:t>times</w:t>
      </w:r>
      <w:r w:rsidRPr="00CB326B">
        <w:rPr>
          <w:kern w:val="2"/>
        </w:rPr>
        <w:t xml:space="preserve"> human dose based on surface area comparison). Bictegravir displayed no meaningful inhibition of hERG </w:t>
      </w:r>
      <w:r w:rsidRPr="002F3E76">
        <w:rPr>
          <w:kern w:val="2"/>
        </w:rPr>
        <w:t xml:space="preserve">current </w:t>
      </w:r>
      <w:r w:rsidRPr="00B81B43">
        <w:rPr>
          <w:i/>
          <w:kern w:val="2"/>
        </w:rPr>
        <w:t>in vitro</w:t>
      </w:r>
      <w:r w:rsidRPr="00CB326B">
        <w:rPr>
          <w:kern w:val="2"/>
        </w:rPr>
        <w:t xml:space="preserve"> (10% inhibition at </w:t>
      </w:r>
      <w:r w:rsidR="006565A4">
        <w:rPr>
          <w:kern w:val="2"/>
        </w:rPr>
        <w:t xml:space="preserve">~ </w:t>
      </w:r>
      <w:r w:rsidRPr="00CB326B">
        <w:rPr>
          <w:kern w:val="2"/>
        </w:rPr>
        <w:t xml:space="preserve">7.1μM, </w:t>
      </w:r>
      <w:r w:rsidR="006565A4">
        <w:rPr>
          <w:kern w:val="2"/>
        </w:rPr>
        <w:t xml:space="preserve">~ </w:t>
      </w:r>
      <w:r w:rsidRPr="00CB326B">
        <w:rPr>
          <w:kern w:val="2"/>
        </w:rPr>
        <w:t>50</w:t>
      </w:r>
      <w:r w:rsidR="005D634A">
        <w:rPr>
          <w:kern w:val="2"/>
        </w:rPr>
        <w:t xml:space="preserve"> </w:t>
      </w:r>
      <w:r w:rsidR="00792D99">
        <w:rPr>
          <w:kern w:val="2"/>
        </w:rPr>
        <w:t>times</w:t>
      </w:r>
      <w:r w:rsidRPr="00CB326B">
        <w:rPr>
          <w:kern w:val="2"/>
        </w:rPr>
        <w:t xml:space="preserve"> the clinical free fraction </w:t>
      </w:r>
      <w:r w:rsidR="00080EC5">
        <w:t>C</w:t>
      </w:r>
      <w:r w:rsidR="00080EC5" w:rsidRPr="00080EC5">
        <w:rPr>
          <w:vertAlign w:val="subscript"/>
        </w:rPr>
        <w:t>max</w:t>
      </w:r>
      <w:r w:rsidR="005D634A">
        <w:rPr>
          <w:kern w:val="2"/>
        </w:rPr>
        <w:t>).</w:t>
      </w:r>
    </w:p>
    <w:p w:rsidR="008E7846" w:rsidRDefault="008E7846" w:rsidP="008E7846">
      <w:pPr>
        <w:pStyle w:val="Heading3"/>
      </w:pPr>
      <w:bookmarkStart w:id="52" w:name="_Toc247691513"/>
      <w:bookmarkStart w:id="53" w:name="_Toc314842497"/>
      <w:bookmarkStart w:id="54" w:name="_Toc20133973"/>
      <w:r>
        <w:t>Pharmacokinetics</w:t>
      </w:r>
      <w:bookmarkEnd w:id="52"/>
      <w:bookmarkEnd w:id="53"/>
      <w:bookmarkEnd w:id="54"/>
    </w:p>
    <w:p w:rsidR="00C368DA" w:rsidRDefault="006565A4" w:rsidP="00C368DA">
      <w:bookmarkStart w:id="55" w:name="_Toc247691514"/>
      <w:bookmarkStart w:id="56" w:name="_Toc314842498"/>
      <w:r>
        <w:t>Pharmacokinetic</w:t>
      </w:r>
      <w:r w:rsidR="00C368DA">
        <w:t xml:space="preserve"> profiles of bictegravir were investigated in animal species which are used in pharmacology and toxicity studies. Pharmacokinetics in animals approximated human pharmacokin</w:t>
      </w:r>
      <w:r w:rsidR="002D2B38">
        <w:t xml:space="preserve">etics. There were no clinically </w:t>
      </w:r>
      <w:r w:rsidR="00C368DA">
        <w:t>relev</w:t>
      </w:r>
      <w:r w:rsidR="00BE1078">
        <w:t>ant human specific metabolites.</w:t>
      </w:r>
    </w:p>
    <w:p w:rsidR="00C368DA" w:rsidRDefault="00C368DA" w:rsidP="00C368DA">
      <w:r>
        <w:t xml:space="preserve">Absorption and plasma pharmacokinetics were evaluated in single dose PO and/or </w:t>
      </w:r>
      <w:r w:rsidR="00E45E80">
        <w:t>intravenous (</w:t>
      </w:r>
      <w:r>
        <w:t>IV</w:t>
      </w:r>
      <w:r w:rsidR="00E45E80">
        <w:t>)</w:t>
      </w:r>
      <w:r>
        <w:t xml:space="preserve"> studies in mice, rats, rabbits, dogs, and two species of monkey</w:t>
      </w:r>
      <w:r w:rsidR="002D2B38">
        <w:t xml:space="preserve">s. Oral bioavailability was </w:t>
      </w:r>
      <w:r w:rsidR="006565A4">
        <w:t xml:space="preserve">~ </w:t>
      </w:r>
      <w:r w:rsidR="002D2B38">
        <w:t xml:space="preserve">42 to </w:t>
      </w:r>
      <w:r>
        <w:t xml:space="preserve">50% in dogs and rats, and </w:t>
      </w:r>
      <w:r w:rsidR="006565A4">
        <w:t xml:space="preserve">~ </w:t>
      </w:r>
      <w:r>
        <w:t xml:space="preserve">74% in cynomolgus monkeys (consistent with the </w:t>
      </w:r>
      <w:r w:rsidR="00251457">
        <w:t xml:space="preserve">&gt; </w:t>
      </w:r>
      <w:r>
        <w:t>60% predicted PO bioavailability in humans). PO absorption was rapid with T</w:t>
      </w:r>
      <w:r w:rsidRPr="00BE1078">
        <w:rPr>
          <w:vertAlign w:val="subscript"/>
        </w:rPr>
        <w:t>max</w:t>
      </w:r>
      <w:r w:rsidR="002D2B38">
        <w:t xml:space="preserve"> </w:t>
      </w:r>
      <w:r w:rsidR="006565A4">
        <w:t xml:space="preserve">~ </w:t>
      </w:r>
      <w:r w:rsidR="002D2B38">
        <w:t>1</w:t>
      </w:r>
      <w:r w:rsidR="00BE1078">
        <w:t> </w:t>
      </w:r>
      <w:r w:rsidR="002D2B38">
        <w:t>h</w:t>
      </w:r>
      <w:r w:rsidR="006565A4">
        <w:t>our</w:t>
      </w:r>
      <w:r w:rsidR="002D2B38">
        <w:t xml:space="preserve"> in dogs</w:t>
      </w:r>
      <w:r w:rsidR="002D5055">
        <w:rPr>
          <w:rStyle w:val="FootnoteReference"/>
        </w:rPr>
        <w:footnoteReference w:id="15"/>
      </w:r>
      <w:r w:rsidR="002D2B38">
        <w:t>, 4</w:t>
      </w:r>
      <w:r w:rsidR="00F47F01">
        <w:t xml:space="preserve"> hours </w:t>
      </w:r>
      <w:r w:rsidR="002D2B38">
        <w:t xml:space="preserve">in rats, and 1 to </w:t>
      </w:r>
      <w:r>
        <w:t>5 h</w:t>
      </w:r>
      <w:r w:rsidR="006565A4">
        <w:t>ours</w:t>
      </w:r>
      <w:r>
        <w:t xml:space="preserve"> in monkeys. In rats, dogs and two species of monkeys, the </w:t>
      </w:r>
      <w:r w:rsidR="002D5055">
        <w:rPr>
          <w:rFonts w:cstheme="minorHAnsi"/>
        </w:rPr>
        <w:t>steady state volume of distribution</w:t>
      </w:r>
      <w:r w:rsidR="002D5055">
        <w:t xml:space="preserve"> (</w:t>
      </w:r>
      <w:r>
        <w:t>V</w:t>
      </w:r>
      <w:r w:rsidR="00BE1078">
        <w:t>ss</w:t>
      </w:r>
      <w:r w:rsidR="002D5055">
        <w:t>)</w:t>
      </w:r>
      <w:r>
        <w:t xml:space="preserve"> was less </w:t>
      </w:r>
      <w:r w:rsidR="002D2B38">
        <w:t xml:space="preserve">than the total body water (0.09 to </w:t>
      </w:r>
      <w:r>
        <w:t xml:space="preserve">0.22 L/kg) and plasma clearance ranged from </w:t>
      </w:r>
      <w:r w:rsidR="006565A4">
        <w:t xml:space="preserve">~ </w:t>
      </w:r>
      <w:r>
        <w:t xml:space="preserve">0.005 to </w:t>
      </w:r>
      <w:r w:rsidR="006565A4">
        <w:t xml:space="preserve">~ </w:t>
      </w:r>
      <w:r>
        <w:t>0.03 L/kg/h (</w:t>
      </w:r>
      <w:r w:rsidR="006565A4">
        <w:t xml:space="preserve">~ </w:t>
      </w:r>
      <w:r>
        <w:t>0.1 to 1.3% of hepatic blood fl</w:t>
      </w:r>
      <w:r w:rsidR="002D2B38">
        <w:t>ow). Plasma t</w:t>
      </w:r>
      <w:r w:rsidR="002D2B38" w:rsidRPr="00BE1078">
        <w:rPr>
          <w:vertAlign w:val="subscript"/>
        </w:rPr>
        <w:t>½</w:t>
      </w:r>
      <w:r w:rsidR="002D2B38">
        <w:t xml:space="preserve"> was 3 to </w:t>
      </w:r>
      <w:r>
        <w:t>5</w:t>
      </w:r>
      <w:r w:rsidR="00F47F01">
        <w:t xml:space="preserve"> hours </w:t>
      </w:r>
      <w:r>
        <w:t xml:space="preserve">in dogs and primates and </w:t>
      </w:r>
      <w:r w:rsidR="002D2B38">
        <w:t xml:space="preserve">considerably longer in rats (26 to </w:t>
      </w:r>
      <w:r w:rsidR="00BE1078">
        <w:t>32 h</w:t>
      </w:r>
      <w:r w:rsidR="004E4AAB">
        <w:t>ours</w:t>
      </w:r>
      <w:r w:rsidR="00BE1078">
        <w:t>).</w:t>
      </w:r>
    </w:p>
    <w:p w:rsidR="00C368DA" w:rsidRDefault="00C368DA" w:rsidP="00C368DA">
      <w:r>
        <w:t>Bictegravir is highly plasma protein bound in rats, dogs, monkeys and humans (</w:t>
      </w:r>
      <w:r w:rsidR="00251457">
        <w:t xml:space="preserve">&gt; </w:t>
      </w:r>
      <w:r>
        <w:t xml:space="preserve">99% except for dogs 98.8%). The human </w:t>
      </w:r>
      <w:r w:rsidR="006565A4">
        <w:t>fraction unbound (fu)</w:t>
      </w:r>
      <w:r>
        <w:t xml:space="preserve"> is 0.25%. Bictegravir had minimal erythrocyte binding (blood:plasma ratio </w:t>
      </w:r>
      <w:r w:rsidR="006565A4">
        <w:t xml:space="preserve">~ </w:t>
      </w:r>
      <w:r>
        <w:t>0.6</w:t>
      </w:r>
      <w:r w:rsidR="006565A4">
        <w:t xml:space="preserve"> to </w:t>
      </w:r>
      <w:r>
        <w:t>.7 in rat, monkey and human blood).</w:t>
      </w:r>
    </w:p>
    <w:p w:rsidR="00C368DA" w:rsidRDefault="00C368DA" w:rsidP="00C368DA">
      <w:r>
        <w:lastRenderedPageBreak/>
        <w:t>In pigmented and</w:t>
      </w:r>
      <w:r w:rsidR="009D4D46">
        <w:t xml:space="preserve"> non-pigmented rats bictegravir-</w:t>
      </w:r>
      <w:r>
        <w:t>derived radioactivity was rapidly (by 0.25 h</w:t>
      </w:r>
      <w:r w:rsidR="006565A4">
        <w:t>ours</w:t>
      </w:r>
      <w:r>
        <w:t xml:space="preserve"> post dose) and widely distributed following PO dosing. Tissue concentrations remained below blood levels over the 168</w:t>
      </w:r>
      <w:r w:rsidR="00F47F01">
        <w:t xml:space="preserve"> hours </w:t>
      </w:r>
      <w:r>
        <w:t>observation period. Initially, radioactivity was concentrated in the upper digestive tract and bile, reflecting the routes of administration and elimination. There was no evidence of concentration in pigmented skin; however, radioactivity levels were higher in the uveal tract of pigmented</w:t>
      </w:r>
      <w:r w:rsidR="00B2321D">
        <w:t xml:space="preserve"> compared with</w:t>
      </w:r>
      <w:r>
        <w:t xml:space="preserve"> albino rats. Brain radioactivity levels remained below 4% relative to blood. Radioactivity was concentrated in t</w:t>
      </w:r>
      <w:r w:rsidR="002D2B38">
        <w:t>he liver and bile over the 0.25 to</w:t>
      </w:r>
      <w:r>
        <w:t>168</w:t>
      </w:r>
      <w:r w:rsidR="00F47F01">
        <w:t xml:space="preserve"> hours </w:t>
      </w:r>
      <w:r w:rsidR="004E4AAB">
        <w:t xml:space="preserve">post </w:t>
      </w:r>
      <w:r>
        <w:t xml:space="preserve">dose observation period, reflecting the major pathway of biliary excretion. Lower levels of radioactivity were detected in the kidney and urinary bladder, likely reflecting urinary excretion. Concentration of radioactivity in the adrenal glands, bone marrow and brown fat was </w:t>
      </w:r>
      <w:r w:rsidR="009D4D46">
        <w:t>also observed.</w:t>
      </w:r>
    </w:p>
    <w:p w:rsidR="00C368DA" w:rsidRDefault="00C368DA" w:rsidP="00C368DA">
      <w:r>
        <w:t xml:space="preserve">Bictegravir is mainly metabolised by </w:t>
      </w:r>
      <w:r w:rsidR="00A26F7F">
        <w:rPr>
          <w:rFonts w:cstheme="minorHAnsi"/>
        </w:rPr>
        <w:t xml:space="preserve">cytochrome P450 (CYP) </w:t>
      </w:r>
      <w:r>
        <w:t xml:space="preserve">CYP3A and </w:t>
      </w:r>
      <w:r w:rsidR="002F3E76">
        <w:rPr>
          <w:rFonts w:cstheme="minorHAnsi"/>
        </w:rPr>
        <w:t xml:space="preserve">uridine </w:t>
      </w:r>
      <w:r w:rsidR="002D5055">
        <w:rPr>
          <w:rFonts w:cstheme="minorHAnsi"/>
        </w:rPr>
        <w:t>diphosphate glucuronosyltransferase</w:t>
      </w:r>
      <w:r w:rsidR="002D5055">
        <w:t xml:space="preserve"> (UGT) </w:t>
      </w:r>
      <w:r>
        <w:t>UGT1A1, with minor contribution by UGTs 1A3, 1A8 a</w:t>
      </w:r>
      <w:r w:rsidR="00B81BAA">
        <w:t xml:space="preserve">nd 1A9. However, the major </w:t>
      </w:r>
      <w:r w:rsidR="004E4AAB">
        <w:t>drug related</w:t>
      </w:r>
      <w:r>
        <w:t xml:space="preserve"> moiety in human and animal plasma is the parent drug (</w:t>
      </w:r>
      <w:r w:rsidR="006565A4">
        <w:t xml:space="preserve">~ </w:t>
      </w:r>
      <w:r>
        <w:t xml:space="preserve">68% in human and </w:t>
      </w:r>
      <w:r w:rsidR="006565A4">
        <w:t xml:space="preserve">~ </w:t>
      </w:r>
      <w:r>
        <w:t xml:space="preserve">80% in rat and monkey plasma), consistent with </w:t>
      </w:r>
      <w:r w:rsidRPr="00B81B43">
        <w:rPr>
          <w:i/>
        </w:rPr>
        <w:t>in vitro</w:t>
      </w:r>
      <w:r>
        <w:t xml:space="preserve"> studies with hepatic microsomal preparations and hepatocytes. In hepatic microsomal preparations, bictegravir is highly stable, with predicted hepatic extraction of 13% in humans, 29% in</w:t>
      </w:r>
      <w:r w:rsidR="00B81BAA">
        <w:t xml:space="preserve"> </w:t>
      </w:r>
      <w:r w:rsidR="00B81BAA" w:rsidRPr="00B81BAA">
        <w:t>Sprague-Dawley</w:t>
      </w:r>
      <w:r>
        <w:t xml:space="preserve"> rats, 16% in dogs, and 27% in </w:t>
      </w:r>
      <w:r w:rsidR="004E4AAB">
        <w:t>cynomolgus</w:t>
      </w:r>
      <w:r>
        <w:t xml:space="preserve"> monkeys and 18% in rhesus monkeys. In Wiste</w:t>
      </w:r>
      <w:r w:rsidR="002D2B38">
        <w:t xml:space="preserve">r rat and human hepatocytes, 92 to </w:t>
      </w:r>
      <w:r w:rsidR="00B81BAA">
        <w:t>94% remained intact after 4 h</w:t>
      </w:r>
      <w:r w:rsidR="006565A4">
        <w:t>ours</w:t>
      </w:r>
      <w:r>
        <w:t>, c</w:t>
      </w:r>
      <w:r w:rsidR="002D2B38">
        <w:t xml:space="preserve">ompared with </w:t>
      </w:r>
      <w:r>
        <w:t>79% and 52% in dog and</w:t>
      </w:r>
      <w:r w:rsidR="002D2B38">
        <w:t xml:space="preserve"> cynomolgus monkey hepatocytes.</w:t>
      </w:r>
    </w:p>
    <w:p w:rsidR="00C368DA" w:rsidRDefault="00C368DA" w:rsidP="00C368DA">
      <w:r>
        <w:t>Bictegravir undergoes oxidation (</w:t>
      </w:r>
      <w:r w:rsidR="00B81BAA">
        <w:t xml:space="preserve">for example, </w:t>
      </w:r>
      <w:r>
        <w:t>hydroxylation), defluorination and conjugation (glucuronidation, sulfation, cysteinylation) in all species. Hydroxy bictegravir sulfate (M20, 20%) and bictegravir glucuronide (M15, 8.6%) are two major metabolites in human plasma. M20 was also detected in rat plasma (</w:t>
      </w:r>
      <w:r w:rsidR="006565A4">
        <w:t xml:space="preserve">~ </w:t>
      </w:r>
      <w:r>
        <w:t>11%) and to a smaller extent, monkey plasma (</w:t>
      </w:r>
      <w:r w:rsidR="006565A4">
        <w:t xml:space="preserve">~ </w:t>
      </w:r>
      <w:r>
        <w:t>1%), and M15 was present in animal plasma at low levels, but at high levels in excreta (</w:t>
      </w:r>
      <w:r w:rsidR="006565A4">
        <w:t xml:space="preserve">~ </w:t>
      </w:r>
      <w:r>
        <w:t>13% of dose in rat bile, 4</w:t>
      </w:r>
      <w:r w:rsidR="002D2B38">
        <w:t xml:space="preserve"> to </w:t>
      </w:r>
      <w:r>
        <w:t>6% of dose in monkey urine and bile). Desfluoro hydroxyl bictegravir cysteine conjugate (M9) was a major metabolite in human faeces (13% of dose), and was also found in rat bile (1.2% of dose) and monkey bile (11% of dose). Other major human metabolites M11/M22 (not separated by the analytical method; 8% of dose) detected in faeces were also detected in rat faeces (8% of dose</w:t>
      </w:r>
      <w:r w:rsidR="00164F07">
        <w:t>) and monkey bile (6% of dose).</w:t>
      </w:r>
    </w:p>
    <w:p w:rsidR="008F2B23" w:rsidRDefault="00C368DA" w:rsidP="00C368DA">
      <w:r>
        <w:t>Across all evaluated species the majority of drug associated radioactivity was excreted in faeces (</w:t>
      </w:r>
      <w:r w:rsidR="00251457">
        <w:t xml:space="preserve">&gt; </w:t>
      </w:r>
      <w:r>
        <w:t>40% of dose) mainly as unchanged drug and with smaller amounts in urine (</w:t>
      </w:r>
      <w:r w:rsidR="00251457">
        <w:t xml:space="preserve">&lt; </w:t>
      </w:r>
      <w:r>
        <w:t>21% of dose) mainly as metabolites. Bile duct cannulation studies demonstrated biliary excretion in rats and monkeys of 34</w:t>
      </w:r>
      <w:r w:rsidR="002D2B38">
        <w:t xml:space="preserve"> to </w:t>
      </w:r>
      <w:r>
        <w:t>40% of drug derived radioactivity, with evidence of conversion of metabolites to bictegravir in the intestinal tract in rats, but not in monkeys.</w:t>
      </w:r>
    </w:p>
    <w:p w:rsidR="00C368DA" w:rsidRDefault="00C368DA" w:rsidP="00C368DA">
      <w:pPr>
        <w:pStyle w:val="Heading4"/>
      </w:pPr>
      <w:r>
        <w:t>Pharmacokinetic drug interactions</w:t>
      </w:r>
    </w:p>
    <w:p w:rsidR="00C368DA" w:rsidRDefault="00C368DA" w:rsidP="00C368DA">
      <w:r>
        <w:t>Bictegravir is predominantly metabolised by CYP3A and UGT1A1. Co-administration with medicinal products that induce CYP3A and/or UGT1A1 may decrease bictegravir plasma concentrations. Co-administration of bictegravir with medicinal products that inhibit CYP3A and/or UGT1A1 may increase plasma</w:t>
      </w:r>
      <w:r w:rsidR="00164F07">
        <w:t xml:space="preserve"> concentrations of bictegravir.</w:t>
      </w:r>
    </w:p>
    <w:p w:rsidR="00C368DA" w:rsidRDefault="00C368DA" w:rsidP="00C368DA">
      <w:r w:rsidRPr="00B81B43">
        <w:rPr>
          <w:i/>
        </w:rPr>
        <w:t>In vitro</w:t>
      </w:r>
      <w:r>
        <w:t xml:space="preserve"> studies showed that bictegravir is not an inhibitor or only causes weak inhibition of CYP1A, CYP1A2, CYP2B6, CYP2C8, CYP2C9, CYP2C19, or CYP2D6, and thus bictegravir is unlikely to cause clinically relevant drug interactions with agents, which are metabolised by these enzymes. B</w:t>
      </w:r>
      <w:r w:rsidR="002D2B38">
        <w:t xml:space="preserve">ictegravir is a weak metabolism </w:t>
      </w:r>
      <w:r>
        <w:t>dependent inhibitor of CYP3A with an IC</w:t>
      </w:r>
      <w:r w:rsidRPr="00164F07">
        <w:rPr>
          <w:vertAlign w:val="subscript"/>
        </w:rPr>
        <w:t>50</w:t>
      </w:r>
      <w:r>
        <w:t xml:space="preserve"> 64.3 µM, which is </w:t>
      </w:r>
      <w:r w:rsidR="00251457">
        <w:t xml:space="preserve">&gt; </w:t>
      </w:r>
      <w:r>
        <w:t>450</w:t>
      </w:r>
      <w:r w:rsidR="00164F07">
        <w:t xml:space="preserve"> times</w:t>
      </w:r>
      <w:r>
        <w:t xml:space="preserve"> the unbound clinical </w:t>
      </w:r>
      <w:r w:rsidR="00080EC5">
        <w:t>C</w:t>
      </w:r>
      <w:r w:rsidR="00080EC5" w:rsidRPr="00080EC5">
        <w:rPr>
          <w:vertAlign w:val="subscript"/>
        </w:rPr>
        <w:t>max</w:t>
      </w:r>
      <w:r>
        <w:t>, and also an inducer of CYP3A (EC</w:t>
      </w:r>
      <w:r w:rsidRPr="00164F07">
        <w:rPr>
          <w:vertAlign w:val="subscript"/>
        </w:rPr>
        <w:t>50</w:t>
      </w:r>
      <w:r>
        <w:t xml:space="preserve"> 19 µM for CYP3A </w:t>
      </w:r>
      <w:r w:rsidR="00CD4AC6">
        <w:t>messenger RNA (</w:t>
      </w:r>
      <w:r>
        <w:t>mRNA</w:t>
      </w:r>
      <w:r w:rsidR="00CD4AC6">
        <w:t>)</w:t>
      </w:r>
      <w:r>
        <w:t xml:space="preserve"> induction and low induction of enzyme </w:t>
      </w:r>
      <w:r>
        <w:lastRenderedPageBreak/>
        <w:t>activity, up to 37% of the response to the positive control rifampicin). The potential for clinically relevant interaction</w:t>
      </w:r>
      <w:r w:rsidR="00164F07">
        <w:t>s with CYP3A substrates is low.</w:t>
      </w:r>
    </w:p>
    <w:p w:rsidR="00C368DA" w:rsidRDefault="00C368DA" w:rsidP="00C368DA">
      <w:r w:rsidRPr="00B81B43">
        <w:rPr>
          <w:i/>
        </w:rPr>
        <w:t>In vitro</w:t>
      </w:r>
      <w:r>
        <w:t xml:space="preserve"> studies with human hepatocytes demonstrated that bictegravir is not an inducer of CYP1A2 and a weak inducer of CYP2B6. Clinically relevant drug-drug interactions through the induction of CYP2B6 are not expected to occur. Bictegravir also showed some potential of inducing UG</w:t>
      </w:r>
      <w:r w:rsidR="006565A4">
        <w:t xml:space="preserve">T1A1 (up to 16 </w:t>
      </w:r>
      <w:r>
        <w:t>fold increase in mRNA expr</w:t>
      </w:r>
      <w:r w:rsidR="002D2B38">
        <w:t xml:space="preserve">ession at 30 to </w:t>
      </w:r>
      <w:r>
        <w:t>60 µM and minimal induction at 10 µM; activity not determined), but the potential for clinical drug</w:t>
      </w:r>
      <w:r w:rsidR="00164F07">
        <w:noBreakHyphen/>
      </w:r>
      <w:r>
        <w:t xml:space="preserve">drug </w:t>
      </w:r>
      <w:r w:rsidR="00164F07">
        <w:t>interactions is considered low.</w:t>
      </w:r>
    </w:p>
    <w:p w:rsidR="00C368DA" w:rsidRPr="00980A20" w:rsidRDefault="00C368DA" w:rsidP="00C368DA">
      <w:r>
        <w:t>Bictegravir i</w:t>
      </w:r>
      <w:r w:rsidR="00164F07">
        <w:t xml:space="preserve">s a substrate of </w:t>
      </w:r>
      <w:r w:rsidR="00CD4AC6">
        <w:rPr>
          <w:rFonts w:cstheme="minorHAnsi"/>
        </w:rPr>
        <w:t>P-glycoprotein</w:t>
      </w:r>
      <w:r w:rsidR="00CD4AC6">
        <w:t xml:space="preserve"> (</w:t>
      </w:r>
      <w:r w:rsidR="00164F07">
        <w:t>P-gp</w:t>
      </w:r>
      <w:r w:rsidR="00CD4AC6">
        <w:t>)</w:t>
      </w:r>
      <w:r w:rsidR="00164F07">
        <w:t xml:space="preserve"> and </w:t>
      </w:r>
      <w:r w:rsidR="00A26F7F">
        <w:rPr>
          <w:rFonts w:cstheme="minorHAnsi"/>
        </w:rPr>
        <w:t>breast cancer resistance protein</w:t>
      </w:r>
      <w:r w:rsidR="00A26F7F">
        <w:t xml:space="preserve"> (</w:t>
      </w:r>
      <w:r w:rsidR="00164F07">
        <w:t>BCRP</w:t>
      </w:r>
      <w:r w:rsidR="00A26F7F">
        <w:t>)</w:t>
      </w:r>
      <w:r w:rsidR="00164F07">
        <w:t xml:space="preserve">. </w:t>
      </w:r>
      <w:r>
        <w:t xml:space="preserve">Bictegravir is a weak inhibitor of P-gp (20% at 80 µM) and not an inhibitor of BCRP </w:t>
      </w:r>
      <w:r w:rsidRPr="00B81B43">
        <w:rPr>
          <w:i/>
        </w:rPr>
        <w:t>in vitro</w:t>
      </w:r>
      <w:r>
        <w:t xml:space="preserve">, and thus it is unlikely to affect the absorption and excretion of P-gp and BCRP </w:t>
      </w:r>
      <w:r w:rsidRPr="002F3E76">
        <w:t xml:space="preserve">substrates </w:t>
      </w:r>
      <w:r w:rsidRPr="00B81B43">
        <w:rPr>
          <w:i/>
        </w:rPr>
        <w:t>in vivo</w:t>
      </w:r>
      <w:r w:rsidR="00B81BAA" w:rsidRPr="002F3E76">
        <w:t>.</w:t>
      </w:r>
    </w:p>
    <w:p w:rsidR="00C368DA" w:rsidRDefault="00C368DA" w:rsidP="00C368DA">
      <w:r>
        <w:t>Bictegravir is not a substrate or inhibitor of OATP1B1 or OATP1B3 and not an in</w:t>
      </w:r>
      <w:r w:rsidR="00164F07">
        <w:t>hibitor of OAT1, OAT3 and OCT1.</w:t>
      </w:r>
      <w:r w:rsidR="00CD4AC6">
        <w:rPr>
          <w:rStyle w:val="FootnoteReference"/>
        </w:rPr>
        <w:footnoteReference w:id="16"/>
      </w:r>
    </w:p>
    <w:p w:rsidR="002A0238" w:rsidRDefault="00C368DA" w:rsidP="00C368DA">
      <w:r>
        <w:t>Bictegrav</w:t>
      </w:r>
      <w:r w:rsidR="002D2B38">
        <w:t xml:space="preserve">ir dose </w:t>
      </w:r>
      <w:r>
        <w:t xml:space="preserve">dependently inhibits </w:t>
      </w:r>
      <w:r w:rsidR="00E45E80">
        <w:t>multi-drug and toxin extrusion protein 1 (</w:t>
      </w:r>
      <w:r>
        <w:t>MATE1</w:t>
      </w:r>
      <w:r w:rsidR="00E45E80">
        <w:t>)</w:t>
      </w:r>
      <w:r>
        <w:t xml:space="preserve"> (IC</w:t>
      </w:r>
      <w:r w:rsidRPr="00164F07">
        <w:rPr>
          <w:vertAlign w:val="subscript"/>
        </w:rPr>
        <w:t>50</w:t>
      </w:r>
      <w:r>
        <w:t xml:space="preserve"> 8.0 μM) and OCT2 (IC</w:t>
      </w:r>
      <w:r w:rsidRPr="00164F07">
        <w:rPr>
          <w:vertAlign w:val="subscript"/>
        </w:rPr>
        <w:t>50</w:t>
      </w:r>
      <w:r>
        <w:t xml:space="preserve"> 0.42 μM) and may compete with creatinine for active excretion into renal tubules and inhibit the excretion of drugs that are substra</w:t>
      </w:r>
      <w:r w:rsidR="00B22D7D">
        <w:t>tes of these transporters. The s</w:t>
      </w:r>
      <w:r>
        <w:t xml:space="preserve">ponsor has noted that bictegravir treatment of humans resulted in increased serum creatinine in the absence of changes to </w:t>
      </w:r>
      <w:r w:rsidR="009E0328">
        <w:rPr>
          <w:rFonts w:eastAsia="TimesNewRoman" w:cs="TimesNewRoman"/>
        </w:rPr>
        <w:t>glomerular filtration rate</w:t>
      </w:r>
      <w:r w:rsidR="009E0328">
        <w:t xml:space="preserve"> (</w:t>
      </w:r>
      <w:r>
        <w:t>GFR</w:t>
      </w:r>
      <w:r w:rsidR="009E0328">
        <w:t>)</w:t>
      </w:r>
      <w:r>
        <w:t>. This effect was not detected in the repeat dose animal studies.</w:t>
      </w:r>
    </w:p>
    <w:p w:rsidR="001B5C90" w:rsidRDefault="008E7846" w:rsidP="001B5C90">
      <w:pPr>
        <w:pStyle w:val="Heading3"/>
      </w:pPr>
      <w:bookmarkStart w:id="57" w:name="_Toc20133974"/>
      <w:r>
        <w:t>Toxicology</w:t>
      </w:r>
      <w:bookmarkEnd w:id="55"/>
      <w:bookmarkEnd w:id="56"/>
      <w:bookmarkEnd w:id="57"/>
    </w:p>
    <w:p w:rsidR="002A0238" w:rsidRDefault="002A0238" w:rsidP="002A0238">
      <w:pPr>
        <w:pStyle w:val="Heading4"/>
      </w:pPr>
      <w:r>
        <w:t>Acute toxicity</w:t>
      </w:r>
    </w:p>
    <w:p w:rsidR="002A0238" w:rsidRDefault="006565A4" w:rsidP="004E4AAB">
      <w:r>
        <w:t xml:space="preserve">No formal single </w:t>
      </w:r>
      <w:r w:rsidR="002A0238">
        <w:t>dose toxicity studies (including no combination toxicity studies) were conducted. However, no overt acute toxicity was detected at doses exceeding the saturation of absorption in rats and mice and up to 1000 mg/kg (</w:t>
      </w:r>
      <w:r w:rsidR="00B22D7D">
        <w:t>the ICH limit dose) in monkeys.</w:t>
      </w:r>
    </w:p>
    <w:p w:rsidR="002A0238" w:rsidRDefault="002D2B38" w:rsidP="002A0238">
      <w:pPr>
        <w:pStyle w:val="Heading4"/>
      </w:pPr>
      <w:r>
        <w:t xml:space="preserve">Repeat </w:t>
      </w:r>
      <w:r w:rsidR="002A0238">
        <w:t>dose toxicity</w:t>
      </w:r>
    </w:p>
    <w:p w:rsidR="002A0238" w:rsidRDefault="002A0238" w:rsidP="002A0238">
      <w:r>
        <w:t>All pivotal studies were GLP compliant, were consistent with current guidelines, used an aqueous vehicle and used the proposed clinical route of administration. Oral toxicity was evaluated in transgenic mice, rats, and mon</w:t>
      </w:r>
      <w:r w:rsidR="002D2B38">
        <w:t xml:space="preserve">keys for treatment periods of 2 to </w:t>
      </w:r>
      <w:r>
        <w:t>39 weeks. The maximum doses in the mouse and rat studies were based on the saturation of absorption doses observed in the single PO dose toxicokinetic studies and resulted in exposures 23</w:t>
      </w:r>
      <w:r w:rsidR="00B22D7D">
        <w:t xml:space="preserve"> times </w:t>
      </w:r>
      <w:r>
        <w:t>and 32</w:t>
      </w:r>
      <w:r w:rsidR="00B22D7D">
        <w:t xml:space="preserve"> times</w:t>
      </w:r>
      <w:r>
        <w:t xml:space="preserve"> the clinical exposure, respectively. The maximum dose in the monkey studies was the ICH M3 (R2)</w:t>
      </w:r>
      <w:r w:rsidR="00B22D7D">
        <w:rPr>
          <w:rStyle w:val="FootnoteReference"/>
        </w:rPr>
        <w:footnoteReference w:id="17"/>
      </w:r>
      <w:r>
        <w:t xml:space="preserve"> limit dose, with exposures 16</w:t>
      </w:r>
      <w:r w:rsidR="00B22D7D">
        <w:t xml:space="preserve"> times the clinical exposure.</w:t>
      </w:r>
    </w:p>
    <w:p w:rsidR="00C9747E" w:rsidRDefault="002A0238" w:rsidP="002A0238">
      <w:pPr>
        <w:pStyle w:val="Heading5"/>
      </w:pPr>
      <w:r>
        <w:t>Relative exposure</w:t>
      </w:r>
    </w:p>
    <w:p w:rsidR="00B22D7D" w:rsidRPr="00B22D7D" w:rsidRDefault="00B22D7D" w:rsidP="00B22D7D">
      <w:r w:rsidRPr="00B22D7D">
        <w:t>The following table (</w:t>
      </w:r>
      <w:r w:rsidR="002D05A8">
        <w:t>Table 3</w:t>
      </w:r>
      <w:r w:rsidRPr="00B22D7D">
        <w:t>) describes the relative exposures in animals versus humans.</w:t>
      </w:r>
    </w:p>
    <w:p w:rsidR="002A0238" w:rsidRDefault="00B22D7D" w:rsidP="00B22D7D">
      <w:pPr>
        <w:pStyle w:val="TableTitle"/>
      </w:pPr>
      <w:bookmarkStart w:id="58" w:name="_Ref5708478"/>
      <w:r>
        <w:lastRenderedPageBreak/>
        <w:t xml:space="preserve">Table </w:t>
      </w:r>
      <w:bookmarkEnd w:id="58"/>
      <w:r w:rsidR="002D05A8">
        <w:t>3</w:t>
      </w:r>
      <w:r>
        <w:t xml:space="preserve">: </w:t>
      </w:r>
      <w:r w:rsidR="002D2B38">
        <w:t xml:space="preserve">Relative exposure in repeat </w:t>
      </w:r>
      <w:r w:rsidR="002A0238" w:rsidRPr="002A0238">
        <w:t>dose toxicity and carcinogenicity studies</w:t>
      </w:r>
    </w:p>
    <w:tbl>
      <w:tblPr>
        <w:tblStyle w:val="TableTGAblue"/>
        <w:tblW w:w="4775" w:type="pct"/>
        <w:tblLook w:val="01E0" w:firstRow="1" w:lastRow="1" w:firstColumn="1" w:lastColumn="1" w:noHBand="0" w:noVBand="0"/>
      </w:tblPr>
      <w:tblGrid>
        <w:gridCol w:w="1803"/>
        <w:gridCol w:w="2471"/>
        <w:gridCol w:w="1419"/>
        <w:gridCol w:w="1313"/>
        <w:gridCol w:w="1322"/>
      </w:tblGrid>
      <w:tr w:rsidR="002A0238" w:rsidRPr="00F12518" w:rsidTr="004E4AAB">
        <w:trPr>
          <w:cnfStyle w:val="100000000000" w:firstRow="1" w:lastRow="0" w:firstColumn="0" w:lastColumn="0" w:oddVBand="0" w:evenVBand="0" w:oddHBand="0" w:evenHBand="0" w:firstRowFirstColumn="0" w:firstRowLastColumn="0" w:lastRowFirstColumn="0" w:lastRowLastColumn="0"/>
          <w:trHeight w:val="715"/>
        </w:trPr>
        <w:tc>
          <w:tcPr>
            <w:tcW w:w="1092" w:type="pct"/>
            <w:vAlign w:val="center"/>
          </w:tcPr>
          <w:p w:rsidR="002A0238" w:rsidRPr="00F12518" w:rsidRDefault="002A0238" w:rsidP="006565A4">
            <w:pPr>
              <w:ind w:left="0" w:right="0"/>
              <w:jc w:val="center"/>
              <w:rPr>
                <w:sz w:val="20"/>
                <w:szCs w:val="20"/>
              </w:rPr>
            </w:pPr>
            <w:r w:rsidRPr="00F12518">
              <w:rPr>
                <w:sz w:val="20"/>
                <w:szCs w:val="20"/>
              </w:rPr>
              <w:t>Species</w:t>
            </w:r>
          </w:p>
        </w:tc>
        <w:tc>
          <w:tcPr>
            <w:tcW w:w="1493" w:type="pct"/>
            <w:vAlign w:val="center"/>
          </w:tcPr>
          <w:p w:rsidR="002A0238" w:rsidRPr="00F12518" w:rsidRDefault="006565A4" w:rsidP="006565A4">
            <w:pPr>
              <w:ind w:left="0" w:right="0"/>
              <w:jc w:val="center"/>
              <w:rPr>
                <w:sz w:val="20"/>
                <w:szCs w:val="20"/>
              </w:rPr>
            </w:pPr>
            <w:r>
              <w:rPr>
                <w:sz w:val="20"/>
                <w:szCs w:val="20"/>
              </w:rPr>
              <w:t xml:space="preserve">Study duration </w:t>
            </w:r>
            <w:r w:rsidR="004E4AAB">
              <w:rPr>
                <w:sz w:val="20"/>
                <w:szCs w:val="20"/>
              </w:rPr>
              <w:t>(</w:t>
            </w:r>
            <w:r>
              <w:rPr>
                <w:sz w:val="20"/>
                <w:szCs w:val="20"/>
              </w:rPr>
              <w:t>Study </w:t>
            </w:r>
            <w:r w:rsidR="002A0238" w:rsidRPr="00F12518">
              <w:rPr>
                <w:sz w:val="20"/>
                <w:szCs w:val="20"/>
              </w:rPr>
              <w:t>no.</w:t>
            </w:r>
            <w:r w:rsidR="004E4AAB">
              <w:rPr>
                <w:sz w:val="20"/>
                <w:szCs w:val="20"/>
              </w:rPr>
              <w:t>)</w:t>
            </w:r>
          </w:p>
        </w:tc>
        <w:tc>
          <w:tcPr>
            <w:tcW w:w="814" w:type="pct"/>
            <w:vAlign w:val="center"/>
          </w:tcPr>
          <w:p w:rsidR="002A0238" w:rsidRPr="00F12518" w:rsidRDefault="006565A4" w:rsidP="006565A4">
            <w:pPr>
              <w:ind w:left="0" w:right="0"/>
              <w:jc w:val="center"/>
              <w:rPr>
                <w:sz w:val="20"/>
                <w:szCs w:val="20"/>
              </w:rPr>
            </w:pPr>
            <w:r>
              <w:rPr>
                <w:sz w:val="20"/>
                <w:szCs w:val="20"/>
              </w:rPr>
              <w:t xml:space="preserve">Dose </w:t>
            </w:r>
            <w:r w:rsidR="002A0238" w:rsidRPr="00F12518">
              <w:rPr>
                <w:sz w:val="20"/>
                <w:szCs w:val="20"/>
              </w:rPr>
              <w:t>(mg/kg/day)</w:t>
            </w:r>
          </w:p>
        </w:tc>
        <w:tc>
          <w:tcPr>
            <w:tcW w:w="798" w:type="pct"/>
            <w:vAlign w:val="center"/>
          </w:tcPr>
          <w:p w:rsidR="002A0238" w:rsidRPr="00F12518" w:rsidRDefault="002A0238" w:rsidP="006565A4">
            <w:pPr>
              <w:ind w:left="0" w:right="0"/>
              <w:jc w:val="center"/>
              <w:rPr>
                <w:sz w:val="20"/>
                <w:szCs w:val="20"/>
              </w:rPr>
            </w:pPr>
            <w:r w:rsidRPr="00F12518">
              <w:rPr>
                <w:sz w:val="20"/>
                <w:szCs w:val="20"/>
              </w:rPr>
              <w:t>AUC</w:t>
            </w:r>
            <w:r w:rsidRPr="00F12518">
              <w:rPr>
                <w:sz w:val="20"/>
                <w:szCs w:val="20"/>
                <w:vertAlign w:val="subscript"/>
              </w:rPr>
              <w:t>0–24</w:t>
            </w:r>
            <w:r w:rsidRPr="00F12518">
              <w:rPr>
                <w:w w:val="50"/>
                <w:sz w:val="20"/>
                <w:szCs w:val="20"/>
                <w:vertAlign w:val="subscript"/>
              </w:rPr>
              <w:t> </w:t>
            </w:r>
            <w:r w:rsidRPr="00F12518">
              <w:rPr>
                <w:sz w:val="20"/>
                <w:szCs w:val="20"/>
                <w:vertAlign w:val="subscript"/>
              </w:rPr>
              <w:t>h</w:t>
            </w:r>
            <w:r w:rsidR="006565A4">
              <w:rPr>
                <w:sz w:val="20"/>
                <w:szCs w:val="20"/>
              </w:rPr>
              <w:t xml:space="preserve">^ </w:t>
            </w:r>
            <w:r w:rsidRPr="00F12518">
              <w:rPr>
                <w:sz w:val="20"/>
                <w:szCs w:val="20"/>
              </w:rPr>
              <w:t>(μg∙h/mL)</w:t>
            </w:r>
          </w:p>
        </w:tc>
        <w:tc>
          <w:tcPr>
            <w:tcW w:w="803" w:type="pct"/>
            <w:vAlign w:val="center"/>
          </w:tcPr>
          <w:p w:rsidR="002A0238" w:rsidRPr="00F12518" w:rsidRDefault="002A0238" w:rsidP="006565A4">
            <w:pPr>
              <w:ind w:left="0" w:right="0"/>
              <w:jc w:val="center"/>
              <w:rPr>
                <w:sz w:val="20"/>
                <w:szCs w:val="20"/>
              </w:rPr>
            </w:pPr>
            <w:r w:rsidRPr="00F12518">
              <w:rPr>
                <w:sz w:val="20"/>
                <w:szCs w:val="20"/>
              </w:rPr>
              <w:t>Exposure ratio</w:t>
            </w:r>
            <w:r w:rsidRPr="00F12518">
              <w:rPr>
                <w:sz w:val="20"/>
                <w:szCs w:val="20"/>
                <w:vertAlign w:val="superscript"/>
              </w:rPr>
              <w:t>#</w:t>
            </w:r>
          </w:p>
        </w:tc>
      </w:tr>
      <w:tr w:rsidR="002A0238" w:rsidRPr="00F12518" w:rsidTr="004E4AAB">
        <w:trPr>
          <w:trHeight w:val="484"/>
        </w:trPr>
        <w:tc>
          <w:tcPr>
            <w:tcW w:w="1092" w:type="pct"/>
            <w:vMerge w:val="restar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b/>
                <w:snapToGrid w:val="0"/>
                <w:sz w:val="20"/>
                <w:szCs w:val="20"/>
              </w:rPr>
              <w:t>Mouse</w:t>
            </w:r>
            <w:r w:rsidR="006565A4">
              <w:rPr>
                <w:rFonts w:eastAsia="Times New Roman"/>
                <w:snapToGrid w:val="0"/>
                <w:sz w:val="20"/>
                <w:szCs w:val="20"/>
              </w:rPr>
              <w:t xml:space="preserve"> </w:t>
            </w:r>
            <w:r w:rsidRPr="00F12518">
              <w:rPr>
                <w:rFonts w:eastAsia="Times New Roman"/>
                <w:snapToGrid w:val="0"/>
                <w:sz w:val="20"/>
                <w:szCs w:val="20"/>
              </w:rPr>
              <w:t>(</w:t>
            </w:r>
            <w:r w:rsidR="004E4AAB">
              <w:rPr>
                <w:rFonts w:eastAsia="Times New Roman"/>
                <w:snapToGrid w:val="0"/>
                <w:sz w:val="20"/>
                <w:szCs w:val="20"/>
              </w:rPr>
              <w:t>(</w:t>
            </w:r>
            <w:r w:rsidRPr="00F12518">
              <w:rPr>
                <w:rFonts w:eastAsia="Times New Roman"/>
                <w:snapToGrid w:val="0"/>
                <w:sz w:val="20"/>
                <w:szCs w:val="20"/>
              </w:rPr>
              <w:t>Wild Type</w:t>
            </w:r>
            <w:r w:rsidR="004E4AAB">
              <w:rPr>
                <w:rFonts w:eastAsia="Times New Roman"/>
                <w:snapToGrid w:val="0"/>
                <w:sz w:val="20"/>
                <w:szCs w:val="20"/>
              </w:rPr>
              <w:t>)</w:t>
            </w:r>
            <w:r w:rsidRPr="00F12518">
              <w:rPr>
                <w:rFonts w:eastAsia="Times New Roman"/>
                <w:snapToGrid w:val="0"/>
                <w:sz w:val="20"/>
                <w:szCs w:val="20"/>
              </w:rPr>
              <w:t xml:space="preserve"> RasH2)</w:t>
            </w:r>
          </w:p>
        </w:tc>
        <w:tc>
          <w:tcPr>
            <w:tcW w:w="1493" w:type="pct"/>
            <w:vMerge w:val="restart"/>
            <w:vAlign w:val="center"/>
          </w:tcPr>
          <w:p w:rsidR="002A0238" w:rsidRPr="00F12518" w:rsidRDefault="006565A4" w:rsidP="006565A4">
            <w:pPr>
              <w:ind w:left="0" w:right="0"/>
              <w:jc w:val="center"/>
              <w:rPr>
                <w:rFonts w:eastAsia="Times New Roman"/>
                <w:snapToGrid w:val="0"/>
                <w:sz w:val="20"/>
                <w:szCs w:val="20"/>
              </w:rPr>
            </w:pPr>
            <w:r>
              <w:rPr>
                <w:rFonts w:eastAsia="Times New Roman"/>
                <w:snapToGrid w:val="0"/>
                <w:sz w:val="20"/>
                <w:szCs w:val="20"/>
              </w:rPr>
              <w:t xml:space="preserve">4 weeks </w:t>
            </w:r>
            <w:r w:rsidR="004E4AAB">
              <w:rPr>
                <w:rFonts w:eastAsia="Times New Roman"/>
                <w:snapToGrid w:val="0"/>
                <w:sz w:val="20"/>
                <w:szCs w:val="20"/>
              </w:rPr>
              <w:t>(</w:t>
            </w:r>
            <w:r w:rsidR="002A0238" w:rsidRPr="00F12518">
              <w:rPr>
                <w:rFonts w:eastAsia="Times New Roman"/>
                <w:bCs/>
                <w:snapToGrid w:val="0"/>
                <w:sz w:val="20"/>
                <w:szCs w:val="20"/>
              </w:rPr>
              <w:t>TX-141-2042</w:t>
            </w:r>
            <w:r w:rsidR="004E4AAB">
              <w:rPr>
                <w:rFonts w:eastAsia="Times New Roman"/>
                <w:snapToGrid w:val="0"/>
                <w:sz w:val="20"/>
                <w:szCs w:val="20"/>
              </w:rPr>
              <w:t>)</w:t>
            </w: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629</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6</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100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1180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12</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1000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2330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23</w:t>
            </w:r>
          </w:p>
        </w:tc>
      </w:tr>
      <w:tr w:rsidR="002A0238" w:rsidRPr="00F12518" w:rsidTr="004E4AAB">
        <w:trPr>
          <w:trHeight w:val="715"/>
        </w:trPr>
        <w:tc>
          <w:tcPr>
            <w:tcW w:w="1092" w:type="pct"/>
            <w:vMerge w:val="restar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b/>
                <w:snapToGrid w:val="0"/>
                <w:sz w:val="20"/>
                <w:szCs w:val="20"/>
              </w:rPr>
              <w:t>Mouse</w:t>
            </w:r>
            <w:r w:rsidR="006565A4">
              <w:rPr>
                <w:rFonts w:eastAsia="Times New Roman"/>
                <w:snapToGrid w:val="0"/>
                <w:sz w:val="20"/>
                <w:szCs w:val="20"/>
              </w:rPr>
              <w:t xml:space="preserve"> </w:t>
            </w:r>
            <w:r w:rsidRPr="00F12518">
              <w:rPr>
                <w:rFonts w:eastAsia="Times New Roman"/>
                <w:snapToGrid w:val="0"/>
                <w:sz w:val="20"/>
                <w:szCs w:val="20"/>
              </w:rPr>
              <w:t>(RasH2)</w:t>
            </w:r>
          </w:p>
        </w:tc>
        <w:tc>
          <w:tcPr>
            <w:tcW w:w="1493" w:type="pct"/>
            <w:vMerge w:val="restart"/>
            <w:vAlign w:val="center"/>
          </w:tcPr>
          <w:p w:rsidR="002A0238" w:rsidRPr="00F12518" w:rsidRDefault="006565A4" w:rsidP="006565A4">
            <w:pPr>
              <w:ind w:left="0" w:right="0"/>
              <w:jc w:val="center"/>
              <w:rPr>
                <w:rFonts w:eastAsia="Times New Roman"/>
                <w:snapToGrid w:val="0"/>
                <w:sz w:val="20"/>
                <w:szCs w:val="20"/>
              </w:rPr>
            </w:pPr>
            <w:r>
              <w:rPr>
                <w:rFonts w:eastAsia="Times New Roman"/>
                <w:snapToGrid w:val="0"/>
                <w:sz w:val="20"/>
                <w:szCs w:val="20"/>
              </w:rPr>
              <w:t xml:space="preserve">26 weeks </w:t>
            </w:r>
            <w:r w:rsidR="004E4AAB">
              <w:rPr>
                <w:rFonts w:eastAsia="Times New Roman"/>
                <w:snapToGrid w:val="0"/>
                <w:sz w:val="20"/>
                <w:szCs w:val="20"/>
              </w:rPr>
              <w:t>(</w:t>
            </w:r>
            <w:r w:rsidR="002A0238" w:rsidRPr="00F12518">
              <w:rPr>
                <w:rFonts w:eastAsia="Times New Roman"/>
                <w:snapToGrid w:val="0"/>
                <w:sz w:val="20"/>
                <w:szCs w:val="20"/>
              </w:rPr>
              <w:t>TX-141-2047</w:t>
            </w:r>
            <w:r w:rsidR="004E4AAB">
              <w:rPr>
                <w:rFonts w:eastAsia="Times New Roman"/>
                <w:snapToGrid w:val="0"/>
                <w:sz w:val="20"/>
                <w:szCs w:val="20"/>
              </w:rPr>
              <w:t>)</w:t>
            </w: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5/10 (</w:t>
            </w:r>
            <w:r w:rsidR="006565A4">
              <w:rPr>
                <w:rFonts w:ascii="Times New Roman" w:eastAsia="Times New Roman" w:hAnsi="Times New Roman"/>
                <w:snapToGrid w:val="0"/>
                <w:sz w:val="20"/>
                <w:szCs w:val="20"/>
              </w:rPr>
              <w:t>male/female</w:t>
            </w:r>
            <w:r w:rsidRPr="00F12518">
              <w:rPr>
                <w:rFonts w:ascii="Times New Roman" w:eastAsia="Times New Roman" w:hAnsi="Times New Roman"/>
                <w:snapToGrid w:val="0"/>
                <w:sz w:val="20"/>
                <w:szCs w:val="20"/>
              </w:rPr>
              <w:t>)</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190/341</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2/3</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15/30 (</w:t>
            </w:r>
            <w:r w:rsidR="006565A4">
              <w:rPr>
                <w:rFonts w:ascii="Times New Roman" w:eastAsia="Times New Roman" w:hAnsi="Times New Roman"/>
                <w:snapToGrid w:val="0"/>
                <w:sz w:val="20"/>
                <w:szCs w:val="20"/>
              </w:rPr>
              <w:t>male/female</w:t>
            </w:r>
            <w:r w:rsidRPr="00F12518">
              <w:rPr>
                <w:rFonts w:ascii="Times New Roman" w:eastAsia="Times New Roman" w:hAnsi="Times New Roman"/>
                <w:snapToGrid w:val="0"/>
                <w:sz w:val="20"/>
                <w:szCs w:val="20"/>
              </w:rPr>
              <w:t>)</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526/861</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5/8</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100/300 (</w:t>
            </w:r>
            <w:r w:rsidR="006565A4">
              <w:rPr>
                <w:rFonts w:ascii="Times New Roman" w:eastAsia="Times New Roman" w:hAnsi="Times New Roman"/>
                <w:snapToGrid w:val="0"/>
                <w:sz w:val="20"/>
                <w:szCs w:val="20"/>
              </w:rPr>
              <w:t>male/female</w:t>
            </w:r>
            <w:r w:rsidRPr="00F12518">
              <w:rPr>
                <w:rFonts w:ascii="Times New Roman" w:eastAsia="Times New Roman" w:hAnsi="Times New Roman"/>
                <w:snapToGrid w:val="0"/>
                <w:sz w:val="20"/>
                <w:szCs w:val="20"/>
              </w:rPr>
              <w:t>)</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1560/2340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15/23</w:t>
            </w:r>
          </w:p>
        </w:tc>
      </w:tr>
      <w:tr w:rsidR="002A0238" w:rsidRPr="00F12518" w:rsidTr="004E4AAB">
        <w:trPr>
          <w:trHeight w:val="484"/>
        </w:trPr>
        <w:tc>
          <w:tcPr>
            <w:tcW w:w="1092" w:type="pct"/>
            <w:vMerge w:val="restar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b/>
                <w:snapToGrid w:val="0"/>
                <w:sz w:val="20"/>
                <w:szCs w:val="20"/>
              </w:rPr>
              <w:t>Rat</w:t>
            </w:r>
            <w:r w:rsidR="006565A4">
              <w:rPr>
                <w:rFonts w:eastAsia="Times New Roman"/>
                <w:snapToGrid w:val="0"/>
                <w:sz w:val="20"/>
                <w:szCs w:val="20"/>
              </w:rPr>
              <w:t xml:space="preserve"> </w:t>
            </w:r>
            <w:r w:rsidRPr="00F12518">
              <w:rPr>
                <w:rFonts w:eastAsia="Times New Roman"/>
                <w:snapToGrid w:val="0"/>
                <w:sz w:val="20"/>
                <w:szCs w:val="20"/>
              </w:rPr>
              <w:t>(Wistar)</w:t>
            </w:r>
          </w:p>
        </w:tc>
        <w:tc>
          <w:tcPr>
            <w:tcW w:w="1493" w:type="pct"/>
            <w:vMerge w:val="restart"/>
            <w:vAlign w:val="center"/>
          </w:tcPr>
          <w:p w:rsidR="002A0238" w:rsidRPr="00F12518" w:rsidRDefault="002A0238">
            <w:pPr>
              <w:ind w:left="0" w:right="0"/>
              <w:jc w:val="center"/>
              <w:rPr>
                <w:rFonts w:eastAsia="Times New Roman"/>
                <w:snapToGrid w:val="0"/>
                <w:color w:val="auto"/>
                <w:sz w:val="20"/>
                <w:szCs w:val="20"/>
                <w:lang w:eastAsia="en-US"/>
              </w:rPr>
            </w:pPr>
            <w:r w:rsidRPr="00F12518">
              <w:rPr>
                <w:rFonts w:eastAsia="Times New Roman"/>
                <w:snapToGrid w:val="0"/>
                <w:sz w:val="20"/>
                <w:szCs w:val="20"/>
              </w:rPr>
              <w:t>2 w</w:t>
            </w:r>
            <w:r w:rsidR="006565A4">
              <w:rPr>
                <w:rFonts w:eastAsia="Times New Roman"/>
                <w:snapToGrid w:val="0"/>
                <w:sz w:val="20"/>
                <w:szCs w:val="20"/>
              </w:rPr>
              <w:t xml:space="preserve">eeks </w:t>
            </w:r>
            <w:r w:rsidR="004E4AAB">
              <w:rPr>
                <w:rFonts w:eastAsia="Times New Roman"/>
                <w:snapToGrid w:val="0"/>
                <w:sz w:val="20"/>
                <w:szCs w:val="20"/>
              </w:rPr>
              <w:t>(</w:t>
            </w:r>
            <w:r w:rsidRPr="00F12518">
              <w:rPr>
                <w:rFonts w:eastAsia="Times New Roman"/>
                <w:snapToGrid w:val="0"/>
                <w:sz w:val="20"/>
                <w:szCs w:val="20"/>
              </w:rPr>
              <w:t>TX-141-2029</w:t>
            </w:r>
            <w:r w:rsidR="004E4AAB">
              <w:rPr>
                <w:rFonts w:eastAsia="Times New Roman"/>
                <w:snapToGrid w:val="0"/>
                <w:sz w:val="20"/>
                <w:szCs w:val="20"/>
              </w:rPr>
              <w:t>)</w:t>
            </w: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1160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11</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1790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18</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100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2555</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25</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300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2970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29</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restart"/>
            <w:vAlign w:val="center"/>
          </w:tcPr>
          <w:p w:rsidR="002A0238" w:rsidRPr="00F12518" w:rsidRDefault="006565A4" w:rsidP="006565A4">
            <w:pPr>
              <w:ind w:left="0" w:right="0"/>
              <w:jc w:val="center"/>
              <w:rPr>
                <w:rFonts w:eastAsia="Times New Roman"/>
                <w:snapToGrid w:val="0"/>
                <w:sz w:val="20"/>
                <w:szCs w:val="20"/>
              </w:rPr>
            </w:pPr>
            <w:r>
              <w:rPr>
                <w:rFonts w:eastAsia="Times New Roman"/>
                <w:snapToGrid w:val="0"/>
                <w:sz w:val="20"/>
                <w:szCs w:val="20"/>
              </w:rPr>
              <w:t xml:space="preserve">26 week </w:t>
            </w:r>
            <w:r w:rsidR="004E4AAB">
              <w:rPr>
                <w:rFonts w:eastAsia="Times New Roman"/>
                <w:snapToGrid w:val="0"/>
                <w:sz w:val="20"/>
                <w:szCs w:val="20"/>
              </w:rPr>
              <w:t>(</w:t>
            </w:r>
            <w:r w:rsidR="002A0238" w:rsidRPr="00F12518">
              <w:rPr>
                <w:rFonts w:eastAsia="Times New Roman"/>
                <w:snapToGrid w:val="0"/>
                <w:sz w:val="20"/>
                <w:szCs w:val="20"/>
              </w:rPr>
              <w:t>TX-141-2031</w:t>
            </w:r>
            <w:r w:rsidR="004E4AAB">
              <w:rPr>
                <w:rFonts w:eastAsia="Times New Roman"/>
                <w:snapToGrid w:val="0"/>
                <w:sz w:val="20"/>
                <w:szCs w:val="20"/>
              </w:rPr>
              <w:t>)</w:t>
            </w: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5</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873</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9</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1960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19</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300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3250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32</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restart"/>
            <w:vAlign w:val="center"/>
          </w:tcPr>
          <w:p w:rsidR="002A0238" w:rsidRPr="00F12518" w:rsidRDefault="006565A4" w:rsidP="006565A4">
            <w:pPr>
              <w:ind w:left="0" w:right="0"/>
              <w:jc w:val="center"/>
              <w:rPr>
                <w:rFonts w:eastAsia="Times New Roman"/>
                <w:snapToGrid w:val="0"/>
                <w:sz w:val="20"/>
                <w:szCs w:val="20"/>
              </w:rPr>
            </w:pPr>
            <w:r>
              <w:rPr>
                <w:rFonts w:eastAsia="Times New Roman"/>
                <w:snapToGrid w:val="0"/>
                <w:sz w:val="20"/>
                <w:szCs w:val="20"/>
              </w:rPr>
              <w:t xml:space="preserve">104 week </w:t>
            </w:r>
            <w:r w:rsidR="004E4AAB">
              <w:rPr>
                <w:rFonts w:eastAsia="Times New Roman"/>
                <w:snapToGrid w:val="0"/>
                <w:sz w:val="20"/>
                <w:szCs w:val="20"/>
              </w:rPr>
              <w:t>(</w:t>
            </w:r>
            <w:r w:rsidR="002A0238" w:rsidRPr="00F12518">
              <w:rPr>
                <w:rFonts w:eastAsia="Times New Roman"/>
                <w:snapToGrid w:val="0"/>
                <w:sz w:val="20"/>
                <w:szCs w:val="20"/>
              </w:rPr>
              <w:t>TX-141-2040</w:t>
            </w:r>
            <w:r w:rsidR="004E4AAB">
              <w:rPr>
                <w:rFonts w:eastAsia="Times New Roman"/>
                <w:snapToGrid w:val="0"/>
                <w:sz w:val="20"/>
                <w:szCs w:val="20"/>
              </w:rPr>
              <w:t>)</w:t>
            </w: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594</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6</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1360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13</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300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3180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31</w:t>
            </w:r>
          </w:p>
        </w:tc>
      </w:tr>
      <w:tr w:rsidR="002A0238" w:rsidRPr="00F12518" w:rsidTr="004E4AAB">
        <w:trPr>
          <w:trHeight w:val="484"/>
        </w:trPr>
        <w:tc>
          <w:tcPr>
            <w:tcW w:w="1092" w:type="pct"/>
            <w:vMerge w:val="restart"/>
            <w:vAlign w:val="center"/>
          </w:tcPr>
          <w:p w:rsidR="002A0238" w:rsidRPr="00F12518" w:rsidRDefault="002A0238" w:rsidP="006565A4">
            <w:pPr>
              <w:ind w:left="0" w:right="0"/>
              <w:jc w:val="center"/>
              <w:rPr>
                <w:rFonts w:eastAsia="Times New Roman"/>
                <w:b/>
                <w:snapToGrid w:val="0"/>
                <w:sz w:val="20"/>
                <w:szCs w:val="20"/>
              </w:rPr>
            </w:pPr>
            <w:r w:rsidRPr="00F12518">
              <w:rPr>
                <w:rFonts w:eastAsia="Times New Roman"/>
                <w:b/>
                <w:snapToGrid w:val="0"/>
                <w:sz w:val="20"/>
                <w:szCs w:val="20"/>
              </w:rPr>
              <w:t>Monkey</w:t>
            </w:r>
            <w:r w:rsidR="006565A4">
              <w:rPr>
                <w:rFonts w:eastAsia="Times New Roman"/>
                <w:snapToGrid w:val="0"/>
                <w:sz w:val="20"/>
                <w:szCs w:val="20"/>
              </w:rPr>
              <w:t xml:space="preserve"> </w:t>
            </w:r>
            <w:r w:rsidRPr="00F12518">
              <w:rPr>
                <w:rFonts w:eastAsia="Times New Roman"/>
                <w:snapToGrid w:val="0"/>
                <w:sz w:val="20"/>
                <w:szCs w:val="20"/>
              </w:rPr>
              <w:t>(Cynomolgus)</w:t>
            </w:r>
          </w:p>
        </w:tc>
        <w:tc>
          <w:tcPr>
            <w:tcW w:w="1493" w:type="pct"/>
            <w:vMerge w:val="restart"/>
            <w:vAlign w:val="center"/>
          </w:tcPr>
          <w:p w:rsidR="002A0238" w:rsidRPr="00F12518" w:rsidRDefault="006565A4" w:rsidP="006565A4">
            <w:pPr>
              <w:ind w:left="0" w:right="0"/>
              <w:jc w:val="center"/>
              <w:rPr>
                <w:rFonts w:eastAsia="Times New Roman"/>
                <w:snapToGrid w:val="0"/>
                <w:sz w:val="20"/>
                <w:szCs w:val="20"/>
              </w:rPr>
            </w:pPr>
            <w:r>
              <w:rPr>
                <w:rFonts w:eastAsia="Times New Roman"/>
                <w:snapToGrid w:val="0"/>
                <w:sz w:val="20"/>
                <w:szCs w:val="20"/>
              </w:rPr>
              <w:t xml:space="preserve">2 weeks </w:t>
            </w:r>
            <w:r w:rsidR="004E4AAB">
              <w:rPr>
                <w:rFonts w:eastAsia="Times New Roman"/>
                <w:snapToGrid w:val="0"/>
                <w:sz w:val="20"/>
                <w:szCs w:val="20"/>
              </w:rPr>
              <w:t>(</w:t>
            </w:r>
            <w:r w:rsidR="002A0238" w:rsidRPr="00F12518">
              <w:rPr>
                <w:rFonts w:eastAsia="Times New Roman"/>
                <w:snapToGrid w:val="0"/>
                <w:sz w:val="20"/>
                <w:szCs w:val="20"/>
              </w:rPr>
              <w:t>TX-141-2031</w:t>
            </w:r>
            <w:r w:rsidR="004E4AAB">
              <w:rPr>
                <w:rFonts w:eastAsia="Times New Roman"/>
                <w:snapToGrid w:val="0"/>
                <w:sz w:val="20"/>
                <w:szCs w:val="20"/>
              </w:rPr>
              <w:t>)</w:t>
            </w: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212</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b/>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100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324</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b/>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1000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1090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11</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restart"/>
            <w:vAlign w:val="center"/>
          </w:tcPr>
          <w:p w:rsidR="002A0238" w:rsidRPr="00F12518" w:rsidRDefault="006565A4" w:rsidP="006565A4">
            <w:pPr>
              <w:ind w:left="0" w:right="0"/>
              <w:jc w:val="center"/>
              <w:rPr>
                <w:rFonts w:eastAsia="Times New Roman"/>
                <w:snapToGrid w:val="0"/>
                <w:sz w:val="20"/>
                <w:szCs w:val="20"/>
              </w:rPr>
            </w:pPr>
            <w:r>
              <w:rPr>
                <w:rFonts w:eastAsia="Times New Roman"/>
                <w:snapToGrid w:val="0"/>
                <w:sz w:val="20"/>
                <w:szCs w:val="20"/>
              </w:rPr>
              <w:t xml:space="preserve">39 weeks </w:t>
            </w:r>
            <w:r w:rsidR="004E4AAB">
              <w:rPr>
                <w:rFonts w:eastAsia="Times New Roman"/>
                <w:snapToGrid w:val="0"/>
                <w:sz w:val="20"/>
                <w:szCs w:val="20"/>
              </w:rPr>
              <w:t>(</w:t>
            </w:r>
            <w:r w:rsidR="002A0238" w:rsidRPr="00F12518">
              <w:rPr>
                <w:rFonts w:eastAsia="Times New Roman"/>
                <w:snapToGrid w:val="0"/>
                <w:sz w:val="20"/>
                <w:szCs w:val="20"/>
              </w:rPr>
              <w:t>TX-141-2032</w:t>
            </w:r>
            <w:r w:rsidR="004E4AAB">
              <w:rPr>
                <w:rFonts w:eastAsia="Times New Roman"/>
                <w:snapToGrid w:val="0"/>
                <w:sz w:val="20"/>
                <w:szCs w:val="20"/>
              </w:rPr>
              <w:t>)</w:t>
            </w: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30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251</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200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709</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7</w:t>
            </w:r>
          </w:p>
        </w:tc>
      </w:tr>
      <w:tr w:rsidR="002A0238" w:rsidRPr="00F12518" w:rsidTr="004E4AAB">
        <w:trPr>
          <w:trHeight w:val="144"/>
        </w:trPr>
        <w:tc>
          <w:tcPr>
            <w:tcW w:w="1092" w:type="pct"/>
            <w:vMerge/>
            <w:vAlign w:val="center"/>
          </w:tcPr>
          <w:p w:rsidR="002A0238" w:rsidRPr="00F12518" w:rsidRDefault="002A0238" w:rsidP="006565A4">
            <w:pPr>
              <w:ind w:left="0" w:right="0"/>
              <w:jc w:val="center"/>
              <w:rPr>
                <w:rFonts w:eastAsia="Times New Roman"/>
                <w:snapToGrid w:val="0"/>
                <w:sz w:val="20"/>
                <w:szCs w:val="20"/>
              </w:rPr>
            </w:pPr>
          </w:p>
        </w:tc>
        <w:tc>
          <w:tcPr>
            <w:tcW w:w="1493" w:type="pct"/>
            <w:vMerge/>
            <w:vAlign w:val="center"/>
          </w:tcPr>
          <w:p w:rsidR="002A0238" w:rsidRPr="00F12518" w:rsidRDefault="002A0238" w:rsidP="006565A4">
            <w:pPr>
              <w:ind w:left="0" w:right="0"/>
              <w:jc w:val="center"/>
              <w:rPr>
                <w:rFonts w:eastAsia="Times New Roman"/>
                <w:snapToGrid w:val="0"/>
                <w:sz w:val="20"/>
                <w:szCs w:val="20"/>
              </w:rPr>
            </w:pP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1000</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1600</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16</w:t>
            </w:r>
          </w:p>
        </w:tc>
      </w:tr>
      <w:tr w:rsidR="002A0238" w:rsidRPr="00F12518" w:rsidTr="004E4AAB">
        <w:trPr>
          <w:trHeight w:val="727"/>
        </w:trPr>
        <w:tc>
          <w:tcPr>
            <w:tcW w:w="1092"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b/>
                <w:snapToGrid w:val="0"/>
                <w:sz w:val="20"/>
                <w:szCs w:val="20"/>
              </w:rPr>
              <w:t>Human</w:t>
            </w:r>
            <w:r w:rsidR="006565A4">
              <w:rPr>
                <w:rFonts w:eastAsia="Times New Roman"/>
                <w:snapToGrid w:val="0"/>
                <w:sz w:val="20"/>
                <w:szCs w:val="20"/>
              </w:rPr>
              <w:t xml:space="preserve"> </w:t>
            </w:r>
            <w:r w:rsidRPr="00F12518">
              <w:rPr>
                <w:rFonts w:eastAsia="Times New Roman"/>
                <w:snapToGrid w:val="0"/>
                <w:sz w:val="20"/>
                <w:szCs w:val="20"/>
              </w:rPr>
              <w:t>(Population PK)</w:t>
            </w:r>
          </w:p>
        </w:tc>
        <w:tc>
          <w:tcPr>
            <w:tcW w:w="1493" w:type="pct"/>
            <w:vAlign w:val="center"/>
          </w:tcPr>
          <w:p w:rsidR="002A0238" w:rsidRPr="00F12518" w:rsidRDefault="004E4AAB" w:rsidP="006565A4">
            <w:pPr>
              <w:ind w:left="0" w:right="0"/>
              <w:jc w:val="center"/>
              <w:rPr>
                <w:rFonts w:eastAsia="Times New Roman"/>
                <w:snapToGrid w:val="0"/>
                <w:sz w:val="20"/>
                <w:szCs w:val="20"/>
              </w:rPr>
            </w:pPr>
            <w:r>
              <w:rPr>
                <w:rFonts w:eastAsia="Times New Roman"/>
                <w:snapToGrid w:val="0"/>
                <w:sz w:val="20"/>
                <w:szCs w:val="20"/>
              </w:rPr>
              <w:t>(</w:t>
            </w:r>
            <w:r w:rsidR="002A0238" w:rsidRPr="00F12518">
              <w:rPr>
                <w:rFonts w:eastAsia="Times New Roman"/>
                <w:snapToGrid w:val="0"/>
                <w:sz w:val="20"/>
                <w:szCs w:val="20"/>
              </w:rPr>
              <w:t>QP-2017-1010</w:t>
            </w:r>
            <w:r>
              <w:rPr>
                <w:rFonts w:eastAsia="Times New Roman"/>
                <w:snapToGrid w:val="0"/>
                <w:sz w:val="20"/>
                <w:szCs w:val="20"/>
              </w:rPr>
              <w:t>)</w:t>
            </w:r>
          </w:p>
        </w:tc>
        <w:tc>
          <w:tcPr>
            <w:tcW w:w="814"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50 mg/day</w:t>
            </w:r>
          </w:p>
        </w:tc>
        <w:tc>
          <w:tcPr>
            <w:tcW w:w="798"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102</w:t>
            </w:r>
          </w:p>
        </w:tc>
        <w:tc>
          <w:tcPr>
            <w:tcW w:w="803" w:type="pct"/>
            <w:vAlign w:val="center"/>
          </w:tcPr>
          <w:p w:rsidR="002A0238" w:rsidRPr="00F12518" w:rsidRDefault="002A0238" w:rsidP="006565A4">
            <w:pPr>
              <w:ind w:left="0" w:right="0"/>
              <w:jc w:val="center"/>
              <w:rPr>
                <w:rFonts w:eastAsia="Times New Roman"/>
                <w:snapToGrid w:val="0"/>
                <w:sz w:val="20"/>
                <w:szCs w:val="20"/>
              </w:rPr>
            </w:pPr>
            <w:r w:rsidRPr="00F12518">
              <w:rPr>
                <w:rFonts w:eastAsia="Times New Roman"/>
                <w:snapToGrid w:val="0"/>
                <w:sz w:val="20"/>
                <w:szCs w:val="20"/>
              </w:rPr>
              <w:t>–</w:t>
            </w:r>
          </w:p>
        </w:tc>
      </w:tr>
    </w:tbl>
    <w:p w:rsidR="002A0238" w:rsidRPr="000A7552" w:rsidRDefault="002A0238" w:rsidP="000A7552">
      <w:pPr>
        <w:pStyle w:val="TableDescription"/>
      </w:pPr>
      <w:r w:rsidRPr="000A7552">
        <w:lastRenderedPageBreak/>
        <w:t># = animal:human plasma AUC0–24 h; ^ = data are for the sexes combined at the last sampling occasion except as indicated.</w:t>
      </w:r>
      <w:r w:rsidR="00CD4AC6">
        <w:t xml:space="preserve"> </w:t>
      </w:r>
      <w:r w:rsidR="00CD4AC6">
        <w:rPr>
          <w:rFonts w:cstheme="minorHAnsi"/>
        </w:rPr>
        <w:t>PK = Pharmacokinetics</w:t>
      </w:r>
    </w:p>
    <w:p w:rsidR="002A0238" w:rsidRDefault="002A0238" w:rsidP="002A0238">
      <w:pPr>
        <w:pStyle w:val="Heading5"/>
      </w:pPr>
      <w:r>
        <w:t>Major toxicities</w:t>
      </w:r>
    </w:p>
    <w:p w:rsidR="002A0238" w:rsidRDefault="002A0238" w:rsidP="002A0238">
      <w:r>
        <w:t>Overall bictegravir displayed minimal toxicity. Adverse effects (hepatotoxicity) were only present at the highest dose 1000 mg/kg/day in monkeys after 39 weeks of dosing (16</w:t>
      </w:r>
      <w:r w:rsidR="000A7552">
        <w:t xml:space="preserve"> times </w:t>
      </w:r>
      <w:r>
        <w:t>the clinical exposure based on AUC), and were not observed at 200 mg/kg/day (7</w:t>
      </w:r>
      <w:r w:rsidR="000A7552">
        <w:t xml:space="preserve"> times</w:t>
      </w:r>
      <w:r>
        <w:t xml:space="preserve"> the clinical exposure) or in mice or rats despite the higher AUC</w:t>
      </w:r>
      <w:r w:rsidRPr="002D2B38">
        <w:rPr>
          <w:vertAlign w:val="subscript"/>
        </w:rPr>
        <w:t>0-24h</w:t>
      </w:r>
      <w:r>
        <w:t xml:space="preserve"> in rodents than in monkeys. There were differences in metabolism between species with more </w:t>
      </w:r>
      <w:r w:rsidR="004E4AAB">
        <w:t>M9 (defluoro hydroxy bictegravir</w:t>
      </w:r>
      <w:r>
        <w:t xml:space="preserve"> cysterine conjugate) in monkey bile and human faeces than in rodent bile and faeces and M42 (hydroxy bictegravir) only in monkey plasma (not in rodent or human plasma). Hepato</w:t>
      </w:r>
      <w:r w:rsidR="000A7552">
        <w:t>toxicity may occur in patients.</w:t>
      </w:r>
    </w:p>
    <w:p w:rsidR="002A0238" w:rsidRDefault="002A0238" w:rsidP="002A0238">
      <w:r>
        <w:t xml:space="preserve">Hepatotoxicity in monkeys was manifested as mild to moderate hepatocyte hypertrophy, minimal hepatocyte regenerative hyperplasia and minimal to marked hepatic bile duct hyperplasia with accumulation of bile pigment, associated with increased serum </w:t>
      </w:r>
      <w:r w:rsidR="00A26F7F">
        <w:t>alanine aminotransferase (</w:t>
      </w:r>
      <w:r>
        <w:t>ALT</w:t>
      </w:r>
      <w:r w:rsidR="00A26F7F">
        <w:t>)</w:t>
      </w:r>
      <w:r>
        <w:t xml:space="preserve"> and </w:t>
      </w:r>
      <w:r w:rsidR="009E0328">
        <w:rPr>
          <w:rFonts w:eastAsia="TimesNewRoman" w:cs="TimesNewRoman"/>
        </w:rPr>
        <w:t>gamma glutamyl transferase</w:t>
      </w:r>
      <w:r w:rsidR="009E0328">
        <w:t xml:space="preserve"> (</w:t>
      </w:r>
      <w:r>
        <w:t>GGT</w:t>
      </w:r>
      <w:r w:rsidR="009E0328">
        <w:t>)</w:t>
      </w:r>
      <w:r>
        <w:t>. Minimal granulocytic inflammation was present. These effects were partially reversible by 4 weeks post-dosing. There was no serum chemistry evidence of cholestasis (</w:t>
      </w:r>
      <w:r w:rsidR="000A7552">
        <w:t>that is,</w:t>
      </w:r>
      <w:r>
        <w:t xml:space="preserve"> no incre</w:t>
      </w:r>
      <w:r w:rsidR="000A7552">
        <w:t xml:space="preserve">ase in serum </w:t>
      </w:r>
      <w:r w:rsidR="00B2321D">
        <w:t>alkaline phosphatase</w:t>
      </w:r>
      <w:r w:rsidR="000A7552">
        <w:t xml:space="preserve"> or bilirubin).</w:t>
      </w:r>
    </w:p>
    <w:p w:rsidR="002A0238" w:rsidRDefault="002A0238" w:rsidP="002A0238">
      <w:r>
        <w:t xml:space="preserve">Minimal to slight centrilobular hepatocyte glycogen depletion was observed in male mice at 1000 mg/kg/day in the 4-week repeat dose study. This finding was possibly associated with decreased body weight gain </w:t>
      </w:r>
      <w:r w:rsidR="00B2321D">
        <w:t xml:space="preserve">compared with </w:t>
      </w:r>
      <w:r>
        <w:t>the control group, without a decrease in food consumption; however</w:t>
      </w:r>
      <w:r w:rsidR="00B2321D">
        <w:t>,</w:t>
      </w:r>
      <w:r>
        <w:t xml:space="preserve"> the overall clinical relevanc</w:t>
      </w:r>
      <w:r w:rsidR="00B2321D">
        <w:t>e of this finding is uncertain.</w:t>
      </w:r>
    </w:p>
    <w:p w:rsidR="002A0238" w:rsidRDefault="002A0238" w:rsidP="002A0238">
      <w:r>
        <w:t>A specific rat neuropathology study was also performed. Bictegravir dosing at up to 300</w:t>
      </w:r>
      <w:r w:rsidR="00B2321D">
        <w:t> </w:t>
      </w:r>
      <w:r>
        <w:t>mg/kg/d</w:t>
      </w:r>
      <w:r w:rsidR="006565A4">
        <w:t>ay</w:t>
      </w:r>
      <w:r>
        <w:t xml:space="preserve"> PO for 2 weeks did not induce microscopic pathology in the central nervous system or clinical signs of neurotoxicity.</w:t>
      </w:r>
    </w:p>
    <w:p w:rsidR="002A0238" w:rsidRDefault="002A0238" w:rsidP="002A0238">
      <w:pPr>
        <w:pStyle w:val="Heading4"/>
      </w:pPr>
      <w:r>
        <w:t>Genotoxicity</w:t>
      </w:r>
    </w:p>
    <w:p w:rsidR="002A0238" w:rsidRPr="00B2321D" w:rsidRDefault="002A0238" w:rsidP="002A0238">
      <w:r>
        <w:t xml:space="preserve">Bictegravir was not genotoxic in an adequately conducted ICH compliant genotoxicity screening battery including gene mutation in bacteria mutation, chromosome aberration in human lymphocytes </w:t>
      </w:r>
      <w:r w:rsidRPr="00B81B43">
        <w:rPr>
          <w:i/>
        </w:rPr>
        <w:t>in vitro</w:t>
      </w:r>
      <w:r w:rsidRPr="002F3E76">
        <w:t xml:space="preserve"> and </w:t>
      </w:r>
      <w:r w:rsidRPr="00B81B43">
        <w:rPr>
          <w:i/>
        </w:rPr>
        <w:t>in vivo</w:t>
      </w:r>
      <w:r>
        <w:t xml:space="preserve"> bone marrow </w:t>
      </w:r>
      <w:r w:rsidR="00B2321D">
        <w:t>cell micronucleus test in rats.</w:t>
      </w:r>
    </w:p>
    <w:p w:rsidR="002A0238" w:rsidRDefault="002A0238" w:rsidP="002A0238">
      <w:pPr>
        <w:pStyle w:val="Heading4"/>
      </w:pPr>
      <w:r>
        <w:t>Carcinogenicity</w:t>
      </w:r>
    </w:p>
    <w:p w:rsidR="002A0238" w:rsidRDefault="002A0238" w:rsidP="002A0238">
      <w:r>
        <w:t>Carcinogenicity studies were conducted in transgenic mice a</w:t>
      </w:r>
      <w:r w:rsidR="000F37F1">
        <w:t>nd rats. There were no treatmen</w:t>
      </w:r>
      <w:r w:rsidR="00B2321D">
        <w:t>t</w:t>
      </w:r>
      <w:r w:rsidR="000F37F1">
        <w:t xml:space="preserve"> </w:t>
      </w:r>
      <w:r w:rsidR="00B2321D">
        <w:t>rel</w:t>
      </w:r>
      <w:r w:rsidR="006565A4">
        <w:t xml:space="preserve">ated tumours in a short-term 26 </w:t>
      </w:r>
      <w:r>
        <w:t>week oral gavage carcinogenicity study of bictegravir in hemizygous rasH2 transgenic mice at up to 100 mg/kg/day in males and 300 mg/kg/day in females with exposures 15</w:t>
      </w:r>
      <w:r w:rsidR="00B2321D">
        <w:t xml:space="preserve"> times </w:t>
      </w:r>
      <w:r>
        <w:t>and 23</w:t>
      </w:r>
      <w:r w:rsidR="00B2321D">
        <w:t xml:space="preserve"> times </w:t>
      </w:r>
      <w:r>
        <w:t>the clinical exposure, respectively. The study was validated by the u</w:t>
      </w:r>
      <w:r w:rsidR="00B2321D">
        <w:t>se of a positive control group.</w:t>
      </w:r>
    </w:p>
    <w:p w:rsidR="002A0238" w:rsidRDefault="000F37F1" w:rsidP="002A0238">
      <w:r>
        <w:t xml:space="preserve">There were also no treatment </w:t>
      </w:r>
      <w:r w:rsidR="002A0238">
        <w:t>rel</w:t>
      </w:r>
      <w:r w:rsidR="00B2321D">
        <w:t xml:space="preserve">ated tumours in a </w:t>
      </w:r>
      <w:r w:rsidR="006565A4">
        <w:t xml:space="preserve">long term 104 </w:t>
      </w:r>
      <w:r w:rsidR="002A0238">
        <w:t>week carcinogenicity study in Han Wistar rats using doses up to 300 mg/kg/day with exposure up to 31</w:t>
      </w:r>
      <w:r w:rsidR="00B2321D">
        <w:t xml:space="preserve"> times</w:t>
      </w:r>
      <w:r w:rsidR="002A0238">
        <w:t xml:space="preserve"> the clinical exposure. The study incorporated negative a</w:t>
      </w:r>
      <w:r w:rsidR="00B2321D">
        <w:t>nd vehicle only control groups.</w:t>
      </w:r>
    </w:p>
    <w:p w:rsidR="002A0238" w:rsidRDefault="002A0238" w:rsidP="002A0238">
      <w:pPr>
        <w:pStyle w:val="Heading4"/>
      </w:pPr>
      <w:r>
        <w:t>Reproductive toxicity</w:t>
      </w:r>
    </w:p>
    <w:p w:rsidR="002A0238" w:rsidRDefault="002A0238" w:rsidP="002A0238">
      <w:r>
        <w:t>A standard reproductive toxicity screening package consisting of studies of fertility, embryofetal development and pre-postnatal development in rats and an embryofetal development</w:t>
      </w:r>
      <w:r w:rsidR="00B2321D">
        <w:t xml:space="preserve"> study in rabbits was supplied.</w:t>
      </w:r>
    </w:p>
    <w:p w:rsidR="002A0238" w:rsidRDefault="002A0238" w:rsidP="002A0238">
      <w:pPr>
        <w:pStyle w:val="Heading5"/>
      </w:pPr>
      <w:r>
        <w:t>Relative exposure</w:t>
      </w:r>
    </w:p>
    <w:p w:rsidR="00B2321D" w:rsidRPr="00B2321D" w:rsidRDefault="00B2321D" w:rsidP="00B2321D">
      <w:r w:rsidRPr="00B2321D">
        <w:t>The following table describes the relative exposures in animals versus humans (</w:t>
      </w:r>
      <w:r w:rsidR="002D05A8">
        <w:t>Table 4</w:t>
      </w:r>
      <w:r w:rsidRPr="00B2321D">
        <w:t>).</w:t>
      </w:r>
    </w:p>
    <w:p w:rsidR="002A0238" w:rsidRDefault="00B2321D" w:rsidP="00B2321D">
      <w:pPr>
        <w:pStyle w:val="TableTitle"/>
      </w:pPr>
      <w:bookmarkStart w:id="59" w:name="_Ref5709618"/>
      <w:r>
        <w:lastRenderedPageBreak/>
        <w:t xml:space="preserve">Table </w:t>
      </w:r>
      <w:bookmarkEnd w:id="59"/>
      <w:r w:rsidR="002D05A8">
        <w:t>4</w:t>
      </w:r>
      <w:r>
        <w:t xml:space="preserve">: </w:t>
      </w:r>
      <w:r w:rsidR="002A0238" w:rsidRPr="002A0238">
        <w:t>Relative exposure in the pivotal reproductive toxicity studies</w:t>
      </w:r>
    </w:p>
    <w:tbl>
      <w:tblPr>
        <w:tblStyle w:val="TableTGAblue"/>
        <w:tblW w:w="4795" w:type="pct"/>
        <w:tblLook w:val="01E0" w:firstRow="1" w:lastRow="1" w:firstColumn="1" w:lastColumn="1" w:noHBand="0" w:noVBand="0"/>
      </w:tblPr>
      <w:tblGrid>
        <w:gridCol w:w="1654"/>
        <w:gridCol w:w="1779"/>
        <w:gridCol w:w="1644"/>
        <w:gridCol w:w="1644"/>
        <w:gridCol w:w="1641"/>
      </w:tblGrid>
      <w:tr w:rsidR="002A0238" w:rsidRPr="00B2321D" w:rsidTr="004E4AAB">
        <w:trPr>
          <w:cnfStyle w:val="100000000000" w:firstRow="1" w:lastRow="0" w:firstColumn="0" w:lastColumn="0" w:oddVBand="0" w:evenVBand="0" w:oddHBand="0" w:evenHBand="0" w:firstRowFirstColumn="0" w:firstRowLastColumn="0" w:lastRowFirstColumn="0" w:lastRowLastColumn="0"/>
          <w:trHeight w:val="709"/>
        </w:trPr>
        <w:tc>
          <w:tcPr>
            <w:tcW w:w="989" w:type="pct"/>
            <w:vAlign w:val="center"/>
          </w:tcPr>
          <w:p w:rsidR="002A0238" w:rsidRPr="00B2321D" w:rsidRDefault="002A0238" w:rsidP="006565A4">
            <w:pPr>
              <w:ind w:left="0" w:right="0"/>
              <w:jc w:val="center"/>
              <w:rPr>
                <w:rFonts w:asciiTheme="minorHAnsi" w:hAnsiTheme="minorHAnsi"/>
                <w:sz w:val="20"/>
                <w:szCs w:val="20"/>
              </w:rPr>
            </w:pPr>
            <w:r w:rsidRPr="00B2321D">
              <w:rPr>
                <w:rFonts w:asciiTheme="minorHAnsi" w:hAnsiTheme="minorHAnsi"/>
                <w:sz w:val="20"/>
                <w:szCs w:val="20"/>
              </w:rPr>
              <w:t>Species</w:t>
            </w:r>
          </w:p>
        </w:tc>
        <w:tc>
          <w:tcPr>
            <w:tcW w:w="1064" w:type="pct"/>
            <w:vAlign w:val="center"/>
          </w:tcPr>
          <w:p w:rsidR="002A0238" w:rsidRPr="00B2321D" w:rsidRDefault="006565A4" w:rsidP="006565A4">
            <w:pPr>
              <w:ind w:left="0" w:right="0"/>
              <w:jc w:val="center"/>
              <w:rPr>
                <w:rFonts w:asciiTheme="minorHAnsi" w:hAnsiTheme="minorHAnsi"/>
                <w:sz w:val="20"/>
                <w:szCs w:val="20"/>
              </w:rPr>
            </w:pPr>
            <w:r>
              <w:rPr>
                <w:rFonts w:asciiTheme="minorHAnsi" w:hAnsiTheme="minorHAnsi"/>
                <w:sz w:val="20"/>
                <w:szCs w:val="20"/>
              </w:rPr>
              <w:t xml:space="preserve">Study </w:t>
            </w:r>
            <w:r w:rsidR="004E4AAB">
              <w:rPr>
                <w:rFonts w:asciiTheme="minorHAnsi" w:hAnsiTheme="minorHAnsi"/>
                <w:sz w:val="20"/>
                <w:szCs w:val="20"/>
              </w:rPr>
              <w:t>(</w:t>
            </w:r>
            <w:r w:rsidR="002A0238" w:rsidRPr="00B2321D">
              <w:rPr>
                <w:rFonts w:asciiTheme="minorHAnsi" w:hAnsiTheme="minorHAnsi"/>
                <w:sz w:val="20"/>
                <w:szCs w:val="20"/>
              </w:rPr>
              <w:t>Study no.</w:t>
            </w:r>
            <w:r w:rsidR="004E4AAB">
              <w:rPr>
                <w:rFonts w:asciiTheme="minorHAnsi" w:hAnsiTheme="minorHAnsi"/>
                <w:sz w:val="20"/>
                <w:szCs w:val="20"/>
              </w:rPr>
              <w:t>)</w:t>
            </w:r>
          </w:p>
        </w:tc>
        <w:tc>
          <w:tcPr>
            <w:tcW w:w="983" w:type="pct"/>
            <w:vAlign w:val="center"/>
          </w:tcPr>
          <w:p w:rsidR="002A0238" w:rsidRPr="00B2321D" w:rsidRDefault="006565A4" w:rsidP="006565A4">
            <w:pPr>
              <w:ind w:left="0" w:right="0"/>
              <w:jc w:val="center"/>
              <w:rPr>
                <w:rFonts w:asciiTheme="minorHAnsi" w:hAnsiTheme="minorHAnsi"/>
                <w:sz w:val="20"/>
                <w:szCs w:val="20"/>
              </w:rPr>
            </w:pPr>
            <w:r>
              <w:rPr>
                <w:rFonts w:asciiTheme="minorHAnsi" w:hAnsiTheme="minorHAnsi"/>
                <w:sz w:val="20"/>
                <w:szCs w:val="20"/>
              </w:rPr>
              <w:t xml:space="preserve">Dose </w:t>
            </w:r>
            <w:r w:rsidR="002A0238" w:rsidRPr="00B2321D">
              <w:rPr>
                <w:rFonts w:asciiTheme="minorHAnsi" w:hAnsiTheme="minorHAnsi"/>
                <w:sz w:val="20"/>
                <w:szCs w:val="20"/>
              </w:rPr>
              <w:t>(mg/kg/day)</w:t>
            </w:r>
          </w:p>
        </w:tc>
        <w:tc>
          <w:tcPr>
            <w:tcW w:w="983" w:type="pct"/>
            <w:vAlign w:val="center"/>
          </w:tcPr>
          <w:p w:rsidR="002A0238" w:rsidRPr="00B2321D" w:rsidRDefault="002A0238" w:rsidP="006565A4">
            <w:pPr>
              <w:ind w:left="0" w:right="0"/>
              <w:jc w:val="center"/>
              <w:rPr>
                <w:rFonts w:asciiTheme="minorHAnsi" w:hAnsiTheme="minorHAnsi"/>
                <w:sz w:val="20"/>
                <w:szCs w:val="20"/>
              </w:rPr>
            </w:pPr>
            <w:r w:rsidRPr="00B2321D">
              <w:rPr>
                <w:rFonts w:asciiTheme="minorHAnsi" w:hAnsiTheme="minorHAnsi"/>
                <w:sz w:val="20"/>
                <w:szCs w:val="20"/>
              </w:rPr>
              <w:t>AUC</w:t>
            </w:r>
            <w:r w:rsidRPr="00B2321D">
              <w:rPr>
                <w:rFonts w:asciiTheme="minorHAnsi" w:hAnsiTheme="minorHAnsi"/>
                <w:sz w:val="20"/>
                <w:szCs w:val="20"/>
                <w:vertAlign w:val="subscript"/>
              </w:rPr>
              <w:t>0-24 h</w:t>
            </w:r>
            <w:r w:rsidR="006565A4">
              <w:rPr>
                <w:rFonts w:asciiTheme="minorHAnsi" w:hAnsiTheme="minorHAnsi"/>
                <w:sz w:val="20"/>
                <w:szCs w:val="20"/>
              </w:rPr>
              <w:t xml:space="preserve"> </w:t>
            </w:r>
            <w:r w:rsidRPr="00B2321D">
              <w:rPr>
                <w:rFonts w:asciiTheme="minorHAnsi" w:hAnsiTheme="minorHAnsi"/>
                <w:sz w:val="20"/>
                <w:szCs w:val="20"/>
              </w:rPr>
              <w:t>(μg.h/mL)</w:t>
            </w:r>
          </w:p>
        </w:tc>
        <w:tc>
          <w:tcPr>
            <w:tcW w:w="981" w:type="pct"/>
            <w:vAlign w:val="center"/>
          </w:tcPr>
          <w:p w:rsidR="002A0238" w:rsidRPr="00B2321D" w:rsidRDefault="002A0238" w:rsidP="006565A4">
            <w:pPr>
              <w:ind w:left="0" w:right="0"/>
              <w:jc w:val="center"/>
              <w:rPr>
                <w:rFonts w:asciiTheme="minorHAnsi" w:hAnsiTheme="minorHAnsi"/>
                <w:sz w:val="20"/>
                <w:szCs w:val="20"/>
              </w:rPr>
            </w:pPr>
            <w:r w:rsidRPr="00B2321D">
              <w:rPr>
                <w:rFonts w:asciiTheme="minorHAnsi" w:hAnsiTheme="minorHAnsi"/>
                <w:sz w:val="20"/>
                <w:szCs w:val="20"/>
              </w:rPr>
              <w:t>Exposure ratio</w:t>
            </w:r>
            <w:r w:rsidRPr="00B2321D">
              <w:rPr>
                <w:rFonts w:asciiTheme="minorHAnsi" w:hAnsiTheme="minorHAnsi"/>
                <w:sz w:val="20"/>
                <w:szCs w:val="20"/>
                <w:vertAlign w:val="superscript"/>
              </w:rPr>
              <w:t>#</w:t>
            </w:r>
          </w:p>
        </w:tc>
      </w:tr>
      <w:tr w:rsidR="002A0238" w:rsidRPr="00B2321D" w:rsidTr="004E4AAB">
        <w:trPr>
          <w:trHeight w:val="223"/>
        </w:trPr>
        <w:tc>
          <w:tcPr>
            <w:tcW w:w="989" w:type="pct"/>
            <w:vMerge w:val="restart"/>
            <w:vAlign w:val="center"/>
          </w:tcPr>
          <w:p w:rsidR="002A0238" w:rsidRPr="00B2321D" w:rsidRDefault="006565A4" w:rsidP="006565A4">
            <w:pPr>
              <w:ind w:left="0" w:right="0"/>
              <w:jc w:val="center"/>
              <w:rPr>
                <w:rFonts w:asciiTheme="minorHAnsi" w:hAnsiTheme="minorHAnsi"/>
                <w:kern w:val="2"/>
                <w:sz w:val="20"/>
                <w:szCs w:val="20"/>
              </w:rPr>
            </w:pPr>
            <w:r>
              <w:rPr>
                <w:rFonts w:asciiTheme="minorHAnsi" w:hAnsiTheme="minorHAnsi"/>
                <w:kern w:val="2"/>
                <w:sz w:val="20"/>
                <w:szCs w:val="20"/>
              </w:rPr>
              <w:t xml:space="preserve">Rat </w:t>
            </w:r>
            <w:r w:rsidR="002A0238" w:rsidRPr="00B2321D">
              <w:rPr>
                <w:rFonts w:asciiTheme="minorHAnsi" w:hAnsiTheme="minorHAnsi"/>
                <w:kern w:val="2"/>
                <w:sz w:val="20"/>
                <w:szCs w:val="20"/>
              </w:rPr>
              <w:t>(SD)</w:t>
            </w:r>
          </w:p>
        </w:tc>
        <w:tc>
          <w:tcPr>
            <w:tcW w:w="1064" w:type="pct"/>
            <w:vMerge w:val="restart"/>
            <w:vAlign w:val="center"/>
          </w:tcPr>
          <w:p w:rsidR="002A0238" w:rsidRPr="00B2321D" w:rsidRDefault="006565A4" w:rsidP="006565A4">
            <w:pPr>
              <w:ind w:left="0" w:right="0"/>
              <w:jc w:val="center"/>
              <w:rPr>
                <w:rFonts w:asciiTheme="minorHAnsi" w:hAnsiTheme="minorHAnsi"/>
                <w:kern w:val="2"/>
                <w:sz w:val="20"/>
                <w:szCs w:val="20"/>
              </w:rPr>
            </w:pPr>
            <w:r>
              <w:rPr>
                <w:rFonts w:asciiTheme="minorHAnsi" w:hAnsiTheme="minorHAnsi"/>
                <w:kern w:val="2"/>
                <w:sz w:val="20"/>
                <w:szCs w:val="20"/>
              </w:rPr>
              <w:t xml:space="preserve">Fertility </w:t>
            </w:r>
            <w:r w:rsidR="004E4AAB">
              <w:rPr>
                <w:rFonts w:asciiTheme="minorHAnsi" w:hAnsiTheme="minorHAnsi"/>
                <w:kern w:val="2"/>
                <w:sz w:val="20"/>
                <w:szCs w:val="20"/>
              </w:rPr>
              <w:t>(</w:t>
            </w:r>
            <w:r>
              <w:rPr>
                <w:rFonts w:asciiTheme="minorHAnsi" w:hAnsiTheme="minorHAnsi"/>
                <w:bCs/>
                <w:kern w:val="2"/>
                <w:sz w:val="20"/>
                <w:szCs w:val="20"/>
              </w:rPr>
              <w:t>TX</w:t>
            </w:r>
            <w:r>
              <w:rPr>
                <w:rFonts w:asciiTheme="minorHAnsi" w:hAnsiTheme="minorHAnsi"/>
                <w:bCs/>
                <w:kern w:val="2"/>
                <w:sz w:val="20"/>
                <w:szCs w:val="20"/>
              </w:rPr>
              <w:noBreakHyphen/>
              <w:t>141</w:t>
            </w:r>
            <w:r>
              <w:rPr>
                <w:rFonts w:asciiTheme="minorHAnsi" w:hAnsiTheme="minorHAnsi"/>
                <w:bCs/>
                <w:kern w:val="2"/>
                <w:sz w:val="20"/>
                <w:szCs w:val="20"/>
              </w:rPr>
              <w:noBreakHyphen/>
            </w:r>
            <w:r w:rsidR="002A0238" w:rsidRPr="00B2321D">
              <w:rPr>
                <w:rFonts w:asciiTheme="minorHAnsi" w:hAnsiTheme="minorHAnsi"/>
                <w:bCs/>
                <w:kern w:val="2"/>
                <w:sz w:val="20"/>
                <w:szCs w:val="20"/>
              </w:rPr>
              <w:t>2039</w:t>
            </w:r>
            <w:r w:rsidR="004E4AAB">
              <w:rPr>
                <w:rFonts w:asciiTheme="minorHAnsi" w:hAnsiTheme="minorHAnsi"/>
                <w:kern w:val="2"/>
                <w:sz w:val="20"/>
                <w:szCs w:val="20"/>
              </w:rPr>
              <w:t>)</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5</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580*</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6</w:t>
            </w:r>
          </w:p>
        </w:tc>
      </w:tr>
      <w:tr w:rsidR="002A0238" w:rsidRPr="00B2321D" w:rsidTr="004E4AAB">
        <w:trPr>
          <w:trHeight w:val="223"/>
        </w:trPr>
        <w:tc>
          <w:tcPr>
            <w:tcW w:w="989"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1064"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30</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1790*</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25</w:t>
            </w:r>
          </w:p>
        </w:tc>
      </w:tr>
      <w:tr w:rsidR="002A0238" w:rsidRPr="00B2321D" w:rsidTr="004E4AAB">
        <w:trPr>
          <w:trHeight w:val="223"/>
        </w:trPr>
        <w:tc>
          <w:tcPr>
            <w:tcW w:w="989"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1064"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300</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2970*</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29</w:t>
            </w:r>
          </w:p>
        </w:tc>
      </w:tr>
      <w:tr w:rsidR="002A0238" w:rsidRPr="00B2321D" w:rsidTr="004E4AAB">
        <w:trPr>
          <w:trHeight w:val="223"/>
        </w:trPr>
        <w:tc>
          <w:tcPr>
            <w:tcW w:w="989"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1064" w:type="pct"/>
            <w:vMerge w:val="restart"/>
            <w:vAlign w:val="center"/>
          </w:tcPr>
          <w:p w:rsidR="002A0238" w:rsidRPr="00B2321D" w:rsidRDefault="006565A4" w:rsidP="006565A4">
            <w:pPr>
              <w:ind w:left="0" w:right="0"/>
              <w:jc w:val="center"/>
              <w:rPr>
                <w:rFonts w:asciiTheme="minorHAnsi" w:hAnsiTheme="minorHAnsi"/>
                <w:kern w:val="2"/>
                <w:sz w:val="20"/>
                <w:szCs w:val="20"/>
              </w:rPr>
            </w:pPr>
            <w:r>
              <w:rPr>
                <w:rFonts w:asciiTheme="minorHAnsi" w:hAnsiTheme="minorHAnsi"/>
                <w:kern w:val="2"/>
                <w:sz w:val="20"/>
                <w:szCs w:val="20"/>
              </w:rPr>
              <w:t xml:space="preserve">Embryofetal development </w:t>
            </w:r>
            <w:r w:rsidR="004E4AAB">
              <w:rPr>
                <w:rFonts w:asciiTheme="minorHAnsi" w:hAnsiTheme="minorHAnsi"/>
                <w:kern w:val="2"/>
                <w:sz w:val="20"/>
                <w:szCs w:val="20"/>
              </w:rPr>
              <w:t>(</w:t>
            </w:r>
            <w:r>
              <w:rPr>
                <w:rFonts w:asciiTheme="minorHAnsi" w:hAnsiTheme="minorHAnsi"/>
                <w:kern w:val="2"/>
                <w:sz w:val="20"/>
                <w:szCs w:val="20"/>
              </w:rPr>
              <w:t>TX</w:t>
            </w:r>
            <w:r>
              <w:rPr>
                <w:rFonts w:asciiTheme="minorHAnsi" w:hAnsiTheme="minorHAnsi"/>
                <w:kern w:val="2"/>
                <w:sz w:val="20"/>
                <w:szCs w:val="20"/>
              </w:rPr>
              <w:noBreakHyphen/>
            </w:r>
            <w:r w:rsidR="002A0238" w:rsidRPr="00B2321D">
              <w:rPr>
                <w:rFonts w:asciiTheme="minorHAnsi" w:hAnsiTheme="minorHAnsi"/>
                <w:kern w:val="2"/>
                <w:sz w:val="20"/>
                <w:szCs w:val="20"/>
              </w:rPr>
              <w:t>141-2036</w:t>
            </w:r>
            <w:r w:rsidR="004E4AAB">
              <w:rPr>
                <w:rFonts w:asciiTheme="minorHAnsi" w:hAnsiTheme="minorHAnsi"/>
                <w:kern w:val="2"/>
                <w:sz w:val="20"/>
                <w:szCs w:val="20"/>
              </w:rPr>
              <w:t>)</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5</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1630</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16</w:t>
            </w:r>
          </w:p>
        </w:tc>
      </w:tr>
      <w:tr w:rsidR="002A0238" w:rsidRPr="00B2321D" w:rsidTr="004E4AAB">
        <w:trPr>
          <w:trHeight w:val="223"/>
        </w:trPr>
        <w:tc>
          <w:tcPr>
            <w:tcW w:w="989"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1064"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30</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3080</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30</w:t>
            </w:r>
          </w:p>
        </w:tc>
      </w:tr>
      <w:tr w:rsidR="002A0238" w:rsidRPr="00B2321D" w:rsidTr="004E4AAB">
        <w:trPr>
          <w:trHeight w:val="223"/>
        </w:trPr>
        <w:tc>
          <w:tcPr>
            <w:tcW w:w="989"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1064"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300</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3650</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36</w:t>
            </w:r>
          </w:p>
        </w:tc>
      </w:tr>
      <w:tr w:rsidR="002A0238" w:rsidRPr="00B2321D" w:rsidTr="004E4AAB">
        <w:trPr>
          <w:trHeight w:val="223"/>
        </w:trPr>
        <w:tc>
          <w:tcPr>
            <w:tcW w:w="989"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1064" w:type="pct"/>
            <w:vMerge w:val="restar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 xml:space="preserve">Pre-postnatal </w:t>
            </w:r>
            <w:r w:rsidR="006565A4">
              <w:rPr>
                <w:rFonts w:asciiTheme="minorHAnsi" w:hAnsiTheme="minorHAnsi"/>
                <w:kern w:val="2"/>
                <w:sz w:val="20"/>
                <w:szCs w:val="20"/>
              </w:rPr>
              <w:t xml:space="preserve">development </w:t>
            </w:r>
            <w:r w:rsidR="004E4AAB">
              <w:rPr>
                <w:rFonts w:asciiTheme="minorHAnsi" w:hAnsiTheme="minorHAnsi"/>
                <w:kern w:val="2"/>
                <w:sz w:val="20"/>
                <w:szCs w:val="20"/>
              </w:rPr>
              <w:t>(</w:t>
            </w:r>
            <w:r w:rsidR="006565A4">
              <w:rPr>
                <w:rFonts w:asciiTheme="minorHAnsi" w:hAnsiTheme="minorHAnsi"/>
                <w:kern w:val="2"/>
                <w:sz w:val="20"/>
                <w:szCs w:val="20"/>
              </w:rPr>
              <w:t>TX</w:t>
            </w:r>
            <w:r w:rsidR="006565A4">
              <w:rPr>
                <w:rFonts w:asciiTheme="minorHAnsi" w:hAnsiTheme="minorHAnsi"/>
                <w:kern w:val="2"/>
                <w:sz w:val="20"/>
                <w:szCs w:val="20"/>
              </w:rPr>
              <w:noBreakHyphen/>
            </w:r>
            <w:r w:rsidRPr="00B2321D">
              <w:rPr>
                <w:rFonts w:asciiTheme="minorHAnsi" w:hAnsiTheme="minorHAnsi"/>
                <w:kern w:val="2"/>
                <w:sz w:val="20"/>
                <w:szCs w:val="20"/>
              </w:rPr>
              <w:t>141-2045</w:t>
            </w:r>
            <w:r w:rsidR="004E4AAB">
              <w:rPr>
                <w:rFonts w:asciiTheme="minorHAnsi" w:hAnsiTheme="minorHAnsi"/>
                <w:kern w:val="2"/>
                <w:sz w:val="20"/>
                <w:szCs w:val="20"/>
              </w:rPr>
              <w:t>)</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2</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335</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w:t>
            </w:r>
          </w:p>
        </w:tc>
      </w:tr>
      <w:tr w:rsidR="002A0238" w:rsidRPr="00B2321D" w:rsidTr="004E4AAB">
        <w:trPr>
          <w:trHeight w:val="223"/>
        </w:trPr>
        <w:tc>
          <w:tcPr>
            <w:tcW w:w="989"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1064"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10</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1170</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11</w:t>
            </w:r>
          </w:p>
        </w:tc>
      </w:tr>
      <w:tr w:rsidR="002A0238" w:rsidRPr="00B2321D" w:rsidTr="004E4AAB">
        <w:trPr>
          <w:trHeight w:val="223"/>
        </w:trPr>
        <w:tc>
          <w:tcPr>
            <w:tcW w:w="989"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1064"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300</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3100</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30</w:t>
            </w:r>
          </w:p>
        </w:tc>
      </w:tr>
      <w:tr w:rsidR="002A0238" w:rsidRPr="00B2321D" w:rsidTr="004E4AAB">
        <w:trPr>
          <w:trHeight w:val="223"/>
        </w:trPr>
        <w:tc>
          <w:tcPr>
            <w:tcW w:w="989" w:type="pct"/>
            <w:vMerge w:val="restart"/>
            <w:vAlign w:val="center"/>
          </w:tcPr>
          <w:p w:rsidR="002A0238" w:rsidRPr="00B2321D" w:rsidRDefault="006565A4" w:rsidP="006565A4">
            <w:pPr>
              <w:ind w:left="0" w:right="0"/>
              <w:jc w:val="center"/>
              <w:rPr>
                <w:rFonts w:asciiTheme="minorHAnsi" w:hAnsiTheme="minorHAnsi"/>
                <w:kern w:val="2"/>
                <w:sz w:val="20"/>
                <w:szCs w:val="20"/>
              </w:rPr>
            </w:pPr>
            <w:r>
              <w:rPr>
                <w:rFonts w:asciiTheme="minorHAnsi" w:hAnsiTheme="minorHAnsi"/>
                <w:kern w:val="2"/>
                <w:sz w:val="20"/>
                <w:szCs w:val="20"/>
              </w:rPr>
              <w:t xml:space="preserve">Rabbit </w:t>
            </w:r>
            <w:r w:rsidR="002A0238" w:rsidRPr="00B2321D">
              <w:rPr>
                <w:rFonts w:asciiTheme="minorHAnsi" w:hAnsiTheme="minorHAnsi"/>
                <w:kern w:val="2"/>
                <w:sz w:val="20"/>
                <w:szCs w:val="20"/>
              </w:rPr>
              <w:t>(NZW)</w:t>
            </w:r>
          </w:p>
        </w:tc>
        <w:tc>
          <w:tcPr>
            <w:tcW w:w="1064" w:type="pct"/>
            <w:vMerge w:val="restart"/>
            <w:vAlign w:val="center"/>
          </w:tcPr>
          <w:p w:rsidR="002A0238" w:rsidRPr="00B2321D" w:rsidRDefault="006565A4" w:rsidP="006565A4">
            <w:pPr>
              <w:ind w:left="0" w:right="0"/>
              <w:jc w:val="center"/>
              <w:rPr>
                <w:rFonts w:asciiTheme="minorHAnsi" w:hAnsiTheme="minorHAnsi"/>
                <w:kern w:val="2"/>
                <w:sz w:val="20"/>
                <w:szCs w:val="20"/>
              </w:rPr>
            </w:pPr>
            <w:r>
              <w:rPr>
                <w:rFonts w:asciiTheme="minorHAnsi" w:hAnsiTheme="minorHAnsi"/>
                <w:kern w:val="2"/>
                <w:sz w:val="20"/>
                <w:szCs w:val="20"/>
              </w:rPr>
              <w:t xml:space="preserve">Embryofetal development </w:t>
            </w:r>
            <w:r w:rsidR="004E4AAB">
              <w:rPr>
                <w:rFonts w:asciiTheme="minorHAnsi" w:hAnsiTheme="minorHAnsi"/>
                <w:kern w:val="2"/>
                <w:sz w:val="20"/>
                <w:szCs w:val="20"/>
              </w:rPr>
              <w:t>(</w:t>
            </w:r>
            <w:r w:rsidR="002A0238" w:rsidRPr="00B2321D">
              <w:rPr>
                <w:rFonts w:asciiTheme="minorHAnsi" w:hAnsiTheme="minorHAnsi"/>
                <w:kern w:val="2"/>
                <w:sz w:val="20"/>
                <w:szCs w:val="20"/>
              </w:rPr>
              <w:t xml:space="preserve">Pivotal </w:t>
            </w:r>
            <w:r>
              <w:rPr>
                <w:rFonts w:asciiTheme="minorHAnsi" w:hAnsiTheme="minorHAnsi"/>
                <w:bCs/>
                <w:kern w:val="2"/>
                <w:sz w:val="20"/>
                <w:szCs w:val="20"/>
              </w:rPr>
              <w:t>TX</w:t>
            </w:r>
            <w:r>
              <w:rPr>
                <w:rFonts w:asciiTheme="minorHAnsi" w:hAnsiTheme="minorHAnsi"/>
                <w:bCs/>
                <w:kern w:val="2"/>
                <w:sz w:val="20"/>
                <w:szCs w:val="20"/>
              </w:rPr>
              <w:noBreakHyphen/>
              <w:t>141</w:t>
            </w:r>
            <w:r>
              <w:rPr>
                <w:rFonts w:asciiTheme="minorHAnsi" w:hAnsiTheme="minorHAnsi"/>
                <w:bCs/>
                <w:kern w:val="2"/>
                <w:sz w:val="20"/>
                <w:szCs w:val="20"/>
              </w:rPr>
              <w:noBreakHyphen/>
            </w:r>
            <w:r w:rsidR="002A0238" w:rsidRPr="00B2321D">
              <w:rPr>
                <w:rFonts w:asciiTheme="minorHAnsi" w:hAnsiTheme="minorHAnsi"/>
                <w:bCs/>
                <w:kern w:val="2"/>
                <w:sz w:val="20"/>
                <w:szCs w:val="20"/>
              </w:rPr>
              <w:t>2037</w:t>
            </w:r>
            <w:r w:rsidR="004E4AAB">
              <w:rPr>
                <w:rFonts w:asciiTheme="minorHAnsi" w:hAnsiTheme="minorHAnsi"/>
                <w:kern w:val="2"/>
                <w:sz w:val="20"/>
                <w:szCs w:val="20"/>
              </w:rPr>
              <w:t>)</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100</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39</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0.4</w:t>
            </w:r>
          </w:p>
        </w:tc>
      </w:tr>
      <w:tr w:rsidR="002A0238" w:rsidRPr="00B2321D" w:rsidTr="004E4AAB">
        <w:trPr>
          <w:trHeight w:val="223"/>
        </w:trPr>
        <w:tc>
          <w:tcPr>
            <w:tcW w:w="989"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1064"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300</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60</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0.6</w:t>
            </w:r>
          </w:p>
        </w:tc>
      </w:tr>
      <w:tr w:rsidR="002A0238" w:rsidRPr="00B2321D" w:rsidTr="004E4AAB">
        <w:trPr>
          <w:trHeight w:val="223"/>
        </w:trPr>
        <w:tc>
          <w:tcPr>
            <w:tcW w:w="989"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1064" w:type="pct"/>
            <w:vMerge/>
            <w:vAlign w:val="center"/>
          </w:tcPr>
          <w:p w:rsidR="002A0238" w:rsidRPr="00B2321D" w:rsidRDefault="002A0238" w:rsidP="006565A4">
            <w:pPr>
              <w:ind w:left="0" w:right="0"/>
              <w:jc w:val="center"/>
              <w:rPr>
                <w:rFonts w:asciiTheme="minorHAnsi" w:hAnsiTheme="minorHAnsi"/>
                <w:kern w:val="2"/>
                <w:sz w:val="20"/>
                <w:szCs w:val="20"/>
              </w:rPr>
            </w:pP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1000</w:t>
            </w:r>
          </w:p>
        </w:tc>
        <w:tc>
          <w:tcPr>
            <w:tcW w:w="983"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138</w:t>
            </w:r>
          </w:p>
        </w:tc>
        <w:tc>
          <w:tcPr>
            <w:tcW w:w="981" w:type="pct"/>
            <w:vAlign w:val="center"/>
          </w:tcPr>
          <w:p w:rsidR="002A0238" w:rsidRPr="00B2321D" w:rsidRDefault="002A0238" w:rsidP="006565A4">
            <w:pPr>
              <w:ind w:left="0" w:right="0"/>
              <w:jc w:val="center"/>
              <w:rPr>
                <w:rFonts w:asciiTheme="minorHAnsi" w:hAnsiTheme="minorHAnsi"/>
                <w:kern w:val="2"/>
                <w:sz w:val="20"/>
                <w:szCs w:val="20"/>
              </w:rPr>
            </w:pPr>
            <w:r w:rsidRPr="00B2321D">
              <w:rPr>
                <w:rFonts w:asciiTheme="minorHAnsi" w:hAnsiTheme="minorHAnsi"/>
                <w:kern w:val="2"/>
                <w:sz w:val="20"/>
                <w:szCs w:val="20"/>
              </w:rPr>
              <w:t>1.4</w:t>
            </w:r>
          </w:p>
        </w:tc>
      </w:tr>
    </w:tbl>
    <w:p w:rsidR="002A0238" w:rsidRDefault="002A0238" w:rsidP="00D35C68">
      <w:pPr>
        <w:pStyle w:val="TableDescription"/>
      </w:pPr>
      <w:r w:rsidRPr="002A0238">
        <w:t>* Based on toxicokinetic data in the 2-w</w:t>
      </w:r>
      <w:r w:rsidR="00116653">
        <w:t>eek repeat dose toxicity Study TX-141-2029</w:t>
      </w:r>
      <w:r w:rsidRPr="002A0238">
        <w:t>; # = AUC</w:t>
      </w:r>
      <w:r w:rsidRPr="000F37F1">
        <w:rPr>
          <w:vertAlign w:val="subscript"/>
        </w:rPr>
        <w:t>0-24h</w:t>
      </w:r>
      <w:r w:rsidRPr="002A0238">
        <w:t xml:space="preserve"> comparisons</w:t>
      </w:r>
    </w:p>
    <w:p w:rsidR="00BB1E7D" w:rsidRDefault="00BB1E7D" w:rsidP="00BB1E7D">
      <w:r>
        <w:t>High, supratherapeutic exposures (over 30</w:t>
      </w:r>
      <w:r w:rsidR="00B2321D">
        <w:t xml:space="preserve"> times</w:t>
      </w:r>
      <w:r>
        <w:t xml:space="preserve"> the clinical exposure) were achieved in rats. Much lower systemic exposure was achievable in rabbits despite dosing up to 1000</w:t>
      </w:r>
      <w:r w:rsidR="00B2321D">
        <w:t> </w:t>
      </w:r>
      <w:r>
        <w:t>mg/kg/d</w:t>
      </w:r>
      <w:r w:rsidR="004E4AAB">
        <w:t>ay</w:t>
      </w:r>
      <w:r>
        <w:t>. Maternal toxicity (decreased food consumption and body weight gain, abortions and poo</w:t>
      </w:r>
      <w:r w:rsidR="006565A4">
        <w:t xml:space="preserve">r body condition) was observed </w:t>
      </w:r>
      <w:r w:rsidR="00F47F01">
        <w:t>rabbits</w:t>
      </w:r>
      <w:r w:rsidR="006565A4">
        <w:t xml:space="preserve"> </w:t>
      </w:r>
      <w:r w:rsidR="00B2321D">
        <w:t>at this dose.</w:t>
      </w:r>
    </w:p>
    <w:p w:rsidR="00BB1E7D" w:rsidRDefault="00BB1E7D" w:rsidP="00BB1E7D">
      <w:r>
        <w:t>No adverse effects on maternal health, fertility and embryofetal and postnatal development in rats were noted at the highest dose tested (300 mg/kg/d</w:t>
      </w:r>
      <w:r w:rsidR="006565A4">
        <w:t>ay</w:t>
      </w:r>
      <w:r>
        <w:t>). The only embryofetal effect in rabbits was low f</w:t>
      </w:r>
      <w:r w:rsidR="00B2321D">
        <w:t>o</w:t>
      </w:r>
      <w:r>
        <w:t>etal weights, which was probably secondary to maternal toxicity.</w:t>
      </w:r>
    </w:p>
    <w:p w:rsidR="00BB1E7D" w:rsidRDefault="00BB1E7D" w:rsidP="00BB1E7D">
      <w:pPr>
        <w:pStyle w:val="Heading5"/>
      </w:pPr>
      <w:r>
        <w:t>Pharmacokinetics in pregnancy and lactation</w:t>
      </w:r>
    </w:p>
    <w:p w:rsidR="00BB1E7D" w:rsidRDefault="009E605F" w:rsidP="00BB1E7D">
      <w:r>
        <w:t>N</w:t>
      </w:r>
      <w:r w:rsidR="00BB1E7D">
        <w:t>o specific studies on placental transfer were supplied. The plasma exposure of bictegravir in nursing pups was determined in a prenatal and postnatal development study in rats. Bictegravir was detected in the plasma of neonat</w:t>
      </w:r>
      <w:r w:rsidR="006565A4">
        <w:t>es on lactation D</w:t>
      </w:r>
      <w:r w:rsidR="00BB1E7D">
        <w:t>ay 10. Bictegravir exposure in maternal rats was approximately similar to pups at the 2</w:t>
      </w:r>
      <w:r>
        <w:t> </w:t>
      </w:r>
      <w:r w:rsidR="00BB1E7D">
        <w:t>mg/kg/day dose level, slightly higher (</w:t>
      </w:r>
      <w:r w:rsidR="006565A4">
        <w:t xml:space="preserve">~ </w:t>
      </w:r>
      <w:r w:rsidR="00BB1E7D">
        <w:t>1.5</w:t>
      </w:r>
      <w:r>
        <w:t xml:space="preserve"> times</w:t>
      </w:r>
      <w:r w:rsidR="00BB1E7D">
        <w:t xml:space="preserve">) in maternal rats than in pups at the 10 mg/kg/day dose level, and </w:t>
      </w:r>
      <w:r w:rsidR="006565A4">
        <w:t xml:space="preserve">~ </w:t>
      </w:r>
      <w:r w:rsidR="00BB1E7D">
        <w:t>2.8</w:t>
      </w:r>
      <w:r>
        <w:t xml:space="preserve"> times</w:t>
      </w:r>
      <w:r w:rsidR="00BB1E7D">
        <w:t xml:space="preserve"> higher in maternal rats than in pups at the 300</w:t>
      </w:r>
      <w:r>
        <w:t> </w:t>
      </w:r>
      <w:r w:rsidR="00BB1E7D">
        <w:t>mg/kg/day dose level. These data imply trans</w:t>
      </w:r>
      <w:r w:rsidR="006565A4">
        <w:t>-</w:t>
      </w:r>
      <w:r w:rsidR="00BB1E7D">
        <w:t>mammary exposure to bictegravir.</w:t>
      </w:r>
    </w:p>
    <w:p w:rsidR="00BB1E7D" w:rsidRDefault="00BB1E7D" w:rsidP="00BB1E7D">
      <w:pPr>
        <w:pStyle w:val="Heading5"/>
      </w:pPr>
      <w:r>
        <w:lastRenderedPageBreak/>
        <w:t>Pregnancy classification</w:t>
      </w:r>
    </w:p>
    <w:p w:rsidR="00BB1E7D" w:rsidRDefault="009E605F" w:rsidP="00BB1E7D">
      <w:r>
        <w:t>The s</w:t>
      </w:r>
      <w:r w:rsidR="00BB1E7D">
        <w:t xml:space="preserve">ponsor has proposed Pregnancy Category B3 for </w:t>
      </w:r>
      <w:r w:rsidR="001B5D97">
        <w:t>Biktarvy</w:t>
      </w:r>
      <w:r w:rsidR="00BB1E7D">
        <w:t>.</w:t>
      </w:r>
      <w:bookmarkStart w:id="60" w:name="_Ref15485663"/>
      <w:r>
        <w:rPr>
          <w:rStyle w:val="FootnoteReference"/>
        </w:rPr>
        <w:footnoteReference w:id="18"/>
      </w:r>
      <w:bookmarkEnd w:id="60"/>
      <w:r w:rsidR="00BB1E7D">
        <w:t xml:space="preserve"> This is consistent with the classification for currently registered products containing emtricitabine and tenofovir alafenamide. For bictegravir as a stand-alone substance, a pregnancy category of B1</w:t>
      </w:r>
      <w:r w:rsidR="002F3E76">
        <w:t>;</w:t>
      </w:r>
      <w:bookmarkStart w:id="61" w:name="_Ref15485668"/>
      <w:r w:rsidR="006565A4">
        <w:rPr>
          <w:rStyle w:val="FootnoteReference"/>
        </w:rPr>
        <w:footnoteReference w:id="19"/>
      </w:r>
      <w:bookmarkEnd w:id="61"/>
      <w:r w:rsidR="00BB1E7D">
        <w:t xml:space="preserve"> is regarded as appropriate by the evaluator based on the embryofetal development studies in rats and rabbits.</w:t>
      </w:r>
    </w:p>
    <w:p w:rsidR="00BB1E7D" w:rsidRDefault="00BB1E7D" w:rsidP="00BB1E7D">
      <w:pPr>
        <w:pStyle w:val="Heading4"/>
      </w:pPr>
      <w:r>
        <w:t xml:space="preserve">Local tolerance </w:t>
      </w:r>
    </w:p>
    <w:p w:rsidR="00BB1E7D" w:rsidRDefault="00BB1E7D" w:rsidP="00BB1E7D">
      <w:r>
        <w:t xml:space="preserve">Combination studies were not supplied. Based on appropriately validated </w:t>
      </w:r>
      <w:r w:rsidRPr="00B81B43">
        <w:rPr>
          <w:i/>
        </w:rPr>
        <w:t>in vitro</w:t>
      </w:r>
      <w:r>
        <w:t xml:space="preserve"> skin corrosion assays using epidermal reconstructs bictegravir is noncorrosive. </w:t>
      </w:r>
      <w:r w:rsidR="004E4AAB">
        <w:t>Bictegravir</w:t>
      </w:r>
      <w:r>
        <w:t xml:space="preserve"> had an </w:t>
      </w:r>
      <w:r w:rsidRPr="00B81B43">
        <w:rPr>
          <w:i/>
        </w:rPr>
        <w:t>in vitro</w:t>
      </w:r>
      <w:r>
        <w:t xml:space="preserve"> irritation score of </w:t>
      </w:r>
      <w:r w:rsidR="006565A4">
        <w:t xml:space="preserve">~ </w:t>
      </w:r>
      <w:r>
        <w:t>28 (moderate eye irritant) in an appropriately validated bovine corneal opacity and permeability assay. Bictegravir displayed acceptable local tolerance properties to the gastrointestinal tract in the repeat dose toxicology studies.</w:t>
      </w:r>
    </w:p>
    <w:p w:rsidR="00BB1E7D" w:rsidRDefault="00BB1E7D" w:rsidP="00BB1E7D">
      <w:pPr>
        <w:pStyle w:val="Heading4"/>
      </w:pPr>
      <w:r>
        <w:t>Immunotoxicity</w:t>
      </w:r>
    </w:p>
    <w:p w:rsidR="00BB1E7D" w:rsidRDefault="00BB1E7D" w:rsidP="00BB1E7D">
      <w:r>
        <w:t xml:space="preserve">In a validated mouse local lymph node assay bictegravir was </w:t>
      </w:r>
      <w:r w:rsidR="009E605F">
        <w:t>neither irritant nor a sensitis</w:t>
      </w:r>
      <w:r>
        <w:t>er at concentrations ≤</w:t>
      </w:r>
      <w:r w:rsidR="009E605F">
        <w:t xml:space="preserve"> </w:t>
      </w:r>
      <w:r>
        <w:t>50% w/w (in propylene glycol).</w:t>
      </w:r>
    </w:p>
    <w:p w:rsidR="00BB1E7D" w:rsidRDefault="00BB1E7D" w:rsidP="00BB1E7D">
      <w:pPr>
        <w:pStyle w:val="Heading4"/>
      </w:pPr>
      <w:r>
        <w:t xml:space="preserve">Phototoxicity </w:t>
      </w:r>
    </w:p>
    <w:p w:rsidR="00BB1E7D" w:rsidRDefault="00BB1E7D" w:rsidP="00BB1E7D">
      <w:r>
        <w:t xml:space="preserve">Based on a validated </w:t>
      </w:r>
      <w:r w:rsidRPr="00B81B43">
        <w:rPr>
          <w:i/>
        </w:rPr>
        <w:t>in vitro</w:t>
      </w:r>
      <w:r>
        <w:t xml:space="preserve"> neutral red uptake phototoxicity assay, bictegravir was determined to have phototoxic potential following </w:t>
      </w:r>
      <w:r w:rsidR="009E605F">
        <w:t xml:space="preserve">ultraviolet </w:t>
      </w:r>
      <w:r>
        <w:t>A/</w:t>
      </w:r>
      <w:r w:rsidR="009E605F">
        <w:t xml:space="preserve">ultraviolet </w:t>
      </w:r>
      <w:r>
        <w:t xml:space="preserve">B </w:t>
      </w:r>
      <w:r w:rsidR="009E605F">
        <w:t xml:space="preserve">radiation (UVA/UVB) </w:t>
      </w:r>
      <w:r>
        <w:t xml:space="preserve">exposure. In a validated higher tier </w:t>
      </w:r>
      <w:r w:rsidRPr="00B81B43">
        <w:rPr>
          <w:i/>
        </w:rPr>
        <w:t>in vivo</w:t>
      </w:r>
      <w:r w:rsidRPr="002F3E76">
        <w:t xml:space="preserve"> </w:t>
      </w:r>
      <w:r>
        <w:t>study using pigmented Long-Evans rats dosed at up to 300 mg/kg/d</w:t>
      </w:r>
      <w:r w:rsidR="00F90874">
        <w:t>ay</w:t>
      </w:r>
      <w:r>
        <w:t xml:space="preserve"> PO (absorption limit) for 3 days, there was no evidence of bictegravir associated UVA/UVB cutaneous or ocular phototoxicity.</w:t>
      </w:r>
    </w:p>
    <w:p w:rsidR="00BB1E7D" w:rsidRDefault="00BB1E7D" w:rsidP="00BB1E7D">
      <w:pPr>
        <w:pStyle w:val="Heading4"/>
      </w:pPr>
      <w:r>
        <w:t>Paediatric use</w:t>
      </w:r>
    </w:p>
    <w:p w:rsidR="00BB1E7D" w:rsidRDefault="00BB1E7D" w:rsidP="00BB1E7D">
      <w:r>
        <w:t>Bictegravir is not intended for paediatric use.</w:t>
      </w:r>
      <w:r w:rsidR="007E7BFA">
        <w:rPr>
          <w:rStyle w:val="FootnoteReference"/>
        </w:rPr>
        <w:footnoteReference w:id="20"/>
      </w:r>
      <w:r>
        <w:t xml:space="preserve"> No specific studies in juvenile animals were submitted.</w:t>
      </w:r>
    </w:p>
    <w:p w:rsidR="008E7846" w:rsidRDefault="008E7846" w:rsidP="008E7846">
      <w:pPr>
        <w:pStyle w:val="Heading3"/>
      </w:pPr>
      <w:bookmarkStart w:id="62" w:name="_Toc247691515"/>
      <w:bookmarkStart w:id="63" w:name="_Toc314842499"/>
      <w:bookmarkStart w:id="64" w:name="_Toc20133975"/>
      <w:r>
        <w:t>Nonclinical summary and conclusions</w:t>
      </w:r>
      <w:bookmarkEnd w:id="62"/>
      <w:bookmarkEnd w:id="63"/>
      <w:bookmarkEnd w:id="64"/>
    </w:p>
    <w:p w:rsidR="00F90874" w:rsidRDefault="00F90874" w:rsidP="00F90874">
      <w:pPr>
        <w:pStyle w:val="Heading4"/>
      </w:pPr>
      <w:r>
        <w:t>Summary</w:t>
      </w:r>
    </w:p>
    <w:p w:rsidR="00F90874" w:rsidRPr="00CB326B" w:rsidRDefault="00F90874" w:rsidP="00F90874">
      <w:pPr>
        <w:pStyle w:val="ListBullet"/>
      </w:pPr>
      <w:r w:rsidRPr="00CB326B">
        <w:t xml:space="preserve">Except where noted, no bictegravir + FTC +TAF combination studies and no HIV-1 + hepatitis B co-infection </w:t>
      </w:r>
      <w:r>
        <w:t xml:space="preserve">studies </w:t>
      </w:r>
      <w:r w:rsidRPr="00CB326B">
        <w:t xml:space="preserve">were supplied. The submitted </w:t>
      </w:r>
      <w:r>
        <w:t>nonclinical</w:t>
      </w:r>
      <w:r w:rsidRPr="00CB326B">
        <w:t xml:space="preserve"> dossier was </w:t>
      </w:r>
      <w:r>
        <w:t>guideline compatible</w:t>
      </w:r>
      <w:r w:rsidRPr="00CB326B">
        <w:t xml:space="preserve"> except for the lack of drug combination toxicology bridging studies (acceptable waiving statement</w:t>
      </w:r>
      <w:r>
        <w:t xml:space="preserve"> supplied). B</w:t>
      </w:r>
      <w:r w:rsidRPr="00CB326B">
        <w:t>ictegravir is not intended for paediatric use</w:t>
      </w:r>
      <w:r>
        <w:t xml:space="preserve"> and </w:t>
      </w:r>
      <w:r w:rsidRPr="00CB326B">
        <w:t>no studies in juvenile animals were supplied. Where required, all pivotal studies were GLP complian</w:t>
      </w:r>
      <w:r>
        <w:t>t and appropriately controlled.</w:t>
      </w:r>
    </w:p>
    <w:p w:rsidR="00F90874" w:rsidRPr="00CB326B" w:rsidRDefault="00F90874" w:rsidP="00F90874">
      <w:pPr>
        <w:pStyle w:val="ListBullet"/>
        <w:rPr>
          <w:rFonts w:asciiTheme="minorHAnsi" w:eastAsiaTheme="minorHAnsi" w:hAnsiTheme="minorHAnsi"/>
        </w:rPr>
      </w:pPr>
      <w:r w:rsidRPr="00CB326B">
        <w:lastRenderedPageBreak/>
        <w:t>Bictegravir was active against all HIV-1 subtypes (including NRTI, NNRTI, PR, and first generation INSTI resistant strains) and HIV-</w:t>
      </w:r>
      <w:r w:rsidRPr="002F3E76">
        <w:t xml:space="preserve">2 </w:t>
      </w:r>
      <w:r w:rsidRPr="00B81B43">
        <w:rPr>
          <w:i/>
        </w:rPr>
        <w:t>in vitro</w:t>
      </w:r>
      <w:r w:rsidRPr="00CB326B">
        <w:t xml:space="preserve">. Overall, its antiviral properties resemble those of dolutegravir (an approved second generation INSTI) and were generally superior to those of the first generation INSTIs. Bictegravir acts synergistically with FTC, TAF (comparable with dolutegravir) and protease inhibitors. Bictegravir’s resistance characteristics resemble those of dolutegravir. </w:t>
      </w:r>
      <w:r>
        <w:t>Many of the 2</w:t>
      </w:r>
      <w:r w:rsidRPr="006C2282">
        <w:rPr>
          <w:vertAlign w:val="superscript"/>
        </w:rPr>
        <w:t>nd</w:t>
      </w:r>
      <w:r>
        <w:t xml:space="preserve"> generation INSTI selected mutations are also associated with compromised viral replicative fitness i.e. likely of lower clinical relevance. </w:t>
      </w:r>
      <w:r w:rsidRPr="00CB326B">
        <w:rPr>
          <w:rFonts w:asciiTheme="minorHAnsi" w:eastAsiaTheme="minorHAnsi" w:hAnsiTheme="minorHAnsi"/>
        </w:rPr>
        <w:t xml:space="preserve">The likely most clinically important resistance mechanism is </w:t>
      </w:r>
      <w:r>
        <w:rPr>
          <w:rFonts w:asciiTheme="minorHAnsi" w:eastAsiaTheme="minorHAnsi" w:hAnsiTheme="minorHAnsi"/>
        </w:rPr>
        <w:t xml:space="preserve">the </w:t>
      </w:r>
      <w:r w:rsidRPr="00CB326B">
        <w:rPr>
          <w:rFonts w:asciiTheme="minorHAnsi" w:eastAsiaTheme="minorHAnsi" w:hAnsiTheme="minorHAnsi"/>
        </w:rPr>
        <w:t xml:space="preserve">integrase Q148 mutation (particularly </w:t>
      </w:r>
      <w:r>
        <w:rPr>
          <w:rFonts w:asciiTheme="minorHAnsi" w:eastAsiaTheme="minorHAnsi" w:hAnsiTheme="minorHAnsi"/>
        </w:rPr>
        <w:t>in combination with the</w:t>
      </w:r>
      <w:r w:rsidRPr="00CB326B">
        <w:rPr>
          <w:rFonts w:asciiTheme="minorHAnsi" w:eastAsiaTheme="minorHAnsi" w:hAnsiTheme="minorHAnsi"/>
        </w:rPr>
        <w:t xml:space="preserve"> bictegravir selected E138</w:t>
      </w:r>
      <w:r>
        <w:rPr>
          <w:rFonts w:asciiTheme="minorHAnsi" w:eastAsiaTheme="minorHAnsi" w:hAnsiTheme="minorHAnsi"/>
        </w:rPr>
        <w:t xml:space="preserve"> and</w:t>
      </w:r>
      <w:r w:rsidRPr="00CB326B">
        <w:rPr>
          <w:rFonts w:asciiTheme="minorHAnsi" w:eastAsiaTheme="minorHAnsi" w:hAnsiTheme="minorHAnsi"/>
        </w:rPr>
        <w:t xml:space="preserve"> G140 and</w:t>
      </w:r>
      <w:r>
        <w:rPr>
          <w:rFonts w:asciiTheme="minorHAnsi" w:eastAsiaTheme="minorHAnsi" w:hAnsiTheme="minorHAnsi"/>
        </w:rPr>
        <w:t>/or</w:t>
      </w:r>
      <w:r w:rsidRPr="00CB326B">
        <w:rPr>
          <w:rFonts w:asciiTheme="minorHAnsi" w:eastAsiaTheme="minorHAnsi" w:hAnsiTheme="minorHAnsi"/>
        </w:rPr>
        <w:t xml:space="preserve"> the T66I+E138K+Q148K triple mutation</w:t>
      </w:r>
      <w:r>
        <w:rPr>
          <w:rFonts w:asciiTheme="minorHAnsi" w:eastAsiaTheme="minorHAnsi" w:hAnsiTheme="minorHAnsi"/>
        </w:rPr>
        <w:t>). M</w:t>
      </w:r>
      <w:r w:rsidRPr="00CB326B">
        <w:rPr>
          <w:rFonts w:asciiTheme="minorHAnsi" w:eastAsiaTheme="minorHAnsi" w:hAnsiTheme="minorHAnsi"/>
        </w:rPr>
        <w:t>ultiple mutations are required for high resistance. Bictegravir selected HIV-1 mutants were sensitive to efavirenz and had lower cross-resistance to raltegravir but high cr</w:t>
      </w:r>
      <w:r>
        <w:rPr>
          <w:rFonts w:asciiTheme="minorHAnsi" w:eastAsiaTheme="minorHAnsi" w:hAnsiTheme="minorHAnsi"/>
        </w:rPr>
        <w:t>oss-resistance to elvitegravir.</w:t>
      </w:r>
    </w:p>
    <w:p w:rsidR="00F90874" w:rsidRPr="00CB326B" w:rsidRDefault="00F90874" w:rsidP="00F90874">
      <w:pPr>
        <w:pStyle w:val="ListBullet"/>
        <w:rPr>
          <w:rFonts w:asciiTheme="minorHAnsi" w:eastAsiaTheme="minorHAnsi" w:hAnsiTheme="minorHAnsi"/>
        </w:rPr>
      </w:pPr>
      <w:r w:rsidRPr="00CB326B">
        <w:rPr>
          <w:rFonts w:asciiTheme="minorHAnsi" w:eastAsiaTheme="minorHAnsi" w:hAnsiTheme="minorHAnsi"/>
        </w:rPr>
        <w:t>Secondary and safety pharmacology studies did not identify adverse off targets or effects on cardiovascular, respiratory or central nervous functions. Overlapping/interactional secondary and safety pharmacology effects for the Biktarvy dru</w:t>
      </w:r>
      <w:r>
        <w:rPr>
          <w:rFonts w:asciiTheme="minorHAnsi" w:eastAsiaTheme="minorHAnsi" w:hAnsiTheme="minorHAnsi"/>
        </w:rPr>
        <w:t>g combination are not expected.</w:t>
      </w:r>
    </w:p>
    <w:p w:rsidR="00F90874" w:rsidRPr="00CB326B" w:rsidRDefault="00F90874" w:rsidP="00F90874">
      <w:pPr>
        <w:pStyle w:val="ListBullet"/>
        <w:rPr>
          <w:rFonts w:asciiTheme="minorHAnsi" w:eastAsiaTheme="minorHAnsi" w:hAnsiTheme="minorHAnsi"/>
        </w:rPr>
      </w:pPr>
      <w:r w:rsidRPr="00CB326B">
        <w:rPr>
          <w:rFonts w:asciiTheme="minorHAnsi" w:eastAsiaTheme="minorHAnsi" w:hAnsiTheme="minorHAnsi"/>
        </w:rPr>
        <w:t>B</w:t>
      </w:r>
      <w:r w:rsidRPr="00CB326B">
        <w:t>ictegravir’s pharmacokinetic profile in animals was qualitatively similar to that of humans. Oral bioavailability in rodents and dogs was modest but higher in monkeys (comparable with humans). Absorption was rapid, V</w:t>
      </w:r>
      <w:r w:rsidRPr="00CB326B">
        <w:rPr>
          <w:vertAlign w:val="subscript"/>
        </w:rPr>
        <w:t>SS</w:t>
      </w:r>
      <w:r w:rsidRPr="00CB326B">
        <w:t xml:space="preserve"> was less than the total body water and estimated hepatic extraction was low. Systemic exposure following PO dosing was sub-dose proportional and displayed </w:t>
      </w:r>
      <w:r>
        <w:t xml:space="preserve">absorption </w:t>
      </w:r>
      <w:r w:rsidRPr="00CB326B">
        <w:t xml:space="preserve">saturation. Bictegravir is highly protein bound. Following PO dosing, drug associated radioactivity was rapidly and widely distributed with tissue levels below blood levels. High tissue concentrations reflected the routes of administration and excretion </w:t>
      </w:r>
      <w:r>
        <w:t xml:space="preserve">with </w:t>
      </w:r>
      <w:r w:rsidRPr="00CB326B">
        <w:t xml:space="preserve">concentration in the adrenal glands, bone marrow and brown fat. Brain levels were </w:t>
      </w:r>
      <w:r w:rsidR="00251457">
        <w:t xml:space="preserve">&lt; </w:t>
      </w:r>
      <w:r w:rsidRPr="00CB326B">
        <w:t xml:space="preserve">4% of blood levels. In all species, bictegravir was poorly metabolised and was the major circulating drug form. </w:t>
      </w:r>
      <w:r>
        <w:t>I</w:t>
      </w:r>
      <w:r w:rsidRPr="00CB326B">
        <w:t xml:space="preserve">n non-primates </w:t>
      </w:r>
      <w:r>
        <w:t xml:space="preserve">bictegravir was </w:t>
      </w:r>
      <w:r w:rsidRPr="00CB326B">
        <w:t>N-dealkylat</w:t>
      </w:r>
      <w:r>
        <w:t>ed</w:t>
      </w:r>
      <w:r w:rsidRPr="00CB326B">
        <w:t>, glucuronidat</w:t>
      </w:r>
      <w:r>
        <w:t xml:space="preserve">ed </w:t>
      </w:r>
      <w:r w:rsidRPr="00CB326B">
        <w:t>and hydroxy</w:t>
      </w:r>
      <w:r>
        <w:t>lised</w:t>
      </w:r>
      <w:r w:rsidRPr="00CB326B">
        <w:t xml:space="preserve"> via CYP3A4 and/or UGT1A1. Monkeys were more extensive metabolisers </w:t>
      </w:r>
      <w:r w:rsidRPr="00CF7624">
        <w:rPr>
          <w:i/>
        </w:rPr>
        <w:t>cf.</w:t>
      </w:r>
      <w:r w:rsidRPr="00CB326B">
        <w:rPr>
          <w:i/>
        </w:rPr>
        <w:t xml:space="preserve"> </w:t>
      </w:r>
      <w:r w:rsidRPr="00CB326B">
        <w:t>humans</w:t>
      </w:r>
      <w:r>
        <w:t xml:space="preserve"> whereas rat metabolism</w:t>
      </w:r>
      <w:r w:rsidRPr="00CB326B">
        <w:t xml:space="preserve"> more closely resembled the human situation. There were no </w:t>
      </w:r>
      <w:r>
        <w:t xml:space="preserve">clinically relevant </w:t>
      </w:r>
      <w:r w:rsidRPr="00CB326B">
        <w:t>human specific metabolites. Excretion was predominantly hepatobiliary</w:t>
      </w:r>
      <w:r>
        <w:t>.</w:t>
      </w:r>
    </w:p>
    <w:p w:rsidR="00F90874" w:rsidRPr="00CB326B" w:rsidRDefault="00F90874" w:rsidP="00F90874">
      <w:pPr>
        <w:pStyle w:val="ListBullet"/>
      </w:pPr>
      <w:r w:rsidRPr="00CB326B">
        <w:t xml:space="preserve">Bictegravir is unlikely to cause clinically relevant drug interactions </w:t>
      </w:r>
      <w:r>
        <w:t>via</w:t>
      </w:r>
      <w:r w:rsidRPr="00CB326B">
        <w:t xml:space="preserve"> CYP1A2, CYP2B6, CYP2C8, CYP2C9, CYP2C19, CYP2D6, OAT1, OAT3, OCT1, OATP1B1 and OATP1B3. Bictegravir </w:t>
      </w:r>
      <w:r>
        <w:t>may</w:t>
      </w:r>
      <w:r w:rsidRPr="00CB326B">
        <w:t xml:space="preserve"> cause drug interactions associated with CYP3A induction and OCT2 (and possibly weak interactions via intestinal </w:t>
      </w:r>
      <w:r>
        <w:t>P-gp</w:t>
      </w:r>
      <w:r w:rsidRPr="00CB326B">
        <w:t xml:space="preserve"> and hepatic/renal BCRP). Co-administration with potent inducers of CYP3A and/or UGT1A1 may decrease bictegravir plasma concentrations, reducing bictegravir’s therapeutic effect and increasing the risk of resistance. Co-administration with inhibitors of CYP3A and/or UGT1A1 may increase plasma concentrations of bictegravir. Bictegravir is a</w:t>
      </w:r>
      <w:r>
        <w:t xml:space="preserve"> substrate of P</w:t>
      </w:r>
      <w:r>
        <w:noBreakHyphen/>
        <w:t>gp</w:t>
      </w:r>
      <w:r w:rsidRPr="00CB326B">
        <w:t xml:space="preserve"> </w:t>
      </w:r>
      <w:r>
        <w:t xml:space="preserve">and BCRP. </w:t>
      </w:r>
      <w:r w:rsidRPr="00CB326B">
        <w:t xml:space="preserve">Bictegravir dose-dependently inhibits MATE1 and OCT1 possibly </w:t>
      </w:r>
      <w:r>
        <w:t xml:space="preserve">reducing </w:t>
      </w:r>
      <w:r w:rsidRPr="00CB326B">
        <w:t>active renal tubular excretion</w:t>
      </w:r>
      <w:r>
        <w:t xml:space="preserve"> of creatine and other MATE1 and OCT1 substrates.</w:t>
      </w:r>
    </w:p>
    <w:p w:rsidR="00F90874" w:rsidRPr="00CB326B" w:rsidRDefault="00F90874" w:rsidP="00F90874">
      <w:pPr>
        <w:pStyle w:val="ListBullet"/>
      </w:pPr>
      <w:r>
        <w:t>B</w:t>
      </w:r>
      <w:r w:rsidRPr="00CB326B">
        <w:t>ictegravir likely has a lo</w:t>
      </w:r>
      <w:r>
        <w:t>w order of acute oral toxicity.</w:t>
      </w:r>
    </w:p>
    <w:p w:rsidR="00F90874" w:rsidRPr="00CB326B" w:rsidRDefault="00F90874" w:rsidP="00F90874">
      <w:pPr>
        <w:pStyle w:val="ListBullet"/>
      </w:pPr>
      <w:r w:rsidRPr="00CB326B">
        <w:t>The effects of repeated daily PO dosing were evaluated in transgeni</w:t>
      </w:r>
      <w:r w:rsidR="004E4AAB">
        <w:t xml:space="preserve">c mice, rats, and monkeys for 2 to </w:t>
      </w:r>
      <w:r w:rsidRPr="00CB326B">
        <w:t>39 weeks. The maximum doses in the mouse and rat studies were based on the saturation of absorption doses. The maximum dose in the monkey studies was the ICH M3 (R2) limit dose (1000 mg/kg/d). High systemic exposures (relative to the proposed human dose) were achieved</w:t>
      </w:r>
      <w:r>
        <w:t xml:space="preserve">. </w:t>
      </w:r>
      <w:r w:rsidRPr="00CB326B">
        <w:t>Hepatobiliary toxicity was the only adverse effect</w:t>
      </w:r>
      <w:r>
        <w:t xml:space="preserve"> and was only detected in </w:t>
      </w:r>
      <w:r w:rsidRPr="00CB326B">
        <w:t>monkeys chronically dosed at 1000 mg/kg/d PO</w:t>
      </w:r>
      <w:r>
        <w:t xml:space="preserve"> (animal/human exposure ratio 16), with no effects at 200 mg/kg/day (exposure ratio 7)</w:t>
      </w:r>
      <w:r w:rsidRPr="00CB326B">
        <w:t xml:space="preserve">. </w:t>
      </w:r>
      <w:r>
        <w:t>M</w:t>
      </w:r>
      <w:r w:rsidRPr="00CB326B">
        <w:t xml:space="preserve">onkeys may be more sensitive to bictegravir hepatotoxicity </w:t>
      </w:r>
      <w:r w:rsidR="004E4AAB" w:rsidRPr="004E4AAB">
        <w:lastRenderedPageBreak/>
        <w:t xml:space="preserve">compared with </w:t>
      </w:r>
      <w:r w:rsidRPr="004E4AAB">
        <w:t>humans</w:t>
      </w:r>
      <w:r>
        <w:t xml:space="preserve"> due to metabolic differences</w:t>
      </w:r>
      <w:r w:rsidRPr="00CB326B">
        <w:t>.</w:t>
      </w:r>
      <w:r>
        <w:t xml:space="preserve"> Emesis occurred in some monkeys chronically doses at 1000 mg/kg/d PO.</w:t>
      </w:r>
    </w:p>
    <w:p w:rsidR="00F90874" w:rsidRPr="00CB326B" w:rsidRDefault="00F90874" w:rsidP="00F90874">
      <w:pPr>
        <w:pStyle w:val="ListBullet"/>
      </w:pPr>
      <w:r w:rsidRPr="00CB326B">
        <w:t>Based on the results of a</w:t>
      </w:r>
      <w:r>
        <w:t>n adequate</w:t>
      </w:r>
      <w:r w:rsidRPr="00CB326B">
        <w:t xml:space="preserve"> screening package bictegravir is not genotoxic.</w:t>
      </w:r>
    </w:p>
    <w:p w:rsidR="00F90874" w:rsidRPr="00CB326B" w:rsidRDefault="00F90874" w:rsidP="00F90874">
      <w:pPr>
        <w:pStyle w:val="ListBullet"/>
      </w:pPr>
      <w:r w:rsidRPr="00CB326B">
        <w:t xml:space="preserve">Bictegravir </w:t>
      </w:r>
      <w:r>
        <w:t xml:space="preserve">was not carcinogenic in </w:t>
      </w:r>
      <w:r w:rsidRPr="00CB326B">
        <w:t>a</w:t>
      </w:r>
      <w:r>
        <w:t>n</w:t>
      </w:r>
      <w:r w:rsidRPr="00CB326B">
        <w:t xml:space="preserve"> abbreviated 26 week oral gavage carcinogenicity </w:t>
      </w:r>
      <w:r>
        <w:t xml:space="preserve">study </w:t>
      </w:r>
      <w:r w:rsidRPr="00CB326B">
        <w:t>in hemizygous rasH2 transgenic mice</w:t>
      </w:r>
      <w:r>
        <w:t xml:space="preserve"> nor was it carcinogenic in a 104 week study in Wistar rats</w:t>
      </w:r>
      <w:r w:rsidRPr="00CB326B">
        <w:t>.</w:t>
      </w:r>
    </w:p>
    <w:p w:rsidR="00F90874" w:rsidRPr="00CB326B" w:rsidRDefault="00F90874" w:rsidP="00F90874">
      <w:pPr>
        <w:pStyle w:val="ListBullet"/>
      </w:pPr>
      <w:r>
        <w:t>Bictegravir</w:t>
      </w:r>
      <w:r w:rsidRPr="00CB326B">
        <w:t xml:space="preserve">, in the absence of maternotoxicity, </w:t>
      </w:r>
      <w:r>
        <w:t xml:space="preserve">did not </w:t>
      </w:r>
      <w:r w:rsidRPr="00CB326B">
        <w:t>affect fertility, embryofetal development or reproduction/survival</w:t>
      </w:r>
      <w:r>
        <w:t xml:space="preserve"> in rats and/or rabbits</w:t>
      </w:r>
      <w:r w:rsidRPr="00CB326B">
        <w:t xml:space="preserve">. </w:t>
      </w:r>
      <w:r>
        <w:t>M</w:t>
      </w:r>
      <w:r w:rsidRPr="00CB326B">
        <w:t xml:space="preserve">aternotoxic dosing of rabbits resulted in abortions and reduced fetal weight. Pregnancy category of B1 is appropriate for bictegravir. Pregnancy category B3 is appropriate </w:t>
      </w:r>
      <w:r w:rsidRPr="00CB326B">
        <w:rPr>
          <w:rFonts w:asciiTheme="minorHAnsi" w:eastAsiaTheme="minorHAnsi" w:hAnsiTheme="minorHAnsi"/>
        </w:rPr>
        <w:t>Biktarvy</w:t>
      </w:r>
      <w:r w:rsidRPr="00CB326B">
        <w:t xml:space="preserve"> and is consistent with other combination p</w:t>
      </w:r>
      <w:r>
        <w:t>roducts containing FTC and TAF.</w:t>
      </w:r>
    </w:p>
    <w:p w:rsidR="00F90874" w:rsidRDefault="00F90874" w:rsidP="00F90874">
      <w:pPr>
        <w:pStyle w:val="ListBullet"/>
      </w:pPr>
      <w:r w:rsidRPr="00CB326B">
        <w:t xml:space="preserve">Bictegravir had acceptable </w:t>
      </w:r>
      <w:r w:rsidR="009E0328">
        <w:t>gastrointestinal</w:t>
      </w:r>
      <w:r w:rsidR="009E0328" w:rsidRPr="00CB326B">
        <w:t xml:space="preserve"> </w:t>
      </w:r>
      <w:r w:rsidR="009E0328">
        <w:t>(</w:t>
      </w:r>
      <w:r w:rsidRPr="00CB326B">
        <w:t>GI</w:t>
      </w:r>
      <w:r w:rsidR="009E0328">
        <w:t>)</w:t>
      </w:r>
      <w:r w:rsidRPr="00CB326B">
        <w:t xml:space="preserve"> local tolerance, is not a contact sensitiser, and is not phototoxic </w:t>
      </w:r>
      <w:r w:rsidRPr="00B81B43">
        <w:rPr>
          <w:i/>
        </w:rPr>
        <w:t>in vivo</w:t>
      </w:r>
      <w:r w:rsidRPr="002F3E76">
        <w:t>.</w:t>
      </w:r>
    </w:p>
    <w:p w:rsidR="00F90874" w:rsidRPr="00CB326B" w:rsidRDefault="00F90874" w:rsidP="00F90874">
      <w:pPr>
        <w:pStyle w:val="ListBullet"/>
      </w:pPr>
      <w:r>
        <w:t>All specified impurities are toxicologically qualified.</w:t>
      </w:r>
    </w:p>
    <w:p w:rsidR="00F90874" w:rsidRPr="00F90874" w:rsidRDefault="00F90874" w:rsidP="00F90874">
      <w:pPr>
        <w:pStyle w:val="Heading4"/>
      </w:pPr>
      <w:r>
        <w:t>Conclusions and recommendation</w:t>
      </w:r>
    </w:p>
    <w:p w:rsidR="00AD4A16" w:rsidRDefault="00AD4A16" w:rsidP="00F90874">
      <w:pPr>
        <w:pStyle w:val="ListBullet"/>
      </w:pPr>
      <w:r>
        <w:t>Microbiology studies demonstrated activity of bictegravir and the combination of bictegravir, emtricitabine and tenofovir alafenamide against HIV-1 and HIV-2.</w:t>
      </w:r>
    </w:p>
    <w:p w:rsidR="00AD4A16" w:rsidRDefault="00AD4A16" w:rsidP="00F90874">
      <w:pPr>
        <w:pStyle w:val="ListBullet"/>
      </w:pPr>
      <w:r>
        <w:t xml:space="preserve">The only toxicity finding in repeat dose toxicity studies was hepatotoxicity in monkeys at high exposures (16 </w:t>
      </w:r>
      <w:r w:rsidR="009E605F">
        <w:t>times</w:t>
      </w:r>
      <w:r>
        <w:t xml:space="preserve"> the clinical exposure).</w:t>
      </w:r>
    </w:p>
    <w:p w:rsidR="00AD4A16" w:rsidRDefault="00AD4A16" w:rsidP="00F90874">
      <w:pPr>
        <w:pStyle w:val="ListBullet"/>
      </w:pPr>
      <w:r>
        <w:t>Reproductive toxicity studies revealed no effects on fertility or embryofetal and postnatal development.</w:t>
      </w:r>
    </w:p>
    <w:p w:rsidR="00AD4A16" w:rsidRPr="00AD4A16" w:rsidRDefault="00AD4A16" w:rsidP="00F90874">
      <w:pPr>
        <w:pStyle w:val="ListBullet"/>
      </w:pPr>
      <w:r>
        <w:t xml:space="preserve">There are no nonclinical objections to the approval of </w:t>
      </w:r>
      <w:r w:rsidR="001B5D97">
        <w:t>Biktarvy</w:t>
      </w:r>
      <w:r>
        <w:t>.</w:t>
      </w:r>
    </w:p>
    <w:p w:rsidR="008E7846" w:rsidRPr="00254787" w:rsidRDefault="008E7846" w:rsidP="008E7846">
      <w:pPr>
        <w:pStyle w:val="Heading2"/>
      </w:pPr>
      <w:bookmarkStart w:id="65" w:name="_Toc196046462"/>
      <w:bookmarkStart w:id="66" w:name="_Toc247691516"/>
      <w:bookmarkStart w:id="67" w:name="_Toc314842500"/>
      <w:bookmarkStart w:id="68" w:name="_Toc20133976"/>
      <w:bookmarkStart w:id="69" w:name="_Toc163441353"/>
      <w:bookmarkStart w:id="70" w:name="_Toc163441348"/>
      <w:r>
        <w:t xml:space="preserve">V. </w:t>
      </w:r>
      <w:r w:rsidRPr="00254787">
        <w:t>Clinical</w:t>
      </w:r>
      <w:bookmarkEnd w:id="65"/>
      <w:r>
        <w:t xml:space="preserve"> </w:t>
      </w:r>
      <w:r w:rsidR="003A7F6C">
        <w:t>f</w:t>
      </w:r>
      <w:r>
        <w:t>indings</w:t>
      </w:r>
      <w:bookmarkEnd w:id="66"/>
      <w:bookmarkEnd w:id="67"/>
      <w:bookmarkEnd w:id="68"/>
    </w:p>
    <w:p w:rsidR="00C80137" w:rsidRDefault="00C80137" w:rsidP="00D425BB">
      <w:bookmarkStart w:id="71" w:name="_Toc196046463"/>
      <w:r>
        <w:t xml:space="preserve">A summary of the </w:t>
      </w:r>
      <w:r w:rsidRPr="00FD70B8">
        <w:t>clinical findings is presented in this section.</w:t>
      </w:r>
    </w:p>
    <w:p w:rsidR="008E7846" w:rsidRDefault="008E7846" w:rsidP="008E7846">
      <w:pPr>
        <w:pStyle w:val="Heading3"/>
      </w:pPr>
      <w:bookmarkStart w:id="72" w:name="_Toc247691517"/>
      <w:bookmarkStart w:id="73" w:name="_Toc314842501"/>
      <w:bookmarkStart w:id="74" w:name="_Toc20133977"/>
      <w:r w:rsidRPr="00254787">
        <w:t>Introduction</w:t>
      </w:r>
      <w:bookmarkEnd w:id="71"/>
      <w:bookmarkEnd w:id="72"/>
      <w:bookmarkEnd w:id="73"/>
      <w:bookmarkEnd w:id="74"/>
    </w:p>
    <w:p w:rsidR="008243E0" w:rsidRPr="008243E0" w:rsidRDefault="008243E0" w:rsidP="008243E0">
      <w:pPr>
        <w:pStyle w:val="Heading4"/>
      </w:pPr>
      <w:r>
        <w:t>Background</w:t>
      </w:r>
    </w:p>
    <w:p w:rsidR="008243E0" w:rsidRDefault="008243E0" w:rsidP="008243E0">
      <w:bookmarkStart w:id="75" w:name="_Toc196046464"/>
      <w:bookmarkStart w:id="76" w:name="_Toc247691518"/>
      <w:bookmarkStart w:id="77" w:name="_Toc314842502"/>
      <w:r>
        <w:t>HIV-1 infection is a global public health challenge with over 37 million patients infected worldwide, wi</w:t>
      </w:r>
      <w:r w:rsidR="004E4AAB">
        <w:t>th the highest incidence in non-developed</w:t>
      </w:r>
      <w:r>
        <w:t xml:space="preserve"> countries in Africa and Asia. In Australia, an estimated 25,313 people were living with HIV in 2015, and about 10% were unaware of their infection.</w:t>
      </w:r>
      <w:r>
        <w:rPr>
          <w:rStyle w:val="FootnoteReference"/>
        </w:rPr>
        <w:footnoteReference w:id="21"/>
      </w:r>
      <w:r>
        <w:t xml:space="preserve"> Infection rates are relatively stable with approximately 1,000 new HIV diagnoses each year. Most infections in Australia occur among men who have sex with men (68%), and following heterosexual intercourse (20%). HIV prevalence in homosexual and bisexual men is 7.2%, but it is significantly lower in IV drug users (1.7%), and female sex workers (0.1%).</w:t>
      </w:r>
      <w:r w:rsidRPr="00EE6EE5">
        <w:rPr>
          <w:vertAlign w:val="superscript"/>
        </w:rPr>
        <w:fldChar w:fldCharType="begin"/>
      </w:r>
      <w:r w:rsidRPr="00EE6EE5">
        <w:rPr>
          <w:vertAlign w:val="superscript"/>
        </w:rPr>
        <w:instrText xml:space="preserve"> NOTEREF _Ref3970943 \h  \* MERGEFORMAT </w:instrText>
      </w:r>
      <w:r w:rsidRPr="00EE6EE5">
        <w:rPr>
          <w:vertAlign w:val="superscript"/>
        </w:rPr>
      </w:r>
      <w:r w:rsidRPr="00EE6EE5">
        <w:rPr>
          <w:vertAlign w:val="superscript"/>
        </w:rPr>
        <w:fldChar w:fldCharType="end"/>
      </w:r>
      <w:r>
        <w:t xml:space="preserve"> In 2015, approximately 84% of people were receiving antiretroviral therapy (ART), of whom 92% were estimated to have an undetectable viral load. AIDS deaths and AIDS related disease are now uncommon in people receiving treatment.</w:t>
      </w:r>
    </w:p>
    <w:p w:rsidR="008243E0" w:rsidRDefault="008243E0" w:rsidP="008243E0">
      <w:pPr>
        <w:pStyle w:val="Heading4"/>
      </w:pPr>
      <w:r>
        <w:lastRenderedPageBreak/>
        <w:t>Current treatment options</w:t>
      </w:r>
    </w:p>
    <w:p w:rsidR="008243E0" w:rsidRDefault="008243E0" w:rsidP="008243E0">
      <w:pPr>
        <w:rPr>
          <w:vertAlign w:val="superscript"/>
        </w:rPr>
      </w:pPr>
      <w:r>
        <w:t>Drug treatment is directed at adults and children with known infections to suppress viral replication; to allow CD4 counts to increase; and to prevent disease progression. Prophylaxis is also used in high risk groups, in particular for the prevention of mother to child transmission. With rare exceptions, the current treatment recommendation is that all patients with detectable HIV-1 viraemia should begin ART as soon as possible after diagnosis, irrespective of CD4 count, to prevent disease progression and limit transmission.</w:t>
      </w:r>
      <w:bookmarkStart w:id="78" w:name="_Ref14084798"/>
      <w:r>
        <w:rPr>
          <w:rStyle w:val="FootnoteReference"/>
        </w:rPr>
        <w:footnoteReference w:id="22"/>
      </w:r>
      <w:bookmarkEnd w:id="78"/>
      <w:r>
        <w:t xml:space="preserve"> </w:t>
      </w:r>
      <w:r w:rsidR="0097318E">
        <w:t>T</w:t>
      </w:r>
      <w:r>
        <w:t>hree large, randomised clinical trials have demonstrated a significant benefit for immediate treatment compared with deferred treatment.</w:t>
      </w:r>
      <w:r>
        <w:rPr>
          <w:rStyle w:val="FootnoteReference"/>
        </w:rPr>
        <w:footnoteReference w:id="23"/>
      </w:r>
      <w:r w:rsidRPr="004033BB">
        <w:rPr>
          <w:vertAlign w:val="superscript"/>
        </w:rPr>
        <w:t>,</w:t>
      </w:r>
      <w:r>
        <w:rPr>
          <w:rStyle w:val="FootnoteReference"/>
        </w:rPr>
        <w:footnoteReference w:id="24"/>
      </w:r>
      <w:r w:rsidRPr="00051A3E">
        <w:rPr>
          <w:vertAlign w:val="superscript"/>
        </w:rPr>
        <w:t>,</w:t>
      </w:r>
      <w:r>
        <w:rPr>
          <w:rStyle w:val="FootnoteReference"/>
        </w:rPr>
        <w:footnoteReference w:id="25"/>
      </w:r>
    </w:p>
    <w:p w:rsidR="008243E0" w:rsidRDefault="008243E0" w:rsidP="008243E0">
      <w:pPr>
        <w:pStyle w:val="TableTitle"/>
        <w:rPr>
          <w:vertAlign w:val="superscript"/>
        </w:rPr>
      </w:pPr>
      <w:r>
        <w:t xml:space="preserve">Table </w:t>
      </w:r>
      <w:r w:rsidR="002D05A8">
        <w:t>5</w:t>
      </w:r>
      <w:r>
        <w:t xml:space="preserve">: </w:t>
      </w:r>
      <w:r w:rsidRPr="00C53A94">
        <w:t>Clinical trials comparing immediate versus deferred ART (from Gunthard, 2016)</w:t>
      </w:r>
      <w:r w:rsidR="00CE18E4" w:rsidRPr="00833633" w:rsidDel="00CE18E4">
        <w:rPr>
          <w:vertAlign w:val="superscript"/>
        </w:rPr>
        <w:t xml:space="preserve"> </w:t>
      </w:r>
      <w:r w:rsidR="00CE18E4">
        <w:rPr>
          <w:vertAlign w:val="superscript"/>
        </w:rPr>
        <w:fldChar w:fldCharType="begin"/>
      </w:r>
      <w:r w:rsidR="00CE18E4">
        <w:rPr>
          <w:vertAlign w:val="superscript"/>
        </w:rPr>
        <w:instrText xml:space="preserve"> NOTEREF _Ref14084798 \h </w:instrText>
      </w:r>
      <w:r w:rsidR="00CE18E4">
        <w:rPr>
          <w:vertAlign w:val="superscript"/>
        </w:rPr>
      </w:r>
      <w:r w:rsidR="00CE18E4">
        <w:rPr>
          <w:vertAlign w:val="superscript"/>
        </w:rPr>
        <w:fldChar w:fldCharType="separate"/>
      </w:r>
      <w:r w:rsidR="00CE18E4">
        <w:rPr>
          <w:vertAlign w:val="superscript"/>
        </w:rPr>
        <w:t>22</w:t>
      </w:r>
      <w:r w:rsidR="00CE18E4">
        <w:rPr>
          <w:vertAlign w:val="superscript"/>
        </w:rPr>
        <w:fldChar w:fldCharType="end"/>
      </w:r>
    </w:p>
    <w:p w:rsidR="008243E0" w:rsidRDefault="008243E0" w:rsidP="00CE18E4">
      <w:r w:rsidRPr="00C05CE7">
        <w:rPr>
          <w:noProof/>
          <w:lang w:eastAsia="en-AU"/>
        </w:rPr>
        <w:drawing>
          <wp:inline distT="0" distB="0" distL="0" distR="0" wp14:anchorId="55A954AC" wp14:editId="5C223B06">
            <wp:extent cx="5400040" cy="3674745"/>
            <wp:effectExtent l="0" t="0" r="0" b="1905"/>
            <wp:docPr id="8" name="Picture 8" descr="Clinical trials comparing immediate versus deferred ART (from Gunthar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674745"/>
                    </a:xfrm>
                    <a:prstGeom prst="rect">
                      <a:avLst/>
                    </a:prstGeom>
                    <a:noFill/>
                    <a:ln>
                      <a:noFill/>
                    </a:ln>
                  </pic:spPr>
                </pic:pic>
              </a:graphicData>
            </a:graphic>
          </wp:inline>
        </w:drawing>
      </w:r>
    </w:p>
    <w:p w:rsidR="00D273C7" w:rsidRDefault="00D273C7" w:rsidP="00D273C7">
      <w:r>
        <w:t xml:space="preserve">The recommended initial regimen for most patients is dual NRTIs plus an INSTI. Other regimens include dual NRTIs with a NNRTI or a boosted </w:t>
      </w:r>
      <w:r w:rsidR="00B81B43">
        <w:t>protease inhibitor</w:t>
      </w:r>
      <w:r>
        <w:rPr>
          <w:rStyle w:val="FootnoteReference"/>
        </w:rPr>
        <w:footnoteReference w:id="26"/>
      </w:r>
      <w:r>
        <w:t xml:space="preserve"> Simpler regimens are recommended in special circumstances such as pregnancy or PrEP in high risk populations. Many ART options are available and selection depends on factors including ease of administration, adverse events, drug interactions, and resistance. A summary of recommended regimens is shown in</w:t>
      </w:r>
      <w:r w:rsidR="002D05A8">
        <w:t xml:space="preserve"> Table 6</w:t>
      </w:r>
      <w:r>
        <w:t>. Optimal INSTI-based regimens for initial ART include dolutegravir/abacavir/lamivudine; dolutegravir + FTC/TAF; elvitegravir/cobicistat/TAF/FTC and raltegravir + TAF/FTC.</w:t>
      </w:r>
    </w:p>
    <w:p w:rsidR="00D273C7" w:rsidRDefault="00D273C7" w:rsidP="00D273C7">
      <w:pPr>
        <w:pStyle w:val="TableTitle"/>
        <w:rPr>
          <w:vertAlign w:val="superscript"/>
        </w:rPr>
      </w:pPr>
      <w:r>
        <w:lastRenderedPageBreak/>
        <w:t>Table</w:t>
      </w:r>
      <w:r w:rsidR="002D05A8">
        <w:t xml:space="preserve"> 6</w:t>
      </w:r>
      <w:r>
        <w:t>: Recommendations for initial ART regimens (from Günthard, 2016)</w:t>
      </w:r>
      <w:r w:rsidR="00CE18E4" w:rsidRPr="00C35B6B">
        <w:rPr>
          <w:vertAlign w:val="superscript"/>
        </w:rPr>
        <w:fldChar w:fldCharType="begin"/>
      </w:r>
      <w:r w:rsidR="00CE18E4" w:rsidRPr="00C35B6B">
        <w:rPr>
          <w:vertAlign w:val="superscript"/>
        </w:rPr>
        <w:instrText xml:space="preserve"> NOTEREF _Ref14084798 \h </w:instrText>
      </w:r>
      <w:r w:rsidR="00CE18E4">
        <w:rPr>
          <w:vertAlign w:val="superscript"/>
        </w:rPr>
        <w:instrText xml:space="preserve"> \* MERGEFORMAT </w:instrText>
      </w:r>
      <w:r w:rsidR="00CE18E4" w:rsidRPr="00C35B6B">
        <w:rPr>
          <w:vertAlign w:val="superscript"/>
        </w:rPr>
      </w:r>
      <w:r w:rsidR="00CE18E4" w:rsidRPr="00C35B6B">
        <w:rPr>
          <w:vertAlign w:val="superscript"/>
        </w:rPr>
        <w:fldChar w:fldCharType="separate"/>
      </w:r>
      <w:r w:rsidR="00CE18E4" w:rsidRPr="00C35B6B">
        <w:rPr>
          <w:vertAlign w:val="superscript"/>
        </w:rPr>
        <w:t>22</w:t>
      </w:r>
      <w:r w:rsidR="00CE18E4" w:rsidRPr="00C35B6B">
        <w:rPr>
          <w:vertAlign w:val="superscript"/>
        </w:rPr>
        <w:fldChar w:fldCharType="end"/>
      </w:r>
      <w:r w:rsidR="00CE18E4" w:rsidDel="00CE18E4">
        <w:rPr>
          <w:vertAlign w:val="superscript"/>
        </w:rPr>
        <w:t xml:space="preserve"> </w:t>
      </w:r>
    </w:p>
    <w:p w:rsidR="00D273C7" w:rsidRPr="008243E0" w:rsidRDefault="00D273C7" w:rsidP="00C35B6B">
      <w:r w:rsidRPr="0032378D">
        <w:rPr>
          <w:noProof/>
          <w:lang w:eastAsia="en-AU"/>
        </w:rPr>
        <w:drawing>
          <wp:inline distT="0" distB="0" distL="0" distR="0" wp14:anchorId="5A9A919B" wp14:editId="76D0DD51">
            <wp:extent cx="5400040" cy="4258945"/>
            <wp:effectExtent l="0" t="0" r="0" b="8255"/>
            <wp:docPr id="47" name="Picture 47" descr="Recommendations for initial ART regimens (from Günthard, 20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5400040" cy="4258945"/>
                    </a:xfrm>
                    <a:prstGeom prst="rect">
                      <a:avLst/>
                    </a:prstGeom>
                  </pic:spPr>
                </pic:pic>
              </a:graphicData>
            </a:graphic>
          </wp:inline>
        </w:drawing>
      </w:r>
    </w:p>
    <w:p w:rsidR="00605AD4" w:rsidRDefault="00605AD4" w:rsidP="00605AD4">
      <w:pPr>
        <w:pStyle w:val="Heading4"/>
      </w:pPr>
      <w:r w:rsidRPr="00605AD4">
        <w:t xml:space="preserve">Clinical </w:t>
      </w:r>
      <w:r w:rsidR="00EF59DC">
        <w:t>r</w:t>
      </w:r>
      <w:r w:rsidRPr="00605AD4">
        <w:t>ationale</w:t>
      </w:r>
    </w:p>
    <w:p w:rsidR="00500337" w:rsidRPr="00500337" w:rsidRDefault="000F37F1" w:rsidP="00500337">
      <w:pPr>
        <w:rPr>
          <w:lang w:eastAsia="ja-JP"/>
        </w:rPr>
      </w:pPr>
      <w:r>
        <w:rPr>
          <w:lang w:eastAsia="ja-JP"/>
        </w:rPr>
        <w:t xml:space="preserve">Because AIDS </w:t>
      </w:r>
      <w:r w:rsidR="001047A5" w:rsidRPr="00A41D8E">
        <w:rPr>
          <w:lang w:eastAsia="ja-JP"/>
        </w:rPr>
        <w:t>related mortality and morbidity are now uncommon, optimal ART therapy is now dire</w:t>
      </w:r>
      <w:r>
        <w:rPr>
          <w:lang w:eastAsia="ja-JP"/>
        </w:rPr>
        <w:t xml:space="preserve">cted towards tolerability, long </w:t>
      </w:r>
      <w:r w:rsidR="001047A5" w:rsidRPr="00A41D8E">
        <w:rPr>
          <w:lang w:eastAsia="ja-JP"/>
        </w:rPr>
        <w:t xml:space="preserve">term safety, </w:t>
      </w:r>
      <w:r w:rsidR="004E4AAB" w:rsidRPr="00A41D8E">
        <w:rPr>
          <w:lang w:eastAsia="ja-JP"/>
        </w:rPr>
        <w:t>and simple</w:t>
      </w:r>
      <w:r w:rsidR="001047A5" w:rsidRPr="00A41D8E">
        <w:rPr>
          <w:lang w:eastAsia="ja-JP"/>
        </w:rPr>
        <w:t xml:space="preserve"> treatment regimens to enhance compliance</w:t>
      </w:r>
      <w:r>
        <w:rPr>
          <w:lang w:eastAsia="ja-JP"/>
        </w:rPr>
        <w:t xml:space="preserve">, drug resistance, and non-AIDS </w:t>
      </w:r>
      <w:r w:rsidR="001047A5" w:rsidRPr="00A41D8E">
        <w:rPr>
          <w:lang w:eastAsia="ja-JP"/>
        </w:rPr>
        <w:t xml:space="preserve">related co-morbidities. </w:t>
      </w:r>
      <w:r w:rsidR="001B5D97">
        <w:t>Biktarvy</w:t>
      </w:r>
      <w:r w:rsidR="001047A5" w:rsidRPr="00A41D8E">
        <w:t xml:space="preserve"> has been developed to comply with accepted treatment guidelines, with the expectation of high rates of virologic supp</w:t>
      </w:r>
      <w:r w:rsidR="004E4AAB">
        <w:t xml:space="preserve">ression, low rates of treatment </w:t>
      </w:r>
      <w:r w:rsidR="001047A5" w:rsidRPr="00A41D8E">
        <w:t>emergent resistance, and good tolerability. One FDC tablet taken once daily offers optimal treatment compliance</w:t>
      </w:r>
      <w:r w:rsidR="001047A5">
        <w:t>.</w:t>
      </w:r>
    </w:p>
    <w:p w:rsidR="001047A5" w:rsidRDefault="001047A5" w:rsidP="001047A5">
      <w:pPr>
        <w:pStyle w:val="Heading4"/>
      </w:pPr>
      <w:r>
        <w:t>Formulation</w:t>
      </w:r>
    </w:p>
    <w:p w:rsidR="001047A5" w:rsidRDefault="001047A5" w:rsidP="001047A5">
      <w:pPr>
        <w:pStyle w:val="Heading5"/>
      </w:pPr>
      <w:r>
        <w:t>Formulation development</w:t>
      </w:r>
    </w:p>
    <w:p w:rsidR="001047A5" w:rsidRDefault="001047A5" w:rsidP="001047A5">
      <w:r>
        <w:t>According to the Biopharmaceutics Classification System (BCS), BIC is a low solubility, high permeability (BCS class 2) compound. FTC is a high sol</w:t>
      </w:r>
      <w:r w:rsidR="004E4AAB">
        <w:t>ubility, high permeability (BCS </w:t>
      </w:r>
      <w:r>
        <w:t>1) compound. TAF is a high solubility, low permeability (BCS 3) compound.</w:t>
      </w:r>
    </w:p>
    <w:p w:rsidR="001047A5" w:rsidRDefault="001047A5" w:rsidP="001047A5">
      <w:r>
        <w:t xml:space="preserve">The proposed commercial drug product is an </w:t>
      </w:r>
      <w:r w:rsidR="0018158C">
        <w:t>immediate release (</w:t>
      </w:r>
      <w:r>
        <w:t>IR</w:t>
      </w:r>
      <w:r w:rsidR="0018158C">
        <w:t>)</w:t>
      </w:r>
      <w:r>
        <w:t>, FDC tablet, which contains 50 mg BIC, 200 mg FTC and 25 mg TAF (B/F/TAF). BIC is incorporated into the drug product as BIC sodium, and TAF is incorporated into the drug product as the hemifumarate form (referred to as TAF fumarate). The B/F/TAF tablet is a bilayer tablet with one layer containing BIC and the other layer containing FTC and TAF. BIC sodium is dry granulated with intra-granular excipients to produce BIC granules, which are subsequently blended with extra-granular excipients to produce the BIC final powder blend. FTC and TAF fumarate are co-dry granulated with intra-granular excipients and lubricated with extra-granular magnesium stearate to produce the FTC/TAF final powder blend.</w:t>
      </w:r>
    </w:p>
    <w:p w:rsidR="001047A5" w:rsidRDefault="000F37F1" w:rsidP="001047A5">
      <w:r>
        <w:lastRenderedPageBreak/>
        <w:t xml:space="preserve">BIC single </w:t>
      </w:r>
      <w:r w:rsidR="001047A5">
        <w:t xml:space="preserve">agent tablet strengths of 5 mg, 25 mg, and 100 mg were initially developed and manufactured to support Phase </w:t>
      </w:r>
      <w:r w:rsidR="009D7B64">
        <w:t>I</w:t>
      </w:r>
      <w:r w:rsidR="001047A5">
        <w:t xml:space="preserve"> studies. Based on the results of these studies, a BIC dose of 75 mg was chosen for Phase </w:t>
      </w:r>
      <w:r w:rsidR="009D7B64">
        <w:t>II</w:t>
      </w:r>
      <w:r w:rsidR="001047A5">
        <w:t xml:space="preserve"> studies.</w:t>
      </w:r>
    </w:p>
    <w:p w:rsidR="001047A5" w:rsidRDefault="000F37F1" w:rsidP="001047A5">
      <w:r>
        <w:t xml:space="preserve">The BIC single </w:t>
      </w:r>
      <w:r w:rsidR="001047A5">
        <w:t>agent tablet formulation was subsequently modified to incorporate FTC and TAF fumarate. The resulting BIC/FTC/TAF 75/200/25 mg FDC tablets containing 75 mg of BIC we</w:t>
      </w:r>
      <w:r>
        <w:t xml:space="preserve">re compared to BIC 75 mg single </w:t>
      </w:r>
      <w:r w:rsidR="001047A5">
        <w:t xml:space="preserve">agent co-administered with FTC/TAF 200/25 mg tablets in a relative bioavailability </w:t>
      </w:r>
      <w:r w:rsidR="00116653">
        <w:t xml:space="preserve">Study </w:t>
      </w:r>
      <w:r w:rsidR="00EE3C87">
        <w:t>GS-US-141-1233</w:t>
      </w:r>
      <w:r w:rsidR="001047A5">
        <w:t>. Based on higher than expected BIC exposures when administered as the BIC/FTC/TAF 75/200/25 mg FDC, the dose of BIC was reduced f</w:t>
      </w:r>
      <w:r w:rsidR="00C76548">
        <w:t>rom 75 mg to 50 mg and a new B/F</w:t>
      </w:r>
      <w:r w:rsidR="001047A5">
        <w:t>/TAF 50/200/25 mg FD</w:t>
      </w:r>
      <w:r w:rsidR="00C76548">
        <w:t>C tablet was developed. When B/F</w:t>
      </w:r>
      <w:r w:rsidR="001047A5">
        <w:t>/TAF tablets containing 50 mg of BIC were then administered in Study GS-US-141-1233, similar exposures of BIC, FTC and TAF were observed, as compared with subjects that received c</w:t>
      </w:r>
      <w:r>
        <w:t xml:space="preserve">o-administered BIC 75 mg single </w:t>
      </w:r>
      <w:r w:rsidR="001047A5">
        <w:t>agent and FTC/TAF 200</w:t>
      </w:r>
      <w:r w:rsidR="00C76548">
        <w:t>/25 mg tablets. As such, the B/F</w:t>
      </w:r>
      <w:r w:rsidR="001047A5">
        <w:t>/TAF 50/200/25 mg table</w:t>
      </w:r>
      <w:r w:rsidR="009D7B64">
        <w:t>ts were used to initiate Phase III</w:t>
      </w:r>
      <w:r w:rsidR="001047A5">
        <w:t xml:space="preserve"> studies.</w:t>
      </w:r>
    </w:p>
    <w:p w:rsidR="001047A5" w:rsidRDefault="00C76548" w:rsidP="001047A5">
      <w:r>
        <w:t>The B/F</w:t>
      </w:r>
      <w:r w:rsidR="001047A5">
        <w:t xml:space="preserve">/TAF 50/200/25 mg tablet formulation </w:t>
      </w:r>
      <w:r w:rsidR="009D7B64">
        <w:t>was then modified during Phase III</w:t>
      </w:r>
      <w:r w:rsidR="001047A5">
        <w:t xml:space="preserve"> studies to improve tablet properties and compression process performance by reducing the magnesium stearate content in the FTC/TAF layer from 1.5% to 1.0% w/w. This formulation was then used in all ensuing clinical, and stability studies, and is identical to the designated commercial tablet formulation.</w:t>
      </w:r>
    </w:p>
    <w:p w:rsidR="001047A5" w:rsidRDefault="001047A5" w:rsidP="001047A5">
      <w:r>
        <w:t>A tabular overview of th</w:t>
      </w:r>
      <w:r w:rsidR="000F37F1">
        <w:t xml:space="preserve">e development of the BIC single </w:t>
      </w:r>
      <w:r w:rsidR="00C76548">
        <w:t>agent and the B/F</w:t>
      </w:r>
      <w:r>
        <w:t>/TAF FDC tablets is</w:t>
      </w:r>
      <w:r w:rsidR="00EE3C87">
        <w:t xml:space="preserve"> summarised in</w:t>
      </w:r>
      <w:r w:rsidR="002D05A8">
        <w:t xml:space="preserve"> Table 7</w:t>
      </w:r>
      <w:r>
        <w:t>.</w:t>
      </w:r>
    </w:p>
    <w:p w:rsidR="00EE3C87" w:rsidRDefault="00EE3C87" w:rsidP="00EE3C87">
      <w:pPr>
        <w:pStyle w:val="TableTitle"/>
      </w:pPr>
      <w:bookmarkStart w:id="79" w:name="_Ref5882625"/>
      <w:r>
        <w:t>Table</w:t>
      </w:r>
      <w:bookmarkEnd w:id="79"/>
      <w:r w:rsidR="002D05A8">
        <w:t xml:space="preserve"> 7</w:t>
      </w:r>
      <w:r>
        <w:t>: Formulation s</w:t>
      </w:r>
      <w:r w:rsidRPr="00A41D8E">
        <w:t xml:space="preserve">ummary for </w:t>
      </w:r>
      <w:r>
        <w:t>k</w:t>
      </w:r>
      <w:r w:rsidRPr="00A41D8E">
        <w:t xml:space="preserve">ey </w:t>
      </w:r>
      <w:r>
        <w:t>s</w:t>
      </w:r>
      <w:r w:rsidRPr="00A41D8E">
        <w:t xml:space="preserve">tudies with BIC </w:t>
      </w:r>
      <w:r>
        <w:t>s</w:t>
      </w:r>
      <w:r w:rsidRPr="00A41D8E">
        <w:t>ingle-</w:t>
      </w:r>
      <w:r>
        <w:t>a</w:t>
      </w:r>
      <w:r w:rsidRPr="00A41D8E">
        <w:t xml:space="preserve">gent </w:t>
      </w:r>
      <w:r>
        <w:t>t</w:t>
      </w:r>
      <w:r w:rsidRPr="00A41D8E">
        <w:t xml:space="preserve">ablets and BIC/FTC/TAF FDC </w:t>
      </w:r>
      <w:r>
        <w:t>t</w:t>
      </w:r>
      <w:r w:rsidRPr="00A41D8E">
        <w:t xml:space="preserve">ablets </w:t>
      </w:r>
      <w:r>
        <w:t>u</w:t>
      </w:r>
      <w:r w:rsidRPr="00A41D8E">
        <w:t xml:space="preserve">sed in </w:t>
      </w:r>
      <w:r>
        <w:t>c</w:t>
      </w:r>
      <w:r w:rsidRPr="00A41D8E">
        <w:t xml:space="preserve">linical </w:t>
      </w:r>
      <w:r>
        <w:t>s</w:t>
      </w:r>
      <w:r w:rsidRPr="00A41D8E">
        <w:t>tudies</w:t>
      </w:r>
    </w:p>
    <w:p w:rsidR="00EE3C87" w:rsidRDefault="00EE3C87" w:rsidP="001047A5">
      <w:r>
        <w:rPr>
          <w:noProof/>
          <w:lang w:eastAsia="en-AU"/>
        </w:rPr>
        <w:drawing>
          <wp:inline distT="0" distB="0" distL="0" distR="0" wp14:anchorId="0AF4B6AA" wp14:editId="69104443">
            <wp:extent cx="5400040" cy="4035030"/>
            <wp:effectExtent l="0" t="0" r="0" b="3810"/>
            <wp:docPr id="32" name="Picture 32" descr="Formulation summary for key studies with BIC single-agent tablets and BIC/FTC/TAF FDC tablets used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4035030"/>
                    </a:xfrm>
                    <a:prstGeom prst="rect">
                      <a:avLst/>
                    </a:prstGeom>
                  </pic:spPr>
                </pic:pic>
              </a:graphicData>
            </a:graphic>
          </wp:inline>
        </w:drawing>
      </w:r>
    </w:p>
    <w:p w:rsidR="001047A5" w:rsidRDefault="001047A5" w:rsidP="001047A5">
      <w:pPr>
        <w:pStyle w:val="Heading6"/>
      </w:pPr>
      <w:r>
        <w:t xml:space="preserve">Dissolution </w:t>
      </w:r>
      <w:r w:rsidR="00F15DC7">
        <w:t>p</w:t>
      </w:r>
      <w:r>
        <w:t>rofile</w:t>
      </w:r>
    </w:p>
    <w:p w:rsidR="001047A5" w:rsidRDefault="001047A5" w:rsidP="001047A5">
      <w:r>
        <w:t>The dissolution profile for the drug product Lot EN1503B,</w:t>
      </w:r>
      <w:r w:rsidR="000F37F1">
        <w:t xml:space="preserve"> which was used in the relative </w:t>
      </w:r>
      <w:r w:rsidR="00EE3C87">
        <w:t>bioavailability</w:t>
      </w:r>
      <w:r>
        <w:t xml:space="preserve"> Stud</w:t>
      </w:r>
      <w:r w:rsidR="00EE3C87">
        <w:t>y GS-US-141-1233</w:t>
      </w:r>
      <w:r>
        <w:t xml:space="preserve"> was compared to the dissolution profiles of drug </w:t>
      </w:r>
      <w:r>
        <w:lastRenderedPageBreak/>
        <w:t xml:space="preserve">product Lots EN1610B and EN1612B, which are representative of the designated commercial tablet manufacturing process at each of the two proposed commercial manufacturing sites. The results indicated that dissolution was comparable between all </w:t>
      </w:r>
      <w:r w:rsidR="00EE3C87">
        <w:t>three</w:t>
      </w:r>
      <w:r w:rsidR="006565A4">
        <w:t xml:space="preserve"> </w:t>
      </w:r>
      <w:r>
        <w:t xml:space="preserve">tablet lots, and not less than 90% of BIC, FTC and TAF were dissolved by 30 minutes, which is consistent with the dissolution profile expected for an </w:t>
      </w:r>
      <w:r w:rsidR="0097318E">
        <w:t>immediate release</w:t>
      </w:r>
      <w:r>
        <w:t xml:space="preserve"> formulation.</w:t>
      </w:r>
    </w:p>
    <w:p w:rsidR="001047A5" w:rsidRDefault="001047A5" w:rsidP="001047A5">
      <w:pPr>
        <w:pStyle w:val="Heading5"/>
      </w:pPr>
      <w:r>
        <w:t>Excipients</w:t>
      </w:r>
    </w:p>
    <w:p w:rsidR="001047A5" w:rsidRPr="001047A5" w:rsidRDefault="001047A5" w:rsidP="001047A5">
      <w:r>
        <w:t>Each tablet contains 50 mg of BIC, as free acid (equivalent to 52.5 mg of bictegravir sodium), 200 mg of FTC, and 25 mg of TAF, as free base (equivalent to 28 mg tenofovir alafenamide fumarate) and the following inactive ingredients: croscarmellose sodium, magnesium stearate, and microcrystalline cellulose. The tablets are film-coated with a coating material containing iron oxide black, iron oxide red, polyethylene glycol, polyvinyl alcohol, talc, and titanium dioxide.</w:t>
      </w:r>
    </w:p>
    <w:p w:rsidR="00500337" w:rsidRDefault="00605AD4" w:rsidP="001047A5">
      <w:pPr>
        <w:pStyle w:val="Heading4"/>
      </w:pPr>
      <w:r w:rsidRPr="00605AD4">
        <w:t>Guidance</w:t>
      </w:r>
    </w:p>
    <w:p w:rsidR="001047A5" w:rsidRPr="001047A5" w:rsidRDefault="001047A5" w:rsidP="001047A5">
      <w:r w:rsidRPr="001047A5">
        <w:t xml:space="preserve">The Phase </w:t>
      </w:r>
      <w:r w:rsidR="009D7B64">
        <w:t>III</w:t>
      </w:r>
      <w:r w:rsidRPr="001047A5">
        <w:t xml:space="preserve"> study designs and durations were based on the applicable US and EU regulatory guidance documents</w:t>
      </w:r>
      <w:r w:rsidRPr="004E4AAB">
        <w:t>.</w:t>
      </w:r>
      <w:r w:rsidR="00C76548" w:rsidRPr="004E4AAB">
        <w:rPr>
          <w:rStyle w:val="FootnoteReference"/>
        </w:rPr>
        <w:footnoteReference w:id="27"/>
      </w:r>
      <w:r w:rsidR="00C76548" w:rsidRPr="004E4AAB">
        <w:t>,</w:t>
      </w:r>
      <w:r w:rsidR="00C76548" w:rsidRPr="004E4AAB">
        <w:rPr>
          <w:rStyle w:val="FootnoteReference"/>
        </w:rPr>
        <w:footnoteReference w:id="28"/>
      </w:r>
      <w:r w:rsidRPr="004E4AAB">
        <w:t xml:space="preserve"> The clinical endpoints were based on guidance documents from the US Department of Health and Human Services Food and Drug Administration Center for Drug Evaluation and Research (CDER); and the Center for Biologics Evaluation and Research (CBER 2002).</w:t>
      </w:r>
      <w:r w:rsidR="00C76548" w:rsidRPr="004E4AAB">
        <w:rPr>
          <w:rStyle w:val="FootnoteReference"/>
        </w:rPr>
        <w:footnoteReference w:id="29"/>
      </w:r>
      <w:r w:rsidRPr="004E4AAB">
        <w:t xml:space="preserve"> Overall advice</w:t>
      </w:r>
      <w:r w:rsidRPr="001047A5">
        <w:t xml:space="preserve"> was sought from the US </w:t>
      </w:r>
      <w:r w:rsidR="009E0328">
        <w:t>Food and Drug Administration (</w:t>
      </w:r>
      <w:r w:rsidR="009D7B64">
        <w:t>FDA</w:t>
      </w:r>
      <w:r w:rsidR="009E0328">
        <w:t>)</w:t>
      </w:r>
      <w:r w:rsidR="009D7B64">
        <w:t>, including an end of Phase II</w:t>
      </w:r>
      <w:r w:rsidRPr="001047A5">
        <w:t xml:space="preserve"> meeting held in October </w:t>
      </w:r>
      <w:r w:rsidR="00C35B6B" w:rsidRPr="001047A5">
        <w:t>2</w:t>
      </w:r>
      <w:r w:rsidR="00C35B6B">
        <w:t>01</w:t>
      </w:r>
      <w:r w:rsidR="00C35B6B" w:rsidRPr="001047A5">
        <w:t>5</w:t>
      </w:r>
      <w:r w:rsidRPr="001047A5">
        <w:t>. Advice on non-clinical aspects was sought from the CHMP.</w:t>
      </w:r>
    </w:p>
    <w:p w:rsidR="00605AD4" w:rsidRDefault="00605AD4" w:rsidP="00605AD4">
      <w:pPr>
        <w:pStyle w:val="Heading4"/>
      </w:pPr>
      <w:r w:rsidRPr="00605AD4">
        <w:t>Contents of the clinical dossier</w:t>
      </w:r>
    </w:p>
    <w:p w:rsidR="00F90874" w:rsidRDefault="008F2A62" w:rsidP="008F2A62">
      <w:r>
        <w:t>The current submission contains</w:t>
      </w:r>
      <w:r w:rsidR="00F90874">
        <w:t>:</w:t>
      </w:r>
    </w:p>
    <w:p w:rsidR="00F90874" w:rsidRDefault="008F2A62" w:rsidP="00F90874">
      <w:pPr>
        <w:pStyle w:val="ListBullet"/>
      </w:pPr>
      <w:r>
        <w:t xml:space="preserve">15 </w:t>
      </w:r>
      <w:r w:rsidR="0097318E">
        <w:t>pharmacokinetic (</w:t>
      </w:r>
      <w:r>
        <w:t>PK</w:t>
      </w:r>
      <w:r w:rsidR="0097318E">
        <w:t>)</w:t>
      </w:r>
      <w:r>
        <w:t>/</w:t>
      </w:r>
      <w:r w:rsidR="0097318E">
        <w:rPr>
          <w:rFonts w:cstheme="minorHAnsi"/>
        </w:rPr>
        <w:t>p</w:t>
      </w:r>
      <w:r w:rsidR="00CD4AC6">
        <w:rPr>
          <w:rFonts w:cstheme="minorHAnsi"/>
        </w:rPr>
        <w:t>harmacodynamic (</w:t>
      </w:r>
      <w:r>
        <w:t>PD</w:t>
      </w:r>
      <w:r w:rsidR="00CD4AC6">
        <w:t>)</w:t>
      </w:r>
      <w:r>
        <w:t xml:space="preserve"> studies, all of which contain PK data, whereas, </w:t>
      </w:r>
      <w:r w:rsidR="00C76548">
        <w:t>five</w:t>
      </w:r>
      <w:r w:rsidR="00F47F01">
        <w:t xml:space="preserve"> studies contained PD data.</w:t>
      </w:r>
    </w:p>
    <w:p w:rsidR="008F2A62" w:rsidRDefault="008F2A62" w:rsidP="00F90874">
      <w:pPr>
        <w:pStyle w:val="ListBullet"/>
      </w:pPr>
      <w:r>
        <w:t>Two pop</w:t>
      </w:r>
      <w:r w:rsidR="00C76548">
        <w:t xml:space="preserve">ulation </w:t>
      </w:r>
      <w:r w:rsidR="0097318E">
        <w:t xml:space="preserve">PK </w:t>
      </w:r>
      <w:r w:rsidR="00C76548">
        <w:t>studies</w:t>
      </w:r>
      <w:r>
        <w:t xml:space="preserve"> were also included in the evaluation materials, which examined the pop</w:t>
      </w:r>
      <w:r w:rsidR="00C76548">
        <w:t xml:space="preserve">ulation </w:t>
      </w:r>
      <w:r>
        <w:t>PKs of BIC and TAF, respectively, in combined populations of healthy subjects and HIV infected patients. A final analysis was provided that represented a quantitative analysis and prediction of BIC drug-drug interactions (DDIs).</w:t>
      </w:r>
    </w:p>
    <w:p w:rsidR="00F90874" w:rsidRDefault="009D7B64" w:rsidP="00F90874">
      <w:pPr>
        <w:pStyle w:val="ListBullet"/>
      </w:pPr>
      <w:r>
        <w:t>One Phase II</w:t>
      </w:r>
      <w:r w:rsidR="00F90874">
        <w:t xml:space="preserve"> </w:t>
      </w:r>
      <w:r w:rsidR="00116653">
        <w:t>Study</w:t>
      </w:r>
      <w:r w:rsidR="00F90874">
        <w:t xml:space="preserve"> (GS-US-141-1475)</w:t>
      </w:r>
      <w:r w:rsidR="004E4AAB">
        <w:t>.</w:t>
      </w:r>
    </w:p>
    <w:p w:rsidR="00500337" w:rsidRPr="00500337" w:rsidRDefault="004E4AAB" w:rsidP="00F90874">
      <w:pPr>
        <w:pStyle w:val="ListBullet"/>
      </w:pPr>
      <w:r>
        <w:t>F</w:t>
      </w:r>
      <w:r w:rsidR="008F2A62">
        <w:t xml:space="preserve">our Phase </w:t>
      </w:r>
      <w:r w:rsidR="009D7B64">
        <w:t>III</w:t>
      </w:r>
      <w:r w:rsidR="008F2A62">
        <w:t xml:space="preserve"> studies (GS-US-380-1489; GS-US-</w:t>
      </w:r>
      <w:r w:rsidR="00F90874">
        <w:t>380-1490; GS-US-380-1844; GS</w:t>
      </w:r>
      <w:r w:rsidR="00F90874">
        <w:noBreakHyphen/>
        <w:t>US</w:t>
      </w:r>
      <w:r w:rsidR="00F90874">
        <w:noBreakHyphen/>
      </w:r>
      <w:r w:rsidR="008F2A62">
        <w:t>380-1878).</w:t>
      </w:r>
    </w:p>
    <w:p w:rsidR="00605AD4" w:rsidRDefault="00605AD4" w:rsidP="00605AD4">
      <w:pPr>
        <w:pStyle w:val="Heading4"/>
      </w:pPr>
      <w:r w:rsidRPr="00605AD4">
        <w:t>Paediatric data</w:t>
      </w:r>
    </w:p>
    <w:p w:rsidR="00500337" w:rsidRPr="00500337" w:rsidRDefault="008F2A62" w:rsidP="00500337">
      <w:r w:rsidRPr="008F2A62">
        <w:t>No data submitted.</w:t>
      </w:r>
    </w:p>
    <w:p w:rsidR="00605AD4" w:rsidRDefault="00605AD4" w:rsidP="00605AD4">
      <w:pPr>
        <w:pStyle w:val="Heading4"/>
      </w:pPr>
      <w:r w:rsidRPr="00605AD4">
        <w:lastRenderedPageBreak/>
        <w:t>Good clinical practice</w:t>
      </w:r>
    </w:p>
    <w:p w:rsidR="00500337" w:rsidRDefault="008F2A62" w:rsidP="00500337">
      <w:r w:rsidRPr="008F2A62">
        <w:t xml:space="preserve">All studies were conducted according to the principles of ICH </w:t>
      </w:r>
      <w:r w:rsidR="009E0328">
        <w:t>Good Clinical Practice</w:t>
      </w:r>
      <w:r w:rsidR="009E0328" w:rsidRPr="008F2A62">
        <w:t xml:space="preserve"> </w:t>
      </w:r>
      <w:r w:rsidR="009E0328">
        <w:t>(</w:t>
      </w:r>
      <w:r w:rsidRPr="008F2A62">
        <w:t>GCP</w:t>
      </w:r>
      <w:r w:rsidR="009E0328">
        <w:t>)</w:t>
      </w:r>
      <w:r w:rsidRPr="008F2A62">
        <w:t>.</w:t>
      </w:r>
    </w:p>
    <w:p w:rsidR="008F2A62" w:rsidRDefault="008F2A62" w:rsidP="008F2A62">
      <w:pPr>
        <w:pStyle w:val="Heading4"/>
      </w:pPr>
      <w:r w:rsidRPr="008F2A62">
        <w:t>Evaluator’s commentary on the clinical dossier</w:t>
      </w:r>
    </w:p>
    <w:p w:rsidR="008F2A62" w:rsidRPr="008F2A62" w:rsidRDefault="008F2A62" w:rsidP="008F2A62">
      <w:pPr>
        <w:rPr>
          <w:lang w:eastAsia="ja-JP"/>
        </w:rPr>
      </w:pPr>
      <w:r w:rsidRPr="00A41D8E">
        <w:rPr>
          <w:lang w:eastAsia="ja-JP"/>
        </w:rPr>
        <w:t>The contents of the clinical dossier are satisfactory.</w:t>
      </w:r>
    </w:p>
    <w:p w:rsidR="008E7846" w:rsidRDefault="008E7846" w:rsidP="00605AD4">
      <w:pPr>
        <w:pStyle w:val="Heading3"/>
      </w:pPr>
      <w:bookmarkStart w:id="80" w:name="_Toc20133978"/>
      <w:r w:rsidRPr="00254787">
        <w:t>Pharmacokinetics</w:t>
      </w:r>
      <w:bookmarkEnd w:id="69"/>
      <w:bookmarkEnd w:id="75"/>
      <w:bookmarkEnd w:id="76"/>
      <w:bookmarkEnd w:id="77"/>
      <w:bookmarkEnd w:id="80"/>
    </w:p>
    <w:p w:rsidR="00605AD4" w:rsidRDefault="00605AD4" w:rsidP="00605AD4">
      <w:pPr>
        <w:pStyle w:val="Heading4"/>
      </w:pPr>
      <w:r>
        <w:t>Studies</w:t>
      </w:r>
      <w:r w:rsidR="00500337">
        <w:t xml:space="preserve"> providing pharmacokinetic data</w:t>
      </w:r>
    </w:p>
    <w:p w:rsidR="009D0CD5" w:rsidRPr="009D0CD5" w:rsidRDefault="009D0CD5" w:rsidP="009D0CD5">
      <w:r w:rsidRPr="009D0CD5">
        <w:t>A list of the studies that provided pharmacokinetic information is given in</w:t>
      </w:r>
      <w:r>
        <w:t xml:space="preserve"> </w:t>
      </w:r>
      <w:r w:rsidR="002D05A8">
        <w:t xml:space="preserve">Table 8 </w:t>
      </w:r>
      <w:r w:rsidRPr="009D0CD5">
        <w:t>below.</w:t>
      </w:r>
    </w:p>
    <w:p w:rsidR="00500337" w:rsidRDefault="009D0CD5" w:rsidP="009D0CD5">
      <w:pPr>
        <w:pStyle w:val="TableTitle"/>
      </w:pPr>
      <w:bookmarkStart w:id="81" w:name="_Ref5711753"/>
      <w:r>
        <w:t xml:space="preserve">Table </w:t>
      </w:r>
      <w:bookmarkEnd w:id="81"/>
      <w:r w:rsidR="002D05A8">
        <w:t>8</w:t>
      </w:r>
      <w:r w:rsidR="008F2A62">
        <w:t>:</w:t>
      </w:r>
      <w:r>
        <w:t xml:space="preserve"> </w:t>
      </w:r>
      <w:r w:rsidR="008F2A62" w:rsidRPr="008F2A62">
        <w:t>Su</w:t>
      </w:r>
      <w:r w:rsidR="008F2A62">
        <w:t>bmitted pharmacokinetic studies</w:t>
      </w:r>
    </w:p>
    <w:tbl>
      <w:tblPr>
        <w:tblStyle w:val="TableTGAblue"/>
        <w:tblW w:w="5000" w:type="pct"/>
        <w:tblLook w:val="04A0" w:firstRow="1" w:lastRow="0" w:firstColumn="1" w:lastColumn="0" w:noHBand="0" w:noVBand="1"/>
      </w:tblPr>
      <w:tblGrid>
        <w:gridCol w:w="1475"/>
        <w:gridCol w:w="2264"/>
        <w:gridCol w:w="1962"/>
        <w:gridCol w:w="3019"/>
      </w:tblGrid>
      <w:tr w:rsidR="008F2A62" w:rsidRPr="00F90874" w:rsidTr="009D0CD5">
        <w:trPr>
          <w:cnfStyle w:val="100000000000" w:firstRow="1" w:lastRow="0" w:firstColumn="0" w:lastColumn="0" w:oddVBand="0" w:evenVBand="0" w:oddHBand="0" w:evenHBand="0" w:firstRowFirstColumn="0" w:firstRowLastColumn="0" w:lastRowFirstColumn="0" w:lastRowLastColumn="0"/>
        </w:trPr>
        <w:tc>
          <w:tcPr>
            <w:tcW w:w="845" w:type="pct"/>
            <w:vAlign w:val="center"/>
          </w:tcPr>
          <w:p w:rsidR="008F2A62" w:rsidRPr="00F90874" w:rsidRDefault="008F2A62" w:rsidP="00F90874">
            <w:pPr>
              <w:ind w:left="0" w:right="0"/>
              <w:rPr>
                <w:b w:val="0"/>
                <w:sz w:val="20"/>
                <w:szCs w:val="20"/>
              </w:rPr>
            </w:pPr>
            <w:r w:rsidRPr="00F90874">
              <w:rPr>
                <w:sz w:val="20"/>
                <w:szCs w:val="20"/>
              </w:rPr>
              <w:t>PK topic</w:t>
            </w:r>
          </w:p>
        </w:tc>
        <w:tc>
          <w:tcPr>
            <w:tcW w:w="1298" w:type="pct"/>
            <w:vAlign w:val="center"/>
          </w:tcPr>
          <w:p w:rsidR="008F2A62" w:rsidRPr="00F90874" w:rsidRDefault="008F2A62" w:rsidP="00F90874">
            <w:pPr>
              <w:ind w:left="0" w:right="0"/>
              <w:rPr>
                <w:b w:val="0"/>
                <w:sz w:val="20"/>
                <w:szCs w:val="20"/>
              </w:rPr>
            </w:pPr>
            <w:r w:rsidRPr="00F90874">
              <w:rPr>
                <w:sz w:val="20"/>
                <w:szCs w:val="20"/>
              </w:rPr>
              <w:t>Subtopic</w:t>
            </w:r>
          </w:p>
        </w:tc>
        <w:tc>
          <w:tcPr>
            <w:tcW w:w="1125" w:type="pct"/>
            <w:vAlign w:val="center"/>
          </w:tcPr>
          <w:p w:rsidR="008F2A62" w:rsidRPr="00F90874" w:rsidRDefault="008F2A62" w:rsidP="00F90874">
            <w:pPr>
              <w:ind w:left="0" w:right="0"/>
              <w:rPr>
                <w:b w:val="0"/>
                <w:sz w:val="20"/>
                <w:szCs w:val="20"/>
              </w:rPr>
            </w:pPr>
            <w:r w:rsidRPr="00F90874">
              <w:rPr>
                <w:sz w:val="20"/>
                <w:szCs w:val="20"/>
              </w:rPr>
              <w:t>Study ID</w:t>
            </w:r>
          </w:p>
        </w:tc>
        <w:tc>
          <w:tcPr>
            <w:tcW w:w="1731" w:type="pct"/>
            <w:vAlign w:val="center"/>
          </w:tcPr>
          <w:p w:rsidR="008F2A62" w:rsidRPr="00F90874" w:rsidRDefault="008F2A62" w:rsidP="00F90874">
            <w:pPr>
              <w:ind w:left="0" w:right="0"/>
              <w:rPr>
                <w:b w:val="0"/>
                <w:sz w:val="20"/>
                <w:szCs w:val="20"/>
              </w:rPr>
            </w:pPr>
            <w:r w:rsidRPr="00F90874">
              <w:rPr>
                <w:sz w:val="20"/>
                <w:szCs w:val="20"/>
              </w:rPr>
              <w:t>*</w:t>
            </w:r>
          </w:p>
        </w:tc>
      </w:tr>
      <w:tr w:rsidR="008F2A62" w:rsidRPr="00F90874" w:rsidTr="009D0CD5">
        <w:tc>
          <w:tcPr>
            <w:tcW w:w="845" w:type="pct"/>
            <w:vMerge w:val="restart"/>
            <w:vAlign w:val="center"/>
          </w:tcPr>
          <w:p w:rsidR="008F2A62" w:rsidRPr="00F90874" w:rsidRDefault="008F2A62" w:rsidP="00F90874">
            <w:pPr>
              <w:ind w:left="0" w:right="0"/>
              <w:rPr>
                <w:sz w:val="20"/>
                <w:szCs w:val="20"/>
              </w:rPr>
            </w:pPr>
            <w:r w:rsidRPr="00F90874">
              <w:rPr>
                <w:sz w:val="20"/>
                <w:szCs w:val="20"/>
              </w:rPr>
              <w:t>PK in healthy adults</w:t>
            </w:r>
          </w:p>
        </w:tc>
        <w:tc>
          <w:tcPr>
            <w:tcW w:w="1298" w:type="pct"/>
            <w:vAlign w:val="center"/>
          </w:tcPr>
          <w:p w:rsidR="008F2A62" w:rsidRPr="00F90874" w:rsidRDefault="008F2A62" w:rsidP="00F90874">
            <w:pPr>
              <w:ind w:left="0" w:right="0"/>
              <w:rPr>
                <w:sz w:val="20"/>
                <w:szCs w:val="20"/>
              </w:rPr>
            </w:pPr>
            <w:r w:rsidRPr="00F90874">
              <w:rPr>
                <w:sz w:val="20"/>
                <w:szCs w:val="20"/>
              </w:rPr>
              <w:t>Relative Bioavailability</w:t>
            </w:r>
          </w:p>
        </w:tc>
        <w:tc>
          <w:tcPr>
            <w:tcW w:w="1125" w:type="pct"/>
            <w:vAlign w:val="center"/>
          </w:tcPr>
          <w:p w:rsidR="008F2A62" w:rsidRPr="00F90874" w:rsidRDefault="008F2A62" w:rsidP="00F90874">
            <w:pPr>
              <w:ind w:left="0" w:right="0"/>
              <w:rPr>
                <w:sz w:val="20"/>
                <w:szCs w:val="20"/>
              </w:rPr>
            </w:pPr>
            <w:r w:rsidRPr="00F90874">
              <w:rPr>
                <w:rFonts w:eastAsiaTheme="minorHAnsi"/>
                <w:sz w:val="20"/>
                <w:szCs w:val="20"/>
              </w:rPr>
              <w:t>GS-US-141-1233</w:t>
            </w:r>
          </w:p>
        </w:tc>
        <w:tc>
          <w:tcPr>
            <w:tcW w:w="1731" w:type="pct"/>
            <w:vAlign w:val="center"/>
          </w:tcPr>
          <w:p w:rsidR="008F2A62" w:rsidRPr="00F90874" w:rsidRDefault="009D0CD5" w:rsidP="00F90874">
            <w:pPr>
              <w:ind w:left="0" w:right="0"/>
              <w:rPr>
                <w:sz w:val="20"/>
                <w:szCs w:val="20"/>
              </w:rPr>
            </w:pPr>
            <w:r w:rsidRPr="00F90874">
              <w:rPr>
                <w:sz w:val="20"/>
                <w:szCs w:val="20"/>
              </w:rPr>
              <w:t xml:space="preserve">Relative </w:t>
            </w:r>
            <w:r w:rsidR="0079350E" w:rsidRPr="00F90874">
              <w:rPr>
                <w:sz w:val="20"/>
                <w:szCs w:val="20"/>
              </w:rPr>
              <w:t>bioav</w:t>
            </w:r>
            <w:r w:rsidRPr="00F90874">
              <w:rPr>
                <w:sz w:val="20"/>
                <w:szCs w:val="20"/>
              </w:rPr>
              <w:t>a</w:t>
            </w:r>
            <w:r w:rsidR="0079350E" w:rsidRPr="00F90874">
              <w:rPr>
                <w:sz w:val="20"/>
                <w:szCs w:val="20"/>
              </w:rPr>
              <w:t>i</w:t>
            </w:r>
            <w:r w:rsidRPr="00F90874">
              <w:rPr>
                <w:sz w:val="20"/>
                <w:szCs w:val="20"/>
              </w:rPr>
              <w:t>lability</w:t>
            </w:r>
            <w:r w:rsidR="008F2A62" w:rsidRPr="00F90874">
              <w:rPr>
                <w:sz w:val="20"/>
                <w:szCs w:val="20"/>
              </w:rPr>
              <w:t xml:space="preserve"> of the FDC and free combination and food effect</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sz w:val="20"/>
                <w:szCs w:val="20"/>
              </w:rPr>
              <w:t>Single and Multi-ascending doses</w:t>
            </w:r>
          </w:p>
        </w:tc>
        <w:tc>
          <w:tcPr>
            <w:tcW w:w="1125" w:type="pct"/>
            <w:vAlign w:val="center"/>
          </w:tcPr>
          <w:p w:rsidR="008F2A62" w:rsidRPr="00F90874" w:rsidRDefault="008F2A62" w:rsidP="00F90874">
            <w:pPr>
              <w:ind w:left="0" w:right="0"/>
              <w:rPr>
                <w:sz w:val="20"/>
                <w:szCs w:val="20"/>
              </w:rPr>
            </w:pPr>
            <w:r w:rsidRPr="00F90874">
              <w:rPr>
                <w:rFonts w:eastAsiaTheme="minorHAnsi"/>
                <w:sz w:val="20"/>
                <w:szCs w:val="20"/>
              </w:rPr>
              <w:t>GS-US-141-1218</w:t>
            </w:r>
          </w:p>
        </w:tc>
        <w:tc>
          <w:tcPr>
            <w:tcW w:w="1731" w:type="pct"/>
            <w:vAlign w:val="center"/>
          </w:tcPr>
          <w:p w:rsidR="008F2A62" w:rsidRPr="00F90874" w:rsidRDefault="008F2A62" w:rsidP="00F90874">
            <w:pPr>
              <w:ind w:left="0" w:right="0"/>
              <w:rPr>
                <w:sz w:val="20"/>
                <w:szCs w:val="20"/>
              </w:rPr>
            </w:pPr>
            <w:r w:rsidRPr="00F90874">
              <w:rPr>
                <w:rFonts w:eastAsiaTheme="minorHAnsi"/>
                <w:sz w:val="20"/>
                <w:szCs w:val="20"/>
              </w:rPr>
              <w:t>PKs of BIC following single- and multiple-ascending oral doses of BIC and DDI potential between BIC and FTC/TAF</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sz w:val="20"/>
                <w:szCs w:val="20"/>
              </w:rPr>
              <w:t>Thorough QT</w:t>
            </w:r>
          </w:p>
        </w:tc>
        <w:tc>
          <w:tcPr>
            <w:tcW w:w="1125" w:type="pct"/>
            <w:vAlign w:val="center"/>
          </w:tcPr>
          <w:p w:rsidR="008F2A62" w:rsidRPr="00F90874" w:rsidRDefault="008F2A62" w:rsidP="00F90874">
            <w:pPr>
              <w:ind w:left="0" w:right="0"/>
              <w:rPr>
                <w:sz w:val="20"/>
                <w:szCs w:val="20"/>
              </w:rPr>
            </w:pPr>
            <w:r w:rsidRPr="00F90874">
              <w:rPr>
                <w:rFonts w:eastAsiaTheme="minorHAnsi"/>
                <w:sz w:val="20"/>
                <w:szCs w:val="20"/>
              </w:rPr>
              <w:t>GS-US-141-1480</w:t>
            </w:r>
          </w:p>
        </w:tc>
        <w:tc>
          <w:tcPr>
            <w:tcW w:w="1731" w:type="pct"/>
            <w:vAlign w:val="center"/>
          </w:tcPr>
          <w:p w:rsidR="008F2A62" w:rsidRPr="00F90874" w:rsidRDefault="008F2A62" w:rsidP="00F90874">
            <w:pPr>
              <w:ind w:left="0" w:right="0"/>
              <w:rPr>
                <w:sz w:val="20"/>
                <w:szCs w:val="20"/>
              </w:rPr>
            </w:pPr>
            <w:r w:rsidRPr="00F90874">
              <w:rPr>
                <w:rFonts w:eastAsiaTheme="minorHAnsi"/>
                <w:sz w:val="20"/>
                <w:szCs w:val="20"/>
              </w:rPr>
              <w:t xml:space="preserve">Effect of BIC on the QT/QTc interval </w:t>
            </w:r>
            <w:r w:rsidR="009D0CD5" w:rsidRPr="00F90874">
              <w:rPr>
                <w:rFonts w:eastAsiaTheme="minorHAnsi"/>
                <w:sz w:val="20"/>
                <w:szCs w:val="20"/>
              </w:rPr>
              <w:t>and</w:t>
            </w:r>
            <w:r w:rsidRPr="00F90874">
              <w:rPr>
                <w:rFonts w:eastAsiaTheme="minorHAnsi"/>
                <w:sz w:val="20"/>
                <w:szCs w:val="20"/>
              </w:rPr>
              <w:t xml:space="preserve"> PKs of therapeutic and supra-therapeutic doses</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sz w:val="20"/>
                <w:szCs w:val="20"/>
              </w:rPr>
              <w:t>Mass balance</w:t>
            </w:r>
          </w:p>
        </w:tc>
        <w:tc>
          <w:tcPr>
            <w:tcW w:w="1125" w:type="pct"/>
            <w:vAlign w:val="center"/>
          </w:tcPr>
          <w:p w:rsidR="008F2A62" w:rsidRPr="00F90874" w:rsidRDefault="008F2A62" w:rsidP="00F90874">
            <w:pPr>
              <w:ind w:left="0" w:right="0"/>
              <w:rPr>
                <w:sz w:val="20"/>
                <w:szCs w:val="20"/>
              </w:rPr>
            </w:pPr>
            <w:r w:rsidRPr="00F90874">
              <w:rPr>
                <w:rFonts w:eastAsia="TimesNewRoman"/>
                <w:sz w:val="20"/>
                <w:szCs w:val="20"/>
              </w:rPr>
              <w:t>GS-US-141-1481</w:t>
            </w:r>
          </w:p>
        </w:tc>
        <w:tc>
          <w:tcPr>
            <w:tcW w:w="1731" w:type="pct"/>
            <w:vAlign w:val="center"/>
          </w:tcPr>
          <w:p w:rsidR="008F2A62" w:rsidRPr="00F90874" w:rsidRDefault="008F2A62" w:rsidP="00F90874">
            <w:pPr>
              <w:ind w:left="0" w:right="0"/>
              <w:rPr>
                <w:sz w:val="20"/>
                <w:szCs w:val="20"/>
              </w:rPr>
            </w:pPr>
            <w:r w:rsidRPr="00F90874">
              <w:rPr>
                <w:rFonts w:eastAsia="TimesNewRoman"/>
                <w:sz w:val="20"/>
                <w:szCs w:val="20"/>
              </w:rPr>
              <w:t>Mass balance of BIC following administration of a single, oral dose of radiolabel</w:t>
            </w:r>
            <w:r w:rsidR="0079350E" w:rsidRPr="00F90874">
              <w:rPr>
                <w:rFonts w:eastAsia="TimesNewRoman"/>
                <w:sz w:val="20"/>
                <w:szCs w:val="20"/>
              </w:rPr>
              <w:t>l</w:t>
            </w:r>
            <w:r w:rsidRPr="00F90874">
              <w:rPr>
                <w:rFonts w:eastAsia="TimesNewRoman"/>
                <w:sz w:val="20"/>
                <w:szCs w:val="20"/>
              </w:rPr>
              <w:t xml:space="preserve">ed </w:t>
            </w:r>
            <w:r w:rsidR="004E4AAB">
              <w:rPr>
                <w:rFonts w:eastAsia="TimesNewRoman"/>
                <w:sz w:val="20"/>
                <w:szCs w:val="20"/>
              </w:rPr>
              <w:t>(</w:t>
            </w:r>
            <w:r w:rsidRPr="00F90874">
              <w:rPr>
                <w:rFonts w:eastAsia="TimesNewRoman"/>
                <w:sz w:val="20"/>
                <w:szCs w:val="20"/>
                <w:vertAlign w:val="superscript"/>
              </w:rPr>
              <w:t>14</w:t>
            </w:r>
            <w:r w:rsidRPr="00F90874">
              <w:rPr>
                <w:rFonts w:eastAsia="TimesNewRoman"/>
                <w:sz w:val="20"/>
                <w:szCs w:val="20"/>
              </w:rPr>
              <w:t>C</w:t>
            </w:r>
            <w:r w:rsidR="004E4AAB">
              <w:rPr>
                <w:rFonts w:eastAsia="TimesNewRoman"/>
                <w:sz w:val="20"/>
                <w:szCs w:val="20"/>
              </w:rPr>
              <w:t>)</w:t>
            </w:r>
            <w:r w:rsidRPr="00F90874">
              <w:rPr>
                <w:rFonts w:eastAsia="TimesNewRoman"/>
                <w:sz w:val="20"/>
                <w:szCs w:val="20"/>
              </w:rPr>
              <w:t>-BIC</w:t>
            </w:r>
          </w:p>
        </w:tc>
      </w:tr>
      <w:tr w:rsidR="008F2A62" w:rsidRPr="00F90874" w:rsidTr="009D0CD5">
        <w:tc>
          <w:tcPr>
            <w:tcW w:w="845" w:type="pct"/>
            <w:vMerge w:val="restart"/>
            <w:vAlign w:val="center"/>
          </w:tcPr>
          <w:p w:rsidR="008F2A62" w:rsidRPr="00F90874" w:rsidRDefault="008F2A62" w:rsidP="00F90874">
            <w:pPr>
              <w:ind w:left="0" w:right="0"/>
              <w:rPr>
                <w:sz w:val="20"/>
                <w:szCs w:val="20"/>
              </w:rPr>
            </w:pPr>
            <w:r w:rsidRPr="00F90874">
              <w:rPr>
                <w:sz w:val="20"/>
                <w:szCs w:val="20"/>
              </w:rPr>
              <w:t>PK in special populations</w:t>
            </w:r>
          </w:p>
        </w:tc>
        <w:tc>
          <w:tcPr>
            <w:tcW w:w="1298" w:type="pct"/>
            <w:vAlign w:val="center"/>
          </w:tcPr>
          <w:p w:rsidR="008F2A62" w:rsidRPr="00F90874" w:rsidRDefault="008F2A62" w:rsidP="00F90874">
            <w:pPr>
              <w:ind w:left="0" w:right="0"/>
              <w:rPr>
                <w:sz w:val="20"/>
                <w:szCs w:val="20"/>
              </w:rPr>
            </w:pPr>
            <w:r w:rsidRPr="00F90874">
              <w:rPr>
                <w:sz w:val="20"/>
                <w:szCs w:val="20"/>
              </w:rPr>
              <w:t>Target population§</w:t>
            </w:r>
          </w:p>
        </w:tc>
        <w:tc>
          <w:tcPr>
            <w:tcW w:w="1125" w:type="pct"/>
            <w:vAlign w:val="center"/>
          </w:tcPr>
          <w:p w:rsidR="008F2A62" w:rsidRPr="00F90874" w:rsidRDefault="008F2A62" w:rsidP="00F90874">
            <w:pPr>
              <w:ind w:left="0" w:right="0"/>
              <w:rPr>
                <w:sz w:val="20"/>
                <w:szCs w:val="20"/>
              </w:rPr>
            </w:pPr>
            <w:r w:rsidRPr="00F90874">
              <w:rPr>
                <w:rFonts w:eastAsia="TimesNewRoman"/>
                <w:sz w:val="20"/>
                <w:szCs w:val="20"/>
              </w:rPr>
              <w:t>GS-US-141-1219</w:t>
            </w:r>
          </w:p>
        </w:tc>
        <w:tc>
          <w:tcPr>
            <w:tcW w:w="1731" w:type="pct"/>
            <w:vAlign w:val="center"/>
          </w:tcPr>
          <w:p w:rsidR="008F2A62" w:rsidRPr="00F90874" w:rsidRDefault="0079350E" w:rsidP="00F90874">
            <w:pPr>
              <w:ind w:left="0" w:right="0"/>
              <w:rPr>
                <w:sz w:val="20"/>
                <w:szCs w:val="20"/>
              </w:rPr>
            </w:pPr>
            <w:r w:rsidRPr="00F90874">
              <w:rPr>
                <w:rFonts w:eastAsia="TimesNewRoman"/>
                <w:sz w:val="20"/>
                <w:szCs w:val="20"/>
              </w:rPr>
              <w:t>Safety, PKs and a</w:t>
            </w:r>
            <w:r w:rsidR="008F2A62" w:rsidRPr="00F90874">
              <w:rPr>
                <w:rFonts w:eastAsia="TimesNewRoman"/>
                <w:sz w:val="20"/>
                <w:szCs w:val="20"/>
              </w:rPr>
              <w:t xml:space="preserve">ntiviral </w:t>
            </w:r>
            <w:r w:rsidRPr="00F90874">
              <w:rPr>
                <w:rFonts w:eastAsia="TimesNewRoman"/>
                <w:sz w:val="20"/>
                <w:szCs w:val="20"/>
              </w:rPr>
              <w:t>a</w:t>
            </w:r>
            <w:r w:rsidR="008F2A62" w:rsidRPr="00F90874">
              <w:rPr>
                <w:rFonts w:eastAsia="TimesNewRoman"/>
                <w:sz w:val="20"/>
                <w:szCs w:val="20"/>
              </w:rPr>
              <w:t xml:space="preserve">ctivity of BIC in HIV-1 </w:t>
            </w:r>
            <w:r w:rsidRPr="00F90874">
              <w:rPr>
                <w:rFonts w:eastAsia="TimesNewRoman"/>
                <w:sz w:val="20"/>
                <w:szCs w:val="20"/>
              </w:rPr>
              <w:t>i</w:t>
            </w:r>
            <w:r w:rsidR="008F2A62" w:rsidRPr="00F90874">
              <w:rPr>
                <w:rFonts w:eastAsia="TimesNewRoman"/>
                <w:sz w:val="20"/>
                <w:szCs w:val="20"/>
              </w:rPr>
              <w:t xml:space="preserve">nfected </w:t>
            </w:r>
            <w:r w:rsidRPr="00F90874">
              <w:rPr>
                <w:rFonts w:eastAsia="TimesNewRoman"/>
                <w:sz w:val="20"/>
                <w:szCs w:val="20"/>
              </w:rPr>
              <w:t>s</w:t>
            </w:r>
            <w:r w:rsidR="008F2A62" w:rsidRPr="00F90874">
              <w:rPr>
                <w:rFonts w:eastAsia="TimesNewRoman"/>
                <w:sz w:val="20"/>
                <w:szCs w:val="20"/>
              </w:rPr>
              <w:t>ubjects</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sz w:val="20"/>
                <w:szCs w:val="20"/>
              </w:rPr>
              <w:t>Hepatic impairment</w:t>
            </w:r>
          </w:p>
        </w:tc>
        <w:tc>
          <w:tcPr>
            <w:tcW w:w="1125" w:type="pct"/>
            <w:vAlign w:val="center"/>
          </w:tcPr>
          <w:p w:rsidR="008F2A62" w:rsidRPr="00F90874" w:rsidRDefault="008F2A62" w:rsidP="00F90874">
            <w:pPr>
              <w:ind w:left="0" w:right="0"/>
              <w:rPr>
                <w:sz w:val="20"/>
                <w:szCs w:val="20"/>
              </w:rPr>
            </w:pPr>
            <w:r w:rsidRPr="00F90874">
              <w:rPr>
                <w:rFonts w:eastAsia="TimesNewRoman"/>
                <w:sz w:val="20"/>
                <w:szCs w:val="20"/>
              </w:rPr>
              <w:t>GS-US-141-1478</w:t>
            </w:r>
          </w:p>
        </w:tc>
        <w:tc>
          <w:tcPr>
            <w:tcW w:w="1731" w:type="pct"/>
            <w:vAlign w:val="center"/>
          </w:tcPr>
          <w:p w:rsidR="008F2A62" w:rsidRPr="00F90874" w:rsidRDefault="008F2A62" w:rsidP="00F90874">
            <w:pPr>
              <w:ind w:left="0" w:right="0"/>
              <w:rPr>
                <w:sz w:val="20"/>
                <w:szCs w:val="20"/>
              </w:rPr>
            </w:pPr>
            <w:r w:rsidRPr="00F90874">
              <w:rPr>
                <w:rFonts w:eastAsia="TimesNewRoman"/>
                <w:sz w:val="20"/>
                <w:szCs w:val="20"/>
              </w:rPr>
              <w:t>PK profile of a single oral dose of 75 mg BIC in subjects with moderate hepatic impairment relative to matched, healthy controls</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sz w:val="20"/>
                <w:szCs w:val="20"/>
              </w:rPr>
              <w:t>Renal impairment</w:t>
            </w:r>
          </w:p>
        </w:tc>
        <w:tc>
          <w:tcPr>
            <w:tcW w:w="1125" w:type="pct"/>
            <w:vAlign w:val="center"/>
          </w:tcPr>
          <w:p w:rsidR="008F2A62" w:rsidRPr="00F90874" w:rsidRDefault="008F2A62" w:rsidP="00F90874">
            <w:pPr>
              <w:ind w:left="0" w:right="0"/>
              <w:rPr>
                <w:sz w:val="20"/>
                <w:szCs w:val="20"/>
              </w:rPr>
            </w:pPr>
            <w:r w:rsidRPr="00F90874">
              <w:rPr>
                <w:rFonts w:eastAsia="TimesNewRoman"/>
                <w:sz w:val="20"/>
                <w:szCs w:val="20"/>
              </w:rPr>
              <w:t>GS-US-141-1479</w:t>
            </w:r>
          </w:p>
        </w:tc>
        <w:tc>
          <w:tcPr>
            <w:tcW w:w="1731" w:type="pct"/>
            <w:vAlign w:val="center"/>
          </w:tcPr>
          <w:p w:rsidR="008F2A62" w:rsidRPr="00F90874" w:rsidRDefault="008F2A62" w:rsidP="00F90874">
            <w:pPr>
              <w:ind w:left="0" w:right="0"/>
              <w:rPr>
                <w:sz w:val="20"/>
                <w:szCs w:val="20"/>
              </w:rPr>
            </w:pPr>
            <w:r w:rsidRPr="00F90874">
              <w:rPr>
                <w:rFonts w:eastAsia="TimesNewRoman"/>
                <w:sz w:val="20"/>
                <w:szCs w:val="20"/>
              </w:rPr>
              <w:t>BIC PKs following a single, oral, 75 mg dose in subjects with severe renal impairment and matched, healthy controls</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sz w:val="20"/>
                <w:szCs w:val="20"/>
              </w:rPr>
              <w:t>Other special population</w:t>
            </w:r>
          </w:p>
        </w:tc>
        <w:tc>
          <w:tcPr>
            <w:tcW w:w="1125" w:type="pct"/>
            <w:vAlign w:val="center"/>
          </w:tcPr>
          <w:p w:rsidR="008F2A62" w:rsidRPr="00F90874" w:rsidRDefault="008F2A62" w:rsidP="00F90874">
            <w:pPr>
              <w:ind w:left="0" w:right="0"/>
              <w:rPr>
                <w:sz w:val="20"/>
                <w:szCs w:val="20"/>
              </w:rPr>
            </w:pPr>
            <w:r w:rsidRPr="00F90874">
              <w:rPr>
                <w:rFonts w:eastAsia="TimesNewRoman"/>
                <w:sz w:val="20"/>
                <w:szCs w:val="20"/>
              </w:rPr>
              <w:t>GS-US-380-1991</w:t>
            </w:r>
          </w:p>
        </w:tc>
        <w:tc>
          <w:tcPr>
            <w:tcW w:w="1731" w:type="pct"/>
            <w:vAlign w:val="center"/>
          </w:tcPr>
          <w:p w:rsidR="008F2A62" w:rsidRPr="00F90874" w:rsidRDefault="008F2A62" w:rsidP="00F90874">
            <w:pPr>
              <w:ind w:left="0" w:right="0"/>
              <w:rPr>
                <w:sz w:val="20"/>
                <w:szCs w:val="20"/>
                <w:u w:val="single"/>
              </w:rPr>
            </w:pPr>
            <w:r w:rsidRPr="00F90874">
              <w:rPr>
                <w:sz w:val="20"/>
                <w:szCs w:val="20"/>
              </w:rPr>
              <w:t>PKs of BIC, FTC, TAF and TFV to healthy Japanese and Caucasian subjects</w:t>
            </w:r>
          </w:p>
        </w:tc>
      </w:tr>
      <w:tr w:rsidR="008F2A62" w:rsidRPr="00F90874" w:rsidTr="009D0CD5">
        <w:tc>
          <w:tcPr>
            <w:tcW w:w="845" w:type="pct"/>
            <w:vMerge w:val="restart"/>
            <w:vAlign w:val="center"/>
          </w:tcPr>
          <w:p w:rsidR="008F2A62" w:rsidRPr="00F90874" w:rsidRDefault="008F2A62" w:rsidP="00F90874">
            <w:pPr>
              <w:ind w:left="0" w:right="0"/>
              <w:rPr>
                <w:sz w:val="20"/>
                <w:szCs w:val="20"/>
              </w:rPr>
            </w:pPr>
            <w:r w:rsidRPr="00F90874">
              <w:rPr>
                <w:sz w:val="20"/>
                <w:szCs w:val="20"/>
              </w:rPr>
              <w:t>PK interactions</w:t>
            </w:r>
          </w:p>
        </w:tc>
        <w:tc>
          <w:tcPr>
            <w:tcW w:w="1298" w:type="pct"/>
            <w:vAlign w:val="center"/>
          </w:tcPr>
          <w:p w:rsidR="008F2A62" w:rsidRPr="00F90874" w:rsidRDefault="008F2A62" w:rsidP="00F90874">
            <w:pPr>
              <w:ind w:left="0" w:right="0"/>
              <w:rPr>
                <w:sz w:val="20"/>
                <w:szCs w:val="20"/>
              </w:rPr>
            </w:pPr>
            <w:r w:rsidRPr="00F90874">
              <w:rPr>
                <w:sz w:val="20"/>
                <w:szCs w:val="20"/>
              </w:rPr>
              <w:t>ATV, COBI, RIF, VORI, DRV</w:t>
            </w:r>
          </w:p>
        </w:tc>
        <w:tc>
          <w:tcPr>
            <w:tcW w:w="1125" w:type="pct"/>
            <w:vAlign w:val="center"/>
          </w:tcPr>
          <w:p w:rsidR="008F2A62" w:rsidRPr="00F90874" w:rsidRDefault="008F2A62" w:rsidP="00F90874">
            <w:pPr>
              <w:ind w:left="0" w:right="0"/>
              <w:rPr>
                <w:sz w:val="20"/>
                <w:szCs w:val="20"/>
              </w:rPr>
            </w:pPr>
            <w:r w:rsidRPr="00F90874">
              <w:rPr>
                <w:rFonts w:eastAsia="TimesNewRoman"/>
                <w:sz w:val="20"/>
                <w:szCs w:val="20"/>
              </w:rPr>
              <w:t>GS-US-141-1485</w:t>
            </w:r>
          </w:p>
        </w:tc>
        <w:tc>
          <w:tcPr>
            <w:tcW w:w="1731" w:type="pct"/>
            <w:vAlign w:val="center"/>
          </w:tcPr>
          <w:p w:rsidR="008F2A62" w:rsidRPr="00F90874" w:rsidRDefault="008F2A62" w:rsidP="00F90874">
            <w:pPr>
              <w:ind w:left="0" w:right="0"/>
              <w:rPr>
                <w:sz w:val="20"/>
                <w:szCs w:val="20"/>
              </w:rPr>
            </w:pPr>
            <w:r w:rsidRPr="00F90874">
              <w:rPr>
                <w:rFonts w:eastAsia="TimesNewRoman"/>
                <w:sz w:val="20"/>
                <w:szCs w:val="20"/>
              </w:rPr>
              <w:t>Effect of mixed UGT1A1/CYP3A4 inhibition on BIC PKs</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sz w:val="20"/>
                <w:szCs w:val="20"/>
              </w:rPr>
              <w:t>MDZ</w:t>
            </w:r>
          </w:p>
        </w:tc>
        <w:tc>
          <w:tcPr>
            <w:tcW w:w="1125" w:type="pct"/>
            <w:vAlign w:val="center"/>
          </w:tcPr>
          <w:p w:rsidR="008F2A62" w:rsidRPr="00F90874" w:rsidRDefault="008F2A62" w:rsidP="00F90874">
            <w:pPr>
              <w:ind w:left="0" w:right="0"/>
              <w:rPr>
                <w:sz w:val="20"/>
                <w:szCs w:val="20"/>
              </w:rPr>
            </w:pPr>
            <w:r w:rsidRPr="00F90874">
              <w:rPr>
                <w:rFonts w:eastAsiaTheme="minorHAnsi"/>
                <w:sz w:val="20"/>
                <w:szCs w:val="20"/>
              </w:rPr>
              <w:t>GS-US-380-4270</w:t>
            </w:r>
          </w:p>
        </w:tc>
        <w:tc>
          <w:tcPr>
            <w:tcW w:w="1731" w:type="pct"/>
            <w:vAlign w:val="center"/>
          </w:tcPr>
          <w:p w:rsidR="008F2A62" w:rsidRPr="00F90874" w:rsidRDefault="008F2A62" w:rsidP="00F90874">
            <w:pPr>
              <w:ind w:left="0" w:right="0"/>
              <w:rPr>
                <w:sz w:val="20"/>
                <w:szCs w:val="20"/>
              </w:rPr>
            </w:pPr>
            <w:r w:rsidRPr="00F90874">
              <w:rPr>
                <w:sz w:val="20"/>
                <w:szCs w:val="20"/>
              </w:rPr>
              <w:t>Effect of</w:t>
            </w:r>
            <w:r w:rsidRPr="00F90874">
              <w:rPr>
                <w:sz w:val="20"/>
                <w:szCs w:val="20"/>
                <w:u w:val="single"/>
              </w:rPr>
              <w:t xml:space="preserve"> </w:t>
            </w:r>
            <w:r w:rsidR="00481186" w:rsidRPr="00F90874">
              <w:rPr>
                <w:rFonts w:eastAsiaTheme="minorHAnsi"/>
                <w:sz w:val="20"/>
                <w:szCs w:val="20"/>
              </w:rPr>
              <w:t>B/F</w:t>
            </w:r>
            <w:r w:rsidRPr="00F90874">
              <w:rPr>
                <w:rFonts w:eastAsiaTheme="minorHAnsi"/>
                <w:sz w:val="20"/>
                <w:szCs w:val="20"/>
              </w:rPr>
              <w:t>/TAF FDC on the PKs of the CYP3A probe, MDZ</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sz w:val="20"/>
                <w:szCs w:val="20"/>
              </w:rPr>
              <w:t>LDV/SOFC</w:t>
            </w:r>
          </w:p>
        </w:tc>
        <w:tc>
          <w:tcPr>
            <w:tcW w:w="1125" w:type="pct"/>
            <w:vAlign w:val="center"/>
          </w:tcPr>
          <w:p w:rsidR="008F2A62" w:rsidRPr="00F90874" w:rsidRDefault="008F2A62" w:rsidP="00F90874">
            <w:pPr>
              <w:ind w:left="0" w:right="0"/>
              <w:rPr>
                <w:sz w:val="20"/>
                <w:szCs w:val="20"/>
              </w:rPr>
            </w:pPr>
            <w:r w:rsidRPr="00F90874">
              <w:rPr>
                <w:rFonts w:eastAsiaTheme="minorHAnsi"/>
                <w:sz w:val="20"/>
                <w:szCs w:val="20"/>
              </w:rPr>
              <w:t>GS-US-380-1761</w:t>
            </w:r>
          </w:p>
        </w:tc>
        <w:tc>
          <w:tcPr>
            <w:tcW w:w="1731" w:type="pct"/>
            <w:vAlign w:val="center"/>
          </w:tcPr>
          <w:p w:rsidR="008F2A62" w:rsidRPr="00F90874" w:rsidRDefault="00481186" w:rsidP="00F90874">
            <w:pPr>
              <w:ind w:left="0" w:right="0"/>
              <w:rPr>
                <w:sz w:val="20"/>
                <w:szCs w:val="20"/>
              </w:rPr>
            </w:pPr>
            <w:r w:rsidRPr="00F90874">
              <w:rPr>
                <w:sz w:val="20"/>
                <w:szCs w:val="20"/>
              </w:rPr>
              <w:t>Interaction between B/F</w:t>
            </w:r>
            <w:r w:rsidR="008F2A62" w:rsidRPr="00F90874">
              <w:rPr>
                <w:sz w:val="20"/>
                <w:szCs w:val="20"/>
              </w:rPr>
              <w:t>/TAF and LDV/SOF</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sz w:val="20"/>
                <w:szCs w:val="20"/>
              </w:rPr>
              <w:t>SOF/VEL/VOX</w:t>
            </w:r>
          </w:p>
        </w:tc>
        <w:tc>
          <w:tcPr>
            <w:tcW w:w="1125" w:type="pct"/>
            <w:vAlign w:val="center"/>
          </w:tcPr>
          <w:p w:rsidR="008F2A62" w:rsidRPr="00F90874" w:rsidRDefault="008F2A62" w:rsidP="00F90874">
            <w:pPr>
              <w:ind w:left="0" w:right="0"/>
              <w:rPr>
                <w:sz w:val="20"/>
                <w:szCs w:val="20"/>
              </w:rPr>
            </w:pPr>
            <w:r w:rsidRPr="00F90874">
              <w:rPr>
                <w:rFonts w:eastAsia="TimesNewRoman"/>
                <w:sz w:val="20"/>
                <w:szCs w:val="20"/>
              </w:rPr>
              <w:t>GS-US-380-1999</w:t>
            </w:r>
          </w:p>
        </w:tc>
        <w:tc>
          <w:tcPr>
            <w:tcW w:w="1731" w:type="pct"/>
            <w:vAlign w:val="center"/>
          </w:tcPr>
          <w:p w:rsidR="008F2A62" w:rsidRPr="00F90874" w:rsidRDefault="000F37F1" w:rsidP="00F90874">
            <w:pPr>
              <w:ind w:left="0" w:right="0"/>
              <w:rPr>
                <w:sz w:val="20"/>
                <w:szCs w:val="20"/>
              </w:rPr>
            </w:pPr>
            <w:r w:rsidRPr="00F90874">
              <w:rPr>
                <w:rFonts w:eastAsia="TimesNewRoman"/>
                <w:sz w:val="20"/>
                <w:szCs w:val="20"/>
              </w:rPr>
              <w:t xml:space="preserve">PKs of steady </w:t>
            </w:r>
            <w:r w:rsidR="008F2A62" w:rsidRPr="00F90874">
              <w:rPr>
                <w:rFonts w:eastAsia="TimesNewRoman"/>
                <w:sz w:val="20"/>
                <w:szCs w:val="20"/>
              </w:rPr>
              <w:t>state BIC, FTC, TAF and TFV following administration with SOF/VEL/VOX</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sz w:val="20"/>
                <w:szCs w:val="20"/>
              </w:rPr>
              <w:t>Metformin</w:t>
            </w:r>
          </w:p>
        </w:tc>
        <w:tc>
          <w:tcPr>
            <w:tcW w:w="1125" w:type="pct"/>
            <w:vAlign w:val="center"/>
          </w:tcPr>
          <w:p w:rsidR="008F2A62" w:rsidRPr="00F90874" w:rsidRDefault="008F2A62" w:rsidP="00F90874">
            <w:pPr>
              <w:ind w:left="0" w:right="0"/>
              <w:rPr>
                <w:sz w:val="20"/>
                <w:szCs w:val="20"/>
              </w:rPr>
            </w:pPr>
            <w:r w:rsidRPr="00F90874">
              <w:rPr>
                <w:rFonts w:eastAsia="TimesNewRoman"/>
                <w:sz w:val="20"/>
                <w:szCs w:val="20"/>
              </w:rPr>
              <w:t>GS-US-380-3908</w:t>
            </w:r>
          </w:p>
        </w:tc>
        <w:tc>
          <w:tcPr>
            <w:tcW w:w="1731" w:type="pct"/>
            <w:vAlign w:val="center"/>
          </w:tcPr>
          <w:p w:rsidR="008F2A62" w:rsidRPr="00F90874" w:rsidRDefault="008F2A62" w:rsidP="00F90874">
            <w:pPr>
              <w:ind w:left="0" w:right="0"/>
              <w:rPr>
                <w:sz w:val="20"/>
                <w:szCs w:val="20"/>
              </w:rPr>
            </w:pPr>
            <w:r w:rsidRPr="00F90874">
              <w:rPr>
                <w:rFonts w:eastAsia="TimesNewRoman"/>
                <w:sz w:val="20"/>
                <w:szCs w:val="20"/>
              </w:rPr>
              <w:t>PKs of</w:t>
            </w:r>
            <w:r w:rsidR="000F37F1" w:rsidRPr="00F90874">
              <w:rPr>
                <w:rFonts w:eastAsia="TimesNewRoman"/>
                <w:sz w:val="20"/>
                <w:szCs w:val="20"/>
              </w:rPr>
              <w:t xml:space="preserve"> metformin following the steady </w:t>
            </w:r>
            <w:r w:rsidR="00481186" w:rsidRPr="00F90874">
              <w:rPr>
                <w:rFonts w:eastAsia="TimesNewRoman"/>
                <w:sz w:val="20"/>
                <w:szCs w:val="20"/>
              </w:rPr>
              <w:t>state co-administration of B/F</w:t>
            </w:r>
            <w:r w:rsidRPr="00F90874">
              <w:rPr>
                <w:rFonts w:eastAsia="TimesNewRoman"/>
                <w:sz w:val="20"/>
                <w:szCs w:val="20"/>
              </w:rPr>
              <w:t>/TAF FDC</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rFonts w:eastAsia="TimesNewRoman"/>
                <w:sz w:val="20"/>
                <w:szCs w:val="20"/>
              </w:rPr>
              <w:t>Antacid, calcium, or iron supplements</w:t>
            </w:r>
          </w:p>
        </w:tc>
        <w:tc>
          <w:tcPr>
            <w:tcW w:w="1125" w:type="pct"/>
            <w:vAlign w:val="center"/>
          </w:tcPr>
          <w:p w:rsidR="008F2A62" w:rsidRPr="00F90874" w:rsidRDefault="008F2A62" w:rsidP="00F90874">
            <w:pPr>
              <w:ind w:left="0" w:right="0"/>
              <w:rPr>
                <w:sz w:val="20"/>
                <w:szCs w:val="20"/>
              </w:rPr>
            </w:pPr>
            <w:r w:rsidRPr="00F90874">
              <w:rPr>
                <w:rFonts w:eastAsia="TimesNewRoman"/>
                <w:sz w:val="20"/>
                <w:szCs w:val="20"/>
              </w:rPr>
              <w:t>GS-US-380-3909</w:t>
            </w:r>
          </w:p>
        </w:tc>
        <w:tc>
          <w:tcPr>
            <w:tcW w:w="1731" w:type="pct"/>
            <w:vAlign w:val="center"/>
          </w:tcPr>
          <w:p w:rsidR="008F2A62" w:rsidRPr="00F90874" w:rsidRDefault="008F2A62" w:rsidP="00F90874">
            <w:pPr>
              <w:ind w:left="0" w:right="0"/>
              <w:rPr>
                <w:sz w:val="20"/>
                <w:szCs w:val="20"/>
              </w:rPr>
            </w:pPr>
            <w:r w:rsidRPr="00F90874">
              <w:rPr>
                <w:rFonts w:eastAsia="TimesNewRoman"/>
                <w:sz w:val="20"/>
                <w:szCs w:val="20"/>
              </w:rPr>
              <w:t>Effect of simultaneous administration of antacid, calci</w:t>
            </w:r>
            <w:r w:rsidR="00481186" w:rsidRPr="00F90874">
              <w:rPr>
                <w:rFonts w:eastAsia="TimesNewRoman"/>
                <w:sz w:val="20"/>
                <w:szCs w:val="20"/>
              </w:rPr>
              <w:t>um, or iron supplements with B/F</w:t>
            </w:r>
            <w:r w:rsidRPr="00F90874">
              <w:rPr>
                <w:rFonts w:eastAsia="TimesNewRoman"/>
                <w:sz w:val="20"/>
                <w:szCs w:val="20"/>
              </w:rPr>
              <w:t>/TAF FDC</w:t>
            </w:r>
          </w:p>
        </w:tc>
      </w:tr>
      <w:tr w:rsidR="008F2A62" w:rsidRPr="00F90874" w:rsidTr="009D0CD5">
        <w:tc>
          <w:tcPr>
            <w:tcW w:w="845" w:type="pct"/>
            <w:vMerge w:val="restart"/>
            <w:vAlign w:val="center"/>
          </w:tcPr>
          <w:p w:rsidR="008F2A62" w:rsidRPr="00F90874" w:rsidRDefault="008F2A62" w:rsidP="00F90874">
            <w:pPr>
              <w:ind w:left="0" w:right="0"/>
              <w:rPr>
                <w:sz w:val="20"/>
                <w:szCs w:val="20"/>
              </w:rPr>
            </w:pPr>
            <w:r w:rsidRPr="00F90874">
              <w:rPr>
                <w:sz w:val="20"/>
                <w:szCs w:val="20"/>
              </w:rPr>
              <w:t>Population PK analyses</w:t>
            </w:r>
          </w:p>
        </w:tc>
        <w:tc>
          <w:tcPr>
            <w:tcW w:w="1298" w:type="pct"/>
            <w:vMerge w:val="restart"/>
            <w:vAlign w:val="center"/>
          </w:tcPr>
          <w:p w:rsidR="008F2A62" w:rsidRPr="00F90874" w:rsidRDefault="008F2A62" w:rsidP="00F90874">
            <w:pPr>
              <w:ind w:left="0" w:right="0"/>
              <w:rPr>
                <w:sz w:val="20"/>
                <w:szCs w:val="20"/>
              </w:rPr>
            </w:pPr>
            <w:r w:rsidRPr="00F90874">
              <w:rPr>
                <w:sz w:val="20"/>
                <w:szCs w:val="20"/>
              </w:rPr>
              <w:t>Healthy subjects and target population</w:t>
            </w:r>
          </w:p>
        </w:tc>
        <w:tc>
          <w:tcPr>
            <w:tcW w:w="1125" w:type="pct"/>
            <w:vAlign w:val="center"/>
          </w:tcPr>
          <w:p w:rsidR="008F2A62" w:rsidRPr="00F90874" w:rsidRDefault="008F2A62" w:rsidP="00F90874">
            <w:pPr>
              <w:ind w:left="0" w:right="0"/>
              <w:rPr>
                <w:sz w:val="20"/>
                <w:szCs w:val="20"/>
              </w:rPr>
            </w:pPr>
            <w:r w:rsidRPr="00F90874">
              <w:rPr>
                <w:rFonts w:eastAsiaTheme="minorHAnsi"/>
                <w:sz w:val="20"/>
                <w:szCs w:val="20"/>
              </w:rPr>
              <w:t>QP-2017-1010</w:t>
            </w:r>
            <w:r w:rsidRPr="00F90874">
              <w:rPr>
                <w:sz w:val="20"/>
                <w:szCs w:val="20"/>
              </w:rPr>
              <w:t xml:space="preserve"> BIC Pop</w:t>
            </w:r>
            <w:r w:rsidR="00481186" w:rsidRPr="00F90874">
              <w:rPr>
                <w:sz w:val="20"/>
                <w:szCs w:val="20"/>
              </w:rPr>
              <w:t xml:space="preserve">ulation </w:t>
            </w:r>
            <w:r w:rsidRPr="00F90874">
              <w:rPr>
                <w:sz w:val="20"/>
                <w:szCs w:val="20"/>
              </w:rPr>
              <w:t>PK</w:t>
            </w:r>
          </w:p>
        </w:tc>
        <w:tc>
          <w:tcPr>
            <w:tcW w:w="1731" w:type="pct"/>
            <w:vAlign w:val="center"/>
          </w:tcPr>
          <w:p w:rsidR="008F2A62" w:rsidRPr="00F90874" w:rsidRDefault="008F2A62" w:rsidP="00F90874">
            <w:pPr>
              <w:ind w:left="0" w:right="0"/>
              <w:rPr>
                <w:sz w:val="20"/>
                <w:szCs w:val="20"/>
              </w:rPr>
            </w:pPr>
            <w:r w:rsidRPr="00F90874">
              <w:rPr>
                <w:sz w:val="20"/>
                <w:szCs w:val="20"/>
              </w:rPr>
              <w:t>Pop</w:t>
            </w:r>
            <w:r w:rsidR="00481186" w:rsidRPr="00F90874">
              <w:rPr>
                <w:sz w:val="20"/>
                <w:szCs w:val="20"/>
              </w:rPr>
              <w:t xml:space="preserve">ulation </w:t>
            </w:r>
            <w:r w:rsidRPr="00F90874">
              <w:rPr>
                <w:sz w:val="20"/>
                <w:szCs w:val="20"/>
              </w:rPr>
              <w:t>PK</w:t>
            </w:r>
            <w:r w:rsidR="00481186" w:rsidRPr="00F90874">
              <w:rPr>
                <w:sz w:val="20"/>
                <w:szCs w:val="20"/>
              </w:rPr>
              <w:t>s</w:t>
            </w:r>
            <w:r w:rsidRPr="00F90874">
              <w:rPr>
                <w:sz w:val="20"/>
                <w:szCs w:val="20"/>
              </w:rPr>
              <w:t xml:space="preserve"> of BIC</w:t>
            </w:r>
            <w:r w:rsidR="00481186" w:rsidRPr="00F90874">
              <w:rPr>
                <w:sz w:val="20"/>
                <w:szCs w:val="20"/>
              </w:rPr>
              <w:t xml:space="preserve"> using the data collected from eight</w:t>
            </w:r>
            <w:r w:rsidRPr="00F90874">
              <w:rPr>
                <w:sz w:val="20"/>
                <w:szCs w:val="20"/>
              </w:rPr>
              <w:t xml:space="preserve"> clinical studies</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Merge/>
            <w:vAlign w:val="center"/>
          </w:tcPr>
          <w:p w:rsidR="008F2A62" w:rsidRPr="00F90874" w:rsidRDefault="008F2A62" w:rsidP="00F90874">
            <w:pPr>
              <w:ind w:left="0" w:right="0"/>
              <w:rPr>
                <w:sz w:val="20"/>
                <w:szCs w:val="20"/>
              </w:rPr>
            </w:pPr>
          </w:p>
        </w:tc>
        <w:tc>
          <w:tcPr>
            <w:tcW w:w="1125" w:type="pct"/>
            <w:vAlign w:val="center"/>
          </w:tcPr>
          <w:p w:rsidR="008F2A62" w:rsidRPr="00F90874" w:rsidRDefault="008F2A62" w:rsidP="00F90874">
            <w:pPr>
              <w:ind w:left="0" w:right="0"/>
              <w:rPr>
                <w:sz w:val="20"/>
                <w:szCs w:val="20"/>
              </w:rPr>
            </w:pPr>
            <w:r w:rsidRPr="00F90874">
              <w:rPr>
                <w:rFonts w:eastAsiaTheme="minorHAnsi"/>
                <w:sz w:val="20"/>
                <w:szCs w:val="20"/>
              </w:rPr>
              <w:t>QP-2017-1012 TAF PopPK</w:t>
            </w:r>
          </w:p>
        </w:tc>
        <w:tc>
          <w:tcPr>
            <w:tcW w:w="1731" w:type="pct"/>
            <w:vAlign w:val="center"/>
          </w:tcPr>
          <w:p w:rsidR="008F2A62" w:rsidRPr="00F90874" w:rsidRDefault="008F2A62" w:rsidP="00F90874">
            <w:pPr>
              <w:ind w:left="0" w:right="0"/>
              <w:rPr>
                <w:sz w:val="20"/>
                <w:szCs w:val="20"/>
              </w:rPr>
            </w:pPr>
            <w:r w:rsidRPr="00F90874">
              <w:rPr>
                <w:sz w:val="20"/>
                <w:szCs w:val="20"/>
              </w:rPr>
              <w:t>Pop</w:t>
            </w:r>
            <w:r w:rsidR="00481186" w:rsidRPr="00F90874">
              <w:rPr>
                <w:sz w:val="20"/>
                <w:szCs w:val="20"/>
              </w:rPr>
              <w:t xml:space="preserve">ulation </w:t>
            </w:r>
            <w:r w:rsidRPr="00F90874">
              <w:rPr>
                <w:sz w:val="20"/>
                <w:szCs w:val="20"/>
              </w:rPr>
              <w:t>PK of TAF based on the results of 12 clinical studies</w:t>
            </w:r>
          </w:p>
        </w:tc>
      </w:tr>
      <w:tr w:rsidR="008F2A62" w:rsidRPr="00F90874" w:rsidTr="009D0CD5">
        <w:tc>
          <w:tcPr>
            <w:tcW w:w="845" w:type="pct"/>
            <w:vMerge/>
            <w:vAlign w:val="center"/>
          </w:tcPr>
          <w:p w:rsidR="008F2A62" w:rsidRPr="00F90874" w:rsidRDefault="008F2A62" w:rsidP="00F90874">
            <w:pPr>
              <w:ind w:left="0" w:right="0"/>
              <w:rPr>
                <w:sz w:val="20"/>
                <w:szCs w:val="20"/>
              </w:rPr>
            </w:pPr>
          </w:p>
        </w:tc>
        <w:tc>
          <w:tcPr>
            <w:tcW w:w="1298" w:type="pct"/>
            <w:vAlign w:val="center"/>
          </w:tcPr>
          <w:p w:rsidR="008F2A62" w:rsidRPr="00F90874" w:rsidRDefault="008F2A62" w:rsidP="00F90874">
            <w:pPr>
              <w:ind w:left="0" w:right="0"/>
              <w:rPr>
                <w:sz w:val="20"/>
                <w:szCs w:val="20"/>
              </w:rPr>
            </w:pPr>
            <w:r w:rsidRPr="00F90874">
              <w:rPr>
                <w:sz w:val="20"/>
                <w:szCs w:val="20"/>
              </w:rPr>
              <w:t>Other</w:t>
            </w:r>
          </w:p>
        </w:tc>
        <w:tc>
          <w:tcPr>
            <w:tcW w:w="1125" w:type="pct"/>
            <w:vAlign w:val="center"/>
          </w:tcPr>
          <w:p w:rsidR="008F2A62" w:rsidRPr="00F90874" w:rsidRDefault="008F2A62" w:rsidP="00F90874">
            <w:pPr>
              <w:ind w:left="0" w:right="0"/>
              <w:rPr>
                <w:sz w:val="20"/>
                <w:szCs w:val="20"/>
              </w:rPr>
            </w:pPr>
            <w:r w:rsidRPr="00F90874">
              <w:rPr>
                <w:rFonts w:eastAsiaTheme="minorHAnsi"/>
                <w:sz w:val="20"/>
                <w:szCs w:val="20"/>
              </w:rPr>
              <w:t>QP 2015-1001 DDI</w:t>
            </w:r>
          </w:p>
        </w:tc>
        <w:tc>
          <w:tcPr>
            <w:tcW w:w="1731" w:type="pct"/>
            <w:vAlign w:val="center"/>
          </w:tcPr>
          <w:p w:rsidR="008F2A62" w:rsidRPr="00F90874" w:rsidRDefault="008F2A62" w:rsidP="00F90874">
            <w:pPr>
              <w:ind w:left="0" w:right="0"/>
              <w:rPr>
                <w:sz w:val="20"/>
                <w:szCs w:val="20"/>
              </w:rPr>
            </w:pPr>
            <w:r w:rsidRPr="00F90874">
              <w:rPr>
                <w:sz w:val="20"/>
                <w:szCs w:val="20"/>
              </w:rPr>
              <w:t>Quantitative analysis and prediction of BIC drug-drug interactions</w:t>
            </w:r>
          </w:p>
        </w:tc>
      </w:tr>
    </w:tbl>
    <w:p w:rsidR="008F2A62" w:rsidRPr="00481186" w:rsidRDefault="008F2A62" w:rsidP="00481186">
      <w:pPr>
        <w:pStyle w:val="TableDescription"/>
      </w:pPr>
      <w:r w:rsidRPr="00481186">
        <w:t>* Indicates t</w:t>
      </w:r>
      <w:r w:rsidR="00F90874">
        <w:t xml:space="preserve">he primary PK aim of the study. </w:t>
      </w:r>
      <w:r w:rsidRPr="00481186">
        <w:t>† Bioequival</w:t>
      </w:r>
      <w:r w:rsidR="00F90874">
        <w:t xml:space="preserve">ence of different formulations. </w:t>
      </w:r>
      <w:r w:rsidRPr="00481186">
        <w:t>§ Subjects who would be eligible to receive the drug if approved for the proposed indication.</w:t>
      </w:r>
      <w:r w:rsidR="00A26F7F">
        <w:t xml:space="preserve"> </w:t>
      </w:r>
      <w:r w:rsidR="00A26F7F">
        <w:rPr>
          <w:rFonts w:cstheme="minorHAnsi"/>
        </w:rPr>
        <w:t xml:space="preserve">ATV = Atazanavir; COBI = </w:t>
      </w:r>
      <w:r w:rsidR="00A26F7F">
        <w:rPr>
          <w:rFonts w:eastAsia="TimesNewRoman" w:cstheme="minorHAnsi"/>
        </w:rPr>
        <w:t>Cobicistat</w:t>
      </w:r>
      <w:r w:rsidR="009E0328">
        <w:rPr>
          <w:rFonts w:eastAsia="TimesNewRoman" w:cstheme="minorHAnsi"/>
        </w:rPr>
        <w:t xml:space="preserve">; </w:t>
      </w:r>
      <w:r w:rsidR="009E0328">
        <w:rPr>
          <w:rFonts w:cstheme="minorHAnsi"/>
        </w:rPr>
        <w:t xml:space="preserve">DRV = </w:t>
      </w:r>
      <w:r w:rsidR="009E0328">
        <w:rPr>
          <w:rFonts w:eastAsia="TimesNewRoman" w:cstheme="minorHAnsi"/>
        </w:rPr>
        <w:t>Darunavir</w:t>
      </w:r>
      <w:r w:rsidR="00E45E80">
        <w:rPr>
          <w:rFonts w:eastAsia="TimesNewRoman" w:cstheme="minorHAnsi"/>
        </w:rPr>
        <w:t xml:space="preserve">; </w:t>
      </w:r>
      <w:r w:rsidR="00E45E80">
        <w:rPr>
          <w:rFonts w:cstheme="minorHAnsi"/>
        </w:rPr>
        <w:t xml:space="preserve">LDV = </w:t>
      </w:r>
      <w:r w:rsidR="00E45E80">
        <w:t>Ledipasvir</w:t>
      </w:r>
      <w:r w:rsidR="00CD4AC6">
        <w:t xml:space="preserve">; </w:t>
      </w:r>
      <w:r w:rsidR="00CD4AC6">
        <w:rPr>
          <w:rFonts w:cstheme="minorHAnsi"/>
        </w:rPr>
        <w:t>MDZ = Midazolam</w:t>
      </w:r>
      <w:r w:rsidR="002D5055">
        <w:rPr>
          <w:rFonts w:cstheme="minorHAnsi"/>
        </w:rPr>
        <w:t xml:space="preserve">; QT = Electrocardiographic interval between the beginning of the Q wave and termination of the T wave, representing the time for both ventricular depolarisation and repolarisation to occur; QTc = QT interval corrected for heart rate; RIF = </w:t>
      </w:r>
      <w:r w:rsidR="002D5055">
        <w:rPr>
          <w:rFonts w:eastAsia="TimesNewRoman" w:cstheme="minorHAnsi"/>
        </w:rPr>
        <w:t xml:space="preserve">rifampin; </w:t>
      </w:r>
      <w:r w:rsidR="002D5055">
        <w:rPr>
          <w:rFonts w:cstheme="minorHAnsi"/>
        </w:rPr>
        <w:t xml:space="preserve">SOF = Sofosbuvir; </w:t>
      </w:r>
      <w:r w:rsidR="002D5055">
        <w:t xml:space="preserve">TFV = Tenofovir; </w:t>
      </w:r>
      <w:r w:rsidR="002D5055">
        <w:rPr>
          <w:rFonts w:cstheme="minorHAnsi"/>
        </w:rPr>
        <w:t xml:space="preserve">VEL = </w:t>
      </w:r>
      <w:r w:rsidR="002D5055">
        <w:rPr>
          <w:rFonts w:eastAsia="TimesNewRoman" w:cs="TimesNewRoman"/>
        </w:rPr>
        <w:t xml:space="preserve">Velpatasvir; </w:t>
      </w:r>
      <w:r w:rsidR="002D5055">
        <w:rPr>
          <w:rFonts w:cstheme="minorHAnsi"/>
        </w:rPr>
        <w:t xml:space="preserve">VORI = </w:t>
      </w:r>
      <w:r w:rsidR="002D5055">
        <w:rPr>
          <w:rFonts w:eastAsia="TimesNewRoman" w:cstheme="minorHAnsi"/>
        </w:rPr>
        <w:t xml:space="preserve">Voriconazole; </w:t>
      </w:r>
      <w:r w:rsidR="002D5055">
        <w:rPr>
          <w:rFonts w:cstheme="minorHAnsi"/>
        </w:rPr>
        <w:t xml:space="preserve">VOX = </w:t>
      </w:r>
      <w:r w:rsidR="002D5055">
        <w:rPr>
          <w:rFonts w:eastAsia="TimesNewRoman" w:cs="TimesNewRoman"/>
        </w:rPr>
        <w:t>Voxilaprevir</w:t>
      </w:r>
    </w:p>
    <w:p w:rsidR="00605AD4" w:rsidRDefault="00605AD4" w:rsidP="00605AD4">
      <w:pPr>
        <w:pStyle w:val="Heading4"/>
      </w:pPr>
      <w:r>
        <w:t>Evaluator’s conclusions on pharmacokinetics</w:t>
      </w:r>
    </w:p>
    <w:p w:rsidR="008F2A62" w:rsidRDefault="008F2A62" w:rsidP="008F2A62">
      <w:r>
        <w:t xml:space="preserve">Overall, the conduct of the clinical pharmacology trials for </w:t>
      </w:r>
      <w:r w:rsidR="001B5D97">
        <w:t>Biktarvy</w:t>
      </w:r>
      <w:r>
        <w:t xml:space="preserve"> was satisfactory, the data analyses undertaken were appropriate and the analytical methods used to measure exposure levels were validated.</w:t>
      </w:r>
    </w:p>
    <w:p w:rsidR="008F2A62" w:rsidRDefault="00DF04D3" w:rsidP="008F2A62">
      <w:pPr>
        <w:pStyle w:val="Heading5"/>
      </w:pPr>
      <w:r>
        <w:t>A</w:t>
      </w:r>
      <w:r w:rsidRPr="00DF04D3">
        <w:t>bsor</w:t>
      </w:r>
      <w:r>
        <w:t>ption, distribution, metabolism</w:t>
      </w:r>
      <w:r w:rsidRPr="00DF04D3">
        <w:t xml:space="preserve"> and excretion</w:t>
      </w:r>
    </w:p>
    <w:p w:rsidR="008F2A62" w:rsidRDefault="001B5D97" w:rsidP="005D34FA">
      <w:r>
        <w:t>Biktarvy</w:t>
      </w:r>
      <w:r w:rsidR="008F2A62">
        <w:t xml:space="preserve"> is an </w:t>
      </w:r>
      <w:r w:rsidR="0018158C">
        <w:t>immediate release (</w:t>
      </w:r>
      <w:r w:rsidR="008F2A62">
        <w:t>IR</w:t>
      </w:r>
      <w:r w:rsidR="0018158C">
        <w:t>)</w:t>
      </w:r>
      <w:r w:rsidR="008F2A62">
        <w:t xml:space="preserve"> FDC tablet that </w:t>
      </w:r>
      <w:r w:rsidR="0018158C">
        <w:t>is intended for once daily oral dosing.</w:t>
      </w:r>
    </w:p>
    <w:p w:rsidR="008F2A62" w:rsidRDefault="008F2A62" w:rsidP="005D34FA">
      <w:r>
        <w:t>Following a single dose of the FDC tablet under fasted conditions the median T</w:t>
      </w:r>
      <w:r w:rsidRPr="0018158C">
        <w:rPr>
          <w:vertAlign w:val="subscript"/>
        </w:rPr>
        <w:t>max</w:t>
      </w:r>
      <w:r>
        <w:t xml:space="preserve"> values for BIC, FTV and TAF occurred 2.00 h</w:t>
      </w:r>
      <w:r w:rsidR="00F47F01">
        <w:t>ours</w:t>
      </w:r>
      <w:r>
        <w:t>, 1.50</w:t>
      </w:r>
      <w:r w:rsidR="00F47F01">
        <w:t xml:space="preserve"> hours </w:t>
      </w:r>
      <w:r>
        <w:t>and 0.5</w:t>
      </w:r>
      <w:r w:rsidR="00F47F01">
        <w:t xml:space="preserve"> hours </w:t>
      </w:r>
      <w:r>
        <w:t>after dosing, respectively, and the mean t</w:t>
      </w:r>
      <w:r w:rsidR="0018158C" w:rsidRPr="0018158C">
        <w:rPr>
          <w:vertAlign w:val="subscript"/>
        </w:rPr>
        <w:t>½</w:t>
      </w:r>
      <w:r>
        <w:t xml:space="preserve"> values were 18.9 h</w:t>
      </w:r>
      <w:r w:rsidR="00F47F01">
        <w:t>ours</w:t>
      </w:r>
      <w:r>
        <w:t>, 19.1</w:t>
      </w:r>
      <w:r w:rsidR="00F47F01">
        <w:t xml:space="preserve"> hours </w:t>
      </w:r>
      <w:r>
        <w:t>and 0.33 h</w:t>
      </w:r>
      <w:r w:rsidR="00F47F01">
        <w:t>ours</w:t>
      </w:r>
      <w:r>
        <w:t>, respectively.</w:t>
      </w:r>
    </w:p>
    <w:p w:rsidR="008F2A62" w:rsidRDefault="008F2A62" w:rsidP="005D34FA">
      <w:r>
        <w:lastRenderedPageBreak/>
        <w:t xml:space="preserve">The PKs of </w:t>
      </w:r>
      <w:r w:rsidR="0018158C">
        <w:t xml:space="preserve">a </w:t>
      </w:r>
      <w:r w:rsidR="000F37F1">
        <w:t xml:space="preserve">single dose of BIC 75 mg single </w:t>
      </w:r>
      <w:r>
        <w:t>agent co-administered with FTC/TAF 200/25</w:t>
      </w:r>
      <w:r w:rsidR="0018158C">
        <w:t> </w:t>
      </w:r>
      <w:r>
        <w:t xml:space="preserve">mg tablets was bioequivalent with the FDC tablet containing BIC/FTC/TAF (50/200/25 mg), with the exception of TAF </w:t>
      </w:r>
      <w:r w:rsidR="00080EC5">
        <w:t>C</w:t>
      </w:r>
      <w:r w:rsidR="00080EC5" w:rsidRPr="00080EC5">
        <w:rPr>
          <w:vertAlign w:val="subscript"/>
        </w:rPr>
        <w:t>max</w:t>
      </w:r>
      <w:r>
        <w:t>, for which the GLSM ratio (90% CI</w:t>
      </w:r>
      <w:r w:rsidR="0018158C">
        <w:t>) was 84.17% (67.59%, 104.81%).</w:t>
      </w:r>
    </w:p>
    <w:p w:rsidR="008F2A62" w:rsidRDefault="008F2A62" w:rsidP="005D34FA">
      <w:r>
        <w:t>BIC AUC</w:t>
      </w:r>
      <w:r w:rsidRPr="0018158C">
        <w:rPr>
          <w:vertAlign w:val="subscript"/>
        </w:rPr>
        <w:t>inf</w:t>
      </w:r>
      <w:r>
        <w:t xml:space="preserve"> and </w:t>
      </w:r>
      <w:r w:rsidR="00080EC5">
        <w:t>C</w:t>
      </w:r>
      <w:r w:rsidR="00080EC5" w:rsidRPr="00080EC5">
        <w:rPr>
          <w:vertAlign w:val="subscript"/>
        </w:rPr>
        <w:t>max</w:t>
      </w:r>
      <w:r>
        <w:t xml:space="preserve"> for the FDC were approximately 24% and 13% higher,</w:t>
      </w:r>
      <w:r w:rsidR="000F37F1">
        <w:t xml:space="preserve"> respectively, following a high </w:t>
      </w:r>
      <w:r>
        <w:t>fat meal than they were under fasted conditions, whereas, a moder</w:t>
      </w:r>
      <w:r w:rsidR="000F37F1">
        <w:t xml:space="preserve">ate </w:t>
      </w:r>
      <w:r>
        <w:t>fat meal increased BIC AUC</w:t>
      </w:r>
      <w:r w:rsidRPr="0018158C">
        <w:rPr>
          <w:vertAlign w:val="subscript"/>
        </w:rPr>
        <w:t>inf</w:t>
      </w:r>
      <w:r>
        <w:t xml:space="preserve"> and </w:t>
      </w:r>
      <w:r w:rsidR="00080EC5">
        <w:t>C</w:t>
      </w:r>
      <w:r w:rsidR="00080EC5" w:rsidRPr="00080EC5">
        <w:rPr>
          <w:vertAlign w:val="subscript"/>
        </w:rPr>
        <w:t>max</w:t>
      </w:r>
      <w:r>
        <w:t xml:space="preserve"> for the BIC/FTC/TAF FDC by 24</w:t>
      </w:r>
      <w:r w:rsidR="000F37F1">
        <w:t xml:space="preserve">% and 20%, respectively. A high </w:t>
      </w:r>
      <w:r>
        <w:t>fat meal increased TAF AUC</w:t>
      </w:r>
      <w:r w:rsidRPr="0018158C">
        <w:rPr>
          <w:vertAlign w:val="subscript"/>
        </w:rPr>
        <w:t>last</w:t>
      </w:r>
      <w:r>
        <w:t xml:space="preserve"> by 63% compared to fasted </w:t>
      </w:r>
      <w:r w:rsidR="000F37F1">
        <w:t xml:space="preserve">conditions, whereas, a moderate </w:t>
      </w:r>
      <w:r>
        <w:t>fat meal increased TAF AUC</w:t>
      </w:r>
      <w:r w:rsidRPr="00DF04D3">
        <w:rPr>
          <w:vertAlign w:val="subscript"/>
        </w:rPr>
        <w:t>last</w:t>
      </w:r>
      <w:r w:rsidR="00DF04D3">
        <w:t xml:space="preserve"> by 48%. In</w:t>
      </w:r>
      <w:r>
        <w:t xml:space="preserve"> contrast, food </w:t>
      </w:r>
      <w:r w:rsidR="00DF04D3">
        <w:t xml:space="preserve">had </w:t>
      </w:r>
      <w:r>
        <w:t xml:space="preserve">no meaningful effect on TAF </w:t>
      </w:r>
      <w:r w:rsidR="00080EC5">
        <w:t>C</w:t>
      </w:r>
      <w:r w:rsidR="00080EC5" w:rsidRPr="00080EC5">
        <w:rPr>
          <w:vertAlign w:val="subscript"/>
        </w:rPr>
        <w:t>max</w:t>
      </w:r>
      <w:r>
        <w:t xml:space="preserve"> or FTC AUC. However, a small decrease (14%) in FTC </w:t>
      </w:r>
      <w:r w:rsidR="00080EC5">
        <w:t>C</w:t>
      </w:r>
      <w:r w:rsidR="00080EC5" w:rsidRPr="00080EC5">
        <w:rPr>
          <w:vertAlign w:val="subscript"/>
        </w:rPr>
        <w:t>max</w:t>
      </w:r>
      <w:r>
        <w:t xml:space="preserve"> was observed follo</w:t>
      </w:r>
      <w:r w:rsidR="000F37F1">
        <w:t xml:space="preserve">wing administration with a high </w:t>
      </w:r>
      <w:r>
        <w:t>fat meal.</w:t>
      </w:r>
    </w:p>
    <w:p w:rsidR="008F2A62" w:rsidRDefault="008F2A62" w:rsidP="005D34FA">
      <w:r>
        <w:t>Following single ascending doses of BIC (5, 25, 50, 100, 300, or 600 mg) under fasted conditions, BIC exposures w</w:t>
      </w:r>
      <w:r w:rsidR="000F37F1">
        <w:t xml:space="preserve">ere approximately dose </w:t>
      </w:r>
      <w:r>
        <w:t>proportional over the dose range of 25 to 100 mg, whereas at lower doses (5 mg to 25 mg) and higher doses (100 mg to 600</w:t>
      </w:r>
      <w:r w:rsidR="00DF04D3">
        <w:t> </w:t>
      </w:r>
      <w:r>
        <w:t xml:space="preserve">mg) increases </w:t>
      </w:r>
      <w:r w:rsidR="000F37F1">
        <w:t xml:space="preserve">in exposure were less than dose </w:t>
      </w:r>
      <w:r>
        <w:t>proportional.</w:t>
      </w:r>
    </w:p>
    <w:p w:rsidR="008F2A62" w:rsidRDefault="008F2A62" w:rsidP="005D34FA">
      <w:r>
        <w:t>Following therapeutic (75 mg) and supra-therapeutic doses (300 mg) of BIC under fed conditions BIC exposure was slightly less than dose propor</w:t>
      </w:r>
      <w:r w:rsidR="000F37F1">
        <w:t xml:space="preserve">tional and GLSM ratios for dose </w:t>
      </w:r>
      <w:r>
        <w:t xml:space="preserve">normalised </w:t>
      </w:r>
      <w:r w:rsidR="00080EC5">
        <w:t>C</w:t>
      </w:r>
      <w:r w:rsidR="00080EC5" w:rsidRPr="00080EC5">
        <w:rPr>
          <w:vertAlign w:val="subscript"/>
        </w:rPr>
        <w:t>max</w:t>
      </w:r>
      <w:r>
        <w:t xml:space="preserve"> and AUC</w:t>
      </w:r>
      <w:r w:rsidRPr="00DF04D3">
        <w:rPr>
          <w:vertAlign w:val="subscript"/>
        </w:rPr>
        <w:t>inf</w:t>
      </w:r>
      <w:r>
        <w:t xml:space="preserve"> were </w:t>
      </w:r>
      <w:r w:rsidR="000F37F1">
        <w:t xml:space="preserve">approximately 86% (using the 75 </w:t>
      </w:r>
      <w:r>
        <w:t>mg dose as a reference).</w:t>
      </w:r>
    </w:p>
    <w:p w:rsidR="008F2A62" w:rsidRDefault="008F2A62" w:rsidP="005D34FA">
      <w:r>
        <w:t>Following multiple doses of 25 to 100 mg BIC, BIC AUC</w:t>
      </w:r>
      <w:r w:rsidRPr="00DF04D3">
        <w:rPr>
          <w:vertAlign w:val="subscript"/>
        </w:rPr>
        <w:t>tau</w:t>
      </w:r>
      <w:r>
        <w:t xml:space="preserve"> and </w:t>
      </w:r>
      <w:r w:rsidR="00080EC5">
        <w:t>C</w:t>
      </w:r>
      <w:r w:rsidR="00080EC5" w:rsidRPr="00080EC5">
        <w:rPr>
          <w:vertAlign w:val="subscript"/>
        </w:rPr>
        <w:t>max</w:t>
      </w:r>
      <w:r>
        <w:t xml:space="preserve"> value</w:t>
      </w:r>
      <w:r w:rsidR="000F37F1">
        <w:t xml:space="preserve">s increased in a less than dose proportional manner. Steady </w:t>
      </w:r>
      <w:r>
        <w:t>state levels of BIC were achieved following 4 to 6 d</w:t>
      </w:r>
      <w:r w:rsidR="00D57919">
        <w:t>ays</w:t>
      </w:r>
      <w:r>
        <w:t xml:space="preserve"> of dosing and the accumulation ratios for a</w:t>
      </w:r>
      <w:r w:rsidR="000F37F1">
        <w:t>ll doses were approximately 1.6</w:t>
      </w:r>
      <w:r w:rsidR="00946AEE">
        <w:t xml:space="preserve"> </w:t>
      </w:r>
      <w:r>
        <w:t>fold.</w:t>
      </w:r>
    </w:p>
    <w:p w:rsidR="008F2A62" w:rsidRDefault="008F2A62" w:rsidP="005D34FA">
      <w:r>
        <w:t>Following a single dose of the FDC tablet under fasted conditions, t</w:t>
      </w:r>
      <w:r w:rsidR="00D57919">
        <w:t>he Vz/F values</w:t>
      </w:r>
      <w:r w:rsidR="002D5055">
        <w:rPr>
          <w:rStyle w:val="FootnoteReference"/>
        </w:rPr>
        <w:footnoteReference w:id="30"/>
      </w:r>
      <w:r w:rsidR="00D57919">
        <w:t xml:space="preserve"> for the BIC, FTC</w:t>
      </w:r>
      <w:r>
        <w:t>,</w:t>
      </w:r>
      <w:r w:rsidR="00D57919">
        <w:t xml:space="preserve"> </w:t>
      </w:r>
      <w:r>
        <w:t>TAF components were 12.3 L, 543.2 L and 80.4 L, respectively.</w:t>
      </w:r>
    </w:p>
    <w:p w:rsidR="008F2A62" w:rsidRDefault="008F2A62" w:rsidP="005D34FA">
      <w:r w:rsidRPr="00C35B6B">
        <w:rPr>
          <w:i/>
        </w:rPr>
        <w:t>In vitro</w:t>
      </w:r>
      <w:r>
        <w:t xml:space="preserve"> studies indicate that BIC is highly bound to</w:t>
      </w:r>
      <w:r w:rsidR="00DF04D3">
        <w:t xml:space="preserve"> human plasma proteins (</w:t>
      </w:r>
      <w:r w:rsidR="00251457">
        <w:t xml:space="preserve">&gt; </w:t>
      </w:r>
      <w:r w:rsidR="00DF04D3">
        <w:t>99%).</w:t>
      </w:r>
    </w:p>
    <w:p w:rsidR="008F2A62" w:rsidRDefault="00D57919" w:rsidP="005D34FA">
      <w:r>
        <w:t xml:space="preserve">The blood to </w:t>
      </w:r>
      <w:r w:rsidR="008F2A62">
        <w:t>plasma ratio for BIC was approximately 0.51, indicating that BIC was predominantly distributed to plasma rather than the cellular components of blood.</w:t>
      </w:r>
    </w:p>
    <w:p w:rsidR="008F2A62" w:rsidRDefault="008F2A62" w:rsidP="005D34FA">
      <w:r>
        <w:t xml:space="preserve">The major metabolic pathways for BIC were direct glucuronidation, hydroxylation, defluorination, dehydrogenation, and Phase II conjugation of oxidised metabolites. </w:t>
      </w:r>
      <w:r w:rsidRPr="00C35B6B">
        <w:rPr>
          <w:i/>
        </w:rPr>
        <w:t>In vitro</w:t>
      </w:r>
      <w:r>
        <w:t xml:space="preserve"> studies indicate that metabolism is primarily mediated via CYP3A and UGT1A1.</w:t>
      </w:r>
    </w:p>
    <w:p w:rsidR="008F2A62" w:rsidRDefault="008F2A62" w:rsidP="005D34FA">
      <w:r>
        <w:t xml:space="preserve">A total of 20 metabolites of BIC were identified following a single dose of 100 mg </w:t>
      </w:r>
      <w:r w:rsidR="004E4AAB">
        <w:t>(</w:t>
      </w:r>
      <w:r w:rsidRPr="00D52105">
        <w:rPr>
          <w:vertAlign w:val="superscript"/>
        </w:rPr>
        <w:t>14</w:t>
      </w:r>
      <w:r>
        <w:t>C</w:t>
      </w:r>
      <w:r w:rsidR="004E4AAB">
        <w:t>)</w:t>
      </w:r>
      <w:r>
        <w:t>-BIC. In human plasma, BIC was the major circulating component and M20 (sulphate of hydroxy-BIC) and M15 (glucuronide of BIC) were the major metabolites, accounting for approximately 67.9%, 20.1%, and 8.6%, respectively. M15, which co-eluted with M58 were the major metabolites (21.4% of dose) identified in urine. In faeces, the major components were BIC (31% to 34% of dose), the cysteine conjugate of desfluoro-hydroxy-BIC (10% to 13% of dose), hydroxy-BIC co-eluted with desfluoro-hydroxy-GS 9883 (7% to 8% of dose for the co eluted peak)</w:t>
      </w:r>
      <w:r w:rsidR="00D52105">
        <w:t>, and minor oxidation products.</w:t>
      </w:r>
    </w:p>
    <w:p w:rsidR="008F2A62" w:rsidRDefault="008F2A62" w:rsidP="005D34FA">
      <w:r>
        <w:t>Foll</w:t>
      </w:r>
      <w:r w:rsidR="000F37F1">
        <w:t xml:space="preserve">owing a single oral dose of 100 </w:t>
      </w:r>
      <w:r>
        <w:t xml:space="preserve">mg </w:t>
      </w:r>
      <w:r w:rsidR="004E4AAB">
        <w:t>(</w:t>
      </w:r>
      <w:r w:rsidRPr="00D52105">
        <w:rPr>
          <w:vertAlign w:val="superscript"/>
        </w:rPr>
        <w:t>14</w:t>
      </w:r>
      <w:r w:rsidR="00F47F01">
        <w:t>C</w:t>
      </w:r>
      <w:r w:rsidR="004E4AAB">
        <w:t>)</w:t>
      </w:r>
      <w:r w:rsidR="00F47F01">
        <w:t>-BIC to healthy males</w:t>
      </w:r>
      <w:r>
        <w:t xml:space="preserve">, 95.3% of the </w:t>
      </w:r>
      <w:r w:rsidR="004E4AAB">
        <w:t>(</w:t>
      </w:r>
      <w:r w:rsidRPr="00D52105">
        <w:rPr>
          <w:vertAlign w:val="superscript"/>
        </w:rPr>
        <w:t>14</w:t>
      </w:r>
      <w:r>
        <w:t>C</w:t>
      </w:r>
      <w:r w:rsidR="004E4AAB">
        <w:t>)</w:t>
      </w:r>
      <w:r>
        <w:t>-BIC dose was recovered, with 60.3% of the dose recovered in faeces and 35.0% of the dose from urine.</w:t>
      </w:r>
    </w:p>
    <w:p w:rsidR="008F2A62" w:rsidRDefault="008F2A62" w:rsidP="000A018A">
      <w:pPr>
        <w:pStyle w:val="Heading5"/>
      </w:pPr>
      <w:r>
        <w:t>Intra and inter individual variability of PKs</w:t>
      </w:r>
    </w:p>
    <w:p w:rsidR="008F2A62" w:rsidRDefault="008F2A62" w:rsidP="008F2A62">
      <w:r>
        <w:t xml:space="preserve">For subjects administered BIC the inter-subject variability on CL/F, Vz/F and </w:t>
      </w:r>
      <w:r w:rsidR="00D52105">
        <w:t>K</w:t>
      </w:r>
      <w:r>
        <w:t xml:space="preserve">a were 27.4%, 11.1% and 124%, respectively, and the intra-subject variability (residual error) was 29.2%. For TAF the inter-subject variability on CL/F, Vc/F and D1 were 38.8%, 138%, </w:t>
      </w:r>
      <w:r>
        <w:lastRenderedPageBreak/>
        <w:t>and 53.4%, respectively, and the intra-subject variability in HIV infected patients was 84.0%.</w:t>
      </w:r>
      <w:r w:rsidR="00A26F7F">
        <w:rPr>
          <w:rStyle w:val="FootnoteReference"/>
        </w:rPr>
        <w:footnoteReference w:id="31"/>
      </w:r>
    </w:p>
    <w:p w:rsidR="008F2A62" w:rsidRDefault="008F2A62" w:rsidP="000A018A">
      <w:pPr>
        <w:pStyle w:val="Heading5"/>
      </w:pPr>
      <w:r>
        <w:t>Pharmacokinetics in target population</w:t>
      </w:r>
    </w:p>
    <w:p w:rsidR="008F2A62" w:rsidRDefault="008F2A62" w:rsidP="008F2A62">
      <w:r>
        <w:t>The median T</w:t>
      </w:r>
      <w:r w:rsidRPr="00D52105">
        <w:rPr>
          <w:vertAlign w:val="subscript"/>
        </w:rPr>
        <w:t>max</w:t>
      </w:r>
      <w:r>
        <w:t xml:space="preserve"> values follo</w:t>
      </w:r>
      <w:r w:rsidR="00D52105">
        <w:t xml:space="preserve">wing administration of </w:t>
      </w:r>
      <w:r w:rsidR="000F37F1">
        <w:t xml:space="preserve">single </w:t>
      </w:r>
      <w:r>
        <w:t>doses of BIC (5, 25, 50, and 100</w:t>
      </w:r>
      <w:r w:rsidR="000044A0">
        <w:t> </w:t>
      </w:r>
      <w:r>
        <w:t>mg) ranged between 1.00 and 1.83</w:t>
      </w:r>
      <w:r w:rsidR="00F47F01">
        <w:t xml:space="preserve"> hours </w:t>
      </w:r>
      <w:r>
        <w:t>post-dose. Mean BIC AUC</w:t>
      </w:r>
      <w:r w:rsidRPr="000F37F1">
        <w:rPr>
          <w:vertAlign w:val="subscript"/>
        </w:rPr>
        <w:t>0-24</w:t>
      </w:r>
      <w:r w:rsidR="000F37F1">
        <w:rPr>
          <w:vertAlign w:val="subscript"/>
        </w:rPr>
        <w:t>h</w:t>
      </w:r>
      <w:r>
        <w:t xml:space="preserve"> and </w:t>
      </w:r>
      <w:r w:rsidR="00080EC5">
        <w:t>C</w:t>
      </w:r>
      <w:r w:rsidR="00080EC5" w:rsidRPr="00080EC5">
        <w:rPr>
          <w:vertAlign w:val="subscript"/>
        </w:rPr>
        <w:t>max</w:t>
      </w:r>
      <w:r>
        <w:t xml:space="preserve"> were approximately dos</w:t>
      </w:r>
      <w:r w:rsidR="000F37F1">
        <w:t xml:space="preserve">e proportional following single </w:t>
      </w:r>
      <w:r>
        <w:t xml:space="preserve">dose administration of 5 to 50 mg dose administration, with decreasing dose proportionality at the </w:t>
      </w:r>
      <w:r w:rsidR="000F37F1">
        <w:t xml:space="preserve">100 mg dose. Following multiple </w:t>
      </w:r>
      <w:r>
        <w:t>daily doses of BIC (5, 25, 50, and 100 mg), the median T</w:t>
      </w:r>
      <w:r w:rsidRPr="00D52105">
        <w:rPr>
          <w:vertAlign w:val="subscript"/>
        </w:rPr>
        <w:t>max</w:t>
      </w:r>
      <w:r>
        <w:t xml:space="preserve"> values for the BIC treatment groups were between 1.25 and 2.74</w:t>
      </w:r>
      <w:r w:rsidR="00F47F01">
        <w:t xml:space="preserve"> hours </w:t>
      </w:r>
      <w:r>
        <w:t>post-dose. Plasma conce</w:t>
      </w:r>
      <w:r w:rsidR="000F37F1">
        <w:t xml:space="preserve">ntrations of BIC reached steady </w:t>
      </w:r>
      <w:r>
        <w:t>state by Day 10 and dose proportionality was observed in AUC</w:t>
      </w:r>
      <w:r w:rsidRPr="00D52105">
        <w:rPr>
          <w:vertAlign w:val="subscript"/>
        </w:rPr>
        <w:t>tau</w:t>
      </w:r>
      <w:r>
        <w:t xml:space="preserve">, </w:t>
      </w:r>
      <w:r w:rsidR="00080EC5">
        <w:t>C</w:t>
      </w:r>
      <w:r w:rsidR="00080EC5" w:rsidRPr="00080EC5">
        <w:rPr>
          <w:vertAlign w:val="subscript"/>
        </w:rPr>
        <w:t>max</w:t>
      </w:r>
      <w:r>
        <w:t xml:space="preserve"> and C</w:t>
      </w:r>
      <w:r w:rsidRPr="00D52105">
        <w:rPr>
          <w:vertAlign w:val="subscript"/>
        </w:rPr>
        <w:t>tau</w:t>
      </w:r>
      <w:r>
        <w:t xml:space="preserve"> over the dose range of 5 to</w:t>
      </w:r>
      <w:r w:rsidR="000F37F1">
        <w:t xml:space="preserve"> 100 mg using the 50 </w:t>
      </w:r>
      <w:r w:rsidR="00D52105">
        <w:t>mg dose as a reference.</w:t>
      </w:r>
    </w:p>
    <w:p w:rsidR="008F2A62" w:rsidRDefault="008F2A62" w:rsidP="000A018A">
      <w:pPr>
        <w:pStyle w:val="Heading5"/>
      </w:pPr>
      <w:r>
        <w:t>Pharmacokinetics in special populations</w:t>
      </w:r>
    </w:p>
    <w:p w:rsidR="008F2A62" w:rsidRDefault="008F2A62" w:rsidP="008F2A62">
      <w:r>
        <w:t>BIC exposure was lower in subjects with moderate hepatic impairment than in normal matched controls and the GLSM ratios for BIC AUC</w:t>
      </w:r>
      <w:r w:rsidRPr="00D52105">
        <w:rPr>
          <w:vertAlign w:val="subscript"/>
        </w:rPr>
        <w:t>inf</w:t>
      </w:r>
      <w:r>
        <w:t xml:space="preserve"> and </w:t>
      </w:r>
      <w:r w:rsidR="00080EC5">
        <w:t>C</w:t>
      </w:r>
      <w:r w:rsidR="00080EC5" w:rsidRPr="00080EC5">
        <w:rPr>
          <w:vertAlign w:val="subscript"/>
        </w:rPr>
        <w:t>max</w:t>
      </w:r>
      <w:r>
        <w:t xml:space="preserve"> were 58.71% and 63.50%, respectively.</w:t>
      </w:r>
    </w:p>
    <w:p w:rsidR="008F2A62" w:rsidRDefault="008F2A62" w:rsidP="008F2A62">
      <w:r>
        <w:t>Mean AUC</w:t>
      </w:r>
      <w:r w:rsidRPr="00D52105">
        <w:rPr>
          <w:vertAlign w:val="subscript"/>
        </w:rPr>
        <w:t>inf</w:t>
      </w:r>
      <w:r>
        <w:t>, AUC</w:t>
      </w:r>
      <w:r w:rsidRPr="00D52105">
        <w:rPr>
          <w:vertAlign w:val="subscript"/>
        </w:rPr>
        <w:t>last</w:t>
      </w:r>
      <w:r>
        <w:t xml:space="preserve"> and </w:t>
      </w:r>
      <w:r w:rsidR="00080EC5">
        <w:t>C</w:t>
      </w:r>
      <w:r w:rsidR="00080EC5" w:rsidRPr="00080EC5">
        <w:rPr>
          <w:vertAlign w:val="subscript"/>
        </w:rPr>
        <w:t>max</w:t>
      </w:r>
      <w:r>
        <w:t xml:space="preserve"> values for total BIC were slightly lower in the severe renal impairment group relative to the normal renal function group, with GLSM ratios of 72.63%, 72.43%, and 80.32%, respectively</w:t>
      </w:r>
      <w:r w:rsidR="00D52105">
        <w:t>.</w:t>
      </w:r>
    </w:p>
    <w:p w:rsidR="008F2A62" w:rsidRDefault="008F2A62" w:rsidP="008F2A62">
      <w:r>
        <w:t>The GLSM ratios (90% CIs) for the comparisons of plasma PK parameters between Japanese and Caucasian subjects were within the predefined no-effect boundaries of 70% and 14</w:t>
      </w:r>
      <w:r w:rsidR="00F12518">
        <w:t>3% for all analytes tested (that is,</w:t>
      </w:r>
      <w:r w:rsidR="00D52105">
        <w:t xml:space="preserve"> BIC, FTC, TAF, and TFV).</w:t>
      </w:r>
    </w:p>
    <w:p w:rsidR="008F2A62" w:rsidRDefault="008F2A62" w:rsidP="000A018A">
      <w:pPr>
        <w:pStyle w:val="Heading5"/>
      </w:pPr>
      <w:r>
        <w:t>Population pharmacokinetics</w:t>
      </w:r>
    </w:p>
    <w:p w:rsidR="008F2A62" w:rsidRDefault="008F2A62" w:rsidP="008F2A62">
      <w:r>
        <w:t>Pop</w:t>
      </w:r>
      <w:r w:rsidR="00242449">
        <w:t>ulation pharmacokinetics</w:t>
      </w:r>
      <w:r>
        <w:t xml:space="preserve"> analysis indicated that the plasma PKs of BIC</w:t>
      </w:r>
      <w:r w:rsidR="000F37F1">
        <w:t xml:space="preserve"> were best described a by a one </w:t>
      </w:r>
      <w:r>
        <w:t xml:space="preserve">compartment model with first order absorption, a lag time, and first order elimination from the central compartment. Body weight was identified as statistically significant covariates on BIC CL/F and Vc /F, health status on Vc/F, and baseline PPI status on </w:t>
      </w:r>
      <w:r w:rsidR="00D52105">
        <w:t>K</w:t>
      </w:r>
      <w:r>
        <w:t xml:space="preserve">a. Healthy subjects exhibited 7.3% lower Vc/F compared to HIV-infected subjects. Subjects corresponding to the 5th and 95th percentile of body weight (58 kg and 113 kg, respectively) demonstrated a </w:t>
      </w:r>
      <w:r w:rsidR="00D52105">
        <w:t>–</w:t>
      </w:r>
      <w:r>
        <w:t xml:space="preserve">15.1% and 19.2% difference in CL/F, respectively, and a </w:t>
      </w:r>
      <w:r w:rsidR="00D52105">
        <w:t>–</w:t>
      </w:r>
      <w:r>
        <w:t xml:space="preserve">21.5% and 29.7% difference in Vc/F, respectively, as compared to the typical 80 kg subject. Subjects with PPI usage exhibited 56.2% lower </w:t>
      </w:r>
      <w:r w:rsidR="00D52105">
        <w:t>K</w:t>
      </w:r>
      <w:r>
        <w:t>a compared to subjects without PPI usage.</w:t>
      </w:r>
    </w:p>
    <w:p w:rsidR="008F2A62" w:rsidRDefault="008F2A62" w:rsidP="008F2A62">
      <w:r>
        <w:t>Pop</w:t>
      </w:r>
      <w:r w:rsidR="00D52105">
        <w:t xml:space="preserve">ulation </w:t>
      </w:r>
      <w:r>
        <w:t>PK analysis indicated that the plasma PKs of T</w:t>
      </w:r>
      <w:r w:rsidR="00242449">
        <w:t xml:space="preserve">AF were best described by a two </w:t>
      </w:r>
      <w:r>
        <w:t>compart</w:t>
      </w:r>
      <w:r w:rsidR="00242449">
        <w:t xml:space="preserve">ment model with sequential zero order then first order absorption with first </w:t>
      </w:r>
      <w:r>
        <w:t>order elimination from the central compartment and redistribution from the peripheral compartment. Health status was identified as a statistically significant covariate on TAF CL/F and D1, and sex on CL/F. Female HIV-infected subjects exhibited 14.6% lower CL/F compared to male HIV-infected subjects. Male healthy volunteers exhibited 19.8% lower CL/F compared to male HIV-infected subjects. Female healthy volunteers exhibited 31.5% lower CL/F compared to male HIV-infected subjects. The estimated D1 values were 0.393 and 1.132 for HIV-infected subjects and he</w:t>
      </w:r>
      <w:r w:rsidR="00D52105">
        <w:t>althy volunteers, respectively.</w:t>
      </w:r>
    </w:p>
    <w:p w:rsidR="008F2A62" w:rsidRDefault="008F2A62" w:rsidP="008F2A62">
      <w:r>
        <w:t xml:space="preserve">The following covariates: age, gender, race, baseline creatinine clearance, concomitant medications, fasting status, prior treatment experience, and baseline </w:t>
      </w:r>
      <w:r w:rsidR="000044A0">
        <w:t xml:space="preserve">hepatitis </w:t>
      </w:r>
      <w:r w:rsidR="009E0328">
        <w:t>B virus (</w:t>
      </w:r>
      <w:r>
        <w:t>HBV</w:t>
      </w:r>
      <w:r w:rsidR="009E0328">
        <w:t>)</w:t>
      </w:r>
      <w:r>
        <w:t>/</w:t>
      </w:r>
      <w:r w:rsidR="000044A0">
        <w:t>h</w:t>
      </w:r>
      <w:r w:rsidR="009E0328">
        <w:t>epatitis C virus (</w:t>
      </w:r>
      <w:r>
        <w:t>HCV</w:t>
      </w:r>
      <w:r w:rsidR="009E0328">
        <w:t>)</w:t>
      </w:r>
      <w:r>
        <w:t xml:space="preserve"> co-infection; did not significantly impact the PKs of BIC or TAF.</w:t>
      </w:r>
    </w:p>
    <w:p w:rsidR="008F2A62" w:rsidRDefault="008F2A62" w:rsidP="008F2A62">
      <w:r>
        <w:lastRenderedPageBreak/>
        <w:t>The estimated components of BIC metabolism attributable to CYP3A and UGT1A1 were 39 % and 43 %, respectively, and a maximum of a 5.55</w:t>
      </w:r>
      <w:r w:rsidR="004E4AAB">
        <w:t xml:space="preserve"> fold </w:t>
      </w:r>
      <w:r>
        <w:t>increase in BIC exposure is expected upon complete inhib</w:t>
      </w:r>
      <w:r w:rsidR="00D52105">
        <w:t>ition of both CYP3A and UGT1A1.</w:t>
      </w:r>
    </w:p>
    <w:p w:rsidR="008F2A62" w:rsidRDefault="008F2A62" w:rsidP="000A018A">
      <w:pPr>
        <w:pStyle w:val="Heading5"/>
      </w:pPr>
      <w:r>
        <w:t>D</w:t>
      </w:r>
      <w:r w:rsidR="00D52105">
        <w:t>rug-drug interaction</w:t>
      </w:r>
      <w:r>
        <w:t>s</w:t>
      </w:r>
    </w:p>
    <w:p w:rsidR="008F2A62" w:rsidRDefault="008F2A62" w:rsidP="008F2A62">
      <w:r>
        <w:t xml:space="preserve">Following the administration of BIC single agent with FTC/TAF, the GLSM ratios (90% CIs) for each primary BIC PK parameter were within the predefined equivalence boundaries of 70% to 143%. Similarly, the exposure of FTC and TFV were not notably affected by BIC. By contrast, the </w:t>
      </w:r>
      <w:r w:rsidR="00080EC5">
        <w:t>C</w:t>
      </w:r>
      <w:r w:rsidR="00080EC5" w:rsidRPr="00080EC5">
        <w:rPr>
          <w:vertAlign w:val="subscript"/>
        </w:rPr>
        <w:t>max</w:t>
      </w:r>
      <w:r>
        <w:t xml:space="preserve"> and AUC</w:t>
      </w:r>
      <w:r w:rsidRPr="00D52105">
        <w:rPr>
          <w:vertAlign w:val="subscript"/>
        </w:rPr>
        <w:t>last</w:t>
      </w:r>
      <w:r>
        <w:t xml:space="preserve"> of TAF following BIC+FTC/TAF were 37% and 30% higher respectively than those following FTC/TAF treatment alone.</w:t>
      </w:r>
    </w:p>
    <w:p w:rsidR="004E5D79" w:rsidRDefault="008F2A62" w:rsidP="008F2A62">
      <w:r>
        <w:t xml:space="preserve">Co-administration of a single dose of 75 mg BIC with a UGT1A1/CYP3A4/P-gp inhibitor (300 mg atazanavir </w:t>
      </w:r>
      <w:r w:rsidR="004E4AAB">
        <w:t>(</w:t>
      </w:r>
      <w:r>
        <w:t>AT</w:t>
      </w:r>
      <w:r w:rsidR="00E4104E">
        <w:t>V</w:t>
      </w:r>
      <w:r w:rsidR="004E4AAB">
        <w:t>)</w:t>
      </w:r>
      <w:r w:rsidR="00E4104E">
        <w:t xml:space="preserve">+ 150 mg cobicistat </w:t>
      </w:r>
      <w:r w:rsidR="004E4AAB">
        <w:t>(</w:t>
      </w:r>
      <w:r w:rsidR="00E4104E">
        <w:t>COBI</w:t>
      </w:r>
      <w:r w:rsidR="004E4AAB">
        <w:t>)</w:t>
      </w:r>
      <w:r w:rsidR="00E4104E">
        <w:t xml:space="preserve"> </w:t>
      </w:r>
      <w:r w:rsidR="002D5055">
        <w:rPr>
          <w:rFonts w:cstheme="minorHAnsi"/>
        </w:rPr>
        <w:t>once daily</w:t>
      </w:r>
      <w:r w:rsidR="002D5055">
        <w:t xml:space="preserve"> (</w:t>
      </w:r>
      <w:r w:rsidR="00E4104E">
        <w:t>QD</w:t>
      </w:r>
      <w:r w:rsidR="002D5055">
        <w:t>)</w:t>
      </w:r>
      <w:r>
        <w:t>) under fed conditions resulted in increases in BIC AUC</w:t>
      </w:r>
      <w:r w:rsidRPr="00E4104E">
        <w:rPr>
          <w:vertAlign w:val="subscript"/>
        </w:rPr>
        <w:t>inf</w:t>
      </w:r>
      <w:r>
        <w:t xml:space="preserve">, </w:t>
      </w:r>
      <w:r w:rsidR="00080EC5">
        <w:t>C</w:t>
      </w:r>
      <w:r w:rsidR="00080EC5" w:rsidRPr="00080EC5">
        <w:rPr>
          <w:vertAlign w:val="subscript"/>
        </w:rPr>
        <w:t>max</w:t>
      </w:r>
      <w:r>
        <w:t xml:space="preserve"> and t</w:t>
      </w:r>
      <w:r w:rsidR="00E4104E" w:rsidRPr="00E4104E">
        <w:rPr>
          <w:vertAlign w:val="subscript"/>
        </w:rPr>
        <w:t>½</w:t>
      </w:r>
      <w:r>
        <w:t xml:space="preserve"> of 306%, 31% and 222%, respectively, relative to those for a single dose of BIC alone</w:t>
      </w:r>
      <w:r w:rsidR="004E5D79">
        <w:t>.</w:t>
      </w:r>
    </w:p>
    <w:p w:rsidR="008F2A62" w:rsidRDefault="008F2A62" w:rsidP="008F2A62">
      <w:r>
        <w:t>Co-administration of a single dose of BIC with a UGT1A1/CYP3A4 inhibitor (ATV alone) under fed conditions resulted in increases of 315% in AUC</w:t>
      </w:r>
      <w:r w:rsidRPr="00E4104E">
        <w:rPr>
          <w:vertAlign w:val="subscript"/>
        </w:rPr>
        <w:t>inf</w:t>
      </w:r>
      <w:r>
        <w:t xml:space="preserve">, 28% in </w:t>
      </w:r>
      <w:r w:rsidR="00080EC5">
        <w:t>C</w:t>
      </w:r>
      <w:r w:rsidR="00080EC5" w:rsidRPr="00080EC5">
        <w:rPr>
          <w:vertAlign w:val="subscript"/>
        </w:rPr>
        <w:t>max</w:t>
      </w:r>
      <w:r>
        <w:t>, and 225% in median t</w:t>
      </w:r>
      <w:r w:rsidR="00E4104E" w:rsidRPr="00E4104E">
        <w:rPr>
          <w:vertAlign w:val="subscript"/>
        </w:rPr>
        <w:t>½</w:t>
      </w:r>
      <w:r w:rsidR="00E4104E">
        <w:t>.</w:t>
      </w:r>
    </w:p>
    <w:p w:rsidR="008F2A62" w:rsidRDefault="008F2A62" w:rsidP="008F2A62">
      <w:r>
        <w:t>Co-administration of a single dose of BIC with an inhibitor of CYP3A4 only (VORI) under fasted conditions resulted in increases of 61% and 60% in BIC AUC</w:t>
      </w:r>
      <w:r w:rsidRPr="00E4104E">
        <w:rPr>
          <w:vertAlign w:val="subscript"/>
        </w:rPr>
        <w:t>inf</w:t>
      </w:r>
      <w:r>
        <w:t xml:space="preserve"> and t</w:t>
      </w:r>
      <w:r w:rsidR="00E4104E" w:rsidRPr="00E4104E">
        <w:rPr>
          <w:vertAlign w:val="subscript"/>
        </w:rPr>
        <w:t>½</w:t>
      </w:r>
      <w:r>
        <w:t xml:space="preserve">, respectively, whereas, </w:t>
      </w:r>
      <w:r w:rsidR="00080EC5">
        <w:t>C</w:t>
      </w:r>
      <w:r w:rsidR="00080EC5" w:rsidRPr="00080EC5">
        <w:rPr>
          <w:vertAlign w:val="subscript"/>
        </w:rPr>
        <w:t>max</w:t>
      </w:r>
      <w:r w:rsidR="00E4104E">
        <w:t xml:space="preserve"> was unchanged.</w:t>
      </w:r>
    </w:p>
    <w:p w:rsidR="008F2A62" w:rsidRDefault="008F2A62" w:rsidP="008F2A62">
      <w:r>
        <w:t>Co-administration of multiple doses of BIC QD with a CYP3A4 inhibitor (DRV/COBI) under fed conditions resulted in increases in BIC AUC</w:t>
      </w:r>
      <w:r w:rsidRPr="00E4104E">
        <w:rPr>
          <w:vertAlign w:val="subscript"/>
        </w:rPr>
        <w:t>tau</w:t>
      </w:r>
      <w:r>
        <w:t xml:space="preserve">, </w:t>
      </w:r>
      <w:r w:rsidR="00080EC5">
        <w:t>C</w:t>
      </w:r>
      <w:r w:rsidR="00080EC5" w:rsidRPr="00080EC5">
        <w:rPr>
          <w:vertAlign w:val="subscript"/>
        </w:rPr>
        <w:t>max</w:t>
      </w:r>
      <w:r>
        <w:t xml:space="preserve"> and C</w:t>
      </w:r>
      <w:r w:rsidRPr="00E4104E">
        <w:rPr>
          <w:vertAlign w:val="subscript"/>
        </w:rPr>
        <w:t>tau</w:t>
      </w:r>
      <w:r>
        <w:t xml:space="preserve"> of 74%, 52% and 111%, respectively.</w:t>
      </w:r>
    </w:p>
    <w:p w:rsidR="008F2A62" w:rsidRDefault="00242449" w:rsidP="008F2A62">
      <w:r>
        <w:t xml:space="preserve">Co-administration of a single </w:t>
      </w:r>
      <w:r w:rsidR="008F2A62">
        <w:t>dose of BIC with a CYP3A4/UGT1A1/P-gp inducer (RIF) under fed conditions resulted in decreases in BIC AUC</w:t>
      </w:r>
      <w:r w:rsidR="008F2A62" w:rsidRPr="00E4104E">
        <w:rPr>
          <w:vertAlign w:val="subscript"/>
        </w:rPr>
        <w:t>inf</w:t>
      </w:r>
      <w:r w:rsidR="008F2A62">
        <w:t xml:space="preserve">, </w:t>
      </w:r>
      <w:r w:rsidR="00080EC5">
        <w:t>C</w:t>
      </w:r>
      <w:r w:rsidR="00080EC5" w:rsidRPr="00080EC5">
        <w:rPr>
          <w:vertAlign w:val="subscript"/>
        </w:rPr>
        <w:t>max</w:t>
      </w:r>
      <w:r w:rsidR="008F2A62">
        <w:t xml:space="preserve"> and t</w:t>
      </w:r>
      <w:r w:rsidR="00E4104E" w:rsidRPr="00E4104E">
        <w:rPr>
          <w:vertAlign w:val="subscript"/>
        </w:rPr>
        <w:t>½</w:t>
      </w:r>
      <w:r w:rsidR="008F2A62">
        <w:t xml:space="preserve"> of 75%, 28% and 69%, respectively.</w:t>
      </w:r>
    </w:p>
    <w:p w:rsidR="008F2A62" w:rsidRDefault="008F2A62" w:rsidP="008F2A62">
      <w:r>
        <w:t>Co-administration of multiple doses of BIC once daily with a CYP3A4/P-gp inducer (</w:t>
      </w:r>
      <w:r w:rsidR="002D5055">
        <w:rPr>
          <w:rFonts w:eastAsia="TimesNewRoman" w:cstheme="minorHAnsi"/>
        </w:rPr>
        <w:t>rifabutin</w:t>
      </w:r>
      <w:r w:rsidR="002D5055">
        <w:t xml:space="preserve"> (</w:t>
      </w:r>
      <w:r>
        <w:t>RBT</w:t>
      </w:r>
      <w:r w:rsidR="002D5055">
        <w:t>)</w:t>
      </w:r>
      <w:r>
        <w:t>) under fasted conditions resulted in decreases in BIC AUC</w:t>
      </w:r>
      <w:r w:rsidRPr="00E4104E">
        <w:rPr>
          <w:vertAlign w:val="subscript"/>
        </w:rPr>
        <w:t>tau</w:t>
      </w:r>
      <w:r>
        <w:t xml:space="preserve">, </w:t>
      </w:r>
      <w:r w:rsidR="00080EC5">
        <w:t>C</w:t>
      </w:r>
      <w:r w:rsidR="00080EC5" w:rsidRPr="00080EC5">
        <w:rPr>
          <w:vertAlign w:val="subscript"/>
        </w:rPr>
        <w:t>max</w:t>
      </w:r>
      <w:r>
        <w:t xml:space="preserve"> and C</w:t>
      </w:r>
      <w:r w:rsidRPr="00E4104E">
        <w:rPr>
          <w:vertAlign w:val="subscript"/>
        </w:rPr>
        <w:t>tau</w:t>
      </w:r>
      <w:r>
        <w:t xml:space="preserve"> of 38%, 20% and 56%, respectively.</w:t>
      </w:r>
    </w:p>
    <w:p w:rsidR="008F2A62" w:rsidRDefault="008F2A62" w:rsidP="008F2A62">
      <w:r>
        <w:t>B/F/TAF (50/200/25 mg) FDC QD co-administration had no effect on the plasma PKs of the CYP3A substrate, MDZ o</w:t>
      </w:r>
      <w:r w:rsidR="00E4104E">
        <w:t>r LDV/SOF under fed conditions.</w:t>
      </w:r>
    </w:p>
    <w:p w:rsidR="008F2A62" w:rsidRDefault="008F2A62" w:rsidP="008F2A62">
      <w:r>
        <w:t>Co-a</w:t>
      </w:r>
      <w:r w:rsidR="00E4104E">
        <w:t>dministration of LDV/SOF and B/F</w:t>
      </w:r>
      <w:r>
        <w:t>/TAF had no effect on PKs of BIC, FTC, or TAF, whereas TFV AUC</w:t>
      </w:r>
      <w:r w:rsidRPr="00E4104E">
        <w:rPr>
          <w:vertAlign w:val="subscript"/>
        </w:rPr>
        <w:t>tau</w:t>
      </w:r>
      <w:r>
        <w:t xml:space="preserve">, </w:t>
      </w:r>
      <w:r w:rsidR="00080EC5">
        <w:t>C</w:t>
      </w:r>
      <w:r w:rsidR="00080EC5" w:rsidRPr="00080EC5">
        <w:rPr>
          <w:vertAlign w:val="subscript"/>
        </w:rPr>
        <w:t>max</w:t>
      </w:r>
      <w:r>
        <w:t xml:space="preserve"> and C</w:t>
      </w:r>
      <w:r w:rsidRPr="00E4104E">
        <w:rPr>
          <w:vertAlign w:val="subscript"/>
        </w:rPr>
        <w:t>tau</w:t>
      </w:r>
      <w:r>
        <w:t xml:space="preserve"> increased by 67%, 43%, and 81%, respectively.</w:t>
      </w:r>
    </w:p>
    <w:p w:rsidR="008F2A62" w:rsidRDefault="008F2A62" w:rsidP="008F2A62">
      <w:r>
        <w:t>Co-administration of SOF/VEL/VOX+VOX with B/F/TAF had no effect on BIC and FTC PKs, whereas, TAF AUC</w:t>
      </w:r>
      <w:r w:rsidRPr="00E4104E">
        <w:rPr>
          <w:vertAlign w:val="subscript"/>
        </w:rPr>
        <w:t>tau</w:t>
      </w:r>
      <w:r>
        <w:t>, AUC</w:t>
      </w:r>
      <w:r w:rsidRPr="00E4104E">
        <w:rPr>
          <w:vertAlign w:val="subscript"/>
        </w:rPr>
        <w:t>last</w:t>
      </w:r>
      <w:r>
        <w:t xml:space="preserve">, and </w:t>
      </w:r>
      <w:r w:rsidR="00080EC5">
        <w:t>C</w:t>
      </w:r>
      <w:r w:rsidR="00080EC5" w:rsidRPr="00080EC5">
        <w:rPr>
          <w:vertAlign w:val="subscript"/>
        </w:rPr>
        <w:t>max</w:t>
      </w:r>
      <w:r>
        <w:t xml:space="preserve"> values were 57.3%, 58.0%, and 28.1% higher, respectively and TFV AUC</w:t>
      </w:r>
      <w:r w:rsidRPr="00E4104E">
        <w:rPr>
          <w:vertAlign w:val="subscript"/>
        </w:rPr>
        <w:t>tau</w:t>
      </w:r>
      <w:r>
        <w:t xml:space="preserve">, </w:t>
      </w:r>
      <w:r w:rsidR="00080EC5">
        <w:t>C</w:t>
      </w:r>
      <w:r w:rsidR="00080EC5" w:rsidRPr="00080EC5">
        <w:rPr>
          <w:vertAlign w:val="subscript"/>
        </w:rPr>
        <w:t>max</w:t>
      </w:r>
      <w:r>
        <w:t>, and C</w:t>
      </w:r>
      <w:r w:rsidRPr="00E4104E">
        <w:rPr>
          <w:vertAlign w:val="subscript"/>
        </w:rPr>
        <w:t>tau</w:t>
      </w:r>
      <w:r>
        <w:t xml:space="preserve"> were 67.4%, 51.4%, </w:t>
      </w:r>
      <w:r w:rsidR="00E4104E">
        <w:t>and 73.6% higher, respectively.</w:t>
      </w:r>
    </w:p>
    <w:p w:rsidR="008F2A62" w:rsidRDefault="00242449" w:rsidP="008F2A62">
      <w:r>
        <w:t xml:space="preserve">Steady </w:t>
      </w:r>
      <w:r w:rsidR="00E4104E">
        <w:t>state co-administration of B/F</w:t>
      </w:r>
      <w:r w:rsidR="008F2A62">
        <w:t xml:space="preserve">/TAF (50/200/25 mg) FDC QD with metformin had little effect on metformin </w:t>
      </w:r>
      <w:r w:rsidR="00080EC5">
        <w:t>C</w:t>
      </w:r>
      <w:r w:rsidR="00080EC5" w:rsidRPr="00080EC5">
        <w:rPr>
          <w:vertAlign w:val="subscript"/>
        </w:rPr>
        <w:t>max</w:t>
      </w:r>
      <w:r w:rsidR="008F2A62">
        <w:t>, whereas, metformin AUC</w:t>
      </w:r>
      <w:r w:rsidR="008F2A62" w:rsidRPr="00E4104E">
        <w:rPr>
          <w:vertAlign w:val="subscript"/>
        </w:rPr>
        <w:t>tau</w:t>
      </w:r>
      <w:r w:rsidR="008F2A62">
        <w:t xml:space="preserve"> was increased by 39% and tubular secretion of metformin was reduced by approximately 39%.</w:t>
      </w:r>
    </w:p>
    <w:p w:rsidR="008F2A62" w:rsidRPr="00EE3C87" w:rsidRDefault="00EE3C87" w:rsidP="00C35B6B">
      <w:pPr>
        <w:pStyle w:val="Comment"/>
      </w:pPr>
      <w:r w:rsidRPr="00C35B6B">
        <w:rPr>
          <w:b/>
        </w:rPr>
        <w:t>Comment:</w:t>
      </w:r>
      <w:r>
        <w:t xml:space="preserve"> </w:t>
      </w:r>
      <w:r w:rsidR="008F2A62" w:rsidRPr="00EE3C87">
        <w:t>BIC exposure was reduced following simultaneous administrat</w:t>
      </w:r>
      <w:r w:rsidR="00242449" w:rsidRPr="00EE3C87">
        <w:t xml:space="preserve">ion of BIC/FTC/TAF with maximum </w:t>
      </w:r>
      <w:r w:rsidR="008F2A62" w:rsidRPr="00EE3C87">
        <w:t>strength antacid, calcium carbonate, or ferrous fumarate under fasted conditions with the largest reduction in BIC AUC</w:t>
      </w:r>
      <w:r w:rsidR="008F2A62" w:rsidRPr="00D57919">
        <w:rPr>
          <w:vertAlign w:val="subscript"/>
        </w:rPr>
        <w:t>inf</w:t>
      </w:r>
      <w:r w:rsidR="008F2A62" w:rsidRPr="00EE3C87">
        <w:t xml:space="preserve"> (approximately 79% lower versus B/FTC/TAF alone under fasted conditions) occurring following simultane</w:t>
      </w:r>
      <w:r w:rsidR="00242449" w:rsidRPr="00EE3C87">
        <w:t xml:space="preserve">ous administration with maximum </w:t>
      </w:r>
      <w:r w:rsidR="008F2A62" w:rsidRPr="00EE3C87">
        <w:t>strength antacid. These effects could be in part offset by sta</w:t>
      </w:r>
      <w:r w:rsidR="00242449" w:rsidRPr="00EE3C87">
        <w:t xml:space="preserve">ggering dosage or by a moderate </w:t>
      </w:r>
      <w:r w:rsidR="008F2A62" w:rsidRPr="00EE3C87">
        <w:t>fat meal, as described in Tables 1 and 4 of the proposed PI. However, the PI should p</w:t>
      </w:r>
      <w:r w:rsidR="00D57919">
        <w:t>ossibly</w:t>
      </w:r>
      <w:r w:rsidR="008F2A62" w:rsidRPr="00EE3C87">
        <w:t xml:space="preserve"> identify that even under these modified dosing conditions BIC exposure</w:t>
      </w:r>
      <w:r w:rsidRPr="00EE3C87">
        <w:t xml:space="preserve"> may be decreased by up to 50%.</w:t>
      </w:r>
    </w:p>
    <w:p w:rsidR="008F2A62" w:rsidRDefault="008F2A62" w:rsidP="000A018A">
      <w:pPr>
        <w:pStyle w:val="Heading5"/>
      </w:pPr>
      <w:r>
        <w:lastRenderedPageBreak/>
        <w:t>Limitations</w:t>
      </w:r>
    </w:p>
    <w:p w:rsidR="008F2A62" w:rsidRDefault="008F2A62" w:rsidP="008F2A62">
      <w:r>
        <w:t>The bioavailability of BIC was not examined.</w:t>
      </w:r>
    </w:p>
    <w:p w:rsidR="008F2A62" w:rsidRDefault="008F2A62" w:rsidP="008F2A62">
      <w:r>
        <w:t>The PKs and functional activity of the BIC metabolites have not been examined.</w:t>
      </w:r>
    </w:p>
    <w:p w:rsidR="008F2A62" w:rsidRPr="008F2A62" w:rsidRDefault="008F2A62" w:rsidP="008F2A62">
      <w:r>
        <w:t>PKs of BIC were not evaluated in HBV or HCV co-infected patients.</w:t>
      </w:r>
    </w:p>
    <w:p w:rsidR="008E7846" w:rsidRDefault="008E7846" w:rsidP="008E7846">
      <w:pPr>
        <w:pStyle w:val="Heading3"/>
      </w:pPr>
      <w:bookmarkStart w:id="82" w:name="_Toc196046481"/>
      <w:bookmarkStart w:id="83" w:name="_Toc247691520"/>
      <w:bookmarkStart w:id="84" w:name="_Toc314842503"/>
      <w:bookmarkStart w:id="85" w:name="_Toc20133979"/>
      <w:r w:rsidRPr="00254787">
        <w:t>Pharmacodynamics</w:t>
      </w:r>
      <w:bookmarkEnd w:id="70"/>
      <w:bookmarkEnd w:id="82"/>
      <w:bookmarkEnd w:id="83"/>
      <w:bookmarkEnd w:id="84"/>
      <w:bookmarkEnd w:id="85"/>
    </w:p>
    <w:p w:rsidR="00605AD4" w:rsidRDefault="00605AD4" w:rsidP="00605AD4">
      <w:pPr>
        <w:pStyle w:val="Heading4"/>
      </w:pPr>
      <w:r>
        <w:t>Studies providing pharmacodynamic data</w:t>
      </w:r>
    </w:p>
    <w:p w:rsidR="00500337" w:rsidRDefault="000D7440" w:rsidP="00500337">
      <w:r w:rsidRPr="000D7440">
        <w:t xml:space="preserve">All but a single PD study are included in </w:t>
      </w:r>
      <w:r w:rsidR="002D05A8">
        <w:t xml:space="preserve">Table 8 </w:t>
      </w:r>
      <w:r w:rsidRPr="000D7440">
        <w:t>as they also contained PK results, which have been described in the preceding section of this report</w:t>
      </w:r>
      <w:r w:rsidR="001D5ABB">
        <w:t xml:space="preserve">. </w:t>
      </w:r>
      <w:r w:rsidR="002D05A8">
        <w:t xml:space="preserve">Table 9 </w:t>
      </w:r>
      <w:r w:rsidR="001D5ABB">
        <w:t>shows the single PD study not previously referred to in Table 6.</w:t>
      </w:r>
    </w:p>
    <w:p w:rsidR="000D7440" w:rsidRDefault="001D5ABB" w:rsidP="001D5ABB">
      <w:pPr>
        <w:pStyle w:val="TableTitle"/>
      </w:pPr>
      <w:bookmarkStart w:id="86" w:name="_Ref5879755"/>
      <w:r>
        <w:t>Table</w:t>
      </w:r>
      <w:bookmarkEnd w:id="86"/>
      <w:r w:rsidR="002D05A8">
        <w:t xml:space="preserve"> 9</w:t>
      </w:r>
      <w:r w:rsidR="000D7440">
        <w:t xml:space="preserve">: </w:t>
      </w:r>
      <w:r w:rsidR="000D7440" w:rsidRPr="000D7440">
        <w:t>Su</w:t>
      </w:r>
      <w:r w:rsidR="000D7440">
        <w:t>bmitted pharmacodynamic studies</w:t>
      </w:r>
    </w:p>
    <w:tbl>
      <w:tblPr>
        <w:tblStyle w:val="TableTGAblue"/>
        <w:tblW w:w="5000" w:type="pct"/>
        <w:tblLook w:val="04A0" w:firstRow="1" w:lastRow="0" w:firstColumn="1" w:lastColumn="0" w:noHBand="0" w:noVBand="1"/>
      </w:tblPr>
      <w:tblGrid>
        <w:gridCol w:w="1961"/>
        <w:gridCol w:w="1690"/>
        <w:gridCol w:w="2150"/>
        <w:gridCol w:w="2919"/>
      </w:tblGrid>
      <w:tr w:rsidR="000D7440" w:rsidRPr="001D5ABB" w:rsidTr="001D5ABB">
        <w:trPr>
          <w:cnfStyle w:val="100000000000" w:firstRow="1" w:lastRow="0" w:firstColumn="0" w:lastColumn="0" w:oddVBand="0" w:evenVBand="0" w:oddHBand="0" w:evenHBand="0" w:firstRowFirstColumn="0" w:firstRowLastColumn="0" w:lastRowFirstColumn="0" w:lastRowLastColumn="0"/>
        </w:trPr>
        <w:tc>
          <w:tcPr>
            <w:tcW w:w="1124" w:type="pct"/>
          </w:tcPr>
          <w:p w:rsidR="000D7440" w:rsidRPr="001D5ABB" w:rsidRDefault="000D7440" w:rsidP="001D5ABB">
            <w:pPr>
              <w:rPr>
                <w:lang w:eastAsia="en-US"/>
              </w:rPr>
            </w:pPr>
            <w:r w:rsidRPr="001D5ABB">
              <w:rPr>
                <w:lang w:eastAsia="en-US"/>
              </w:rPr>
              <w:t>PD Topic</w:t>
            </w:r>
          </w:p>
        </w:tc>
        <w:tc>
          <w:tcPr>
            <w:tcW w:w="969" w:type="pct"/>
          </w:tcPr>
          <w:p w:rsidR="000D7440" w:rsidRPr="001D5ABB" w:rsidRDefault="000D7440" w:rsidP="001D5ABB">
            <w:pPr>
              <w:rPr>
                <w:lang w:eastAsia="en-US"/>
              </w:rPr>
            </w:pPr>
            <w:r w:rsidRPr="001D5ABB">
              <w:rPr>
                <w:lang w:eastAsia="en-US"/>
              </w:rPr>
              <w:t>Subtopic</w:t>
            </w:r>
          </w:p>
        </w:tc>
        <w:tc>
          <w:tcPr>
            <w:tcW w:w="1233" w:type="pct"/>
          </w:tcPr>
          <w:p w:rsidR="000D7440" w:rsidRPr="001D5ABB" w:rsidRDefault="000D7440" w:rsidP="001D5ABB">
            <w:pPr>
              <w:rPr>
                <w:lang w:eastAsia="en-US"/>
              </w:rPr>
            </w:pPr>
            <w:r w:rsidRPr="001D5ABB">
              <w:rPr>
                <w:lang w:eastAsia="en-US"/>
              </w:rPr>
              <w:t>Study ID</w:t>
            </w:r>
          </w:p>
        </w:tc>
        <w:tc>
          <w:tcPr>
            <w:tcW w:w="1674" w:type="pct"/>
          </w:tcPr>
          <w:p w:rsidR="000D7440" w:rsidRPr="001D5ABB" w:rsidRDefault="000D7440" w:rsidP="001D5ABB">
            <w:pPr>
              <w:rPr>
                <w:lang w:eastAsia="en-US"/>
              </w:rPr>
            </w:pPr>
            <w:r w:rsidRPr="001D5ABB">
              <w:rPr>
                <w:lang w:eastAsia="en-US"/>
              </w:rPr>
              <w:t>*</w:t>
            </w:r>
          </w:p>
        </w:tc>
      </w:tr>
      <w:tr w:rsidR="000D7440" w:rsidRPr="001D5ABB" w:rsidTr="001D5ABB">
        <w:tc>
          <w:tcPr>
            <w:tcW w:w="1124" w:type="pct"/>
          </w:tcPr>
          <w:p w:rsidR="000D7440" w:rsidRPr="001D5ABB" w:rsidRDefault="000D7440" w:rsidP="001D5ABB">
            <w:pPr>
              <w:rPr>
                <w:lang w:eastAsia="en-US"/>
              </w:rPr>
            </w:pPr>
            <w:r w:rsidRPr="001D5ABB">
              <w:rPr>
                <w:lang w:eastAsia="en-US"/>
              </w:rPr>
              <w:t>Secondary Pharmacology</w:t>
            </w:r>
          </w:p>
        </w:tc>
        <w:tc>
          <w:tcPr>
            <w:tcW w:w="969" w:type="pct"/>
          </w:tcPr>
          <w:p w:rsidR="000D7440" w:rsidRPr="001D5ABB" w:rsidRDefault="000D7440" w:rsidP="001D5ABB">
            <w:pPr>
              <w:rPr>
                <w:lang w:eastAsia="en-US"/>
              </w:rPr>
            </w:pPr>
            <w:r w:rsidRPr="001D5ABB">
              <w:rPr>
                <w:lang w:eastAsia="en-US"/>
              </w:rPr>
              <w:t>Effect on GFR</w:t>
            </w:r>
          </w:p>
        </w:tc>
        <w:tc>
          <w:tcPr>
            <w:tcW w:w="1233" w:type="pct"/>
          </w:tcPr>
          <w:p w:rsidR="000D7440" w:rsidRPr="001D5ABB" w:rsidRDefault="000D7440" w:rsidP="001D5ABB">
            <w:pPr>
              <w:rPr>
                <w:lang w:eastAsia="en-US"/>
              </w:rPr>
            </w:pPr>
            <w:r w:rsidRPr="001D5ABB">
              <w:rPr>
                <w:rFonts w:eastAsia="TimesNewRoman"/>
                <w:lang w:eastAsia="en-US"/>
              </w:rPr>
              <w:t>GS-US-141-1487</w:t>
            </w:r>
          </w:p>
        </w:tc>
        <w:tc>
          <w:tcPr>
            <w:tcW w:w="1674" w:type="pct"/>
          </w:tcPr>
          <w:p w:rsidR="000D7440" w:rsidRPr="001D5ABB" w:rsidRDefault="001D5ABB" w:rsidP="001D5ABB">
            <w:pPr>
              <w:rPr>
                <w:lang w:eastAsia="en-US"/>
              </w:rPr>
            </w:pPr>
            <w:r>
              <w:rPr>
                <w:rFonts w:eastAsia="TimesNewRoman"/>
                <w:lang w:eastAsia="en-US"/>
              </w:rPr>
              <w:t>Effect of BIC on renal function as a</w:t>
            </w:r>
            <w:r w:rsidR="000D7440" w:rsidRPr="001D5ABB">
              <w:rPr>
                <w:rFonts w:eastAsia="TimesNewRoman"/>
                <w:lang w:eastAsia="en-US"/>
              </w:rPr>
              <w:t>ss</w:t>
            </w:r>
            <w:r>
              <w:rPr>
                <w:rFonts w:eastAsia="TimesNewRoman"/>
                <w:lang w:eastAsia="en-US"/>
              </w:rPr>
              <w:t>essed by markers of glomerular filtration r</w:t>
            </w:r>
            <w:r w:rsidR="000D7440" w:rsidRPr="001D5ABB">
              <w:rPr>
                <w:rFonts w:eastAsia="TimesNewRoman"/>
                <w:lang w:eastAsia="en-US"/>
              </w:rPr>
              <w:t>ate</w:t>
            </w:r>
          </w:p>
        </w:tc>
      </w:tr>
    </w:tbl>
    <w:p w:rsidR="000D7440" w:rsidRPr="001D5ABB" w:rsidRDefault="000D7440" w:rsidP="001D5ABB">
      <w:pPr>
        <w:pStyle w:val="TableDescription"/>
      </w:pPr>
      <w:r w:rsidRPr="001D5ABB">
        <w:t>* Indicates the primary PD aim of the study.</w:t>
      </w:r>
    </w:p>
    <w:p w:rsidR="00605AD4" w:rsidRDefault="00605AD4" w:rsidP="00605AD4">
      <w:pPr>
        <w:pStyle w:val="Heading4"/>
      </w:pPr>
      <w:r>
        <w:t>Evaluator’s conclusions on pharmacodynamics</w:t>
      </w:r>
    </w:p>
    <w:p w:rsidR="000D7440" w:rsidRDefault="000D7440" w:rsidP="000D7440">
      <w:pPr>
        <w:pStyle w:val="Heading5"/>
      </w:pPr>
      <w:r>
        <w:t>Mechanism of action</w:t>
      </w:r>
    </w:p>
    <w:p w:rsidR="000D7440" w:rsidRDefault="000D7440" w:rsidP="000D7440">
      <w:r>
        <w:t>BIC is an INSTI, which blocks the strand transfer step of retroviral DNA integration which is essential for the HIV replication cycle. FTC is a nucleoside analogue of 2’-deoxycytidine, which is phosphorylated to form FTC triphosphate, which in turn inhibits HIV replication through incorporation into viral DNA by the HIV reverse transc</w:t>
      </w:r>
      <w:r w:rsidR="00242449">
        <w:t xml:space="preserve">riptase, resulting in DNA chain </w:t>
      </w:r>
      <w:r>
        <w:t>termination. TAF is a phosphonamidate prodrug of tenofovir, which is in turn phosphorylated to form tenofovir diphosphate, which inhibits HIV replication through incorporation into viral DNA by the HIV reverse transcript</w:t>
      </w:r>
      <w:r w:rsidR="00242449">
        <w:t>ase, which results in DNA chain termination.</w:t>
      </w:r>
    </w:p>
    <w:p w:rsidR="000D7440" w:rsidRDefault="000D7440" w:rsidP="000D7440">
      <w:pPr>
        <w:pStyle w:val="Heading5"/>
      </w:pPr>
      <w:r>
        <w:t>Antiviral activity</w:t>
      </w:r>
    </w:p>
    <w:p w:rsidR="000D7440" w:rsidRDefault="000D7440" w:rsidP="000D7440">
      <w:r>
        <w:t>In HIV-1 infected subjects, administration of BIC led to a dose dependent decrease in viral load. With increasing doses of BIC, the reduction of DAVG</w:t>
      </w:r>
      <w:r w:rsidRPr="001D5ABB">
        <w:rPr>
          <w:vertAlign w:val="subscript"/>
        </w:rPr>
        <w:t>11</w:t>
      </w:r>
      <w:r>
        <w:t xml:space="preserve"> in plasma HIV-1 RNA</w:t>
      </w:r>
      <w:r w:rsidR="000044A0">
        <w:t>;</w:t>
      </w:r>
      <w:r w:rsidR="00A26F7F">
        <w:rPr>
          <w:rStyle w:val="FootnoteReference"/>
        </w:rPr>
        <w:footnoteReference w:id="32"/>
      </w:r>
      <w:r>
        <w:t xml:space="preserve"> the maximum reduction of HIV-1 RNA from baseline and the reduction of plasma HIV-1 RNA at Day 11 from baseline all increased. In add</w:t>
      </w:r>
      <w:r w:rsidR="001D5ABB">
        <w:t>ition, the slope of viral decay</w:t>
      </w:r>
      <w:r>
        <w:t xml:space="preserve"> </w:t>
      </w:r>
      <w:r w:rsidR="001D5ABB">
        <w:t>steepened as BIC dose increased</w:t>
      </w:r>
      <w:r>
        <w:t>.</w:t>
      </w:r>
    </w:p>
    <w:p w:rsidR="000D7440" w:rsidRDefault="000D7440" w:rsidP="000D7440">
      <w:pPr>
        <w:pStyle w:val="Heading5"/>
      </w:pPr>
      <w:r>
        <w:t xml:space="preserve">Secondary </w:t>
      </w:r>
      <w:r w:rsidR="000044A0">
        <w:t>pharmacodynamic</w:t>
      </w:r>
      <w:r>
        <w:t xml:space="preserve"> effects</w:t>
      </w:r>
    </w:p>
    <w:p w:rsidR="000D7440" w:rsidRDefault="000D7440" w:rsidP="000D7440">
      <w:r>
        <w:t>BIC had no demonstrable effect on QTc elongation or renal function. In addition, no correlation between BIC plasma exposure and hepatic function was identified.</w:t>
      </w:r>
    </w:p>
    <w:p w:rsidR="001D5ABB" w:rsidRDefault="000D7440" w:rsidP="000D7440">
      <w:r>
        <w:t xml:space="preserve">Following treatment with BIC, no mutations were identified in the </w:t>
      </w:r>
      <w:r w:rsidR="00E45E80">
        <w:t>integrase</w:t>
      </w:r>
      <w:r>
        <w:t xml:space="preserve"> portion of the pol gene th</w:t>
      </w:r>
      <w:r w:rsidR="009538A0">
        <w:t>at conferred resistance to BIC.</w:t>
      </w:r>
    </w:p>
    <w:p w:rsidR="000D7440" w:rsidRDefault="000D7440" w:rsidP="001D5ABB">
      <w:pPr>
        <w:pStyle w:val="Heading5"/>
      </w:pPr>
      <w:r>
        <w:lastRenderedPageBreak/>
        <w:t>Interactions</w:t>
      </w:r>
    </w:p>
    <w:p w:rsidR="00500337" w:rsidRPr="00500337" w:rsidRDefault="000D7440" w:rsidP="000D7440">
      <w:r>
        <w:t xml:space="preserve">BIC had no effect on the ability of metformin to decrease glucose levels or increase active </w:t>
      </w:r>
      <w:r w:rsidR="000044A0">
        <w:rPr>
          <w:rFonts w:eastAsia="TimesNewRoman" w:cs="TimesNewRoman"/>
        </w:rPr>
        <w:t>glucagon</w:t>
      </w:r>
      <w:r w:rsidR="009E0328">
        <w:rPr>
          <w:rFonts w:eastAsia="TimesNewRoman" w:cs="TimesNewRoman"/>
        </w:rPr>
        <w:t xml:space="preserve">-like </w:t>
      </w:r>
      <w:r w:rsidR="000044A0">
        <w:rPr>
          <w:rFonts w:eastAsia="TimesNewRoman" w:cs="TimesNewRoman"/>
        </w:rPr>
        <w:t>p</w:t>
      </w:r>
      <w:r w:rsidR="009E0328">
        <w:rPr>
          <w:rFonts w:eastAsia="TimesNewRoman" w:cs="TimesNewRoman"/>
        </w:rPr>
        <w:t>eptide 1 (</w:t>
      </w:r>
      <w:r>
        <w:t>GLP-1</w:t>
      </w:r>
      <w:r w:rsidR="009E0328">
        <w:t>)</w:t>
      </w:r>
      <w:r>
        <w:t xml:space="preserve"> and lactate levels.</w:t>
      </w:r>
    </w:p>
    <w:p w:rsidR="008E7846" w:rsidRDefault="00605AD4" w:rsidP="00605AD4">
      <w:pPr>
        <w:pStyle w:val="Heading3"/>
      </w:pPr>
      <w:bookmarkStart w:id="87" w:name="_Toc20133980"/>
      <w:r>
        <w:t>Dosage selection for the pivotal studies</w:t>
      </w:r>
      <w:bookmarkEnd w:id="87"/>
    </w:p>
    <w:p w:rsidR="000D7440" w:rsidRDefault="000D7440" w:rsidP="000D7440">
      <w:pPr>
        <w:pStyle w:val="Heading4"/>
      </w:pPr>
      <w:r>
        <w:t>Pharmacokinetics and pharmacodynamics: dose finding studies</w:t>
      </w:r>
    </w:p>
    <w:p w:rsidR="000D7440" w:rsidRDefault="000D7440" w:rsidP="000D7440">
      <w:r>
        <w:t xml:space="preserve">The BIC 50 mg dose was based on data from the first time in human </w:t>
      </w:r>
      <w:r w:rsidR="00116653">
        <w:t>Study</w:t>
      </w:r>
      <w:r w:rsidR="000044A0">
        <w:t> </w:t>
      </w:r>
      <w:r>
        <w:t>GS</w:t>
      </w:r>
      <w:r w:rsidR="009538A0">
        <w:noBreakHyphen/>
      </w:r>
      <w:r>
        <w:t>US</w:t>
      </w:r>
      <w:r w:rsidR="009538A0">
        <w:noBreakHyphen/>
      </w:r>
      <w:r>
        <w:t>141</w:t>
      </w:r>
      <w:r w:rsidR="009538A0">
        <w:noBreakHyphen/>
      </w:r>
      <w:r>
        <w:t xml:space="preserve">1218, and the dose </w:t>
      </w:r>
      <w:r w:rsidR="009D7B64">
        <w:t>ranging proof of concept Phase I</w:t>
      </w:r>
      <w:r w:rsidR="009538A0">
        <w:t xml:space="preserve">b </w:t>
      </w:r>
      <w:r w:rsidR="00116653">
        <w:t>Study</w:t>
      </w:r>
      <w:r w:rsidR="009538A0">
        <w:t xml:space="preserve"> 1219.</w:t>
      </w:r>
    </w:p>
    <w:p w:rsidR="000D7440" w:rsidRDefault="000D7440" w:rsidP="000D7440">
      <w:r>
        <w:t>Regarding BIC,</w:t>
      </w:r>
      <w:r w:rsidR="009538A0">
        <w:t xml:space="preserve"> a single </w:t>
      </w:r>
      <w:r w:rsidR="000044A0">
        <w:t>s</w:t>
      </w:r>
      <w:r w:rsidR="00116653">
        <w:t>tudy</w:t>
      </w:r>
      <w:r w:rsidR="009538A0">
        <w:t xml:space="preserve">, </w:t>
      </w:r>
      <w:r w:rsidR="000044A0">
        <w:t xml:space="preserve">Study </w:t>
      </w:r>
      <w:r w:rsidR="009538A0">
        <w:t>GS-US-141-1219</w:t>
      </w:r>
      <w:r>
        <w:t xml:space="preserve"> examined the PKs and antiviral activity of a range of single and multiple doses (5 mg, 25 mg, 50 mg and 100 mg) of BIC in HIV-1 infected subjects under fasted conditions. The results</w:t>
      </w:r>
      <w:r w:rsidR="00242449">
        <w:t xml:space="preserve"> indicated that there were dose </w:t>
      </w:r>
      <w:r>
        <w:t>dependent statistically significant differences compared to placebo in DAVG</w:t>
      </w:r>
      <w:r w:rsidRPr="009538A0">
        <w:rPr>
          <w:vertAlign w:val="subscript"/>
        </w:rPr>
        <w:t>11</w:t>
      </w:r>
      <w:r>
        <w:t xml:space="preserve"> in plasma HIV-1 RNA, maximum reduction from baseline in plasma HIV-1 RNA, viral decay slope, and change from baseline at Day 11 in plasma HIV-1 RNA for all doses</w:t>
      </w:r>
      <w:r w:rsidR="00B65EB1">
        <w:t xml:space="preserve"> (</w:t>
      </w:r>
      <w:r w:rsidR="002D05A8">
        <w:t>Table 10</w:t>
      </w:r>
      <w:r w:rsidR="00B65EB1">
        <w:t>)</w:t>
      </w:r>
      <w:r>
        <w:t>. In addition, the results indicated that the antiviral effects plateaued and were similar at the 25 mg and 50 mg doses of BIC; whereas, at the 100 mg dose these effects were slightly potentiated. Therefore, given that a dose of 75 mg BIC was initially considered for incorporation in the FDC tablet and that Study GS-US-141-1233 indicated that exposure to BIC was equivalent following administration of a single tablet of 75 mg BIC and a FDC tablet containing BIC</w:t>
      </w:r>
      <w:r w:rsidR="009538A0">
        <w:t> </w:t>
      </w:r>
      <w:r>
        <w:t>50</w:t>
      </w:r>
      <w:r w:rsidR="009538A0">
        <w:t> </w:t>
      </w:r>
      <w:r>
        <w:t>mg/FTC 200 mg/TAF 25 mg then the choice of the BIC dose appears to appropriate when given as part of the proposed FDC.</w:t>
      </w:r>
    </w:p>
    <w:p w:rsidR="00B65EB1" w:rsidRDefault="00B65EB1" w:rsidP="00B65EB1">
      <w:pPr>
        <w:pStyle w:val="TableTitle"/>
      </w:pPr>
      <w:bookmarkStart w:id="88" w:name="_Ref5883791"/>
      <w:r>
        <w:t>Table</w:t>
      </w:r>
      <w:bookmarkEnd w:id="88"/>
      <w:r w:rsidR="002D05A8">
        <w:t xml:space="preserve"> 10</w:t>
      </w:r>
      <w:r>
        <w:t xml:space="preserve">: </w:t>
      </w:r>
      <w:r w:rsidRPr="00A41D8E">
        <w:t>Study GS-US-141-1219 Efficacy endpoints following administration of a range of BIC doses or placebo</w:t>
      </w:r>
    </w:p>
    <w:p w:rsidR="00B65EB1" w:rsidRDefault="00B65EB1" w:rsidP="000D7440">
      <w:r>
        <w:rPr>
          <w:noProof/>
          <w:lang w:eastAsia="en-AU"/>
        </w:rPr>
        <w:drawing>
          <wp:inline distT="0" distB="0" distL="0" distR="0" wp14:anchorId="3017BA7F" wp14:editId="195A7327">
            <wp:extent cx="5400040" cy="2879444"/>
            <wp:effectExtent l="0" t="0" r="0" b="0"/>
            <wp:docPr id="33" name="Picture 33" descr="Study GS-US-141-1219 Efficacy endpoints following administration of a range of BIC doses or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879444"/>
                    </a:xfrm>
                    <a:prstGeom prst="rect">
                      <a:avLst/>
                    </a:prstGeom>
                  </pic:spPr>
                </pic:pic>
              </a:graphicData>
            </a:graphic>
          </wp:inline>
        </w:drawing>
      </w:r>
    </w:p>
    <w:p w:rsidR="000D7440" w:rsidRDefault="000D7440" w:rsidP="000D7440">
      <w:pPr>
        <w:pStyle w:val="Heading4"/>
      </w:pPr>
      <w:r>
        <w:t>Phase II dose finding studies</w:t>
      </w:r>
    </w:p>
    <w:p w:rsidR="000D7440" w:rsidRDefault="000D7440" w:rsidP="000D7440">
      <w:r>
        <w:t xml:space="preserve">Dose selection for the Phase </w:t>
      </w:r>
      <w:r w:rsidR="009D7B64">
        <w:t>III</w:t>
      </w:r>
      <w:r>
        <w:t xml:space="preserve"> studies was based on data from the bioavailability </w:t>
      </w:r>
      <w:r w:rsidR="00116653">
        <w:t>Study</w:t>
      </w:r>
      <w:r w:rsidR="000044A0">
        <w:t> </w:t>
      </w:r>
      <w:r>
        <w:t xml:space="preserve">GS-US-141-1233; and the Phase </w:t>
      </w:r>
      <w:r w:rsidR="009D7B64">
        <w:t>II</w:t>
      </w:r>
      <w:r w:rsidR="009538A0">
        <w:t xml:space="preserve"> </w:t>
      </w:r>
      <w:r w:rsidR="00116653">
        <w:t>Study</w:t>
      </w:r>
      <w:r w:rsidR="009538A0">
        <w:t xml:space="preserve"> 1475.</w:t>
      </w:r>
      <w:r>
        <w:t xml:space="preserve"> Study 1475 was exploratory but the study results</w:t>
      </w:r>
      <w:r w:rsidR="00242449">
        <w:t xml:space="preserve"> convincingly supported the BIC </w:t>
      </w:r>
      <w:r>
        <w:t xml:space="preserve">containing </w:t>
      </w:r>
      <w:r w:rsidR="009D7B64">
        <w:t>regimen proposed for the Phase</w:t>
      </w:r>
      <w:r w:rsidR="000044A0">
        <w:t> </w:t>
      </w:r>
      <w:r w:rsidR="009D7B64">
        <w:t>III trial program.</w:t>
      </w:r>
    </w:p>
    <w:p w:rsidR="000D7440" w:rsidRDefault="000D7440" w:rsidP="000D7440">
      <w:pPr>
        <w:pStyle w:val="Heading4"/>
      </w:pPr>
      <w:r>
        <w:lastRenderedPageBreak/>
        <w:t>Evaluator’s conclusions on dose finding for the pivotal studies</w:t>
      </w:r>
    </w:p>
    <w:p w:rsidR="000D7440" w:rsidRPr="000D7440" w:rsidRDefault="000D7440" w:rsidP="000D7440">
      <w:r>
        <w:t xml:space="preserve">The dose finding studies were satisfactory. The FTC 200 mg and TAF 25 mg doses are the approved doses for the treatment of HIV-1 infection in adults and children. The BIC 50 mg dose was based on pre-clinical data, two Phase </w:t>
      </w:r>
      <w:r w:rsidR="009D7B64">
        <w:t>I</w:t>
      </w:r>
      <w:r w:rsidR="009538A0">
        <w:t xml:space="preserve"> studies</w:t>
      </w:r>
      <w:r>
        <w:t xml:space="preserve"> and two Phase </w:t>
      </w:r>
      <w:r w:rsidR="009D7B64">
        <w:t>II</w:t>
      </w:r>
      <w:r>
        <w:t xml:space="preserve"> studies.</w:t>
      </w:r>
    </w:p>
    <w:p w:rsidR="008E7846" w:rsidRPr="00254787" w:rsidRDefault="008E7846" w:rsidP="008E7846">
      <w:pPr>
        <w:pStyle w:val="Heading3"/>
      </w:pPr>
      <w:bookmarkStart w:id="89" w:name="_Toc163441372"/>
      <w:bookmarkStart w:id="90" w:name="_Toc196046485"/>
      <w:bookmarkStart w:id="91" w:name="_Toc247691521"/>
      <w:bookmarkStart w:id="92" w:name="_Toc314842504"/>
      <w:bookmarkStart w:id="93" w:name="_Toc20133981"/>
      <w:r w:rsidRPr="00254787">
        <w:t>Efficacy</w:t>
      </w:r>
      <w:bookmarkEnd w:id="89"/>
      <w:bookmarkEnd w:id="90"/>
      <w:bookmarkEnd w:id="91"/>
      <w:bookmarkEnd w:id="92"/>
      <w:bookmarkEnd w:id="93"/>
    </w:p>
    <w:p w:rsidR="00605AD4" w:rsidRDefault="00605AD4" w:rsidP="00605AD4">
      <w:pPr>
        <w:pStyle w:val="Heading4"/>
      </w:pPr>
      <w:bookmarkStart w:id="94" w:name="_Toc184439992"/>
      <w:bookmarkStart w:id="95" w:name="_Toc184440279"/>
      <w:bookmarkStart w:id="96" w:name="_Toc184444657"/>
      <w:bookmarkStart w:id="97" w:name="_Toc196046487"/>
      <w:r>
        <w:t>Studies providing efficacy data</w:t>
      </w:r>
    </w:p>
    <w:p w:rsidR="000D7440" w:rsidRDefault="000D7440" w:rsidP="000D7440">
      <w:pPr>
        <w:pStyle w:val="Heading5"/>
      </w:pPr>
      <w:r>
        <w:t xml:space="preserve">Pivotal Phase </w:t>
      </w:r>
      <w:r w:rsidR="009D7B64">
        <w:t>III</w:t>
      </w:r>
    </w:p>
    <w:p w:rsidR="000D7440" w:rsidRDefault="000D7440" w:rsidP="000D7440">
      <w:pPr>
        <w:pStyle w:val="ListBullet"/>
      </w:pPr>
      <w:r>
        <w:t>GS-US-380-1489 (</w:t>
      </w:r>
      <w:r w:rsidR="00850938">
        <w:t>also referred to as Study 1489);</w:t>
      </w:r>
      <w:r>
        <w:t xml:space="preserve"> a randomised,</w:t>
      </w:r>
      <w:r w:rsidR="009538A0">
        <w:t xml:space="preserve"> double-blind study of B/F/TAF versus</w:t>
      </w:r>
      <w:r>
        <w:t xml:space="preserve"> </w:t>
      </w:r>
      <w:r w:rsidR="00A26F7F">
        <w:t xml:space="preserve">ABC </w:t>
      </w:r>
      <w:r>
        <w:t>/DTG/3TC</w:t>
      </w:r>
      <w:r w:rsidR="009538A0">
        <w:t>.</w:t>
      </w:r>
      <w:r w:rsidR="00A26F7F">
        <w:rPr>
          <w:rStyle w:val="FootnoteReference"/>
        </w:rPr>
        <w:footnoteReference w:id="33"/>
      </w:r>
    </w:p>
    <w:p w:rsidR="000D7440" w:rsidRDefault="000D7440" w:rsidP="000D7440">
      <w:pPr>
        <w:pStyle w:val="ListBullet"/>
      </w:pPr>
      <w:r>
        <w:t>GS-US-380-1490 (</w:t>
      </w:r>
      <w:r w:rsidR="00850938">
        <w:t>also referred to as Study 1490);</w:t>
      </w:r>
      <w:r>
        <w:t xml:space="preserve"> a randomised, double-blind study of B/F/TAF </w:t>
      </w:r>
      <w:r w:rsidR="009538A0">
        <w:t>versus</w:t>
      </w:r>
      <w:r>
        <w:t xml:space="preserve"> DTG</w:t>
      </w:r>
      <w:r w:rsidR="009538A0">
        <w:t> </w:t>
      </w:r>
      <w:r w:rsidR="0058597B">
        <w:t>+</w:t>
      </w:r>
      <w:r w:rsidR="009538A0">
        <w:t> </w:t>
      </w:r>
      <w:r>
        <w:t>F/TAF</w:t>
      </w:r>
      <w:r w:rsidR="009538A0">
        <w:t>.</w:t>
      </w:r>
    </w:p>
    <w:p w:rsidR="009538A0" w:rsidRDefault="000D7440" w:rsidP="000D7440">
      <w:pPr>
        <w:pStyle w:val="ListBullet"/>
      </w:pPr>
      <w:r>
        <w:t>GS-US-380-1844 (</w:t>
      </w:r>
      <w:r w:rsidR="00850938">
        <w:t>also referred to as Study 1844);</w:t>
      </w:r>
      <w:r>
        <w:t xml:space="preserve"> a randomised, double-blind study to evaluate continuing ABC/DTG/3TC </w:t>
      </w:r>
      <w:r w:rsidR="009538A0">
        <w:t>versus</w:t>
      </w:r>
      <w:r>
        <w:t xml:space="preserve"> switching to B/F/TAF</w:t>
      </w:r>
      <w:r w:rsidR="009538A0">
        <w:t>.</w:t>
      </w:r>
    </w:p>
    <w:p w:rsidR="000D7440" w:rsidRDefault="000D7440" w:rsidP="000D7440">
      <w:pPr>
        <w:pStyle w:val="ListBullet"/>
      </w:pPr>
      <w:r>
        <w:t>GS-US-380-1878 (</w:t>
      </w:r>
      <w:r w:rsidR="00850938">
        <w:t>also referred to as Study 1878);</w:t>
      </w:r>
      <w:r>
        <w:t xml:space="preserve"> a randomised, open-label study to evaluate continuing boosted </w:t>
      </w:r>
      <w:r w:rsidR="009538A0">
        <w:t xml:space="preserve">ATV or </w:t>
      </w:r>
      <w:r>
        <w:t xml:space="preserve">DRV plus either FTC/TDF or ABC/3TC </w:t>
      </w:r>
      <w:r w:rsidR="009538A0">
        <w:t>versus</w:t>
      </w:r>
      <w:r>
        <w:t xml:space="preserve"> switching to B/F/TAF</w:t>
      </w:r>
      <w:r w:rsidR="009538A0">
        <w:t>.</w:t>
      </w:r>
    </w:p>
    <w:p w:rsidR="000D7440" w:rsidRDefault="009D7B64" w:rsidP="000D7440">
      <w:pPr>
        <w:pStyle w:val="Heading5"/>
      </w:pPr>
      <w:r>
        <w:t>Other studies (Phase II</w:t>
      </w:r>
      <w:r w:rsidR="000D7440">
        <w:t>)</w:t>
      </w:r>
    </w:p>
    <w:p w:rsidR="000D7440" w:rsidRDefault="00242449" w:rsidP="000D7440">
      <w:pPr>
        <w:pStyle w:val="ListBullet"/>
      </w:pPr>
      <w:r>
        <w:t>GS-US-141-1475 (</w:t>
      </w:r>
      <w:r w:rsidR="00850938">
        <w:t>also referred to as Study 1475);</w:t>
      </w:r>
      <w:r w:rsidR="009538A0">
        <w:t xml:space="preserve"> </w:t>
      </w:r>
      <w:r w:rsidR="000D7440">
        <w:t xml:space="preserve">a randomised, double-blind study of </w:t>
      </w:r>
      <w:r w:rsidR="009538A0">
        <w:t>BIC</w:t>
      </w:r>
      <w:r w:rsidR="000D7440">
        <w:t xml:space="preserve"> </w:t>
      </w:r>
      <w:r w:rsidR="0058597B">
        <w:t>+</w:t>
      </w:r>
      <w:r w:rsidR="000D7440">
        <w:t xml:space="preserve"> F</w:t>
      </w:r>
      <w:r w:rsidR="009538A0">
        <w:t>TC</w:t>
      </w:r>
      <w:r w:rsidR="000D7440">
        <w:t xml:space="preserve">/TAF </w:t>
      </w:r>
      <w:r w:rsidR="009538A0">
        <w:t>versus</w:t>
      </w:r>
      <w:r w:rsidR="000D7440">
        <w:t xml:space="preserve"> DTG </w:t>
      </w:r>
      <w:r w:rsidR="0058597B">
        <w:t>+</w:t>
      </w:r>
      <w:r w:rsidR="000D7440">
        <w:t xml:space="preserve"> F</w:t>
      </w:r>
      <w:r w:rsidR="009538A0">
        <w:t>TC</w:t>
      </w:r>
      <w:r w:rsidR="000D7440">
        <w:t>/TAF</w:t>
      </w:r>
      <w:r w:rsidR="009538A0">
        <w:t>.</w:t>
      </w:r>
    </w:p>
    <w:p w:rsidR="008E7846" w:rsidRDefault="00605AD4" w:rsidP="00605AD4">
      <w:pPr>
        <w:pStyle w:val="Heading4"/>
      </w:pPr>
      <w:r>
        <w:t>Evaluator’s conclusions on efficacy</w:t>
      </w:r>
    </w:p>
    <w:p w:rsidR="000D7440" w:rsidRDefault="000D7440" w:rsidP="000D7440">
      <w:r>
        <w:t xml:space="preserve">Combination ART is recommended in all relevant guidelines to suppress viral replication, increase CD4 cell counts and prevent disease progression. For </w:t>
      </w:r>
      <w:r w:rsidR="00850938">
        <w:t>ART naïve</w:t>
      </w:r>
      <w:r>
        <w:t xml:space="preserve"> adults, a combination of two NRTIs given with an INSTI, NNRTI, or boosted PI is recommended for most cases of HIV-1 infection, irrespective of CD4 cell count. In virologically suppressed patients, switching therapy to a comparable therapy may be recommended for safety or tolerability concerns, or to simplify treatment. Bictegravir is </w:t>
      </w:r>
      <w:r w:rsidR="00242449">
        <w:t>a potent INSTI with a long half-</w:t>
      </w:r>
      <w:r>
        <w:t xml:space="preserve">life permitting once daily dosage, and the B/F/TAF combination is in line with current treatment guidelines for </w:t>
      </w:r>
      <w:r w:rsidR="00850938">
        <w:t>ART naïve</w:t>
      </w:r>
      <w:r>
        <w:t xml:space="preserve"> and experienced p</w:t>
      </w:r>
      <w:r w:rsidR="009538A0">
        <w:t>atients with HIV-1 infection.</w:t>
      </w:r>
    </w:p>
    <w:p w:rsidR="000D7440" w:rsidRDefault="000D7440" w:rsidP="000D7440">
      <w:r>
        <w:t xml:space="preserve">Four pivotal, randomised, active-controlled, Phase </w:t>
      </w:r>
      <w:r w:rsidR="009D7B64">
        <w:t>III</w:t>
      </w:r>
      <w:r w:rsidR="009538A0">
        <w:t xml:space="preserve"> studies were conducted in </w:t>
      </w:r>
      <w:r w:rsidR="00850938">
        <w:t>ART naïve</w:t>
      </w:r>
      <w:r>
        <w:t xml:space="preserve"> patients (</w:t>
      </w:r>
      <w:r w:rsidR="009538A0">
        <w:t xml:space="preserve">Studies </w:t>
      </w:r>
      <w:r>
        <w:t>1489 and1490); and in virologically suppressed patients (</w:t>
      </w:r>
      <w:r w:rsidR="009538A0">
        <w:t xml:space="preserve">Studies </w:t>
      </w:r>
      <w:r>
        <w:t>1844 and 1878) with HIV-1 infection. The study designs, active comp</w:t>
      </w:r>
      <w:r w:rsidR="009538A0">
        <w:t>arators</w:t>
      </w:r>
      <w:r>
        <w:t xml:space="preserve"> and endpoints were in line with treatment guidelines and regulatory guidance. Dose selection was appropriate. The combination of F</w:t>
      </w:r>
      <w:r w:rsidR="009538A0">
        <w:t>TC</w:t>
      </w:r>
      <w:r>
        <w:t xml:space="preserve">/TAF (200 mg/25 mg) is approved for use in adults with HIV-1 in combination with other </w:t>
      </w:r>
      <w:r w:rsidR="00A26F7F">
        <w:t>antiretroviral (</w:t>
      </w:r>
      <w:r>
        <w:t>ARV</w:t>
      </w:r>
      <w:r w:rsidR="00A26F7F">
        <w:t>)</w:t>
      </w:r>
      <w:r>
        <w:t xml:space="preserve"> agents. The bictegravir 50 mg dose was based on Phase </w:t>
      </w:r>
      <w:r w:rsidR="009D7B64">
        <w:t>I</w:t>
      </w:r>
      <w:r>
        <w:t xml:space="preserve"> studies a</w:t>
      </w:r>
      <w:r w:rsidR="009538A0">
        <w:t xml:space="preserve">nd the dose ranging </w:t>
      </w:r>
      <w:r w:rsidR="00116653">
        <w:t>Study</w:t>
      </w:r>
      <w:r w:rsidR="009538A0">
        <w:t xml:space="preserve"> 1219.</w:t>
      </w:r>
    </w:p>
    <w:p w:rsidR="000D7440" w:rsidRDefault="00850938" w:rsidP="000D7440">
      <w:r>
        <w:t xml:space="preserve">In ART </w:t>
      </w:r>
      <w:r w:rsidR="000D7440">
        <w:t>naïve patients, B/F/TAF was non-i</w:t>
      </w:r>
      <w:r w:rsidR="009538A0">
        <w:t>nferior to two standard of care</w:t>
      </w:r>
      <w:r w:rsidR="000D7440">
        <w:t xml:space="preserve"> comparator regimens. For the primary efficacy endpoint, the percentages of patients with HIV-1 RNA </w:t>
      </w:r>
      <w:r w:rsidR="00251457">
        <w:t>&lt;</w:t>
      </w:r>
      <w:r w:rsidR="009A310B">
        <w:t> </w:t>
      </w:r>
      <w:r w:rsidR="000D7440">
        <w:t xml:space="preserve">50 copies/mL at Week 48 were comparable in each treatment group. HIV-1 RNA </w:t>
      </w:r>
      <w:r w:rsidR="00251457">
        <w:t>&lt;</w:t>
      </w:r>
      <w:r w:rsidR="009A310B">
        <w:t> </w:t>
      </w:r>
      <w:r w:rsidR="000D7440">
        <w:t>50</w:t>
      </w:r>
      <w:r w:rsidR="009538A0">
        <w:t> </w:t>
      </w:r>
      <w:r w:rsidR="000D7440">
        <w:t xml:space="preserve">copies/mL was achieved by 90.9% of the pooled B/F/TAF group, compared with 93.0% of the ABC/DTG/3TC group, and 92.9% of the DTG </w:t>
      </w:r>
      <w:r w:rsidR="0058597B">
        <w:t>+</w:t>
      </w:r>
      <w:r w:rsidR="000D7440">
        <w:t xml:space="preserve"> F</w:t>
      </w:r>
      <w:r w:rsidR="009538A0">
        <w:t>TC</w:t>
      </w:r>
      <w:r w:rsidR="000D7440">
        <w:t xml:space="preserve">/TAF group. The respective treatment differences were </w:t>
      </w:r>
      <w:r w:rsidR="009538A0">
        <w:t>–</w:t>
      </w:r>
      <w:r w:rsidR="000D7440">
        <w:t xml:space="preserve">2.1% (95% CI: </w:t>
      </w:r>
      <w:r w:rsidR="009538A0">
        <w:t>–</w:t>
      </w:r>
      <w:r w:rsidR="000D7440">
        <w:t xml:space="preserve">5.9, 1.6) and </w:t>
      </w:r>
      <w:r w:rsidR="009538A0">
        <w:t>–</w:t>
      </w:r>
      <w:r w:rsidR="000D7440">
        <w:t xml:space="preserve">1.9% (95% CI: </w:t>
      </w:r>
      <w:r w:rsidR="009538A0">
        <w:t>–</w:t>
      </w:r>
      <w:r w:rsidR="000D7440">
        <w:t xml:space="preserve">5.6, 1.8), each well within the pre-specified </w:t>
      </w:r>
      <w:r w:rsidR="009538A0">
        <w:t>–</w:t>
      </w:r>
      <w:r w:rsidR="000D7440">
        <w:t xml:space="preserve">12% non-inferiority margin. In the </w:t>
      </w:r>
      <w:r w:rsidR="00CD4AC6">
        <w:t xml:space="preserve">per protocol </w:t>
      </w:r>
      <w:r w:rsidR="00CD4AC6">
        <w:lastRenderedPageBreak/>
        <w:t>(</w:t>
      </w:r>
      <w:r w:rsidR="000D7440">
        <w:t>PP</w:t>
      </w:r>
      <w:r w:rsidR="00CD4AC6">
        <w:t>)</w:t>
      </w:r>
      <w:r w:rsidR="000D7440">
        <w:t xml:space="preserve"> analyses, virologic suppression in the B/F/TAF groups was achieved in </w:t>
      </w:r>
      <w:r w:rsidR="00E435F3">
        <w:t>99.3% and 98.9% of patients in S</w:t>
      </w:r>
      <w:r w:rsidR="000D7440">
        <w:t xml:space="preserve">tudies 1489 and 1490, respectively. Failure to achieve virologic suppression was associated with discontinuations or missing data, and no cases of virologic failure due to resistance were reported during the 48 week </w:t>
      </w:r>
      <w:r w:rsidR="00A26F7F">
        <w:t>double blind (DB)</w:t>
      </w:r>
      <w:r w:rsidR="000D7440">
        <w:t xml:space="preserve"> treatment periods. The secondary objectives were also achieved with non-inferiority demonstrated for HIV-1 RNA </w:t>
      </w:r>
      <w:r w:rsidR="00251457">
        <w:t xml:space="preserve">&lt; </w:t>
      </w:r>
      <w:r w:rsidR="000D7440">
        <w:t>20</w:t>
      </w:r>
      <w:r w:rsidR="00E435F3">
        <w:t> </w:t>
      </w:r>
      <w:r w:rsidR="000D7440">
        <w:t>copies/mL, and increased CD4 cell counts from baseline. The effects of missing data were tested by two imputation methods, and multiplicity was controlled by adjusting confidence intervals. Subgroup analyses were performed based on age, gender, race, region, and study drug adherence, and similar virologic responses were seen in all subgroups.</w:t>
      </w:r>
    </w:p>
    <w:p w:rsidR="000D7440" w:rsidRDefault="000D7440" w:rsidP="000D7440">
      <w:r>
        <w:t>In virologically suppressed patients, switching to B/F/TAF was non-inferior to two standard of care, comparator regimens. For the primary endpoint, the percentages of patients with HIV-1 RNA ≥</w:t>
      </w:r>
      <w:r w:rsidR="00E435F3">
        <w:t> </w:t>
      </w:r>
      <w:r>
        <w:t>50 copies/mL at Week 48 were comparab</w:t>
      </w:r>
      <w:r w:rsidR="00E435F3">
        <w:t>le in each treatment group. In S</w:t>
      </w:r>
      <w:r>
        <w:t>tudy 1844, HIV-1 RNA ≥</w:t>
      </w:r>
      <w:r w:rsidR="00E435F3">
        <w:t xml:space="preserve"> </w:t>
      </w:r>
      <w:r>
        <w:t xml:space="preserve">50 copies/mL was reported in 1.1% and 0.4% of the B/F/TAF and ABC/DTG/3TC groups, respectively. The treatment difference was 0.7% (95.002% CI: </w:t>
      </w:r>
      <w:r w:rsidR="00E435F3">
        <w:t>–</w:t>
      </w:r>
      <w:r>
        <w:t xml:space="preserve">1.0, 2.8), well within the pre-specified 4% non-inferiority margin. In </w:t>
      </w:r>
      <w:r w:rsidR="00E435F3">
        <w:t>S</w:t>
      </w:r>
      <w:r>
        <w:t>tudy 1878, HIV-1 RNA ≥</w:t>
      </w:r>
      <w:r w:rsidR="00E435F3">
        <w:t xml:space="preserve"> </w:t>
      </w:r>
      <w:r>
        <w:t>50 copies/mL was reported in 1.7% and 1.7% of the B/F/TAF and SBR</w:t>
      </w:r>
      <w:r w:rsidR="002D5055">
        <w:rPr>
          <w:rStyle w:val="FootnoteReference"/>
        </w:rPr>
        <w:footnoteReference w:id="34"/>
      </w:r>
      <w:r>
        <w:t xml:space="preserve"> groups, respectively. The treatment difference was 0.0% (95.002% CI: </w:t>
      </w:r>
      <w:r w:rsidR="00242449">
        <w:t>–</w:t>
      </w:r>
      <w:r>
        <w:t>2.5, 2.5), also well within the pre-speci</w:t>
      </w:r>
      <w:r w:rsidR="00E435F3">
        <w:t>fied 4% non-inferiority margin</w:t>
      </w:r>
      <w:r>
        <w:t>. In the PP analyses, loss of virologic suppression in the B/F/TAF groups was reported i</w:t>
      </w:r>
      <w:r w:rsidR="00E435F3">
        <w:t>n 0.4% and 1.1% of patients in S</w:t>
      </w:r>
      <w:r>
        <w:t xml:space="preserve">tudies 1844 and 1878, respectively. As in </w:t>
      </w:r>
      <w:r w:rsidR="00850938">
        <w:t>ART naïve</w:t>
      </w:r>
      <w:r>
        <w:t xml:space="preserve"> patients, failure to maintain virologic suppression was associated with discontinuations or missing data, and no cases of virologic failure due to resista</w:t>
      </w:r>
      <w:r w:rsidR="00E435F3">
        <w:t>nce were reported during the 48-</w:t>
      </w:r>
      <w:r>
        <w:t xml:space="preserve">week DB treatment periods. The secondary objectives were achieved with non-inferiority demonstrated for HIV-1 RNA </w:t>
      </w:r>
      <w:r w:rsidR="00251457">
        <w:t xml:space="preserve">&lt; </w:t>
      </w:r>
      <w:r>
        <w:t>50 copies/mL, and sustained CD4 cell counts from baseline. The effects of missing data were tested by two imputation methods, and multiplicity was controlled by adjusting confidence intervals. Subgroup analyses were performed bas</w:t>
      </w:r>
      <w:r w:rsidR="00E435F3">
        <w:t>ed on age, gender, race, region</w:t>
      </w:r>
      <w:r>
        <w:t xml:space="preserve"> and study drug adherence, and similar virologic responses were seen in all subgroups.</w:t>
      </w:r>
    </w:p>
    <w:p w:rsidR="00500337" w:rsidRPr="00500337" w:rsidRDefault="000D7440" w:rsidP="000D7440">
      <w:r>
        <w:t xml:space="preserve">The fixed dose combination of B/F/TAF has been shown to effectively decrease HIV-1 RNA load and increase CD4 cell counts in adult </w:t>
      </w:r>
      <w:r w:rsidR="00850938">
        <w:t>ART naïve</w:t>
      </w:r>
      <w:r>
        <w:t xml:space="preserve"> patients with HIV-1 infection, and to maintain virologic suppression in virologically suppressed patients. Comparable efficacy in patients with HIV/HBV co-infection was demonstrated although patient numbers were low.</w:t>
      </w:r>
    </w:p>
    <w:p w:rsidR="008E7846" w:rsidRPr="002E238E" w:rsidRDefault="008E7846" w:rsidP="008E7846">
      <w:pPr>
        <w:pStyle w:val="Heading3"/>
      </w:pPr>
      <w:bookmarkStart w:id="98" w:name="_Toc163441378"/>
      <w:bookmarkStart w:id="99" w:name="_Toc196046495"/>
      <w:bookmarkStart w:id="100" w:name="_Toc247691522"/>
      <w:bookmarkStart w:id="101" w:name="_Toc314842505"/>
      <w:bookmarkStart w:id="102" w:name="_Toc20133982"/>
      <w:bookmarkEnd w:id="94"/>
      <w:bookmarkEnd w:id="95"/>
      <w:bookmarkEnd w:id="96"/>
      <w:bookmarkEnd w:id="97"/>
      <w:r w:rsidRPr="002E238E">
        <w:t>Safety</w:t>
      </w:r>
      <w:bookmarkEnd w:id="98"/>
      <w:bookmarkEnd w:id="99"/>
      <w:bookmarkEnd w:id="100"/>
      <w:bookmarkEnd w:id="101"/>
      <w:bookmarkEnd w:id="102"/>
    </w:p>
    <w:p w:rsidR="00605AD4" w:rsidRDefault="00605AD4" w:rsidP="00605AD4">
      <w:pPr>
        <w:pStyle w:val="Heading4"/>
      </w:pPr>
      <w:bookmarkStart w:id="103" w:name="_Toc247691524"/>
      <w:bookmarkStart w:id="104" w:name="_Toc314842508"/>
      <w:bookmarkStart w:id="105" w:name="_Toc196046504"/>
      <w:bookmarkStart w:id="106" w:name="_Toc163441390"/>
      <w:r w:rsidRPr="00605AD4">
        <w:t>Studies providing safety data</w:t>
      </w:r>
    </w:p>
    <w:p w:rsidR="000D7440" w:rsidRDefault="000D7440" w:rsidP="000D7440">
      <w:pPr>
        <w:pStyle w:val="Heading5"/>
      </w:pPr>
      <w:r>
        <w:t>Pivotal studies that assessed safety as the sole primary outcome</w:t>
      </w:r>
    </w:p>
    <w:p w:rsidR="000D7440" w:rsidRDefault="000D7440" w:rsidP="000D7440">
      <w:r>
        <w:t>None submitted.</w:t>
      </w:r>
    </w:p>
    <w:p w:rsidR="000D7440" w:rsidRDefault="000D7440" w:rsidP="000D7440">
      <w:pPr>
        <w:pStyle w:val="Heading5"/>
      </w:pPr>
      <w:r>
        <w:t>Pivotal and/or main efficacy studies</w:t>
      </w:r>
    </w:p>
    <w:p w:rsidR="000D7440" w:rsidRDefault="000D7440" w:rsidP="000D7440">
      <w:r>
        <w:t xml:space="preserve">The safety of B/F/TAF in </w:t>
      </w:r>
      <w:r w:rsidR="00850938">
        <w:t>ART naïve</w:t>
      </w:r>
      <w:r>
        <w:t xml:space="preserve"> patients was assessed in the pivotal Phase </w:t>
      </w:r>
      <w:r w:rsidR="009D7B64">
        <w:t>III</w:t>
      </w:r>
      <w:r w:rsidR="00E435F3">
        <w:t xml:space="preserve"> S</w:t>
      </w:r>
      <w:r>
        <w:t xml:space="preserve">tudies 1489 and 1490. Safety in virologically suppressed patients was assessed </w:t>
      </w:r>
      <w:r w:rsidRPr="00E435F3">
        <w:t>in</w:t>
      </w:r>
      <w:r>
        <w:t xml:space="preserve"> the pivotal Phase </w:t>
      </w:r>
      <w:r w:rsidR="009D7B64">
        <w:t>III</w:t>
      </w:r>
      <w:r>
        <w:t xml:space="preserve"> </w:t>
      </w:r>
      <w:r w:rsidR="00E435F3">
        <w:t>Studies 1844 and 1878.</w:t>
      </w:r>
    </w:p>
    <w:p w:rsidR="000D7440" w:rsidRDefault="000D7440" w:rsidP="000D7440">
      <w:pPr>
        <w:pStyle w:val="Heading5"/>
      </w:pPr>
      <w:r>
        <w:t>Other efficacy studies</w:t>
      </w:r>
    </w:p>
    <w:p w:rsidR="000D7440" w:rsidRDefault="000D7440" w:rsidP="000D7440">
      <w:r>
        <w:t xml:space="preserve">The safety of B/F/TAF was assessed in the Phase </w:t>
      </w:r>
      <w:r w:rsidR="009D7B64">
        <w:t>II</w:t>
      </w:r>
      <w:r w:rsidR="00E435F3">
        <w:t xml:space="preserve"> S</w:t>
      </w:r>
      <w:r>
        <w:t>tudy 1475.</w:t>
      </w:r>
    </w:p>
    <w:p w:rsidR="000D7440" w:rsidRDefault="000D7440" w:rsidP="00E34B4A">
      <w:pPr>
        <w:pStyle w:val="Heading4"/>
      </w:pPr>
      <w:r>
        <w:lastRenderedPageBreak/>
        <w:t>Studies with evaluable safety data: dose finding and phar</w:t>
      </w:r>
      <w:r w:rsidR="00B65EB1">
        <w:t>macology</w:t>
      </w:r>
    </w:p>
    <w:p w:rsidR="000D7440" w:rsidRDefault="000D7440" w:rsidP="000D7440">
      <w:r>
        <w:t>Safety was evaluated in 15 PK/PD studies a</w:t>
      </w:r>
      <w:r w:rsidR="00E435F3">
        <w:t>nd the results are presented above</w:t>
      </w:r>
      <w:r>
        <w:t>. One of</w:t>
      </w:r>
      <w:r w:rsidR="00E435F3">
        <w:t xml:space="preserve"> these studies, GS-US-141-1219</w:t>
      </w:r>
      <w:r>
        <w:t xml:space="preserve">, examined the safety of BIC following 10 days administration of BIC doses ranging from 5 to 100 mg QD in HIV-1 infected subjects. No deaths, </w:t>
      </w:r>
      <w:r w:rsidR="002D5055">
        <w:t>serious adverse events (</w:t>
      </w:r>
      <w:r>
        <w:t>SAEs</w:t>
      </w:r>
      <w:r w:rsidR="002D5055">
        <w:t>)</w:t>
      </w:r>
      <w:r>
        <w:t>, or pregnancies were reported for this study and most laboratory abnormalities were Grade 1 or Grade 2 in severity. No other clinical abnormalities were identified.</w:t>
      </w:r>
    </w:p>
    <w:p w:rsidR="000D7440" w:rsidRDefault="000D7440" w:rsidP="00E34B4A">
      <w:pPr>
        <w:pStyle w:val="Heading4"/>
      </w:pPr>
      <w:r>
        <w:t>Studies that assessed safety as the sole primary outcome</w:t>
      </w:r>
    </w:p>
    <w:p w:rsidR="000D7440" w:rsidRDefault="000D7440" w:rsidP="000D7440">
      <w:r>
        <w:t>No studies submitted.</w:t>
      </w:r>
    </w:p>
    <w:p w:rsidR="000D7440" w:rsidRDefault="000D7440" w:rsidP="00E34B4A">
      <w:pPr>
        <w:pStyle w:val="Heading4"/>
      </w:pPr>
      <w:r>
        <w:t>Patient exposure</w:t>
      </w:r>
    </w:p>
    <w:p w:rsidR="00500337" w:rsidRDefault="000D7440" w:rsidP="00500337">
      <w:r>
        <w:t xml:space="preserve">In the Phase </w:t>
      </w:r>
      <w:r w:rsidR="009D7B64">
        <w:t>II</w:t>
      </w:r>
      <w:r>
        <w:t xml:space="preserve"> and </w:t>
      </w:r>
      <w:r w:rsidR="009D7B64">
        <w:t>III</w:t>
      </w:r>
      <w:r>
        <w:t xml:space="preserve"> studies, a total of 1511 patients were exposed t</w:t>
      </w:r>
      <w:r w:rsidR="00E435F3">
        <w:t>o at least one dose of B/F/TAF</w:t>
      </w:r>
      <w:r w:rsidR="00030821">
        <w:t xml:space="preserve"> (</w:t>
      </w:r>
      <w:r w:rsidR="002D05A8">
        <w:t>Table 11</w:t>
      </w:r>
      <w:r w:rsidR="00030821">
        <w:t>)</w:t>
      </w:r>
      <w:r>
        <w:t>. A total of 215 patients were treated in the extension studies; and 254</w:t>
      </w:r>
      <w:r w:rsidR="009A310B">
        <w:t> </w:t>
      </w:r>
      <w:r>
        <w:t xml:space="preserve">subjects received at least one dose of B/F/TAF in the Phase </w:t>
      </w:r>
      <w:r w:rsidR="009D7B64">
        <w:t>I</w:t>
      </w:r>
      <w:r>
        <w:t xml:space="preserve"> studies. In </w:t>
      </w:r>
      <w:r w:rsidR="00850938">
        <w:t>ART naïve</w:t>
      </w:r>
      <w:r>
        <w:t xml:space="preserve"> patients in the Phase </w:t>
      </w:r>
      <w:r w:rsidR="009D7B64">
        <w:t>III</w:t>
      </w:r>
      <w:r>
        <w:t xml:space="preserve"> studies, 634 patients were treated with B/F/TAF for a median duration of 49.2 weeks. In virologically suppressed patients, the median duration of treatment with B/</w:t>
      </w:r>
      <w:r w:rsidR="00E435F3">
        <w:t>F/TAF was 49.9 weeks in S</w:t>
      </w:r>
      <w:r>
        <w:t xml:space="preserve">tudy 1844, and 46.7 weeks in </w:t>
      </w:r>
      <w:r w:rsidR="00E435F3">
        <w:t>S</w:t>
      </w:r>
      <w:r>
        <w:t>tudy 1878. Exposure to B/F/TAF was ≥</w:t>
      </w:r>
      <w:r w:rsidR="00E435F3">
        <w:t xml:space="preserve"> </w:t>
      </w:r>
      <w:r>
        <w:t xml:space="preserve">48 weeks in 370 </w:t>
      </w:r>
      <w:r w:rsidR="00850938">
        <w:t>ART naïve</w:t>
      </w:r>
      <w:r>
        <w:t xml:space="preserve"> patients (58.4%). In virologically suppressed patients, exposure to B/F/TAF was ≥</w:t>
      </w:r>
      <w:r w:rsidR="00E435F3">
        <w:t xml:space="preserve"> </w:t>
      </w:r>
      <w:r>
        <w:t xml:space="preserve">48 weeks in 169 patients (59.9%) in </w:t>
      </w:r>
      <w:r w:rsidR="00E435F3">
        <w:t>Study 1844</w:t>
      </w:r>
      <w:r>
        <w:t xml:space="preserve"> and in 98 p</w:t>
      </w:r>
      <w:r w:rsidR="00E34B4A">
        <w:t xml:space="preserve">atients (33.8%) in </w:t>
      </w:r>
      <w:r w:rsidR="00E435F3">
        <w:t>S</w:t>
      </w:r>
      <w:r w:rsidR="00E34B4A">
        <w:t>tudy 1878.</w:t>
      </w:r>
    </w:p>
    <w:p w:rsidR="00030821" w:rsidRDefault="00030821" w:rsidP="00030821">
      <w:pPr>
        <w:pStyle w:val="TableTitle"/>
      </w:pPr>
      <w:bookmarkStart w:id="107" w:name="_Ref5884492"/>
      <w:r>
        <w:t>Table</w:t>
      </w:r>
      <w:bookmarkEnd w:id="107"/>
      <w:r w:rsidR="002D05A8">
        <w:t xml:space="preserve"> 11</w:t>
      </w:r>
      <w:r>
        <w:t xml:space="preserve">: </w:t>
      </w:r>
      <w:r w:rsidRPr="00A41D8E">
        <w:rPr>
          <w:lang w:eastAsia="ja-JP"/>
        </w:rPr>
        <w:t>Patient exposure to study drug</w:t>
      </w:r>
    </w:p>
    <w:p w:rsidR="00030821" w:rsidRPr="00500337" w:rsidRDefault="00030821" w:rsidP="00500337">
      <w:r>
        <w:rPr>
          <w:noProof/>
          <w:lang w:eastAsia="en-AU"/>
        </w:rPr>
        <w:drawing>
          <wp:inline distT="0" distB="0" distL="0" distR="0" wp14:anchorId="3E0070EA" wp14:editId="31F8A15E">
            <wp:extent cx="5400040" cy="3614450"/>
            <wp:effectExtent l="0" t="0" r="0" b="5080"/>
            <wp:docPr id="34" name="Picture 34" descr=" Patient exposure to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614450"/>
                    </a:xfrm>
                    <a:prstGeom prst="rect">
                      <a:avLst/>
                    </a:prstGeom>
                  </pic:spPr>
                </pic:pic>
              </a:graphicData>
            </a:graphic>
          </wp:inline>
        </w:drawing>
      </w:r>
    </w:p>
    <w:p w:rsidR="00605AD4" w:rsidRDefault="00605AD4" w:rsidP="00605AD4">
      <w:pPr>
        <w:pStyle w:val="Heading4"/>
      </w:pPr>
      <w:r w:rsidRPr="00605AD4">
        <w:t>Safety issues with the potential for major regulatory impact</w:t>
      </w:r>
    </w:p>
    <w:p w:rsidR="00E34B4A" w:rsidRDefault="00E34B4A" w:rsidP="00E34B4A">
      <w:pPr>
        <w:pStyle w:val="Heading5"/>
      </w:pPr>
      <w:r>
        <w:t>Liver function and liver toxicity</w:t>
      </w:r>
    </w:p>
    <w:p w:rsidR="00500337" w:rsidRDefault="00E34B4A" w:rsidP="00E34B4A">
      <w:r>
        <w:t>No issues related to liver function or toxicity were identified.</w:t>
      </w:r>
    </w:p>
    <w:p w:rsidR="00805B5D" w:rsidRDefault="00874E5D" w:rsidP="00805B5D">
      <w:pPr>
        <w:pStyle w:val="Heading6"/>
      </w:pPr>
      <w:r>
        <w:lastRenderedPageBreak/>
        <w:t xml:space="preserve">Pooled ART </w:t>
      </w:r>
      <w:r w:rsidR="00805B5D">
        <w:t>naïve patients</w:t>
      </w:r>
    </w:p>
    <w:p w:rsidR="00805B5D" w:rsidRDefault="00805B5D" w:rsidP="00805B5D">
      <w:r>
        <w:t>There were no meaningful median changes from baseline for any hepatic laboratory parameter in any treatment group (</w:t>
      </w:r>
      <w:r w:rsidR="002D05A8">
        <w:t>Table 12</w:t>
      </w:r>
      <w:r>
        <w:t xml:space="preserve">). The incidence of ALT abnormalities was comparable in each group (11.3%, 14.0% and 12.0% of patients in the pooled B/F/TAF, ABC/DTG/3TC and DTG </w:t>
      </w:r>
      <w:r w:rsidR="0058597B">
        <w:t>+</w:t>
      </w:r>
      <w:r>
        <w:t xml:space="preserve"> F/TAF groups, res</w:t>
      </w:r>
      <w:r w:rsidR="0058597B">
        <w:t>pectively)</w:t>
      </w:r>
      <w:r>
        <w:t xml:space="preserve">. Grade 3 or 4 ALT abnormalities were reported in 1.4%, 1.3% and 0.9% of patients in the pooled B/F/TAF, ABC/DTG/3TC and DTG + F/TAF groups, respectively. </w:t>
      </w:r>
      <w:r w:rsidR="00A26F7F">
        <w:t>Aspartate aminotransferase (</w:t>
      </w:r>
      <w:r>
        <w:t>AST</w:t>
      </w:r>
      <w:r w:rsidR="00A26F7F">
        <w:t>)</w:t>
      </w:r>
      <w:r>
        <w:t xml:space="preserve"> abnormalities were comparable. Total bilirubin abnormalities were reported more frequently in the B/F/TAF group compared with the ABC/DTG/3TC and DTG + F/TAF groups. Total bilirubin abnormalities were reported in 11.6%, 4.1% and 5.8% of patients in the pooled B/F/TAF, ABC/DTG/3TC and DTG + F/TAF groups, respectively. Nearly all total bilirubin abnormalities were Grade 1 or 2 in severity. Grade 3 abnormalities were reported in 0.3%, 0.3% and 0% of patients in the respective groups and there were no Grade 4 abnormalities.</w:t>
      </w:r>
    </w:p>
    <w:p w:rsidR="00805B5D" w:rsidRDefault="00805B5D" w:rsidP="00805B5D">
      <w:pPr>
        <w:pStyle w:val="TableTitle"/>
      </w:pPr>
      <w:bookmarkStart w:id="108" w:name="_Ref5963241"/>
      <w:r>
        <w:t>Table</w:t>
      </w:r>
      <w:bookmarkEnd w:id="108"/>
      <w:r w:rsidR="002D05A8">
        <w:t xml:space="preserve"> 12</w:t>
      </w:r>
      <w:r>
        <w:t xml:space="preserve">: Studies 1489 and 1490 </w:t>
      </w:r>
      <w:r w:rsidR="00CA07F1">
        <w:t>Changes from B</w:t>
      </w:r>
      <w:r w:rsidRPr="00805B5D">
        <w:t>aseline in hepatic laboratory parameters</w:t>
      </w:r>
    </w:p>
    <w:p w:rsidR="007B5F47" w:rsidRDefault="00805B5D" w:rsidP="00805B5D">
      <w:r>
        <w:rPr>
          <w:noProof/>
          <w:lang w:eastAsia="en-AU"/>
        </w:rPr>
        <w:drawing>
          <wp:inline distT="0" distB="0" distL="0" distR="0" wp14:anchorId="2A535D41" wp14:editId="5B2D52BD">
            <wp:extent cx="5400040" cy="2794636"/>
            <wp:effectExtent l="0" t="0" r="0" b="5715"/>
            <wp:docPr id="42" name="Picture 42" descr="Studies 1489 and 1490 Changes from Baseline in hepatic laborator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794636"/>
                    </a:xfrm>
                    <a:prstGeom prst="rect">
                      <a:avLst/>
                    </a:prstGeom>
                  </pic:spPr>
                </pic:pic>
              </a:graphicData>
            </a:graphic>
          </wp:inline>
        </w:drawing>
      </w:r>
    </w:p>
    <w:p w:rsidR="00805B5D" w:rsidRDefault="00805B5D" w:rsidP="00805B5D">
      <w:r>
        <w:t xml:space="preserve">The incidence of hepatic </w:t>
      </w:r>
      <w:r w:rsidR="00A26F7F">
        <w:t>adverse events (</w:t>
      </w:r>
      <w:r>
        <w:t>AEs</w:t>
      </w:r>
      <w:r w:rsidR="00A26F7F">
        <w:t>)</w:t>
      </w:r>
      <w:r>
        <w:t xml:space="preserve"> was low and comparable in each group (1.4%, 1.9% and 3.1% of patients in the pooled B/F/TAF, ABC/DTG/3TC and DTG + F/TAF groups, respectively. All hepatic AEs were considered unrelated to study treatment except for three events. In the B/F/TAF group, there was one case each of Grade 1 hyperbilirubinaemia and Grade 1 </w:t>
      </w:r>
      <w:r w:rsidR="00874E5D">
        <w:t>liver function test (</w:t>
      </w:r>
      <w:r>
        <w:t>LFT</w:t>
      </w:r>
      <w:r w:rsidR="00874E5D">
        <w:t>)</w:t>
      </w:r>
      <w:r>
        <w:t xml:space="preserve"> increased. In the DTG + F/TAF group, there was one case of Grade 1 increased ALT/AST. One SAE of increased </w:t>
      </w:r>
      <w:r w:rsidR="00850938">
        <w:t xml:space="preserve">international normalised </w:t>
      </w:r>
      <w:r w:rsidR="00874E5D">
        <w:t>ratio (</w:t>
      </w:r>
      <w:r>
        <w:t>INR</w:t>
      </w:r>
      <w:r w:rsidR="00874E5D">
        <w:t>)</w:t>
      </w:r>
      <w:r>
        <w:t xml:space="preserve"> in the ABC/DTG/3TC group was ascribed to warfarin therapy; and one SAE of acute hepatic failure in the B/F/TAF group was ascribed t</w:t>
      </w:r>
      <w:r w:rsidR="007B5F47">
        <w:t>o a paracetamol overdose.</w:t>
      </w:r>
    </w:p>
    <w:p w:rsidR="00805B5D" w:rsidRPr="00805B5D" w:rsidRDefault="00805B5D" w:rsidP="00805B5D">
      <w:pPr>
        <w:pStyle w:val="Heading7"/>
        <w:rPr>
          <w:sz w:val="22"/>
          <w:szCs w:val="22"/>
        </w:rPr>
      </w:pPr>
      <w:r w:rsidRPr="00805B5D">
        <w:rPr>
          <w:sz w:val="22"/>
          <w:szCs w:val="22"/>
        </w:rPr>
        <w:t>Study 1475</w:t>
      </w:r>
    </w:p>
    <w:p w:rsidR="00805B5D" w:rsidRDefault="00805B5D" w:rsidP="00805B5D">
      <w:r>
        <w:t xml:space="preserve">There were no meaningful median changes from baseline for any hepatic laboratory parameter in the BIC + F/TAF or DTG + F/TAF treatment groups. Grade 3 ALT and AST abnormalities were reported in 3.1% and 4.7% of patients in the BIC + F/TAF group, compared with none in the DTG + F/TAF group. Hepatic AEs were reported in two patients in the BIC + F/TAF group. One patient with a history of intermittent jaundice experienced a Grade 2 </w:t>
      </w:r>
      <w:r w:rsidR="00A26F7F">
        <w:rPr>
          <w:rFonts w:cstheme="minorHAnsi"/>
        </w:rPr>
        <w:t>adverse drug reaction</w:t>
      </w:r>
      <w:r w:rsidR="00A26F7F">
        <w:t xml:space="preserve"> (</w:t>
      </w:r>
      <w:r>
        <w:t>ADR</w:t>
      </w:r>
      <w:r w:rsidR="00A26F7F">
        <w:t>)</w:t>
      </w:r>
      <w:r>
        <w:t xml:space="preserve"> of hyperbilirubinaemia without changes in ALT/AST. On Grade 2 AE of raised transaminases was considered unrelated to study treatment.</w:t>
      </w:r>
    </w:p>
    <w:p w:rsidR="00805B5D" w:rsidRDefault="00805B5D" w:rsidP="00805B5D">
      <w:pPr>
        <w:pStyle w:val="Heading6"/>
      </w:pPr>
      <w:r>
        <w:lastRenderedPageBreak/>
        <w:t>Virologically suppressed patients</w:t>
      </w:r>
    </w:p>
    <w:p w:rsidR="00805B5D" w:rsidRPr="00805B5D" w:rsidRDefault="00805B5D" w:rsidP="00805B5D">
      <w:pPr>
        <w:pStyle w:val="Heading7"/>
        <w:rPr>
          <w:sz w:val="22"/>
          <w:szCs w:val="22"/>
        </w:rPr>
      </w:pPr>
      <w:r w:rsidRPr="00805B5D">
        <w:rPr>
          <w:sz w:val="22"/>
          <w:szCs w:val="22"/>
        </w:rPr>
        <w:t>Study 1844</w:t>
      </w:r>
    </w:p>
    <w:p w:rsidR="00805B5D" w:rsidRDefault="00805B5D" w:rsidP="00805B5D">
      <w:r>
        <w:t>There were small, statistically significant differences between treatment groups for ALT, AST and total bilirubin at Week 48, although the differences were not clinically meaningful (</w:t>
      </w:r>
      <w:r w:rsidR="00CA07F1">
        <w:t>Table 13</w:t>
      </w:r>
      <w:r>
        <w:t xml:space="preserve">). ALT abnormalities were reported more frequently in the B/F/TAF group (18.4%) compared with the ABC/DTG/3TC group (9.6%). Grade 3 or 4 ALT abnormalities were reported in 2.1% of patients in the B/F/TAF group, compared with 0% in the ABC/DTG/3TC group. All patients with Grade 3 or 4 abnormalities had medical histories associated with ALT abnormalities. AST </w:t>
      </w:r>
      <w:r w:rsidR="007B5F47">
        <w:t>abnormalities were comparable.</w:t>
      </w:r>
    </w:p>
    <w:p w:rsidR="007B5F47" w:rsidRDefault="007B5F47" w:rsidP="007B5F47">
      <w:pPr>
        <w:pStyle w:val="TableTitle"/>
      </w:pPr>
      <w:bookmarkStart w:id="109" w:name="_Ref5963306"/>
      <w:r>
        <w:t>Table</w:t>
      </w:r>
      <w:bookmarkEnd w:id="109"/>
      <w:r w:rsidR="00CA07F1">
        <w:t xml:space="preserve"> 13</w:t>
      </w:r>
      <w:r>
        <w:t>: Study 1844 c</w:t>
      </w:r>
      <w:r w:rsidR="00CA07F1">
        <w:t>hanges from B</w:t>
      </w:r>
      <w:r w:rsidRPr="007B5F47">
        <w:t>aseline in hepatic laboratory parameters</w:t>
      </w:r>
    </w:p>
    <w:p w:rsidR="007B5F47" w:rsidRDefault="007B5F47" w:rsidP="00805B5D">
      <w:r>
        <w:rPr>
          <w:noProof/>
          <w:lang w:eastAsia="en-AU"/>
        </w:rPr>
        <w:drawing>
          <wp:inline distT="0" distB="0" distL="0" distR="0" wp14:anchorId="74CC0B7A" wp14:editId="52E139F6">
            <wp:extent cx="5354458" cy="3085106"/>
            <wp:effectExtent l="0" t="0" r="0" b="1270"/>
            <wp:docPr id="43" name="Picture 43" descr="Study 1844 changes from Baseline in hepatic laborator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63062" cy="3090063"/>
                    </a:xfrm>
                    <a:prstGeom prst="rect">
                      <a:avLst/>
                    </a:prstGeom>
                  </pic:spPr>
                </pic:pic>
              </a:graphicData>
            </a:graphic>
          </wp:inline>
        </w:drawing>
      </w:r>
    </w:p>
    <w:p w:rsidR="00805B5D" w:rsidRDefault="00805B5D" w:rsidP="00805B5D">
      <w:r>
        <w:t>Total bilirubin abnormalities were reported more frequently in the B/F/TAF group compared with the ABC/DTG/3TC group. Total bilirubin abnormalities were reported in 7.4% and 3.6% of the respective groups. The majority of total bilirubin abnormalities were Grade 1 or 2 in severity. Grade 3 abnormalities were reported in two patients in the B/F/TAF group. One patient had a previous history of hyperbilirubinaemia and the other was receiving numerous concomitant medications. There were no Grade 4 abnormalities.</w:t>
      </w:r>
    </w:p>
    <w:p w:rsidR="00805B5D" w:rsidRPr="00805B5D" w:rsidRDefault="00805B5D" w:rsidP="00805B5D">
      <w:pPr>
        <w:pStyle w:val="Heading7"/>
        <w:rPr>
          <w:sz w:val="22"/>
          <w:szCs w:val="22"/>
        </w:rPr>
      </w:pPr>
      <w:r w:rsidRPr="00805B5D">
        <w:rPr>
          <w:sz w:val="22"/>
          <w:szCs w:val="22"/>
        </w:rPr>
        <w:t>Study 1878</w:t>
      </w:r>
    </w:p>
    <w:p w:rsidR="00805B5D" w:rsidRDefault="00805B5D" w:rsidP="00805B5D">
      <w:r>
        <w:t xml:space="preserve">There were statistically significant differences between the treatment groups for </w:t>
      </w:r>
      <w:r w:rsidR="00874E5D">
        <w:t xml:space="preserve">Alkaline </w:t>
      </w:r>
      <w:r w:rsidR="00874E5D" w:rsidRPr="0058597B">
        <w:t>phosphatase</w:t>
      </w:r>
      <w:r w:rsidR="00874E5D">
        <w:t xml:space="preserve"> (</w:t>
      </w:r>
      <w:r>
        <w:t>ALP</w:t>
      </w:r>
      <w:r w:rsidR="00874E5D">
        <w:t>),</w:t>
      </w:r>
      <w:r>
        <w:t xml:space="preserve"> ALT, AST and total bilirubin at Week 48. However, there were no meaningful median changes from baseline for any hepatic laboratory parameter in any treatment group (</w:t>
      </w:r>
      <w:r w:rsidR="00CA07F1">
        <w:t>Table 14</w:t>
      </w:r>
      <w:r>
        <w:t xml:space="preserve">). Five patients had liver function abnormalities with a potential cause of </w:t>
      </w:r>
      <w:r w:rsidR="009E0328">
        <w:t>drug induced liver injury (</w:t>
      </w:r>
      <w:r>
        <w:t>DILI</w:t>
      </w:r>
      <w:r w:rsidR="009E0328">
        <w:t>)</w:t>
      </w:r>
      <w:r>
        <w:t xml:space="preserve"> (ALT or AST </w:t>
      </w:r>
      <w:r w:rsidR="00251457">
        <w:t xml:space="preserve">&gt; </w:t>
      </w:r>
      <w:r>
        <w:t xml:space="preserve">3 x </w:t>
      </w:r>
      <w:r w:rsidR="002D5055">
        <w:t>upper limit of normal (</w:t>
      </w:r>
      <w:r>
        <w:t>ULN</w:t>
      </w:r>
      <w:r w:rsidR="002D5055">
        <w:t>)</w:t>
      </w:r>
      <w:r>
        <w:t xml:space="preserve"> and total bilirubin </w:t>
      </w:r>
      <w:r w:rsidR="00251457">
        <w:t xml:space="preserve">&gt; </w:t>
      </w:r>
      <w:r>
        <w:t xml:space="preserve">2 x ULN, with ALP </w:t>
      </w:r>
      <w:r w:rsidR="00251457">
        <w:t xml:space="preserve">&lt; </w:t>
      </w:r>
      <w:r>
        <w:t>2 x ULN). However, they did not meet Hy’s Law criteria as alternative plausible explanations were present in each case. Two patients in the B/F/TAF group had SAEs of hepatitis A. Three patients in the SBR group had an SAE of acute HCV, chronic non-alcoholic liver disease at baseline and Grade 1 acute HCV.</w:t>
      </w:r>
    </w:p>
    <w:p w:rsidR="007B5F47" w:rsidRDefault="007B5F47" w:rsidP="007B5F47">
      <w:pPr>
        <w:pStyle w:val="TableTitle"/>
      </w:pPr>
      <w:bookmarkStart w:id="110" w:name="_Ref5963427"/>
      <w:r>
        <w:lastRenderedPageBreak/>
        <w:t>Table</w:t>
      </w:r>
      <w:bookmarkEnd w:id="110"/>
      <w:r w:rsidR="00CA07F1">
        <w:t xml:space="preserve"> 14</w:t>
      </w:r>
      <w:r>
        <w:t>: Study 1878 c</w:t>
      </w:r>
      <w:r w:rsidR="00CA07F1">
        <w:t>hanges from B</w:t>
      </w:r>
      <w:r w:rsidRPr="007B5F47">
        <w:t>aseline in hepatic laboratory parameters</w:t>
      </w:r>
    </w:p>
    <w:p w:rsidR="007B5F47" w:rsidRDefault="007B5F47" w:rsidP="00805B5D">
      <w:r>
        <w:rPr>
          <w:noProof/>
          <w:lang w:eastAsia="en-AU"/>
        </w:rPr>
        <w:drawing>
          <wp:inline distT="0" distB="0" distL="0" distR="0" wp14:anchorId="257968C3" wp14:editId="3DB4C4E0">
            <wp:extent cx="5102814" cy="3306471"/>
            <wp:effectExtent l="0" t="0" r="3175" b="8255"/>
            <wp:docPr id="44" name="Picture 44" descr="Study 1878 changes from Baseline in hepatic laborator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107429" cy="3309461"/>
                    </a:xfrm>
                    <a:prstGeom prst="rect">
                      <a:avLst/>
                    </a:prstGeom>
                  </pic:spPr>
                </pic:pic>
              </a:graphicData>
            </a:graphic>
          </wp:inline>
        </w:drawing>
      </w:r>
    </w:p>
    <w:p w:rsidR="00805B5D" w:rsidRDefault="00805B5D" w:rsidP="00805B5D">
      <w:r>
        <w:t>The incidence of ALT abnormalities was higher in the B/F/TAF group (23.4%) compared with SBR group (10.5%). The majority of abnormalities were Grade 1 or 2 in severity. Grade 3 or 4 ALT abnormalities were reported in 2.1% of patients in the B/F/TAF group, compared with 1.4% in the SBR group. AST abnormalities were comparable. Total bilirubin abnormalities were reported more frequently in the B/F/TAF group compared with the ABC/DTG/3TC and DTG + F/TAF groups. Total bilirubin abnormalities were reported in fewer patients in the B/F/TAF group (5.5%), compared with the SBR group (33.7%) (hyperbilirubinaemia is a known</w:t>
      </w:r>
      <w:r w:rsidR="007B5F47">
        <w:t xml:space="preserve"> association with ATV therapy).</w:t>
      </w:r>
    </w:p>
    <w:p w:rsidR="00805B5D" w:rsidRPr="00850938" w:rsidRDefault="00805B5D" w:rsidP="00805B5D">
      <w:pPr>
        <w:pStyle w:val="Heading7"/>
        <w:rPr>
          <w:sz w:val="22"/>
        </w:rPr>
      </w:pPr>
      <w:r w:rsidRPr="00850938">
        <w:rPr>
          <w:sz w:val="22"/>
        </w:rPr>
        <w:t>Integrated analysis</w:t>
      </w:r>
    </w:p>
    <w:p w:rsidR="00805B5D" w:rsidRDefault="00805B5D" w:rsidP="00805B5D">
      <w:r>
        <w:t>An integrated analysis of hepatic abno</w:t>
      </w:r>
      <w:r w:rsidR="0058597B">
        <w:t>rmalities in the B/F/TAF Phase III</w:t>
      </w:r>
      <w:r>
        <w:t xml:space="preserve"> studies concluded:</w:t>
      </w:r>
    </w:p>
    <w:p w:rsidR="00805B5D" w:rsidRDefault="00805B5D" w:rsidP="00805B5D">
      <w:pPr>
        <w:pStyle w:val="ListBullet"/>
      </w:pPr>
      <w:r>
        <w:t>No patients treated with B/F/TAF met Hy’s Law criteria for DILI</w:t>
      </w:r>
    </w:p>
    <w:p w:rsidR="00805B5D" w:rsidRDefault="00805B5D" w:rsidP="00805B5D">
      <w:pPr>
        <w:pStyle w:val="ListBullet"/>
      </w:pPr>
      <w:r>
        <w:t>The percentage of patients with significant transaminase elevations was no higher in the in the B/F/TAF group compared with the comparator treatment groups</w:t>
      </w:r>
    </w:p>
    <w:p w:rsidR="00805B5D" w:rsidRDefault="00805B5D" w:rsidP="00805B5D">
      <w:pPr>
        <w:pStyle w:val="ListBullet"/>
      </w:pPr>
      <w:r>
        <w:t xml:space="preserve">In the B/F/TAF group, total bilirubin elevations </w:t>
      </w:r>
      <w:r w:rsidR="00251457">
        <w:t xml:space="preserve">&gt; </w:t>
      </w:r>
      <w:r>
        <w:t>2 x ULN were explained by alternative aetiologies</w:t>
      </w:r>
    </w:p>
    <w:p w:rsidR="00805B5D" w:rsidRDefault="00805B5D" w:rsidP="00805B5D">
      <w:pPr>
        <w:pStyle w:val="ListBullet"/>
      </w:pPr>
      <w:r>
        <w:t>In the B/F/TAF group, patients with total bilirubin elevations of any grade generally did not have concurrent elevations in transaminases</w:t>
      </w:r>
    </w:p>
    <w:p w:rsidR="00E34B4A" w:rsidRDefault="00E34B4A" w:rsidP="00E34B4A">
      <w:pPr>
        <w:pStyle w:val="Heading5"/>
      </w:pPr>
      <w:r>
        <w:t>Renal function and renal toxicity</w:t>
      </w:r>
    </w:p>
    <w:p w:rsidR="00E34B4A" w:rsidRDefault="00E34B4A" w:rsidP="00E34B4A">
      <w:r>
        <w:t>No issues related to renal function or toxicity were reported.</w:t>
      </w:r>
    </w:p>
    <w:p w:rsidR="00805B5D" w:rsidRDefault="00850938" w:rsidP="00805B5D">
      <w:pPr>
        <w:pStyle w:val="Heading6"/>
      </w:pPr>
      <w:r>
        <w:t xml:space="preserve">Pooled ART </w:t>
      </w:r>
      <w:r w:rsidR="00805B5D">
        <w:t>naïve patients</w:t>
      </w:r>
    </w:p>
    <w:p w:rsidR="00805B5D" w:rsidRDefault="00805B5D" w:rsidP="00805B5D">
      <w:r>
        <w:t xml:space="preserve">There were minor increases in serum creatinine in each treatment group at Week 4 and the increase was maintained through Week 48. Abnormalities of serum creatinine were reported in 3.2%, 2.2% and 4.6% of the in the pooled B/F/TAF, ABC/DTG/3TC and DTG + F/TAF groups, respectively. Grade 3 or 4 abnormalities were reported in 0.3%, 0.3% and 0% of the respective groups. Reciprocal changes in </w:t>
      </w:r>
      <w:r w:rsidR="009E0328">
        <w:t>estimated glomerular filtration rate (</w:t>
      </w:r>
      <w:r>
        <w:t>eGFR</w:t>
      </w:r>
      <w:r w:rsidR="009E0328">
        <w:t>)</w:t>
      </w:r>
      <w:r>
        <w:t xml:space="preserve"> were observed in each treatment group. The median decreases in eGRF</w:t>
      </w:r>
      <w:r w:rsidR="0058597B">
        <w:t xml:space="preserve"> from </w:t>
      </w:r>
      <w:r w:rsidR="0058597B">
        <w:lastRenderedPageBreak/>
        <w:t>baseline to Week 48 were –</w:t>
      </w:r>
      <w:r>
        <w:t xml:space="preserve">8.8 mL/min, </w:t>
      </w:r>
      <w:r w:rsidR="00850938">
        <w:noBreakHyphen/>
        <w:t>10.8 </w:t>
      </w:r>
      <w:r>
        <w:t xml:space="preserve">mL/min and </w:t>
      </w:r>
      <w:r w:rsidR="0058597B">
        <w:t>–</w:t>
      </w:r>
      <w:r>
        <w:t>10.8 mL/min in the respective groups. Four patients had renal SAEs which were not considered drug related and each resolved while drug treatment was conti</w:t>
      </w:r>
      <w:r w:rsidR="0058597B">
        <w:t>nued.</w:t>
      </w:r>
    </w:p>
    <w:p w:rsidR="00805B5D" w:rsidRPr="00805B5D" w:rsidRDefault="00805B5D" w:rsidP="00805B5D">
      <w:pPr>
        <w:pStyle w:val="Heading7"/>
        <w:rPr>
          <w:sz w:val="22"/>
          <w:szCs w:val="22"/>
        </w:rPr>
      </w:pPr>
      <w:r w:rsidRPr="00805B5D">
        <w:rPr>
          <w:sz w:val="22"/>
          <w:szCs w:val="22"/>
        </w:rPr>
        <w:t>Study 1475</w:t>
      </w:r>
    </w:p>
    <w:p w:rsidR="00805B5D" w:rsidRDefault="00805B5D" w:rsidP="00805B5D">
      <w:r>
        <w:t>During the DB period, there were similar modest increases in serum creatinine in the BIC</w:t>
      </w:r>
      <w:r w:rsidR="00980A20">
        <w:t> </w:t>
      </w:r>
      <w:r>
        <w:t>+ F/TAF and DTG + F/TAF treatment groups. Reciprocal reductions in eGFR were reported.</w:t>
      </w:r>
    </w:p>
    <w:p w:rsidR="00805B5D" w:rsidRDefault="00805B5D" w:rsidP="00805B5D">
      <w:pPr>
        <w:pStyle w:val="Heading6"/>
      </w:pPr>
      <w:r>
        <w:t>Virologically suppressed patients</w:t>
      </w:r>
    </w:p>
    <w:p w:rsidR="00805B5D" w:rsidRPr="00805B5D" w:rsidRDefault="00805B5D" w:rsidP="00805B5D">
      <w:pPr>
        <w:pStyle w:val="Heading7"/>
        <w:rPr>
          <w:sz w:val="22"/>
          <w:szCs w:val="22"/>
        </w:rPr>
      </w:pPr>
      <w:r w:rsidRPr="00805B5D">
        <w:rPr>
          <w:sz w:val="22"/>
          <w:szCs w:val="22"/>
        </w:rPr>
        <w:t>Study 1844</w:t>
      </w:r>
    </w:p>
    <w:p w:rsidR="00805B5D" w:rsidRDefault="00805B5D" w:rsidP="00805B5D">
      <w:r>
        <w:t xml:space="preserve">No change from baseline in serum creatinine was observed in the B/F/TAF group, compared with a minor increase in the ABC/DTG/3TC group at Weeks 4 and 48. Median changes from baseline were </w:t>
      </w:r>
      <w:r w:rsidR="0058597B">
        <w:t>–</w:t>
      </w:r>
      <w:r>
        <w:t xml:space="preserve">0.07 mg/dL and 0.02 </w:t>
      </w:r>
      <w:r w:rsidR="0058597B">
        <w:t>mg/dL in the respective groups.</w:t>
      </w:r>
    </w:p>
    <w:p w:rsidR="00805B5D" w:rsidRDefault="00805B5D" w:rsidP="00805B5D">
      <w:r>
        <w:t>Abnormalities in serum creatinine were reported in 7.4% and 5.0% of the respective groups. No Grade 3 or 4 abnormalities were reported in either group. Reciprocal changes in eGFR were observed in each treatment group. The median changes from baseline in eGRF to Week 48 were 1.0 mL/min and -1.8 m</w:t>
      </w:r>
      <w:r w:rsidR="0058597B">
        <w:t>L/min in the respective groups.</w:t>
      </w:r>
    </w:p>
    <w:p w:rsidR="00805B5D" w:rsidRPr="00805B5D" w:rsidRDefault="00805B5D" w:rsidP="00805B5D">
      <w:pPr>
        <w:pStyle w:val="Heading7"/>
        <w:rPr>
          <w:sz w:val="22"/>
          <w:szCs w:val="22"/>
        </w:rPr>
      </w:pPr>
      <w:r w:rsidRPr="00805B5D">
        <w:rPr>
          <w:sz w:val="22"/>
          <w:szCs w:val="22"/>
        </w:rPr>
        <w:t>Study 1878</w:t>
      </w:r>
    </w:p>
    <w:p w:rsidR="00805B5D" w:rsidRDefault="00805B5D" w:rsidP="00805B5D">
      <w:r>
        <w:t xml:space="preserve">There was a mean change from baseline in serum creatinine in the B/F/TAF group, compared with no change in the SBR at Weeks 4 and 48. Median changes from baseline were 0.06 mg/dL and 0.00 mg/dL in the respective groups. Abnormalities for serum creatinine were reported in 2.8% and 1.8% of the respective groups. All abnormalities were Grade 1 in severity. Reciprocal changes in eGFR were observed in each treatment group. The median changes in eGRF from baseline to Week 48 were </w:t>
      </w:r>
      <w:r w:rsidR="0058597B">
        <w:t>–</w:t>
      </w:r>
      <w:r>
        <w:t>4.3 mL/min and 0.2 mL/min in the respective groups (p</w:t>
      </w:r>
      <w:r w:rsidR="0058597B">
        <w:t xml:space="preserve"> </w:t>
      </w:r>
      <w:r w:rsidR="00251457">
        <w:t xml:space="preserve">&lt; </w:t>
      </w:r>
      <w:r w:rsidR="0058597B">
        <w:t>0.001).</w:t>
      </w:r>
    </w:p>
    <w:p w:rsidR="00805B5D" w:rsidRDefault="00805B5D" w:rsidP="00805B5D">
      <w:r>
        <w:t xml:space="preserve">In all Phase </w:t>
      </w:r>
      <w:r w:rsidR="0058597B">
        <w:t>II</w:t>
      </w:r>
      <w:r>
        <w:t xml:space="preserve"> and </w:t>
      </w:r>
      <w:r w:rsidR="0058597B">
        <w:t>III</w:t>
      </w:r>
      <w:r>
        <w:t xml:space="preserve"> studies, no issues related to proteinuria or proximal tubular toxicity were identified</w:t>
      </w:r>
      <w:r w:rsidR="0058597B">
        <w:t>.</w:t>
      </w:r>
    </w:p>
    <w:p w:rsidR="00E34B4A" w:rsidRDefault="00E34B4A" w:rsidP="00E34B4A">
      <w:pPr>
        <w:pStyle w:val="Heading5"/>
      </w:pPr>
      <w:r>
        <w:t>Other clinical chemistry</w:t>
      </w:r>
    </w:p>
    <w:p w:rsidR="00DF2011" w:rsidRDefault="00850938" w:rsidP="00DF2011">
      <w:pPr>
        <w:pStyle w:val="Heading6"/>
      </w:pPr>
      <w:r>
        <w:t xml:space="preserve">Pooled ART </w:t>
      </w:r>
      <w:r w:rsidR="00DF2011">
        <w:t>naïve patients</w:t>
      </w:r>
    </w:p>
    <w:p w:rsidR="00E34B4A" w:rsidRDefault="00E34B4A" w:rsidP="00E34B4A">
      <w:r>
        <w:t xml:space="preserve">The incidence of laboratory abnormalities was broadly comparable in each treatment group (B/F/TAF 87.7%, ABC/DTG/3TC 87.3% and DTG </w:t>
      </w:r>
      <w:r w:rsidR="0058597B">
        <w:t>+</w:t>
      </w:r>
      <w:r>
        <w:t xml:space="preserve"> F/TAF 83.1%). Most abnormalities were Grade 1 or 2 in severity. The incidence of Grade 3 or 4 abnormalities was comparable in each treatment group (B/F/TAF 15.6%, ABC/DTG/</w:t>
      </w:r>
      <w:r w:rsidR="00DF2011">
        <w:t>3TC 14.6% and DTG + F/TAF 13.2%)</w:t>
      </w:r>
      <w:r w:rsidR="004E4AAB">
        <w:t xml:space="preserve"> </w:t>
      </w:r>
      <w:r w:rsidR="00030821">
        <w:t>(</w:t>
      </w:r>
      <w:r w:rsidR="00CA07F1">
        <w:t>Table 15</w:t>
      </w:r>
      <w:r w:rsidR="00030821">
        <w:t>)</w:t>
      </w:r>
      <w:r>
        <w:t>.</w:t>
      </w:r>
    </w:p>
    <w:p w:rsidR="00030821" w:rsidRDefault="00030821" w:rsidP="00030821">
      <w:pPr>
        <w:pStyle w:val="TableTitle"/>
      </w:pPr>
      <w:bookmarkStart w:id="111" w:name="_Ref5884713"/>
      <w:r>
        <w:lastRenderedPageBreak/>
        <w:t>Table</w:t>
      </w:r>
      <w:bookmarkEnd w:id="111"/>
      <w:r w:rsidR="00CA07F1">
        <w:t xml:space="preserve"> 15</w:t>
      </w:r>
      <w:r>
        <w:t xml:space="preserve">: </w:t>
      </w:r>
      <w:r w:rsidR="007B5F47">
        <w:t>Studies 1489 and 1490</w:t>
      </w:r>
      <w:r w:rsidRPr="00030821">
        <w:t xml:space="preserve"> Grade 3 or 4 laboratory abnormalities</w:t>
      </w:r>
    </w:p>
    <w:p w:rsidR="00030821" w:rsidRDefault="00030821" w:rsidP="00E34B4A">
      <w:r>
        <w:rPr>
          <w:noProof/>
          <w:lang w:eastAsia="en-AU"/>
        </w:rPr>
        <w:drawing>
          <wp:inline distT="0" distB="0" distL="0" distR="0" wp14:anchorId="5AF19C84" wp14:editId="020E5750">
            <wp:extent cx="5400040" cy="5293885"/>
            <wp:effectExtent l="0" t="0" r="0" b="2540"/>
            <wp:docPr id="35" name="Picture 35" descr="Studies 1489 and 1490 Grade 3 or 4 laborator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5293885"/>
                    </a:xfrm>
                    <a:prstGeom prst="rect">
                      <a:avLst/>
                    </a:prstGeom>
                  </pic:spPr>
                </pic:pic>
              </a:graphicData>
            </a:graphic>
          </wp:inline>
        </w:drawing>
      </w:r>
    </w:p>
    <w:p w:rsidR="00030821" w:rsidRDefault="00CA07F1" w:rsidP="00030821">
      <w:pPr>
        <w:pStyle w:val="TableTitle"/>
      </w:pPr>
      <w:r>
        <w:lastRenderedPageBreak/>
        <w:t>Table 15 (continued)</w:t>
      </w:r>
      <w:r w:rsidR="00030821">
        <w:t xml:space="preserve">: </w:t>
      </w:r>
      <w:r>
        <w:t>Studies 1489 and 1490</w:t>
      </w:r>
      <w:r w:rsidRPr="00030821">
        <w:t xml:space="preserve"> Grade 3 or 4 laboratory abnormalities</w:t>
      </w:r>
    </w:p>
    <w:p w:rsidR="00030821" w:rsidRDefault="00030821" w:rsidP="00E34B4A">
      <w:r>
        <w:rPr>
          <w:noProof/>
          <w:lang w:eastAsia="en-AU"/>
        </w:rPr>
        <w:drawing>
          <wp:inline distT="0" distB="0" distL="0" distR="0" wp14:anchorId="7B3845FE" wp14:editId="38E20861">
            <wp:extent cx="5048360" cy="6108192"/>
            <wp:effectExtent l="0" t="0" r="0" b="6985"/>
            <wp:docPr id="36" name="Picture 36" descr="Studies 1489 and 1490 Grade 3 or 4 laborator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49691" cy="6109802"/>
                    </a:xfrm>
                    <a:prstGeom prst="rect">
                      <a:avLst/>
                    </a:prstGeom>
                  </pic:spPr>
                </pic:pic>
              </a:graphicData>
            </a:graphic>
          </wp:inline>
        </w:drawing>
      </w:r>
    </w:p>
    <w:p w:rsidR="00D00928" w:rsidRDefault="00E34B4A" w:rsidP="00D00928">
      <w:pPr>
        <w:pStyle w:val="Heading6"/>
      </w:pPr>
      <w:r>
        <w:t>Study 1475</w:t>
      </w:r>
    </w:p>
    <w:p w:rsidR="00E34B4A" w:rsidRDefault="00E34B4A" w:rsidP="00E34B4A">
      <w:r>
        <w:t>There were no meaningful changes from baseline in median laboratory values, or differences between treatment groups.</w:t>
      </w:r>
    </w:p>
    <w:p w:rsidR="00E34B4A" w:rsidRDefault="00E34B4A" w:rsidP="00E34B4A">
      <w:pPr>
        <w:pStyle w:val="Heading6"/>
      </w:pPr>
      <w:r>
        <w:t>Vi</w:t>
      </w:r>
      <w:r w:rsidR="00D00928">
        <w:t>rologically suppressed patients</w:t>
      </w:r>
    </w:p>
    <w:p w:rsidR="00D00928" w:rsidRPr="00D00928" w:rsidRDefault="00D00928" w:rsidP="00D00928">
      <w:pPr>
        <w:pStyle w:val="Heading7"/>
        <w:rPr>
          <w:sz w:val="22"/>
          <w:szCs w:val="22"/>
        </w:rPr>
      </w:pPr>
      <w:r w:rsidRPr="00D00928">
        <w:rPr>
          <w:sz w:val="22"/>
          <w:szCs w:val="22"/>
        </w:rPr>
        <w:t>Study 1844</w:t>
      </w:r>
    </w:p>
    <w:p w:rsidR="00E34B4A" w:rsidRDefault="00E34B4A" w:rsidP="00E34B4A">
      <w:r>
        <w:t>The incidence of laboratory abnormalities was similar in each treatment group (B/F/TAF 85.1%, ABC/DTG/3TC 85.8%). Most abnormalities were Grade 1 or 2 in severity. The incidence of Grade 3 or 4 abnormalities was comparable in each treatment group (B/F</w:t>
      </w:r>
      <w:r w:rsidR="00DF2011">
        <w:t>/TAF 16.7%, ABC/DTG/3TC 11.4%)</w:t>
      </w:r>
      <w:r w:rsidR="00D00928">
        <w:t xml:space="preserve"> (</w:t>
      </w:r>
      <w:r w:rsidR="00CA07F1">
        <w:t>Table 16</w:t>
      </w:r>
      <w:r w:rsidR="00D00928">
        <w:t>)</w:t>
      </w:r>
      <w:r>
        <w:t>.</w:t>
      </w:r>
    </w:p>
    <w:p w:rsidR="00B80C4A" w:rsidRDefault="00B80C4A" w:rsidP="00B80C4A">
      <w:pPr>
        <w:pStyle w:val="TableTitle"/>
      </w:pPr>
      <w:bookmarkStart w:id="112" w:name="_Ref5961323"/>
      <w:r>
        <w:lastRenderedPageBreak/>
        <w:t>Table</w:t>
      </w:r>
      <w:bookmarkEnd w:id="112"/>
      <w:r w:rsidR="00CA07F1">
        <w:t xml:space="preserve"> 16</w:t>
      </w:r>
      <w:r>
        <w:t xml:space="preserve">: Study 1844 </w:t>
      </w:r>
      <w:r w:rsidRPr="00B80C4A">
        <w:t>Laboratory abnormalities</w:t>
      </w:r>
    </w:p>
    <w:p w:rsidR="00D00928" w:rsidRDefault="00B80C4A" w:rsidP="00E34B4A">
      <w:r>
        <w:rPr>
          <w:noProof/>
          <w:lang w:eastAsia="en-AU"/>
        </w:rPr>
        <w:drawing>
          <wp:inline distT="0" distB="0" distL="0" distR="0" wp14:anchorId="5268393E" wp14:editId="0368EEB9">
            <wp:extent cx="5100550" cy="6071616"/>
            <wp:effectExtent l="0" t="0" r="5080" b="5715"/>
            <wp:docPr id="37" name="Picture 37" descr=": Study 1844 Laborator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01539" cy="6072793"/>
                    </a:xfrm>
                    <a:prstGeom prst="rect">
                      <a:avLst/>
                    </a:prstGeom>
                  </pic:spPr>
                </pic:pic>
              </a:graphicData>
            </a:graphic>
          </wp:inline>
        </w:drawing>
      </w:r>
    </w:p>
    <w:p w:rsidR="00D00928" w:rsidRPr="00D00928" w:rsidRDefault="00D00928" w:rsidP="00D00928">
      <w:pPr>
        <w:pStyle w:val="Heading7"/>
        <w:rPr>
          <w:sz w:val="22"/>
          <w:szCs w:val="22"/>
        </w:rPr>
      </w:pPr>
      <w:r w:rsidRPr="00D00928">
        <w:rPr>
          <w:sz w:val="22"/>
          <w:szCs w:val="22"/>
        </w:rPr>
        <w:t>Study 1878</w:t>
      </w:r>
    </w:p>
    <w:p w:rsidR="00E34B4A" w:rsidRDefault="00E34B4A" w:rsidP="00E34B4A">
      <w:r>
        <w:t>The incidence of laboratory abnormalities was similar in each treatment group (B/F/TAF 84.8%, SBR 90.9%). Most abnormalities were Grade 1 or 2 in severity. The incidence of Grade 3 or 4 abnormalities was less in the B/F/TAF group compared with the SBR group (B/F/TAF 15.5%, SBR 29.1%), due mainly to a higher incidence of total bilirubin elevatio</w:t>
      </w:r>
      <w:r w:rsidR="00DF2011">
        <w:t>ns in the SBR group</w:t>
      </w:r>
      <w:r w:rsidR="00D00928">
        <w:t xml:space="preserve"> (</w:t>
      </w:r>
      <w:r w:rsidR="00CA07F1">
        <w:t>Table 17</w:t>
      </w:r>
      <w:r w:rsidR="00D00928">
        <w:t>).</w:t>
      </w:r>
    </w:p>
    <w:p w:rsidR="00B80C4A" w:rsidRDefault="00B80C4A" w:rsidP="00B80C4A">
      <w:pPr>
        <w:pStyle w:val="TableTitle"/>
      </w:pPr>
      <w:bookmarkStart w:id="113" w:name="_Ref5961394"/>
      <w:r>
        <w:lastRenderedPageBreak/>
        <w:t>Table</w:t>
      </w:r>
      <w:bookmarkEnd w:id="113"/>
      <w:r w:rsidR="00CA07F1">
        <w:t xml:space="preserve"> 17</w:t>
      </w:r>
      <w:r>
        <w:t>: Study 1878</w:t>
      </w:r>
      <w:r w:rsidRPr="00B80C4A">
        <w:t xml:space="preserve"> Laboratory abnormalities</w:t>
      </w:r>
    </w:p>
    <w:p w:rsidR="00B80C4A" w:rsidRDefault="00B80C4A" w:rsidP="00E34B4A">
      <w:r>
        <w:rPr>
          <w:noProof/>
          <w:lang w:eastAsia="en-AU"/>
        </w:rPr>
        <w:drawing>
          <wp:inline distT="0" distB="0" distL="0" distR="0" wp14:anchorId="6B9AD199" wp14:editId="2D67C2BC">
            <wp:extent cx="5214842" cy="6364224"/>
            <wp:effectExtent l="0" t="0" r="5080" b="0"/>
            <wp:docPr id="38" name="Picture 38" descr="Study 1878 Laborator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6217" cy="6365902"/>
                    </a:xfrm>
                    <a:prstGeom prst="rect">
                      <a:avLst/>
                    </a:prstGeom>
                  </pic:spPr>
                </pic:pic>
              </a:graphicData>
            </a:graphic>
          </wp:inline>
        </w:drawing>
      </w:r>
    </w:p>
    <w:p w:rsidR="00E34B4A" w:rsidRDefault="00E34B4A" w:rsidP="00E34B4A">
      <w:pPr>
        <w:pStyle w:val="Heading5"/>
      </w:pPr>
      <w:r>
        <w:t>Haematology and haematological toxicity</w:t>
      </w:r>
    </w:p>
    <w:p w:rsidR="00E34B4A" w:rsidRDefault="00E34B4A" w:rsidP="00E34B4A">
      <w:r>
        <w:t xml:space="preserve">In the Phase </w:t>
      </w:r>
      <w:r w:rsidR="009D7B64">
        <w:t>II</w:t>
      </w:r>
      <w:r>
        <w:t xml:space="preserve"> and </w:t>
      </w:r>
      <w:r w:rsidR="009D7B64">
        <w:t>III</w:t>
      </w:r>
      <w:r>
        <w:t xml:space="preserve"> studies, there were no clinically relevant changes from baseline within any treatment group, or differences between groups, in median values for any ha</w:t>
      </w:r>
      <w:r w:rsidR="00DF2011">
        <w:t>ematology parameter.</w:t>
      </w:r>
    </w:p>
    <w:p w:rsidR="00E34B4A" w:rsidRDefault="00E34B4A" w:rsidP="00E34B4A">
      <w:pPr>
        <w:pStyle w:val="Heading5"/>
      </w:pPr>
      <w:r>
        <w:t>Electrocardiograph findings and cardiovascular safety</w:t>
      </w:r>
    </w:p>
    <w:p w:rsidR="00E34B4A" w:rsidRDefault="00850938" w:rsidP="00E34B4A">
      <w:pPr>
        <w:pStyle w:val="Heading6"/>
      </w:pPr>
      <w:r>
        <w:t xml:space="preserve">ART </w:t>
      </w:r>
      <w:r w:rsidR="00E34B4A">
        <w:t>naïve patients</w:t>
      </w:r>
    </w:p>
    <w:p w:rsidR="00E34B4A" w:rsidRDefault="00E34B4A" w:rsidP="00E34B4A">
      <w:r>
        <w:t xml:space="preserve">In </w:t>
      </w:r>
      <w:r w:rsidR="00DF2011">
        <w:t>S</w:t>
      </w:r>
      <w:r>
        <w:t xml:space="preserve">tudy 1489, three patients in the B/F/TAF group had </w:t>
      </w:r>
      <w:r w:rsidR="009E0328">
        <w:t>electrocardiogram (</w:t>
      </w:r>
      <w:r>
        <w:t>ECG</w:t>
      </w:r>
      <w:r w:rsidR="009E0328">
        <w:t>)</w:t>
      </w:r>
      <w:r>
        <w:t xml:space="preserve"> abnormalities reported as AEs compared with two patients in the ABC/DTG/3TC group. All of the events were non-serious and only one event was considered to be drug related </w:t>
      </w:r>
      <w:r w:rsidR="00DF2011">
        <w:t>(in the ABC/DTG/3TC group). In S</w:t>
      </w:r>
      <w:r>
        <w:t xml:space="preserve">tudy 1490, there were two AEs related to ECG abnormalities, both in the DTG </w:t>
      </w:r>
      <w:r w:rsidR="0058597B">
        <w:t>+</w:t>
      </w:r>
      <w:r w:rsidR="00DF2011">
        <w:t xml:space="preserve"> F/TAF group.</w:t>
      </w:r>
    </w:p>
    <w:p w:rsidR="00E34B4A" w:rsidRDefault="00E34B4A" w:rsidP="00E34B4A">
      <w:pPr>
        <w:pStyle w:val="Heading6"/>
      </w:pPr>
      <w:r>
        <w:lastRenderedPageBreak/>
        <w:t>Study 1475</w:t>
      </w:r>
    </w:p>
    <w:p w:rsidR="00E34B4A" w:rsidRDefault="00E34B4A" w:rsidP="00E34B4A">
      <w:r>
        <w:t>No AEs relating to ECG abnormalities were reported.</w:t>
      </w:r>
    </w:p>
    <w:p w:rsidR="00E34B4A" w:rsidRDefault="00E34B4A" w:rsidP="00E34B4A">
      <w:pPr>
        <w:pStyle w:val="Heading6"/>
      </w:pPr>
      <w:r>
        <w:t>Vi</w:t>
      </w:r>
      <w:r w:rsidR="00DF2011">
        <w:t>rologically suppressed patients</w:t>
      </w:r>
    </w:p>
    <w:p w:rsidR="00D00928" w:rsidRPr="00D00928" w:rsidRDefault="00E34B4A" w:rsidP="00D00928">
      <w:pPr>
        <w:pStyle w:val="Heading7"/>
        <w:rPr>
          <w:sz w:val="22"/>
          <w:szCs w:val="22"/>
        </w:rPr>
      </w:pPr>
      <w:r w:rsidRPr="00D00928">
        <w:rPr>
          <w:sz w:val="22"/>
          <w:szCs w:val="22"/>
        </w:rPr>
        <w:t>Study 1844</w:t>
      </w:r>
    </w:p>
    <w:p w:rsidR="00E34B4A" w:rsidRPr="00DF2011" w:rsidRDefault="00E34B4A" w:rsidP="00D00928">
      <w:r>
        <w:t>Four patients had ECG findings reported as AEs (3 B/F/TAF; 3 ABC/DTG/3TC). All were considered unrelated to study drug and none lead to treatment discontinuation.</w:t>
      </w:r>
    </w:p>
    <w:p w:rsidR="00D00928" w:rsidRPr="00D00928" w:rsidRDefault="00E34B4A" w:rsidP="00D00928">
      <w:pPr>
        <w:pStyle w:val="Heading7"/>
        <w:rPr>
          <w:sz w:val="22"/>
          <w:szCs w:val="22"/>
        </w:rPr>
      </w:pPr>
      <w:r w:rsidRPr="00D00928">
        <w:rPr>
          <w:sz w:val="22"/>
          <w:szCs w:val="22"/>
        </w:rPr>
        <w:t>Study 1878</w:t>
      </w:r>
    </w:p>
    <w:p w:rsidR="00E34B4A" w:rsidRPr="00DF2011" w:rsidRDefault="00E34B4A" w:rsidP="00D00928">
      <w:r>
        <w:t>Six patients had ECG findings reported as AEs (three in the B/F/TAF and SBR groups). All were considered unrelated to study drug and none lead to treatment discontinuation.</w:t>
      </w:r>
    </w:p>
    <w:p w:rsidR="00E34B4A" w:rsidRDefault="00E34B4A" w:rsidP="00E34B4A">
      <w:pPr>
        <w:pStyle w:val="Heading5"/>
      </w:pPr>
      <w:r>
        <w:t>Vital signs and clinical examination findings</w:t>
      </w:r>
    </w:p>
    <w:p w:rsidR="00E34B4A" w:rsidRDefault="00E34B4A" w:rsidP="00E34B4A">
      <w:r>
        <w:t xml:space="preserve">In the Phase </w:t>
      </w:r>
      <w:r w:rsidR="009D7B64">
        <w:t>II</w:t>
      </w:r>
      <w:r>
        <w:t xml:space="preserve"> and </w:t>
      </w:r>
      <w:r w:rsidR="009D7B64">
        <w:t>III</w:t>
      </w:r>
      <w:r>
        <w:t xml:space="preserve"> studies, there were no clinically relevant changes from baseline within any treatment group, or differences between groups, in values for systolic blood pressure, diastolic blood pressure, pulse, respiration rate, body temperature or body weight.</w:t>
      </w:r>
    </w:p>
    <w:p w:rsidR="00E34B4A" w:rsidRDefault="00E34B4A" w:rsidP="00E34B4A">
      <w:pPr>
        <w:pStyle w:val="Heading5"/>
      </w:pPr>
      <w:r>
        <w:t>Immunogenicity and immunological events</w:t>
      </w:r>
    </w:p>
    <w:p w:rsidR="00E34B4A" w:rsidRDefault="00E34B4A" w:rsidP="00E34B4A">
      <w:r>
        <w:t>No hypersensitivity reactions were repo</w:t>
      </w:r>
      <w:r w:rsidR="0005159B">
        <w:t>rted in patients given B/F/TAF.</w:t>
      </w:r>
    </w:p>
    <w:p w:rsidR="00E34B4A" w:rsidRDefault="00E34B4A" w:rsidP="00E34B4A">
      <w:pPr>
        <w:pStyle w:val="Heading5"/>
      </w:pPr>
      <w:r>
        <w:t>Serious skin reactions</w:t>
      </w:r>
    </w:p>
    <w:p w:rsidR="00E34B4A" w:rsidRDefault="00E34B4A" w:rsidP="00E34B4A">
      <w:r>
        <w:t xml:space="preserve">There were no SAEs related to skin reactions reported by </w:t>
      </w:r>
      <w:r w:rsidR="0005159B">
        <w:t>system organ class</w:t>
      </w:r>
      <w:r>
        <w:t xml:space="preserve"> or </w:t>
      </w:r>
      <w:r w:rsidR="0005159B">
        <w:t>preferred term</w:t>
      </w:r>
      <w:r>
        <w:t xml:space="preserve"> in any of the Phase </w:t>
      </w:r>
      <w:r w:rsidR="009D7B64">
        <w:t>II</w:t>
      </w:r>
      <w:r>
        <w:t xml:space="preserve"> or </w:t>
      </w:r>
      <w:r w:rsidR="009D7B64">
        <w:t>III</w:t>
      </w:r>
      <w:r w:rsidR="0005159B">
        <w:t xml:space="preserve"> studies.</w:t>
      </w:r>
    </w:p>
    <w:p w:rsidR="00E34B4A" w:rsidRDefault="00E34B4A" w:rsidP="00E34B4A">
      <w:pPr>
        <w:pStyle w:val="Heading5"/>
      </w:pPr>
      <w:r>
        <w:t>Other safety parameters</w:t>
      </w:r>
    </w:p>
    <w:p w:rsidR="00E34B4A" w:rsidRDefault="00E34B4A" w:rsidP="00E34B4A">
      <w:r>
        <w:t xml:space="preserve">Bone safety was assessed in </w:t>
      </w:r>
      <w:r w:rsidR="0005159B">
        <w:t>S</w:t>
      </w:r>
      <w:r>
        <w:t>tudy 1489. The perce</w:t>
      </w:r>
      <w:r w:rsidR="0005159B">
        <w:t>ntage changes from baseline in bone mineral de</w:t>
      </w:r>
      <w:r w:rsidR="00B80C4A">
        <w:t>n</w:t>
      </w:r>
      <w:r w:rsidR="0005159B">
        <w:t>sity</w:t>
      </w:r>
      <w:r>
        <w:t xml:space="preserve"> at the hip and spine (measured by </w:t>
      </w:r>
      <w:r w:rsidR="0005159B" w:rsidRPr="0005159B">
        <w:t>dual energy X-ray absorptiometry</w:t>
      </w:r>
      <w:r>
        <w:t>) were s</w:t>
      </w:r>
      <w:r w:rsidR="0005159B">
        <w:t>imilar in each treatment group</w:t>
      </w:r>
      <w:r w:rsidR="00D00928">
        <w:t xml:space="preserve"> (</w:t>
      </w:r>
      <w:r w:rsidR="00CA07F1">
        <w:t>Table 18</w:t>
      </w:r>
      <w:r w:rsidR="00D00928">
        <w:t>)</w:t>
      </w:r>
      <w:r>
        <w:t>. The mean percentage changes from baseline at Week 48 were:</w:t>
      </w:r>
    </w:p>
    <w:p w:rsidR="00E34B4A" w:rsidRDefault="00E34B4A" w:rsidP="0005159B">
      <w:pPr>
        <w:pStyle w:val="ListBullet"/>
      </w:pPr>
      <w:r>
        <w:t xml:space="preserve">Hip: B/F/TAF </w:t>
      </w:r>
      <w:r w:rsidR="0005159B">
        <w:t>–</w:t>
      </w:r>
      <w:r>
        <w:t xml:space="preserve">0.783%; ABC/DTG/3TC </w:t>
      </w:r>
      <w:r w:rsidR="0005159B">
        <w:t>–</w:t>
      </w:r>
      <w:r>
        <w:t>1.021%</w:t>
      </w:r>
    </w:p>
    <w:p w:rsidR="00E34B4A" w:rsidRDefault="00E34B4A" w:rsidP="0005159B">
      <w:pPr>
        <w:pStyle w:val="ListBullet"/>
      </w:pPr>
      <w:r>
        <w:t xml:space="preserve">Spine: B/F/TAF </w:t>
      </w:r>
      <w:r w:rsidR="0005159B">
        <w:t>–</w:t>
      </w:r>
      <w:r>
        <w:t xml:space="preserve">0.831%; ABC/DTG/3TC </w:t>
      </w:r>
      <w:r w:rsidR="0005159B">
        <w:t>–0.596%</w:t>
      </w:r>
    </w:p>
    <w:p w:rsidR="00B80C4A" w:rsidRDefault="00B80C4A" w:rsidP="00B80C4A">
      <w:pPr>
        <w:pStyle w:val="TableTitle"/>
      </w:pPr>
      <w:bookmarkStart w:id="114" w:name="_Ref5961469"/>
      <w:r>
        <w:t>Table</w:t>
      </w:r>
      <w:bookmarkEnd w:id="114"/>
      <w:r w:rsidR="00CA07F1">
        <w:t xml:space="preserve"> 18</w:t>
      </w:r>
      <w:r>
        <w:t>:</w:t>
      </w:r>
      <w:r w:rsidRPr="00B80C4A">
        <w:t xml:space="preserve"> </w:t>
      </w:r>
      <w:r>
        <w:t>Study 1489</w:t>
      </w:r>
      <w:r w:rsidRPr="00B80C4A">
        <w:t xml:space="preserve"> Changes in bone mineral density</w:t>
      </w:r>
    </w:p>
    <w:p w:rsidR="00B80C4A" w:rsidRDefault="00B80C4A" w:rsidP="00B80C4A">
      <w:pPr>
        <w:pStyle w:val="Caption"/>
      </w:pPr>
      <w:r>
        <w:rPr>
          <w:noProof/>
          <w:lang w:eastAsia="en-AU"/>
        </w:rPr>
        <w:drawing>
          <wp:inline distT="0" distB="0" distL="0" distR="0" wp14:anchorId="00A66C36" wp14:editId="0B91F2CA">
            <wp:extent cx="5194917" cy="2962656"/>
            <wp:effectExtent l="0" t="0" r="6350" b="9525"/>
            <wp:docPr id="39" name="Picture 39" descr="Study 1489 Changes in bone mineral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96286" cy="2963437"/>
                    </a:xfrm>
                    <a:prstGeom prst="rect">
                      <a:avLst/>
                    </a:prstGeom>
                  </pic:spPr>
                </pic:pic>
              </a:graphicData>
            </a:graphic>
          </wp:inline>
        </w:drawing>
      </w:r>
    </w:p>
    <w:p w:rsidR="0005159B" w:rsidRDefault="00E34B4A" w:rsidP="00E34B4A">
      <w:r>
        <w:lastRenderedPageBreak/>
        <w:t xml:space="preserve">Cardiovascular and cerebrovascular AEs </w:t>
      </w:r>
      <w:r w:rsidR="0005159B">
        <w:t xml:space="preserve">were analysed independently in Study 1489. </w:t>
      </w:r>
      <w:r>
        <w:t>The incidence of AEs was low and comparable in each treatment group (B</w:t>
      </w:r>
      <w:r w:rsidR="0005159B">
        <w:t>/F/TAF 0.6%; ABC/DTG/3TC 0.3%).</w:t>
      </w:r>
    </w:p>
    <w:p w:rsidR="0005159B" w:rsidRDefault="00E34B4A" w:rsidP="00E34B4A">
      <w:r>
        <w:t xml:space="preserve">Eye disorders were assessed in the Phase </w:t>
      </w:r>
      <w:r w:rsidR="009D7B64">
        <w:t>III</w:t>
      </w:r>
      <w:r w:rsidR="0005159B">
        <w:t xml:space="preserve"> studies</w:t>
      </w:r>
      <w:r w:rsidR="00D00928">
        <w:t xml:space="preserve"> (</w:t>
      </w:r>
      <w:r w:rsidR="00CA07F1">
        <w:t>Table 19</w:t>
      </w:r>
      <w:r w:rsidR="00D00928">
        <w:t>)</w:t>
      </w:r>
      <w:r>
        <w:t>. The incidence of ocular disorders was low and comparable in each treatment group. All AEs were Grade 1 or 2 in severity. There were four SAEs (one in a patient receiving B/F/TAF) but none were considered drug related. There were</w:t>
      </w:r>
      <w:r w:rsidR="0005159B">
        <w:t xml:space="preserve"> no cases of posterior uveitis.</w:t>
      </w:r>
    </w:p>
    <w:p w:rsidR="00B80C4A" w:rsidRDefault="00B80C4A" w:rsidP="00B80C4A">
      <w:pPr>
        <w:pStyle w:val="TableTitle"/>
      </w:pPr>
      <w:bookmarkStart w:id="115" w:name="_Ref5961662"/>
      <w:r>
        <w:t>Table</w:t>
      </w:r>
      <w:bookmarkEnd w:id="115"/>
      <w:r w:rsidR="00CA07F1">
        <w:t>19</w:t>
      </w:r>
      <w:r>
        <w:t xml:space="preserve">: Pooled </w:t>
      </w:r>
      <w:r w:rsidR="00850938">
        <w:t>Phase III</w:t>
      </w:r>
      <w:r>
        <w:t xml:space="preserve"> studies o</w:t>
      </w:r>
      <w:r w:rsidRPr="00B80C4A">
        <w:t>cular disorders</w:t>
      </w:r>
    </w:p>
    <w:p w:rsidR="00E34B4A" w:rsidRDefault="00B80C4A" w:rsidP="00E34B4A">
      <w:r>
        <w:rPr>
          <w:noProof/>
          <w:lang w:eastAsia="en-AU"/>
        </w:rPr>
        <w:drawing>
          <wp:inline distT="0" distB="0" distL="0" distR="0" wp14:anchorId="791BF870" wp14:editId="4116C9DA">
            <wp:extent cx="5400040" cy="2307709"/>
            <wp:effectExtent l="0" t="0" r="0" b="0"/>
            <wp:docPr id="40" name="Picture 40" descr="Pooled Phase III studies ocular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2307709"/>
                    </a:xfrm>
                    <a:prstGeom prst="rect">
                      <a:avLst/>
                    </a:prstGeom>
                  </pic:spPr>
                </pic:pic>
              </a:graphicData>
            </a:graphic>
          </wp:inline>
        </w:drawing>
      </w:r>
      <w:r w:rsidR="00E34B4A">
        <w:t>Suicide ideation and suicide attem</w:t>
      </w:r>
      <w:r w:rsidR="0005159B">
        <w:t>pts were reported infrequently</w:t>
      </w:r>
      <w:r w:rsidR="00D00928">
        <w:t xml:space="preserve"> (</w:t>
      </w:r>
      <w:r w:rsidR="00CA07F1">
        <w:t>Table 20</w:t>
      </w:r>
      <w:r w:rsidR="00D00928">
        <w:t>)</w:t>
      </w:r>
      <w:r w:rsidR="00E34B4A">
        <w:t>. Most AEs were reported in patients with a history o</w:t>
      </w:r>
      <w:r w:rsidR="0005159B">
        <w:t>f depression or mental illness.</w:t>
      </w:r>
    </w:p>
    <w:p w:rsidR="00B80C4A" w:rsidRDefault="00B80C4A" w:rsidP="00B80C4A">
      <w:pPr>
        <w:pStyle w:val="TableTitle"/>
      </w:pPr>
      <w:bookmarkStart w:id="116" w:name="_Ref5961728"/>
      <w:r>
        <w:t>Table</w:t>
      </w:r>
      <w:bookmarkEnd w:id="116"/>
      <w:r w:rsidR="00CA07F1">
        <w:t xml:space="preserve"> 20</w:t>
      </w:r>
      <w:r>
        <w:t xml:space="preserve">: </w:t>
      </w:r>
      <w:r w:rsidR="001F357A">
        <w:t xml:space="preserve">Pooled </w:t>
      </w:r>
      <w:r w:rsidR="00850938">
        <w:t>Phase III</w:t>
      </w:r>
      <w:r w:rsidR="001F357A">
        <w:t xml:space="preserve"> studies</w:t>
      </w:r>
      <w:r w:rsidR="00CA07F1">
        <w:t xml:space="preserve"> s</w:t>
      </w:r>
      <w:r w:rsidRPr="00B80C4A">
        <w:t>uicide events</w:t>
      </w:r>
    </w:p>
    <w:p w:rsidR="00B80C4A" w:rsidRDefault="00B80C4A" w:rsidP="00CA07F1">
      <w:r w:rsidRPr="00CA07F1">
        <w:rPr>
          <w:noProof/>
          <w:lang w:eastAsia="en-AU"/>
        </w:rPr>
        <w:drawing>
          <wp:inline distT="0" distB="0" distL="0" distR="0" wp14:anchorId="224A744F" wp14:editId="1D5CB273">
            <wp:extent cx="5400040" cy="2620404"/>
            <wp:effectExtent l="0" t="0" r="0" b="8890"/>
            <wp:docPr id="41" name="Picture 41" descr="Pooled Phase III studies suicid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620404"/>
                    </a:xfrm>
                    <a:prstGeom prst="rect">
                      <a:avLst/>
                    </a:prstGeom>
                  </pic:spPr>
                </pic:pic>
              </a:graphicData>
            </a:graphic>
          </wp:inline>
        </w:drawing>
      </w:r>
    </w:p>
    <w:p w:rsidR="00E34B4A" w:rsidRDefault="00E34B4A" w:rsidP="00E34B4A">
      <w:r>
        <w:t>No other analyses related to safety were evaluated in any other study.</w:t>
      </w:r>
    </w:p>
    <w:p w:rsidR="007B5F47" w:rsidRDefault="007B5F47" w:rsidP="006B2A05">
      <w:pPr>
        <w:pStyle w:val="Heading5"/>
      </w:pPr>
      <w:r>
        <w:t>Safety in special populations</w:t>
      </w:r>
    </w:p>
    <w:p w:rsidR="006B2A05" w:rsidRDefault="006B2A05" w:rsidP="006B2A05">
      <w:pPr>
        <w:pStyle w:val="Heading6"/>
      </w:pPr>
      <w:r>
        <w:t>HIV/HBV co-infection</w:t>
      </w:r>
    </w:p>
    <w:p w:rsidR="007B5F47" w:rsidRDefault="007B5F47" w:rsidP="007B5F47">
      <w:r>
        <w:t xml:space="preserve">Enrolment for patients with HIV/HBV co-infection was permitted in studies 1490 and 1878. In </w:t>
      </w:r>
      <w:r w:rsidR="00116653">
        <w:t>Study</w:t>
      </w:r>
      <w:r>
        <w:t xml:space="preserve"> 1490, 14 patients (2.2%) had co-infection with no prior treatment for HIV or HBV (B/F/TAF 2.5% and ABC/DTG/3TC 1.9%). The incidence and pattern of AEs were comparable to the overall population. One patient in the B/F/TAF group had a Grade 4 ALT flare with ALT 1477 U/L and AST 551 U/L at Week 12. Both parameters had returned to normal at Week 24. One other patient in the B/F/TAF group had a Grade 3 flare (ALT </w:t>
      </w:r>
      <w:r>
        <w:lastRenderedPageBreak/>
        <w:t xml:space="preserve">316 U/L) at Week 8 which normalised by Week 24. In </w:t>
      </w:r>
      <w:r w:rsidR="00116653">
        <w:t>Study</w:t>
      </w:r>
      <w:r>
        <w:t xml:space="preserve"> 1878, 14 patients (2.4%) had HIV/HBV co-infection (B/F/TAF 2.8% and SBR 2.1%). No patients had hepatic AE, Grade 3 o</w:t>
      </w:r>
      <w:r w:rsidR="001F357A">
        <w:t>r 4 events, or hepatic flares.</w:t>
      </w:r>
    </w:p>
    <w:p w:rsidR="007B5F47" w:rsidRDefault="006B2A05" w:rsidP="006B2A05">
      <w:pPr>
        <w:pStyle w:val="Comment"/>
      </w:pPr>
      <w:r>
        <w:t xml:space="preserve">Comment: </w:t>
      </w:r>
      <w:r w:rsidR="007B5F47">
        <w:t xml:space="preserve">There were two reports of hepatic flares in patients receiving B/F/TAF (see Clinical Questions, </w:t>
      </w:r>
      <w:r>
        <w:t>below</w:t>
      </w:r>
      <w:r w:rsidR="007B5F47">
        <w:t>).</w:t>
      </w:r>
    </w:p>
    <w:p w:rsidR="006B2A05" w:rsidRDefault="006B2A05" w:rsidP="006B2A05">
      <w:pPr>
        <w:pStyle w:val="Heading6"/>
      </w:pPr>
      <w:r>
        <w:t>HIV/HCV co-infection</w:t>
      </w:r>
    </w:p>
    <w:p w:rsidR="006B2A05" w:rsidRDefault="007B5F47" w:rsidP="006B2A05">
      <w:r>
        <w:t xml:space="preserve">In </w:t>
      </w:r>
      <w:r w:rsidR="00116653">
        <w:t>Study</w:t>
      </w:r>
      <w:r>
        <w:t xml:space="preserve"> 1489, four patients (1.3%) of patients in the ABC/DTG/3TC group had HIV/HCV co-infection at baseline and the hepatic AE profile was consistent with the underlying HCV infection. No patients in the B/F/TAF group had co-infection. In </w:t>
      </w:r>
      <w:r w:rsidR="00116653">
        <w:t>Study</w:t>
      </w:r>
      <w:r>
        <w:t xml:space="preserve"> 1490, HIV/HCV co-infection at baseline was present in 1.6% of the B/F/TAF group and 1.5% of the DTG + F/TAF group (five patients in each group). The incidence and pattern of AEs were comparable to the overall population. No patients had hepatic AEs during the study and only one patient had a Grade 3 ALT/AST abnormality. In </w:t>
      </w:r>
      <w:r w:rsidR="00116653">
        <w:t>Study</w:t>
      </w:r>
      <w:r>
        <w:t xml:space="preserve"> 1844, HIV/HCV co</w:t>
      </w:r>
      <w:r w:rsidR="001F357A">
        <w:noBreakHyphen/>
      </w:r>
      <w:r>
        <w:t xml:space="preserve">infection was present in only one patient in the ABC/DTG/3TC group. The hepatic AE profile was consistent with the underlying HCV infection. No patients in the B/F/TAF group had co-infection. In </w:t>
      </w:r>
      <w:r w:rsidR="00116653">
        <w:t>Study</w:t>
      </w:r>
      <w:r w:rsidR="006B2A05">
        <w:t>1878, HIV/HCV co-infection at baseline was present in 1.7% of the B/F/TAF group and 1.7% of the SBR group (five patients in each group). The incidence and pattern of AEs were comparable to the overall population. No patients had hepatic AEs during the study and only two patients had Grade 3 or 4 ALT/AST abnormalities.</w:t>
      </w:r>
    </w:p>
    <w:p w:rsidR="006B2A05" w:rsidRDefault="006B2A05" w:rsidP="006B2A05">
      <w:pPr>
        <w:pStyle w:val="Heading6"/>
      </w:pPr>
      <w:r>
        <w:t>Age</w:t>
      </w:r>
    </w:p>
    <w:p w:rsidR="006B2A05" w:rsidRDefault="006B2A05" w:rsidP="006B2A05">
      <w:r>
        <w:t xml:space="preserve">Age did not influence safety in the pooled studies 1489 and 1490. The incidence of AEs in the B/F/TAF group was 83.3% in patients aged </w:t>
      </w:r>
      <w:r w:rsidR="00251457">
        <w:t xml:space="preserve">&lt; </w:t>
      </w:r>
      <w:r>
        <w:t>50 years and 84.4% in patients aged ≥</w:t>
      </w:r>
      <w:r w:rsidR="001F357A">
        <w:t> </w:t>
      </w:r>
      <w:r>
        <w:t xml:space="preserve">50 years. In patients aged ≥ 65 years in the four Phase </w:t>
      </w:r>
      <w:r w:rsidR="001F357A">
        <w:t>III</w:t>
      </w:r>
      <w:r>
        <w:t xml:space="preserve"> studies, 30 patients in the B/F/TAF group had a similar safety profile to 25 patients in the comparator groups. In </w:t>
      </w:r>
      <w:r w:rsidR="00116653">
        <w:t>Study</w:t>
      </w:r>
      <w:r>
        <w:t xml:space="preserve"> 1844, the incidence of AEs in the B/F/TAF group was 79.7% in patients aged </w:t>
      </w:r>
      <w:r w:rsidR="00251457">
        <w:t xml:space="preserve">&lt; </w:t>
      </w:r>
      <w:r>
        <w:t>50</w:t>
      </w:r>
      <w:r w:rsidR="001F357A">
        <w:t> </w:t>
      </w:r>
      <w:r>
        <w:t xml:space="preserve">years and 79.8% in patients aged ≥ 50 years. In </w:t>
      </w:r>
      <w:r w:rsidR="00116653">
        <w:t>Study</w:t>
      </w:r>
      <w:r>
        <w:t xml:space="preserve"> 1878, the incidence of AEs in the B/F/TAF group was 84.1% in patients aged </w:t>
      </w:r>
      <w:r w:rsidR="00251457">
        <w:t xml:space="preserve">&lt; </w:t>
      </w:r>
      <w:r>
        <w:t>50 years and 75.4% in patients aged ≥</w:t>
      </w:r>
      <w:r w:rsidR="001F357A">
        <w:t> </w:t>
      </w:r>
      <w:r>
        <w:t>50 years.</w:t>
      </w:r>
    </w:p>
    <w:p w:rsidR="006B2A05" w:rsidRDefault="006B2A05" w:rsidP="006B2A05">
      <w:pPr>
        <w:pStyle w:val="Heading6"/>
      </w:pPr>
      <w:r>
        <w:t>Gender</w:t>
      </w:r>
    </w:p>
    <w:p w:rsidR="006B2A05" w:rsidRDefault="006B2A05" w:rsidP="006B2A05">
      <w:r>
        <w:t xml:space="preserve">Gender did not influence safety in the pooled studies 1489 and 1490. The incidence of AEs in the B/F/TAF group was 83.4% in male patients and 84.1% in female patients. In </w:t>
      </w:r>
      <w:r w:rsidR="00116653">
        <w:t>Study</w:t>
      </w:r>
      <w:r>
        <w:t xml:space="preserve"> 1844, the incidence of AEs in the B/F/TAF group was 80.2% in male patients and 77.1% in female patients. In </w:t>
      </w:r>
      <w:r w:rsidR="00116653">
        <w:t>Study</w:t>
      </w:r>
      <w:r>
        <w:t xml:space="preserve"> 1878, the incidence of AEs in the B/F/TAF group was 79.4% in male patients and 85.1% in female patients.</w:t>
      </w:r>
    </w:p>
    <w:p w:rsidR="006B2A05" w:rsidRDefault="006B2A05" w:rsidP="006B2A05">
      <w:pPr>
        <w:pStyle w:val="Heading6"/>
      </w:pPr>
      <w:r>
        <w:t>Race</w:t>
      </w:r>
    </w:p>
    <w:p w:rsidR="006B2A05" w:rsidRDefault="006B2A05" w:rsidP="006B2A05">
      <w:r>
        <w:t xml:space="preserve">The influence of race was assessed in Black and non-Black populations. Race did not influence safety in the pooled studies 1489 and 1490. The incidence of AEs in the B/F/TAF group was 82.9% in Black patients and 83.8% in non-Black patients. In </w:t>
      </w:r>
      <w:r w:rsidR="00116653">
        <w:t>Study</w:t>
      </w:r>
      <w:r>
        <w:t xml:space="preserve"> 1844, the incidence of AEs in the B/F/TAF group was 76.3% in Black patients and 80.7% in non-Black patients. In </w:t>
      </w:r>
      <w:r w:rsidR="00116653">
        <w:t>Study</w:t>
      </w:r>
      <w:r>
        <w:t xml:space="preserve"> 1878, the incidence of AEs in the B/F/TAF group was 74.7% in Black patients and 82.5% in non-Black patients.</w:t>
      </w:r>
    </w:p>
    <w:p w:rsidR="006B2A05" w:rsidRDefault="006B2A05" w:rsidP="006B2A05">
      <w:pPr>
        <w:pStyle w:val="Heading6"/>
      </w:pPr>
      <w:r>
        <w:t>Baseline HIV-1 RNA</w:t>
      </w:r>
    </w:p>
    <w:p w:rsidR="006B2A05" w:rsidRDefault="006B2A05" w:rsidP="006B2A05">
      <w:r>
        <w:t xml:space="preserve">Baseline HIV-1 RNA did not influence safety in the pooled studies 1489 and 1490 in </w:t>
      </w:r>
      <w:r w:rsidR="00850938">
        <w:t>ART naïve</w:t>
      </w:r>
      <w:r>
        <w:t xml:space="preserve"> patients. In the B/F/TAF group, the incidence of AEs was 82.9% in patients with ≤</w:t>
      </w:r>
      <w:r w:rsidR="001F357A">
        <w:t> </w:t>
      </w:r>
      <w:r>
        <w:t xml:space="preserve">100,000 copies/mL and 85.7% in patients with </w:t>
      </w:r>
      <w:r w:rsidR="00251457">
        <w:t xml:space="preserve">&gt; </w:t>
      </w:r>
      <w:r>
        <w:t>100,000 copies/mL.</w:t>
      </w:r>
    </w:p>
    <w:p w:rsidR="006B2A05" w:rsidRDefault="006B2A05" w:rsidP="006B2A05">
      <w:pPr>
        <w:pStyle w:val="Heading6"/>
      </w:pPr>
      <w:r>
        <w:lastRenderedPageBreak/>
        <w:t>Baseline CD4 cell count</w:t>
      </w:r>
    </w:p>
    <w:p w:rsidR="006B2A05" w:rsidRDefault="006B2A05" w:rsidP="006B2A05">
      <w:r>
        <w:t xml:space="preserve">Baseline CD4 cell count did not influence safety in the pooled studies 1489 and 1490 in </w:t>
      </w:r>
      <w:r w:rsidR="00850938">
        <w:t>ART naïve</w:t>
      </w:r>
      <w:r>
        <w:t xml:space="preserve"> patients. In the B/F/TAF group, the incidence of AEs was 87.5% in patients with </w:t>
      </w:r>
      <w:r w:rsidR="00251457">
        <w:t xml:space="preserve">&lt; </w:t>
      </w:r>
      <w:r>
        <w:t>200 cells/µL and 82.9% in patients with ≥ 200 cells/µL.</w:t>
      </w:r>
    </w:p>
    <w:p w:rsidR="006B2A05" w:rsidRDefault="006B2A05" w:rsidP="006B2A05">
      <w:pPr>
        <w:pStyle w:val="Heading6"/>
      </w:pPr>
      <w:r>
        <w:t>Renal impairment</w:t>
      </w:r>
    </w:p>
    <w:p w:rsidR="006B2A05" w:rsidRDefault="006B2A05" w:rsidP="006B2A05">
      <w:r>
        <w:t xml:space="preserve">Patients in the Phase II and III studies were required to have adequate renal function (eGFR ≥ 50 mL/min). The Phase I </w:t>
      </w:r>
      <w:r w:rsidR="00116653">
        <w:t>Study</w:t>
      </w:r>
      <w:r>
        <w:t>, GS-US-141-1479, which compared BIC PKs following a single, oral, 75 mg dose to subjects with severe renal impairment and matched, healthy controls, indicated that the mean AUC</w:t>
      </w:r>
      <w:r w:rsidRPr="006B2A05">
        <w:rPr>
          <w:vertAlign w:val="subscript"/>
        </w:rPr>
        <w:t>inf</w:t>
      </w:r>
      <w:r>
        <w:t>, AUC</w:t>
      </w:r>
      <w:r w:rsidRPr="006B2A05">
        <w:rPr>
          <w:vertAlign w:val="subscript"/>
        </w:rPr>
        <w:t>last</w:t>
      </w:r>
      <w:r>
        <w:t xml:space="preserve"> and </w:t>
      </w:r>
      <w:r w:rsidR="00080EC5">
        <w:t>C</w:t>
      </w:r>
      <w:r w:rsidR="00080EC5" w:rsidRPr="00080EC5">
        <w:rPr>
          <w:vertAlign w:val="subscript"/>
        </w:rPr>
        <w:t>max</w:t>
      </w:r>
      <w:r>
        <w:t xml:space="preserve"> values for total BIC were slightly lower in the severe renal impairment group relative to the normal renal function group, with GLSM ratios of 72.63%, 72.43% and 80.32%, respectively (</w:t>
      </w:r>
      <w:r w:rsidR="00CA07F1">
        <w:t>Table 21</w:t>
      </w:r>
      <w:r>
        <w:t>).</w:t>
      </w:r>
    </w:p>
    <w:p w:rsidR="006B2A05" w:rsidRDefault="006B2A05" w:rsidP="006B2A05">
      <w:pPr>
        <w:pStyle w:val="TableTitle"/>
      </w:pPr>
      <w:bookmarkStart w:id="117" w:name="_Ref5964282"/>
      <w:r>
        <w:t>Table</w:t>
      </w:r>
      <w:bookmarkEnd w:id="117"/>
      <w:r w:rsidR="00CA07F1">
        <w:t xml:space="preserve"> 21</w:t>
      </w:r>
      <w:r>
        <w:t xml:space="preserve">: </w:t>
      </w:r>
      <w:r w:rsidRPr="006B2A05">
        <w:t>Study GS-US-141-1479 Plasma PK parameters for BIC and statistical comparisons</w:t>
      </w:r>
    </w:p>
    <w:p w:rsidR="006B2A05" w:rsidRDefault="006B2A05" w:rsidP="006B2A05">
      <w:r>
        <w:rPr>
          <w:noProof/>
          <w:lang w:eastAsia="en-AU"/>
        </w:rPr>
        <w:drawing>
          <wp:inline distT="0" distB="0" distL="0" distR="0" wp14:anchorId="08369EA7" wp14:editId="32711AFA">
            <wp:extent cx="5400040" cy="2266171"/>
            <wp:effectExtent l="0" t="0" r="0" b="1270"/>
            <wp:docPr id="45" name="Picture 45" descr=": Study GS-US-141-1479 Plasma PK parameters for BIC and statistical compar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2266171"/>
                    </a:xfrm>
                    <a:prstGeom prst="rect">
                      <a:avLst/>
                    </a:prstGeom>
                  </pic:spPr>
                </pic:pic>
              </a:graphicData>
            </a:graphic>
          </wp:inline>
        </w:drawing>
      </w:r>
    </w:p>
    <w:p w:rsidR="006B2A05" w:rsidRDefault="006B2A05" w:rsidP="006B2A05">
      <w:pPr>
        <w:pStyle w:val="Heading6"/>
      </w:pPr>
      <w:r>
        <w:t>Hepatic impairment</w:t>
      </w:r>
    </w:p>
    <w:p w:rsidR="006B2A05" w:rsidRDefault="006B2A05" w:rsidP="006B2A05">
      <w:r>
        <w:t xml:space="preserve">Significant transaminase abnormalities was an exclusion criterion in the Phase II and III studies (ALT/AST ≤ 5 x ULN). The Phase I </w:t>
      </w:r>
      <w:r w:rsidR="00116653">
        <w:t>Study</w:t>
      </w:r>
      <w:r>
        <w:t>, GS-US-141-1478, which examined the PK profile of a single oral dose of 75 mg BIC in subjects with moderate hepatic impairment relative to matched, healthy controls, indicated that BIC exposure was significantly lower in subjects with moderate hepatic impairment than in normal matched controls and the GLSM ratios for BIC AUC</w:t>
      </w:r>
      <w:r w:rsidRPr="006B2A05">
        <w:rPr>
          <w:vertAlign w:val="subscript"/>
        </w:rPr>
        <w:t>inf</w:t>
      </w:r>
      <w:r>
        <w:t xml:space="preserve"> and </w:t>
      </w:r>
      <w:r w:rsidR="00080EC5">
        <w:t>C</w:t>
      </w:r>
      <w:r w:rsidR="00080EC5" w:rsidRPr="00080EC5">
        <w:rPr>
          <w:vertAlign w:val="subscript"/>
        </w:rPr>
        <w:t>max</w:t>
      </w:r>
      <w:r>
        <w:t xml:space="preserve"> of 58.71% and 63.50%, respectively (</w:t>
      </w:r>
      <w:r w:rsidR="00CA07F1">
        <w:t>Table 22</w:t>
      </w:r>
      <w:r>
        <w:t>).</w:t>
      </w:r>
    </w:p>
    <w:p w:rsidR="006B2A05" w:rsidRPr="006B2A05" w:rsidRDefault="006B2A05" w:rsidP="006B2A05">
      <w:pPr>
        <w:pStyle w:val="TableTitle"/>
      </w:pPr>
      <w:bookmarkStart w:id="118" w:name="_Ref5964439"/>
      <w:r w:rsidRPr="006B2A05">
        <w:t>Table</w:t>
      </w:r>
      <w:bookmarkEnd w:id="118"/>
      <w:r w:rsidR="00CA07F1">
        <w:t xml:space="preserve"> 22</w:t>
      </w:r>
      <w:r w:rsidRPr="006B2A05">
        <w:t>: Study GS-US-141-1478 the plasma PK parameters for BIC and statistical comparisons</w:t>
      </w:r>
    </w:p>
    <w:p w:rsidR="006B2A05" w:rsidRDefault="006B2A05" w:rsidP="006B2A05">
      <w:r>
        <w:rPr>
          <w:noProof/>
          <w:lang w:eastAsia="en-AU"/>
        </w:rPr>
        <w:drawing>
          <wp:inline distT="0" distB="0" distL="0" distR="0" wp14:anchorId="3824A60A" wp14:editId="71029077">
            <wp:extent cx="5400040" cy="2015207"/>
            <wp:effectExtent l="0" t="0" r="0" b="4445"/>
            <wp:docPr id="46" name="Picture 46" descr="Study GS-US-141-1478 the plasma PK parameters for BIC and statistical compar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2015207"/>
                    </a:xfrm>
                    <a:prstGeom prst="rect">
                      <a:avLst/>
                    </a:prstGeom>
                  </pic:spPr>
                </pic:pic>
              </a:graphicData>
            </a:graphic>
          </wp:inline>
        </w:drawing>
      </w:r>
    </w:p>
    <w:p w:rsidR="00FF473E" w:rsidRDefault="00FF473E" w:rsidP="00FF473E">
      <w:pPr>
        <w:pStyle w:val="Heading5"/>
      </w:pPr>
      <w:r>
        <w:lastRenderedPageBreak/>
        <w:t>Safety related to drug-drug interactions and other interactions</w:t>
      </w:r>
    </w:p>
    <w:p w:rsidR="00FF473E" w:rsidRDefault="00FF473E" w:rsidP="00FF473E">
      <w:r>
        <w:t>BIC is a substrate of UGT1A1 and CYP3A. Potent inhibition of both CYP3A and UGT1A1 results in a substantial increase in BIC exposure and co-administration of BIC with potent dual inhibitors of CYP3A</w:t>
      </w:r>
      <w:r w:rsidR="001F357A">
        <w:t xml:space="preserve"> and UGT1A1 is not recommended.</w:t>
      </w:r>
    </w:p>
    <w:p w:rsidR="00FF473E" w:rsidRDefault="00FF473E" w:rsidP="00FF473E">
      <w:r>
        <w:t>TAF is a substrate of P-gp and BCRP and although co-administration of BIC/FTC/TAF with potent inhibitors of P-gp and/or BCRP will result in increases in the plasma concentrations of TAF. These increases in TAF exposure are unlikely to be clinically relevant however, given the s</w:t>
      </w:r>
      <w:r w:rsidR="001F357A">
        <w:t>afety profiles for TAF and TDF.</w:t>
      </w:r>
    </w:p>
    <w:p w:rsidR="00FF473E" w:rsidRDefault="00FF473E" w:rsidP="00FF473E">
      <w:r>
        <w:t>Drugs that are potent inducers of CYP3A, UGT1A1 and/or P-gp may result in lower plasma exposures of BIC and TAF and lead to reduced therapeutic effect of BIC/FTC/TAF; co-administration with potent inducers is not recommended.</w:t>
      </w:r>
    </w:p>
    <w:p w:rsidR="00FF473E" w:rsidRDefault="00FF473E" w:rsidP="00FF473E">
      <w:r>
        <w:t>Co-administration of BIC/FTC/TAF with medications or oral supplements containing polyvalent cations under fasted conditions, for example: magnesium, aluminium, calcium and iron, under fasted conditions will result in a significant decrease in BIC exposure. Therefore, medications or oral supplements containing polyvalent cations should be separated from the fasted administration of BIC/FTC/TAF by at least 2 hours. Alternatively, these medications or oral supplements can be taken simultaneously with BIC/FTC/TAF together with food. It should be noted however, that even under these adapted conditions BIC exposure may be decreased by up to 50%.</w:t>
      </w:r>
    </w:p>
    <w:p w:rsidR="00FF473E" w:rsidRDefault="00FF473E" w:rsidP="00FF473E">
      <w:r>
        <w:t>BIC, TAF and FTC are not clinically relevant inhibitors or inducers of major human drug metabolising enzymes and transporters. As such, there is low potential for BIC/FTC/TAF to be perpetrators of DDIs through human drug metabolising enzymes or drug transporters, including with the OCT2/MATE1 substrate metformin.</w:t>
      </w:r>
    </w:p>
    <w:p w:rsidR="00605AD4" w:rsidRDefault="00605AD4" w:rsidP="006B2A05">
      <w:pPr>
        <w:pStyle w:val="Heading4"/>
      </w:pPr>
      <w:r w:rsidRPr="00605AD4">
        <w:t>Post</w:t>
      </w:r>
      <w:r w:rsidR="00874E5D">
        <w:t xml:space="preserve"> </w:t>
      </w:r>
      <w:r w:rsidRPr="00605AD4">
        <w:t>marketing data</w:t>
      </w:r>
    </w:p>
    <w:p w:rsidR="00500337" w:rsidRPr="00500337" w:rsidRDefault="00E34B4A" w:rsidP="00500337">
      <w:r w:rsidRPr="00E34B4A">
        <w:t>Not applicable.</w:t>
      </w:r>
    </w:p>
    <w:p w:rsidR="00605AD4" w:rsidRPr="00605AD4" w:rsidRDefault="00605AD4" w:rsidP="00605AD4">
      <w:pPr>
        <w:pStyle w:val="Heading4"/>
      </w:pPr>
      <w:r w:rsidRPr="00605AD4">
        <w:t>Evaluator’s conclusions on safety</w:t>
      </w:r>
    </w:p>
    <w:p w:rsidR="00E34B4A" w:rsidRDefault="00E34B4A" w:rsidP="00E34B4A">
      <w:r>
        <w:t xml:space="preserve">In the randomised phases of the four pivotal Phase </w:t>
      </w:r>
      <w:r w:rsidR="009D7B64">
        <w:t>III</w:t>
      </w:r>
      <w:r>
        <w:t xml:space="preserve"> studies, 1206 patients received B/F/TAF for a median period of 49.2 weeks in </w:t>
      </w:r>
      <w:r w:rsidR="00850938">
        <w:t>ART naïve</w:t>
      </w:r>
      <w:r>
        <w:t xml:space="preserve"> patients. Median exposure in virologically suppres</w:t>
      </w:r>
      <w:r w:rsidR="0005159B">
        <w:t>sed patients was 49.9 weeks in S</w:t>
      </w:r>
      <w:r>
        <w:t xml:space="preserve">tudy 1844 and 46.7 weeks in </w:t>
      </w:r>
      <w:r w:rsidR="0005159B">
        <w:t>S</w:t>
      </w:r>
      <w:r w:rsidR="00874E5D">
        <w:t>tudy </w:t>
      </w:r>
      <w:r>
        <w:t xml:space="preserve">1878. The </w:t>
      </w:r>
      <w:r w:rsidR="00CD4AC6">
        <w:t>open-label (</w:t>
      </w:r>
      <w:r>
        <w:t>OL</w:t>
      </w:r>
      <w:r w:rsidR="00CD4AC6">
        <w:t>)</w:t>
      </w:r>
      <w:r>
        <w:t xml:space="preserve"> extension studies are ongoing and will provide long-term safety data.</w:t>
      </w:r>
    </w:p>
    <w:p w:rsidR="00E34B4A" w:rsidRDefault="00E34B4A" w:rsidP="00E34B4A">
      <w:r>
        <w:t xml:space="preserve">The AE profiles were comparable in </w:t>
      </w:r>
      <w:r w:rsidR="00850938">
        <w:t>ART naïve</w:t>
      </w:r>
      <w:r>
        <w:t xml:space="preserve"> and virologically suppressed patients and similar to the profiles of the active comparator groups. All treatments were well tolerated. Most AEs were mild to moderate in severity, and there were with comparable rates of severe AEs, SAEs, drug related SAEs and AEs leading to drug discontinuation. Seven deaths were reported (four in patients receiving B/F/TAF), but none were considered related to treatment. In </w:t>
      </w:r>
      <w:r w:rsidR="00850938">
        <w:t>ART naïve</w:t>
      </w:r>
      <w:r>
        <w:t xml:space="preserve"> patients treated with B/F/TAF, the</w:t>
      </w:r>
      <w:r w:rsidR="0005159B">
        <w:t xml:space="preserve"> most commonly reported AEs by preferred term</w:t>
      </w:r>
      <w:r>
        <w:t xml:space="preserve"> were diarrhoea, headache and nausea. In virologically suppressed patients who switched to B/F/TAF, the most commonly reported AEs were </w:t>
      </w:r>
      <w:r w:rsidR="002D5055">
        <w:t>upper respiratory tract infection (</w:t>
      </w:r>
      <w:r>
        <w:t>URTI</w:t>
      </w:r>
      <w:r w:rsidR="002D5055">
        <w:t>)</w:t>
      </w:r>
      <w:r>
        <w:t>, diarrhoea, nasopharyngitis and headache. Nausea was reported as an ADR most frequently in patients treated with ABC/DTG/3TC (17.5%). However, with this exception, the pattern of ADRs was comp</w:t>
      </w:r>
      <w:r w:rsidR="00F80D3D">
        <w:t>arable in each treatment group.</w:t>
      </w:r>
    </w:p>
    <w:p w:rsidR="00E34B4A" w:rsidRDefault="00E34B4A" w:rsidP="00E34B4A">
      <w:r>
        <w:t xml:space="preserve">No issues related to hepatic toxicity were identified and no cases meeting Hy’s law criteria were reported. No clinically meaningful changes from baseline were reported for ALT, AST, or total bilirubin in patients treated with B/F/TAF in any of the Phase </w:t>
      </w:r>
      <w:r w:rsidR="009D7B64">
        <w:t>III</w:t>
      </w:r>
      <w:r>
        <w:t xml:space="preserve"> studies. The incidence of Grade 3 or 4 hepatic AEs was comparable between treatment groups. Two </w:t>
      </w:r>
      <w:r>
        <w:lastRenderedPageBreak/>
        <w:t>cases of hepatic flare were reported in patients with HIV/HBV co-infection (see Clinical questions</w:t>
      </w:r>
      <w:r w:rsidR="00F80D3D">
        <w:t xml:space="preserve"> below</w:t>
      </w:r>
      <w:r>
        <w:t xml:space="preserve">). BIC and DTG have inhibitory effects on the renal transporters OCT2 and MATE1 but no clinically significant effects on serum creatinine or eGFR were identified. There were no clinically meaningful differences between treatment groups related to other laboratory abnormalities. Products containing TAF were considered by the CHMP to have a potential risk of renal tubulopathy, loss of bone mineral density and posterior uveitis. However, no issues related to these events were identified in 1734 patients who received F/TAF in the Phase </w:t>
      </w:r>
      <w:r w:rsidR="009D7B64">
        <w:t>II</w:t>
      </w:r>
      <w:r>
        <w:t>/</w:t>
      </w:r>
      <w:r w:rsidR="009D7B64">
        <w:t>III</w:t>
      </w:r>
      <w:r>
        <w:t xml:space="preserve"> studies. The AE profile of patients who received B/F/TAF was not influenced by gender, age, race, region, HIV-</w:t>
      </w:r>
      <w:r w:rsidR="00C94EA0">
        <w:t>1 RNA level, or CD4 cell count.</w:t>
      </w:r>
    </w:p>
    <w:p w:rsidR="00605AD4" w:rsidRPr="00605AD4" w:rsidRDefault="00E34B4A" w:rsidP="00E34B4A">
      <w:r>
        <w:t>The B/F/TAF fixed dose combination was generally well tolerated with a safety profile similar to the active comparator regimens.</w:t>
      </w:r>
    </w:p>
    <w:p w:rsidR="00C94EA0" w:rsidRPr="00874E5D" w:rsidRDefault="00605AD4" w:rsidP="00874E5D">
      <w:pPr>
        <w:pStyle w:val="Heading3"/>
        <w:rPr>
          <w:rFonts w:eastAsia="Cambria"/>
        </w:rPr>
      </w:pPr>
      <w:bookmarkStart w:id="119" w:name="_Toc20133983"/>
      <w:r w:rsidRPr="00605AD4">
        <w:rPr>
          <w:rFonts w:eastAsia="Cambria"/>
        </w:rPr>
        <w:t xml:space="preserve">First </w:t>
      </w:r>
      <w:r w:rsidR="001E2662" w:rsidRPr="00605AD4">
        <w:rPr>
          <w:rFonts w:eastAsia="Cambria"/>
        </w:rPr>
        <w:t>round benefit-risk assessment</w:t>
      </w:r>
      <w:bookmarkEnd w:id="119"/>
    </w:p>
    <w:p w:rsidR="00605AD4" w:rsidRDefault="00C94EA0" w:rsidP="00C94EA0">
      <w:pPr>
        <w:pStyle w:val="TableTitle"/>
      </w:pPr>
      <w:r>
        <w:t xml:space="preserve">Table </w:t>
      </w:r>
      <w:r w:rsidR="00CA07F1">
        <w:t>23</w:t>
      </w:r>
      <w:r>
        <w:t>:</w:t>
      </w:r>
      <w:r w:rsidR="00874E5D">
        <w:t xml:space="preserve"> </w:t>
      </w:r>
      <w:r w:rsidR="00605AD4" w:rsidRPr="00605AD4">
        <w:t>First round assessment of benefits</w:t>
      </w:r>
    </w:p>
    <w:tbl>
      <w:tblPr>
        <w:tblStyle w:val="TableTGAblue"/>
        <w:tblW w:w="5000" w:type="pct"/>
        <w:tblLook w:val="04A0" w:firstRow="1" w:lastRow="0" w:firstColumn="1" w:lastColumn="0" w:noHBand="0" w:noVBand="1"/>
      </w:tblPr>
      <w:tblGrid>
        <w:gridCol w:w="4477"/>
        <w:gridCol w:w="4243"/>
      </w:tblGrid>
      <w:tr w:rsidR="00E34B4A" w:rsidRPr="00607FE5" w:rsidTr="00C94EA0">
        <w:trPr>
          <w:cnfStyle w:val="100000000000" w:firstRow="1" w:lastRow="0" w:firstColumn="0" w:lastColumn="0" w:oddVBand="0" w:evenVBand="0" w:oddHBand="0" w:evenHBand="0" w:firstRowFirstColumn="0" w:firstRowLastColumn="0" w:lastRowFirstColumn="0" w:lastRowLastColumn="0"/>
        </w:trPr>
        <w:tc>
          <w:tcPr>
            <w:tcW w:w="2567" w:type="pct"/>
          </w:tcPr>
          <w:p w:rsidR="00E34B4A" w:rsidRPr="00C35B6B" w:rsidRDefault="00E34B4A" w:rsidP="00E34B4A">
            <w:pPr>
              <w:keepNext w:val="0"/>
              <w:ind w:left="0" w:right="0"/>
              <w:rPr>
                <w:szCs w:val="22"/>
                <w:lang w:eastAsia="en-US"/>
              </w:rPr>
            </w:pPr>
            <w:r w:rsidRPr="00C35B6B">
              <w:rPr>
                <w:szCs w:val="22"/>
              </w:rPr>
              <w:t>Benefits</w:t>
            </w:r>
          </w:p>
        </w:tc>
        <w:tc>
          <w:tcPr>
            <w:tcW w:w="2433" w:type="pct"/>
          </w:tcPr>
          <w:p w:rsidR="00E34B4A" w:rsidRPr="00C35B6B" w:rsidRDefault="00E34B4A" w:rsidP="00E34B4A">
            <w:pPr>
              <w:keepNext w:val="0"/>
              <w:ind w:left="0" w:right="0"/>
              <w:rPr>
                <w:szCs w:val="22"/>
                <w:lang w:eastAsia="en-US"/>
              </w:rPr>
            </w:pPr>
            <w:r w:rsidRPr="00C35B6B">
              <w:rPr>
                <w:szCs w:val="22"/>
              </w:rPr>
              <w:t>Strengths and Uncertainties</w:t>
            </w:r>
          </w:p>
        </w:tc>
      </w:tr>
      <w:tr w:rsidR="00E34B4A" w:rsidRPr="00607FE5" w:rsidTr="00C94EA0">
        <w:tc>
          <w:tcPr>
            <w:tcW w:w="2567" w:type="pct"/>
          </w:tcPr>
          <w:p w:rsidR="00E34B4A" w:rsidRPr="00C35B6B" w:rsidRDefault="00E34B4A" w:rsidP="00E34B4A">
            <w:pPr>
              <w:ind w:left="0" w:right="0"/>
              <w:rPr>
                <w:szCs w:val="22"/>
                <w:lang w:eastAsia="en-US"/>
              </w:rPr>
            </w:pPr>
            <w:r w:rsidRPr="00C35B6B">
              <w:rPr>
                <w:szCs w:val="22"/>
              </w:rPr>
              <w:t>B/F/TAF is a triple combination of a novel INSTI with an NRTI and an NtRTI, a t</w:t>
            </w:r>
            <w:r w:rsidR="00242449" w:rsidRPr="00C35B6B">
              <w:rPr>
                <w:szCs w:val="22"/>
              </w:rPr>
              <w:t>ypical guideline</w:t>
            </w:r>
            <w:r w:rsidRPr="00C35B6B">
              <w:rPr>
                <w:szCs w:val="22"/>
              </w:rPr>
              <w:t xml:space="preserve"> recommended regimen.</w:t>
            </w:r>
          </w:p>
          <w:p w:rsidR="00E34B4A" w:rsidRPr="00C35B6B" w:rsidRDefault="00E34B4A" w:rsidP="00E34B4A">
            <w:pPr>
              <w:ind w:left="0" w:right="0"/>
              <w:rPr>
                <w:szCs w:val="22"/>
                <w:lang w:eastAsia="en-US"/>
              </w:rPr>
            </w:pPr>
            <w:r w:rsidRPr="00C35B6B">
              <w:rPr>
                <w:szCs w:val="22"/>
              </w:rPr>
              <w:t>The FDC permits once daily oral dosing. Increased adherence improves clinical and virologic outcomes.</w:t>
            </w:r>
          </w:p>
          <w:p w:rsidR="00E34B4A" w:rsidRPr="00C35B6B" w:rsidRDefault="00E34B4A" w:rsidP="00E34B4A">
            <w:pPr>
              <w:ind w:left="0" w:right="0"/>
              <w:rPr>
                <w:szCs w:val="22"/>
                <w:lang w:eastAsia="en-US"/>
              </w:rPr>
            </w:pPr>
            <w:r w:rsidRPr="00C35B6B">
              <w:rPr>
                <w:szCs w:val="22"/>
              </w:rPr>
              <w:t>Bictegravir is active against mutant viruses with resis</w:t>
            </w:r>
            <w:r w:rsidR="00874E5D" w:rsidRPr="00C35B6B">
              <w:rPr>
                <w:szCs w:val="22"/>
              </w:rPr>
              <w:t>tance to NRTIs, NNRTIs and PIs.</w:t>
            </w:r>
          </w:p>
          <w:p w:rsidR="00E34B4A" w:rsidRPr="00C35B6B" w:rsidRDefault="00E34B4A" w:rsidP="00E34B4A">
            <w:pPr>
              <w:ind w:left="0" w:right="0"/>
              <w:rPr>
                <w:szCs w:val="22"/>
                <w:lang w:eastAsia="en-US"/>
              </w:rPr>
            </w:pPr>
            <w:r w:rsidRPr="00C35B6B">
              <w:rPr>
                <w:szCs w:val="22"/>
              </w:rPr>
              <w:t>B/F/TAF has a low potential for virologic resistance. T</w:t>
            </w:r>
            <w:r w:rsidR="00242449" w:rsidRPr="00C35B6B">
              <w:rPr>
                <w:szCs w:val="22"/>
              </w:rPr>
              <w:t xml:space="preserve">here were no cases of treatment </w:t>
            </w:r>
            <w:r w:rsidRPr="00C35B6B">
              <w:rPr>
                <w:szCs w:val="22"/>
              </w:rPr>
              <w:t xml:space="preserve">emergent virologic resistance in the Phase </w:t>
            </w:r>
            <w:r w:rsidR="009D7B64" w:rsidRPr="00C35B6B">
              <w:rPr>
                <w:szCs w:val="22"/>
              </w:rPr>
              <w:t>II</w:t>
            </w:r>
            <w:r w:rsidRPr="00C35B6B">
              <w:rPr>
                <w:szCs w:val="22"/>
              </w:rPr>
              <w:t xml:space="preserve"> and </w:t>
            </w:r>
            <w:r w:rsidR="009D7B64" w:rsidRPr="00C35B6B">
              <w:rPr>
                <w:szCs w:val="22"/>
              </w:rPr>
              <w:t>III</w:t>
            </w:r>
            <w:r w:rsidRPr="00C35B6B">
              <w:rPr>
                <w:szCs w:val="22"/>
              </w:rPr>
              <w:t xml:space="preserve"> studies.</w:t>
            </w:r>
          </w:p>
          <w:p w:rsidR="00E34B4A" w:rsidRPr="00C35B6B" w:rsidRDefault="00E34B4A" w:rsidP="00E34B4A">
            <w:pPr>
              <w:ind w:left="0" w:right="0"/>
              <w:rPr>
                <w:szCs w:val="22"/>
                <w:lang w:eastAsia="en-US"/>
              </w:rPr>
            </w:pPr>
            <w:r w:rsidRPr="00C35B6B">
              <w:rPr>
                <w:szCs w:val="22"/>
              </w:rPr>
              <w:t>No booster required (COBI or RTV).</w:t>
            </w:r>
          </w:p>
          <w:p w:rsidR="00E34B4A" w:rsidRPr="00C35B6B" w:rsidRDefault="00E34B4A" w:rsidP="00E34B4A">
            <w:pPr>
              <w:ind w:left="0" w:right="0"/>
              <w:rPr>
                <w:szCs w:val="22"/>
                <w:lang w:eastAsia="ja-JP"/>
              </w:rPr>
            </w:pPr>
            <w:r w:rsidRPr="00C35B6B">
              <w:rPr>
                <w:szCs w:val="22"/>
                <w:lang w:eastAsia="ja-JP"/>
              </w:rPr>
              <w:t xml:space="preserve">In the pooled Phase </w:t>
            </w:r>
            <w:r w:rsidR="009D7B64" w:rsidRPr="00C35B6B">
              <w:rPr>
                <w:szCs w:val="22"/>
                <w:lang w:eastAsia="ja-JP"/>
              </w:rPr>
              <w:t>III</w:t>
            </w:r>
            <w:r w:rsidRPr="00C35B6B">
              <w:rPr>
                <w:szCs w:val="22"/>
                <w:lang w:eastAsia="ja-JP"/>
              </w:rPr>
              <w:t xml:space="preserve"> studies in </w:t>
            </w:r>
            <w:r w:rsidR="00850938" w:rsidRPr="00C35B6B">
              <w:rPr>
                <w:szCs w:val="22"/>
                <w:lang w:eastAsia="ja-JP"/>
              </w:rPr>
              <w:t>ART naïve</w:t>
            </w:r>
            <w:r w:rsidRPr="00C35B6B">
              <w:rPr>
                <w:szCs w:val="22"/>
                <w:lang w:eastAsia="ja-JP"/>
              </w:rPr>
              <w:t xml:space="preserve"> adult patients, B/F/TA</w:t>
            </w:r>
            <w:r w:rsidR="00242449" w:rsidRPr="00C35B6B">
              <w:rPr>
                <w:szCs w:val="22"/>
                <w:lang w:eastAsia="ja-JP"/>
              </w:rPr>
              <w:t xml:space="preserve">F was non-inferior to guideline </w:t>
            </w:r>
            <w:r w:rsidRPr="00C35B6B">
              <w:rPr>
                <w:szCs w:val="22"/>
                <w:lang w:eastAsia="ja-JP"/>
              </w:rPr>
              <w:t>recommended comparator combinations with 92.6% of patients achieving virologic control. Treatment failures were associated with factors other than virologic resistance.</w:t>
            </w:r>
          </w:p>
          <w:p w:rsidR="00E34B4A" w:rsidRPr="00C35B6B" w:rsidRDefault="00E34B4A" w:rsidP="00E34B4A">
            <w:pPr>
              <w:ind w:left="0" w:right="0"/>
              <w:rPr>
                <w:szCs w:val="22"/>
                <w:lang w:eastAsia="ja-JP"/>
              </w:rPr>
            </w:pPr>
            <w:r w:rsidRPr="00C35B6B">
              <w:rPr>
                <w:szCs w:val="22"/>
                <w:lang w:eastAsia="ja-JP"/>
              </w:rPr>
              <w:t>No loss of efficacy when virologically suppressed patients are switched to B/F/TAF.</w:t>
            </w:r>
          </w:p>
          <w:p w:rsidR="00E34B4A" w:rsidRPr="00C35B6B" w:rsidRDefault="00E34B4A" w:rsidP="00E34B4A">
            <w:pPr>
              <w:ind w:left="0" w:right="0"/>
              <w:rPr>
                <w:szCs w:val="22"/>
                <w:lang w:eastAsia="en-US"/>
              </w:rPr>
            </w:pPr>
            <w:r w:rsidRPr="00C35B6B">
              <w:rPr>
                <w:szCs w:val="22"/>
                <w:lang w:eastAsia="ja-JP"/>
              </w:rPr>
              <w:t>Effective in subgroups defined by age, gender, race, baseline HIV-1 R</w:t>
            </w:r>
            <w:r w:rsidR="00874E5D" w:rsidRPr="00C35B6B">
              <w:rPr>
                <w:szCs w:val="22"/>
                <w:lang w:eastAsia="ja-JP"/>
              </w:rPr>
              <w:t>NA and baseline CD4 cell count.</w:t>
            </w:r>
          </w:p>
        </w:tc>
        <w:tc>
          <w:tcPr>
            <w:tcW w:w="2433" w:type="pct"/>
          </w:tcPr>
          <w:p w:rsidR="00E34B4A" w:rsidRPr="00C35B6B" w:rsidRDefault="00E34B4A" w:rsidP="00874E5D">
            <w:pPr>
              <w:ind w:left="0" w:right="0"/>
              <w:rPr>
                <w:szCs w:val="22"/>
                <w:lang w:eastAsia="en-US"/>
              </w:rPr>
            </w:pPr>
            <w:r w:rsidRPr="00C35B6B">
              <w:rPr>
                <w:szCs w:val="22"/>
              </w:rPr>
              <w:t>Solid evidence with few uncertainties for all benefits except where stated.</w:t>
            </w:r>
          </w:p>
        </w:tc>
      </w:tr>
      <w:tr w:rsidR="00E34B4A" w:rsidRPr="00607FE5" w:rsidTr="00C94EA0">
        <w:tc>
          <w:tcPr>
            <w:tcW w:w="2567" w:type="pct"/>
          </w:tcPr>
          <w:p w:rsidR="00E34B4A" w:rsidRPr="00C35B6B" w:rsidRDefault="00E34B4A" w:rsidP="00E34B4A">
            <w:pPr>
              <w:ind w:left="0" w:right="0"/>
              <w:rPr>
                <w:szCs w:val="22"/>
                <w:lang w:eastAsia="ja-JP"/>
              </w:rPr>
            </w:pPr>
            <w:r w:rsidRPr="00C35B6B">
              <w:rPr>
                <w:szCs w:val="22"/>
                <w:lang w:eastAsia="ja-JP"/>
              </w:rPr>
              <w:t xml:space="preserve">Well tolerated in </w:t>
            </w:r>
            <w:r w:rsidR="00850938" w:rsidRPr="00C35B6B">
              <w:rPr>
                <w:szCs w:val="22"/>
                <w:lang w:eastAsia="ja-JP"/>
              </w:rPr>
              <w:t>ART naïve</w:t>
            </w:r>
            <w:r w:rsidRPr="00C35B6B">
              <w:rPr>
                <w:szCs w:val="22"/>
                <w:lang w:eastAsia="ja-JP"/>
              </w:rPr>
              <w:t xml:space="preserve"> and virologically suppressed patients. Few SAEs and </w:t>
            </w:r>
            <w:r w:rsidR="00874E5D" w:rsidRPr="00C35B6B">
              <w:rPr>
                <w:szCs w:val="22"/>
                <w:lang w:eastAsia="ja-JP"/>
              </w:rPr>
              <w:t>AEs leading to discontinuation.</w:t>
            </w:r>
          </w:p>
          <w:p w:rsidR="00E34B4A" w:rsidRPr="00C35B6B" w:rsidRDefault="00E34B4A" w:rsidP="00E34B4A">
            <w:pPr>
              <w:ind w:left="0" w:right="0"/>
              <w:rPr>
                <w:szCs w:val="22"/>
                <w:lang w:eastAsia="ja-JP"/>
              </w:rPr>
            </w:pPr>
            <w:r w:rsidRPr="00C35B6B">
              <w:rPr>
                <w:szCs w:val="22"/>
                <w:lang w:eastAsia="ja-JP"/>
              </w:rPr>
              <w:lastRenderedPageBreak/>
              <w:t>No bone or renal toxicity.</w:t>
            </w:r>
          </w:p>
          <w:p w:rsidR="00E34B4A" w:rsidRPr="00C35B6B" w:rsidRDefault="00E34B4A" w:rsidP="00E34B4A">
            <w:pPr>
              <w:ind w:left="0" w:right="0"/>
              <w:rPr>
                <w:szCs w:val="22"/>
                <w:lang w:eastAsia="en-US"/>
              </w:rPr>
            </w:pPr>
            <w:r w:rsidRPr="00C35B6B">
              <w:rPr>
                <w:szCs w:val="22"/>
                <w:lang w:eastAsia="ja-JP"/>
              </w:rPr>
              <w:t>No dose adjustment required in patients with eGFR ≥ 30 mL/min, or in patients with moderate hepatic impairment.</w:t>
            </w:r>
          </w:p>
        </w:tc>
        <w:tc>
          <w:tcPr>
            <w:tcW w:w="2433" w:type="pct"/>
          </w:tcPr>
          <w:p w:rsidR="00E34B4A" w:rsidRPr="00C35B6B" w:rsidRDefault="00E34B4A" w:rsidP="00874E5D">
            <w:pPr>
              <w:ind w:left="0" w:right="0"/>
              <w:rPr>
                <w:szCs w:val="22"/>
                <w:lang w:eastAsia="en-US"/>
              </w:rPr>
            </w:pPr>
            <w:r w:rsidRPr="00C35B6B">
              <w:rPr>
                <w:szCs w:val="22"/>
              </w:rPr>
              <w:lastRenderedPageBreak/>
              <w:t>No placebo-controlled data but safety profile similar to standard of care comparators.</w:t>
            </w:r>
          </w:p>
          <w:p w:rsidR="00E34B4A" w:rsidRPr="00C35B6B" w:rsidRDefault="00E34B4A" w:rsidP="00874E5D">
            <w:pPr>
              <w:ind w:left="0" w:right="0"/>
              <w:rPr>
                <w:szCs w:val="22"/>
                <w:lang w:eastAsia="en-US"/>
              </w:rPr>
            </w:pPr>
            <w:r w:rsidRPr="00C35B6B">
              <w:rPr>
                <w:szCs w:val="22"/>
              </w:rPr>
              <w:lastRenderedPageBreak/>
              <w:t>Based on PK studies. Not tested in large patient populations.</w:t>
            </w:r>
          </w:p>
        </w:tc>
      </w:tr>
      <w:tr w:rsidR="00E34B4A" w:rsidRPr="00607FE5" w:rsidTr="00C94EA0">
        <w:tc>
          <w:tcPr>
            <w:tcW w:w="2567" w:type="pct"/>
          </w:tcPr>
          <w:p w:rsidR="00E34B4A" w:rsidRPr="00C35B6B" w:rsidRDefault="00E34B4A" w:rsidP="00E34B4A">
            <w:pPr>
              <w:ind w:left="0" w:right="0"/>
              <w:rPr>
                <w:szCs w:val="22"/>
                <w:lang w:eastAsia="ja-JP"/>
              </w:rPr>
            </w:pPr>
            <w:r w:rsidRPr="00C35B6B">
              <w:rPr>
                <w:szCs w:val="22"/>
                <w:lang w:eastAsia="ja-JP"/>
              </w:rPr>
              <w:lastRenderedPageBreak/>
              <w:t>Well tolerated and effective in patients with HIV/HBV and HIV/HCV co-infection.</w:t>
            </w:r>
          </w:p>
        </w:tc>
        <w:tc>
          <w:tcPr>
            <w:tcW w:w="2433" w:type="pct"/>
          </w:tcPr>
          <w:p w:rsidR="00E34B4A" w:rsidRPr="00C35B6B" w:rsidRDefault="00E34B4A" w:rsidP="00E34B4A">
            <w:pPr>
              <w:ind w:left="0" w:right="0"/>
              <w:rPr>
                <w:szCs w:val="22"/>
                <w:lang w:eastAsia="en-US"/>
              </w:rPr>
            </w:pPr>
            <w:r w:rsidRPr="00C35B6B">
              <w:rPr>
                <w:szCs w:val="22"/>
              </w:rPr>
              <w:t>Only small patient numbers studied.</w:t>
            </w:r>
          </w:p>
        </w:tc>
      </w:tr>
    </w:tbl>
    <w:p w:rsidR="00605AD4" w:rsidRDefault="00605AD4" w:rsidP="00605AD4">
      <w:pPr>
        <w:pStyle w:val="Heading4"/>
      </w:pPr>
      <w:r w:rsidRPr="00605AD4">
        <w:t>First round assessment of risks</w:t>
      </w:r>
    </w:p>
    <w:p w:rsidR="00850938" w:rsidRPr="00850938" w:rsidRDefault="00CA07F1" w:rsidP="00850938">
      <w:pPr>
        <w:pStyle w:val="TableTitle"/>
      </w:pPr>
      <w:r>
        <w:t>Table 24</w:t>
      </w:r>
      <w:r w:rsidR="00850938">
        <w:t xml:space="preserve">: </w:t>
      </w:r>
      <w:r w:rsidR="00850938" w:rsidRPr="00605AD4">
        <w:t>First round assessment of</w:t>
      </w:r>
      <w:r w:rsidR="00850938">
        <w:t xml:space="preserve"> risks</w:t>
      </w:r>
    </w:p>
    <w:tbl>
      <w:tblPr>
        <w:tblStyle w:val="TableTGAblue"/>
        <w:tblW w:w="0" w:type="auto"/>
        <w:tblLook w:val="04A0" w:firstRow="1" w:lastRow="0" w:firstColumn="1" w:lastColumn="0" w:noHBand="0" w:noVBand="1"/>
      </w:tblPr>
      <w:tblGrid>
        <w:gridCol w:w="4360"/>
        <w:gridCol w:w="4360"/>
      </w:tblGrid>
      <w:tr w:rsidR="00E34B4A" w:rsidRPr="00E34B4A" w:rsidTr="00677B4A">
        <w:trPr>
          <w:cnfStyle w:val="100000000000" w:firstRow="1" w:lastRow="0" w:firstColumn="0" w:lastColumn="0" w:oddVBand="0" w:evenVBand="0" w:oddHBand="0" w:evenHBand="0" w:firstRowFirstColumn="0" w:firstRowLastColumn="0" w:lastRowFirstColumn="0" w:lastRowLastColumn="0"/>
        </w:trPr>
        <w:tc>
          <w:tcPr>
            <w:tcW w:w="4395" w:type="dxa"/>
          </w:tcPr>
          <w:p w:rsidR="00E34B4A" w:rsidRPr="00E34B4A" w:rsidRDefault="00E34B4A" w:rsidP="00677B4A">
            <w:pPr>
              <w:rPr>
                <w:lang w:eastAsia="en-US"/>
              </w:rPr>
            </w:pPr>
            <w:r w:rsidRPr="00E34B4A">
              <w:rPr>
                <w:lang w:eastAsia="en-US"/>
              </w:rPr>
              <w:t>Risks</w:t>
            </w:r>
          </w:p>
        </w:tc>
        <w:tc>
          <w:tcPr>
            <w:tcW w:w="4394" w:type="dxa"/>
          </w:tcPr>
          <w:p w:rsidR="00E34B4A" w:rsidRPr="00E34B4A" w:rsidRDefault="00E34B4A" w:rsidP="00677B4A">
            <w:pPr>
              <w:rPr>
                <w:lang w:eastAsia="en-US"/>
              </w:rPr>
            </w:pPr>
            <w:r w:rsidRPr="00E34B4A">
              <w:rPr>
                <w:lang w:eastAsia="en-US"/>
              </w:rPr>
              <w:t>Strengths and Uncertainties</w:t>
            </w:r>
          </w:p>
        </w:tc>
      </w:tr>
      <w:tr w:rsidR="00E34B4A" w:rsidRPr="00E34B4A" w:rsidTr="00677B4A">
        <w:tc>
          <w:tcPr>
            <w:tcW w:w="4395" w:type="dxa"/>
          </w:tcPr>
          <w:p w:rsidR="00E34B4A" w:rsidRPr="00E34B4A" w:rsidRDefault="00E34B4A" w:rsidP="00874E5D">
            <w:pPr>
              <w:rPr>
                <w:lang w:eastAsia="en-US"/>
              </w:rPr>
            </w:pPr>
            <w:r w:rsidRPr="00E34B4A">
              <w:rPr>
                <w:lang w:eastAsia="en-US"/>
              </w:rPr>
              <w:t xml:space="preserve">B/F/TAF is well tolerated but class effects of NRTIs may still be expected (lactic acidosis, hepatomegaly </w:t>
            </w:r>
            <w:r w:rsidR="00850938">
              <w:rPr>
                <w:lang w:eastAsia="en-US"/>
              </w:rPr>
              <w:t>with steatosis and HBV flares).</w:t>
            </w:r>
          </w:p>
          <w:p w:rsidR="00E34B4A" w:rsidRPr="00E34B4A" w:rsidRDefault="00E34B4A" w:rsidP="00874E5D">
            <w:pPr>
              <w:rPr>
                <w:lang w:eastAsia="en-US"/>
              </w:rPr>
            </w:pPr>
            <w:r w:rsidRPr="00E34B4A">
              <w:rPr>
                <w:lang w:eastAsia="en-US"/>
              </w:rPr>
              <w:t>The most frequent ADRs were diarrhoea and headache, most commonl</w:t>
            </w:r>
            <w:r w:rsidR="00850938">
              <w:rPr>
                <w:lang w:eastAsia="en-US"/>
              </w:rPr>
              <w:t>y mild to moderate in severity.</w:t>
            </w:r>
          </w:p>
          <w:p w:rsidR="00E34B4A" w:rsidRPr="00E34B4A" w:rsidRDefault="00E34B4A" w:rsidP="00874E5D">
            <w:pPr>
              <w:rPr>
                <w:lang w:eastAsia="en-US"/>
              </w:rPr>
            </w:pPr>
            <w:r w:rsidRPr="00E34B4A">
              <w:rPr>
                <w:lang w:eastAsia="en-US"/>
              </w:rPr>
              <w:t>Long-term ADRs related to bictegravir cannot be excluded.</w:t>
            </w:r>
          </w:p>
          <w:p w:rsidR="00E34B4A" w:rsidRPr="00E34B4A" w:rsidRDefault="00E34B4A" w:rsidP="00874E5D">
            <w:pPr>
              <w:rPr>
                <w:lang w:eastAsia="en-US"/>
              </w:rPr>
            </w:pPr>
            <w:r w:rsidRPr="00E34B4A">
              <w:rPr>
                <w:lang w:eastAsia="en-US"/>
              </w:rPr>
              <w:t>Drug-drug interactions, immune reconstitution syndrome, hepatic flare in patients with HIV/HBV co-infection, dangers in preg</w:t>
            </w:r>
            <w:r w:rsidR="00850938">
              <w:rPr>
                <w:lang w:eastAsia="en-US"/>
              </w:rPr>
              <w:t>nancy and while breast feeding.</w:t>
            </w:r>
          </w:p>
          <w:p w:rsidR="00E34B4A" w:rsidRPr="00E34B4A" w:rsidRDefault="00E34B4A" w:rsidP="00874E5D">
            <w:pPr>
              <w:rPr>
                <w:lang w:eastAsia="en-US"/>
              </w:rPr>
            </w:pPr>
            <w:r w:rsidRPr="00E34B4A">
              <w:rPr>
                <w:lang w:eastAsia="en-US"/>
              </w:rPr>
              <w:t>Stopping therapy has the potential to precipitate severe HBV exacerbations in patients with HIV/HBV co-infection.</w:t>
            </w:r>
          </w:p>
        </w:tc>
        <w:tc>
          <w:tcPr>
            <w:tcW w:w="4394" w:type="dxa"/>
          </w:tcPr>
          <w:p w:rsidR="00E34B4A" w:rsidRPr="00E34B4A" w:rsidRDefault="00E34B4A" w:rsidP="00874E5D">
            <w:pPr>
              <w:rPr>
                <w:lang w:eastAsia="en-US"/>
              </w:rPr>
            </w:pPr>
            <w:r w:rsidRPr="00E34B4A">
              <w:rPr>
                <w:lang w:eastAsia="en-US"/>
              </w:rPr>
              <w:t>Noted in PI.</w:t>
            </w:r>
          </w:p>
          <w:p w:rsidR="00E34B4A" w:rsidRPr="00E34B4A" w:rsidRDefault="00E34B4A" w:rsidP="00874E5D">
            <w:pPr>
              <w:rPr>
                <w:lang w:eastAsia="en-US"/>
              </w:rPr>
            </w:pPr>
          </w:p>
          <w:p w:rsidR="00E34B4A" w:rsidRPr="00E34B4A" w:rsidRDefault="00E34B4A" w:rsidP="00874E5D">
            <w:pPr>
              <w:rPr>
                <w:lang w:eastAsia="en-US"/>
              </w:rPr>
            </w:pPr>
          </w:p>
          <w:p w:rsidR="00E34B4A" w:rsidRPr="00E34B4A" w:rsidRDefault="00E34B4A" w:rsidP="00874E5D">
            <w:pPr>
              <w:rPr>
                <w:lang w:eastAsia="en-US"/>
              </w:rPr>
            </w:pPr>
            <w:r w:rsidRPr="00E34B4A">
              <w:rPr>
                <w:lang w:eastAsia="en-US"/>
              </w:rPr>
              <w:t>Noted in PI.</w:t>
            </w:r>
          </w:p>
        </w:tc>
      </w:tr>
    </w:tbl>
    <w:p w:rsidR="00605AD4" w:rsidRPr="00605AD4" w:rsidRDefault="00605AD4" w:rsidP="00605AD4">
      <w:pPr>
        <w:pStyle w:val="Heading4"/>
      </w:pPr>
      <w:r w:rsidRPr="00605AD4">
        <w:t>First round assessment of benefit-risk balance</w:t>
      </w:r>
    </w:p>
    <w:p w:rsidR="00677B4A" w:rsidRDefault="00677B4A" w:rsidP="00677B4A">
      <w:r>
        <w:t xml:space="preserve">The benefit-risk balance is strongly positive. The B/F/TAF FDC is highly effective and no cases of virologic resistance were reported in Phase </w:t>
      </w:r>
      <w:r w:rsidR="009D7B64">
        <w:t>II</w:t>
      </w:r>
      <w:r>
        <w:t xml:space="preserve"> and </w:t>
      </w:r>
      <w:r w:rsidR="009D7B64">
        <w:t>III</w:t>
      </w:r>
      <w:r>
        <w:t xml:space="preserve"> studies in </w:t>
      </w:r>
      <w:r w:rsidR="00850938">
        <w:t>ART naïve</w:t>
      </w:r>
      <w:r>
        <w:t xml:space="preserve"> and virologically suppressed patients. B/F/TAF was well tolerated with a safety profile similar to comparator treatments. Efficacy and safety were demonstrated in all patient populations, including those based on gender, age, race, baseline CD4 count and baseline viral load. Simple, once daily treatment will enhance adherence for optimal virological control. There was no evidence of increased risk with the use of bictegravir in combination with F/TAF.</w:t>
      </w:r>
    </w:p>
    <w:p w:rsidR="00605AD4" w:rsidRPr="00605AD4" w:rsidRDefault="00677B4A" w:rsidP="00677B4A">
      <w:r>
        <w:t xml:space="preserve">The benefit-risk balance in patients with HIV/HBV co-infection has not been established. HIV-1 RNA </w:t>
      </w:r>
      <w:r w:rsidR="00251457">
        <w:t xml:space="preserve">&lt; </w:t>
      </w:r>
      <w:r>
        <w:t>50 copies/mL was achieved by all eight patients with co-i</w:t>
      </w:r>
      <w:r w:rsidR="00874E5D">
        <w:t>nfection treated with B/F/TAF.</w:t>
      </w:r>
      <w:r>
        <w:t xml:space="preserve"> However, the risks associated with hepatic flares in patients on treatment, or in those stopping treatment, have not been quantified.</w:t>
      </w:r>
    </w:p>
    <w:p w:rsidR="00605AD4" w:rsidRPr="00605AD4" w:rsidRDefault="00605AD4" w:rsidP="00605AD4">
      <w:pPr>
        <w:pStyle w:val="Heading3"/>
        <w:rPr>
          <w:rFonts w:eastAsia="Cambria"/>
        </w:rPr>
      </w:pPr>
      <w:bookmarkStart w:id="120" w:name="_Toc20133984"/>
      <w:r w:rsidRPr="00605AD4">
        <w:rPr>
          <w:rFonts w:eastAsia="Cambria"/>
        </w:rPr>
        <w:lastRenderedPageBreak/>
        <w:t xml:space="preserve">First </w:t>
      </w:r>
      <w:r w:rsidR="001E2662" w:rsidRPr="00605AD4">
        <w:rPr>
          <w:rFonts w:eastAsia="Cambria"/>
        </w:rPr>
        <w:t>round recommendation regarding authorisation</w:t>
      </w:r>
      <w:bookmarkEnd w:id="120"/>
    </w:p>
    <w:p w:rsidR="00677B4A" w:rsidRDefault="00677B4A" w:rsidP="00677B4A">
      <w:r>
        <w:t>Authorisation is not recommended for the proposed indication:</w:t>
      </w:r>
    </w:p>
    <w:p w:rsidR="00677B4A" w:rsidRPr="00E37DF3" w:rsidRDefault="00677B4A" w:rsidP="00E37DF3">
      <w:pPr>
        <w:ind w:left="720"/>
        <w:rPr>
          <w:i/>
        </w:rPr>
      </w:pPr>
      <w:r w:rsidRPr="00E37DF3">
        <w:rPr>
          <w:i/>
        </w:rPr>
        <w:t>‘</w:t>
      </w:r>
      <w:r w:rsidR="001B5D97" w:rsidRPr="00E37DF3">
        <w:rPr>
          <w:i/>
        </w:rPr>
        <w:t>Biktarvy</w:t>
      </w:r>
      <w:r w:rsidRPr="00E37DF3">
        <w:rPr>
          <w:i/>
        </w:rPr>
        <w:t xml:space="preserve"> is for the treatment of HIV-1 infection in adults without any known mutations associated with resistance to the individual components of </w:t>
      </w:r>
      <w:r w:rsidR="001B5D97" w:rsidRPr="00E37DF3">
        <w:rPr>
          <w:i/>
        </w:rPr>
        <w:t>Biktarvy</w:t>
      </w:r>
      <w:r w:rsidRPr="00E37DF3">
        <w:rPr>
          <w:i/>
        </w:rPr>
        <w:t>.</w:t>
      </w:r>
    </w:p>
    <w:p w:rsidR="00677B4A" w:rsidRDefault="001B5D97" w:rsidP="00E37DF3">
      <w:pPr>
        <w:ind w:left="720"/>
      </w:pPr>
      <w:r w:rsidRPr="00E37DF3">
        <w:rPr>
          <w:i/>
        </w:rPr>
        <w:t>Biktarvy</w:t>
      </w:r>
      <w:r w:rsidR="00677B4A" w:rsidRPr="00E37DF3">
        <w:rPr>
          <w:i/>
        </w:rPr>
        <w:t xml:space="preserve"> is also indicated for the treatment of chronic hepatitis B in adults co-infected with HIV-1’.</w:t>
      </w:r>
    </w:p>
    <w:p w:rsidR="00677B4A" w:rsidRDefault="00677B4A" w:rsidP="00677B4A">
      <w:r>
        <w:t>Authorisation for use in patients with HIV/HBV co-infection is not recommended based on inadequate efficacy and safety data.</w:t>
      </w:r>
      <w:r w:rsidR="006565A4">
        <w:t xml:space="preserve"> </w:t>
      </w:r>
      <w:r>
        <w:t xml:space="preserve">Only eight </w:t>
      </w:r>
      <w:r w:rsidR="00850938">
        <w:t>ART naïve</w:t>
      </w:r>
      <w:r>
        <w:t xml:space="preserve"> patients with HIV/HBV co-infection were treated with B/F/TAF (in </w:t>
      </w:r>
      <w:r w:rsidR="00116653">
        <w:t>Study</w:t>
      </w:r>
      <w:r>
        <w:t xml:space="preserve"> 1490). Furthermore, the pharmacokinetics of BIC, FTC and TAF have not been characterised in patients with HIV/HBV co-infection.</w:t>
      </w:r>
    </w:p>
    <w:p w:rsidR="00677B4A" w:rsidRDefault="00677B4A" w:rsidP="00677B4A">
      <w:r>
        <w:t xml:space="preserve">However, due to overwhelming evidence of efficacy and safety in patients who are </w:t>
      </w:r>
      <w:r w:rsidR="00850938">
        <w:t>ART naïve</w:t>
      </w:r>
      <w:r>
        <w:t xml:space="preserve"> or virologically suppressed, authorisation is recommended for the following modified indication:</w:t>
      </w:r>
    </w:p>
    <w:p w:rsidR="00677B4A" w:rsidRPr="00A00420" w:rsidRDefault="00677B4A" w:rsidP="00A00420">
      <w:pPr>
        <w:ind w:left="720"/>
        <w:rPr>
          <w:i/>
        </w:rPr>
      </w:pPr>
      <w:r w:rsidRPr="00A00420">
        <w:rPr>
          <w:i/>
        </w:rPr>
        <w:t>‘</w:t>
      </w:r>
      <w:r w:rsidR="001B5D97" w:rsidRPr="00A00420">
        <w:rPr>
          <w:i/>
        </w:rPr>
        <w:t>Biktarvy</w:t>
      </w:r>
      <w:r w:rsidRPr="00A00420">
        <w:rPr>
          <w:i/>
        </w:rPr>
        <w:t xml:space="preserve"> is for the treatment of HIV-1 infection in adults who are </w:t>
      </w:r>
      <w:r w:rsidR="00850938">
        <w:rPr>
          <w:i/>
        </w:rPr>
        <w:t>ART naïve</w:t>
      </w:r>
      <w:r w:rsidRPr="00A00420">
        <w:rPr>
          <w:i/>
        </w:rPr>
        <w:t xml:space="preserve"> or virologically suppressed without any known mutations associated with resistance to the individual components of </w:t>
      </w:r>
      <w:r w:rsidR="001B5D97" w:rsidRPr="00A00420">
        <w:rPr>
          <w:i/>
        </w:rPr>
        <w:t>Biktarvy</w:t>
      </w:r>
      <w:r w:rsidRPr="00A00420">
        <w:rPr>
          <w:i/>
        </w:rPr>
        <w:t>’.</w:t>
      </w:r>
    </w:p>
    <w:p w:rsidR="00677B4A" w:rsidRDefault="00677B4A" w:rsidP="00677B4A">
      <w:r>
        <w:t>The suggested indication more accurately describes the clinical trial patient populations for whom data are available. Data are not available in ART-experienced patients who are not virologically suppressed.</w:t>
      </w:r>
      <w:r w:rsidR="006565A4">
        <w:t xml:space="preserve"> </w:t>
      </w:r>
      <w:r>
        <w:t>However, approval for the above modified indication is also subject to satisfactory responses to clinical questions</w:t>
      </w:r>
      <w:r w:rsidR="00251457">
        <w:t xml:space="preserve"> </w:t>
      </w:r>
      <w:r>
        <w:t>as well as incorporation of recommended changes to the proposed PI and CMI.</w:t>
      </w:r>
    </w:p>
    <w:p w:rsidR="00605AD4" w:rsidRDefault="00677B4A" w:rsidP="00677B4A">
      <w:r>
        <w:t>The comb</w:t>
      </w:r>
      <w:r w:rsidR="00242449">
        <w:t xml:space="preserve">ination of F/TAF is a guideline </w:t>
      </w:r>
      <w:r>
        <w:t xml:space="preserve">recommended regimen for the treatment of HBV </w:t>
      </w:r>
      <w:r w:rsidRPr="004E5D79">
        <w:t>(ASHM, 2016</w:t>
      </w:r>
      <w:r w:rsidR="004E5D79" w:rsidRPr="004E5D79">
        <w:t>,</w:t>
      </w:r>
      <w:r w:rsidR="004E5D79" w:rsidRPr="004E5D79">
        <w:rPr>
          <w:vertAlign w:val="superscript"/>
        </w:rPr>
        <w:fldChar w:fldCharType="begin"/>
      </w:r>
      <w:r w:rsidR="004E5D79" w:rsidRPr="004E5D79">
        <w:rPr>
          <w:vertAlign w:val="superscript"/>
        </w:rPr>
        <w:instrText xml:space="preserve"> NOTEREF _Ref11929046 \h  \* MERGEFORMAT </w:instrText>
      </w:r>
      <w:r w:rsidR="004E5D79" w:rsidRPr="004E5D79">
        <w:rPr>
          <w:vertAlign w:val="superscript"/>
        </w:rPr>
      </w:r>
      <w:r w:rsidR="004E5D79" w:rsidRPr="004E5D79">
        <w:rPr>
          <w:vertAlign w:val="superscript"/>
        </w:rPr>
        <w:fldChar w:fldCharType="separate"/>
      </w:r>
      <w:r w:rsidR="007E7BFA">
        <w:rPr>
          <w:vertAlign w:val="superscript"/>
        </w:rPr>
        <w:t>1</w:t>
      </w:r>
      <w:r w:rsidR="004E5D79" w:rsidRPr="004E5D79">
        <w:rPr>
          <w:vertAlign w:val="superscript"/>
        </w:rPr>
        <w:fldChar w:fldCharType="end"/>
      </w:r>
      <w:r w:rsidRPr="004E5D79">
        <w:t xml:space="preserve"> WHO, 2011</w:t>
      </w:r>
      <w:r w:rsidR="004E5D79" w:rsidRPr="004E5D79">
        <w:rPr>
          <w:rStyle w:val="FootnoteReference"/>
        </w:rPr>
        <w:footnoteReference w:id="35"/>
      </w:r>
      <w:r w:rsidRPr="004E5D79">
        <w:t>). Only eight patients with HIV/HBV co-infection were treated with B/F/TAF. The data do not support</w:t>
      </w:r>
      <w:r>
        <w:t xml:space="preserve">/justify approval of an independent indication but may be suitably included in the clinical trials description in the PI with precise details. However, the </w:t>
      </w:r>
      <w:r w:rsidRPr="00A41D8E">
        <w:t>safety profile of B/F/TAF in patients with co-infection has not been sufficiently categorised, particularly in patients with low CD4 cell counts. A study in larger patient numbers should be conducted to justify a treatment indication. Alternative treatments for patients with HIV/HBV co-infection are available in the interim.</w:t>
      </w:r>
    </w:p>
    <w:p w:rsidR="002F5122" w:rsidRPr="00A00420" w:rsidRDefault="002F5122" w:rsidP="002F5122">
      <w:pPr>
        <w:pStyle w:val="Heading3"/>
        <w:rPr>
          <w:rFonts w:eastAsia="Cambria"/>
        </w:rPr>
      </w:pPr>
      <w:bookmarkStart w:id="121" w:name="_Toc20133985"/>
      <w:r w:rsidRPr="002F5122">
        <w:t xml:space="preserve">Clinical </w:t>
      </w:r>
      <w:r w:rsidR="001E2662" w:rsidRPr="002F5122">
        <w:t>questions</w:t>
      </w:r>
      <w:r w:rsidR="001E2662">
        <w:t xml:space="preserve"> and </w:t>
      </w:r>
      <w:r w:rsidR="001E2662" w:rsidRPr="00605AD4">
        <w:rPr>
          <w:rFonts w:eastAsia="Cambria"/>
        </w:rPr>
        <w:t>second round evaluation</w:t>
      </w:r>
      <w:bookmarkEnd w:id="121"/>
    </w:p>
    <w:p w:rsidR="006C4441" w:rsidRDefault="006C4441" w:rsidP="00A00420">
      <w:pPr>
        <w:pStyle w:val="Heading4"/>
      </w:pPr>
      <w:r>
        <w:t>Efficacy</w:t>
      </w:r>
    </w:p>
    <w:p w:rsidR="006C4441" w:rsidRDefault="00A00420" w:rsidP="00A00420">
      <w:pPr>
        <w:pStyle w:val="Heading5"/>
      </w:pPr>
      <w:r>
        <w:t>Question 1</w:t>
      </w:r>
    </w:p>
    <w:p w:rsidR="006C4441" w:rsidRPr="00C35B6B" w:rsidRDefault="006C4441" w:rsidP="00C35B6B">
      <w:pPr>
        <w:rPr>
          <w:b/>
          <w:i/>
        </w:rPr>
      </w:pPr>
      <w:r w:rsidRPr="00C35B6B">
        <w:rPr>
          <w:b/>
          <w:i/>
        </w:rPr>
        <w:t xml:space="preserve">In </w:t>
      </w:r>
      <w:r w:rsidR="00116653" w:rsidRPr="00C35B6B">
        <w:rPr>
          <w:b/>
          <w:i/>
        </w:rPr>
        <w:t>Study</w:t>
      </w:r>
      <w:r w:rsidRPr="00C35B6B">
        <w:rPr>
          <w:b/>
          <w:i/>
        </w:rPr>
        <w:t xml:space="preserve"> 1490, the virologic and clinical outcomes in patients with HIV/HCV co-infection do not appear to have been reported (although safety issues are addressed). Please provide the efficacy data or identify the reference in the CSR.</w:t>
      </w:r>
    </w:p>
    <w:p w:rsidR="00A00420" w:rsidRDefault="00A00420" w:rsidP="00A00420">
      <w:pPr>
        <w:pStyle w:val="Heading6"/>
      </w:pPr>
      <w:r>
        <w:t>Sponsor’s response:</w:t>
      </w:r>
    </w:p>
    <w:p w:rsidR="006C4441" w:rsidRDefault="001B5D97" w:rsidP="006C4441">
      <w:r>
        <w:t>Biktarvy</w:t>
      </w:r>
      <w:r w:rsidR="006C4441">
        <w:t xml:space="preserve"> was safe and well tolerated in 1.6% of patients with HIV/HCV co-infection at baseline. Efficacy outcomes in this pat</w:t>
      </w:r>
      <w:r w:rsidR="00A00420">
        <w:t>ient</w:t>
      </w:r>
      <w:r w:rsidR="00CA07F1">
        <w:t xml:space="preserve"> population are shown in Table 25</w:t>
      </w:r>
      <w:r w:rsidR="00A00420">
        <w:t>.</w:t>
      </w:r>
    </w:p>
    <w:p w:rsidR="00A00420" w:rsidRDefault="00CA07F1" w:rsidP="007E7BFA">
      <w:pPr>
        <w:pStyle w:val="TableTitle"/>
      </w:pPr>
      <w:r>
        <w:lastRenderedPageBreak/>
        <w:t>Table 25</w:t>
      </w:r>
      <w:r w:rsidR="00A00420">
        <w:t>: Study GS-US-380-1490. Week 48 efficacy outcomes in patients with HIV/HCV co-infection</w:t>
      </w:r>
      <w:r w:rsidR="007E7BFA">
        <w:rPr>
          <w:noProof/>
          <w:lang w:eastAsia="en-AU"/>
        </w:rPr>
        <w:drawing>
          <wp:inline distT="0" distB="0" distL="0" distR="0" wp14:anchorId="5CC386D5" wp14:editId="54186F2C">
            <wp:extent cx="5307659" cy="2886323"/>
            <wp:effectExtent l="0" t="0" r="7620" b="9525"/>
            <wp:docPr id="20" name="Picture 20" descr=": Study GS-US-380-1490. Week 48 efficacy outcomes in patients with HIV/HCV co-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04111" cy="2884393"/>
                    </a:xfrm>
                    <a:prstGeom prst="rect">
                      <a:avLst/>
                    </a:prstGeom>
                  </pic:spPr>
                </pic:pic>
              </a:graphicData>
            </a:graphic>
          </wp:inline>
        </w:drawing>
      </w:r>
    </w:p>
    <w:p w:rsidR="004E5D79" w:rsidRPr="00980A20" w:rsidRDefault="007E7BFA" w:rsidP="00980A20">
      <w:r>
        <w:rPr>
          <w:noProof/>
          <w:lang w:eastAsia="en-AU"/>
        </w:rPr>
        <w:t xml:space="preserve"> </w:t>
      </w:r>
      <w:r w:rsidR="006C4441" w:rsidRPr="00980A20">
        <w:t xml:space="preserve">All but one patient was classified as HIV-1 RNA </w:t>
      </w:r>
      <w:r w:rsidR="00251457" w:rsidRPr="00980A20">
        <w:t xml:space="preserve">&lt; </w:t>
      </w:r>
      <w:r w:rsidR="006C4441" w:rsidRPr="00980A20">
        <w:t>50 copies/mL at Week 48. The remaining patient did not return for any post</w:t>
      </w:r>
      <w:r w:rsidR="00A00420" w:rsidRPr="00980A20">
        <w:t>-</w:t>
      </w:r>
      <w:r w:rsidR="006C4441" w:rsidRPr="00980A20">
        <w:t xml:space="preserve">baseline visits and </w:t>
      </w:r>
      <w:r w:rsidR="006C4441" w:rsidRPr="00F03708">
        <w:t>was discontinued from the study due to protocol violations</w:t>
      </w:r>
      <w:r w:rsidR="004E5D79" w:rsidRPr="00980A20">
        <w:t>.</w:t>
      </w:r>
    </w:p>
    <w:p w:rsidR="00A00420" w:rsidRDefault="00A00420" w:rsidP="00A00420">
      <w:pPr>
        <w:pStyle w:val="Heading6"/>
      </w:pPr>
      <w:r>
        <w:t>Evaluation of response</w:t>
      </w:r>
    </w:p>
    <w:p w:rsidR="006C4441" w:rsidRDefault="006C4441" w:rsidP="006C4441">
      <w:r>
        <w:t>The sponsor’s response is satisfactory.</w:t>
      </w:r>
    </w:p>
    <w:p w:rsidR="006C4441" w:rsidRDefault="00A00420" w:rsidP="00A00420">
      <w:pPr>
        <w:pStyle w:val="Heading5"/>
      </w:pPr>
      <w:r>
        <w:t>Question 2</w:t>
      </w:r>
    </w:p>
    <w:p w:rsidR="007E7BFA" w:rsidRPr="00C35B6B" w:rsidRDefault="006C4441" w:rsidP="00C35B6B">
      <w:pPr>
        <w:rPr>
          <w:b/>
          <w:i/>
        </w:rPr>
      </w:pPr>
      <w:r w:rsidRPr="00C35B6B">
        <w:rPr>
          <w:b/>
          <w:i/>
        </w:rPr>
        <w:t>In the RMP, it is stated that no further efficacy studies are proposed. Please discuss the merits of conducting an efficacy study of B/F/TAF in treatment-experienced patients with virologic failure.</w:t>
      </w:r>
    </w:p>
    <w:p w:rsidR="00A00420" w:rsidRDefault="00A00420" w:rsidP="00A00420">
      <w:pPr>
        <w:pStyle w:val="Heading6"/>
      </w:pPr>
      <w:r>
        <w:t>Sponsor’s response</w:t>
      </w:r>
    </w:p>
    <w:p w:rsidR="006C4441" w:rsidRDefault="006C4441" w:rsidP="006C4441">
      <w:r>
        <w:t xml:space="preserve">The sponsor is considering a study of </w:t>
      </w:r>
      <w:r w:rsidR="001B5D97">
        <w:t>Biktarvy</w:t>
      </w:r>
      <w:r>
        <w:t xml:space="preserve"> in this population. However, the sponsor has other investigational agents, some with potential use in treatment-experienced patients with virologic failure. The role of </w:t>
      </w:r>
      <w:r w:rsidR="001B5D97">
        <w:t>Biktarvy</w:t>
      </w:r>
      <w:r>
        <w:t xml:space="preserve"> in this patient population is partially addressed in the Phase </w:t>
      </w:r>
      <w:r w:rsidR="009D7B64">
        <w:t>III</w:t>
      </w:r>
      <w:r>
        <w:t xml:space="preserve"> </w:t>
      </w:r>
      <w:r w:rsidR="00116653">
        <w:t>Study</w:t>
      </w:r>
      <w:r>
        <w:t xml:space="preserve"> GS-US-380-4030 which is fully enrolled. This study assesses the efficacy and safety of switching to </w:t>
      </w:r>
      <w:r w:rsidR="001B5D97">
        <w:t>Biktarvy</w:t>
      </w:r>
      <w:r>
        <w:t xml:space="preserve"> from a regimen of dolutegravir and either F/TAF or F/TDF who are virologically suppressed. The study permits enrolment of patients with prior virologic failure</w:t>
      </w:r>
      <w:r w:rsidR="00A00420">
        <w:t xml:space="preserve"> and documented ARV resistance.</w:t>
      </w:r>
    </w:p>
    <w:p w:rsidR="00A00420" w:rsidRDefault="004E4AAB" w:rsidP="0091238A">
      <w:pPr>
        <w:pStyle w:val="Heading6"/>
      </w:pPr>
      <w:r>
        <w:t>Evaluation of response:</w:t>
      </w:r>
    </w:p>
    <w:p w:rsidR="006C4441" w:rsidRDefault="006C4441" w:rsidP="006C4441">
      <w:r>
        <w:t>The sponsor’s response is satisfactory.</w:t>
      </w:r>
    </w:p>
    <w:p w:rsidR="006C4441" w:rsidRDefault="006C4441" w:rsidP="0091238A">
      <w:pPr>
        <w:pStyle w:val="Heading4"/>
      </w:pPr>
      <w:r>
        <w:t>Safety</w:t>
      </w:r>
    </w:p>
    <w:p w:rsidR="006C4441" w:rsidRDefault="0091238A" w:rsidP="0091238A">
      <w:pPr>
        <w:pStyle w:val="Heading5"/>
      </w:pPr>
      <w:r>
        <w:t>Question 3</w:t>
      </w:r>
    </w:p>
    <w:p w:rsidR="006C4441" w:rsidRPr="00C35B6B" w:rsidRDefault="006C4441" w:rsidP="00C35B6B">
      <w:pPr>
        <w:rPr>
          <w:b/>
          <w:i/>
        </w:rPr>
      </w:pPr>
      <w:r w:rsidRPr="00C35B6B">
        <w:rPr>
          <w:b/>
          <w:i/>
        </w:rPr>
        <w:t xml:space="preserve">In </w:t>
      </w:r>
      <w:r w:rsidR="00116653" w:rsidRPr="00C35B6B">
        <w:rPr>
          <w:b/>
          <w:i/>
        </w:rPr>
        <w:t>Study</w:t>
      </w:r>
      <w:r w:rsidRPr="00C35B6B">
        <w:rPr>
          <w:b/>
          <w:i/>
        </w:rPr>
        <w:t xml:space="preserve"> 1490, eight </w:t>
      </w:r>
      <w:r w:rsidR="00850938" w:rsidRPr="00C35B6B">
        <w:rPr>
          <w:b/>
          <w:i/>
        </w:rPr>
        <w:t>ART naïve</w:t>
      </w:r>
      <w:r w:rsidRPr="00C35B6B">
        <w:rPr>
          <w:b/>
          <w:i/>
        </w:rPr>
        <w:t xml:space="preserve"> patients with HIV/HBV co-infection were treated with B/F/TAF. Of these, two patients (25%) had significant hepatic flares (1 Grade 4; 1 Grade 3), possibly due to immune reconstitution. Please provide:</w:t>
      </w:r>
    </w:p>
    <w:p w:rsidR="004E5D79" w:rsidRPr="00C35B6B" w:rsidRDefault="006C4441" w:rsidP="00980A20">
      <w:pPr>
        <w:pStyle w:val="Numberbullet0"/>
        <w:rPr>
          <w:b/>
          <w:i/>
        </w:rPr>
      </w:pPr>
      <w:r w:rsidRPr="00C35B6B">
        <w:rPr>
          <w:b/>
          <w:i/>
        </w:rPr>
        <w:t>The baseline demographics and disease characteristics (including CD4 cell counts) of all patients with HIV/HBV co-infection</w:t>
      </w:r>
      <w:r w:rsidR="004E5D79" w:rsidRPr="00C35B6B">
        <w:rPr>
          <w:b/>
          <w:i/>
        </w:rPr>
        <w:t>.</w:t>
      </w:r>
    </w:p>
    <w:p w:rsidR="006C4441" w:rsidRPr="00C35B6B" w:rsidRDefault="00242449" w:rsidP="00980A20">
      <w:pPr>
        <w:pStyle w:val="Numberbullet0"/>
        <w:rPr>
          <w:b/>
          <w:i/>
        </w:rPr>
      </w:pPr>
      <w:r w:rsidRPr="00C35B6B">
        <w:rPr>
          <w:b/>
          <w:i/>
        </w:rPr>
        <w:t xml:space="preserve">Treatment </w:t>
      </w:r>
      <w:r w:rsidR="006C4441" w:rsidRPr="00C35B6B">
        <w:rPr>
          <w:b/>
          <w:i/>
        </w:rPr>
        <w:t>emergent changes in LFTs for each patient</w:t>
      </w:r>
    </w:p>
    <w:p w:rsidR="006C4441" w:rsidRPr="00C35B6B" w:rsidRDefault="006C4441" w:rsidP="00C35B6B">
      <w:pPr>
        <w:rPr>
          <w:b/>
          <w:i/>
        </w:rPr>
      </w:pPr>
      <w:r w:rsidRPr="00C35B6B">
        <w:rPr>
          <w:b/>
          <w:i/>
        </w:rPr>
        <w:lastRenderedPageBreak/>
        <w:t>Please comment on</w:t>
      </w:r>
      <w:r w:rsidR="0091238A" w:rsidRPr="00C35B6B">
        <w:rPr>
          <w:b/>
          <w:i/>
        </w:rPr>
        <w:t xml:space="preserve"> the results of the analysis?</w:t>
      </w:r>
    </w:p>
    <w:p w:rsidR="0091238A" w:rsidRDefault="0091238A" w:rsidP="0091238A">
      <w:pPr>
        <w:pStyle w:val="Heading6"/>
      </w:pPr>
      <w:r>
        <w:t>Sponsor’s response</w:t>
      </w:r>
    </w:p>
    <w:p w:rsidR="006C4441" w:rsidRDefault="006C4441" w:rsidP="006C4441">
      <w:r>
        <w:t>The sponsor has provided tables summarising the demographics and baseline characteristics in patients with HIV/HBV co-infection (data not shown). These are comparable to the overall demographics and disease cha</w:t>
      </w:r>
      <w:r w:rsidR="0091238A">
        <w:t>racteristics seen in the study.</w:t>
      </w:r>
    </w:p>
    <w:p w:rsidR="0091238A" w:rsidRDefault="004E4AAB" w:rsidP="0091238A">
      <w:pPr>
        <w:pStyle w:val="Heading6"/>
      </w:pPr>
      <w:r>
        <w:t>Evaluation of response</w:t>
      </w:r>
    </w:p>
    <w:p w:rsidR="006C4441" w:rsidRPr="00605AD4" w:rsidRDefault="006C4441" w:rsidP="006C4441">
      <w:r>
        <w:t xml:space="preserve">The sponsor’s response is satisfactory. Hepatic safety is addressed in </w:t>
      </w:r>
      <w:r w:rsidR="0091238A">
        <w:t>the information provided</w:t>
      </w:r>
      <w:r>
        <w:t>.</w:t>
      </w:r>
    </w:p>
    <w:p w:rsidR="00605AD4" w:rsidRPr="00605AD4" w:rsidRDefault="00605AD4" w:rsidP="00546154">
      <w:pPr>
        <w:pStyle w:val="Heading3"/>
        <w:rPr>
          <w:rFonts w:eastAsia="Cambria"/>
        </w:rPr>
      </w:pPr>
      <w:bookmarkStart w:id="122" w:name="_Toc20133986"/>
      <w:r w:rsidRPr="00605AD4">
        <w:rPr>
          <w:rFonts w:eastAsia="Cambria"/>
        </w:rPr>
        <w:t xml:space="preserve">Second </w:t>
      </w:r>
      <w:r w:rsidR="001E2662" w:rsidRPr="00605AD4">
        <w:rPr>
          <w:rFonts w:eastAsia="Cambria"/>
        </w:rPr>
        <w:t>round benefit-risk assessment</w:t>
      </w:r>
      <w:bookmarkEnd w:id="122"/>
    </w:p>
    <w:p w:rsidR="006C4441" w:rsidRDefault="006C4441" w:rsidP="006C4441">
      <w:pPr>
        <w:pStyle w:val="Heading4"/>
      </w:pPr>
      <w:r>
        <w:t>Second round assessment of benefits</w:t>
      </w:r>
    </w:p>
    <w:p w:rsidR="006C4441" w:rsidRDefault="006C4441" w:rsidP="006C4441">
      <w:r>
        <w:t xml:space="preserve">After consideration to the responses to clinical questions, the benefits of </w:t>
      </w:r>
      <w:r w:rsidR="001B5D97">
        <w:t>Biktarvy</w:t>
      </w:r>
      <w:r>
        <w:t xml:space="preserve"> in the proposed usage are unchanged from those identified in </w:t>
      </w:r>
      <w:r w:rsidR="0091238A">
        <w:t>the first round assessment of benefits.</w:t>
      </w:r>
    </w:p>
    <w:p w:rsidR="006C4441" w:rsidRDefault="006C4441" w:rsidP="006C4441">
      <w:pPr>
        <w:pStyle w:val="Heading4"/>
      </w:pPr>
      <w:r>
        <w:t>Second round assessment of risks</w:t>
      </w:r>
    </w:p>
    <w:p w:rsidR="006C4441" w:rsidRDefault="006C4441" w:rsidP="006C4441">
      <w:r>
        <w:t xml:space="preserve">After consideration to the responses to clinical questions, the risks of </w:t>
      </w:r>
      <w:r w:rsidR="001B5D97">
        <w:t>Biktarvy</w:t>
      </w:r>
      <w:r>
        <w:t xml:space="preserve"> in the proposed usage are unchanged from those identified in </w:t>
      </w:r>
      <w:r w:rsidR="0091238A">
        <w:t>the first round assessment of risks</w:t>
      </w:r>
      <w:r>
        <w:t>.</w:t>
      </w:r>
    </w:p>
    <w:p w:rsidR="006C4441" w:rsidRDefault="006C4441" w:rsidP="006C4441">
      <w:pPr>
        <w:pStyle w:val="Heading4"/>
      </w:pPr>
      <w:r>
        <w:t>Second round assessment of benefit-risk balance</w:t>
      </w:r>
    </w:p>
    <w:p w:rsidR="00605AD4" w:rsidRPr="00605AD4" w:rsidRDefault="006C4441" w:rsidP="006C4441">
      <w:r>
        <w:t xml:space="preserve">The benefit risk balance of </w:t>
      </w:r>
      <w:r w:rsidR="001B5D97">
        <w:t>Biktarvy</w:t>
      </w:r>
      <w:r>
        <w:t xml:space="preserve"> given the proposed usage is a favourable.</w:t>
      </w:r>
    </w:p>
    <w:p w:rsidR="008E7846" w:rsidRPr="00E41208" w:rsidRDefault="008E7846" w:rsidP="00546154">
      <w:pPr>
        <w:pStyle w:val="Heading2"/>
      </w:pPr>
      <w:bookmarkStart w:id="123" w:name="_Toc20133987"/>
      <w:r w:rsidRPr="00E41208">
        <w:t>V</w:t>
      </w:r>
      <w:r w:rsidR="00500337">
        <w:t>I</w:t>
      </w:r>
      <w:r w:rsidRPr="00E41208">
        <w:t xml:space="preserve">. Pharmacovigilance </w:t>
      </w:r>
      <w:r>
        <w:t>f</w:t>
      </w:r>
      <w:r w:rsidRPr="00E41208">
        <w:t>indings</w:t>
      </w:r>
      <w:bookmarkEnd w:id="103"/>
      <w:bookmarkEnd w:id="104"/>
      <w:bookmarkEnd w:id="123"/>
    </w:p>
    <w:p w:rsidR="008E7846" w:rsidRDefault="00386150" w:rsidP="008E7846">
      <w:pPr>
        <w:pStyle w:val="Heading3"/>
        <w:rPr>
          <w:lang w:eastAsia="en-AU"/>
        </w:rPr>
      </w:pPr>
      <w:bookmarkStart w:id="124" w:name="_Toc247691526"/>
      <w:bookmarkStart w:id="125" w:name="_Toc314842509"/>
      <w:bookmarkStart w:id="126" w:name="_Toc20133988"/>
      <w:r>
        <w:rPr>
          <w:lang w:eastAsia="en-AU"/>
        </w:rPr>
        <w:t>Risk m</w:t>
      </w:r>
      <w:r w:rsidR="008E7846">
        <w:rPr>
          <w:lang w:eastAsia="en-AU"/>
        </w:rPr>
        <w:t xml:space="preserve">anagement </w:t>
      </w:r>
      <w:r>
        <w:rPr>
          <w:lang w:eastAsia="en-AU"/>
        </w:rPr>
        <w:t>p</w:t>
      </w:r>
      <w:r w:rsidR="008E7846">
        <w:rPr>
          <w:lang w:eastAsia="en-AU"/>
        </w:rPr>
        <w:t>lan</w:t>
      </w:r>
      <w:bookmarkEnd w:id="124"/>
      <w:bookmarkEnd w:id="125"/>
      <w:bookmarkEnd w:id="126"/>
    </w:p>
    <w:p w:rsidR="002354E9" w:rsidRDefault="002354E9" w:rsidP="002354E9">
      <w:pPr>
        <w:pStyle w:val="Heading4"/>
        <w:rPr>
          <w:lang w:eastAsia="en-AU"/>
        </w:rPr>
      </w:pPr>
      <w:r>
        <w:rPr>
          <w:lang w:eastAsia="en-AU"/>
        </w:rPr>
        <w:t>Summary of RMP evaluation</w:t>
      </w:r>
      <w:r>
        <w:rPr>
          <w:rStyle w:val="FootnoteReference"/>
          <w:lang w:eastAsia="en-AU"/>
        </w:rPr>
        <w:footnoteReference w:id="36"/>
      </w:r>
    </w:p>
    <w:p w:rsidR="002354E9" w:rsidRDefault="00F8234A" w:rsidP="002354E9">
      <w:bookmarkStart w:id="127" w:name="_Toc477354123"/>
      <w:bookmarkStart w:id="128" w:name="_Toc247691527"/>
      <w:bookmarkStart w:id="129" w:name="_Toc314842510"/>
      <w:r>
        <w:t xml:space="preserve">The </w:t>
      </w:r>
      <w:r w:rsidR="004E4AAB">
        <w:t>sponsor</w:t>
      </w:r>
      <w:r>
        <w:t xml:space="preserve"> </w:t>
      </w:r>
      <w:r w:rsidR="002354E9">
        <w:t>has submitted EU-RMP version 0.1 (dated 19 June 2017; DLP 11 May 2017) and ASA version 0.1 (dated June 2017) in support of this application. At Round 2, the sponsor submitted an updated ASA, version 0.2 (dated February 2018).</w:t>
      </w:r>
    </w:p>
    <w:p w:rsidR="002354E9" w:rsidRDefault="002354E9" w:rsidP="002354E9">
      <w:r>
        <w:t xml:space="preserve">The proposed Summary of Safety Concerns and their associated risk monitoring and mitigation strategies are summarised </w:t>
      </w:r>
      <w:r w:rsidR="00CA07F1">
        <w:t>in Table 26</w:t>
      </w:r>
      <w:r w:rsidR="0091238A">
        <w:t>.</w:t>
      </w:r>
    </w:p>
    <w:p w:rsidR="00A43ED0" w:rsidRDefault="00A43ED0" w:rsidP="00A43ED0">
      <w:pPr>
        <w:pStyle w:val="TableTitle"/>
      </w:pPr>
      <w:r>
        <w:lastRenderedPageBreak/>
        <w:t>Table</w:t>
      </w:r>
      <w:r w:rsidR="00CA07F1">
        <w:t xml:space="preserve"> 26</w:t>
      </w:r>
      <w:r w:rsidR="0091238A">
        <w:t>: Summary of safety concerns and risk monit</w:t>
      </w:r>
      <w:r w:rsidR="00CA07F1">
        <w:t>oring and mitigation strategies</w:t>
      </w:r>
    </w:p>
    <w:tbl>
      <w:tblPr>
        <w:tblStyle w:val="TableTGAblue"/>
        <w:tblW w:w="8512" w:type="dxa"/>
        <w:tblLayout w:type="fixed"/>
        <w:tblLook w:val="04A0" w:firstRow="1" w:lastRow="0" w:firstColumn="1" w:lastColumn="0" w:noHBand="0" w:noVBand="1"/>
      </w:tblPr>
      <w:tblGrid>
        <w:gridCol w:w="1951"/>
        <w:gridCol w:w="2835"/>
        <w:gridCol w:w="992"/>
        <w:gridCol w:w="851"/>
        <w:gridCol w:w="941"/>
        <w:gridCol w:w="942"/>
      </w:tblGrid>
      <w:tr w:rsidR="00A43ED0" w:rsidRPr="004F1C07" w:rsidTr="0091238A">
        <w:trPr>
          <w:cnfStyle w:val="100000000000" w:firstRow="1" w:lastRow="0" w:firstColumn="0" w:lastColumn="0" w:oddVBand="0" w:evenVBand="0" w:oddHBand="0" w:evenHBand="0" w:firstRowFirstColumn="0" w:firstRowLastColumn="0" w:lastRowFirstColumn="0" w:lastRowLastColumn="0"/>
          <w:trHeight w:val="128"/>
        </w:trPr>
        <w:tc>
          <w:tcPr>
            <w:tcW w:w="4786" w:type="dxa"/>
            <w:gridSpan w:val="2"/>
            <w:vMerge w:val="restart"/>
          </w:tcPr>
          <w:p w:rsidR="00A43ED0" w:rsidRPr="004F1C07" w:rsidRDefault="00A43ED0" w:rsidP="0091238A">
            <w:pPr>
              <w:ind w:left="0" w:right="0"/>
              <w:rPr>
                <w:b w:val="0"/>
              </w:rPr>
            </w:pPr>
            <w:r w:rsidRPr="004F1C07">
              <w:t>Summary of safety concerns</w:t>
            </w:r>
          </w:p>
        </w:tc>
        <w:tc>
          <w:tcPr>
            <w:tcW w:w="1843" w:type="dxa"/>
            <w:gridSpan w:val="2"/>
          </w:tcPr>
          <w:p w:rsidR="00A43ED0" w:rsidRPr="0011726C" w:rsidRDefault="00A43ED0" w:rsidP="0091238A">
            <w:pPr>
              <w:ind w:left="0" w:right="0"/>
              <w:rPr>
                <w:b w:val="0"/>
                <w:sz w:val="18"/>
              </w:rPr>
            </w:pPr>
            <w:r w:rsidRPr="0011726C">
              <w:rPr>
                <w:sz w:val="18"/>
              </w:rPr>
              <w:t>Pharmacovigilance</w:t>
            </w:r>
          </w:p>
        </w:tc>
        <w:tc>
          <w:tcPr>
            <w:tcW w:w="1883" w:type="dxa"/>
            <w:gridSpan w:val="2"/>
          </w:tcPr>
          <w:p w:rsidR="00A43ED0" w:rsidRPr="0011726C" w:rsidRDefault="00A43ED0" w:rsidP="0091238A">
            <w:pPr>
              <w:ind w:left="0" w:right="0"/>
              <w:rPr>
                <w:b w:val="0"/>
                <w:sz w:val="18"/>
              </w:rPr>
            </w:pPr>
            <w:r w:rsidRPr="0011726C">
              <w:rPr>
                <w:sz w:val="18"/>
              </w:rPr>
              <w:t>Risk Minimisation</w:t>
            </w:r>
          </w:p>
        </w:tc>
      </w:tr>
      <w:tr w:rsidR="00A43ED0" w:rsidRPr="004F1C07" w:rsidTr="0091238A">
        <w:trPr>
          <w:trHeight w:val="147"/>
        </w:trPr>
        <w:tc>
          <w:tcPr>
            <w:tcW w:w="4786" w:type="dxa"/>
            <w:gridSpan w:val="2"/>
            <w:vMerge/>
          </w:tcPr>
          <w:p w:rsidR="00A43ED0" w:rsidRPr="004F1C07" w:rsidRDefault="00A43ED0" w:rsidP="0091238A">
            <w:pPr>
              <w:ind w:left="0" w:right="0"/>
            </w:pPr>
          </w:p>
        </w:tc>
        <w:tc>
          <w:tcPr>
            <w:tcW w:w="992" w:type="dxa"/>
          </w:tcPr>
          <w:p w:rsidR="00A43ED0" w:rsidRPr="0011726C" w:rsidRDefault="00A43ED0" w:rsidP="0091238A">
            <w:pPr>
              <w:ind w:left="0" w:right="0"/>
              <w:rPr>
                <w:sz w:val="18"/>
              </w:rPr>
            </w:pPr>
            <w:r w:rsidRPr="0011726C">
              <w:rPr>
                <w:sz w:val="18"/>
              </w:rPr>
              <w:t>Routine</w:t>
            </w:r>
          </w:p>
        </w:tc>
        <w:tc>
          <w:tcPr>
            <w:tcW w:w="851" w:type="dxa"/>
          </w:tcPr>
          <w:p w:rsidR="00A43ED0" w:rsidRPr="0011726C" w:rsidRDefault="00A43ED0" w:rsidP="0091238A">
            <w:pPr>
              <w:ind w:left="0" w:right="0"/>
              <w:rPr>
                <w:sz w:val="18"/>
              </w:rPr>
            </w:pPr>
            <w:r w:rsidRPr="0011726C">
              <w:rPr>
                <w:sz w:val="18"/>
              </w:rPr>
              <w:t>Additional</w:t>
            </w:r>
          </w:p>
        </w:tc>
        <w:tc>
          <w:tcPr>
            <w:tcW w:w="941" w:type="dxa"/>
          </w:tcPr>
          <w:p w:rsidR="00A43ED0" w:rsidRPr="0011726C" w:rsidRDefault="00A43ED0" w:rsidP="0091238A">
            <w:pPr>
              <w:ind w:left="0" w:right="0"/>
              <w:rPr>
                <w:sz w:val="18"/>
              </w:rPr>
            </w:pPr>
            <w:r w:rsidRPr="0011726C">
              <w:rPr>
                <w:sz w:val="18"/>
              </w:rPr>
              <w:t>Routine</w:t>
            </w:r>
          </w:p>
        </w:tc>
        <w:tc>
          <w:tcPr>
            <w:tcW w:w="942" w:type="dxa"/>
          </w:tcPr>
          <w:p w:rsidR="00A43ED0" w:rsidRPr="0011726C" w:rsidRDefault="00A43ED0" w:rsidP="0091238A">
            <w:pPr>
              <w:ind w:left="0" w:right="0"/>
              <w:rPr>
                <w:sz w:val="18"/>
              </w:rPr>
            </w:pPr>
            <w:r w:rsidRPr="0011726C">
              <w:rPr>
                <w:sz w:val="18"/>
              </w:rPr>
              <w:t>Additional</w:t>
            </w:r>
          </w:p>
        </w:tc>
      </w:tr>
      <w:tr w:rsidR="00A43ED0" w:rsidRPr="004F1C07" w:rsidTr="0091238A">
        <w:trPr>
          <w:trHeight w:val="134"/>
        </w:trPr>
        <w:tc>
          <w:tcPr>
            <w:tcW w:w="1951" w:type="dxa"/>
          </w:tcPr>
          <w:p w:rsidR="00A43ED0" w:rsidRPr="00680101" w:rsidRDefault="00A43ED0" w:rsidP="0091238A">
            <w:pPr>
              <w:ind w:left="0" w:right="0"/>
            </w:pPr>
            <w:r w:rsidRPr="00680101">
              <w:t>Important identified risks</w:t>
            </w:r>
          </w:p>
        </w:tc>
        <w:tc>
          <w:tcPr>
            <w:tcW w:w="2835" w:type="dxa"/>
          </w:tcPr>
          <w:p w:rsidR="00A43ED0" w:rsidRPr="004F1C07" w:rsidRDefault="00A43ED0" w:rsidP="0091238A">
            <w:pPr>
              <w:ind w:left="0" w:right="0"/>
            </w:pPr>
            <w:r>
              <w:t>None</w:t>
            </w:r>
          </w:p>
        </w:tc>
        <w:tc>
          <w:tcPr>
            <w:tcW w:w="992" w:type="dxa"/>
          </w:tcPr>
          <w:p w:rsidR="00A43ED0" w:rsidRPr="007C2660" w:rsidRDefault="00A43ED0" w:rsidP="0091238A">
            <w:pPr>
              <w:ind w:left="0" w:right="0"/>
            </w:pPr>
            <w:r w:rsidRPr="00A436EF">
              <w:t>–</w:t>
            </w:r>
          </w:p>
        </w:tc>
        <w:tc>
          <w:tcPr>
            <w:tcW w:w="851" w:type="dxa"/>
          </w:tcPr>
          <w:p w:rsidR="00A43ED0" w:rsidRPr="007C2660" w:rsidRDefault="00A43ED0" w:rsidP="0091238A">
            <w:pPr>
              <w:ind w:left="0" w:right="0"/>
            </w:pPr>
            <w:r w:rsidRPr="007C2660">
              <w:t>–</w:t>
            </w:r>
          </w:p>
        </w:tc>
        <w:tc>
          <w:tcPr>
            <w:tcW w:w="941" w:type="dxa"/>
          </w:tcPr>
          <w:p w:rsidR="00A43ED0" w:rsidRPr="007C2660" w:rsidRDefault="00A43ED0" w:rsidP="0091238A">
            <w:pPr>
              <w:ind w:left="0" w:right="0"/>
            </w:pPr>
            <w:r w:rsidRPr="00A436EF">
              <w:t>–</w:t>
            </w:r>
          </w:p>
        </w:tc>
        <w:tc>
          <w:tcPr>
            <w:tcW w:w="942" w:type="dxa"/>
          </w:tcPr>
          <w:p w:rsidR="00A43ED0" w:rsidRPr="007C2660" w:rsidRDefault="00A43ED0" w:rsidP="0091238A">
            <w:pPr>
              <w:ind w:left="0" w:right="0"/>
            </w:pPr>
            <w:r w:rsidRPr="00A436EF">
              <w:t>–</w:t>
            </w:r>
          </w:p>
        </w:tc>
      </w:tr>
      <w:tr w:rsidR="00A43ED0" w:rsidRPr="004F1C07" w:rsidTr="0091238A">
        <w:trPr>
          <w:trHeight w:val="156"/>
        </w:trPr>
        <w:tc>
          <w:tcPr>
            <w:tcW w:w="1951" w:type="dxa"/>
          </w:tcPr>
          <w:p w:rsidR="00A43ED0" w:rsidRPr="00680101" w:rsidRDefault="00A43ED0" w:rsidP="0091238A">
            <w:pPr>
              <w:ind w:left="0" w:right="0"/>
            </w:pPr>
            <w:r w:rsidRPr="00680101">
              <w:t>Important potential risks</w:t>
            </w:r>
          </w:p>
        </w:tc>
        <w:tc>
          <w:tcPr>
            <w:tcW w:w="2835" w:type="dxa"/>
          </w:tcPr>
          <w:p w:rsidR="00A43ED0" w:rsidRPr="004255BD" w:rsidRDefault="00A43ED0" w:rsidP="0091238A">
            <w:pPr>
              <w:ind w:left="0" w:right="0"/>
            </w:pPr>
            <w:r w:rsidRPr="004255BD">
              <w:rPr>
                <w:rFonts w:eastAsia="Times New Roman"/>
                <w:snapToGrid w:val="0"/>
                <w:kern w:val="16"/>
                <w:sz w:val="20"/>
                <w:szCs w:val="24"/>
              </w:rPr>
              <w:t xml:space="preserve">Suicidal ideation/suicide attempt in patients with a pre-existing history of </w:t>
            </w:r>
            <w:r w:rsidRPr="004255BD">
              <w:rPr>
                <w:rFonts w:eastAsia="Times New Roman"/>
                <w:sz w:val="20"/>
                <w:szCs w:val="24"/>
              </w:rPr>
              <w:t>depression or psychiatric illness</w:t>
            </w:r>
          </w:p>
        </w:tc>
        <w:tc>
          <w:tcPr>
            <w:tcW w:w="992" w:type="dxa"/>
          </w:tcPr>
          <w:p w:rsidR="00A43ED0" w:rsidRPr="004255BD" w:rsidRDefault="00A43ED0" w:rsidP="0091238A">
            <w:pPr>
              <w:ind w:left="0" w:right="0"/>
            </w:pPr>
            <w:r w:rsidRPr="004255BD">
              <w:sym w:font="Wingdings" w:char="F0FC"/>
            </w:r>
          </w:p>
        </w:tc>
        <w:tc>
          <w:tcPr>
            <w:tcW w:w="851" w:type="dxa"/>
          </w:tcPr>
          <w:p w:rsidR="00A43ED0" w:rsidRPr="004255BD" w:rsidRDefault="00A43ED0" w:rsidP="0091238A">
            <w:pPr>
              <w:ind w:left="0" w:right="0"/>
            </w:pPr>
            <w:r w:rsidRPr="004255BD">
              <w:t>–</w:t>
            </w:r>
          </w:p>
        </w:tc>
        <w:tc>
          <w:tcPr>
            <w:tcW w:w="941" w:type="dxa"/>
          </w:tcPr>
          <w:p w:rsidR="00A43ED0" w:rsidRPr="00A436EF" w:rsidRDefault="00A43ED0" w:rsidP="0091238A">
            <w:pPr>
              <w:ind w:left="0" w:right="0"/>
            </w:pPr>
            <w:r w:rsidRPr="004255BD">
              <w:t>–</w:t>
            </w:r>
          </w:p>
        </w:tc>
        <w:tc>
          <w:tcPr>
            <w:tcW w:w="942" w:type="dxa"/>
          </w:tcPr>
          <w:p w:rsidR="00A43ED0" w:rsidRPr="00A436EF" w:rsidRDefault="00A43ED0" w:rsidP="0091238A">
            <w:pPr>
              <w:ind w:left="0" w:right="0"/>
            </w:pPr>
            <w:r w:rsidRPr="00A436EF">
              <w:t>–</w:t>
            </w:r>
          </w:p>
        </w:tc>
      </w:tr>
      <w:tr w:rsidR="00A43ED0" w:rsidRPr="004F1C07" w:rsidTr="0091238A">
        <w:trPr>
          <w:trHeight w:val="174"/>
        </w:trPr>
        <w:tc>
          <w:tcPr>
            <w:tcW w:w="1951" w:type="dxa"/>
            <w:vMerge w:val="restart"/>
          </w:tcPr>
          <w:p w:rsidR="00A43ED0" w:rsidRPr="00680101" w:rsidRDefault="00A43ED0" w:rsidP="0091238A">
            <w:pPr>
              <w:ind w:left="0" w:right="0"/>
            </w:pPr>
            <w:r w:rsidRPr="00680101">
              <w:t>Missing information</w:t>
            </w:r>
          </w:p>
        </w:tc>
        <w:tc>
          <w:tcPr>
            <w:tcW w:w="2835" w:type="dxa"/>
          </w:tcPr>
          <w:p w:rsidR="00A43ED0" w:rsidRPr="004255BD" w:rsidRDefault="00A43ED0" w:rsidP="0091238A">
            <w:pPr>
              <w:ind w:left="0" w:right="0"/>
              <w:rPr>
                <w:rFonts w:eastAsia="Times New Roman"/>
                <w:snapToGrid w:val="0"/>
                <w:kern w:val="16"/>
                <w:sz w:val="20"/>
                <w:szCs w:val="24"/>
              </w:rPr>
            </w:pPr>
            <w:r w:rsidRPr="004255BD">
              <w:rPr>
                <w:rFonts w:eastAsia="Times New Roman"/>
                <w:snapToGrid w:val="0"/>
                <w:kern w:val="16"/>
                <w:sz w:val="20"/>
                <w:szCs w:val="24"/>
              </w:rPr>
              <w:t>Long term safety information</w:t>
            </w:r>
          </w:p>
        </w:tc>
        <w:tc>
          <w:tcPr>
            <w:tcW w:w="992" w:type="dxa"/>
          </w:tcPr>
          <w:p w:rsidR="00A43ED0" w:rsidRPr="004255BD" w:rsidRDefault="00A43ED0" w:rsidP="0091238A">
            <w:pPr>
              <w:ind w:left="0" w:right="0"/>
            </w:pPr>
            <w:r w:rsidRPr="004255BD">
              <w:sym w:font="Wingdings" w:char="F0FC"/>
            </w:r>
          </w:p>
        </w:tc>
        <w:tc>
          <w:tcPr>
            <w:tcW w:w="851" w:type="dxa"/>
          </w:tcPr>
          <w:p w:rsidR="00A43ED0" w:rsidRPr="004255BD" w:rsidRDefault="00A43ED0" w:rsidP="0091238A">
            <w:pPr>
              <w:ind w:left="0" w:right="0"/>
            </w:pPr>
            <w:r w:rsidRPr="004255BD">
              <w:sym w:font="Wingdings" w:char="F0FC"/>
            </w:r>
          </w:p>
        </w:tc>
        <w:tc>
          <w:tcPr>
            <w:tcW w:w="941" w:type="dxa"/>
          </w:tcPr>
          <w:p w:rsidR="00A43ED0" w:rsidRPr="007C2660" w:rsidRDefault="00A43ED0" w:rsidP="0091238A">
            <w:pPr>
              <w:ind w:left="0" w:right="0"/>
            </w:pPr>
            <w:r w:rsidRPr="004255BD">
              <w:t>–</w:t>
            </w:r>
          </w:p>
        </w:tc>
        <w:tc>
          <w:tcPr>
            <w:tcW w:w="942" w:type="dxa"/>
          </w:tcPr>
          <w:p w:rsidR="00A43ED0" w:rsidRPr="007C2660" w:rsidRDefault="00A43ED0" w:rsidP="0091238A">
            <w:pPr>
              <w:ind w:left="0" w:right="0"/>
            </w:pPr>
            <w:r w:rsidRPr="007C2660">
              <w:t>–</w:t>
            </w:r>
          </w:p>
        </w:tc>
      </w:tr>
      <w:tr w:rsidR="00A43ED0" w:rsidRPr="004F1C07" w:rsidTr="0091238A">
        <w:trPr>
          <w:trHeight w:val="137"/>
        </w:trPr>
        <w:tc>
          <w:tcPr>
            <w:tcW w:w="1951" w:type="dxa"/>
            <w:vMerge/>
          </w:tcPr>
          <w:p w:rsidR="00A43ED0" w:rsidRPr="004F1C07" w:rsidRDefault="00A43ED0" w:rsidP="0091238A">
            <w:pPr>
              <w:ind w:left="0" w:right="0"/>
            </w:pPr>
          </w:p>
        </w:tc>
        <w:tc>
          <w:tcPr>
            <w:tcW w:w="2835" w:type="dxa"/>
          </w:tcPr>
          <w:p w:rsidR="00A43ED0" w:rsidRPr="004F1C07" w:rsidRDefault="00A43ED0" w:rsidP="0091238A">
            <w:pPr>
              <w:ind w:left="0" w:right="0"/>
            </w:pPr>
            <w:r w:rsidRPr="004255BD">
              <w:t>Safety in pregnancy and lactation</w:t>
            </w:r>
          </w:p>
        </w:tc>
        <w:tc>
          <w:tcPr>
            <w:tcW w:w="992" w:type="dxa"/>
          </w:tcPr>
          <w:p w:rsidR="00A43ED0" w:rsidRPr="007C2660" w:rsidRDefault="00A43ED0" w:rsidP="0091238A">
            <w:pPr>
              <w:ind w:left="0" w:right="0"/>
            </w:pPr>
            <w:r w:rsidRPr="007C2660">
              <w:sym w:font="Wingdings" w:char="F0FC"/>
            </w:r>
          </w:p>
        </w:tc>
        <w:tc>
          <w:tcPr>
            <w:tcW w:w="851" w:type="dxa"/>
          </w:tcPr>
          <w:p w:rsidR="00A43ED0" w:rsidRPr="007C2660" w:rsidRDefault="00A43ED0" w:rsidP="0091238A">
            <w:pPr>
              <w:ind w:left="0" w:right="0"/>
            </w:pPr>
            <w:r w:rsidRPr="007C2660">
              <w:sym w:font="Wingdings" w:char="F0FC"/>
            </w:r>
          </w:p>
        </w:tc>
        <w:tc>
          <w:tcPr>
            <w:tcW w:w="941" w:type="dxa"/>
          </w:tcPr>
          <w:p w:rsidR="00A43ED0" w:rsidRPr="007C2660" w:rsidRDefault="00A43ED0" w:rsidP="0091238A">
            <w:pPr>
              <w:ind w:left="0" w:right="0"/>
            </w:pPr>
            <w:r w:rsidRPr="007C2660">
              <w:sym w:font="Wingdings" w:char="F0FC"/>
            </w:r>
          </w:p>
        </w:tc>
        <w:tc>
          <w:tcPr>
            <w:tcW w:w="942" w:type="dxa"/>
          </w:tcPr>
          <w:p w:rsidR="00A43ED0" w:rsidRPr="007C2660" w:rsidRDefault="00A43ED0" w:rsidP="0091238A">
            <w:pPr>
              <w:ind w:left="0" w:right="0"/>
            </w:pPr>
            <w:r w:rsidRPr="007C2660">
              <w:t>–</w:t>
            </w:r>
          </w:p>
        </w:tc>
      </w:tr>
    </w:tbl>
    <w:p w:rsidR="002354E9" w:rsidRDefault="002354E9" w:rsidP="002354E9">
      <w:r>
        <w:t>Additional pharmacovigilance activities consist of:</w:t>
      </w:r>
    </w:p>
    <w:p w:rsidR="002354E9" w:rsidRDefault="00980A20" w:rsidP="0091238A">
      <w:pPr>
        <w:pStyle w:val="ListBullet"/>
      </w:pPr>
      <w:r>
        <w:t xml:space="preserve">Studies </w:t>
      </w:r>
      <w:r w:rsidR="002354E9">
        <w:t>GS-US-380-1489 and GS-US-380-1490, to be finalised in Q2 2020, to evaluate the efficacy, safety, and tolerability of B/F/TAF through to 144 weeks against different comparator regimens. Study GS-US-380-1490 includes Australian subjects. This is acceptable.</w:t>
      </w:r>
    </w:p>
    <w:p w:rsidR="002354E9" w:rsidRDefault="002354E9" w:rsidP="0091238A">
      <w:pPr>
        <w:pStyle w:val="ListBullet"/>
      </w:pPr>
      <w:r>
        <w:t>Antiretroviral pregnancy registry, to collect information on the risk of birth defects with antiretroviral drugs, including B/F/TAF, to which pregnant women are exposed. Reporting will be in PSURs. This is acceptable.</w:t>
      </w:r>
    </w:p>
    <w:p w:rsidR="002354E9" w:rsidRDefault="002354E9" w:rsidP="002354E9">
      <w:r>
        <w:t>Routine risk minimisation activities have bee</w:t>
      </w:r>
      <w:r w:rsidR="0091238A">
        <w:t>n proposed. This is acceptable.</w:t>
      </w:r>
    </w:p>
    <w:p w:rsidR="00456765" w:rsidRDefault="00456765" w:rsidP="00456765">
      <w:pPr>
        <w:pStyle w:val="Heading4"/>
      </w:pPr>
      <w:r>
        <w:t>New and outstanding recommendations from second round evaluation</w:t>
      </w:r>
      <w:bookmarkEnd w:id="127"/>
    </w:p>
    <w:p w:rsidR="002354E9" w:rsidRDefault="002354E9" w:rsidP="002354E9">
      <w:pPr>
        <w:pStyle w:val="ListBullet"/>
      </w:pPr>
      <w:r>
        <w:t xml:space="preserve">The recommendations made in the </w:t>
      </w:r>
      <w:r w:rsidR="0091238A">
        <w:t xml:space="preserve">first round </w:t>
      </w:r>
      <w:r>
        <w:t xml:space="preserve">evaluation, along with consideration of the </w:t>
      </w:r>
      <w:r w:rsidR="004E4AAB">
        <w:t>sponsor’s</w:t>
      </w:r>
      <w:r>
        <w:t xml:space="preserve"> response, </w:t>
      </w:r>
      <w:r w:rsidR="003C7581">
        <w:t>was</w:t>
      </w:r>
      <w:r>
        <w:t xml:space="preserve"> </w:t>
      </w:r>
      <w:r w:rsidR="0091238A">
        <w:t>provided</w:t>
      </w:r>
      <w:r>
        <w:t xml:space="preserve"> </w:t>
      </w:r>
      <w:r w:rsidR="003C7581">
        <w:t>[</w:t>
      </w:r>
      <w:r w:rsidR="0091238A">
        <w:t>not included in this AusPAR</w:t>
      </w:r>
      <w:r w:rsidR="003C7581">
        <w:t>]</w:t>
      </w:r>
      <w:r w:rsidR="0091238A">
        <w:t xml:space="preserve"> </w:t>
      </w:r>
      <w:r>
        <w:t>(recommendations 1 to 10).</w:t>
      </w:r>
    </w:p>
    <w:p w:rsidR="00456765" w:rsidRDefault="002354E9" w:rsidP="002354E9">
      <w:pPr>
        <w:pStyle w:val="ListBullet"/>
      </w:pPr>
      <w:r>
        <w:t>There are no outstanding RMP issues.</w:t>
      </w:r>
    </w:p>
    <w:p w:rsidR="00456765" w:rsidRPr="00BB4B51" w:rsidRDefault="00456765" w:rsidP="00456765">
      <w:pPr>
        <w:pStyle w:val="Heading4"/>
      </w:pPr>
      <w:bookmarkStart w:id="130" w:name="_Toc477354124"/>
      <w:r>
        <w:t>Proposed wording for conditions of registration</w:t>
      </w:r>
      <w:bookmarkEnd w:id="130"/>
    </w:p>
    <w:p w:rsidR="002354E9" w:rsidRDefault="002354E9" w:rsidP="002354E9">
      <w:r>
        <w:t>Any changes to which the sponsor has agreed should be included in a revised RMP and ASA. However, irrespective of whether or not they are included in the currently available version of the RMP document, the agreed changes become part of the risk management system.</w:t>
      </w:r>
    </w:p>
    <w:p w:rsidR="002354E9" w:rsidRDefault="00080EC5" w:rsidP="002354E9">
      <w:r>
        <w:t>The suggested wording is:</w:t>
      </w:r>
    </w:p>
    <w:p w:rsidR="002354E9" w:rsidRPr="00080EC5" w:rsidRDefault="002354E9" w:rsidP="002354E9">
      <w:pPr>
        <w:ind w:left="720"/>
      </w:pPr>
      <w:r w:rsidRPr="00080EC5">
        <w:t xml:space="preserve">The </w:t>
      </w:r>
      <w:r w:rsidR="001B5D97" w:rsidRPr="00080EC5">
        <w:t>Biktarvy</w:t>
      </w:r>
      <w:r w:rsidRPr="00080EC5">
        <w:t xml:space="preserve"> EU-Risk Management Plan (RMP) (version 0.1, dated 10 June 2017, data lock point 11 May 2017), with Australian Specific Annex (version 0.2, dated February 2018), included with submission PM-2017-02454-1-2, and any subsequent revisions, as agreed with the TGA will be implemented in Australia.</w:t>
      </w:r>
    </w:p>
    <w:p w:rsidR="002354E9" w:rsidRDefault="002354E9" w:rsidP="002354E9">
      <w:r>
        <w:t>The following wording is recommended for the PSUR requirement:</w:t>
      </w:r>
    </w:p>
    <w:p w:rsidR="002354E9" w:rsidRPr="00080EC5" w:rsidRDefault="002354E9" w:rsidP="002354E9">
      <w:pPr>
        <w:ind w:left="720"/>
      </w:pPr>
      <w:r w:rsidRPr="00080EC5">
        <w:lastRenderedPageBreak/>
        <w:t>An obligatory component of risk management plans is routine pharmacovigilance. Routine pharmacovigilance includes the submission of Periodic Safety Update Reports (PSURs).</w:t>
      </w:r>
    </w:p>
    <w:p w:rsidR="002354E9" w:rsidRPr="00080EC5" w:rsidRDefault="002354E9" w:rsidP="002354E9">
      <w:pPr>
        <w:ind w:left="720"/>
      </w:pPr>
      <w:r w:rsidRPr="00080EC5">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rsidR="002354E9" w:rsidRPr="00080EC5" w:rsidRDefault="002354E9" w:rsidP="002354E9">
      <w:pPr>
        <w:ind w:left="720"/>
      </w:pPr>
      <w:r w:rsidRPr="00080EC5">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rsidR="002354E9" w:rsidRDefault="002354E9" w:rsidP="002354E9">
      <w:r>
        <w:t xml:space="preserve">As </w:t>
      </w:r>
      <w:r w:rsidR="001B5D97">
        <w:t>Biktarvy</w:t>
      </w:r>
      <w:r>
        <w:t xml:space="preserve"> contains a new chemical entity it should be included in the Black Triangle Scheme as a condition of registration. The following wording is recommended for</w:t>
      </w:r>
      <w:r w:rsidR="00080EC5">
        <w:t xml:space="preserve"> the condition of registration:</w:t>
      </w:r>
    </w:p>
    <w:p w:rsidR="00456765" w:rsidRPr="00080EC5" w:rsidRDefault="00251457" w:rsidP="002354E9">
      <w:pPr>
        <w:ind w:left="720"/>
      </w:pPr>
      <w:r>
        <w:t>‘</w:t>
      </w:r>
      <w:r w:rsidR="002354E9" w:rsidRPr="00080EC5">
        <w:t>Biktarvy (</w:t>
      </w:r>
      <w:r w:rsidRPr="00080EC5">
        <w:t>bictegravir / emtricitabine / tenofovir alafenamide fumarate</w:t>
      </w:r>
      <w:r w:rsidR="002354E9" w:rsidRPr="00080EC5">
        <w:t>) is to be included in the Black Triangle Scheme. The PI and CMI for Biktarvy must include the black triangle symbol and mandatory accompanying text for five years, which starts from the date that the sponsor notifies the TGA of supply of the product.</w:t>
      </w:r>
    </w:p>
    <w:p w:rsidR="008E7846" w:rsidRPr="00792A32" w:rsidRDefault="008E7846" w:rsidP="008E7846">
      <w:pPr>
        <w:pStyle w:val="Heading2"/>
      </w:pPr>
      <w:bookmarkStart w:id="131" w:name="_Toc20133989"/>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5"/>
      <w:bookmarkEnd w:id="128"/>
      <w:bookmarkEnd w:id="129"/>
      <w:bookmarkEnd w:id="131"/>
    </w:p>
    <w:p w:rsidR="008E7846" w:rsidRDefault="008E7846" w:rsidP="008E7846">
      <w:bookmarkStart w:id="132" w:name="_Toc247691528"/>
      <w:r>
        <w:t xml:space="preserve">The submission was summarised in the following </w:t>
      </w:r>
      <w:r w:rsidRPr="00EF5C48">
        <w:t xml:space="preserve">Delegate’s </w:t>
      </w:r>
      <w:r>
        <w:t>overview</w:t>
      </w:r>
      <w:r w:rsidRPr="00EF5C48">
        <w:t xml:space="preserve"> and recommendation</w:t>
      </w:r>
      <w:r w:rsidR="004E4AAB">
        <w:t>s.</w:t>
      </w:r>
    </w:p>
    <w:p w:rsidR="00071C78" w:rsidRDefault="00071C78" w:rsidP="008E7846">
      <w:pPr>
        <w:pStyle w:val="Heading3"/>
      </w:pPr>
      <w:bookmarkStart w:id="133" w:name="_Toc20133990"/>
      <w:bookmarkStart w:id="134" w:name="_Toc314842511"/>
      <w:r>
        <w:t>Introduction</w:t>
      </w:r>
      <w:bookmarkEnd w:id="133"/>
    </w:p>
    <w:p w:rsidR="00071C78" w:rsidRPr="00071C78" w:rsidRDefault="00071C78" w:rsidP="00071C78">
      <w:r>
        <w:t xml:space="preserve">This is a submission to register a </w:t>
      </w:r>
      <w:r w:rsidR="003C7581">
        <w:t xml:space="preserve">fixed dose combination </w:t>
      </w:r>
      <w:r w:rsidRPr="00071C78">
        <w:t xml:space="preserve">(FDC) product </w:t>
      </w:r>
      <w:r w:rsidR="001B5D97">
        <w:t>Biktarvy</w:t>
      </w:r>
      <w:r w:rsidRPr="00071C78">
        <w:t xml:space="preserve"> as an oral tablet cont</w:t>
      </w:r>
      <w:r w:rsidR="00F12518">
        <w:t>aining 3 active ingredients that is,</w:t>
      </w:r>
      <w:r w:rsidRPr="00071C78">
        <w:t xml:space="preserve"> bictegravir (BIC or B or GS-9883) which is </w:t>
      </w:r>
      <w:r w:rsidR="00251457">
        <w:t>a new chemical entity</w:t>
      </w:r>
      <w:r w:rsidRPr="00071C78">
        <w:t xml:space="preserve"> and 2 active ingredients t</w:t>
      </w:r>
      <w:r w:rsidR="00F12518">
        <w:t>hat are already on the ARTG that is,</w:t>
      </w:r>
      <w:r w:rsidRPr="00071C78">
        <w:t xml:space="preserve"> emtricitabine (FTC or F) and te</w:t>
      </w:r>
      <w:r w:rsidR="00080EC5">
        <w:t>nofovir alafenamide (TAF or T).</w:t>
      </w:r>
    </w:p>
    <w:p w:rsidR="00071C78" w:rsidRPr="00071C78" w:rsidRDefault="00071C78" w:rsidP="00071C78">
      <w:r w:rsidRPr="00071C78">
        <w:t xml:space="preserve">Bictegravir is a novel </w:t>
      </w:r>
      <w:r w:rsidR="00EE7971">
        <w:t>INSTI</w:t>
      </w:r>
      <w:r w:rsidRPr="00071C78">
        <w:t xml:space="preserve">. Emtricitabine and tenofovir alafenamide are nucleoside analogue reverse transcriptase inhibitors (NRTI) that are commonly used as backbone in combination antiretroviral therapy (ART) in </w:t>
      </w:r>
      <w:r w:rsidR="00080EC5">
        <w:t>treatment-naïve HIV-1 patients.</w:t>
      </w:r>
    </w:p>
    <w:p w:rsidR="00071C78" w:rsidRDefault="00071C78" w:rsidP="00071C78">
      <w:r w:rsidRPr="00071C78">
        <w:t xml:space="preserve">The indications proposed by the </w:t>
      </w:r>
      <w:r w:rsidR="004E4AAB">
        <w:t>sponsor</w:t>
      </w:r>
      <w:r w:rsidRPr="00071C78">
        <w:t xml:space="preserve"> at the time of submission were as follows:</w:t>
      </w:r>
    </w:p>
    <w:p w:rsidR="00071C78" w:rsidRPr="00071C78" w:rsidRDefault="00071C78" w:rsidP="00071C78">
      <w:pPr>
        <w:ind w:left="720"/>
        <w:rPr>
          <w:i/>
        </w:rPr>
      </w:pPr>
      <w:r w:rsidRPr="00071C78">
        <w:rPr>
          <w:i/>
        </w:rPr>
        <w:t xml:space="preserve">Biktarvy is for the treatment of HIV-1 infection in adults without any known mutations associated with resistance to the individual </w:t>
      </w:r>
      <w:r w:rsidR="00080EC5" w:rsidRPr="00071C78">
        <w:rPr>
          <w:i/>
        </w:rPr>
        <w:t>components</w:t>
      </w:r>
      <w:r w:rsidRPr="00071C78">
        <w:rPr>
          <w:i/>
        </w:rPr>
        <w:t xml:space="preserve"> of Biktarvy</w:t>
      </w:r>
    </w:p>
    <w:p w:rsidR="00071C78" w:rsidRDefault="00071C78" w:rsidP="00071C78">
      <w:pPr>
        <w:ind w:left="720"/>
        <w:rPr>
          <w:i/>
        </w:rPr>
      </w:pPr>
      <w:r w:rsidRPr="00071C78">
        <w:rPr>
          <w:i/>
        </w:rPr>
        <w:t>Biktarvy is also indicated for the treatment of chronic hepatitis B in adults co-infected with HIV-1</w:t>
      </w:r>
    </w:p>
    <w:p w:rsidR="00071C78" w:rsidRDefault="00071C78" w:rsidP="00071C78">
      <w:r>
        <w:t xml:space="preserve">Following review of data, the revised indication agreed by the </w:t>
      </w:r>
      <w:r w:rsidR="00080EC5">
        <w:t>s</w:t>
      </w:r>
      <w:r>
        <w:t xml:space="preserve">ponsor at the end of </w:t>
      </w:r>
      <w:r w:rsidR="00080EC5">
        <w:t>the second round evaluation</w:t>
      </w:r>
      <w:r>
        <w:t>, is as follows:</w:t>
      </w:r>
    </w:p>
    <w:p w:rsidR="00071C78" w:rsidRDefault="00071C78" w:rsidP="00071C78">
      <w:pPr>
        <w:ind w:left="720"/>
      </w:pPr>
      <w:r w:rsidRPr="00071C78">
        <w:rPr>
          <w:i/>
        </w:rPr>
        <w:lastRenderedPageBreak/>
        <w:t>Biktarvy is for the</w:t>
      </w:r>
      <w:r>
        <w:rPr>
          <w:i/>
        </w:rPr>
        <w:t xml:space="preserve"> treatment of HIV-1 infection in adults who are </w:t>
      </w:r>
      <w:r w:rsidR="00850938">
        <w:rPr>
          <w:i/>
        </w:rPr>
        <w:t>ART naïve</w:t>
      </w:r>
      <w:r>
        <w:rPr>
          <w:i/>
        </w:rPr>
        <w:t xml:space="preserve"> or virologically suppressed without any known mutations associated with resistance to the individual components of </w:t>
      </w:r>
      <w:r w:rsidRPr="00071C78">
        <w:rPr>
          <w:i/>
        </w:rPr>
        <w:t>Biktarvy</w:t>
      </w:r>
      <w:r>
        <w:rPr>
          <w:i/>
        </w:rPr>
        <w:t>.</w:t>
      </w:r>
    </w:p>
    <w:p w:rsidR="00071C78" w:rsidRDefault="00071C78" w:rsidP="00071C78">
      <w:pPr>
        <w:pStyle w:val="Default"/>
        <w:rPr>
          <w:sz w:val="22"/>
          <w:szCs w:val="22"/>
        </w:rPr>
      </w:pPr>
      <w:r>
        <w:rPr>
          <w:sz w:val="22"/>
          <w:szCs w:val="22"/>
        </w:rPr>
        <w:t>The proposed dose is one tablet (B/F/T</w:t>
      </w:r>
      <w:r w:rsidR="00F364C7">
        <w:rPr>
          <w:sz w:val="22"/>
          <w:szCs w:val="22"/>
        </w:rPr>
        <w:t>AF</w:t>
      </w:r>
      <w:r>
        <w:rPr>
          <w:sz w:val="22"/>
          <w:szCs w:val="22"/>
        </w:rPr>
        <w:t xml:space="preserve"> 50/200/25</w:t>
      </w:r>
      <w:r w:rsidR="00F03708">
        <w:rPr>
          <w:sz w:val="22"/>
          <w:szCs w:val="22"/>
        </w:rPr>
        <w:t xml:space="preserve"> mg</w:t>
      </w:r>
      <w:r>
        <w:rPr>
          <w:sz w:val="22"/>
          <w:szCs w:val="22"/>
        </w:rPr>
        <w:t xml:space="preserve">) daily with or without food. It is not recommended in patients with </w:t>
      </w:r>
      <w:r w:rsidR="00080EC5" w:rsidRPr="00080EC5">
        <w:rPr>
          <w:sz w:val="22"/>
          <w:szCs w:val="22"/>
        </w:rPr>
        <w:t xml:space="preserve">creatinine clearance </w:t>
      </w:r>
      <w:r>
        <w:rPr>
          <w:sz w:val="22"/>
          <w:szCs w:val="22"/>
        </w:rPr>
        <w:t>below 3</w:t>
      </w:r>
      <w:r w:rsidR="00F03708">
        <w:rPr>
          <w:sz w:val="22"/>
          <w:szCs w:val="22"/>
        </w:rPr>
        <w:t xml:space="preserve"> </w:t>
      </w:r>
      <w:r>
        <w:rPr>
          <w:sz w:val="22"/>
          <w:szCs w:val="22"/>
        </w:rPr>
        <w:t>0mL/min and in patients with severe he</w:t>
      </w:r>
      <w:r w:rsidR="00080EC5">
        <w:rPr>
          <w:sz w:val="22"/>
          <w:szCs w:val="22"/>
        </w:rPr>
        <w:t>patic impairment (C</w:t>
      </w:r>
      <w:r w:rsidR="00F03708">
        <w:rPr>
          <w:sz w:val="22"/>
          <w:szCs w:val="22"/>
        </w:rPr>
        <w:t>hild</w:t>
      </w:r>
      <w:r w:rsidR="00080EC5">
        <w:rPr>
          <w:sz w:val="22"/>
          <w:szCs w:val="22"/>
        </w:rPr>
        <w:t>-P</w:t>
      </w:r>
      <w:r w:rsidR="00F03708">
        <w:rPr>
          <w:sz w:val="22"/>
          <w:szCs w:val="22"/>
        </w:rPr>
        <w:t>ugh</w:t>
      </w:r>
      <w:r w:rsidR="00080EC5">
        <w:rPr>
          <w:sz w:val="22"/>
          <w:szCs w:val="22"/>
        </w:rPr>
        <w:t xml:space="preserve"> </w:t>
      </w:r>
      <w:r w:rsidR="00F03708">
        <w:rPr>
          <w:sz w:val="22"/>
          <w:szCs w:val="22"/>
        </w:rPr>
        <w:t>c</w:t>
      </w:r>
      <w:r w:rsidR="00080EC5">
        <w:rPr>
          <w:sz w:val="22"/>
          <w:szCs w:val="22"/>
        </w:rPr>
        <w:t>lass C).</w:t>
      </w:r>
    </w:p>
    <w:p w:rsidR="00071C78" w:rsidRPr="00071C78" w:rsidRDefault="00071C78" w:rsidP="00071C78">
      <w:r>
        <w:t>Note</w:t>
      </w:r>
      <w:r w:rsidR="00080EC5">
        <w:t>:</w:t>
      </w:r>
      <w:r>
        <w:t xml:space="preserve"> FTC/TAF combination is marketed by </w:t>
      </w:r>
      <w:r w:rsidR="00F8234A">
        <w:t>the sponsor</w:t>
      </w:r>
      <w:r>
        <w:t xml:space="preserve"> as </w:t>
      </w:r>
      <w:r w:rsidR="00F03708">
        <w:t xml:space="preserve">Descovy </w:t>
      </w:r>
      <w:r>
        <w:t>(200/25</w:t>
      </w:r>
      <w:r w:rsidR="00F03708">
        <w:t> mg</w:t>
      </w:r>
      <w:r>
        <w:t xml:space="preserve"> and 200/10</w:t>
      </w:r>
      <w:r w:rsidR="00F03708">
        <w:t xml:space="preserve"> mg</w:t>
      </w:r>
      <w:r>
        <w:t>). TAF alone (</w:t>
      </w:r>
      <w:r w:rsidR="00F03708">
        <w:t xml:space="preserve">Vemlidy </w:t>
      </w:r>
      <w:r w:rsidR="00782831">
        <w:t>25 mg</w:t>
      </w:r>
      <w:r>
        <w:t xml:space="preserve">) is marketed for the treatment of chronic HBV infection only by the same sponsor. TAF is </w:t>
      </w:r>
      <w:r w:rsidR="00F03708">
        <w:t>second g</w:t>
      </w:r>
      <w:r>
        <w:t xml:space="preserve">eneration to the earlier tenofovir disoproxil fumarate (TDF) and is also a component in the registered products </w:t>
      </w:r>
      <w:r w:rsidR="00F03708">
        <w:t xml:space="preserve">Genvoya </w:t>
      </w:r>
      <w:r>
        <w:t>(FTC/elvitegravir/cobicistat/TAF 200/150/150/10</w:t>
      </w:r>
      <w:r w:rsidR="00F03708">
        <w:t xml:space="preserve"> mg</w:t>
      </w:r>
      <w:r>
        <w:t>) and O</w:t>
      </w:r>
      <w:r w:rsidR="00F03708">
        <w:t>defsey</w:t>
      </w:r>
      <w:r>
        <w:t xml:space="preserve"> (FTC/rilpivirine/TAF 200/25/25</w:t>
      </w:r>
      <w:r w:rsidR="00F03708">
        <w:t xml:space="preserve"> mg</w:t>
      </w:r>
      <w:r>
        <w:t>).</w:t>
      </w:r>
    </w:p>
    <w:p w:rsidR="008E7846" w:rsidRDefault="008E7846" w:rsidP="008E7846">
      <w:pPr>
        <w:pStyle w:val="Heading3"/>
      </w:pPr>
      <w:bookmarkStart w:id="135" w:name="_Toc20133991"/>
      <w:r>
        <w:t>Quality</w:t>
      </w:r>
      <w:bookmarkEnd w:id="132"/>
      <w:bookmarkEnd w:id="134"/>
      <w:bookmarkEnd w:id="135"/>
    </w:p>
    <w:p w:rsidR="00071C78" w:rsidRPr="006E1E5C" w:rsidRDefault="006E1E5C" w:rsidP="006E1E5C">
      <w:r w:rsidRPr="006E1E5C">
        <w:t xml:space="preserve">The Phase </w:t>
      </w:r>
      <w:r w:rsidR="009D7B64">
        <w:t>III</w:t>
      </w:r>
      <w:r w:rsidRPr="006E1E5C">
        <w:t xml:space="preserve"> clinical trial formulation was not used in any pharmaceutical study, although the 50/200/25</w:t>
      </w:r>
      <w:r w:rsidR="00F03708">
        <w:t xml:space="preserve"> mg</w:t>
      </w:r>
      <w:r w:rsidRPr="006E1E5C">
        <w:t xml:space="preserve"> co</w:t>
      </w:r>
      <w:r w:rsidR="00080EC5">
        <w:t>-</w:t>
      </w:r>
      <w:r w:rsidRPr="006E1E5C">
        <w:t xml:space="preserve">formulation developed in the </w:t>
      </w:r>
      <w:r w:rsidR="00116653">
        <w:t>Study</w:t>
      </w:r>
      <w:r w:rsidRPr="006E1E5C">
        <w:t xml:space="preserve"> GS-US-141-1233 was considered to be bioequivalent to BIC+FTC/TAF 75</w:t>
      </w:r>
      <w:r w:rsidR="00F03708">
        <w:t xml:space="preserve"> </w:t>
      </w:r>
      <w:r w:rsidRPr="006E1E5C">
        <w:t>+</w:t>
      </w:r>
      <w:r w:rsidR="00F03708">
        <w:t xml:space="preserve"> </w:t>
      </w:r>
      <w:r w:rsidRPr="006E1E5C">
        <w:t>200/25</w:t>
      </w:r>
      <w:r w:rsidR="00F03708">
        <w:t xml:space="preserve"> mg</w:t>
      </w:r>
      <w:r w:rsidRPr="006E1E5C">
        <w:t xml:space="preserve"> (used in the Phase </w:t>
      </w:r>
      <w:r w:rsidR="009D7B64">
        <w:t>II</w:t>
      </w:r>
      <w:r w:rsidRPr="006E1E5C">
        <w:t xml:space="preserve"> </w:t>
      </w:r>
      <w:r w:rsidR="00116653">
        <w:t>Study</w:t>
      </w:r>
      <w:r w:rsidRPr="006E1E5C">
        <w:t xml:space="preserve"> GS-US-141-1475 in which it was compared with DTG+F/TAF for initial assessment of treatment effect in HIV patients). The BIC/FTC/TAF 50/200/25 </w:t>
      </w:r>
      <w:r w:rsidR="00F03708">
        <w:t xml:space="preserve">mg </w:t>
      </w:r>
      <w:r w:rsidRPr="006E1E5C">
        <w:t xml:space="preserve">formulation was subsequently used in all four confirmatory Phase </w:t>
      </w:r>
      <w:r w:rsidR="009D7B64">
        <w:t>III</w:t>
      </w:r>
      <w:r w:rsidRPr="006E1E5C">
        <w:t xml:space="preserve"> clinical trials. The tablet formulation was further modified during Phase </w:t>
      </w:r>
      <w:r w:rsidR="009D7B64">
        <w:t>III</w:t>
      </w:r>
      <w:r w:rsidRPr="006E1E5C">
        <w:t xml:space="preserve"> studies with decrease in magnesium stearate content from 1.5% to 1.0% in the FTC/TAF layer. Magnesium stearate is hydrophobic and may retard the dissolution of a drug from a solid dosage form. However, the dissolution profiles with lower and higher magnesium content were shown to be similar. The </w:t>
      </w:r>
      <w:r w:rsidR="00251457">
        <w:t>quality</w:t>
      </w:r>
      <w:r w:rsidRPr="006E1E5C">
        <w:t xml:space="preserve"> evaluators advise that </w:t>
      </w:r>
      <w:r w:rsidR="00251457">
        <w:t>‘</w:t>
      </w:r>
      <w:r w:rsidRPr="006E1E5C">
        <w:t xml:space="preserve">In this instance, the decrease in magnesium stearate content from 1.5% to 1.0% in the FTC/TAF layer is not expected to significantly affect the bioavailability of the active ingredients in the BIC/FTC/TAF 50/200/25 </w:t>
      </w:r>
      <w:r w:rsidR="00F03708">
        <w:t xml:space="preserve">mg </w:t>
      </w:r>
      <w:r w:rsidRPr="006E1E5C">
        <w:t>FDC tablet.</w:t>
      </w:r>
      <w:r w:rsidR="00251457">
        <w:t>’</w:t>
      </w:r>
    </w:p>
    <w:p w:rsidR="000E45E0" w:rsidRDefault="006E1E5C" w:rsidP="00A43ED0">
      <w:r>
        <w:t xml:space="preserve">Overall, there are no objections to the registration of </w:t>
      </w:r>
      <w:r w:rsidR="001B5D97">
        <w:t>Biktarvy</w:t>
      </w:r>
      <w:r>
        <w:t xml:space="preserve"> from pharmaceutical chemistry point of view. Some matters have been deferred to the clinical delegate. These include lack of absolute bioavailability data for bictegravir and the clinical significance of food effect (24% and 13% higher AUC and </w:t>
      </w:r>
      <w:r w:rsidR="00080EC5">
        <w:t>C</w:t>
      </w:r>
      <w:r w:rsidR="00080EC5" w:rsidRPr="00080EC5">
        <w:rPr>
          <w:vertAlign w:val="subscript"/>
        </w:rPr>
        <w:t>max</w:t>
      </w:r>
      <w:r>
        <w:t xml:space="preserve"> respectively for BIC, 4% and 14% lower AUC and </w:t>
      </w:r>
      <w:r w:rsidR="00080EC5">
        <w:t>C</w:t>
      </w:r>
      <w:r w:rsidR="00080EC5" w:rsidRPr="00080EC5">
        <w:rPr>
          <w:vertAlign w:val="subscript"/>
        </w:rPr>
        <w:t>max</w:t>
      </w:r>
      <w:r>
        <w:t xml:space="preserve"> respectively for FTC and 63% higher and 8% lower AUC and </w:t>
      </w:r>
      <w:r w:rsidR="00080EC5">
        <w:t>C</w:t>
      </w:r>
      <w:r w:rsidR="00080EC5" w:rsidRPr="00080EC5">
        <w:rPr>
          <w:vertAlign w:val="subscript"/>
        </w:rPr>
        <w:t>max</w:t>
      </w:r>
      <w:r>
        <w:t xml:space="preserve"> respectively for TAF were </w:t>
      </w:r>
      <w:r w:rsidRPr="00242449">
        <w:t xml:space="preserve">reported in </w:t>
      </w:r>
      <w:r w:rsidR="00080EC5">
        <w:t>Study</w:t>
      </w:r>
      <w:r w:rsidRPr="00242449">
        <w:t xml:space="preserve"> GS-US-141-1233). Recent outstanding</w:t>
      </w:r>
      <w:r w:rsidR="00F12518">
        <w:t xml:space="preserve"> issues, that is,</w:t>
      </w:r>
      <w:r>
        <w:t xml:space="preserve"> specifications for some impurities and pending </w:t>
      </w:r>
      <w:r w:rsidR="00F03708">
        <w:t>Good Manufacturing Practice (</w:t>
      </w:r>
      <w:r>
        <w:t>GMP</w:t>
      </w:r>
      <w:r w:rsidR="00F03708">
        <w:t>) clearance</w:t>
      </w:r>
      <w:r>
        <w:t xml:space="preserve"> have now been resolved.</w:t>
      </w:r>
      <w:bookmarkStart w:id="136" w:name="_Toc247691530"/>
      <w:bookmarkStart w:id="137" w:name="_Toc314842513"/>
    </w:p>
    <w:p w:rsidR="000E45E0" w:rsidRDefault="000E45E0" w:rsidP="000E45E0">
      <w:pPr>
        <w:pStyle w:val="Heading3"/>
      </w:pPr>
      <w:bookmarkStart w:id="138" w:name="_Toc314842512"/>
      <w:bookmarkStart w:id="139" w:name="_Toc20133992"/>
      <w:r>
        <w:t>Nonclinical</w:t>
      </w:r>
      <w:bookmarkEnd w:id="138"/>
      <w:bookmarkEnd w:id="139"/>
    </w:p>
    <w:p w:rsidR="004E5D79" w:rsidRDefault="000E45E0" w:rsidP="000E45E0">
      <w:r w:rsidRPr="006E1E5C">
        <w:t>Note the focus is on bictegravir as the other 2 components (FTC and TAF) have previously been evaluated</w:t>
      </w:r>
      <w:r w:rsidR="004E5D79">
        <w:t>.</w:t>
      </w:r>
    </w:p>
    <w:p w:rsidR="000E45E0" w:rsidRPr="006E1E5C" w:rsidRDefault="000E45E0" w:rsidP="000E45E0">
      <w:r w:rsidRPr="006E1E5C">
        <w:t xml:space="preserve">Bictegravir was shown to be active against all HIV-1 subtypes (including NRTI, NNRTI, PRI, and first generation INSTI resistant strains) and HIV-2 </w:t>
      </w:r>
      <w:r w:rsidRPr="00C35B6B">
        <w:rPr>
          <w:i/>
        </w:rPr>
        <w:t>in vitro</w:t>
      </w:r>
      <w:r w:rsidRPr="006E1E5C">
        <w:t>. The likely clinically important resistance mechanism is integrase Q148 mutation (particularly in combination with bictegravir selected E138 and G140 and/or T66I+E138K+Q148K triple mutation). Bictegravir selected HIV-1 mutants were sensitive t</w:t>
      </w:r>
      <w:r w:rsidR="00242449">
        <w:t xml:space="preserve">o efavirenz and had lower cross </w:t>
      </w:r>
      <w:r w:rsidRPr="006E1E5C">
        <w:t>resistanc</w:t>
      </w:r>
      <w:r w:rsidR="00242449">
        <w:t xml:space="preserve">e to raltegravir but high cross </w:t>
      </w:r>
      <w:r w:rsidR="004E5D79">
        <w:t>resistance to elvitegravir.</w:t>
      </w:r>
    </w:p>
    <w:p w:rsidR="004E5D79" w:rsidRDefault="000E45E0" w:rsidP="000E45E0">
      <w:r w:rsidRPr="006E1E5C">
        <w:t>Secondary pharmacology studi</w:t>
      </w:r>
      <w:r w:rsidR="00242449">
        <w:t xml:space="preserve">es did not identify adverse off </w:t>
      </w:r>
      <w:r w:rsidRPr="006E1E5C">
        <w:t xml:space="preserve">targets effects on cardiovascular, respiratory or central nervous functions. Overlapping secondary pharmacological effects for the </w:t>
      </w:r>
      <w:r w:rsidR="001B5D97">
        <w:t>Biktarvy</w:t>
      </w:r>
      <w:r w:rsidRPr="006E1E5C">
        <w:t xml:space="preserve"> combination are not expected</w:t>
      </w:r>
      <w:r w:rsidR="004E5D79">
        <w:t>.</w:t>
      </w:r>
    </w:p>
    <w:p w:rsidR="004E5D79" w:rsidRDefault="000E45E0" w:rsidP="000E45E0">
      <w:r w:rsidRPr="006E1E5C">
        <w:lastRenderedPageBreak/>
        <w:t>Bictegravir was poorly metabolised and was the major circulating drug form in all tested animal species. In non-primates bictegravir was N-dealkylated, glucuronidated and hydroxylised via CYP3A4 and/or UGT1A1. Monkeys were more extensive metabolisers compared to humans, while rat metabolism more closely resembled the human situation. There were no clinically relevant human specific metabolites</w:t>
      </w:r>
      <w:r w:rsidR="004E5D79">
        <w:t>.</w:t>
      </w:r>
    </w:p>
    <w:p w:rsidR="000E45E0" w:rsidRPr="006E1E5C" w:rsidRDefault="000E45E0" w:rsidP="000E45E0">
      <w:r w:rsidRPr="006E1E5C">
        <w:t>Bictegravir is unlikely to cause clinically relevant drug interactions via CYP- 1A2, 2B6, 2C8, 2C9, 2C19, 2D6, OAT1, OAT3, OCT1, OATP1B1 and OATP1B3. Bictegravir may cause drug interactions associated with CYP3A induction and OCT2. Co</w:t>
      </w:r>
      <w:r w:rsidR="004E5D79">
        <w:t>-</w:t>
      </w:r>
      <w:r w:rsidRPr="006E1E5C">
        <w:t>administration with potent inducers of CYP3A and/or UGT1A1 may decrease bictegravir plasma concentration. Similarly co</w:t>
      </w:r>
      <w:r w:rsidR="004E5D79">
        <w:t>-</w:t>
      </w:r>
      <w:r w:rsidRPr="006E1E5C">
        <w:t xml:space="preserve">administration with inhibitors of CYP3A and/or UGT1A1 may increase plasma concentration of bictegravir. Bictegravir is a substrate of P-gp and BCRP. Bictegravir inhibits MATE1 and OCT1 in a dose dependent manner, possibly reducing active renal tubular excretion of </w:t>
      </w:r>
      <w:r w:rsidR="00F0040C">
        <w:t>creatinine</w:t>
      </w:r>
      <w:r w:rsidR="00F0040C" w:rsidRPr="006E1E5C">
        <w:t xml:space="preserve"> </w:t>
      </w:r>
      <w:r w:rsidRPr="006E1E5C">
        <w:t>and other MATE1 and OCT1 substrates.</w:t>
      </w:r>
    </w:p>
    <w:p w:rsidR="004E5D79" w:rsidRDefault="000E45E0" w:rsidP="000E45E0">
      <w:r w:rsidRPr="006E1E5C">
        <w:t>No formal single dose toxicity studies (including no combination toxicity studies) were conducted. The only toxicity finding in repeat dose toxicity studies was hepatotoxicity in monkeys at high exposures (16 x clinical exposure)</w:t>
      </w:r>
      <w:r w:rsidR="004E5D79">
        <w:t>.</w:t>
      </w:r>
    </w:p>
    <w:p w:rsidR="004E5D79" w:rsidRDefault="000E45E0" w:rsidP="000E45E0">
      <w:r w:rsidRPr="006E1E5C">
        <w:t>Based on the results of screening package bictegravir was not genotoxic. Bictegravir was not carcinogenic in an abbreviated 26 week oral gavage carcinogenicity study in hemizygous rasH2 transgenic mice and was not carcinogenic in a 104 week study in Wistar rats</w:t>
      </w:r>
      <w:r w:rsidR="004E5D79">
        <w:t>.</w:t>
      </w:r>
    </w:p>
    <w:p w:rsidR="004E5D79" w:rsidRDefault="000E45E0" w:rsidP="000E45E0">
      <w:r w:rsidRPr="006E1E5C">
        <w:t xml:space="preserve">Reproductive toxicity studies did not indicate effect on fertility or on embryofoetal and postnatal development. The </w:t>
      </w:r>
      <w:r w:rsidR="004E4AAB">
        <w:t>sponsor</w:t>
      </w:r>
      <w:r w:rsidRPr="006E1E5C">
        <w:t xml:space="preserve"> proposes Pregnancy Category B3 for </w:t>
      </w:r>
      <w:r w:rsidR="001B5D97">
        <w:t>Biktarvy</w:t>
      </w:r>
      <w:r w:rsidRPr="006E1E5C">
        <w:t xml:space="preserve"> combination product (B1 in considered appropriate for bictegravir as single agent).</w:t>
      </w:r>
      <w:r w:rsidR="00F03708" w:rsidRPr="00066684">
        <w:rPr>
          <w:vertAlign w:val="superscript"/>
        </w:rPr>
        <w:fldChar w:fldCharType="begin"/>
      </w:r>
      <w:r w:rsidR="00F03708" w:rsidRPr="00066684">
        <w:rPr>
          <w:vertAlign w:val="superscript"/>
        </w:rPr>
        <w:instrText xml:space="preserve"> NOTEREF _Ref15485663 \h </w:instrText>
      </w:r>
      <w:r w:rsidR="00F03708">
        <w:rPr>
          <w:vertAlign w:val="superscript"/>
        </w:rPr>
        <w:instrText xml:space="preserve"> \* MERGEFORMAT </w:instrText>
      </w:r>
      <w:r w:rsidR="00F03708" w:rsidRPr="00066684">
        <w:rPr>
          <w:vertAlign w:val="superscript"/>
        </w:rPr>
      </w:r>
      <w:r w:rsidR="00F03708" w:rsidRPr="00066684">
        <w:rPr>
          <w:vertAlign w:val="superscript"/>
        </w:rPr>
        <w:fldChar w:fldCharType="separate"/>
      </w:r>
      <w:r w:rsidR="00F03708" w:rsidRPr="00066684">
        <w:rPr>
          <w:vertAlign w:val="superscript"/>
        </w:rPr>
        <w:t>18</w:t>
      </w:r>
      <w:r w:rsidR="00F03708" w:rsidRPr="00066684">
        <w:rPr>
          <w:vertAlign w:val="superscript"/>
        </w:rPr>
        <w:fldChar w:fldCharType="end"/>
      </w:r>
      <w:r w:rsidR="00F03708" w:rsidRPr="00066684">
        <w:rPr>
          <w:vertAlign w:val="superscript"/>
        </w:rPr>
        <w:t>,</w:t>
      </w:r>
      <w:r w:rsidR="00F03708" w:rsidRPr="00066684">
        <w:rPr>
          <w:vertAlign w:val="superscript"/>
        </w:rPr>
        <w:fldChar w:fldCharType="begin"/>
      </w:r>
      <w:r w:rsidR="00F03708" w:rsidRPr="00066684">
        <w:rPr>
          <w:vertAlign w:val="superscript"/>
        </w:rPr>
        <w:instrText xml:space="preserve"> NOTEREF _Ref15485668 \h </w:instrText>
      </w:r>
      <w:r w:rsidR="00F03708">
        <w:rPr>
          <w:vertAlign w:val="superscript"/>
        </w:rPr>
        <w:instrText xml:space="preserve"> \* MERGEFORMAT </w:instrText>
      </w:r>
      <w:r w:rsidR="00F03708" w:rsidRPr="00066684">
        <w:rPr>
          <w:vertAlign w:val="superscript"/>
        </w:rPr>
      </w:r>
      <w:r w:rsidR="00F03708" w:rsidRPr="00066684">
        <w:rPr>
          <w:vertAlign w:val="superscript"/>
        </w:rPr>
        <w:fldChar w:fldCharType="separate"/>
      </w:r>
      <w:r w:rsidR="00F03708" w:rsidRPr="00066684">
        <w:rPr>
          <w:vertAlign w:val="superscript"/>
        </w:rPr>
        <w:t>19</w:t>
      </w:r>
      <w:r w:rsidR="00F03708" w:rsidRPr="00066684">
        <w:rPr>
          <w:vertAlign w:val="superscript"/>
        </w:rPr>
        <w:fldChar w:fldCharType="end"/>
      </w:r>
      <w:r w:rsidRPr="006E1E5C">
        <w:t xml:space="preserve"> This is consistent with existing products containing FTC/TAF and is supported</w:t>
      </w:r>
      <w:r w:rsidR="004E5D79">
        <w:t>.</w:t>
      </w:r>
    </w:p>
    <w:p w:rsidR="004E5D79" w:rsidRDefault="000E45E0" w:rsidP="000E45E0">
      <w:r w:rsidRPr="006E1E5C">
        <w:t xml:space="preserve">All drug substance/product impurities are reported to be toxicologically qualified. Overall, there are no nonclinical objections to the approval of </w:t>
      </w:r>
      <w:r w:rsidR="001B5D97">
        <w:t>Biktarvy</w:t>
      </w:r>
      <w:r w:rsidR="004E5D79">
        <w:t>.</w:t>
      </w:r>
    </w:p>
    <w:p w:rsidR="000E45E0" w:rsidRPr="006E1E5C" w:rsidRDefault="000E45E0" w:rsidP="000E45E0">
      <w:r w:rsidRPr="006E1E5C">
        <w:t>Detailed recommendations have been provided for the PI and are supported for inclusion in the PI.</w:t>
      </w:r>
    </w:p>
    <w:p w:rsidR="008E7846" w:rsidRDefault="008E7846" w:rsidP="008E7846">
      <w:pPr>
        <w:pStyle w:val="Heading3"/>
      </w:pPr>
      <w:bookmarkStart w:id="140" w:name="_Toc20133993"/>
      <w:r>
        <w:t>Clinical</w:t>
      </w:r>
      <w:bookmarkEnd w:id="136"/>
      <w:bookmarkEnd w:id="137"/>
      <w:bookmarkEnd w:id="140"/>
    </w:p>
    <w:p w:rsidR="00486A6E" w:rsidRDefault="00A43ED0" w:rsidP="00A43ED0">
      <w:bookmarkStart w:id="141" w:name="_Toc314842514"/>
      <w:r w:rsidRPr="000E45E0">
        <w:t>The dossier contains the following clinical studies specific to this subm</w:t>
      </w:r>
      <w:r w:rsidR="00242449">
        <w:t>ission</w:t>
      </w:r>
      <w:r w:rsidR="00486A6E">
        <w:t xml:space="preserve"> listed in Table 27, below</w:t>
      </w:r>
      <w:r w:rsidR="00242449">
        <w:t xml:space="preserve">. The submission </w:t>
      </w:r>
      <w:r w:rsidR="00486A6E">
        <w:t>was</w:t>
      </w:r>
      <w:r w:rsidR="00242449">
        <w:t xml:space="preserve"> cross </w:t>
      </w:r>
      <w:r w:rsidRPr="000E45E0">
        <w:t>referenced to data previously evaluated for FTC, TAF, FTC/TAF in multiple submissions</w:t>
      </w:r>
      <w:r w:rsidR="00486A6E">
        <w:t>.</w:t>
      </w:r>
    </w:p>
    <w:p w:rsidR="007B6132" w:rsidRDefault="00486A6E" w:rsidP="00C35B6B">
      <w:pPr>
        <w:pStyle w:val="TableTitle"/>
      </w:pPr>
      <w:r>
        <w:t>Table 27: Clinical studies specific to this submission</w:t>
      </w:r>
    </w:p>
    <w:tbl>
      <w:tblPr>
        <w:tblStyle w:val="TableTGAblue"/>
        <w:tblW w:w="0" w:type="auto"/>
        <w:tblLayout w:type="fixed"/>
        <w:tblLook w:val="0020" w:firstRow="1" w:lastRow="0" w:firstColumn="0" w:lastColumn="0" w:noHBand="0" w:noVBand="0"/>
      </w:tblPr>
      <w:tblGrid>
        <w:gridCol w:w="2974"/>
        <w:gridCol w:w="5226"/>
      </w:tblGrid>
      <w:tr w:rsidR="004E5D79" w:rsidTr="00216225">
        <w:trPr>
          <w:cnfStyle w:val="100000000000" w:firstRow="1" w:lastRow="0" w:firstColumn="0" w:lastColumn="0" w:oddVBand="0" w:evenVBand="0" w:oddHBand="0" w:evenHBand="0" w:firstRowFirstColumn="0" w:firstRowLastColumn="0" w:lastRowFirstColumn="0" w:lastRowLastColumn="0"/>
          <w:trHeight w:val="246"/>
        </w:trPr>
        <w:tc>
          <w:tcPr>
            <w:tcW w:w="2974" w:type="dxa"/>
          </w:tcPr>
          <w:p w:rsidR="004E5D79" w:rsidRPr="000E45E0" w:rsidRDefault="004E5D79" w:rsidP="00A43ED0">
            <w:r>
              <w:t>Study number</w:t>
            </w:r>
          </w:p>
        </w:tc>
        <w:tc>
          <w:tcPr>
            <w:tcW w:w="5226" w:type="dxa"/>
          </w:tcPr>
          <w:p w:rsidR="004E5D79" w:rsidRPr="000E45E0" w:rsidRDefault="00216225" w:rsidP="000E45E0">
            <w:r>
              <w:t>Main aim of study</w:t>
            </w:r>
          </w:p>
        </w:tc>
      </w:tr>
      <w:tr w:rsidR="000E45E0" w:rsidTr="00216225">
        <w:trPr>
          <w:trHeight w:val="246"/>
        </w:trPr>
        <w:tc>
          <w:tcPr>
            <w:tcW w:w="2974" w:type="dxa"/>
          </w:tcPr>
          <w:p w:rsidR="000E45E0" w:rsidRPr="000E45E0" w:rsidRDefault="000E45E0" w:rsidP="00A43ED0">
            <w:pPr>
              <w:ind w:left="0"/>
            </w:pPr>
            <w:r w:rsidRPr="000E45E0">
              <w:t>GS</w:t>
            </w:r>
            <w:r w:rsidR="00216225">
              <w:t>-US-141-1481</w:t>
            </w:r>
          </w:p>
        </w:tc>
        <w:tc>
          <w:tcPr>
            <w:tcW w:w="5226" w:type="dxa"/>
          </w:tcPr>
          <w:p w:rsidR="000E45E0" w:rsidRPr="000E45E0" w:rsidRDefault="000E45E0" w:rsidP="000E45E0">
            <w:pPr>
              <w:ind w:left="0"/>
            </w:pPr>
            <w:r w:rsidRPr="000E45E0">
              <w:t xml:space="preserve">(radiolabelled </w:t>
            </w:r>
            <w:r w:rsidR="004E4AAB">
              <w:t>(</w:t>
            </w:r>
            <w:r w:rsidRPr="00216225">
              <w:rPr>
                <w:vertAlign w:val="superscript"/>
              </w:rPr>
              <w:t>14</w:t>
            </w:r>
            <w:r w:rsidRPr="000E45E0">
              <w:t>C</w:t>
            </w:r>
            <w:r w:rsidR="004E4AAB">
              <w:t>)</w:t>
            </w:r>
            <w:r w:rsidRPr="000E45E0">
              <w:t>BIC mass balance study)</w:t>
            </w:r>
          </w:p>
        </w:tc>
      </w:tr>
      <w:tr w:rsidR="000E45E0" w:rsidTr="00216225">
        <w:trPr>
          <w:trHeight w:val="246"/>
        </w:trPr>
        <w:tc>
          <w:tcPr>
            <w:tcW w:w="2974" w:type="dxa"/>
          </w:tcPr>
          <w:p w:rsidR="000E45E0" w:rsidRPr="000E45E0" w:rsidRDefault="00216225" w:rsidP="000E45E0">
            <w:pPr>
              <w:ind w:left="0"/>
            </w:pPr>
            <w:r>
              <w:t>GS-US-141-1218</w:t>
            </w:r>
          </w:p>
        </w:tc>
        <w:tc>
          <w:tcPr>
            <w:tcW w:w="5226" w:type="dxa"/>
          </w:tcPr>
          <w:p w:rsidR="000E45E0" w:rsidRPr="000E45E0" w:rsidRDefault="000E45E0" w:rsidP="000E45E0">
            <w:pPr>
              <w:ind w:left="0"/>
            </w:pPr>
            <w:r w:rsidRPr="000E45E0">
              <w:t>(PK: SAD, MAD; DDI:BIC-FTC/TAF)</w:t>
            </w:r>
          </w:p>
        </w:tc>
      </w:tr>
      <w:tr w:rsidR="000E45E0" w:rsidTr="00216225">
        <w:trPr>
          <w:trHeight w:val="246"/>
        </w:trPr>
        <w:tc>
          <w:tcPr>
            <w:tcW w:w="2974" w:type="dxa"/>
          </w:tcPr>
          <w:p w:rsidR="000E45E0" w:rsidRPr="000E45E0" w:rsidRDefault="00216225" w:rsidP="000E45E0">
            <w:pPr>
              <w:ind w:left="0"/>
            </w:pPr>
            <w:r>
              <w:t>GS-US-141-1219</w:t>
            </w:r>
          </w:p>
        </w:tc>
        <w:tc>
          <w:tcPr>
            <w:tcW w:w="5226" w:type="dxa"/>
          </w:tcPr>
          <w:p w:rsidR="000E45E0" w:rsidRPr="000E45E0" w:rsidRDefault="000E45E0" w:rsidP="000E45E0">
            <w:pPr>
              <w:ind w:left="0"/>
            </w:pPr>
            <w:r w:rsidRPr="000E45E0">
              <w:t>(PK; PK/PD)</w:t>
            </w:r>
          </w:p>
        </w:tc>
      </w:tr>
      <w:tr w:rsidR="000E45E0" w:rsidTr="00216225">
        <w:trPr>
          <w:trHeight w:val="246"/>
        </w:trPr>
        <w:tc>
          <w:tcPr>
            <w:tcW w:w="2974" w:type="dxa"/>
          </w:tcPr>
          <w:p w:rsidR="000E45E0" w:rsidRPr="000E45E0" w:rsidRDefault="00216225" w:rsidP="000E45E0">
            <w:pPr>
              <w:ind w:left="0"/>
            </w:pPr>
            <w:r>
              <w:t>GS-US-141-1233</w:t>
            </w:r>
          </w:p>
        </w:tc>
        <w:tc>
          <w:tcPr>
            <w:tcW w:w="5226" w:type="dxa"/>
          </w:tcPr>
          <w:p w:rsidR="000E45E0" w:rsidRPr="000E45E0" w:rsidRDefault="000E45E0" w:rsidP="000E45E0">
            <w:pPr>
              <w:ind w:left="0"/>
            </w:pPr>
            <w:r w:rsidRPr="000E45E0">
              <w:t>(</w:t>
            </w:r>
            <w:r w:rsidR="00251457">
              <w:t>75 mg</w:t>
            </w:r>
            <w:r w:rsidRPr="000E45E0">
              <w:t xml:space="preserve"> vs </w:t>
            </w:r>
            <w:r w:rsidR="00782831">
              <w:t>50 mg</w:t>
            </w:r>
            <w:r w:rsidRPr="000E45E0">
              <w:t xml:space="preserve"> BIC/FTC/TAF; food effect)</w:t>
            </w:r>
          </w:p>
        </w:tc>
      </w:tr>
      <w:tr w:rsidR="000E45E0" w:rsidTr="00216225">
        <w:trPr>
          <w:trHeight w:val="246"/>
        </w:trPr>
        <w:tc>
          <w:tcPr>
            <w:tcW w:w="2974" w:type="dxa"/>
          </w:tcPr>
          <w:p w:rsidR="000E45E0" w:rsidRPr="000E45E0" w:rsidRDefault="00216225" w:rsidP="000E45E0">
            <w:pPr>
              <w:ind w:left="0"/>
            </w:pPr>
            <w:r>
              <w:t>QP-2017-1010</w:t>
            </w:r>
          </w:p>
        </w:tc>
        <w:tc>
          <w:tcPr>
            <w:tcW w:w="5226" w:type="dxa"/>
          </w:tcPr>
          <w:p w:rsidR="000E45E0" w:rsidRPr="000E45E0" w:rsidRDefault="000E45E0" w:rsidP="000E45E0">
            <w:pPr>
              <w:ind w:left="0"/>
            </w:pPr>
            <w:r w:rsidRPr="000E45E0">
              <w:t>(BIC PoP)</w:t>
            </w:r>
          </w:p>
        </w:tc>
      </w:tr>
      <w:tr w:rsidR="000E45E0" w:rsidTr="00216225">
        <w:trPr>
          <w:trHeight w:val="246"/>
        </w:trPr>
        <w:tc>
          <w:tcPr>
            <w:tcW w:w="2974" w:type="dxa"/>
          </w:tcPr>
          <w:p w:rsidR="000E45E0" w:rsidRPr="000E45E0" w:rsidRDefault="00216225" w:rsidP="000E45E0">
            <w:pPr>
              <w:ind w:left="0"/>
            </w:pPr>
            <w:r>
              <w:t>QP-2017-1012</w:t>
            </w:r>
          </w:p>
        </w:tc>
        <w:tc>
          <w:tcPr>
            <w:tcW w:w="5226" w:type="dxa"/>
          </w:tcPr>
          <w:p w:rsidR="000E45E0" w:rsidRPr="000E45E0" w:rsidRDefault="000E45E0" w:rsidP="000E45E0">
            <w:pPr>
              <w:ind w:left="0"/>
            </w:pPr>
            <w:r w:rsidRPr="000E45E0">
              <w:t>(TAF PoP)</w:t>
            </w:r>
          </w:p>
        </w:tc>
      </w:tr>
      <w:tr w:rsidR="000E45E0" w:rsidTr="00216225">
        <w:trPr>
          <w:trHeight w:val="246"/>
        </w:trPr>
        <w:tc>
          <w:tcPr>
            <w:tcW w:w="2974" w:type="dxa"/>
          </w:tcPr>
          <w:p w:rsidR="000E45E0" w:rsidRPr="000E45E0" w:rsidRDefault="000E45E0" w:rsidP="000E45E0">
            <w:pPr>
              <w:ind w:left="0"/>
            </w:pPr>
            <w:r w:rsidRPr="000E45E0">
              <w:lastRenderedPageBreak/>
              <w:t>QP-2015-1001</w:t>
            </w:r>
          </w:p>
        </w:tc>
        <w:tc>
          <w:tcPr>
            <w:tcW w:w="5226" w:type="dxa"/>
          </w:tcPr>
          <w:p w:rsidR="000E45E0" w:rsidRPr="000E45E0" w:rsidRDefault="000E45E0" w:rsidP="000E45E0">
            <w:pPr>
              <w:ind w:left="0"/>
            </w:pPr>
            <w:r w:rsidRPr="000E45E0">
              <w:t>(prediction of DDI potential of BIC)</w:t>
            </w:r>
          </w:p>
        </w:tc>
      </w:tr>
      <w:tr w:rsidR="000E45E0" w:rsidTr="00216225">
        <w:trPr>
          <w:trHeight w:val="246"/>
        </w:trPr>
        <w:tc>
          <w:tcPr>
            <w:tcW w:w="2974" w:type="dxa"/>
          </w:tcPr>
          <w:p w:rsidR="000E45E0" w:rsidRPr="000E45E0" w:rsidRDefault="000E45E0" w:rsidP="000E45E0">
            <w:pPr>
              <w:ind w:left="0"/>
            </w:pPr>
            <w:r w:rsidRPr="000E45E0">
              <w:t>GS-US-141-1478</w:t>
            </w:r>
          </w:p>
        </w:tc>
        <w:tc>
          <w:tcPr>
            <w:tcW w:w="5226" w:type="dxa"/>
          </w:tcPr>
          <w:p w:rsidR="000E45E0" w:rsidRPr="000E45E0" w:rsidRDefault="000E45E0" w:rsidP="000E45E0">
            <w:pPr>
              <w:ind w:left="0"/>
            </w:pPr>
            <w:r w:rsidRPr="000E45E0">
              <w:t>(moderate hepatic impairment)</w:t>
            </w:r>
          </w:p>
        </w:tc>
      </w:tr>
      <w:tr w:rsidR="000E45E0" w:rsidTr="00216225">
        <w:trPr>
          <w:trHeight w:val="246"/>
        </w:trPr>
        <w:tc>
          <w:tcPr>
            <w:tcW w:w="2974" w:type="dxa"/>
          </w:tcPr>
          <w:p w:rsidR="000E45E0" w:rsidRPr="000E45E0" w:rsidRDefault="000E45E0" w:rsidP="000E45E0">
            <w:pPr>
              <w:ind w:left="0"/>
            </w:pPr>
            <w:r w:rsidRPr="000E45E0">
              <w:t>GS-US-141-1479</w:t>
            </w:r>
          </w:p>
        </w:tc>
        <w:tc>
          <w:tcPr>
            <w:tcW w:w="5226" w:type="dxa"/>
          </w:tcPr>
          <w:p w:rsidR="000E45E0" w:rsidRPr="000E45E0" w:rsidRDefault="000E45E0" w:rsidP="000E45E0">
            <w:pPr>
              <w:ind w:left="0"/>
            </w:pPr>
            <w:r w:rsidRPr="000E45E0">
              <w:t>(severe renal impairment)</w:t>
            </w:r>
          </w:p>
        </w:tc>
      </w:tr>
      <w:tr w:rsidR="000E45E0" w:rsidTr="00216225">
        <w:trPr>
          <w:trHeight w:val="246"/>
        </w:trPr>
        <w:tc>
          <w:tcPr>
            <w:tcW w:w="2974" w:type="dxa"/>
          </w:tcPr>
          <w:p w:rsidR="000E45E0" w:rsidRPr="000E45E0" w:rsidRDefault="000E45E0" w:rsidP="000E45E0">
            <w:pPr>
              <w:ind w:left="0"/>
            </w:pPr>
            <w:r w:rsidRPr="000E45E0">
              <w:t>GS-US-141-1487</w:t>
            </w:r>
          </w:p>
        </w:tc>
        <w:tc>
          <w:tcPr>
            <w:tcW w:w="5226" w:type="dxa"/>
          </w:tcPr>
          <w:p w:rsidR="000E45E0" w:rsidRPr="000E45E0" w:rsidRDefault="000E45E0" w:rsidP="000E45E0">
            <w:pPr>
              <w:ind w:left="0"/>
            </w:pPr>
            <w:r w:rsidRPr="000E45E0">
              <w:t>(GFR study)</w:t>
            </w:r>
          </w:p>
        </w:tc>
      </w:tr>
      <w:tr w:rsidR="000E45E0" w:rsidTr="00216225">
        <w:trPr>
          <w:trHeight w:val="246"/>
        </w:trPr>
        <w:tc>
          <w:tcPr>
            <w:tcW w:w="2974" w:type="dxa"/>
          </w:tcPr>
          <w:p w:rsidR="000E45E0" w:rsidRPr="000E45E0" w:rsidRDefault="000E45E0" w:rsidP="000E45E0">
            <w:pPr>
              <w:ind w:left="0"/>
            </w:pPr>
            <w:r w:rsidRPr="000E45E0">
              <w:t>GS-US-141-1480</w:t>
            </w:r>
          </w:p>
        </w:tc>
        <w:tc>
          <w:tcPr>
            <w:tcW w:w="5226" w:type="dxa"/>
          </w:tcPr>
          <w:p w:rsidR="000E45E0" w:rsidRPr="000E45E0" w:rsidRDefault="000E45E0" w:rsidP="000E45E0">
            <w:pPr>
              <w:ind w:left="0"/>
            </w:pPr>
            <w:r w:rsidRPr="000E45E0">
              <w:t>(QT interval)</w:t>
            </w:r>
          </w:p>
        </w:tc>
      </w:tr>
      <w:tr w:rsidR="000E45E0" w:rsidTr="00216225">
        <w:trPr>
          <w:trHeight w:val="246"/>
        </w:trPr>
        <w:tc>
          <w:tcPr>
            <w:tcW w:w="2974" w:type="dxa"/>
          </w:tcPr>
          <w:p w:rsidR="000E45E0" w:rsidRPr="000E45E0" w:rsidRDefault="000E45E0" w:rsidP="000E45E0">
            <w:pPr>
              <w:ind w:left="0"/>
            </w:pPr>
            <w:r w:rsidRPr="000E45E0">
              <w:t>GS-US-380-1991</w:t>
            </w:r>
          </w:p>
        </w:tc>
        <w:tc>
          <w:tcPr>
            <w:tcW w:w="5226" w:type="dxa"/>
          </w:tcPr>
          <w:p w:rsidR="000E45E0" w:rsidRPr="000E45E0" w:rsidRDefault="000E45E0" w:rsidP="000E45E0">
            <w:pPr>
              <w:ind w:left="0"/>
            </w:pPr>
            <w:r w:rsidRPr="000E45E0">
              <w:t>(Japanese vs Caucasians)</w:t>
            </w:r>
          </w:p>
        </w:tc>
      </w:tr>
      <w:tr w:rsidR="000E45E0" w:rsidTr="00216225">
        <w:trPr>
          <w:trHeight w:val="246"/>
        </w:trPr>
        <w:tc>
          <w:tcPr>
            <w:tcW w:w="2974" w:type="dxa"/>
          </w:tcPr>
          <w:p w:rsidR="000E45E0" w:rsidRPr="000E45E0" w:rsidRDefault="000E45E0" w:rsidP="000E45E0">
            <w:pPr>
              <w:ind w:left="0"/>
            </w:pPr>
            <w:r w:rsidRPr="000E45E0">
              <w:t>GS-US-141-1485</w:t>
            </w:r>
          </w:p>
        </w:tc>
        <w:tc>
          <w:tcPr>
            <w:tcW w:w="5226" w:type="dxa"/>
          </w:tcPr>
          <w:p w:rsidR="000E45E0" w:rsidRPr="000E45E0" w:rsidRDefault="000E45E0" w:rsidP="000E45E0">
            <w:pPr>
              <w:ind w:left="0"/>
            </w:pPr>
            <w:r w:rsidRPr="000E45E0">
              <w:t>(DDI: ATV/COBI, RIF, VORI, DRV)</w:t>
            </w:r>
          </w:p>
        </w:tc>
      </w:tr>
      <w:tr w:rsidR="000E45E0" w:rsidTr="00216225">
        <w:trPr>
          <w:trHeight w:val="246"/>
        </w:trPr>
        <w:tc>
          <w:tcPr>
            <w:tcW w:w="2974" w:type="dxa"/>
          </w:tcPr>
          <w:p w:rsidR="000E45E0" w:rsidRPr="000E45E0" w:rsidRDefault="000E45E0" w:rsidP="000E45E0">
            <w:pPr>
              <w:ind w:left="0"/>
            </w:pPr>
            <w:r w:rsidRPr="000E45E0">
              <w:t>GS-US-380-1761</w:t>
            </w:r>
          </w:p>
        </w:tc>
        <w:tc>
          <w:tcPr>
            <w:tcW w:w="5226" w:type="dxa"/>
          </w:tcPr>
          <w:p w:rsidR="000E45E0" w:rsidRPr="000E45E0" w:rsidRDefault="000E45E0" w:rsidP="000E45E0">
            <w:pPr>
              <w:ind w:left="0"/>
            </w:pPr>
            <w:r w:rsidRPr="000E45E0">
              <w:t>(DDI: LDV/SOF)</w:t>
            </w:r>
          </w:p>
        </w:tc>
      </w:tr>
      <w:tr w:rsidR="000E45E0" w:rsidTr="00216225">
        <w:trPr>
          <w:trHeight w:val="246"/>
        </w:trPr>
        <w:tc>
          <w:tcPr>
            <w:tcW w:w="2974" w:type="dxa"/>
          </w:tcPr>
          <w:p w:rsidR="000E45E0" w:rsidRPr="000E45E0" w:rsidRDefault="000E45E0" w:rsidP="000E45E0">
            <w:pPr>
              <w:ind w:left="0"/>
            </w:pPr>
            <w:r w:rsidRPr="000E45E0">
              <w:t>GS-US-380-1999</w:t>
            </w:r>
          </w:p>
        </w:tc>
        <w:tc>
          <w:tcPr>
            <w:tcW w:w="5226" w:type="dxa"/>
          </w:tcPr>
          <w:p w:rsidR="000E45E0" w:rsidRPr="000E45E0" w:rsidRDefault="000E45E0" w:rsidP="000E45E0">
            <w:pPr>
              <w:ind w:left="0"/>
            </w:pPr>
            <w:r w:rsidRPr="000E45E0">
              <w:t>(DDI: SOF/VEL/VOX)</w:t>
            </w:r>
          </w:p>
        </w:tc>
      </w:tr>
      <w:tr w:rsidR="000E45E0" w:rsidTr="00216225">
        <w:trPr>
          <w:trHeight w:val="246"/>
        </w:trPr>
        <w:tc>
          <w:tcPr>
            <w:tcW w:w="2974" w:type="dxa"/>
          </w:tcPr>
          <w:p w:rsidR="000E45E0" w:rsidRPr="000E45E0" w:rsidRDefault="000E45E0" w:rsidP="000E45E0">
            <w:pPr>
              <w:ind w:left="0"/>
            </w:pPr>
            <w:r w:rsidRPr="000E45E0">
              <w:t>GS-US-380-3908</w:t>
            </w:r>
          </w:p>
        </w:tc>
        <w:tc>
          <w:tcPr>
            <w:tcW w:w="5226" w:type="dxa"/>
          </w:tcPr>
          <w:p w:rsidR="000E45E0" w:rsidRPr="000E45E0" w:rsidRDefault="000E45E0" w:rsidP="000E45E0">
            <w:pPr>
              <w:ind w:left="0"/>
            </w:pPr>
            <w:r w:rsidRPr="000E45E0">
              <w:t>(PD: metformin)</w:t>
            </w:r>
          </w:p>
        </w:tc>
      </w:tr>
      <w:tr w:rsidR="000E45E0" w:rsidTr="00216225">
        <w:trPr>
          <w:trHeight w:val="246"/>
        </w:trPr>
        <w:tc>
          <w:tcPr>
            <w:tcW w:w="2974" w:type="dxa"/>
          </w:tcPr>
          <w:p w:rsidR="000E45E0" w:rsidRPr="000E45E0" w:rsidRDefault="000E45E0" w:rsidP="000E45E0">
            <w:pPr>
              <w:ind w:left="0"/>
            </w:pPr>
            <w:r w:rsidRPr="000E45E0">
              <w:t>GS-US-380-3909</w:t>
            </w:r>
          </w:p>
        </w:tc>
        <w:tc>
          <w:tcPr>
            <w:tcW w:w="5226" w:type="dxa"/>
          </w:tcPr>
          <w:p w:rsidR="000E45E0" w:rsidRPr="000E45E0" w:rsidRDefault="000E45E0" w:rsidP="000E45E0">
            <w:pPr>
              <w:ind w:left="0"/>
            </w:pPr>
            <w:r w:rsidRPr="000E45E0">
              <w:t>(DDI: antacids)</w:t>
            </w:r>
          </w:p>
        </w:tc>
      </w:tr>
      <w:tr w:rsidR="000E45E0" w:rsidTr="00216225">
        <w:trPr>
          <w:trHeight w:val="246"/>
        </w:trPr>
        <w:tc>
          <w:tcPr>
            <w:tcW w:w="2974" w:type="dxa"/>
          </w:tcPr>
          <w:p w:rsidR="000E45E0" w:rsidRPr="000E45E0" w:rsidRDefault="000E45E0" w:rsidP="000E45E0">
            <w:pPr>
              <w:ind w:left="0"/>
            </w:pPr>
            <w:r w:rsidRPr="000E45E0">
              <w:t>GS-US-380-4270</w:t>
            </w:r>
          </w:p>
        </w:tc>
        <w:tc>
          <w:tcPr>
            <w:tcW w:w="5226" w:type="dxa"/>
          </w:tcPr>
          <w:p w:rsidR="000E45E0" w:rsidRPr="000E45E0" w:rsidRDefault="000E45E0" w:rsidP="000E45E0">
            <w:pPr>
              <w:ind w:left="0"/>
            </w:pPr>
            <w:r w:rsidRPr="000E45E0">
              <w:t>(DDI: MDZ)</w:t>
            </w:r>
          </w:p>
        </w:tc>
      </w:tr>
      <w:tr w:rsidR="000E45E0" w:rsidTr="00216225">
        <w:trPr>
          <w:trHeight w:val="246"/>
        </w:trPr>
        <w:tc>
          <w:tcPr>
            <w:tcW w:w="2974" w:type="dxa"/>
          </w:tcPr>
          <w:p w:rsidR="000E45E0" w:rsidRPr="000E45E0" w:rsidRDefault="000E45E0" w:rsidP="000E45E0">
            <w:pPr>
              <w:ind w:left="0"/>
            </w:pPr>
            <w:r w:rsidRPr="000E45E0">
              <w:t>GS-US-141-1475</w:t>
            </w:r>
          </w:p>
        </w:tc>
        <w:tc>
          <w:tcPr>
            <w:tcW w:w="5226" w:type="dxa"/>
          </w:tcPr>
          <w:p w:rsidR="000E45E0" w:rsidRPr="000E45E0" w:rsidRDefault="000E45E0" w:rsidP="009D7B64">
            <w:pPr>
              <w:ind w:left="0"/>
            </w:pPr>
            <w:r w:rsidRPr="000E45E0">
              <w:t xml:space="preserve">(Phase </w:t>
            </w:r>
            <w:r w:rsidR="009D7B64">
              <w:t>II</w:t>
            </w:r>
            <w:r w:rsidRPr="000E45E0">
              <w:t>: BIC (</w:t>
            </w:r>
            <w:r w:rsidR="00251457">
              <w:t>75 mg</w:t>
            </w:r>
            <w:r w:rsidRPr="000E45E0">
              <w:t>) + F/TAF vs DTG + F/TAF)</w:t>
            </w:r>
          </w:p>
        </w:tc>
      </w:tr>
      <w:tr w:rsidR="000E45E0" w:rsidTr="00216225">
        <w:trPr>
          <w:trHeight w:val="246"/>
        </w:trPr>
        <w:tc>
          <w:tcPr>
            <w:tcW w:w="2974" w:type="dxa"/>
          </w:tcPr>
          <w:p w:rsidR="000E45E0" w:rsidRPr="000E45E0" w:rsidRDefault="000E45E0" w:rsidP="000E45E0">
            <w:pPr>
              <w:ind w:left="0"/>
            </w:pPr>
            <w:r w:rsidRPr="000E45E0">
              <w:t>GS-US-380-1489</w:t>
            </w:r>
          </w:p>
        </w:tc>
        <w:tc>
          <w:tcPr>
            <w:tcW w:w="5226" w:type="dxa"/>
          </w:tcPr>
          <w:p w:rsidR="000E45E0" w:rsidRPr="000E45E0" w:rsidRDefault="000E45E0" w:rsidP="009D7B64">
            <w:pPr>
              <w:ind w:left="0"/>
            </w:pPr>
            <w:r w:rsidRPr="000E45E0">
              <w:t xml:space="preserve">(Phase </w:t>
            </w:r>
            <w:r w:rsidR="009D7B64">
              <w:t>III</w:t>
            </w:r>
            <w:r w:rsidRPr="000E45E0">
              <w:t xml:space="preserve">: </w:t>
            </w:r>
            <w:r w:rsidR="001B5D97">
              <w:t>Biktarvy</w:t>
            </w:r>
            <w:r w:rsidRPr="000E45E0">
              <w:t xml:space="preserve"> vs ABC/DTG/3TC, naïve patients)</w:t>
            </w:r>
          </w:p>
        </w:tc>
      </w:tr>
      <w:tr w:rsidR="000E45E0" w:rsidTr="00216225">
        <w:trPr>
          <w:trHeight w:val="246"/>
        </w:trPr>
        <w:tc>
          <w:tcPr>
            <w:tcW w:w="2974" w:type="dxa"/>
          </w:tcPr>
          <w:p w:rsidR="000E45E0" w:rsidRPr="000E45E0" w:rsidRDefault="000E45E0" w:rsidP="000E45E0">
            <w:pPr>
              <w:ind w:left="0"/>
            </w:pPr>
            <w:r w:rsidRPr="000E45E0">
              <w:t>GS-US-380-1490</w:t>
            </w:r>
          </w:p>
        </w:tc>
        <w:tc>
          <w:tcPr>
            <w:tcW w:w="5226" w:type="dxa"/>
          </w:tcPr>
          <w:p w:rsidR="000E45E0" w:rsidRPr="000E45E0" w:rsidRDefault="000E45E0" w:rsidP="009D7B64">
            <w:pPr>
              <w:ind w:left="0"/>
            </w:pPr>
            <w:r w:rsidRPr="000E45E0">
              <w:t xml:space="preserve">(Phase </w:t>
            </w:r>
            <w:r w:rsidR="009D7B64">
              <w:t>III</w:t>
            </w:r>
            <w:r w:rsidRPr="000E45E0">
              <w:t xml:space="preserve">: </w:t>
            </w:r>
            <w:r w:rsidR="001B5D97">
              <w:t>Biktarvy</w:t>
            </w:r>
            <w:r w:rsidRPr="000E45E0">
              <w:t xml:space="preserve"> vs DTG + F/TAF, naïve patients)</w:t>
            </w:r>
          </w:p>
        </w:tc>
      </w:tr>
      <w:tr w:rsidR="000E45E0" w:rsidTr="00216225">
        <w:trPr>
          <w:trHeight w:val="529"/>
        </w:trPr>
        <w:tc>
          <w:tcPr>
            <w:tcW w:w="2974" w:type="dxa"/>
          </w:tcPr>
          <w:p w:rsidR="000E45E0" w:rsidRPr="000E45E0" w:rsidRDefault="000E45E0" w:rsidP="000E45E0">
            <w:pPr>
              <w:ind w:left="0"/>
            </w:pPr>
            <w:r w:rsidRPr="000E45E0">
              <w:t>GS-US-380-1844</w:t>
            </w:r>
          </w:p>
        </w:tc>
        <w:tc>
          <w:tcPr>
            <w:tcW w:w="5226" w:type="dxa"/>
          </w:tcPr>
          <w:p w:rsidR="000E45E0" w:rsidRPr="000E45E0" w:rsidRDefault="000E45E0" w:rsidP="009D7B64">
            <w:pPr>
              <w:ind w:left="0"/>
            </w:pPr>
            <w:r w:rsidRPr="000E45E0">
              <w:t xml:space="preserve">(Phase </w:t>
            </w:r>
            <w:r w:rsidR="009D7B64">
              <w:t>III</w:t>
            </w:r>
            <w:r w:rsidRPr="000E45E0">
              <w:t xml:space="preserve">: switching to </w:t>
            </w:r>
            <w:r w:rsidR="001B5D97">
              <w:t>Biktarvy</w:t>
            </w:r>
            <w:r w:rsidRPr="000E45E0">
              <w:t xml:space="preserve"> from DTG + ABC/3TC or ABC/DTG/3TC vs continued treatment. </w:t>
            </w:r>
          </w:p>
        </w:tc>
      </w:tr>
      <w:tr w:rsidR="000E45E0" w:rsidTr="00216225">
        <w:trPr>
          <w:trHeight w:val="529"/>
        </w:trPr>
        <w:tc>
          <w:tcPr>
            <w:tcW w:w="2974" w:type="dxa"/>
          </w:tcPr>
          <w:p w:rsidR="000E45E0" w:rsidRPr="000E45E0" w:rsidRDefault="000E45E0" w:rsidP="000E45E0">
            <w:pPr>
              <w:ind w:left="0"/>
            </w:pPr>
            <w:r w:rsidRPr="000E45E0">
              <w:t>GS-US-380-1878</w:t>
            </w:r>
          </w:p>
        </w:tc>
        <w:tc>
          <w:tcPr>
            <w:tcW w:w="5226" w:type="dxa"/>
          </w:tcPr>
          <w:p w:rsidR="000E45E0" w:rsidRPr="000E45E0" w:rsidRDefault="000E45E0" w:rsidP="009D7B64">
            <w:pPr>
              <w:ind w:left="0"/>
            </w:pPr>
            <w:r w:rsidRPr="000E45E0">
              <w:t>(</w:t>
            </w:r>
            <w:r w:rsidR="009D7B64" w:rsidRPr="000E45E0">
              <w:t xml:space="preserve">Phase </w:t>
            </w:r>
            <w:r w:rsidR="009D7B64">
              <w:t>III</w:t>
            </w:r>
            <w:r w:rsidRPr="000E45E0">
              <w:t xml:space="preserve">: switching to </w:t>
            </w:r>
            <w:r w:rsidR="001B5D97">
              <w:t>Biktarvy</w:t>
            </w:r>
            <w:r w:rsidRPr="000E45E0">
              <w:t xml:space="preserve"> from boosted atazanavir or darunavir + FTC/TDF or ABC/3TC vs continued treatment.</w:t>
            </w:r>
          </w:p>
        </w:tc>
      </w:tr>
    </w:tbl>
    <w:p w:rsidR="0064629F" w:rsidRDefault="0064629F" w:rsidP="000E45E0">
      <w:pPr>
        <w:pStyle w:val="Heading4"/>
      </w:pPr>
      <w:r>
        <w:t>Pharmacology</w:t>
      </w:r>
    </w:p>
    <w:p w:rsidR="000E45E0" w:rsidRPr="000E45E0" w:rsidRDefault="000E45E0" w:rsidP="0064629F">
      <w:pPr>
        <w:pStyle w:val="Heading5"/>
      </w:pPr>
      <w:r>
        <w:t>Pharmacokinetics</w:t>
      </w:r>
    </w:p>
    <w:p w:rsidR="004E5D79" w:rsidRDefault="000E45E0" w:rsidP="000E45E0">
      <w:r w:rsidRPr="00C35B6B">
        <w:rPr>
          <w:i/>
          <w:iCs/>
        </w:rPr>
        <w:t>In vitro</w:t>
      </w:r>
      <w:r>
        <w:rPr>
          <w:i/>
          <w:iCs/>
        </w:rPr>
        <w:t xml:space="preserve"> </w:t>
      </w:r>
      <w:r>
        <w:t>studies indicated that metabolism is primarily mediated via CYP3A and UGT1A1. The estimated components of BIC metabolism attributable to CYP3A and UGT1A1 were 39% and 43% respectively. A maximum of 5.6 fold increase in BIC exposure is expected on complete inhibition of both CYP3A and UGT1A1. The major metabolic pathways for BIC were direct glucuronidation, hydroxylation, defluorination, dehydrogenation, and conjugation of oxidised metabolites</w:t>
      </w:r>
      <w:r w:rsidR="004E5D79">
        <w:t>.</w:t>
      </w:r>
    </w:p>
    <w:p w:rsidR="004E5D79" w:rsidRDefault="000E45E0" w:rsidP="000E45E0">
      <w:r>
        <w:lastRenderedPageBreak/>
        <w:t xml:space="preserve">Following a single oral dose of </w:t>
      </w:r>
      <w:r w:rsidR="00216225">
        <w:t>100 mg</w:t>
      </w:r>
      <w:r>
        <w:t xml:space="preserve"> </w:t>
      </w:r>
      <w:r w:rsidR="004E4AAB">
        <w:t>(</w:t>
      </w:r>
      <w:r w:rsidRPr="00216225">
        <w:rPr>
          <w:vertAlign w:val="superscript"/>
        </w:rPr>
        <w:t>14</w:t>
      </w:r>
      <w:r>
        <w:t>C</w:t>
      </w:r>
      <w:r w:rsidR="004E4AAB">
        <w:t>)</w:t>
      </w:r>
      <w:r>
        <w:t xml:space="preserve">-BIC in healthy males, a total of 95% of dose was recovered with 60% in faeces and 35% in urine. Twenty metabolites of BIC have been identified. In human plasma, </w:t>
      </w:r>
      <w:r w:rsidR="004E4AAB">
        <w:t>(</w:t>
      </w:r>
      <w:r w:rsidRPr="00216225">
        <w:rPr>
          <w:vertAlign w:val="superscript"/>
        </w:rPr>
        <w:t>14</w:t>
      </w:r>
      <w:r>
        <w:t>C</w:t>
      </w:r>
      <w:r w:rsidR="004E4AAB">
        <w:t>)</w:t>
      </w:r>
      <w:r>
        <w:t>-BIC was the major circulating radioactive component and M-20 (sulphate of hydroxy-BIC) and M-15 (glucuronide of BIC) were the major metabolites, accounting for approximately 68%, 20%, and 9% of total radioactivity respectively. The functional activity of metabolites has not been examined</w:t>
      </w:r>
      <w:r w:rsidR="004E5D79">
        <w:t>.</w:t>
      </w:r>
    </w:p>
    <w:p w:rsidR="000E45E0" w:rsidRPr="000E45E0" w:rsidRDefault="000E45E0" w:rsidP="000E45E0">
      <w:r>
        <w:t>Based on BIC studies in the current dossier and known knowledge of FTC and TAF, the pharmacokinetic features of the 3 active ingredients are summarised in the table below (source: FDA drug label; the information is consistent with the submitted dossier and that also intended for the Australian PI):</w:t>
      </w:r>
    </w:p>
    <w:p w:rsidR="000E45E0" w:rsidRDefault="000E45E0" w:rsidP="000E45E0">
      <w:pPr>
        <w:pStyle w:val="TableTitle"/>
      </w:pPr>
      <w:r>
        <w:t>Table</w:t>
      </w:r>
      <w:r w:rsidR="00CA07F1">
        <w:t xml:space="preserve"> 2</w:t>
      </w:r>
      <w:r w:rsidR="00486A6E">
        <w:t>8</w:t>
      </w:r>
      <w:r w:rsidR="00216225">
        <w:t xml:space="preserve">: </w:t>
      </w:r>
      <w:r>
        <w:t>Pharmacokinetic properties of the components of Biktarvy</w:t>
      </w:r>
    </w:p>
    <w:p w:rsidR="000E45E0" w:rsidRDefault="000E45E0" w:rsidP="000E45E0">
      <w:r>
        <w:rPr>
          <w:noProof/>
          <w:lang w:eastAsia="en-AU"/>
        </w:rPr>
        <w:drawing>
          <wp:inline distT="0" distB="0" distL="0" distR="0" wp14:anchorId="2DB5EFF3" wp14:editId="37C31B03">
            <wp:extent cx="5059463" cy="4418381"/>
            <wp:effectExtent l="0" t="0" r="8255" b="1270"/>
            <wp:docPr id="1" name="Picture 1" descr="Pharmacokinetic properties of the components of Biktar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60797" cy="4419546"/>
                    </a:xfrm>
                    <a:prstGeom prst="rect">
                      <a:avLst/>
                    </a:prstGeom>
                  </pic:spPr>
                </pic:pic>
              </a:graphicData>
            </a:graphic>
          </wp:inline>
        </w:drawing>
      </w:r>
    </w:p>
    <w:p w:rsidR="000E45E0" w:rsidRDefault="000E45E0" w:rsidP="000E45E0">
      <w:r>
        <w:t xml:space="preserve">The results of </w:t>
      </w:r>
      <w:r w:rsidR="00251457">
        <w:t xml:space="preserve">single ascending doses </w:t>
      </w:r>
      <w:r>
        <w:t xml:space="preserve">(SAD) of BIC administered in </w:t>
      </w:r>
      <w:r w:rsidR="00080EC5">
        <w:t>Study</w:t>
      </w:r>
      <w:r>
        <w:t xml:space="preserve"> GS-US-141-1218 were indicative of roughly linear behaviour (AUC</w:t>
      </w:r>
      <w:r>
        <w:rPr>
          <w:sz w:val="14"/>
          <w:szCs w:val="14"/>
        </w:rPr>
        <w:t>inf</w:t>
      </w:r>
      <w:r>
        <w:t xml:space="preserve">) of BIC at 25, 50 and </w:t>
      </w:r>
      <w:r w:rsidR="00216225">
        <w:t>100 mg</w:t>
      </w:r>
      <w:r w:rsidR="004E4AAB">
        <w:t xml:space="preserve"> doses with c</w:t>
      </w:r>
      <w:r>
        <w:t>learance (CL/F) of 725, 675 and 656 mL/h</w:t>
      </w:r>
      <w:r w:rsidR="00251457">
        <w:t>our</w:t>
      </w:r>
      <w:r>
        <w:t xml:space="preserve"> respectively as shown </w:t>
      </w:r>
      <w:r w:rsidR="00251457">
        <w:t xml:space="preserve">in Table </w:t>
      </w:r>
      <w:r w:rsidR="00CA07F1">
        <w:t>2</w:t>
      </w:r>
      <w:r w:rsidR="00486A6E">
        <w:t>9</w:t>
      </w:r>
      <w:r w:rsidR="00251457">
        <w:t>.</w:t>
      </w:r>
    </w:p>
    <w:p w:rsidR="000E45E0" w:rsidRDefault="000E45E0" w:rsidP="00782831">
      <w:pPr>
        <w:pStyle w:val="TableTitle"/>
      </w:pPr>
      <w:r>
        <w:lastRenderedPageBreak/>
        <w:t>Table</w:t>
      </w:r>
      <w:r w:rsidR="00CA07F1">
        <w:t xml:space="preserve"> 2</w:t>
      </w:r>
      <w:r w:rsidR="00486A6E">
        <w:t>9</w:t>
      </w:r>
      <w:r w:rsidR="00251457">
        <w:t>:</w:t>
      </w:r>
      <w:r w:rsidR="00782831">
        <w:t xml:space="preserve"> </w:t>
      </w:r>
      <w:r w:rsidR="00486A6E">
        <w:t xml:space="preserve">Study </w:t>
      </w:r>
      <w:r w:rsidR="00782831">
        <w:t>GS-US-141-1218</w:t>
      </w:r>
      <w:r w:rsidR="00486A6E">
        <w:t>;</w:t>
      </w:r>
      <w:r w:rsidR="00782831">
        <w:t xml:space="preserve"> GS-9883 Plasma </w:t>
      </w:r>
      <w:r w:rsidR="00CA07F1">
        <w:t xml:space="preserve">pharmacokinetic parameters </w:t>
      </w:r>
      <w:r w:rsidR="00782831">
        <w:t xml:space="preserve">by </w:t>
      </w:r>
      <w:r w:rsidR="00CA07F1">
        <w:t xml:space="preserve">treatment following single-dose administration </w:t>
      </w:r>
      <w:r w:rsidR="00782831">
        <w:t>of GS-</w:t>
      </w:r>
      <w:r w:rsidR="00782831" w:rsidRPr="00782831">
        <w:t>9883 (Analysis Set: GS-9883 PK Part A: Single-Dose)</w:t>
      </w:r>
    </w:p>
    <w:p w:rsidR="000E45E0" w:rsidRDefault="00782831" w:rsidP="00ED3A2F">
      <w:r w:rsidRPr="00ED3A2F">
        <w:rPr>
          <w:noProof/>
          <w:lang w:eastAsia="en-AU"/>
        </w:rPr>
        <w:drawing>
          <wp:inline distT="0" distB="0" distL="0" distR="0" wp14:anchorId="52F024D8" wp14:editId="61C25BBE">
            <wp:extent cx="5002262" cy="2531059"/>
            <wp:effectExtent l="0" t="0" r="8255" b="3175"/>
            <wp:docPr id="6" name="Picture 6" descr="GS-US-141-1218: GS-9883 Plasma pharmacokinetic parameters by treatment following single-dose administration of GS-9883 (Analysis Set: GS-9883 PK Part A: Single-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09152" cy="2534545"/>
                    </a:xfrm>
                    <a:prstGeom prst="rect">
                      <a:avLst/>
                    </a:prstGeom>
                  </pic:spPr>
                </pic:pic>
              </a:graphicData>
            </a:graphic>
          </wp:inline>
        </w:drawing>
      </w:r>
    </w:p>
    <w:p w:rsidR="000E45E0" w:rsidRDefault="00157E47" w:rsidP="00157E47">
      <w:r>
        <w:t xml:space="preserve">The results of </w:t>
      </w:r>
      <w:r w:rsidR="00556029">
        <w:t xml:space="preserve">multiple ascending doses </w:t>
      </w:r>
      <w:r>
        <w:t xml:space="preserve">(MAD) of BIC administered in the same study </w:t>
      </w:r>
      <w:r w:rsidRPr="00811608">
        <w:t xml:space="preserve">were indicative of accumulation by a factor of </w:t>
      </w:r>
      <w:r w:rsidRPr="00556029">
        <w:t>1.6</w:t>
      </w:r>
      <w:r>
        <w:t xml:space="preserve"> </w:t>
      </w:r>
      <w:r w:rsidR="00BE6936">
        <w:t xml:space="preserve">from Day 1 to Day 7 with steady </w:t>
      </w:r>
      <w:r>
        <w:t>state</w:t>
      </w:r>
      <w:r w:rsidR="00251457">
        <w:t xml:space="preserve"> reached between Da</w:t>
      </w:r>
      <w:r w:rsidR="00CA07F1">
        <w:t xml:space="preserve">y 4 to Day 6 as shown in Table </w:t>
      </w:r>
      <w:r w:rsidR="00486A6E">
        <w:t>30</w:t>
      </w:r>
      <w:r w:rsidR="00251457">
        <w:t>.</w:t>
      </w:r>
    </w:p>
    <w:p w:rsidR="00782831" w:rsidRDefault="00782831" w:rsidP="00782831">
      <w:pPr>
        <w:pStyle w:val="TableTitle"/>
      </w:pPr>
      <w:r>
        <w:t xml:space="preserve">Table </w:t>
      </w:r>
      <w:r w:rsidR="00486A6E">
        <w:t>30</w:t>
      </w:r>
      <w:r>
        <w:t xml:space="preserve">: </w:t>
      </w:r>
      <w:r w:rsidR="00486A6E">
        <w:t xml:space="preserve">Study </w:t>
      </w:r>
      <w:r>
        <w:t>GS-US-141-1218</w:t>
      </w:r>
      <w:r w:rsidR="00486A6E">
        <w:t>;</w:t>
      </w:r>
      <w:r>
        <w:t xml:space="preserve"> GS-9883 Plasma </w:t>
      </w:r>
      <w:r w:rsidR="00ED3A2F">
        <w:t xml:space="preserve">pharmacokinetic parameters </w:t>
      </w:r>
      <w:r>
        <w:t>by GS</w:t>
      </w:r>
      <w:r w:rsidR="00556029">
        <w:noBreakHyphen/>
      </w:r>
      <w:r>
        <w:t xml:space="preserve">9883 </w:t>
      </w:r>
      <w:r w:rsidR="00ED3A2F">
        <w:t>dose following multiple-dose administration of GS-9883 (Analysis Set: GS</w:t>
      </w:r>
      <w:r w:rsidR="00ED3A2F">
        <w:noBreakHyphen/>
        <w:t xml:space="preserve">9883 PK Part B: Multiple </w:t>
      </w:r>
      <w:r>
        <w:t>Dose)</w:t>
      </w:r>
    </w:p>
    <w:p w:rsidR="000E45E0" w:rsidRDefault="00782831" w:rsidP="00ED3A2F">
      <w:r w:rsidRPr="00ED3A2F">
        <w:rPr>
          <w:noProof/>
          <w:lang w:eastAsia="en-AU"/>
        </w:rPr>
        <w:drawing>
          <wp:inline distT="0" distB="0" distL="0" distR="0" wp14:anchorId="784669BA" wp14:editId="4052FF61">
            <wp:extent cx="4985586" cy="3130905"/>
            <wp:effectExtent l="0" t="0" r="5715" b="0"/>
            <wp:docPr id="48" name="Picture 48" descr="GS-US-141-1218: GS-9883 Plasma pharmacokinetic parameters by GS-9883 dose following multiple-dose administration of GS-9883 (Analysis Set: GS 9883 PK Part B: Multipl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86900" cy="3131730"/>
                    </a:xfrm>
                    <a:prstGeom prst="rect">
                      <a:avLst/>
                    </a:prstGeom>
                  </pic:spPr>
                </pic:pic>
              </a:graphicData>
            </a:graphic>
          </wp:inline>
        </w:drawing>
      </w:r>
    </w:p>
    <w:p w:rsidR="0064629F" w:rsidRDefault="0064629F" w:rsidP="0064629F">
      <w:pPr>
        <w:pStyle w:val="Heading5"/>
      </w:pPr>
      <w:r>
        <w:t>Pharmacodynamics</w:t>
      </w:r>
    </w:p>
    <w:p w:rsidR="0064629F" w:rsidRDefault="0064629F" w:rsidP="0064629F">
      <w:r>
        <w:t>Please see the toxicology and clinical evaluation reports</w:t>
      </w:r>
      <w:r w:rsidR="00556029">
        <w:t xml:space="preserve"> [extracts of these are included in the relevant sections of this AusPAR, above]</w:t>
      </w:r>
      <w:r>
        <w:t xml:space="preserve">. No clinically relevant effect on QT interval was shown in </w:t>
      </w:r>
      <w:r w:rsidR="00080EC5">
        <w:t>Study</w:t>
      </w:r>
      <w:r>
        <w:t xml:space="preserve"> GS-US-141-1480.</w:t>
      </w:r>
    </w:p>
    <w:p w:rsidR="0064629F" w:rsidRDefault="0064629F" w:rsidP="0064629F">
      <w:pPr>
        <w:pStyle w:val="Heading4"/>
      </w:pPr>
      <w:r>
        <w:t xml:space="preserve">Clinical </w:t>
      </w:r>
      <w:r w:rsidR="00556029">
        <w:t>e</w:t>
      </w:r>
      <w:r>
        <w:t>fficacy</w:t>
      </w:r>
    </w:p>
    <w:p w:rsidR="0064629F" w:rsidRDefault="0064629F" w:rsidP="0064629F">
      <w:r w:rsidRPr="0064629F">
        <w:t xml:space="preserve">Clinical efficacy/safety is based on one Phase </w:t>
      </w:r>
      <w:r w:rsidR="009D7B64">
        <w:t>II</w:t>
      </w:r>
      <w:r w:rsidRPr="0064629F">
        <w:t xml:space="preserve"> study and four Phase </w:t>
      </w:r>
      <w:r w:rsidR="009D7B64">
        <w:t>III</w:t>
      </w:r>
      <w:r w:rsidRPr="0064629F">
        <w:t xml:space="preserve"> studies as follows:</w:t>
      </w:r>
    </w:p>
    <w:p w:rsidR="00782831" w:rsidRDefault="00782831" w:rsidP="00782831">
      <w:pPr>
        <w:pStyle w:val="TableTitle"/>
      </w:pPr>
      <w:r>
        <w:lastRenderedPageBreak/>
        <w:t xml:space="preserve">Table </w:t>
      </w:r>
      <w:r w:rsidR="00ED3A2F">
        <w:t>3</w:t>
      </w:r>
      <w:r w:rsidR="00486A6E">
        <w:t>1</w:t>
      </w:r>
      <w:r w:rsidRPr="00782831">
        <w:t xml:space="preserve">: Primary </w:t>
      </w:r>
      <w:r w:rsidR="00ED3A2F" w:rsidRPr="00782831">
        <w:t xml:space="preserve">studies supporting </w:t>
      </w:r>
      <w:r w:rsidR="00ED3A2F">
        <w:t xml:space="preserve">the clinical </w:t>
      </w:r>
      <w:r w:rsidR="00ED3A2F" w:rsidRPr="00782831">
        <w:t>efficacy</w:t>
      </w:r>
      <w:r w:rsidR="00ED3A2F">
        <w:t xml:space="preserve"> and safety</w:t>
      </w:r>
      <w:r w:rsidR="00ED3A2F" w:rsidRPr="00782831">
        <w:t xml:space="preserve"> </w:t>
      </w:r>
      <w:r w:rsidRPr="00782831">
        <w:t>of B/F/TAF</w:t>
      </w:r>
    </w:p>
    <w:p w:rsidR="0064629F" w:rsidRPr="0064629F" w:rsidRDefault="00782831" w:rsidP="00251457">
      <w:r w:rsidRPr="00251457">
        <w:rPr>
          <w:noProof/>
          <w:lang w:eastAsia="en-AU"/>
        </w:rPr>
        <w:drawing>
          <wp:inline distT="0" distB="0" distL="0" distR="0" wp14:anchorId="4B1BFAFD" wp14:editId="0B789215">
            <wp:extent cx="5135270" cy="3730752"/>
            <wp:effectExtent l="0" t="0" r="8255" b="3175"/>
            <wp:docPr id="49" name="Picture 49" descr="Primary studies supporting the clinical efficacy and safety of B/F/T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38098" cy="3732806"/>
                    </a:xfrm>
                    <a:prstGeom prst="rect">
                      <a:avLst/>
                    </a:prstGeom>
                  </pic:spPr>
                </pic:pic>
              </a:graphicData>
            </a:graphic>
          </wp:inline>
        </w:drawing>
      </w:r>
    </w:p>
    <w:p w:rsidR="0064629F" w:rsidRDefault="00251457" w:rsidP="0064629F">
      <w:pPr>
        <w:pStyle w:val="Heading5"/>
      </w:pPr>
      <w:r>
        <w:t>Dose selection</w:t>
      </w:r>
    </w:p>
    <w:p w:rsidR="0064629F" w:rsidRDefault="0064629F" w:rsidP="0064629F">
      <w:r w:rsidRPr="0064629F">
        <w:t xml:space="preserve">The Phase </w:t>
      </w:r>
      <w:r w:rsidR="009D7B64">
        <w:t>II</w:t>
      </w:r>
      <w:r w:rsidRPr="0064629F">
        <w:t xml:space="preserve"> </w:t>
      </w:r>
      <w:r w:rsidR="00080EC5">
        <w:t>Study</w:t>
      </w:r>
      <w:r w:rsidRPr="0064629F">
        <w:t xml:space="preserve"> GS-US-141-1475 in adult HIV-1 patients used </w:t>
      </w:r>
      <w:r w:rsidR="00251457">
        <w:t>75 mg</w:t>
      </w:r>
      <w:r w:rsidRPr="0064629F">
        <w:t xml:space="preserve"> dose of BIC (+FTC/TAF 200/25</w:t>
      </w:r>
      <w:r w:rsidR="00486A6E">
        <w:t xml:space="preserve"> mg</w:t>
      </w:r>
      <w:r w:rsidRPr="0064629F">
        <w:t>) for early investigation of treatment effect. This dose was</w:t>
      </w:r>
      <w:r w:rsidR="00BE6936">
        <w:t xml:space="preserve"> selected based on a small dose ranging, proof of </w:t>
      </w:r>
      <w:r w:rsidRPr="0064629F">
        <w:t xml:space="preserve">concept </w:t>
      </w:r>
      <w:r w:rsidR="00080EC5">
        <w:t>Study</w:t>
      </w:r>
      <w:r w:rsidRPr="0064629F">
        <w:t xml:space="preserve"> GS-US-141-1219 which examined the pharmacokinetics and antiviral activity of a range of single and multiple doses of BIC (5, 25, 50</w:t>
      </w:r>
      <w:r w:rsidR="00782831">
        <w:t xml:space="preserve"> and</w:t>
      </w:r>
      <w:r w:rsidR="00BE6936">
        <w:t xml:space="preserve"> 100 mg) demonstrating a dose </w:t>
      </w:r>
      <w:r w:rsidRPr="0064629F">
        <w:t xml:space="preserve">dependent decrease in HIV viral load compared to placebo. The antiviral effect of BIC plateaued at </w:t>
      </w:r>
      <w:r w:rsidR="00782831">
        <w:t>25 mg</w:t>
      </w:r>
      <w:r w:rsidRPr="0064629F">
        <w:t xml:space="preserve"> and </w:t>
      </w:r>
      <w:r w:rsidR="00782831">
        <w:t>50 mg</w:t>
      </w:r>
      <w:r w:rsidRPr="0064629F">
        <w:t xml:space="preserve"> doses and was slightly potentiated at the highest </w:t>
      </w:r>
      <w:r w:rsidR="00216225">
        <w:t>100 mg</w:t>
      </w:r>
      <w:r w:rsidR="000B1427">
        <w:t xml:space="preserve"> BIC dose.</w:t>
      </w:r>
    </w:p>
    <w:p w:rsidR="000B1427" w:rsidRDefault="00ED3A2F" w:rsidP="000B1427">
      <w:pPr>
        <w:pStyle w:val="TableTitle"/>
      </w:pPr>
      <w:r>
        <w:t>Table 3</w:t>
      </w:r>
      <w:r w:rsidR="00486A6E">
        <w:t>2</w:t>
      </w:r>
      <w:r w:rsidR="000B1427">
        <w:t>: Antiviral efficacy of BIC at different dose levels</w:t>
      </w:r>
    </w:p>
    <w:p w:rsidR="0064629F" w:rsidRDefault="0064629F" w:rsidP="0064629F">
      <w:r>
        <w:rPr>
          <w:noProof/>
          <w:lang w:eastAsia="en-AU"/>
        </w:rPr>
        <w:drawing>
          <wp:inline distT="0" distB="0" distL="0" distR="0" wp14:anchorId="2B88DEC3" wp14:editId="3CD69BFB">
            <wp:extent cx="5094343" cy="2779776"/>
            <wp:effectExtent l="0" t="0" r="0" b="1905"/>
            <wp:docPr id="10" name="Picture 10" descr="Antiviral efficacy of BIC at different dos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5686" cy="2780509"/>
                    </a:xfrm>
                    <a:prstGeom prst="rect">
                      <a:avLst/>
                    </a:prstGeom>
                    <a:noFill/>
                    <a:ln>
                      <a:noFill/>
                    </a:ln>
                  </pic:spPr>
                </pic:pic>
              </a:graphicData>
            </a:graphic>
          </wp:inline>
        </w:drawing>
      </w:r>
    </w:p>
    <w:p w:rsidR="0064629F" w:rsidRDefault="0064629F" w:rsidP="0064629F">
      <w:r>
        <w:t xml:space="preserve">The subsequent Phase </w:t>
      </w:r>
      <w:r w:rsidR="009D7B64">
        <w:t>II</w:t>
      </w:r>
      <w:r>
        <w:t xml:space="preserve"> </w:t>
      </w:r>
      <w:r w:rsidR="00080EC5">
        <w:t>Study</w:t>
      </w:r>
      <w:r>
        <w:t xml:space="preserve"> GS-US-141-1475 therefore examined BIC (75</w:t>
      </w:r>
      <w:r w:rsidR="00323EBF">
        <w:t xml:space="preserve"> </w:t>
      </w:r>
      <w:r>
        <w:t>mg) given with the established clinical dose of FTC/TAF (200/25</w:t>
      </w:r>
      <w:r w:rsidR="00486A6E">
        <w:t xml:space="preserve"> mg</w:t>
      </w:r>
      <w:r>
        <w:t xml:space="preserve">) and compared it with </w:t>
      </w:r>
      <w:r>
        <w:lastRenderedPageBreak/>
        <w:t xml:space="preserve">dolutegravir (DTG </w:t>
      </w:r>
      <w:r w:rsidR="00782831">
        <w:t>50 mg</w:t>
      </w:r>
      <w:r>
        <w:t xml:space="preserve">) + FTC/TAF (200/25) in HIV patients. No other dose level of BIC was examined in the Phase </w:t>
      </w:r>
      <w:r w:rsidR="009D7B64">
        <w:t>II</w:t>
      </w:r>
      <w:r>
        <w:t xml:space="preserve"> stu</w:t>
      </w:r>
      <w:r w:rsidR="00323EBF">
        <w:t xml:space="preserve">dy. The </w:t>
      </w:r>
      <w:r w:rsidR="00ED3A2F">
        <w:t>results were as shown in Table 3</w:t>
      </w:r>
      <w:r w:rsidR="00486A6E">
        <w:t>3</w:t>
      </w:r>
      <w:r w:rsidR="00323EBF">
        <w:t>.</w:t>
      </w:r>
    </w:p>
    <w:p w:rsidR="00323EBF" w:rsidRDefault="00ED3A2F" w:rsidP="00323EBF">
      <w:pPr>
        <w:pStyle w:val="TableTitle"/>
      </w:pPr>
      <w:r>
        <w:t>Table 3</w:t>
      </w:r>
      <w:r w:rsidR="00486A6E">
        <w:t>3</w:t>
      </w:r>
      <w:r w:rsidR="00323EBF">
        <w:t>: Study GS-US-141-1475. An overall summary of the different US FDA-defined snapshot algorithm analyses</w:t>
      </w:r>
    </w:p>
    <w:p w:rsidR="0064629F" w:rsidRDefault="0064629F" w:rsidP="0064629F">
      <w:r>
        <w:rPr>
          <w:noProof/>
          <w:lang w:eastAsia="en-AU"/>
        </w:rPr>
        <w:drawing>
          <wp:inline distT="0" distB="0" distL="0" distR="0" wp14:anchorId="102ACE6B" wp14:editId="553D975E">
            <wp:extent cx="5054803" cy="2970973"/>
            <wp:effectExtent l="0" t="0" r="0" b="1270"/>
            <wp:docPr id="11" name="Picture 11" descr="Study GS-US-141-1475. An overall summary of the different US FDA-defined snapshot algorithm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6135" cy="2971756"/>
                    </a:xfrm>
                    <a:prstGeom prst="rect">
                      <a:avLst/>
                    </a:prstGeom>
                    <a:noFill/>
                    <a:ln>
                      <a:noFill/>
                    </a:ln>
                  </pic:spPr>
                </pic:pic>
              </a:graphicData>
            </a:graphic>
          </wp:inline>
        </w:drawing>
      </w:r>
    </w:p>
    <w:p w:rsidR="0064629F" w:rsidRDefault="0064629F" w:rsidP="0064629F">
      <w:r>
        <w:t>A co</w:t>
      </w:r>
      <w:r w:rsidR="00323EBF">
        <w:t>-</w:t>
      </w:r>
      <w:r>
        <w:t xml:space="preserve">formulated fixed dose combination was not used in the Phase </w:t>
      </w:r>
      <w:r w:rsidR="009D7B64">
        <w:t>II</w:t>
      </w:r>
      <w:r>
        <w:t xml:space="preserve"> study. A subsequent PK </w:t>
      </w:r>
      <w:r w:rsidR="00080EC5">
        <w:t>Study</w:t>
      </w:r>
      <w:r>
        <w:t xml:space="preserve"> GS-US-141-1233 was undertaken to establish bioequivalence of a B/F/T</w:t>
      </w:r>
      <w:r w:rsidR="00F364C7">
        <w:t>AF</w:t>
      </w:r>
      <w:r>
        <w:t xml:space="preserve"> (75/200/25) </w:t>
      </w:r>
      <w:r w:rsidR="00323EBF">
        <w:t>co-formulation</w:t>
      </w:r>
      <w:r>
        <w:t xml:space="preserve"> versus the administration of BIC+FTC/TAF (75+200/25). The results, under fasting conditions, were as </w:t>
      </w:r>
      <w:r w:rsidR="00323EBF">
        <w:t xml:space="preserve">shown in Table </w:t>
      </w:r>
      <w:r w:rsidR="00ED3A2F">
        <w:t>3</w:t>
      </w:r>
      <w:r w:rsidR="00486A6E">
        <w:t>4</w:t>
      </w:r>
      <w:r w:rsidR="00323EBF">
        <w:t>.</w:t>
      </w:r>
    </w:p>
    <w:p w:rsidR="00323EBF" w:rsidRDefault="00323EBF" w:rsidP="00323EBF">
      <w:pPr>
        <w:pStyle w:val="TableTitle"/>
      </w:pPr>
      <w:r>
        <w:t xml:space="preserve">Table </w:t>
      </w:r>
      <w:r w:rsidR="00ED3A2F">
        <w:t>3</w:t>
      </w:r>
      <w:r w:rsidR="00486A6E">
        <w:t>4</w:t>
      </w:r>
      <w:r>
        <w:t xml:space="preserve">: Study GS-US-141-1233 Plasma PK parameters for BIC, FTC, and TAF and statistical comparisons for relative bioavailability between </w:t>
      </w:r>
      <w:r w:rsidRPr="00323EBF">
        <w:t>the 75</w:t>
      </w:r>
      <w:r w:rsidR="00486A6E">
        <w:t xml:space="preserve"> </w:t>
      </w:r>
      <w:r w:rsidRPr="00323EBF">
        <w:t>mg B/F/TAF FDC and BIC 75 mg + F/TAF, each</w:t>
      </w:r>
      <w:r>
        <w:t xml:space="preserve"> </w:t>
      </w:r>
      <w:r w:rsidRPr="00323EBF">
        <w:t>administered in the fasted state</w:t>
      </w:r>
    </w:p>
    <w:p w:rsidR="0064629F" w:rsidRDefault="00BA226B" w:rsidP="0064629F">
      <w:r>
        <w:rPr>
          <w:noProof/>
          <w:lang w:eastAsia="en-AU"/>
        </w:rPr>
        <w:drawing>
          <wp:inline distT="0" distB="0" distL="0" distR="0" wp14:anchorId="36E4C957" wp14:editId="020CE06E">
            <wp:extent cx="5207203" cy="2991916"/>
            <wp:effectExtent l="0" t="0" r="0" b="0"/>
            <wp:docPr id="50" name="Picture 50" descr="Study GS-US-141-1233 Plasma PK parameters for BIC, FTC, and TAF and statistical comparisons for relative bioavailability between the 75-mg B/F/TAF FDC and BIC 75 mg + F/TAF, each administered in the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09001" cy="2992949"/>
                    </a:xfrm>
                    <a:prstGeom prst="rect">
                      <a:avLst/>
                    </a:prstGeom>
                  </pic:spPr>
                </pic:pic>
              </a:graphicData>
            </a:graphic>
          </wp:inline>
        </w:drawing>
      </w:r>
    </w:p>
    <w:p w:rsidR="0064629F" w:rsidRDefault="0064629F" w:rsidP="0064629F">
      <w:r w:rsidRPr="0064629F">
        <w:t xml:space="preserve">These results appear to have been interpreted as indicative of a lack of bioequivalence so that a new lower dose </w:t>
      </w:r>
      <w:r w:rsidR="00323EBF">
        <w:t>co-formulation</w:t>
      </w:r>
      <w:r w:rsidRPr="0064629F">
        <w:t xml:space="preserve"> of B/F/T</w:t>
      </w:r>
      <w:r w:rsidR="00F364C7">
        <w:t>AF</w:t>
      </w:r>
      <w:r w:rsidRPr="0064629F">
        <w:t xml:space="preserve"> (50/200/25) was developed for comparison with BIC</w:t>
      </w:r>
      <w:r w:rsidR="00486A6E">
        <w:t> </w:t>
      </w:r>
      <w:r w:rsidRPr="0064629F">
        <w:t>+</w:t>
      </w:r>
      <w:r w:rsidR="00486A6E">
        <w:t> </w:t>
      </w:r>
      <w:r w:rsidRPr="0064629F">
        <w:t>FTC/TAF (75</w:t>
      </w:r>
      <w:r w:rsidR="00486A6E">
        <w:t> </w:t>
      </w:r>
      <w:r w:rsidRPr="0064629F">
        <w:t>+</w:t>
      </w:r>
      <w:r w:rsidR="00486A6E">
        <w:t> </w:t>
      </w:r>
      <w:r w:rsidRPr="0064629F">
        <w:t>200/25</w:t>
      </w:r>
      <w:r w:rsidR="00486A6E">
        <w:t xml:space="preserve"> mg</w:t>
      </w:r>
      <w:r w:rsidRPr="0064629F">
        <w:t xml:space="preserve">). The results, under fasting conditions, were as </w:t>
      </w:r>
      <w:r w:rsidR="00BA226B">
        <w:t xml:space="preserve">shown in Table </w:t>
      </w:r>
      <w:r w:rsidR="00ED3A2F">
        <w:t>3</w:t>
      </w:r>
      <w:r w:rsidR="00486A6E">
        <w:t>5</w:t>
      </w:r>
      <w:r w:rsidR="00BA226B">
        <w:t>.</w:t>
      </w:r>
    </w:p>
    <w:p w:rsidR="00BA226B" w:rsidRDefault="00ED3A2F" w:rsidP="00BA226B">
      <w:pPr>
        <w:pStyle w:val="TableTitle"/>
      </w:pPr>
      <w:r>
        <w:lastRenderedPageBreak/>
        <w:t>Table 3</w:t>
      </w:r>
      <w:r w:rsidR="00486A6E">
        <w:t>5</w:t>
      </w:r>
      <w:r w:rsidR="00BA226B">
        <w:t>:</w:t>
      </w:r>
      <w:r w:rsidR="00BA226B" w:rsidRPr="00BA226B">
        <w:t xml:space="preserve"> </w:t>
      </w:r>
      <w:r w:rsidR="00BA226B">
        <w:t xml:space="preserve">Plasma PK parameters for BIC, FTC, and TAF and statistical comparisons for relative bioavailability between </w:t>
      </w:r>
      <w:r w:rsidR="00BA226B" w:rsidRPr="00323EBF">
        <w:t xml:space="preserve">the </w:t>
      </w:r>
      <w:r w:rsidR="00BA226B">
        <w:t>50</w:t>
      </w:r>
      <w:r w:rsidR="004E4AAB">
        <w:t xml:space="preserve"> </w:t>
      </w:r>
      <w:r w:rsidR="00BA226B" w:rsidRPr="00323EBF">
        <w:t>mg B/F/TAF FDC and BIC 75 mg + F/TAF, each</w:t>
      </w:r>
      <w:r w:rsidR="00BA226B">
        <w:t xml:space="preserve"> </w:t>
      </w:r>
      <w:r w:rsidR="00BA226B" w:rsidRPr="00323EBF">
        <w:t>administered in the fasted state</w:t>
      </w:r>
    </w:p>
    <w:p w:rsidR="0064629F" w:rsidRDefault="00BA226B" w:rsidP="0064629F">
      <w:r>
        <w:rPr>
          <w:noProof/>
          <w:lang w:eastAsia="en-AU"/>
        </w:rPr>
        <w:drawing>
          <wp:inline distT="0" distB="0" distL="0" distR="0" wp14:anchorId="430A9CED" wp14:editId="0932F616">
            <wp:extent cx="5239465" cy="3218688"/>
            <wp:effectExtent l="0" t="0" r="0" b="1270"/>
            <wp:docPr id="53" name="Picture 53" descr=" Plasma PK parameters for BIC, FTC, and TAF and statistical comparisons for relative bioavailability between the 50-mg B/F/TAF FDC and BIC 75 mg + F/TAF, each administered in the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45072" cy="3222132"/>
                    </a:xfrm>
                    <a:prstGeom prst="rect">
                      <a:avLst/>
                    </a:prstGeom>
                  </pic:spPr>
                </pic:pic>
              </a:graphicData>
            </a:graphic>
          </wp:inline>
        </w:drawing>
      </w:r>
    </w:p>
    <w:p w:rsidR="0064629F" w:rsidRDefault="0064629F" w:rsidP="0064629F">
      <w:r>
        <w:t xml:space="preserve">Based on these results, it was argued that 50/200/25 </w:t>
      </w:r>
      <w:r w:rsidR="00486A6E">
        <w:t xml:space="preserve">mg </w:t>
      </w:r>
      <w:r>
        <w:t xml:space="preserve">was (more) bioequivalent to 75+200/25 </w:t>
      </w:r>
      <w:r w:rsidR="00486A6E">
        <w:t xml:space="preserve">mg </w:t>
      </w:r>
      <w:r>
        <w:t>than 75/200/25</w:t>
      </w:r>
      <w:r w:rsidR="00486A6E">
        <w:t xml:space="preserve"> mg</w:t>
      </w:r>
      <w:r>
        <w:t>. Henceforth, B/F/T</w:t>
      </w:r>
      <w:r w:rsidR="00F364C7">
        <w:t>AF</w:t>
      </w:r>
      <w:r>
        <w:t xml:space="preserve"> (50/200/25</w:t>
      </w:r>
      <w:r w:rsidR="00486A6E">
        <w:t xml:space="preserve"> mg</w:t>
      </w:r>
      <w:r>
        <w:t xml:space="preserve">) was used in all 4 confirmatory Phase </w:t>
      </w:r>
      <w:r w:rsidR="009D7B64">
        <w:t>III</w:t>
      </w:r>
      <w:r>
        <w:t xml:space="preserve"> trials (without regard for food). No other dosing regimen was examined in Phase </w:t>
      </w:r>
      <w:r w:rsidR="009D7B64">
        <w:t>III</w:t>
      </w:r>
      <w:r>
        <w:t>.</w:t>
      </w:r>
    </w:p>
    <w:p w:rsidR="0064629F" w:rsidRDefault="0064629F" w:rsidP="0064629F">
      <w:pPr>
        <w:pStyle w:val="Heading5"/>
      </w:pPr>
      <w:r>
        <w:t>Efficacy</w:t>
      </w:r>
    </w:p>
    <w:p w:rsidR="0064629F" w:rsidRDefault="0064629F" w:rsidP="0064629F">
      <w:r>
        <w:t xml:space="preserve">All </w:t>
      </w:r>
      <w:r w:rsidR="009D7B64">
        <w:t>four</w:t>
      </w:r>
      <w:r>
        <w:t xml:space="preserve"> Phase </w:t>
      </w:r>
      <w:r w:rsidR="009D7B64">
        <w:t>III</w:t>
      </w:r>
      <w:r>
        <w:t xml:space="preserve"> trials were carried out in adult HIV-1 patients and were ran</w:t>
      </w:r>
      <w:r w:rsidR="00F12518">
        <w:t>domised, placebo-controlled, that is,</w:t>
      </w:r>
      <w:r>
        <w:t xml:space="preserve"> double blinded against relevant active comparator regimens.</w:t>
      </w:r>
    </w:p>
    <w:p w:rsidR="0064629F" w:rsidRDefault="0064629F" w:rsidP="0064629F">
      <w:pPr>
        <w:pStyle w:val="Heading5"/>
      </w:pPr>
      <w:r>
        <w:t>Treatment naïve population</w:t>
      </w:r>
    </w:p>
    <w:p w:rsidR="0064629F" w:rsidRDefault="0064629F" w:rsidP="0064629F">
      <w:r>
        <w:t>Studies GS</w:t>
      </w:r>
      <w:r w:rsidR="00BA226B">
        <w:t>-US-380-1489 and GS-US-380-1490</w:t>
      </w:r>
      <w:r>
        <w:t xml:space="preserve">: The primary efficacy results at Week 48 were as </w:t>
      </w:r>
      <w:r w:rsidR="00ED3A2F">
        <w:t>shown in Table 3</w:t>
      </w:r>
      <w:r w:rsidR="00486A6E">
        <w:t>6</w:t>
      </w:r>
      <w:r w:rsidR="00BA226B">
        <w:t>.</w:t>
      </w:r>
    </w:p>
    <w:p w:rsidR="00BA226B" w:rsidRDefault="00ED3A2F" w:rsidP="00BA226B">
      <w:pPr>
        <w:pStyle w:val="TableTitle"/>
      </w:pPr>
      <w:r>
        <w:lastRenderedPageBreak/>
        <w:t>Table 3</w:t>
      </w:r>
      <w:r w:rsidR="00486A6E">
        <w:t>6</w:t>
      </w:r>
      <w:r w:rsidR="00BA226B">
        <w:t xml:space="preserve">: </w:t>
      </w:r>
      <w:r w:rsidR="00486A6E">
        <w:t xml:space="preserve">Studies </w:t>
      </w:r>
      <w:r w:rsidR="00BA226B">
        <w:t xml:space="preserve">GS-US-380-1489 and GS-US-380-1490: Virologic </w:t>
      </w:r>
      <w:r w:rsidR="00251457">
        <w:t>o</w:t>
      </w:r>
      <w:r w:rsidR="00BA226B">
        <w:t xml:space="preserve">utcome at Week 48 </w:t>
      </w:r>
      <w:r w:rsidR="00251457">
        <w:t>u</w:t>
      </w:r>
      <w:r w:rsidR="00BA226B">
        <w:t>sing the US FDA-</w:t>
      </w:r>
      <w:r w:rsidR="00251457">
        <w:t>defined snapshot algorithm and HIV-1 RNA &lt; 50 copies/mL;</w:t>
      </w:r>
      <w:r w:rsidR="00BA226B">
        <w:t xml:space="preserve"> Individual Studies (Full Analysis Set)</w:t>
      </w:r>
    </w:p>
    <w:p w:rsidR="0064629F" w:rsidRDefault="00BA226B" w:rsidP="00251457">
      <w:r w:rsidRPr="00251457">
        <w:rPr>
          <w:noProof/>
          <w:lang w:eastAsia="en-AU"/>
        </w:rPr>
        <w:drawing>
          <wp:inline distT="0" distB="0" distL="0" distR="0" wp14:anchorId="03176723" wp14:editId="33DC6595">
            <wp:extent cx="5400040" cy="2880598"/>
            <wp:effectExtent l="0" t="0" r="0" b="0"/>
            <wp:docPr id="54" name="Picture 54" descr="GS-US-380-1489 and GS-US-380-1490: Virologic outcome at Week 48 using the US FDA-defined snapshot algorithm and HIV-1 RNA &lt; 50 copies/mL; Individual Studi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2880598"/>
                    </a:xfrm>
                    <a:prstGeom prst="rect">
                      <a:avLst/>
                    </a:prstGeom>
                  </pic:spPr>
                </pic:pic>
              </a:graphicData>
            </a:graphic>
          </wp:inline>
        </w:drawing>
      </w:r>
    </w:p>
    <w:p w:rsidR="0064629F" w:rsidRDefault="0064629F" w:rsidP="0064629F">
      <w:r>
        <w:t xml:space="preserve">The response rate (HIV-1 RNA viral copies </w:t>
      </w:r>
      <w:r w:rsidR="00251457">
        <w:t xml:space="preserve">&lt; </w:t>
      </w:r>
      <w:r>
        <w:t>50/mL at 48 weeks) was very high (</w:t>
      </w:r>
      <w:r w:rsidR="00251457">
        <w:t xml:space="preserve">&gt; </w:t>
      </w:r>
      <w:r>
        <w:t xml:space="preserve">90%) both studies in all groups, numerically slightly lower with </w:t>
      </w:r>
      <w:r w:rsidR="001B5D97">
        <w:t>Biktarvy</w:t>
      </w:r>
      <w:r w:rsidR="00BA226B">
        <w:t xml:space="preserve"> (B/F/T</w:t>
      </w:r>
      <w:r w:rsidR="00F364C7">
        <w:t>AF</w:t>
      </w:r>
      <w:r w:rsidR="00BA226B">
        <w:t xml:space="preserve"> 50/200/25</w:t>
      </w:r>
      <w:r w:rsidR="00486A6E">
        <w:t> mg</w:t>
      </w:r>
      <w:r w:rsidR="00BA226B">
        <w:t xml:space="preserve">) but </w:t>
      </w:r>
      <w:r>
        <w:t>statistically equivalent to the comparable comparator regimens (abacavir (ABC)/dolutegravir (DTG)/lamivudine (3TC) (600/50/300</w:t>
      </w:r>
      <w:r w:rsidR="00486A6E">
        <w:t xml:space="preserve"> mg</w:t>
      </w:r>
      <w:r>
        <w:t xml:space="preserve">) in </w:t>
      </w:r>
      <w:r w:rsidR="00080EC5">
        <w:t>Study</w:t>
      </w:r>
      <w:r>
        <w:t xml:space="preserve"> 1489 and dolutegravir (DTG </w:t>
      </w:r>
      <w:r w:rsidR="00782831">
        <w:t>50 mg</w:t>
      </w:r>
      <w:r>
        <w:t>) + F/TAF (200/25</w:t>
      </w:r>
      <w:r w:rsidR="00486A6E">
        <w:t xml:space="preserve"> mg</w:t>
      </w:r>
      <w:r>
        <w:t xml:space="preserve">) in </w:t>
      </w:r>
      <w:r w:rsidR="00080EC5">
        <w:t>Study</w:t>
      </w:r>
      <w:r>
        <w:t xml:space="preserve"> 1490). Non-inferiority objective was satisfactorily met.</w:t>
      </w:r>
    </w:p>
    <w:p w:rsidR="0064629F" w:rsidRDefault="0064629F" w:rsidP="0064629F">
      <w:r>
        <w:t xml:space="preserve">The progression of CD4 cell count from baseline overtime in the </w:t>
      </w:r>
      <w:r w:rsidR="00080EC5">
        <w:t>Study</w:t>
      </w:r>
      <w:r>
        <w:t xml:space="preserve"> 1489 was as </w:t>
      </w:r>
      <w:r w:rsidR="00614806">
        <w:t>shown in Figure 3</w:t>
      </w:r>
      <w:r w:rsidR="00BA226B">
        <w:t>.</w:t>
      </w:r>
    </w:p>
    <w:p w:rsidR="00251457" w:rsidRDefault="00251457" w:rsidP="00251457">
      <w:pPr>
        <w:pStyle w:val="FigureTitle"/>
      </w:pPr>
      <w:r>
        <w:t xml:space="preserve">Figure </w:t>
      </w:r>
      <w:r w:rsidR="00614806">
        <w:t>3</w:t>
      </w:r>
      <w:r>
        <w:t>: GS-US-380-1489: Mean and 95% CI of change form Bas</w:t>
      </w:r>
      <w:r w:rsidR="00614806">
        <w:t>eline in CD4 cell count (cells/</w:t>
      </w:r>
      <w:r w:rsidR="00486A6E">
        <w:t>µ</w:t>
      </w:r>
      <w:r>
        <w:t>L) by visit (</w:t>
      </w:r>
      <w:r w:rsidR="009E0328">
        <w:t>Full analysis set</w:t>
      </w:r>
      <w:r>
        <w:t>)</w:t>
      </w:r>
    </w:p>
    <w:p w:rsidR="0064629F" w:rsidRDefault="00251457" w:rsidP="0064629F">
      <w:r w:rsidRPr="00251457">
        <w:rPr>
          <w:noProof/>
          <w:lang w:eastAsia="en-AU"/>
        </w:rPr>
        <w:drawing>
          <wp:inline distT="0" distB="0" distL="0" distR="0" wp14:anchorId="2931E3FE" wp14:editId="7A04501A">
            <wp:extent cx="5400040" cy="3107908"/>
            <wp:effectExtent l="0" t="0" r="0" b="0"/>
            <wp:docPr id="7" name="Picture 7" descr="GS-US-380-1489: Mean and 95% CI of change form Baseline in CD4 cell count (cells/μL) by visi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3107908"/>
                    </a:xfrm>
                    <a:prstGeom prst="rect">
                      <a:avLst/>
                    </a:prstGeom>
                  </pic:spPr>
                </pic:pic>
              </a:graphicData>
            </a:graphic>
          </wp:inline>
        </w:drawing>
      </w:r>
    </w:p>
    <w:p w:rsidR="0064629F" w:rsidRDefault="0064629F" w:rsidP="0064629F">
      <w:r w:rsidRPr="0064629F">
        <w:t xml:space="preserve">The progression of CD4 cell count from baseline overtime in the </w:t>
      </w:r>
      <w:r w:rsidR="00080EC5">
        <w:t>Study</w:t>
      </w:r>
      <w:r w:rsidRPr="0064629F">
        <w:t xml:space="preserve"> 1490 was as </w:t>
      </w:r>
      <w:r w:rsidR="00614806">
        <w:t>shown in Figure 4</w:t>
      </w:r>
      <w:r w:rsidR="00251457">
        <w:t>.</w:t>
      </w:r>
    </w:p>
    <w:p w:rsidR="00251457" w:rsidRDefault="00614806" w:rsidP="00251457">
      <w:pPr>
        <w:pStyle w:val="FigureTitle"/>
      </w:pPr>
      <w:r>
        <w:lastRenderedPageBreak/>
        <w:t>Figure 4</w:t>
      </w:r>
      <w:r w:rsidR="00251457">
        <w:t xml:space="preserve">: </w:t>
      </w:r>
      <w:r w:rsidR="00486A6E">
        <w:t xml:space="preserve">Study </w:t>
      </w:r>
      <w:r w:rsidR="00251457">
        <w:t>GS-US-380-1490: Mean and 95% CI of change form Bas</w:t>
      </w:r>
      <w:r>
        <w:t>eline in CD4 cell count (cells/</w:t>
      </w:r>
      <w:r w:rsidR="00486A6E">
        <w:t>µ</w:t>
      </w:r>
      <w:r w:rsidR="00251457">
        <w:t>L) by visit (</w:t>
      </w:r>
      <w:r w:rsidR="009E0328">
        <w:t>Full analysis set</w:t>
      </w:r>
      <w:r w:rsidR="00251457">
        <w:t>)</w:t>
      </w:r>
    </w:p>
    <w:p w:rsidR="0064629F" w:rsidRDefault="00251457" w:rsidP="00251457">
      <w:r w:rsidRPr="00251457">
        <w:rPr>
          <w:noProof/>
          <w:lang w:eastAsia="en-AU"/>
        </w:rPr>
        <w:drawing>
          <wp:inline distT="0" distB="0" distL="0" distR="0" wp14:anchorId="1281E491" wp14:editId="1C2A508A">
            <wp:extent cx="5400040" cy="2938868"/>
            <wp:effectExtent l="0" t="0" r="0" b="0"/>
            <wp:docPr id="9" name="Picture 9" descr="GS-US-380-1490: Mean and 95% CI of change form Baseline in CD4 cell count (cells/μL) by visi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2938868"/>
                    </a:xfrm>
                    <a:prstGeom prst="rect">
                      <a:avLst/>
                    </a:prstGeom>
                  </pic:spPr>
                </pic:pic>
              </a:graphicData>
            </a:graphic>
          </wp:inline>
        </w:drawing>
      </w:r>
    </w:p>
    <w:p w:rsidR="0064629F" w:rsidRDefault="0064629F" w:rsidP="0064629F">
      <w:r w:rsidRPr="0064629F">
        <w:t>The treatment effect was generally homogenous across various subgroups. The results for baseline viral load and baseline CD4 count are shown below, noting a relatively lower HIV</w:t>
      </w:r>
      <w:r w:rsidR="00486A6E">
        <w:noBreakHyphen/>
      </w:r>
      <w:r w:rsidRPr="0064629F">
        <w:t xml:space="preserve">1 RNA </w:t>
      </w:r>
      <w:r w:rsidR="00251457">
        <w:t xml:space="preserve">&lt; </w:t>
      </w:r>
      <w:r w:rsidRPr="0064629F">
        <w:t>50 copies/mL response with B/F/T</w:t>
      </w:r>
      <w:r w:rsidR="00F364C7">
        <w:t>AF</w:t>
      </w:r>
      <w:r w:rsidRPr="0064629F">
        <w:t xml:space="preserve"> compared to current ART regimen in patient group with baseline viral load </w:t>
      </w:r>
      <w:r w:rsidR="00251457">
        <w:t xml:space="preserve">&gt; </w:t>
      </w:r>
      <w:r w:rsidRPr="0064629F">
        <w:t xml:space="preserve">100,000 copies per mL (lower limit of 95%CI </w:t>
      </w:r>
      <w:r w:rsidR="00486A6E">
        <w:t xml:space="preserve">to </w:t>
      </w:r>
      <w:r w:rsidR="00251457">
        <w:t xml:space="preserve">13.9% in </w:t>
      </w:r>
      <w:r w:rsidR="00ED3A2F">
        <w:t>pooled data) as shown in Table 3</w:t>
      </w:r>
      <w:r w:rsidR="00486A6E">
        <w:t>7</w:t>
      </w:r>
      <w:r w:rsidR="00251457">
        <w:t>.</w:t>
      </w:r>
    </w:p>
    <w:p w:rsidR="00251457" w:rsidRDefault="00ED3A2F" w:rsidP="00251457">
      <w:pPr>
        <w:pStyle w:val="TableTitle"/>
      </w:pPr>
      <w:r>
        <w:t xml:space="preserve">Table </w:t>
      </w:r>
      <w:r w:rsidR="00486A6E">
        <w:t>37</w:t>
      </w:r>
      <w:r w:rsidR="00251457">
        <w:t xml:space="preserve">: </w:t>
      </w:r>
      <w:r w:rsidR="00486A6E">
        <w:t>Studies </w:t>
      </w:r>
      <w:r w:rsidR="00251457">
        <w:t>GS-US-380-1489 and GS-US-380-1490: Tr</w:t>
      </w:r>
      <w:r>
        <w:t>eatment difference in HIV-RNA &lt; </w:t>
      </w:r>
      <w:r w:rsidR="00251457">
        <w:t>50 copies/mL by subgroup at Week 48 using the US FDA defined snapshot algorithm</w:t>
      </w:r>
      <w:r>
        <w:t>; individual studies and pooled</w:t>
      </w:r>
    </w:p>
    <w:p w:rsidR="00251457" w:rsidRDefault="00251457" w:rsidP="00ED3A2F">
      <w:r w:rsidRPr="00ED3A2F">
        <w:rPr>
          <w:noProof/>
          <w:lang w:eastAsia="en-AU"/>
        </w:rPr>
        <w:drawing>
          <wp:inline distT="0" distB="0" distL="0" distR="0" wp14:anchorId="1E608B03" wp14:editId="78C1B380">
            <wp:extent cx="5142585" cy="2960283"/>
            <wp:effectExtent l="0" t="0" r="1270" b="0"/>
            <wp:docPr id="12" name="Picture 12" descr="Table 36: GS-US-380-1489 and GS-US-380-1490: Treatment difference in HIV-RNA &lt; 50 copies/mL by subgroup at Week 48 using the US FDA defined snapshot algorithm; individual studies and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43941" cy="2961063"/>
                    </a:xfrm>
                    <a:prstGeom prst="rect">
                      <a:avLst/>
                    </a:prstGeom>
                  </pic:spPr>
                </pic:pic>
              </a:graphicData>
            </a:graphic>
          </wp:inline>
        </w:drawing>
      </w:r>
    </w:p>
    <w:p w:rsidR="0064629F" w:rsidRDefault="0064629F" w:rsidP="0064629F">
      <w:r>
        <w:t xml:space="preserve">The </w:t>
      </w:r>
      <w:r w:rsidR="00080EC5">
        <w:t>Study</w:t>
      </w:r>
      <w:r>
        <w:t xml:space="preserve"> 1490 included 14 HIV/HBV co-infected patients.</w:t>
      </w:r>
    </w:p>
    <w:p w:rsidR="0064629F" w:rsidRDefault="0064629F" w:rsidP="0064629F">
      <w:pPr>
        <w:pStyle w:val="Heading5"/>
      </w:pPr>
      <w:r>
        <w:t>Resistance development</w:t>
      </w:r>
    </w:p>
    <w:p w:rsidR="0064629F" w:rsidRDefault="0064629F" w:rsidP="0064629F">
      <w:r>
        <w:t xml:space="preserve">In </w:t>
      </w:r>
      <w:r w:rsidR="00080EC5">
        <w:t>Study</w:t>
      </w:r>
      <w:r>
        <w:t xml:space="preserve"> 1489, the prevalence of baseline Resistance Associated Mutations (RAMs) and HIV-1 subtypes were comparable between B/F/T</w:t>
      </w:r>
      <w:r w:rsidR="00F364C7">
        <w:t>AF</w:t>
      </w:r>
      <w:r>
        <w:t xml:space="preserve"> and ABC/DTG/3TC treatment groups. Of the 629 treated patients in both groups, the Resistance Analysis Population (RAP) </w:t>
      </w:r>
      <w:r>
        <w:lastRenderedPageBreak/>
        <w:t>included 5 patients who experienced virologic failure (VF) during first 48 weeks of the study comprising of 1/314 (0.3%) patient from B/F/T</w:t>
      </w:r>
      <w:r w:rsidR="00F364C7">
        <w:t>AF</w:t>
      </w:r>
      <w:r>
        <w:t xml:space="preserve"> group and 4/315 (1.3%) patients from ABC/DTG/3TC group. Out of these 5 patients, 2 patients from ABC/DTG/3TC group remained on study drugs and subsequently achieved HIV-1 RNA </w:t>
      </w:r>
      <w:r w:rsidR="00251457">
        <w:t xml:space="preserve">&lt; </w:t>
      </w:r>
      <w:r>
        <w:t>50 copies/mL. The final RAP included 3 patients comprised of 1 from B/F/TAF group and 2 from ABC/DTG/3TC group. No patient in e</w:t>
      </w:r>
      <w:r w:rsidR="00BE6936">
        <w:t xml:space="preserve">ither group developed treatment </w:t>
      </w:r>
      <w:r>
        <w:t>emergent resistance to the study drugs.</w:t>
      </w:r>
    </w:p>
    <w:p w:rsidR="0064629F" w:rsidRDefault="0064629F" w:rsidP="0064629F">
      <w:r>
        <w:t xml:space="preserve">In </w:t>
      </w:r>
      <w:r w:rsidR="00080EC5">
        <w:t>Study</w:t>
      </w:r>
      <w:r>
        <w:t xml:space="preserve"> 1490, the prevalence of baseline RAMs and HIV-1 subtypes were comparable across B/F/T</w:t>
      </w:r>
      <w:r w:rsidR="00F364C7">
        <w:t>AF</w:t>
      </w:r>
      <w:r>
        <w:t xml:space="preserve"> and DTG + FTC/TAF treatment groups. Of the 645 treated patients in both groups, RAP included 12 patients who experienced VF during first 48 weeks of the study comprising of 7/320 (2.2%) patients from B/F/T</w:t>
      </w:r>
      <w:r w:rsidR="00F364C7">
        <w:t>AF</w:t>
      </w:r>
      <w:r>
        <w:t xml:space="preserve"> group and 5/325 (1.5%) patients from DTG + FTC/TAF group. Out of these 12 patients, 2 patients from DTG + FTC/TAF group remained on study drugs and subsequently achieved HIV-1 RNA </w:t>
      </w:r>
      <w:r w:rsidR="00251457">
        <w:t xml:space="preserve">&lt; </w:t>
      </w:r>
      <w:r>
        <w:t>50 copies per mL. The final RAP included 10 patients comprised of 7 patients from B/F/T</w:t>
      </w:r>
      <w:r w:rsidR="00F364C7">
        <w:t>AF</w:t>
      </w:r>
      <w:r>
        <w:t xml:space="preserve"> group and 3 patients from DTG + FTC/TAF group. No patient in either group developed treatment emergent resistance to the study drugs.</w:t>
      </w:r>
    </w:p>
    <w:p w:rsidR="0064629F" w:rsidRDefault="0064629F" w:rsidP="0064629F">
      <w:r w:rsidRPr="0064629F">
        <w:rPr>
          <w:rStyle w:val="Heading5Char"/>
          <w:rFonts w:eastAsia="Cambria"/>
        </w:rPr>
        <w:t>Virologically suppressed population</w:t>
      </w:r>
      <w:r>
        <w:t xml:space="preserve"> </w:t>
      </w:r>
      <w:r w:rsidRPr="00251457">
        <w:rPr>
          <w:rStyle w:val="Heading5Char"/>
          <w:rFonts w:eastAsia="Cambria"/>
        </w:rPr>
        <w:t>(Studies GS-US-380-1844 and GS-US-380-1878)</w:t>
      </w:r>
    </w:p>
    <w:p w:rsidR="00F75C8D" w:rsidRDefault="00F75C8D" w:rsidP="00F75C8D">
      <w:pPr>
        <w:pStyle w:val="Heading6"/>
      </w:pPr>
      <w:r>
        <w:t>Study 1844</w:t>
      </w:r>
    </w:p>
    <w:p w:rsidR="00251457" w:rsidRDefault="00F75C8D" w:rsidP="0064629F">
      <w:r w:rsidRPr="00F75C8D">
        <w:t xml:space="preserve">The primary efficacy results at Week 48 were as </w:t>
      </w:r>
      <w:r w:rsidR="00ED3A2F">
        <w:t>shown in Table 3</w:t>
      </w:r>
      <w:r w:rsidR="00486A6E">
        <w:t>8</w:t>
      </w:r>
      <w:r w:rsidR="00251457">
        <w:t>.</w:t>
      </w:r>
    </w:p>
    <w:p w:rsidR="00251457" w:rsidRDefault="00ED3A2F" w:rsidP="00251457">
      <w:pPr>
        <w:pStyle w:val="TableTitle"/>
      </w:pPr>
      <w:r>
        <w:t xml:space="preserve">Table </w:t>
      </w:r>
      <w:r w:rsidR="00486A6E">
        <w:t>38</w:t>
      </w:r>
      <w:r w:rsidR="00251457">
        <w:t xml:space="preserve">: </w:t>
      </w:r>
      <w:r w:rsidR="00486A6E">
        <w:t xml:space="preserve">Study </w:t>
      </w:r>
      <w:r w:rsidR="00251457">
        <w:t>GS-US-380-1844; virologic outcome at Week 48 using the US FDA defined snapshot algorithm and HIV-1 RNA cut-off at 50 copies/mL</w:t>
      </w:r>
    </w:p>
    <w:p w:rsidR="00F75C8D" w:rsidRDefault="00582FC7" w:rsidP="00ED3A2F">
      <w:r w:rsidRPr="00ED3A2F">
        <w:rPr>
          <w:noProof/>
          <w:lang w:eastAsia="en-AU"/>
        </w:rPr>
        <w:drawing>
          <wp:inline distT="0" distB="0" distL="0" distR="0" wp14:anchorId="3A10254B" wp14:editId="18738863">
            <wp:extent cx="5288889" cy="4320954"/>
            <wp:effectExtent l="0" t="0" r="7620" b="3810"/>
            <wp:docPr id="13" name="Picture 13" descr="GS-US-380-1844; virologic outcome at Week 48 using the US FDA defined snapshot algorithm and HIV-1 RNA cut-off at 50 copie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90283" cy="4322093"/>
                    </a:xfrm>
                    <a:prstGeom prst="rect">
                      <a:avLst/>
                    </a:prstGeom>
                  </pic:spPr>
                </pic:pic>
              </a:graphicData>
            </a:graphic>
          </wp:inline>
        </w:drawing>
      </w:r>
    </w:p>
    <w:p w:rsidR="00F75C8D" w:rsidRDefault="00F75C8D" w:rsidP="0064629F">
      <w:r w:rsidRPr="00F75C8D">
        <w:t xml:space="preserve">The response rate (HIV-1 RNA viral copies </w:t>
      </w:r>
      <w:r w:rsidR="00251457">
        <w:t xml:space="preserve">&lt; </w:t>
      </w:r>
      <w:r w:rsidRPr="00F75C8D">
        <w:t xml:space="preserve">50/mL at 48 weeks) was maintained at </w:t>
      </w:r>
      <w:r w:rsidR="00582FC7">
        <w:t>&gt; </w:t>
      </w:r>
      <w:r w:rsidRPr="00F75C8D">
        <w:t xml:space="preserve">90% in both groups and was statistically equivalent between </w:t>
      </w:r>
      <w:r w:rsidR="00582FC7" w:rsidRPr="00F75C8D">
        <w:t>Biktarvy</w:t>
      </w:r>
      <w:r w:rsidRPr="00F75C8D">
        <w:t xml:space="preserve"> (patients switching to B/F/T</w:t>
      </w:r>
      <w:r w:rsidR="00F364C7">
        <w:t>AF</w:t>
      </w:r>
      <w:r w:rsidRPr="00F75C8D">
        <w:t xml:space="preserve"> 50/200/25</w:t>
      </w:r>
      <w:r w:rsidR="00486A6E">
        <w:t xml:space="preserve"> mg</w:t>
      </w:r>
      <w:r w:rsidRPr="00F75C8D">
        <w:t xml:space="preserve"> from the current DTG + ABC/3TC or ABC/DTG/3TC) group versus the continued treatment (ABC/DTG/3TC 600/50/300</w:t>
      </w:r>
      <w:r w:rsidR="00486A6E">
        <w:t xml:space="preserve"> mg</w:t>
      </w:r>
      <w:r w:rsidRPr="00F75C8D">
        <w:t>) group. Non-</w:t>
      </w:r>
      <w:r w:rsidRPr="00F75C8D">
        <w:lastRenderedPageBreak/>
        <w:t xml:space="preserve">inferiority objective was met. Treatment effect (viral load </w:t>
      </w:r>
      <w:r w:rsidR="00251457">
        <w:t xml:space="preserve">&lt; </w:t>
      </w:r>
      <w:r w:rsidRPr="00F75C8D">
        <w:t>50 copies/mL at Week 48) was similarly maintained a</w:t>
      </w:r>
      <w:r w:rsidR="00582FC7">
        <w:t>cross the demograph</w:t>
      </w:r>
      <w:r w:rsidR="00ED3A2F">
        <w:t xml:space="preserve">ic subgroups as shown in Table </w:t>
      </w:r>
      <w:r w:rsidR="00486A6E">
        <w:t>39</w:t>
      </w:r>
      <w:r w:rsidR="00582FC7">
        <w:t>.</w:t>
      </w:r>
    </w:p>
    <w:p w:rsidR="00582FC7" w:rsidRDefault="00ED3A2F" w:rsidP="00F004C4">
      <w:pPr>
        <w:pStyle w:val="TableTitle"/>
      </w:pPr>
      <w:r>
        <w:t xml:space="preserve">Table </w:t>
      </w:r>
      <w:r w:rsidR="00486A6E">
        <w:t>39</w:t>
      </w:r>
      <w:r w:rsidR="00582FC7">
        <w:t>:</w:t>
      </w:r>
      <w:r w:rsidR="00F004C4" w:rsidRPr="00F004C4">
        <w:t xml:space="preserve"> </w:t>
      </w:r>
      <w:r w:rsidR="00F004C4">
        <w:t>Study GS-US-380-1844. Treatment Difference in HIV-1 RNA &lt;</w:t>
      </w:r>
      <w:r w:rsidR="00486A6E">
        <w:t> </w:t>
      </w:r>
      <w:r w:rsidR="00F004C4">
        <w:t>50</w:t>
      </w:r>
      <w:r w:rsidR="00486A6E">
        <w:t> </w:t>
      </w:r>
      <w:r w:rsidR="00F004C4">
        <w:t>copies/mL at Week 48 (Snapshot Algorithm) by Subgroup Full Analysis Set</w:t>
      </w:r>
    </w:p>
    <w:p w:rsidR="00F75C8D" w:rsidRDefault="00F004C4" w:rsidP="00ED3A2F">
      <w:r w:rsidRPr="00ED3A2F">
        <w:rPr>
          <w:noProof/>
          <w:lang w:eastAsia="en-AU"/>
        </w:rPr>
        <w:drawing>
          <wp:inline distT="0" distB="0" distL="0" distR="0" wp14:anchorId="23440526" wp14:editId="03864BB7">
            <wp:extent cx="5400040" cy="3605219"/>
            <wp:effectExtent l="0" t="0" r="0" b="0"/>
            <wp:docPr id="14" name="Picture 14" descr=" Study GS-US-380-1844. Treatment Difference in HIV-1 RNA &lt; 50 copies/mL at Week 48 (Snapshot Algorithm) by Sub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40" cy="3605219"/>
                    </a:xfrm>
                    <a:prstGeom prst="rect">
                      <a:avLst/>
                    </a:prstGeom>
                  </pic:spPr>
                </pic:pic>
              </a:graphicData>
            </a:graphic>
          </wp:inline>
        </w:drawing>
      </w:r>
    </w:p>
    <w:p w:rsidR="00F75C8D" w:rsidRDefault="00F75C8D" w:rsidP="0064629F">
      <w:r w:rsidRPr="00F75C8D">
        <w:t xml:space="preserve">The changes in CD4 cell count from baseline overtime were as </w:t>
      </w:r>
      <w:r w:rsidR="00614806">
        <w:t>show in in Figure 5</w:t>
      </w:r>
      <w:r w:rsidR="00F004C4">
        <w:t>.</w:t>
      </w:r>
    </w:p>
    <w:p w:rsidR="00F004C4" w:rsidRDefault="00614806" w:rsidP="00C06986">
      <w:pPr>
        <w:pStyle w:val="FigureTitle"/>
      </w:pPr>
      <w:r>
        <w:t>Figure 5</w:t>
      </w:r>
      <w:r w:rsidR="00F004C4">
        <w:t>:</w:t>
      </w:r>
      <w:r w:rsidR="00C06986">
        <w:t xml:space="preserve"> Mean (95% CI) Change from Baseline in CD4 Cell Count (/uL) by Visit </w:t>
      </w:r>
      <w:r>
        <w:t xml:space="preserve">while on treatment </w:t>
      </w:r>
      <w:r w:rsidR="00C06986">
        <w:t>(Observed Data) Full Analysis Set</w:t>
      </w:r>
    </w:p>
    <w:p w:rsidR="00F75C8D" w:rsidRDefault="00C06986" w:rsidP="00614806">
      <w:r w:rsidRPr="00614806">
        <w:rPr>
          <w:noProof/>
          <w:lang w:eastAsia="en-AU"/>
        </w:rPr>
        <w:drawing>
          <wp:inline distT="0" distB="0" distL="0" distR="0" wp14:anchorId="521354D7" wp14:editId="4AAAA022">
            <wp:extent cx="5400040" cy="3353102"/>
            <wp:effectExtent l="0" t="0" r="0" b="0"/>
            <wp:docPr id="51" name="Picture 51" descr="Mean (95% CI) Change from Baseline in CD4 Cell Count (/uL) by Visit while on treatment (Observed Data)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040" cy="3353102"/>
                    </a:xfrm>
                    <a:prstGeom prst="rect">
                      <a:avLst/>
                    </a:prstGeom>
                  </pic:spPr>
                </pic:pic>
              </a:graphicData>
            </a:graphic>
          </wp:inline>
        </w:drawing>
      </w:r>
    </w:p>
    <w:p w:rsidR="00F75C8D" w:rsidRDefault="00F75C8D" w:rsidP="00F75C8D">
      <w:pPr>
        <w:pStyle w:val="Heading6"/>
      </w:pPr>
      <w:r>
        <w:lastRenderedPageBreak/>
        <w:t>Resistance development</w:t>
      </w:r>
    </w:p>
    <w:p w:rsidR="00F75C8D" w:rsidRDefault="00F75C8D" w:rsidP="00F75C8D">
      <w:r>
        <w:t>The prevalence of baseline RAMs and HIV-1 subtypes were comparable across B/F/T</w:t>
      </w:r>
      <w:r w:rsidR="00F364C7">
        <w:t>AF</w:t>
      </w:r>
      <w:r>
        <w:t xml:space="preserve"> and ABC/DTG/3TC treatment groups. The RAP included 5 patients who experienced VF during first 48 weeks of the study comprising 3/282 (1.1%) patients from B/F/T</w:t>
      </w:r>
      <w:r w:rsidR="00F364C7">
        <w:t>AF</w:t>
      </w:r>
      <w:r>
        <w:t xml:space="preserve"> group and 2/281 (0.7%) patients from ABC/DTG/3TC group. Two patients (one from each group) who met VF and RAP criteria remained on study drugs and subsequently achieved HIV-1 RNA </w:t>
      </w:r>
      <w:r w:rsidR="00251457">
        <w:t xml:space="preserve">&lt; </w:t>
      </w:r>
      <w:r>
        <w:t>50 copies per mL. The final RAP included 3 patients comprised of 2 from B/F/T</w:t>
      </w:r>
      <w:r w:rsidR="00F364C7">
        <w:t>AF</w:t>
      </w:r>
      <w:r>
        <w:t xml:space="preserve"> group and 1 from ABC/DTG/3TC group. No patient in e</w:t>
      </w:r>
      <w:r w:rsidR="00BE6936">
        <w:t xml:space="preserve">ither group developed treatment </w:t>
      </w:r>
      <w:r>
        <w:t>emergent drug resistance.</w:t>
      </w:r>
    </w:p>
    <w:p w:rsidR="00F75C8D" w:rsidRDefault="00C06986" w:rsidP="00F75C8D">
      <w:pPr>
        <w:pStyle w:val="Heading6"/>
      </w:pPr>
      <w:r>
        <w:t>Study 1878</w:t>
      </w:r>
    </w:p>
    <w:p w:rsidR="00F75C8D" w:rsidRDefault="00F75C8D" w:rsidP="00F75C8D">
      <w:r>
        <w:t>The primary efficacy results at Week 48 were as follows. The study included 14 HIV/HBV co-infected patients.</w:t>
      </w:r>
    </w:p>
    <w:p w:rsidR="00506BB3" w:rsidRDefault="00ED3A2F" w:rsidP="00506BB3">
      <w:pPr>
        <w:pStyle w:val="TableTitle"/>
      </w:pPr>
      <w:r>
        <w:t xml:space="preserve">Table </w:t>
      </w:r>
      <w:r w:rsidR="00486A6E">
        <w:t>40</w:t>
      </w:r>
      <w:r w:rsidR="00506BB3">
        <w:t>: GS-US-380-1878: Virologic Outcome at Week 48 Using the US FDA-Defined Sn</w:t>
      </w:r>
      <w:r>
        <w:t>apshot Algorithm and HIV-1 RNA c</w:t>
      </w:r>
      <w:r w:rsidR="00506BB3">
        <w:t>ut</w:t>
      </w:r>
      <w:r>
        <w:t>-</w:t>
      </w:r>
      <w:r w:rsidR="00506BB3">
        <w:t>off at 50 copies/mL (</w:t>
      </w:r>
      <w:r w:rsidR="009E0328">
        <w:t>Full analysis set</w:t>
      </w:r>
      <w:r w:rsidR="00506BB3">
        <w:t>)</w:t>
      </w:r>
    </w:p>
    <w:p w:rsidR="00F75C8D" w:rsidRDefault="00506BB3" w:rsidP="00F75C8D">
      <w:r w:rsidRPr="00506BB3">
        <w:rPr>
          <w:noProof/>
          <w:lang w:eastAsia="en-AU"/>
        </w:rPr>
        <w:drawing>
          <wp:inline distT="0" distB="0" distL="0" distR="0" wp14:anchorId="0ECE2500" wp14:editId="156E3304">
            <wp:extent cx="5127955" cy="3926501"/>
            <wp:effectExtent l="0" t="0" r="0" b="0"/>
            <wp:docPr id="16" name="Picture 16" descr="Table 39: GS-US-380-1878: Virologic Outcome at Week 48 Using the US FDA-Defined Snapshot Algorithm and HIV-1 RNA cut-off at 50 copies/m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130126" cy="3928164"/>
                    </a:xfrm>
                    <a:prstGeom prst="rect">
                      <a:avLst/>
                    </a:prstGeom>
                  </pic:spPr>
                </pic:pic>
              </a:graphicData>
            </a:graphic>
          </wp:inline>
        </w:drawing>
      </w:r>
    </w:p>
    <w:p w:rsidR="00F75C8D" w:rsidRDefault="00F75C8D" w:rsidP="00F75C8D">
      <w:r w:rsidRPr="00F75C8D">
        <w:t xml:space="preserve">The response rate (HIV-1 RNA viral copies </w:t>
      </w:r>
      <w:r w:rsidR="00251457">
        <w:t xml:space="preserve">&lt; </w:t>
      </w:r>
      <w:r w:rsidRPr="00F75C8D">
        <w:t>50/mL at 48 weeks) was maintained (</w:t>
      </w:r>
      <w:r w:rsidR="00251457">
        <w:t xml:space="preserve">&gt; </w:t>
      </w:r>
      <w:r w:rsidRPr="00F75C8D">
        <w:t>88%) in both groups and was statistically equivalent between BIKATARVY (patients switching to B/F/T</w:t>
      </w:r>
      <w:r w:rsidR="00F364C7">
        <w:t>AF</w:t>
      </w:r>
      <w:r w:rsidRPr="00F75C8D">
        <w:t xml:space="preserve"> 50/200/25 </w:t>
      </w:r>
      <w:r w:rsidR="00486A6E">
        <w:t xml:space="preserve">mg </w:t>
      </w:r>
      <w:r w:rsidRPr="00F75C8D">
        <w:t>from ritonavir (RTV) or cobicistat (COBI) boosted atazanavir (ATV) or darunavir (DRV) + either FTC/TDF or ABC/3TC) group versus the continued treatment (SBR</w:t>
      </w:r>
      <w:r w:rsidR="00F12518">
        <w:t xml:space="preserve"> – Stay on Baseline Regimen that is,</w:t>
      </w:r>
      <w:r w:rsidRPr="00F75C8D">
        <w:t xml:space="preserve"> RTV or COBI boosted ATV or DRV + either FTC/TDF or ABC/3TC ) group. Non-inferiority objective was met. Treatment effect (viral load </w:t>
      </w:r>
      <w:r w:rsidR="00251457">
        <w:t xml:space="preserve">&lt; </w:t>
      </w:r>
      <w:r w:rsidRPr="00F75C8D">
        <w:t>50 copies/mL at Week 48) was similarly maintained a</w:t>
      </w:r>
      <w:r w:rsidR="00506BB3">
        <w:t>cross the demograph</w:t>
      </w:r>
      <w:r w:rsidR="00ED3A2F">
        <w:t>ic subgroups as shown in Table 40</w:t>
      </w:r>
      <w:r w:rsidR="00506BB3">
        <w:t>.</w:t>
      </w:r>
    </w:p>
    <w:p w:rsidR="00506BB3" w:rsidRDefault="00ED3A2F" w:rsidP="00506BB3">
      <w:pPr>
        <w:pStyle w:val="TableTitle"/>
      </w:pPr>
      <w:r>
        <w:lastRenderedPageBreak/>
        <w:t>Table 4</w:t>
      </w:r>
      <w:r w:rsidR="00486A6E">
        <w:t>1</w:t>
      </w:r>
      <w:r w:rsidR="00506BB3">
        <w:t xml:space="preserve">: </w:t>
      </w:r>
      <w:r w:rsidR="00800747">
        <w:t xml:space="preserve">Study GS-US-380-1878. Treatment </w:t>
      </w:r>
      <w:r>
        <w:t>d</w:t>
      </w:r>
      <w:r w:rsidR="00800747">
        <w:t>ifference in HIV-1 RNA &lt;</w:t>
      </w:r>
      <w:r w:rsidR="00486A6E">
        <w:t> </w:t>
      </w:r>
      <w:r w:rsidR="00800747">
        <w:t>50</w:t>
      </w:r>
      <w:r w:rsidR="00486A6E">
        <w:t> </w:t>
      </w:r>
      <w:r w:rsidR="00800747">
        <w:t>copies/mL at Week 48 (Snapshot Algorithm) by Subgroup Full Analysis Set</w:t>
      </w:r>
    </w:p>
    <w:p w:rsidR="00F75C8D" w:rsidRDefault="00F75C8D" w:rsidP="00F75C8D">
      <w:r>
        <w:rPr>
          <w:noProof/>
          <w:lang w:eastAsia="en-AU"/>
        </w:rPr>
        <w:drawing>
          <wp:inline distT="0" distB="0" distL="0" distR="0" wp14:anchorId="3FA7D4E7" wp14:editId="249F8174">
            <wp:extent cx="5400040" cy="3027342"/>
            <wp:effectExtent l="0" t="0" r="0" b="1905"/>
            <wp:docPr id="25" name="Picture 25" descr="Table 40: Study GS-US-380-1878. Treatment difference in HIV-1 RNA &lt; 50 copies/mL at Week 48 (Snapshot Algorithm) by Sub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3027342"/>
                    </a:xfrm>
                    <a:prstGeom prst="rect">
                      <a:avLst/>
                    </a:prstGeom>
                    <a:noFill/>
                    <a:ln>
                      <a:noFill/>
                    </a:ln>
                  </pic:spPr>
                </pic:pic>
              </a:graphicData>
            </a:graphic>
          </wp:inline>
        </w:drawing>
      </w:r>
    </w:p>
    <w:p w:rsidR="00F75C8D" w:rsidRDefault="00F75C8D" w:rsidP="00F75C8D">
      <w:r w:rsidRPr="00F75C8D">
        <w:t xml:space="preserve">The changes in CD4 cell count from baseline overtime were as </w:t>
      </w:r>
      <w:r w:rsidR="00614806">
        <w:t>shown in Figure 6</w:t>
      </w:r>
      <w:r w:rsidR="00800747">
        <w:t>.</w:t>
      </w:r>
    </w:p>
    <w:p w:rsidR="00800747" w:rsidRDefault="00614806" w:rsidP="00800747">
      <w:pPr>
        <w:pStyle w:val="FigureTitle"/>
      </w:pPr>
      <w:r>
        <w:t>Figure 6</w:t>
      </w:r>
      <w:r w:rsidR="00800747">
        <w:t>: Mean (95% CI) Change from Baseline in CD4 Cell Count (/</w:t>
      </w:r>
      <w:r w:rsidR="00486A6E">
        <w:t>µ</w:t>
      </w:r>
      <w:r w:rsidR="00800747">
        <w:t xml:space="preserve">L) by Visit </w:t>
      </w:r>
      <w:r>
        <w:t xml:space="preserve">while on treatment </w:t>
      </w:r>
      <w:r w:rsidR="00800747">
        <w:t>(Observed Data) Full Analysis Set</w:t>
      </w:r>
    </w:p>
    <w:p w:rsidR="00F75C8D" w:rsidRDefault="00800747" w:rsidP="00614806">
      <w:r w:rsidRPr="00614806">
        <w:rPr>
          <w:noProof/>
          <w:lang w:eastAsia="en-AU"/>
        </w:rPr>
        <w:drawing>
          <wp:inline distT="0" distB="0" distL="0" distR="0" wp14:anchorId="16360953" wp14:editId="321061E3">
            <wp:extent cx="5400040" cy="3341563"/>
            <wp:effectExtent l="0" t="0" r="0" b="0"/>
            <wp:docPr id="17" name="Picture 17" descr="Mean (95% CI) Change from Baseline in CD4 Cell Count (/uL) by Visit while on treatment (Observed Data)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040" cy="3341563"/>
                    </a:xfrm>
                    <a:prstGeom prst="rect">
                      <a:avLst/>
                    </a:prstGeom>
                  </pic:spPr>
                </pic:pic>
              </a:graphicData>
            </a:graphic>
          </wp:inline>
        </w:drawing>
      </w:r>
    </w:p>
    <w:p w:rsidR="00F75C8D" w:rsidRDefault="00F75C8D" w:rsidP="00F75C8D">
      <w:pPr>
        <w:pStyle w:val="Heading6"/>
      </w:pPr>
      <w:r>
        <w:t>Resistance development</w:t>
      </w:r>
    </w:p>
    <w:p w:rsidR="00F75C8D" w:rsidRDefault="00F75C8D" w:rsidP="00F75C8D">
      <w:r>
        <w:t>The prevalence of baseline RAMs and HIV-1 subtypes were comparable across B/F/T</w:t>
      </w:r>
      <w:r w:rsidR="00F364C7">
        <w:t>AF</w:t>
      </w:r>
      <w:r>
        <w:t xml:space="preserve"> and SBR groups. The RAP included 7 patients who experienced VF during first 48 weeks of the study comprising 2/290 (0.7%) patients from B/F/T</w:t>
      </w:r>
      <w:r w:rsidR="00F364C7">
        <w:t>AF</w:t>
      </w:r>
      <w:r>
        <w:t xml:space="preserve"> group and 5/287 (1.7%) patients from SBR group. Three patients (1 from B/F/T</w:t>
      </w:r>
      <w:r w:rsidR="00F364C7">
        <w:t>AF</w:t>
      </w:r>
      <w:r>
        <w:t xml:space="preserve"> group and 2 SBR group) who met VF criteria remained on study drugs and subsequently achieved HIV-1 RNA </w:t>
      </w:r>
      <w:r w:rsidR="00251457">
        <w:t xml:space="preserve">&lt; </w:t>
      </w:r>
      <w:r>
        <w:t>50 copies/mL. The final RAP included 4 patients comprised of 1 patient from B/F/T</w:t>
      </w:r>
      <w:r w:rsidR="006E4E21">
        <w:t>AF</w:t>
      </w:r>
      <w:r>
        <w:t xml:space="preserve"> group and 3 patients from SBR group. No patient in </w:t>
      </w:r>
      <w:r w:rsidR="00BE6936">
        <w:t>B/F/T</w:t>
      </w:r>
      <w:r w:rsidR="006E4E21">
        <w:t>AF</w:t>
      </w:r>
      <w:r w:rsidR="00BE6936">
        <w:t xml:space="preserve"> group developed treatment </w:t>
      </w:r>
      <w:r>
        <w:lastRenderedPageBreak/>
        <w:t xml:space="preserve">emergent drug resistance in </w:t>
      </w:r>
      <w:r w:rsidR="002D5055">
        <w:t>reverse transcriptase (</w:t>
      </w:r>
      <w:r>
        <w:t>RT</w:t>
      </w:r>
      <w:r w:rsidR="002D5055">
        <w:t xml:space="preserve">) </w:t>
      </w:r>
      <w:r>
        <w:t xml:space="preserve">or IN. One patient in </w:t>
      </w:r>
      <w:r w:rsidR="00BE6936">
        <w:t xml:space="preserve">SBR group developed a treatment </w:t>
      </w:r>
      <w:r>
        <w:t>emergent ABC resistance mutation in RT, L74V as a mixture w</w:t>
      </w:r>
      <w:r w:rsidR="00BE6936">
        <w:t xml:space="preserve">ith wild </w:t>
      </w:r>
      <w:r>
        <w:t>type at Week 4.</w:t>
      </w:r>
    </w:p>
    <w:p w:rsidR="00C06986" w:rsidRPr="00C06986" w:rsidRDefault="00F75C8D" w:rsidP="00C06986">
      <w:pPr>
        <w:pStyle w:val="Heading4"/>
      </w:pPr>
      <w:r>
        <w:t>Clinical Safety</w:t>
      </w:r>
    </w:p>
    <w:p w:rsidR="00F75C8D" w:rsidRDefault="00F75C8D" w:rsidP="00F75C8D">
      <w:r>
        <w:t>A total of 1</w:t>
      </w:r>
      <w:r w:rsidR="00800747">
        <w:t>,</w:t>
      </w:r>
      <w:r>
        <w:t>511 adult HIV patients have received at least one dose of B/F/T</w:t>
      </w:r>
      <w:r w:rsidR="006E4E21">
        <w:t>AF</w:t>
      </w:r>
      <w:r>
        <w:t xml:space="preserve"> in five Phase</w:t>
      </w:r>
      <w:r w:rsidR="00250A57">
        <w:t> </w:t>
      </w:r>
      <w:r w:rsidR="009D7B64">
        <w:t>II</w:t>
      </w:r>
      <w:r>
        <w:t xml:space="preserve"> and Phase </w:t>
      </w:r>
      <w:r w:rsidR="009D7B64">
        <w:t>III</w:t>
      </w:r>
      <w:r>
        <w:t xml:space="preserve"> studies. In the randomised phases of the four Phase </w:t>
      </w:r>
      <w:r w:rsidR="001411C5">
        <w:t>III</w:t>
      </w:r>
      <w:r>
        <w:t xml:space="preserve"> clinical trials, a total of 1</w:t>
      </w:r>
      <w:r w:rsidR="00800747">
        <w:t>,</w:t>
      </w:r>
      <w:r>
        <w:t>206 patients have received B/F/T</w:t>
      </w:r>
      <w:r w:rsidR="006E4E21">
        <w:t>AF</w:t>
      </w:r>
      <w:r>
        <w:t xml:space="preserve"> (50/200/25). Overall, 25 patients with HIV/HCV coinfection (B/F/TAF 10; comparator groups 15) have been exposed to the study drugs in </w:t>
      </w:r>
      <w:r w:rsidR="001B5D97">
        <w:t>Biktarvy</w:t>
      </w:r>
      <w:r>
        <w:t xml:space="preserve"> studies. Twenty eight patients with HIV/HBV coinfection were included in Phase </w:t>
      </w:r>
      <w:r w:rsidR="001411C5">
        <w:t>III</w:t>
      </w:r>
      <w:r>
        <w:t xml:space="preserve"> clinical trials. No pregnancies were reported in Phase </w:t>
      </w:r>
      <w:r w:rsidR="001411C5">
        <w:t>I</w:t>
      </w:r>
      <w:r>
        <w:t xml:space="preserve"> or Phase </w:t>
      </w:r>
      <w:r w:rsidR="001411C5">
        <w:t>II</w:t>
      </w:r>
      <w:r>
        <w:t xml:space="preserve"> studies. Eleven pregnancies were reported in the Phase </w:t>
      </w:r>
      <w:r w:rsidR="001411C5">
        <w:t>III</w:t>
      </w:r>
      <w:r>
        <w:t xml:space="preserve"> B/F/TAF studies.</w:t>
      </w:r>
    </w:p>
    <w:p w:rsidR="00F75C8D" w:rsidRDefault="00F75C8D" w:rsidP="00F75C8D">
      <w:r>
        <w:t>T</w:t>
      </w:r>
      <w:r w:rsidR="00C06986">
        <w:t xml:space="preserve">he median exposure in treatment </w:t>
      </w:r>
      <w:r>
        <w:t>naïve patients was 49.2 weeks. The median exposure i</w:t>
      </w:r>
      <w:r w:rsidR="00C06986">
        <w:t xml:space="preserve">n virologically </w:t>
      </w:r>
      <w:r>
        <w:t xml:space="preserve">suppressed patients was 49.9 weeks in </w:t>
      </w:r>
      <w:r w:rsidR="00080EC5">
        <w:t>Study</w:t>
      </w:r>
      <w:r>
        <w:t xml:space="preserve"> 1844 and 46.7 weeks in </w:t>
      </w:r>
      <w:r w:rsidR="00080EC5">
        <w:t>Study</w:t>
      </w:r>
      <w:r w:rsidR="00C06986">
        <w:t xml:space="preserve"> 1878. The open </w:t>
      </w:r>
      <w:r>
        <w:t>label extensions of these studies are ongoing.</w:t>
      </w:r>
    </w:p>
    <w:p w:rsidR="00F75C8D" w:rsidRDefault="00F75C8D" w:rsidP="00F75C8D">
      <w:r>
        <w:t>Overall summary of adverse effects is as f</w:t>
      </w:r>
      <w:r w:rsidR="00ED3A2F">
        <w:t>ollows as shown in Table 4</w:t>
      </w:r>
      <w:r w:rsidR="00250A57">
        <w:t>2</w:t>
      </w:r>
      <w:r w:rsidR="00506BB3">
        <w:t>.</w:t>
      </w:r>
    </w:p>
    <w:p w:rsidR="00506BB3" w:rsidRDefault="00ED3A2F" w:rsidP="00506BB3">
      <w:pPr>
        <w:pStyle w:val="TableTitle"/>
      </w:pPr>
      <w:r>
        <w:t>Table 4</w:t>
      </w:r>
      <w:r w:rsidR="00250A57">
        <w:t>2</w:t>
      </w:r>
      <w:r w:rsidR="00506BB3">
        <w:t>: Overall summary of adverse events in ART naïve and virologically suppressed (adult) subjects</w:t>
      </w:r>
    </w:p>
    <w:p w:rsidR="00F75C8D" w:rsidRDefault="00F75C8D" w:rsidP="00F75C8D">
      <w:r>
        <w:rPr>
          <w:noProof/>
          <w:lang w:eastAsia="en-AU"/>
        </w:rPr>
        <w:drawing>
          <wp:inline distT="0" distB="0" distL="0" distR="0" wp14:anchorId="398805CD" wp14:editId="32535620">
            <wp:extent cx="5400040" cy="3368391"/>
            <wp:effectExtent l="0" t="0" r="0" b="3810"/>
            <wp:docPr id="27" name="Picture 27" descr="Table 41: Overall summary of adverse events in ART naïve and virologically suppressed (adult)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3368391"/>
                    </a:xfrm>
                    <a:prstGeom prst="rect">
                      <a:avLst/>
                    </a:prstGeom>
                    <a:noFill/>
                    <a:ln>
                      <a:noFill/>
                    </a:ln>
                  </pic:spPr>
                </pic:pic>
              </a:graphicData>
            </a:graphic>
          </wp:inline>
        </w:drawing>
      </w:r>
    </w:p>
    <w:p w:rsidR="00F75C8D" w:rsidRDefault="00F75C8D" w:rsidP="00F75C8D">
      <w:r>
        <w:t>The adverse effects (AE) profiles were comparable in treatment-naïve and virologically-suppressed patients and were also similar to the active comparator groups.</w:t>
      </w:r>
    </w:p>
    <w:p w:rsidR="00F75C8D" w:rsidRDefault="00F75C8D" w:rsidP="00F75C8D">
      <w:r>
        <w:t>Discontinuation rates due to AEs were small and similar in all groups.</w:t>
      </w:r>
    </w:p>
    <w:p w:rsidR="00F75C8D" w:rsidRDefault="00F75C8D" w:rsidP="00F75C8D">
      <w:r>
        <w:t>In treatment-naïve patients treated with B/F/T</w:t>
      </w:r>
      <w:r w:rsidR="006E4E21">
        <w:t>AF</w:t>
      </w:r>
      <w:r>
        <w:t>, the most commonly reported AE were</w:t>
      </w:r>
      <w:r w:rsidR="00506BB3">
        <w:t xml:space="preserve"> diarrhoea, headache and nausea.</w:t>
      </w:r>
    </w:p>
    <w:p w:rsidR="00F75C8D" w:rsidRDefault="00F75C8D" w:rsidP="00F75C8D">
      <w:r>
        <w:t>In virologically-suppressed patients switching to B/F/T</w:t>
      </w:r>
      <w:r w:rsidR="006E4E21">
        <w:t>AF</w:t>
      </w:r>
      <w:r>
        <w:t>, the most commonly reported AE were URTI, diarrhoea, nasopharyngitis and headache.</w:t>
      </w:r>
    </w:p>
    <w:p w:rsidR="00F75C8D" w:rsidRDefault="00F75C8D" w:rsidP="00F75C8D">
      <w:r>
        <w:t>The rate of serious adverse effects (SAEs) ranged from 5.3% to 9.1% across various groups. A total of 7 deaths were reported including four in patients receiving B/F/T</w:t>
      </w:r>
      <w:r w:rsidR="006E4E21">
        <w:t>AF</w:t>
      </w:r>
      <w:r>
        <w:t>.</w:t>
      </w:r>
    </w:p>
    <w:p w:rsidR="00F75C8D" w:rsidRDefault="00F75C8D" w:rsidP="00F75C8D">
      <w:r>
        <w:t>No cases meeting Hy’s law criteria were reported.</w:t>
      </w:r>
    </w:p>
    <w:p w:rsidR="00F75C8D" w:rsidRDefault="00F75C8D" w:rsidP="00F75C8D">
      <w:r>
        <w:lastRenderedPageBreak/>
        <w:t xml:space="preserve">In </w:t>
      </w:r>
      <w:r w:rsidR="00080EC5">
        <w:t>Study</w:t>
      </w:r>
      <w:r>
        <w:t xml:space="preserve"> 1490, eight treatment-naïve patients with HIV/HBV co-infection were treated with B/F/T</w:t>
      </w:r>
      <w:r w:rsidR="006E4E21">
        <w:t>AF</w:t>
      </w:r>
      <w:r>
        <w:t>. Of these, two patients developed significant hepatic flare (1 Grade 4; 1 Grade 3).</w:t>
      </w:r>
    </w:p>
    <w:p w:rsidR="00F75C8D" w:rsidRDefault="00F75C8D" w:rsidP="00F75C8D">
      <w:r>
        <w:t>The changes from baseline in alkaline phosphatase, ALT, AST or total bilirubin in patients treated with B/F/T</w:t>
      </w:r>
      <w:r w:rsidR="006E4E21">
        <w:t>AF</w:t>
      </w:r>
      <w:r>
        <w:t xml:space="preserve"> were not clinically meaningful in any of the Phase </w:t>
      </w:r>
      <w:r w:rsidR="001411C5">
        <w:t>III</w:t>
      </w:r>
      <w:r w:rsidR="00ED3A2F">
        <w:t xml:space="preserve"> studies as seen in Table </w:t>
      </w:r>
      <w:r w:rsidR="00250A57">
        <w:t>43</w:t>
      </w:r>
      <w:r w:rsidR="00506BB3">
        <w:t>.</w:t>
      </w:r>
    </w:p>
    <w:p w:rsidR="00506BB3" w:rsidRDefault="00ED3A2F" w:rsidP="00506BB3">
      <w:pPr>
        <w:pStyle w:val="TableTitle"/>
      </w:pPr>
      <w:r>
        <w:t xml:space="preserve">Table </w:t>
      </w:r>
      <w:r w:rsidR="00250A57">
        <w:t>43</w:t>
      </w:r>
      <w:r w:rsidR="00506BB3">
        <w:t>:</w:t>
      </w:r>
      <w:r w:rsidR="00250A57">
        <w:t xml:space="preserve"> Studies</w:t>
      </w:r>
      <w:r w:rsidR="00506BB3">
        <w:t xml:space="preserve"> GS-US-380-1489, GS-US-380-1490, GS-US-380-1444, GS-US-380-1878: Grade 3 and 4 liver related laboratory abnormalities (Safety Analysis Set)</w:t>
      </w:r>
    </w:p>
    <w:p w:rsidR="00F75C8D" w:rsidRDefault="00506BB3" w:rsidP="00F75C8D">
      <w:r w:rsidRPr="00506BB3">
        <w:rPr>
          <w:noProof/>
          <w:lang w:eastAsia="en-AU"/>
        </w:rPr>
        <w:drawing>
          <wp:inline distT="0" distB="0" distL="0" distR="0" wp14:anchorId="421BDC7F" wp14:editId="41E6C9EE">
            <wp:extent cx="5400040" cy="2042900"/>
            <wp:effectExtent l="0" t="0" r="0" b="0"/>
            <wp:docPr id="15" name="Picture 15" descr="GS-US-380-1489, GS-US-380-1490, GS-US-380-1444, GS-US-380-1878: Grade 3 and 4 liver related laboratory abnormalit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040" cy="2042900"/>
                    </a:xfrm>
                    <a:prstGeom prst="rect">
                      <a:avLst/>
                    </a:prstGeom>
                  </pic:spPr>
                </pic:pic>
              </a:graphicData>
            </a:graphic>
          </wp:inline>
        </w:drawing>
      </w:r>
    </w:p>
    <w:p w:rsidR="00F75C8D" w:rsidRDefault="00F75C8D" w:rsidP="00F75C8D">
      <w:r>
        <w:t>There were no clinically meaningful differences between treatment groups rela</w:t>
      </w:r>
      <w:r w:rsidR="00506BB3">
        <w:t>ted to other laboratory changes</w:t>
      </w:r>
    </w:p>
    <w:p w:rsidR="004E5D79" w:rsidRDefault="00F75C8D" w:rsidP="00F75C8D">
      <w:r>
        <w:t>Overall no new safety signal was reported but the safety dataset is very small and of limited duration including with respect to assessment of risk of resistance development</w:t>
      </w:r>
      <w:r w:rsidR="004E5D79">
        <w:t>.</w:t>
      </w:r>
    </w:p>
    <w:p w:rsidR="00F75C8D" w:rsidRDefault="00F75C8D" w:rsidP="00F75C8D">
      <w:r>
        <w:t>No</w:t>
      </w:r>
      <w:r w:rsidR="00BE6936">
        <w:t xml:space="preserve"> post-</w:t>
      </w:r>
      <w:r>
        <w:t>market safety data is available at present.</w:t>
      </w:r>
    </w:p>
    <w:p w:rsidR="00456765" w:rsidRDefault="000E45E0" w:rsidP="000E45E0">
      <w:pPr>
        <w:pStyle w:val="Heading4"/>
      </w:pPr>
      <w:r w:rsidRPr="007B6132">
        <w:t>Clinical evaluator’s recommendation (if applicable)</w:t>
      </w:r>
    </w:p>
    <w:p w:rsidR="000E45E0" w:rsidRDefault="000E45E0" w:rsidP="000E45E0">
      <w:r>
        <w:t>The clinical evaluator is supportive of approval with the revis</w:t>
      </w:r>
      <w:r w:rsidR="00506BB3">
        <w:t>ed indication during Round </w:t>
      </w:r>
      <w:r>
        <w:t>2.</w:t>
      </w:r>
    </w:p>
    <w:p w:rsidR="00800747" w:rsidRDefault="00800747" w:rsidP="00800747">
      <w:pPr>
        <w:pStyle w:val="Heading3"/>
        <w:rPr>
          <w:lang w:eastAsia="en-AU"/>
        </w:rPr>
      </w:pPr>
      <w:bookmarkStart w:id="142" w:name="_Toc20133994"/>
      <w:r>
        <w:rPr>
          <w:lang w:eastAsia="en-AU"/>
        </w:rPr>
        <w:t>Risk management plan</w:t>
      </w:r>
      <w:bookmarkEnd w:id="142"/>
    </w:p>
    <w:p w:rsidR="00800747" w:rsidRDefault="00800747" w:rsidP="00800747">
      <w:r w:rsidRPr="006E1E5C">
        <w:t>Routing pharmacovigilance is recommended. There are no outstanding issues</w:t>
      </w:r>
      <w:r>
        <w:t>.</w:t>
      </w:r>
    </w:p>
    <w:p w:rsidR="00800747" w:rsidRPr="006E1E5C" w:rsidRDefault="00800747" w:rsidP="00800747">
      <w:r w:rsidRPr="006E1E5C">
        <w:t xml:space="preserve">Implementation of </w:t>
      </w:r>
      <w:r>
        <w:t>Biktarvy</w:t>
      </w:r>
      <w:r w:rsidRPr="006E1E5C">
        <w:t xml:space="preserve"> EU-Risk Management Plan version 0.1 (dated 10 June 2017) with the Australian Specific Annex version 0.2 (dated February 2018) included with submission and any subsequent revisions in agreement with the TGA will be a condition of registration. Inclusion in the Black Triangle Scheme is also recommended. This is supported.</w:t>
      </w:r>
    </w:p>
    <w:p w:rsidR="00800747" w:rsidRDefault="00800747" w:rsidP="00800747">
      <w:pPr>
        <w:pStyle w:val="Heading3"/>
      </w:pPr>
      <w:bookmarkStart w:id="143" w:name="_Toc247691531"/>
      <w:bookmarkStart w:id="144" w:name="_Toc314842515"/>
      <w:bookmarkStart w:id="145" w:name="_Toc20133995"/>
      <w:r>
        <w:t>Risk-benefit analysis</w:t>
      </w:r>
      <w:bookmarkEnd w:id="143"/>
      <w:bookmarkEnd w:id="144"/>
      <w:bookmarkEnd w:id="145"/>
    </w:p>
    <w:p w:rsidR="00800747" w:rsidRPr="00800747" w:rsidRDefault="00800747" w:rsidP="00800747">
      <w:pPr>
        <w:pStyle w:val="Heading4"/>
      </w:pPr>
      <w:r w:rsidRPr="00800747">
        <w:t>Delegate’s considerations</w:t>
      </w:r>
    </w:p>
    <w:p w:rsidR="004E5D79" w:rsidRDefault="00F75C8D" w:rsidP="00800747">
      <w:r>
        <w:t>The dossier represents</w:t>
      </w:r>
      <w:r w:rsidR="00B315E8">
        <w:t xml:space="preserve"> the</w:t>
      </w:r>
      <w:r>
        <w:t xml:space="preserve"> full clinical development program for </w:t>
      </w:r>
      <w:r w:rsidR="001B5D97">
        <w:t>Biktarvy</w:t>
      </w:r>
      <w:r>
        <w:t xml:space="preserve"> (BIC/FTC/TAF</w:t>
      </w:r>
      <w:r w:rsidR="00B315E8">
        <w:t> </w:t>
      </w:r>
      <w:r>
        <w:t>50/200/25</w:t>
      </w:r>
      <w:r w:rsidR="00B315E8">
        <w:t xml:space="preserve"> mg</w:t>
      </w:r>
      <w:r>
        <w:t>)</w:t>
      </w:r>
      <w:r w:rsidR="004E5D79">
        <w:t>.</w:t>
      </w:r>
    </w:p>
    <w:p w:rsidR="004E5D79" w:rsidRDefault="00F75C8D" w:rsidP="00800747">
      <w:r>
        <w:t xml:space="preserve">All outstanding issues in </w:t>
      </w:r>
      <w:r w:rsidR="00346554">
        <w:t>quality assessment</w:t>
      </w:r>
      <w:r>
        <w:t xml:space="preserve"> including toxicological qualification of a number of drug impurities and a pending GMP</w:t>
      </w:r>
      <w:r w:rsidR="00B315E8">
        <w:t xml:space="preserve"> certificate</w:t>
      </w:r>
      <w:r>
        <w:t xml:space="preserve"> have been resolved. Approval is recommended by the </w:t>
      </w:r>
      <w:r w:rsidR="00346554">
        <w:t>quality</w:t>
      </w:r>
      <w:r>
        <w:t xml:space="preserve"> area</w:t>
      </w:r>
      <w:r w:rsidR="004E5D79">
        <w:t>.</w:t>
      </w:r>
    </w:p>
    <w:p w:rsidR="004E5D79" w:rsidRDefault="00F75C8D" w:rsidP="00F75C8D">
      <w:pPr>
        <w:pStyle w:val="Default"/>
        <w:rPr>
          <w:sz w:val="22"/>
          <w:szCs w:val="22"/>
        </w:rPr>
      </w:pPr>
      <w:r>
        <w:rPr>
          <w:sz w:val="22"/>
          <w:szCs w:val="22"/>
        </w:rPr>
        <w:lastRenderedPageBreak/>
        <w:t xml:space="preserve">There are also no outstanding issues in relation to </w:t>
      </w:r>
      <w:r w:rsidR="00346554">
        <w:rPr>
          <w:sz w:val="22"/>
          <w:szCs w:val="22"/>
        </w:rPr>
        <w:t>nonclinical</w:t>
      </w:r>
      <w:r>
        <w:rPr>
          <w:sz w:val="22"/>
          <w:szCs w:val="22"/>
        </w:rPr>
        <w:t xml:space="preserve"> and </w:t>
      </w:r>
      <w:r w:rsidR="00B315E8">
        <w:rPr>
          <w:sz w:val="22"/>
          <w:szCs w:val="22"/>
        </w:rPr>
        <w:t>RMP areas</w:t>
      </w:r>
      <w:r>
        <w:rPr>
          <w:sz w:val="22"/>
          <w:szCs w:val="22"/>
        </w:rPr>
        <w:t>. Both areas support approval</w:t>
      </w:r>
      <w:r w:rsidR="004E5D79">
        <w:rPr>
          <w:sz w:val="22"/>
          <w:szCs w:val="22"/>
        </w:rPr>
        <w:t>.</w:t>
      </w:r>
    </w:p>
    <w:p w:rsidR="00F75C8D" w:rsidRDefault="00F75C8D" w:rsidP="00F75C8D">
      <w:r>
        <w:t xml:space="preserve">Overall the clinical dataset is adequate with regards to pharmacokinetics, pharmacodynamics and clinical efficacy but quite limited in relation to clinical safety. The RMP area has recommended inclusion of </w:t>
      </w:r>
      <w:r w:rsidR="001B5D97">
        <w:t>Biktarvy</w:t>
      </w:r>
      <w:r>
        <w:t xml:space="preserve"> in the black triangle scheme as a condition of registration. This is supported.</w:t>
      </w:r>
    </w:p>
    <w:p w:rsidR="00F75C8D" w:rsidRDefault="00F75C8D" w:rsidP="00F75C8D">
      <w:r>
        <w:t xml:space="preserve">Lack of absolute bioavailability study for BIC is considered acceptable given the overall information from clinical studies and availability of Phase </w:t>
      </w:r>
      <w:r w:rsidR="001411C5">
        <w:t>III</w:t>
      </w:r>
      <w:r>
        <w:t xml:space="preserve"> data. The food effect is modest and not likely to impact on clinical effect. The recommendation is for administration of </w:t>
      </w:r>
      <w:r w:rsidR="001B5D97">
        <w:t>Biktarvy</w:t>
      </w:r>
      <w:r>
        <w:t xml:space="preserve"> without regard for food.</w:t>
      </w:r>
    </w:p>
    <w:p w:rsidR="00F75C8D" w:rsidRDefault="00F75C8D" w:rsidP="00F75C8D">
      <w:r>
        <w:t>The proposed clinical dose of BIC/FTC/TAF 50/200/25</w:t>
      </w:r>
      <w:r w:rsidR="00B315E8">
        <w:t xml:space="preserve"> mg</w:t>
      </w:r>
      <w:r>
        <w:t xml:space="preserve"> was not particularly well chosen but remains the only choice as only one dose level was examined in Phase </w:t>
      </w:r>
      <w:r w:rsidR="001411C5">
        <w:t>III</w:t>
      </w:r>
      <w:r>
        <w:t xml:space="preserve"> (or Phase</w:t>
      </w:r>
      <w:r w:rsidR="001411C5">
        <w:t xml:space="preserve"> II</w:t>
      </w:r>
      <w:r>
        <w:t xml:space="preserve">). After obtaining dose response data in </w:t>
      </w:r>
      <w:r w:rsidR="00080EC5">
        <w:t>Study</w:t>
      </w:r>
      <w:r>
        <w:t xml:space="preserve"> 1219, the choice of BIC+FTC/TAF 75+200/25 </w:t>
      </w:r>
      <w:r w:rsidR="00B315E8">
        <w:t xml:space="preserve">mg </w:t>
      </w:r>
      <w:r>
        <w:t xml:space="preserve">in the Phase </w:t>
      </w:r>
      <w:r w:rsidR="001411C5">
        <w:t>II</w:t>
      </w:r>
      <w:r>
        <w:t xml:space="preserve"> </w:t>
      </w:r>
      <w:r w:rsidR="00080EC5">
        <w:t>Study</w:t>
      </w:r>
      <w:r>
        <w:t xml:space="preserve"> 1475 was appropriate but was limited due to lack of another dose level. Subsequently, two co</w:t>
      </w:r>
      <w:r w:rsidR="00346554">
        <w:t>-</w:t>
      </w:r>
      <w:r>
        <w:t xml:space="preserve">formulated fixed dose formulations (BIB/FTC/TAF 75/200/25 </w:t>
      </w:r>
      <w:r w:rsidR="00B315E8">
        <w:t xml:space="preserve">mg </w:t>
      </w:r>
      <w:r>
        <w:t>and 50/200/25</w:t>
      </w:r>
      <w:r w:rsidR="00B315E8">
        <w:t xml:space="preserve"> mg</w:t>
      </w:r>
      <w:r>
        <w:t xml:space="preserve">) were tested for bioequivalence to 75+200/25 </w:t>
      </w:r>
      <w:r w:rsidR="00B315E8">
        <w:t xml:space="preserve">mg </w:t>
      </w:r>
      <w:r>
        <w:t xml:space="preserve">in the </w:t>
      </w:r>
      <w:r w:rsidR="00080EC5">
        <w:t>Study</w:t>
      </w:r>
      <w:r>
        <w:t xml:space="preserve"> 1233. The results have been reproduced above. BIC/FTC/TAF 50/200/25 </w:t>
      </w:r>
      <w:r w:rsidR="00B315E8">
        <w:t xml:space="preserve">mg </w:t>
      </w:r>
      <w:r>
        <w:t xml:space="preserve">was considered bioequivalent to the Phase </w:t>
      </w:r>
      <w:r w:rsidR="001411C5">
        <w:t>II</w:t>
      </w:r>
      <w:r>
        <w:t xml:space="preserve"> combination 75+200/25</w:t>
      </w:r>
      <w:r w:rsidR="00B315E8">
        <w:t xml:space="preserve"> mg</w:t>
      </w:r>
      <w:r>
        <w:t>. A conclusion of relatively lower bioavailability of 50/200/75</w:t>
      </w:r>
      <w:r w:rsidR="00B315E8">
        <w:t xml:space="preserve"> mg</w:t>
      </w:r>
      <w:r>
        <w:t xml:space="preserve"> than 75/200/25</w:t>
      </w:r>
      <w:r w:rsidR="00B315E8">
        <w:t xml:space="preserve"> mg</w:t>
      </w:r>
      <w:r>
        <w:t xml:space="preserve"> against the Phase </w:t>
      </w:r>
      <w:r w:rsidR="001411C5">
        <w:t>II</w:t>
      </w:r>
      <w:r>
        <w:t xml:space="preserve"> combination of 75+200/25 </w:t>
      </w:r>
      <w:r w:rsidR="00B315E8">
        <w:t xml:space="preserve">mg </w:t>
      </w:r>
      <w:r>
        <w:t xml:space="preserve">would have been more consistent with the reported results. Thus there is a disconnect between </w:t>
      </w:r>
      <w:r w:rsidR="00080EC5">
        <w:t>Study</w:t>
      </w:r>
      <w:r>
        <w:t xml:space="preserve"> 1219 (dos</w:t>
      </w:r>
      <w:r w:rsidR="001411C5">
        <w:t xml:space="preserve">e response), </w:t>
      </w:r>
      <w:r w:rsidR="00080EC5">
        <w:t>Study</w:t>
      </w:r>
      <w:r w:rsidR="001411C5">
        <w:t xml:space="preserve"> 1475 (Phase II</w:t>
      </w:r>
      <w:r>
        <w:t xml:space="preserve">) and the </w:t>
      </w:r>
      <w:r w:rsidR="001411C5">
        <w:t>four</w:t>
      </w:r>
      <w:r>
        <w:t xml:space="preserve"> Phase </w:t>
      </w:r>
      <w:r w:rsidR="001411C5">
        <w:t>III</w:t>
      </w:r>
      <w:r>
        <w:t xml:space="preserve"> studies.</w:t>
      </w:r>
    </w:p>
    <w:p w:rsidR="00F75C8D" w:rsidRDefault="00F75C8D" w:rsidP="00F75C8D">
      <w:r>
        <w:t xml:space="preserve">However, in view of the dose response observed in </w:t>
      </w:r>
      <w:r w:rsidR="00080EC5">
        <w:t>Study</w:t>
      </w:r>
      <w:r>
        <w:t xml:space="preserve"> 1219, BIC/FTC/TAF 50/200/25</w:t>
      </w:r>
      <w:r w:rsidR="00B315E8">
        <w:t> mg</w:t>
      </w:r>
      <w:r>
        <w:t xml:space="preserve">is also a reasonable, but not optimal, choice. The Phase </w:t>
      </w:r>
      <w:r w:rsidR="001411C5">
        <w:t>III</w:t>
      </w:r>
      <w:r>
        <w:t xml:space="preserve"> clinical trials data in both ART treatment-naïve and treatment-experienced (virologically-suppressed on stable treatment) patient population are indicative of statistically non-inferior efficacy, but no additional advantage, against the comparator standard treatment </w:t>
      </w:r>
      <w:r w:rsidR="00346554">
        <w:t>regimens</w:t>
      </w:r>
      <w:r>
        <w:t xml:space="preserve"> currently in clinical use. Somewhat lower response in patients with baseline viral load </w:t>
      </w:r>
      <w:r w:rsidR="00251457">
        <w:t>&gt;</w:t>
      </w:r>
      <w:r w:rsidR="00B315E8">
        <w:t> </w:t>
      </w:r>
      <w:r>
        <w:t>100,000</w:t>
      </w:r>
      <w:r w:rsidR="00B315E8">
        <w:t> </w:t>
      </w:r>
      <w:r>
        <w:t>copies/mL in naïve population is noted</w:t>
      </w:r>
    </w:p>
    <w:p w:rsidR="00F75C8D" w:rsidRDefault="00F75C8D" w:rsidP="00F75C8D">
      <w:r>
        <w:t>Other issues worth noting are pharmacokinetic interaction with concomitant strong antacid and a 41% reduction (lower limit of 90%CI) in BIC exposure (AUC</w:t>
      </w:r>
      <w:r w:rsidRPr="00346554">
        <w:rPr>
          <w:vertAlign w:val="subscript"/>
        </w:rPr>
        <w:t>inf</w:t>
      </w:r>
      <w:r>
        <w:t xml:space="preserve">) in moderate hepatic impairment compared to healthy subjects (normal hepatic function) based on a single dose BIC </w:t>
      </w:r>
      <w:r w:rsidR="00251457">
        <w:t>75 mg</w:t>
      </w:r>
      <w:r>
        <w:t xml:space="preserve"> in </w:t>
      </w:r>
      <w:r w:rsidR="00080EC5">
        <w:t>Study</w:t>
      </w:r>
      <w:r>
        <w:t xml:space="preserve"> GS-US-141-1478 as </w:t>
      </w:r>
      <w:r w:rsidR="00ED3A2F">
        <w:t xml:space="preserve">shown in Table </w:t>
      </w:r>
      <w:r w:rsidR="00250A57">
        <w:t>44</w:t>
      </w:r>
      <w:r w:rsidR="00346554">
        <w:t>.</w:t>
      </w:r>
    </w:p>
    <w:p w:rsidR="00346554" w:rsidRDefault="00ED3A2F" w:rsidP="00346554">
      <w:pPr>
        <w:pStyle w:val="TableTitle"/>
      </w:pPr>
      <w:r>
        <w:t xml:space="preserve">Table </w:t>
      </w:r>
      <w:r w:rsidR="00250A57">
        <w:t>44</w:t>
      </w:r>
      <w:r w:rsidR="00346554">
        <w:t>: Study GS-US-141-1478 BIC PK parameters after a single dose BIC 75mg</w:t>
      </w:r>
    </w:p>
    <w:p w:rsidR="00F75C8D" w:rsidRDefault="00F75C8D" w:rsidP="00F75C8D">
      <w:r>
        <w:rPr>
          <w:noProof/>
          <w:lang w:eastAsia="en-AU"/>
        </w:rPr>
        <w:drawing>
          <wp:inline distT="0" distB="0" distL="0" distR="0" wp14:anchorId="4DDD887A" wp14:editId="46C98211">
            <wp:extent cx="5400040" cy="2065619"/>
            <wp:effectExtent l="0" t="0" r="0" b="0"/>
            <wp:docPr id="29" name="Picture 29" descr="Table 43: Study GS-US-141-1478 BIC PK parameters after a single dose BIC 75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2065619"/>
                    </a:xfrm>
                    <a:prstGeom prst="rect">
                      <a:avLst/>
                    </a:prstGeom>
                    <a:noFill/>
                    <a:ln>
                      <a:noFill/>
                    </a:ln>
                  </pic:spPr>
                </pic:pic>
              </a:graphicData>
            </a:graphic>
          </wp:inline>
        </w:drawing>
      </w:r>
    </w:p>
    <w:p w:rsidR="00F75C8D" w:rsidRDefault="00F75C8D" w:rsidP="00F75C8D">
      <w:r w:rsidRPr="00F75C8D">
        <w:t xml:space="preserve">This is noted given the proposed recommendation that no change in dose is recommended in moderate hepatic dysfunction. Note </w:t>
      </w:r>
      <w:r w:rsidR="001B5D97">
        <w:t>Biktarvy</w:t>
      </w:r>
      <w:r w:rsidRPr="00F75C8D">
        <w:t xml:space="preserve"> is not recommended for use in severe renal impairment based on a single dose BIC </w:t>
      </w:r>
      <w:r w:rsidR="00251457">
        <w:t>75 mg</w:t>
      </w:r>
      <w:r w:rsidRPr="00F75C8D">
        <w:t xml:space="preserve"> </w:t>
      </w:r>
      <w:r w:rsidR="00080EC5">
        <w:t>Study</w:t>
      </w:r>
      <w:r w:rsidRPr="00F75C8D">
        <w:t xml:space="preserve"> GS-US-141-1479 in which 48% </w:t>
      </w:r>
      <w:r w:rsidRPr="00F75C8D">
        <w:lastRenderedPageBreak/>
        <w:t>lower limit of 90%CI for BIC AUC</w:t>
      </w:r>
      <w:r w:rsidRPr="00346554">
        <w:rPr>
          <w:vertAlign w:val="subscript"/>
        </w:rPr>
        <w:t>inf</w:t>
      </w:r>
      <w:r w:rsidRPr="00F75C8D">
        <w:t xml:space="preserve"> was obtained (com</w:t>
      </w:r>
      <w:r w:rsidR="00FA52CB">
        <w:t>pared to normal ren</w:t>
      </w:r>
      <w:r w:rsidR="00ED3A2F">
        <w:t xml:space="preserve">al function) as shown in Table </w:t>
      </w:r>
      <w:r w:rsidR="00250A57">
        <w:t>45</w:t>
      </w:r>
      <w:r w:rsidR="00FA52CB">
        <w:t>.</w:t>
      </w:r>
    </w:p>
    <w:p w:rsidR="00FA52CB" w:rsidRDefault="00ED3A2F" w:rsidP="00FA52CB">
      <w:pPr>
        <w:pStyle w:val="TableTitle"/>
      </w:pPr>
      <w:r>
        <w:t xml:space="preserve">Table </w:t>
      </w:r>
      <w:r w:rsidR="00250A57">
        <w:t>45</w:t>
      </w:r>
      <w:r w:rsidR="00FA52CB">
        <w:t>: Study GS-US-141-1479. Plasma PK parameters for GS-9883 and statistical comparisons for renal impairment</w:t>
      </w:r>
    </w:p>
    <w:p w:rsidR="00F75C8D" w:rsidRDefault="00F75C8D" w:rsidP="00F75C8D">
      <w:r>
        <w:rPr>
          <w:noProof/>
          <w:lang w:eastAsia="en-AU"/>
        </w:rPr>
        <w:drawing>
          <wp:inline distT="0" distB="0" distL="0" distR="0" wp14:anchorId="3B8FA689" wp14:editId="10F49FE0">
            <wp:extent cx="5400040" cy="2261296"/>
            <wp:effectExtent l="0" t="0" r="0" b="5715"/>
            <wp:docPr id="30" name="Picture 30" descr="Study GS-US-141-1479. Plasma PK parameters for GS-9883 and statistical comparisons for ren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2261296"/>
                    </a:xfrm>
                    <a:prstGeom prst="rect">
                      <a:avLst/>
                    </a:prstGeom>
                    <a:noFill/>
                    <a:ln>
                      <a:noFill/>
                    </a:ln>
                  </pic:spPr>
                </pic:pic>
              </a:graphicData>
            </a:graphic>
          </wp:inline>
        </w:drawing>
      </w:r>
    </w:p>
    <w:p w:rsidR="00F75C8D" w:rsidRPr="000E45E0" w:rsidRDefault="00F75C8D" w:rsidP="00F75C8D">
      <w:r w:rsidRPr="00F75C8D">
        <w:t>No unexpected adverse effects or safety signals were reported within the limited dataset. Post-market data is not yet available.</w:t>
      </w:r>
    </w:p>
    <w:p w:rsidR="00D23139" w:rsidRDefault="00D23139" w:rsidP="00D23139">
      <w:pPr>
        <w:pStyle w:val="Heading4"/>
      </w:pPr>
      <w:bookmarkStart w:id="146" w:name="_Toc196046505"/>
      <w:bookmarkStart w:id="147" w:name="_Toc196046949"/>
      <w:bookmarkEnd w:id="141"/>
      <w:r w:rsidRPr="00D23139">
        <w:t>Proposed action</w:t>
      </w:r>
    </w:p>
    <w:p w:rsidR="001640DD" w:rsidRDefault="00FA52CB" w:rsidP="001640DD">
      <w:r>
        <w:t>The Delegate was</w:t>
      </w:r>
      <w:r w:rsidR="001640DD">
        <w:t xml:space="preserve"> of the view that </w:t>
      </w:r>
      <w:r w:rsidR="001B5D97">
        <w:t>Biktarvy</w:t>
      </w:r>
      <w:r w:rsidR="001640DD">
        <w:t xml:space="preserve"> (BIC/FTC/TAF 50/200/25</w:t>
      </w:r>
      <w:r w:rsidR="00B315E8">
        <w:t xml:space="preserve"> mg</w:t>
      </w:r>
      <w:r w:rsidR="001640DD">
        <w:t>) dossier has sufficient data to allow approval of the proposed use in the treatment of HIV-1 infection in adults.</w:t>
      </w:r>
    </w:p>
    <w:p w:rsidR="001640DD" w:rsidRDefault="001640DD" w:rsidP="001640DD">
      <w:r>
        <w:t>There were too few HIV/HBV co</w:t>
      </w:r>
      <w:r w:rsidR="00FA52CB">
        <w:t>-infected patients so that the s</w:t>
      </w:r>
      <w:r>
        <w:t>ponsor has agreed to withdraw the initially proposed separate indication in HIV/HBV co</w:t>
      </w:r>
      <w:r w:rsidR="00FA52CB">
        <w:t>-</w:t>
      </w:r>
      <w:r>
        <w:t>infected population.</w:t>
      </w:r>
    </w:p>
    <w:p w:rsidR="001640DD" w:rsidRDefault="001640DD" w:rsidP="001640DD">
      <w:r>
        <w:t xml:space="preserve">In </w:t>
      </w:r>
      <w:r w:rsidR="00FA52CB">
        <w:t>the second round</w:t>
      </w:r>
      <w:r w:rsidR="00B315E8">
        <w:t>,</w:t>
      </w:r>
      <w:r w:rsidR="00FA52CB">
        <w:t xml:space="preserve"> the s</w:t>
      </w:r>
      <w:r>
        <w:t xml:space="preserve">ponsor has agreed to a modified indication recommended by the </w:t>
      </w:r>
      <w:r w:rsidR="00FA52CB">
        <w:t>clinical evaluator</w:t>
      </w:r>
      <w:r>
        <w:t>.</w:t>
      </w:r>
    </w:p>
    <w:p w:rsidR="00456765" w:rsidRDefault="001640DD" w:rsidP="001640DD">
      <w:r>
        <w:t xml:space="preserve">It is proposed that the indication should more accurately reflect the clinical trials experience. The following </w:t>
      </w:r>
      <w:r w:rsidR="00FA52CB">
        <w:t xml:space="preserve">indication </w:t>
      </w:r>
      <w:r>
        <w:t>is recommended:</w:t>
      </w:r>
    </w:p>
    <w:p w:rsidR="001640DD" w:rsidRPr="00456765" w:rsidRDefault="00FA52CB" w:rsidP="00FA52CB">
      <w:pPr>
        <w:ind w:left="720"/>
      </w:pPr>
      <w:r w:rsidRPr="006912D4">
        <w:rPr>
          <w:i/>
        </w:rPr>
        <w:t xml:space="preserve">Biktarvy is indicated for the treatment of HIV-1 infection in adults who are antiretroviral therapy (ART)-naïve or to replace the current antiretroviral regimen in those who are virologically-suppressed (HIV-1 RNA </w:t>
      </w:r>
      <w:r>
        <w:rPr>
          <w:i/>
        </w:rPr>
        <w:t xml:space="preserve">&lt; </w:t>
      </w:r>
      <w:r w:rsidRPr="006912D4">
        <w:rPr>
          <w:i/>
        </w:rPr>
        <w:t xml:space="preserve">50 copies per mL) on a stable antiretroviral regimen </w:t>
      </w:r>
      <w:r>
        <w:rPr>
          <w:i/>
        </w:rPr>
        <w:t xml:space="preserve">for at least 3 months with no history of </w:t>
      </w:r>
      <w:r w:rsidRPr="006912D4">
        <w:rPr>
          <w:i/>
        </w:rPr>
        <w:t>treatment failure, and no known substitutions associated with resistance to the individual components of Biktarvy</w:t>
      </w:r>
    </w:p>
    <w:p w:rsidR="00D23139" w:rsidRDefault="00A22D57" w:rsidP="00D23139">
      <w:pPr>
        <w:pStyle w:val="Heading4"/>
      </w:pPr>
      <w:r>
        <w:t>Request for AC</w:t>
      </w:r>
      <w:r w:rsidR="00D23139" w:rsidRPr="00D23139">
        <w:t>M advice</w:t>
      </w:r>
    </w:p>
    <w:p w:rsidR="001640DD" w:rsidRDefault="001640DD" w:rsidP="001640DD">
      <w:r>
        <w:t>The Committee is requested to provide advice on the following specific issues:</w:t>
      </w:r>
    </w:p>
    <w:p w:rsidR="001640DD" w:rsidRDefault="00B315E8" w:rsidP="00FA52CB">
      <w:pPr>
        <w:pStyle w:val="Numberbullet0"/>
        <w:numPr>
          <w:ilvl w:val="0"/>
          <w:numId w:val="30"/>
        </w:numPr>
      </w:pPr>
      <w:r>
        <w:t xml:space="preserve">The </w:t>
      </w:r>
      <w:r w:rsidR="001640DD">
        <w:t xml:space="preserve">ACM is requested to comment on dose selection for the Phase </w:t>
      </w:r>
      <w:r w:rsidR="001411C5">
        <w:t>III</w:t>
      </w:r>
      <w:r w:rsidR="001640DD">
        <w:t xml:space="preserve"> studies and on the optimal wording of the indication.</w:t>
      </w:r>
    </w:p>
    <w:p w:rsidR="001640DD" w:rsidRDefault="00B315E8" w:rsidP="00FA52CB">
      <w:pPr>
        <w:pStyle w:val="Numberbullet0"/>
        <w:numPr>
          <w:ilvl w:val="0"/>
          <w:numId w:val="30"/>
        </w:numPr>
      </w:pPr>
      <w:r>
        <w:t xml:space="preserve">The </w:t>
      </w:r>
      <w:r w:rsidR="001640DD">
        <w:t>ACM is requested advice on the suitability of proposed recommendations in moderate hepatic impairment (no change in dose required) and in severe renal impairment (do not use).</w:t>
      </w:r>
    </w:p>
    <w:p w:rsidR="00456765" w:rsidRPr="00456765" w:rsidRDefault="001640DD" w:rsidP="001640DD">
      <w:r>
        <w:t>The ACM is also requested to provide advice on any other issues that it thinks may be relevant to a decision on whether or not to approve this application.</w:t>
      </w:r>
    </w:p>
    <w:p w:rsidR="00D23139" w:rsidRDefault="00456765" w:rsidP="00D23139">
      <w:pPr>
        <w:pStyle w:val="Heading4"/>
      </w:pPr>
      <w:r>
        <w:lastRenderedPageBreak/>
        <w:t xml:space="preserve">Response from </w:t>
      </w:r>
      <w:r w:rsidR="004E4AAB">
        <w:t>sponsor</w:t>
      </w:r>
    </w:p>
    <w:p w:rsidR="00FA52CB" w:rsidRDefault="00FA52CB" w:rsidP="00FA52CB">
      <w:pPr>
        <w:pStyle w:val="Heading5"/>
      </w:pPr>
      <w:r>
        <w:t>Summary</w:t>
      </w:r>
    </w:p>
    <w:p w:rsidR="00FA52CB" w:rsidRDefault="00FA52CB" w:rsidP="00FA52CB">
      <w:r>
        <w:t>Given the success of potent and well-tolerated antiretroviral therapy (ART), morbidity and mortality in HIV infected patients is increasingly driven by non-AIDS-associated comorbidities. Clinical attention has become more focused on optimi</w:t>
      </w:r>
      <w:r w:rsidR="00B315E8">
        <w:t>s</w:t>
      </w:r>
      <w:r>
        <w:t>ing ART tolerability, long-term safety, and adherence. There remains a significant medical need for new, effective therapies that take into consideration the non-HIV comorbidities, demographics of the aging HIV-infected population, ART resistance, and regimen simplification.</w:t>
      </w:r>
    </w:p>
    <w:p w:rsidR="00FA52CB" w:rsidRDefault="00FA52CB" w:rsidP="00FA52CB">
      <w:r>
        <w:t>Bictegravir (BIC) is a potent integrase strand-transfer inhibitor (INSTI) that is being evaluated for the treatment of HIV-1 infection and has demonstrated a terminal half-life suitable for once-daily administration without a boosting agent. When BIC is co</w:t>
      </w:r>
      <w:r>
        <w:noBreakHyphen/>
        <w:t>administered with the guideline-recommended N(t)RTI backbone, FTC and TAF, BIC demonstrated high ARV activity, with no virologic failures due to resistance, and the treatment was safe and well tolerated.</w:t>
      </w:r>
    </w:p>
    <w:p w:rsidR="00FA52CB" w:rsidRDefault="00FA52CB" w:rsidP="00FA52CB">
      <w:r>
        <w:t>FTC and TAF form a guideline-recommended N(t)RTI backbone for ART-naïve HIV-infected patients</w:t>
      </w:r>
      <w:r w:rsidR="004C008B">
        <w:t>.</w:t>
      </w:r>
      <w:r w:rsidR="004C008B">
        <w:rPr>
          <w:rStyle w:val="FootnoteReference"/>
        </w:rPr>
        <w:footnoteReference w:id="37"/>
      </w:r>
      <w:r>
        <w:t xml:space="preserve"> In clinical trials, FTC and TAF have demonstrated potent and sustained efficacy, with excellent tolerability and minimal long-term tox</w:t>
      </w:r>
      <w:r w:rsidR="004C008B">
        <w:t>icity in HIV-infected subjects.</w:t>
      </w:r>
      <w:r w:rsidR="004C008B">
        <w:rPr>
          <w:rStyle w:val="FootnoteReference"/>
        </w:rPr>
        <w:footnoteReference w:id="38"/>
      </w:r>
    </w:p>
    <w:p w:rsidR="00FA52CB" w:rsidRDefault="00B315E8" w:rsidP="00FA52CB">
      <w:r>
        <w:t xml:space="preserve">Biktarvy </w:t>
      </w:r>
      <w:r w:rsidR="00FA52CB">
        <w:t>has the potential to offer the Australian HIV community the benefits of an optimi</w:t>
      </w:r>
      <w:r>
        <w:t>s</w:t>
      </w:r>
      <w:r w:rsidR="00FA52CB">
        <w:t>ed treatment in the context of an aging cohort of HIV infected individuals with a life-expectancy close to that observed in the general population who are exposed to ART for the long-term.</w:t>
      </w:r>
    </w:p>
    <w:p w:rsidR="00FA52CB" w:rsidRPr="00FA52CB" w:rsidRDefault="00FA52CB" w:rsidP="00FA52CB">
      <w:pPr>
        <w:pStyle w:val="Heading5"/>
        <w:rPr>
          <w:rFonts w:eastAsiaTheme="minorHAnsi"/>
        </w:rPr>
      </w:pPr>
      <w:r w:rsidRPr="00FA52CB">
        <w:t xml:space="preserve">Advice sought by the </w:t>
      </w:r>
      <w:r>
        <w:t>TGA</w:t>
      </w:r>
      <w:r w:rsidRPr="00FA52CB">
        <w:t xml:space="preserve"> </w:t>
      </w:r>
      <w:r w:rsidR="00B315E8">
        <w:t>D</w:t>
      </w:r>
      <w:r w:rsidRPr="00FA52CB">
        <w:t>elegate</w:t>
      </w:r>
    </w:p>
    <w:p w:rsidR="00FA52CB" w:rsidRPr="00FA52CB" w:rsidRDefault="00FA52CB" w:rsidP="00FA52CB">
      <w:r w:rsidRPr="00FA52CB">
        <w:t xml:space="preserve">The Delegates’ comments on </w:t>
      </w:r>
      <w:r>
        <w:t xml:space="preserve">are presented in bold italics, and are followed by </w:t>
      </w:r>
      <w:r w:rsidR="00B315E8">
        <w:t xml:space="preserve">the sponsor’s </w:t>
      </w:r>
      <w:r w:rsidRPr="00FA52CB">
        <w:t>response.</w:t>
      </w:r>
    </w:p>
    <w:p w:rsidR="00B315E8" w:rsidRDefault="002B4B04" w:rsidP="004C008B">
      <w:pPr>
        <w:pStyle w:val="Heading5"/>
      </w:pPr>
      <w:r>
        <w:t xml:space="preserve">Question </w:t>
      </w:r>
      <w:r w:rsidR="00B315E8">
        <w:t>1</w:t>
      </w:r>
    </w:p>
    <w:p w:rsidR="001640DD" w:rsidRPr="00811608" w:rsidRDefault="00811608" w:rsidP="00066684">
      <w:pPr>
        <w:rPr>
          <w:b/>
          <w:i/>
        </w:rPr>
      </w:pPr>
      <w:r w:rsidRPr="00811608">
        <w:rPr>
          <w:b/>
          <w:i/>
        </w:rPr>
        <w:t xml:space="preserve">The </w:t>
      </w:r>
      <w:r w:rsidR="001640DD" w:rsidRPr="00811608">
        <w:rPr>
          <w:b/>
          <w:i/>
        </w:rPr>
        <w:t xml:space="preserve">ACM is requested to comment on dose selection for the Phase </w:t>
      </w:r>
      <w:r w:rsidR="001411C5" w:rsidRPr="00811608">
        <w:rPr>
          <w:b/>
          <w:i/>
        </w:rPr>
        <w:t>III</w:t>
      </w:r>
      <w:r w:rsidR="001640DD" w:rsidRPr="00811608">
        <w:rPr>
          <w:b/>
          <w:i/>
        </w:rPr>
        <w:t xml:space="preserve"> studies and on the optimal wording of the indication.</w:t>
      </w:r>
    </w:p>
    <w:p w:rsidR="001640DD" w:rsidRPr="00FA52CB" w:rsidRDefault="001640DD" w:rsidP="00FA52CB">
      <w:pPr>
        <w:pStyle w:val="Heading6"/>
      </w:pPr>
      <w:r w:rsidRPr="00FA52CB">
        <w:t xml:space="preserve">Dose selection for the Phase </w:t>
      </w:r>
      <w:r w:rsidR="001411C5" w:rsidRPr="00FA52CB">
        <w:t>III</w:t>
      </w:r>
      <w:r w:rsidRPr="00FA52CB">
        <w:t xml:space="preserve"> studies</w:t>
      </w:r>
    </w:p>
    <w:p w:rsidR="001640DD" w:rsidRDefault="001640DD" w:rsidP="001640DD">
      <w:r>
        <w:t xml:space="preserve">Based on higher than expected BIC exposures when administered as </w:t>
      </w:r>
      <w:r w:rsidR="00B315E8">
        <w:t>fixed dose combination (</w:t>
      </w:r>
      <w:r w:rsidR="00080EC5">
        <w:t xml:space="preserve">FDC), the </w:t>
      </w:r>
      <w:r>
        <w:t xml:space="preserve">dose of BIC was able to be reduced from 75 mg to 50 mg in </w:t>
      </w:r>
      <w:r w:rsidR="001B5D97">
        <w:t>Biktarvy</w:t>
      </w:r>
      <w:r>
        <w:t>.</w:t>
      </w:r>
      <w:r w:rsidR="00080EC5">
        <w:t xml:space="preserve"> Similar exposures of BIC, FTC, </w:t>
      </w:r>
      <w:r>
        <w:t xml:space="preserve">and TAF were observed in patients that received </w:t>
      </w:r>
      <w:r w:rsidR="001B5D97">
        <w:t>Biktarvy</w:t>
      </w:r>
      <w:r>
        <w:t xml:space="preserve"> (50 mg BIC) as compared with subjects that</w:t>
      </w:r>
      <w:r w:rsidR="00080EC5">
        <w:t xml:space="preserve"> </w:t>
      </w:r>
      <w:r>
        <w:t>received co</w:t>
      </w:r>
      <w:r w:rsidR="00FA52CB">
        <w:t>-</w:t>
      </w:r>
      <w:r>
        <w:t>administered BIC 75 mg as a single agent and F/TAF 200/25 mg tabl</w:t>
      </w:r>
      <w:r w:rsidR="00FA52CB">
        <w:t xml:space="preserve">ets. All the pivotal safety and </w:t>
      </w:r>
      <w:r>
        <w:t xml:space="preserve">efficacy data to support registration of </w:t>
      </w:r>
      <w:r w:rsidR="001B5D97">
        <w:t>Biktarvy</w:t>
      </w:r>
      <w:r w:rsidR="001411C5">
        <w:t xml:space="preserve"> is from the 4 pivotal Phase III</w:t>
      </w:r>
      <w:r w:rsidR="00080EC5">
        <w:t xml:space="preserve"> studies which were </w:t>
      </w:r>
      <w:r>
        <w:t xml:space="preserve">conducted with the 50/200/25 mg tablets. The conduct of the Phase </w:t>
      </w:r>
      <w:r w:rsidR="001411C5">
        <w:t>III</w:t>
      </w:r>
      <w:r>
        <w:t xml:space="preserve"> studies all</w:t>
      </w:r>
      <w:r w:rsidR="00080EC5">
        <w:t xml:space="preserve">owed for factors that represent </w:t>
      </w:r>
      <w:r w:rsidR="00251457">
        <w:t>‘</w:t>
      </w:r>
      <w:r w:rsidR="00BE6936">
        <w:t xml:space="preserve">real </w:t>
      </w:r>
      <w:r>
        <w:t>world</w:t>
      </w:r>
      <w:r w:rsidR="00251457">
        <w:t>’</w:t>
      </w:r>
      <w:r>
        <w:t xml:space="preserve"> conditions of administration, including those that could result in lower BIC exposur</w:t>
      </w:r>
      <w:r w:rsidR="00080EC5">
        <w:t xml:space="preserve">e, such as </w:t>
      </w:r>
      <w:r>
        <w:t>administration without food and/or drug-drug interactions such as those</w:t>
      </w:r>
      <w:r w:rsidR="00080EC5">
        <w:t xml:space="preserve"> observed with weak or moderate </w:t>
      </w:r>
      <w:r>
        <w:t>cytochrome P450 (CYP)3A/UGT1A1 inducers.</w:t>
      </w:r>
    </w:p>
    <w:p w:rsidR="001640DD" w:rsidRDefault="00BE6936" w:rsidP="001640DD">
      <w:r>
        <w:t xml:space="preserve">The 50 </w:t>
      </w:r>
      <w:r w:rsidR="001640DD">
        <w:t>mg dose of BIC was selected for the B/F/TAF FDC based on the tota</w:t>
      </w:r>
      <w:r>
        <w:t xml:space="preserve">lity of data from the BIC first </w:t>
      </w:r>
      <w:r w:rsidR="001640DD">
        <w:t>in</w:t>
      </w:r>
      <w:r>
        <w:t xml:space="preserve"> human </w:t>
      </w:r>
      <w:r w:rsidR="001640DD">
        <w:t>single- and multiple-ascending dose, BI</w:t>
      </w:r>
      <w:r w:rsidR="00116653">
        <w:t xml:space="preserve">C+F/TAF drug interaction Study </w:t>
      </w:r>
      <w:r w:rsidR="001640DD">
        <w:t>GS-US-141-1218), the dose</w:t>
      </w:r>
      <w:r>
        <w:t xml:space="preserve"> ranging proof of </w:t>
      </w:r>
      <w:r w:rsidR="00116653">
        <w:t>concept Study GS-US-141-1219</w:t>
      </w:r>
      <w:r w:rsidR="001640DD">
        <w:t>, the safety and efficac</w:t>
      </w:r>
      <w:r w:rsidR="00116653">
        <w:t xml:space="preserve">y Study </w:t>
      </w:r>
      <w:r>
        <w:t xml:space="preserve">GS-US-141-1475; single </w:t>
      </w:r>
      <w:r w:rsidR="001640DD">
        <w:t>agent BIC 75 mg co</w:t>
      </w:r>
      <w:r>
        <w:t>-</w:t>
      </w:r>
      <w:r w:rsidR="001640DD">
        <w:lastRenderedPageBreak/>
        <w:t xml:space="preserve">administered with F/TAF </w:t>
      </w:r>
      <w:r w:rsidR="004E4AAB">
        <w:t>(</w:t>
      </w:r>
      <w:r w:rsidR="001640DD">
        <w:t>200/25 mg</w:t>
      </w:r>
      <w:r w:rsidR="004E4AAB">
        <w:t>)</w:t>
      </w:r>
      <w:r w:rsidR="001640DD">
        <w:t>), and a relative bi</w:t>
      </w:r>
      <w:r w:rsidR="00080EC5">
        <w:t>oavailabilit</w:t>
      </w:r>
      <w:r w:rsidR="00116653">
        <w:t xml:space="preserve">y Study </w:t>
      </w:r>
      <w:r w:rsidR="00080EC5">
        <w:t>GS-US-141-</w:t>
      </w:r>
      <w:r w:rsidR="00080EC5">
        <w:noBreakHyphen/>
      </w:r>
      <w:r w:rsidR="00116653">
        <w:t>1233</w:t>
      </w:r>
      <w:r w:rsidR="001640DD">
        <w:t xml:space="preserve">, which evaluated </w:t>
      </w:r>
      <w:r>
        <w:t xml:space="preserve">2 FDC tablet formulations (a 50 </w:t>
      </w:r>
      <w:r w:rsidR="001640DD">
        <w:t>mg BIC B/F/</w:t>
      </w:r>
      <w:r>
        <w:t xml:space="preserve">TAF </w:t>
      </w:r>
      <w:r w:rsidR="004E4AAB">
        <w:t>(</w:t>
      </w:r>
      <w:r>
        <w:t>50/200/25 mg</w:t>
      </w:r>
      <w:r w:rsidR="004E4AAB">
        <w:t>)</w:t>
      </w:r>
      <w:r>
        <w:t xml:space="preserve"> FDC and a 75 </w:t>
      </w:r>
      <w:r w:rsidR="00080EC5">
        <w:t xml:space="preserve">mg </w:t>
      </w:r>
      <w:r w:rsidR="001640DD">
        <w:t xml:space="preserve">BIC B/F/TAF </w:t>
      </w:r>
      <w:r w:rsidR="004E4AAB">
        <w:t>(</w:t>
      </w:r>
      <w:r w:rsidR="001640DD">
        <w:t>75/200/25 mg</w:t>
      </w:r>
      <w:r w:rsidR="004E4AAB">
        <w:t>)</w:t>
      </w:r>
      <w:r w:rsidR="001640DD">
        <w:t xml:space="preserve"> FDC) compared with BIC 75 mg + F/TAF (200/25 mg).</w:t>
      </w:r>
    </w:p>
    <w:p w:rsidR="001640DD" w:rsidRDefault="00BE6936" w:rsidP="001640DD">
      <w:r>
        <w:t xml:space="preserve">The BIC 75 </w:t>
      </w:r>
      <w:r w:rsidR="001640DD">
        <w:t>mg dose was select</w:t>
      </w:r>
      <w:r>
        <w:t xml:space="preserve">ed as a single </w:t>
      </w:r>
      <w:r w:rsidR="001411C5">
        <w:t>agent for Phase II</w:t>
      </w:r>
      <w:r w:rsidR="001640DD">
        <w:t xml:space="preserve"> development based on its predicted protein</w:t>
      </w:r>
      <w:r>
        <w:t xml:space="preserve"> </w:t>
      </w:r>
      <w:r w:rsidR="00080EC5">
        <w:t xml:space="preserve">adjusted </w:t>
      </w:r>
      <w:r w:rsidR="001640DD">
        <w:t>95% inhibitory quotient (paIQ95) value. Considering the C</w:t>
      </w:r>
      <w:r w:rsidR="001640DD" w:rsidRPr="00BE6936">
        <w:rPr>
          <w:vertAlign w:val="subscript"/>
        </w:rPr>
        <w:t>tau</w:t>
      </w:r>
      <w:r w:rsidR="001640DD">
        <w:t xml:space="preserve"> valu</w:t>
      </w:r>
      <w:r w:rsidR="00080EC5">
        <w:t>es achieved in Study GS-US-141</w:t>
      </w:r>
      <w:r w:rsidR="00080EC5">
        <w:noBreakHyphen/>
      </w:r>
      <w:r>
        <w:t xml:space="preserve">1219 and an </w:t>
      </w:r>
      <w:r w:rsidRPr="00B81BAA">
        <w:rPr>
          <w:i/>
        </w:rPr>
        <w:t>in vitro</w:t>
      </w:r>
      <w:r>
        <w:t xml:space="preserve"> protein </w:t>
      </w:r>
      <w:r w:rsidR="001640DD">
        <w:t>adjusted 95% effective concentration</w:t>
      </w:r>
      <w:r>
        <w:t xml:space="preserve"> (paEC95) of 162 ng/mL for wild </w:t>
      </w:r>
      <w:r w:rsidR="00080EC5">
        <w:t xml:space="preserve">type HIV-1 </w:t>
      </w:r>
      <w:r w:rsidR="001640DD">
        <w:t>(Study PC-141-2032), median (range) paIQ95 values of 4.9 (4.4 to 11.7), 13.4 (</w:t>
      </w:r>
      <w:r w:rsidR="00080EC5">
        <w:t xml:space="preserve">5.3 to 18.6), and 25.9 (23.0 to </w:t>
      </w:r>
      <w:r>
        <w:t xml:space="preserve">36.9) were estimated for BIC 25, 50, and 100 </w:t>
      </w:r>
      <w:r w:rsidR="001640DD">
        <w:t>mg doses, respectively. Based on the linear PK of BIC</w:t>
      </w:r>
      <w:r w:rsidR="00080EC5">
        <w:t xml:space="preserve"> in this </w:t>
      </w:r>
      <w:r w:rsidR="001640DD">
        <w:t>dose range and predict</w:t>
      </w:r>
      <w:r>
        <w:t xml:space="preserve">ed PK/PD response curve, single </w:t>
      </w:r>
      <w:r w:rsidR="001640DD">
        <w:t>agent BIC 75 mg was predicted to provide near</w:t>
      </w:r>
      <w:r w:rsidR="00080EC5">
        <w:t xml:space="preserve"> maximal </w:t>
      </w:r>
      <w:r w:rsidR="001640DD">
        <w:t>virologic response with a paIQ95 value of approximately 20.</w:t>
      </w:r>
    </w:p>
    <w:p w:rsidR="001640DD" w:rsidRDefault="001640DD" w:rsidP="001640DD">
      <w:r>
        <w:t>B/F/TAF 75/200/25 mg FDC tablets containing 75 mg of BIC we</w:t>
      </w:r>
      <w:r w:rsidR="00BE6936">
        <w:t xml:space="preserve">re compared to BIC 75 mg single </w:t>
      </w:r>
      <w:r w:rsidR="00080EC5">
        <w:t xml:space="preserve">agent </w:t>
      </w:r>
      <w:r>
        <w:t>co</w:t>
      </w:r>
      <w:r w:rsidR="00FA52CB">
        <w:t>-</w:t>
      </w:r>
      <w:r>
        <w:t xml:space="preserve">administered with F/TAF 200/25 mg tablets in a relative bioavailability </w:t>
      </w:r>
      <w:r w:rsidR="00116653">
        <w:t>Study GS-US-141-1233</w:t>
      </w:r>
      <w:r w:rsidR="00080EC5">
        <w:t xml:space="preserve">. Based on </w:t>
      </w:r>
      <w:r>
        <w:t>higher than expected BIC exposures when administered as the B/F/TAF 75</w:t>
      </w:r>
      <w:r w:rsidR="00080EC5">
        <w:t xml:space="preserve">/200/25 mg FDC, the dose of BIC </w:t>
      </w:r>
      <w:r>
        <w:t>was reduced from 75 mg to 50 mg, and a new B/F/TAF 50/200/25 mg</w:t>
      </w:r>
      <w:r w:rsidR="00080EC5">
        <w:t xml:space="preserve"> FDC tablet was developed. When </w:t>
      </w:r>
      <w:r>
        <w:t>B/F/TAF tablets containing 50 mg of BIC were then administered i</w:t>
      </w:r>
      <w:r w:rsidR="00080EC5">
        <w:t xml:space="preserve">n Study GS-US-141-1233, similar </w:t>
      </w:r>
      <w:r>
        <w:t>exposures of BIC, FTC, and TAF were observed as compared with subjects that received co</w:t>
      </w:r>
      <w:r w:rsidR="00FA52CB">
        <w:t>-</w:t>
      </w:r>
      <w:r>
        <w:t>administ</w:t>
      </w:r>
      <w:r w:rsidR="00080EC5">
        <w:t xml:space="preserve">ered BIC </w:t>
      </w:r>
      <w:r>
        <w:t>75 mg single agent and F/TAF 200/25 mg tablets. As such, the B/F/TAF 50</w:t>
      </w:r>
      <w:r w:rsidR="00080EC5">
        <w:t xml:space="preserve">/200/25 mg tablets were used to </w:t>
      </w:r>
      <w:r w:rsidR="001411C5">
        <w:t>initiate Phase III</w:t>
      </w:r>
      <w:r>
        <w:t xml:space="preserve"> studies.</w:t>
      </w:r>
    </w:p>
    <w:p w:rsidR="001640DD" w:rsidRDefault="001411C5" w:rsidP="001640DD">
      <w:r>
        <w:t>In the Phase III</w:t>
      </w:r>
      <w:r w:rsidR="00BE6936">
        <w:t xml:space="preserve"> B/F/TAF studies, exposure/</w:t>
      </w:r>
      <w:r w:rsidR="001640DD">
        <w:t>efficacy relationships at BIC and TAF exposures (AUC</w:t>
      </w:r>
      <w:r w:rsidR="001640DD" w:rsidRPr="00FA52CB">
        <w:rPr>
          <w:vertAlign w:val="subscript"/>
        </w:rPr>
        <w:t>tau</w:t>
      </w:r>
      <w:r w:rsidR="001640DD">
        <w:t xml:space="preserve"> and </w:t>
      </w:r>
      <w:r w:rsidR="00080EC5">
        <w:t>C</w:t>
      </w:r>
      <w:r w:rsidR="00080EC5" w:rsidRPr="00080EC5">
        <w:rPr>
          <w:vertAlign w:val="subscript"/>
        </w:rPr>
        <w:t>max</w:t>
      </w:r>
      <w:r w:rsidR="00080EC5">
        <w:t xml:space="preserve">) </w:t>
      </w:r>
      <w:r w:rsidR="001640DD">
        <w:t>above or below population median, as well as across quartiles for indiv</w:t>
      </w:r>
      <w:r w:rsidR="00080EC5">
        <w:t xml:space="preserve">idual agents versus the primary </w:t>
      </w:r>
      <w:r w:rsidR="001640DD">
        <w:t xml:space="preserve">efficacy endpoint (HIV-1 RNA </w:t>
      </w:r>
      <w:r w:rsidR="00251457">
        <w:t xml:space="preserve">&lt; </w:t>
      </w:r>
      <w:r w:rsidR="001640DD">
        <w:t>50 copies/mL using the US FDA-de</w:t>
      </w:r>
      <w:r w:rsidR="00080EC5">
        <w:t xml:space="preserve">fined snapshot algorithm), were </w:t>
      </w:r>
      <w:r w:rsidR="001640DD">
        <w:t>examined. All analyses consistently revealed high percentages of subject</w:t>
      </w:r>
      <w:r w:rsidR="00080EC5">
        <w:t xml:space="preserve">s with HIV-1 RNA </w:t>
      </w:r>
      <w:r w:rsidR="00251457">
        <w:t xml:space="preserve">&lt; </w:t>
      </w:r>
      <w:r w:rsidR="00080EC5">
        <w:t xml:space="preserve">50 copies/mL </w:t>
      </w:r>
      <w:r w:rsidR="001640DD">
        <w:t>across all gr</w:t>
      </w:r>
      <w:r w:rsidR="00BE6936">
        <w:t xml:space="preserve">oups with no trends in exposure </w:t>
      </w:r>
      <w:r w:rsidR="001640DD">
        <w:t>response relationships. Important</w:t>
      </w:r>
      <w:r w:rsidR="00080EC5">
        <w:t xml:space="preserve">ly, for BIC, in particular, all </w:t>
      </w:r>
      <w:r w:rsidR="001640DD">
        <w:t>subjects had trough concentrations (C</w:t>
      </w:r>
      <w:r w:rsidR="001640DD" w:rsidRPr="004C008B">
        <w:rPr>
          <w:vertAlign w:val="subscript"/>
        </w:rPr>
        <w:t>tau</w:t>
      </w:r>
      <w:r w:rsidR="001640DD">
        <w:t>) above the paEC95 with no loss of efficacy at lower IQ. The lowest</w:t>
      </w:r>
      <w:r w:rsidR="00080EC5">
        <w:t xml:space="preserve"> IQ </w:t>
      </w:r>
      <w:r w:rsidR="001640DD">
        <w:t>value among these subjects was 12.1. For the subjects with BIC exposures at o</w:t>
      </w:r>
      <w:r w:rsidR="00BE6936">
        <w:t>r below this level, all had HIV-</w:t>
      </w:r>
      <w:r w:rsidR="001640DD">
        <w:t xml:space="preserve">1 RNA </w:t>
      </w:r>
      <w:r w:rsidR="00251457">
        <w:t xml:space="preserve">&lt; </w:t>
      </w:r>
      <w:r w:rsidR="001640DD">
        <w:t>50 copies/mL at Week 48.</w:t>
      </w:r>
    </w:p>
    <w:p w:rsidR="001640DD" w:rsidRDefault="001640DD" w:rsidP="001640DD">
      <w:r>
        <w:t>These data sup</w:t>
      </w:r>
      <w:r w:rsidR="00BE6936">
        <w:t xml:space="preserve">port the conclusion that the 50 </w:t>
      </w:r>
      <w:r>
        <w:t>mg B/F/TAF FDC provides app</w:t>
      </w:r>
      <w:r w:rsidR="00080EC5">
        <w:t xml:space="preserve">ropriate BIC exposures across a </w:t>
      </w:r>
      <w:r>
        <w:t>wide spectrum of patients and administration conditions, including in</w:t>
      </w:r>
      <w:r w:rsidR="00080EC5">
        <w:t xml:space="preserve"> patients with moderate hepatic </w:t>
      </w:r>
      <w:r>
        <w:t>impairment or upon co</w:t>
      </w:r>
      <w:r w:rsidR="00FA52CB">
        <w:t>-</w:t>
      </w:r>
      <w:r>
        <w:t>admini</w:t>
      </w:r>
      <w:r w:rsidR="00BE6936">
        <w:t xml:space="preserve">stration with polyvalent cation </w:t>
      </w:r>
      <w:r>
        <w:t>containing antacids.</w:t>
      </w:r>
    </w:p>
    <w:p w:rsidR="001640DD" w:rsidRDefault="001640DD" w:rsidP="004C008B">
      <w:pPr>
        <w:pStyle w:val="Heading6"/>
      </w:pPr>
      <w:r>
        <w:t>Opt</w:t>
      </w:r>
      <w:r w:rsidR="00FA52CB">
        <w:t xml:space="preserve">imal wording for the </w:t>
      </w:r>
      <w:r w:rsidR="00B315E8">
        <w:t>i</w:t>
      </w:r>
      <w:r w:rsidR="00FA52CB">
        <w:t>ndication</w:t>
      </w:r>
    </w:p>
    <w:p w:rsidR="002B4B04" w:rsidRDefault="00F8234A" w:rsidP="001640DD">
      <w:r>
        <w:t xml:space="preserve">The sponsor </w:t>
      </w:r>
      <w:r w:rsidR="001640DD">
        <w:t>has noted the Delegate’s comments that the proposed indication should accurately reflect the clinical</w:t>
      </w:r>
      <w:r w:rsidR="00080EC5">
        <w:t xml:space="preserve"> </w:t>
      </w:r>
      <w:r w:rsidR="001640DD">
        <w:t xml:space="preserve">trials experience. </w:t>
      </w:r>
    </w:p>
    <w:p w:rsidR="001640DD" w:rsidRDefault="001640DD" w:rsidP="001640DD">
      <w:r>
        <w:t xml:space="preserve">However, </w:t>
      </w:r>
      <w:r w:rsidR="00F8234A">
        <w:t xml:space="preserve">the sponsor </w:t>
      </w:r>
      <w:r>
        <w:t xml:space="preserve">believes it would be more relevant to align the Australian </w:t>
      </w:r>
      <w:r w:rsidR="001B5D97">
        <w:t>Biktarvy</w:t>
      </w:r>
      <w:r w:rsidR="00080EC5">
        <w:t xml:space="preserve"> </w:t>
      </w:r>
      <w:r>
        <w:t>indication for consistency with the indications approved</w:t>
      </w:r>
      <w:r w:rsidR="00BE6936">
        <w:t xml:space="preserve"> in Australia for the other TAF-</w:t>
      </w:r>
      <w:r w:rsidR="00FA52CB">
        <w:t xml:space="preserve">based HIV-1 </w:t>
      </w:r>
      <w:r w:rsidR="00B81BAA">
        <w:t>treatments, for example</w:t>
      </w:r>
      <w:r>
        <w:t xml:space="preserve"> </w:t>
      </w:r>
      <w:r w:rsidR="00B315E8">
        <w:t xml:space="preserve">Genvoya </w:t>
      </w:r>
      <w:r>
        <w:t xml:space="preserve">(AUST R 233398). Therefore </w:t>
      </w:r>
      <w:r w:rsidR="00F8234A">
        <w:t xml:space="preserve">the sponsor </w:t>
      </w:r>
      <w:r>
        <w:t>is p</w:t>
      </w:r>
      <w:r w:rsidR="00080EC5">
        <w:t xml:space="preserve">roposing the following modified </w:t>
      </w:r>
      <w:r>
        <w:t xml:space="preserve">indication for </w:t>
      </w:r>
      <w:r w:rsidR="001B5D97">
        <w:t>Biktarvy</w:t>
      </w:r>
      <w:r>
        <w:t xml:space="preserve"> as this adequately captures the Delegate’s comments:</w:t>
      </w:r>
    </w:p>
    <w:p w:rsidR="001640DD" w:rsidRPr="00FA52CB" w:rsidRDefault="001B5D97" w:rsidP="00FA52CB">
      <w:pPr>
        <w:ind w:left="720"/>
        <w:rPr>
          <w:i/>
        </w:rPr>
      </w:pPr>
      <w:r w:rsidRPr="00FA52CB">
        <w:rPr>
          <w:i/>
        </w:rPr>
        <w:t>Biktarvy</w:t>
      </w:r>
      <w:r w:rsidR="001640DD" w:rsidRPr="00FA52CB">
        <w:rPr>
          <w:i/>
        </w:rPr>
        <w:t xml:space="preserve"> is indicated for the treatment of HIV-1 infection in adults</w:t>
      </w:r>
      <w:r w:rsidR="00080EC5" w:rsidRPr="00FA52CB">
        <w:rPr>
          <w:i/>
        </w:rPr>
        <w:t xml:space="preserve"> who are antiretroviral therapy </w:t>
      </w:r>
      <w:r w:rsidR="001640DD" w:rsidRPr="00FA52CB">
        <w:rPr>
          <w:i/>
        </w:rPr>
        <w:t>(ART)-naive or to replace the current antiretroviral regimen in those w</w:t>
      </w:r>
      <w:r w:rsidR="00080EC5" w:rsidRPr="00FA52CB">
        <w:rPr>
          <w:i/>
        </w:rPr>
        <w:t xml:space="preserve">ho are virologically-suppressed </w:t>
      </w:r>
      <w:r w:rsidR="001640DD" w:rsidRPr="00FA52CB">
        <w:rPr>
          <w:i/>
        </w:rPr>
        <w:t xml:space="preserve">(HIV-1 RNA </w:t>
      </w:r>
      <w:r w:rsidR="00251457" w:rsidRPr="00FA52CB">
        <w:rPr>
          <w:i/>
        </w:rPr>
        <w:t xml:space="preserve">&lt; </w:t>
      </w:r>
      <w:r w:rsidR="001640DD" w:rsidRPr="00FA52CB">
        <w:rPr>
          <w:i/>
        </w:rPr>
        <w:t xml:space="preserve">50 copies per mL) on a stable antiretroviral regimen at the </w:t>
      </w:r>
      <w:r w:rsidR="00080EC5" w:rsidRPr="00FA52CB">
        <w:rPr>
          <w:i/>
        </w:rPr>
        <w:t xml:space="preserve">start of therapy </w:t>
      </w:r>
      <w:r w:rsidR="001640DD" w:rsidRPr="00FA52CB">
        <w:rPr>
          <w:i/>
        </w:rPr>
        <w:t>with no history of treatment failure and no known substitutions as</w:t>
      </w:r>
      <w:r w:rsidR="00080EC5" w:rsidRPr="00FA52CB">
        <w:rPr>
          <w:i/>
        </w:rPr>
        <w:t xml:space="preserve">sociated with resistance to the </w:t>
      </w:r>
      <w:r w:rsidR="001640DD" w:rsidRPr="00FA52CB">
        <w:rPr>
          <w:i/>
        </w:rPr>
        <w:t xml:space="preserve">individual components of </w:t>
      </w:r>
      <w:r w:rsidRPr="00FA52CB">
        <w:rPr>
          <w:i/>
        </w:rPr>
        <w:t>Biktarvy</w:t>
      </w:r>
      <w:r w:rsidR="001640DD" w:rsidRPr="00FA52CB">
        <w:rPr>
          <w:i/>
        </w:rPr>
        <w:t>.</w:t>
      </w:r>
    </w:p>
    <w:p w:rsidR="00B315E8" w:rsidRDefault="001640DD" w:rsidP="00FA52CB">
      <w:pPr>
        <w:pStyle w:val="Heading5"/>
      </w:pPr>
      <w:r>
        <w:lastRenderedPageBreak/>
        <w:t>Q</w:t>
      </w:r>
      <w:r w:rsidR="00FA52CB">
        <w:t>uestion 2</w:t>
      </w:r>
    </w:p>
    <w:p w:rsidR="001640DD" w:rsidRPr="00811608" w:rsidRDefault="00B315E8" w:rsidP="00811608">
      <w:pPr>
        <w:rPr>
          <w:b/>
          <w:i/>
        </w:rPr>
      </w:pPr>
      <w:r w:rsidRPr="00811608">
        <w:rPr>
          <w:b/>
          <w:i/>
        </w:rPr>
        <w:t>The</w:t>
      </w:r>
      <w:r w:rsidR="00FA52CB" w:rsidRPr="00811608">
        <w:rPr>
          <w:b/>
          <w:i/>
        </w:rPr>
        <w:t xml:space="preserve"> ACM is requested to advis</w:t>
      </w:r>
      <w:r w:rsidR="001640DD" w:rsidRPr="00811608">
        <w:rPr>
          <w:b/>
          <w:i/>
        </w:rPr>
        <w:t>e on the suitability of proposed recommendations in moderate hepatic impairment (no change in dose required) and in severe renal impairment (do not use).</w:t>
      </w:r>
    </w:p>
    <w:p w:rsidR="001640DD" w:rsidRDefault="00FA52CB" w:rsidP="00FA52CB">
      <w:pPr>
        <w:pStyle w:val="Heading6"/>
      </w:pPr>
      <w:r>
        <w:t>Hepatic i</w:t>
      </w:r>
      <w:r w:rsidR="001640DD">
        <w:t>mpairment</w:t>
      </w:r>
    </w:p>
    <w:p w:rsidR="001640DD" w:rsidRDefault="00F8234A" w:rsidP="001640DD">
      <w:r>
        <w:t xml:space="preserve">The sponsor </w:t>
      </w:r>
      <w:r w:rsidR="001640DD">
        <w:t>maintains the current recommendation provided for patients with</w:t>
      </w:r>
      <w:r w:rsidR="00080EC5">
        <w:t xml:space="preserve"> moderate hepatic impairment is </w:t>
      </w:r>
      <w:r w:rsidR="001640DD">
        <w:t>accurate. Although an approximately 41% decrease in total BIC exposur</w:t>
      </w:r>
      <w:r w:rsidR="00080EC5">
        <w:t xml:space="preserve">e was observed in subjects with </w:t>
      </w:r>
      <w:r w:rsidR="001640DD">
        <w:t xml:space="preserve">moderate hepatic impairment versus control subjects with normal hepatic </w:t>
      </w:r>
      <w:r w:rsidR="00080EC5">
        <w:t xml:space="preserve">function, the free BIC exposure </w:t>
      </w:r>
      <w:r w:rsidR="001640DD">
        <w:t>(accounting for unbound plasma fraction) was comparable between the two gr</w:t>
      </w:r>
      <w:r w:rsidR="00080EC5">
        <w:t xml:space="preserve">oups. In the hepatic impairment </w:t>
      </w:r>
      <w:r w:rsidR="00116653">
        <w:t>Study</w:t>
      </w:r>
      <w:r w:rsidR="001640DD">
        <w:t xml:space="preserve"> GS-US-141-1478, the mean (%</w:t>
      </w:r>
      <w:r w:rsidR="00A26F7F">
        <w:t xml:space="preserve"> </w:t>
      </w:r>
      <w:r w:rsidR="00A26F7F">
        <w:rPr>
          <w:rFonts w:cstheme="minorHAnsi"/>
        </w:rPr>
        <w:t>coefficient of variation</w:t>
      </w:r>
      <w:r w:rsidR="00A26F7F">
        <w:t xml:space="preserve"> (</w:t>
      </w:r>
      <w:r w:rsidR="001640DD">
        <w:t>CV</w:t>
      </w:r>
      <w:r w:rsidR="00A26F7F">
        <w:t>)</w:t>
      </w:r>
      <w:r w:rsidR="001640DD">
        <w:t>) percentage unbound plasma fractio</w:t>
      </w:r>
      <w:r w:rsidR="00080EC5">
        <w:t xml:space="preserve">n of BIC was higher in subjects </w:t>
      </w:r>
      <w:r w:rsidR="001640DD">
        <w:t xml:space="preserve">with moderate hepatic impairment (0.809% </w:t>
      </w:r>
      <w:r w:rsidR="004E4AAB">
        <w:t>(</w:t>
      </w:r>
      <w:r w:rsidR="001640DD">
        <w:t>21.4%</w:t>
      </w:r>
      <w:r w:rsidR="004E4AAB">
        <w:t>)</w:t>
      </w:r>
      <w:r w:rsidR="001640DD">
        <w:t>) than in normal m</w:t>
      </w:r>
      <w:r w:rsidR="00080EC5">
        <w:t xml:space="preserve">atched control subjects (0.610% </w:t>
      </w:r>
      <w:r w:rsidR="004E4AAB">
        <w:t>(</w:t>
      </w:r>
      <w:r w:rsidR="001640DD">
        <w:t>6.2%</w:t>
      </w:r>
      <w:r w:rsidR="004E4AAB">
        <w:t>)</w:t>
      </w:r>
      <w:r w:rsidR="001640DD">
        <w:t>). After accounting for this difference in unbound plasma fracti</w:t>
      </w:r>
      <w:r w:rsidR="00080EC5">
        <w:t xml:space="preserve">on, free BIC exposure (AUC) was </w:t>
      </w:r>
      <w:r w:rsidR="001640DD">
        <w:t>comparable in subjects with moderate hepatic impairment relative to normal</w:t>
      </w:r>
      <w:r w:rsidR="00080EC5">
        <w:t xml:space="preserve"> matched control subjects (GLSM </w:t>
      </w:r>
      <w:r w:rsidR="001640DD">
        <w:t>ratio for free AUC</w:t>
      </w:r>
      <w:r w:rsidR="001640DD" w:rsidRPr="00FA52CB">
        <w:rPr>
          <w:vertAlign w:val="subscript"/>
        </w:rPr>
        <w:t>inf</w:t>
      </w:r>
      <w:r w:rsidR="001640DD">
        <w:t>: 76.54%). This approximately 23% difference in free</w:t>
      </w:r>
      <w:r w:rsidR="00080EC5">
        <w:t xml:space="preserve"> BIC exposure is not clinically </w:t>
      </w:r>
      <w:r w:rsidR="001640DD">
        <w:t xml:space="preserve">relevant and not expected to result in reduced efficacy based on the therapeutic window of </w:t>
      </w:r>
      <w:r w:rsidR="001B5D97">
        <w:t>Biktarvy</w:t>
      </w:r>
      <w:r w:rsidR="00080EC5">
        <w:t xml:space="preserve">. The </w:t>
      </w:r>
      <w:r w:rsidR="001640DD">
        <w:t xml:space="preserve">BIC therapeutic window was established based on the totality of the PK, efficacy, and safety data from </w:t>
      </w:r>
      <w:r w:rsidR="00080EC5">
        <w:t xml:space="preserve">the </w:t>
      </w:r>
      <w:r w:rsidR="001640DD">
        <w:t>B/F/TAF 50/200/25 mg FDC development program and supports that viro</w:t>
      </w:r>
      <w:r w:rsidR="00080EC5">
        <w:t xml:space="preserve">logic suppression and safety is </w:t>
      </w:r>
      <w:r w:rsidR="001640DD">
        <w:t>maintained within BIC exposures at 48% and 200</w:t>
      </w:r>
      <w:r w:rsidR="001411C5">
        <w:t>% of the median from the Phase III</w:t>
      </w:r>
      <w:r w:rsidR="00080EC5">
        <w:t xml:space="preserve"> clinical studies, </w:t>
      </w:r>
      <w:r w:rsidR="001640DD">
        <w:t>respectively. These data suppor</w:t>
      </w:r>
      <w:r w:rsidR="00BE6936">
        <w:t xml:space="preserve">t the conclusion that the 50 </w:t>
      </w:r>
      <w:r w:rsidR="001640DD">
        <w:t>mg B/F/T</w:t>
      </w:r>
      <w:r w:rsidR="00080EC5">
        <w:t xml:space="preserve">AF FDC provides appropriate BIC </w:t>
      </w:r>
      <w:r w:rsidR="001640DD">
        <w:t>exposures across a wide spectrum of patients, including those with m</w:t>
      </w:r>
      <w:r w:rsidR="00080EC5">
        <w:t xml:space="preserve">oderate hepatic impairment. The </w:t>
      </w:r>
      <w:r w:rsidR="001640DD">
        <w:t xml:space="preserve">recommendation for use of </w:t>
      </w:r>
      <w:r w:rsidR="001B5D97">
        <w:t>Biktarvy</w:t>
      </w:r>
      <w:r w:rsidR="001640DD">
        <w:t xml:space="preserve"> in patients with moderate hepatic imp</w:t>
      </w:r>
      <w:r w:rsidR="00080EC5">
        <w:t xml:space="preserve">airment is also consistent with </w:t>
      </w:r>
      <w:r w:rsidR="001640DD">
        <w:t xml:space="preserve">the approved </w:t>
      </w:r>
      <w:r w:rsidR="001B5D97">
        <w:t>Biktarvy</w:t>
      </w:r>
      <w:r w:rsidR="001640DD">
        <w:t xml:space="preserve"> USPI recommendation.</w:t>
      </w:r>
    </w:p>
    <w:p w:rsidR="001640DD" w:rsidRDefault="001640DD" w:rsidP="00FA52CB">
      <w:pPr>
        <w:pStyle w:val="Heading6"/>
      </w:pPr>
      <w:r>
        <w:t>Severe renal impairment</w:t>
      </w:r>
    </w:p>
    <w:p w:rsidR="001640DD" w:rsidRDefault="001640DD" w:rsidP="001640DD">
      <w:r>
        <w:t xml:space="preserve">The proposed </w:t>
      </w:r>
      <w:r w:rsidR="001B5D97">
        <w:t>Biktarvy</w:t>
      </w:r>
      <w:r>
        <w:t xml:space="preserve"> PI currently states in </w:t>
      </w:r>
      <w:r w:rsidR="0098625E">
        <w:t>S</w:t>
      </w:r>
      <w:r>
        <w:t xml:space="preserve">ection 4.2 that: Initiation of </w:t>
      </w:r>
      <w:r w:rsidR="001B5D97">
        <w:t>Biktarvy</w:t>
      </w:r>
      <w:r w:rsidR="00080EC5">
        <w:t xml:space="preserve"> is not recommended </w:t>
      </w:r>
      <w:r>
        <w:t>in patients with estimated creatinine clearance below 30 mL per minute as there are insuff</w:t>
      </w:r>
      <w:r w:rsidR="00080EC5">
        <w:t xml:space="preserve">icient data </w:t>
      </w:r>
      <w:r>
        <w:t xml:space="preserve">available regarding the use of </w:t>
      </w:r>
      <w:r w:rsidR="001B5D97">
        <w:t>Biktarvy</w:t>
      </w:r>
      <w:r>
        <w:t xml:space="preserve"> in this population.</w:t>
      </w:r>
    </w:p>
    <w:p w:rsidR="001640DD" w:rsidRDefault="001640DD" w:rsidP="001640DD">
      <w:r>
        <w:t>This advice is consistent with the advice for renal impairment in the curr</w:t>
      </w:r>
      <w:r w:rsidR="00080EC5">
        <w:t xml:space="preserve">ent approved TAF-based products </w:t>
      </w:r>
      <w:r w:rsidR="0098625E">
        <w:t xml:space="preserve">Genvoya </w:t>
      </w:r>
      <w:r>
        <w:t xml:space="preserve">PI (EVG/COBI/FTC/TAF) AUST R 233398; </w:t>
      </w:r>
      <w:r w:rsidR="0098625E">
        <w:t xml:space="preserve">Descovy </w:t>
      </w:r>
      <w:r>
        <w:t>PI (FTC/TAF) AUST R 24609</w:t>
      </w:r>
      <w:r w:rsidR="00080EC5">
        <w:t xml:space="preserve">3, and </w:t>
      </w:r>
      <w:r>
        <w:t xml:space="preserve">246092; and </w:t>
      </w:r>
      <w:r w:rsidR="0098625E">
        <w:t xml:space="preserve">Odefsey </w:t>
      </w:r>
      <w:r>
        <w:t>PI (FTC/RPV/TAF) AUST R 260634.</w:t>
      </w:r>
    </w:p>
    <w:p w:rsidR="001640DD" w:rsidRDefault="001640DD" w:rsidP="001640DD">
      <w:r>
        <w:t>Clinically significant exposure changes of the TAF metabolite, TFV, and FTC w</w:t>
      </w:r>
      <w:r w:rsidR="00080EC5">
        <w:t xml:space="preserve">ere not observed in HIV infected </w:t>
      </w:r>
      <w:r>
        <w:t>subjects with mild or moderate renal impairment relative to the subjects with normal ren</w:t>
      </w:r>
      <w:r w:rsidR="00080EC5">
        <w:t xml:space="preserve">al function in </w:t>
      </w:r>
      <w:r w:rsidR="001411C5">
        <w:t>Phase III</w:t>
      </w:r>
      <w:r>
        <w:t xml:space="preserve"> clinical studies. Therefore, F/TAF-containing products are indicated for use in renally impaired, HIV</w:t>
      </w:r>
      <w:r w:rsidR="00080EC5">
        <w:t xml:space="preserve"> infected </w:t>
      </w:r>
      <w:r>
        <w:t>subjects with eGFR</w:t>
      </w:r>
      <w:r w:rsidRPr="009E0328">
        <w:rPr>
          <w:vertAlign w:val="subscript"/>
        </w:rPr>
        <w:t>CG</w:t>
      </w:r>
      <w:r>
        <w:t xml:space="preserve"> ≥ 30 mL/min.</w:t>
      </w:r>
      <w:r w:rsidR="009E0328">
        <w:rPr>
          <w:rStyle w:val="FootnoteReference"/>
        </w:rPr>
        <w:footnoteReference w:id="39"/>
      </w:r>
      <w:r>
        <w:t xml:space="preserve"> Consistent with the known AD</w:t>
      </w:r>
      <w:r w:rsidR="00080EC5">
        <w:t>ME</w:t>
      </w:r>
      <w:r w:rsidR="00A26F7F">
        <w:rPr>
          <w:rStyle w:val="FootnoteReference"/>
        </w:rPr>
        <w:footnoteReference w:id="40"/>
      </w:r>
      <w:r w:rsidR="00080EC5">
        <w:t xml:space="preserve"> profile of BIC, severe renal </w:t>
      </w:r>
      <w:r>
        <w:t>impairment did not result in clinically relevant changes in BIC exposure</w:t>
      </w:r>
      <w:r w:rsidR="00080EC5">
        <w:t xml:space="preserve">. The recommendation for use of </w:t>
      </w:r>
      <w:r w:rsidR="001B5D97">
        <w:t>Biktarvy</w:t>
      </w:r>
      <w:r>
        <w:t xml:space="preserve"> in subjects with renal impairment is guided by the most conservative dosing recommendation for</w:t>
      </w:r>
      <w:r w:rsidR="00080EC5">
        <w:t xml:space="preserve"> </w:t>
      </w:r>
      <w:r>
        <w:t xml:space="preserve">affected components in the </w:t>
      </w:r>
      <w:r w:rsidR="00F12518">
        <w:t>setting of renal impairment (that is</w:t>
      </w:r>
      <w:r>
        <w:t>, FTC). In addition, this recommendation in the</w:t>
      </w:r>
      <w:r w:rsidR="00080EC5">
        <w:t xml:space="preserve"> </w:t>
      </w:r>
      <w:r w:rsidR="001B5D97">
        <w:t>Biktarvy</w:t>
      </w:r>
      <w:r>
        <w:t xml:space="preserve"> PI is aligned with that of the other F/TAF-containing product PIs in Australia. Therefore </w:t>
      </w:r>
      <w:r w:rsidR="00080EC5">
        <w:t xml:space="preserve">the </w:t>
      </w:r>
      <w:r>
        <w:t xml:space="preserve">recommendation for </w:t>
      </w:r>
      <w:r w:rsidR="001B5D97">
        <w:t>Biktarvy</w:t>
      </w:r>
      <w:r>
        <w:t xml:space="preserve"> is it may be administered without dose adj</w:t>
      </w:r>
      <w:r w:rsidR="00080EC5">
        <w:t xml:space="preserve">ustment in subjects with eGFRCG </w:t>
      </w:r>
      <w:r>
        <w:t>≥ 30 mL/min.</w:t>
      </w:r>
    </w:p>
    <w:p w:rsidR="0098625E" w:rsidRDefault="0098625E" w:rsidP="002B4B04">
      <w:pPr>
        <w:pStyle w:val="Heading5"/>
      </w:pPr>
      <w:r>
        <w:lastRenderedPageBreak/>
        <w:t>Other issues/comment</w:t>
      </w:r>
    </w:p>
    <w:p w:rsidR="001640DD" w:rsidRPr="00811608" w:rsidRDefault="001640DD" w:rsidP="00811608">
      <w:pPr>
        <w:rPr>
          <w:b/>
        </w:rPr>
      </w:pPr>
      <w:r w:rsidRPr="00811608">
        <w:rPr>
          <w:b/>
          <w:i/>
        </w:rPr>
        <w:t>The ACM is also requested to provide advice on any other issues that it thinks may be relevant to a decision on whether or not to approve this application.</w:t>
      </w:r>
    </w:p>
    <w:p w:rsidR="001640DD" w:rsidRDefault="001640DD" w:rsidP="001640DD">
      <w:r>
        <w:t xml:space="preserve">Based on the totality of the </w:t>
      </w:r>
      <w:r w:rsidR="001B5D97">
        <w:t>Biktarvy</w:t>
      </w:r>
      <w:r>
        <w:t xml:space="preserve"> development program,</w:t>
      </w:r>
      <w:r w:rsidR="00F8234A">
        <w:t xml:space="preserve"> the sponsor</w:t>
      </w:r>
      <w:r>
        <w:t xml:space="preserve"> believes th</w:t>
      </w:r>
      <w:r w:rsidR="00080EC5">
        <w:t xml:space="preserve">at there is sufficient data to </w:t>
      </w:r>
      <w:r>
        <w:t xml:space="preserve">support the approval of the application for the registration of </w:t>
      </w:r>
      <w:r w:rsidR="001B5D97">
        <w:t>Biktarvy</w:t>
      </w:r>
      <w:r>
        <w:t xml:space="preserve">. </w:t>
      </w:r>
      <w:r w:rsidR="001B5D97">
        <w:t>Biktarvy</w:t>
      </w:r>
      <w:r w:rsidR="00080EC5">
        <w:t xml:space="preserve"> will provide the </w:t>
      </w:r>
      <w:r>
        <w:t>A</w:t>
      </w:r>
      <w:r w:rsidR="00BE6936">
        <w:t xml:space="preserve">ustralian community with a long </w:t>
      </w:r>
      <w:r>
        <w:t>term treatment option for peopl</w:t>
      </w:r>
      <w:r w:rsidR="00080EC5">
        <w:t xml:space="preserve">e living with HIV. In Addition, </w:t>
      </w:r>
      <w:r w:rsidR="001B5D97">
        <w:t>Biktarvy</w:t>
      </w:r>
      <w:r>
        <w:t xml:space="preserve"> was approved by the US FDA on 7</w:t>
      </w:r>
      <w:r w:rsidR="0098625E">
        <w:t> </w:t>
      </w:r>
      <w:r>
        <w:t>February 2018 for the t</w:t>
      </w:r>
      <w:r w:rsidR="00080EC5">
        <w:t xml:space="preserve">reatment of HIV-1 infection and </w:t>
      </w:r>
      <w:r>
        <w:t>recently received a positive CHMP opinion in the EU on 27 April 2018.</w:t>
      </w:r>
    </w:p>
    <w:p w:rsidR="001640DD" w:rsidRDefault="0098625E" w:rsidP="00811608">
      <w:pPr>
        <w:pStyle w:val="Heading6"/>
      </w:pPr>
      <w:r>
        <w:t xml:space="preserve">Comments on </w:t>
      </w:r>
      <w:r w:rsidR="002B4B04">
        <w:t>Delegate’s proposed action</w:t>
      </w:r>
    </w:p>
    <w:p w:rsidR="001640DD" w:rsidRPr="0098625E" w:rsidRDefault="001640DD">
      <w:r w:rsidRPr="0098625E">
        <w:t xml:space="preserve">It is proposed that the indication should be more accurately reflect the </w:t>
      </w:r>
      <w:r w:rsidR="00080EC5" w:rsidRPr="0098625E">
        <w:t xml:space="preserve">clinical trials experience. The </w:t>
      </w:r>
      <w:r w:rsidRPr="0098625E">
        <w:t>following is recommended:</w:t>
      </w:r>
    </w:p>
    <w:p w:rsidR="002B4B04" w:rsidRPr="00811608" w:rsidRDefault="001B5D97" w:rsidP="002B4B04">
      <w:pPr>
        <w:ind w:left="720"/>
        <w:rPr>
          <w:i/>
        </w:rPr>
      </w:pPr>
      <w:r w:rsidRPr="00811608">
        <w:rPr>
          <w:i/>
        </w:rPr>
        <w:t>Biktarvy</w:t>
      </w:r>
      <w:r w:rsidR="001640DD" w:rsidRPr="00811608">
        <w:rPr>
          <w:i/>
        </w:rPr>
        <w:t xml:space="preserve"> is indicated for the treatment of HIV-1 infection in adults who are ART-naive or</w:t>
      </w:r>
      <w:r w:rsidR="00080EC5" w:rsidRPr="00811608">
        <w:rPr>
          <w:i/>
        </w:rPr>
        <w:t xml:space="preserve"> to </w:t>
      </w:r>
      <w:r w:rsidR="001640DD" w:rsidRPr="00811608">
        <w:rPr>
          <w:i/>
        </w:rPr>
        <w:t>replace the current antiretroviral regimen in those who are virologic</w:t>
      </w:r>
      <w:r w:rsidR="00080EC5" w:rsidRPr="00811608">
        <w:rPr>
          <w:i/>
        </w:rPr>
        <w:t xml:space="preserve">ally-suppressed (HIV-1 RNA </w:t>
      </w:r>
      <w:r w:rsidR="00251457" w:rsidRPr="00811608">
        <w:rPr>
          <w:i/>
        </w:rPr>
        <w:t xml:space="preserve">&lt; </w:t>
      </w:r>
      <w:r w:rsidR="00080EC5" w:rsidRPr="00811608">
        <w:rPr>
          <w:i/>
        </w:rPr>
        <w:t xml:space="preserve">50 </w:t>
      </w:r>
      <w:r w:rsidR="001640DD" w:rsidRPr="00811608">
        <w:rPr>
          <w:i/>
        </w:rPr>
        <w:t>copies per mL) on a stable antiretroviral regimen for at least 3 mont</w:t>
      </w:r>
      <w:r w:rsidR="00080EC5" w:rsidRPr="00811608">
        <w:rPr>
          <w:i/>
        </w:rPr>
        <w:t xml:space="preserve">hs with no history of treatment </w:t>
      </w:r>
      <w:r w:rsidR="001640DD" w:rsidRPr="00811608">
        <w:rPr>
          <w:i/>
        </w:rPr>
        <w:t xml:space="preserve">failure and no known substitutions associated with resistance </w:t>
      </w:r>
      <w:r w:rsidR="00080EC5" w:rsidRPr="00811608">
        <w:rPr>
          <w:i/>
        </w:rPr>
        <w:t xml:space="preserve">to the individual components of </w:t>
      </w:r>
      <w:r w:rsidRPr="00811608">
        <w:rPr>
          <w:i/>
        </w:rPr>
        <w:t>Biktarvy</w:t>
      </w:r>
      <w:r w:rsidR="001640DD" w:rsidRPr="00811608">
        <w:rPr>
          <w:i/>
        </w:rPr>
        <w:t>.</w:t>
      </w:r>
    </w:p>
    <w:p w:rsidR="001640DD" w:rsidRDefault="00F8234A" w:rsidP="001640DD">
      <w:r>
        <w:t xml:space="preserve">The sponsor </w:t>
      </w:r>
      <w:r w:rsidR="001640DD">
        <w:t xml:space="preserve">has noted the Delegate’s comments that the proposed indication should </w:t>
      </w:r>
      <w:r w:rsidR="00080EC5">
        <w:t xml:space="preserve">accurately reflect the clinical </w:t>
      </w:r>
      <w:r w:rsidR="001640DD">
        <w:t xml:space="preserve">trials experience. However, </w:t>
      </w:r>
      <w:r>
        <w:t>the sponsor</w:t>
      </w:r>
      <w:r w:rsidR="001640DD">
        <w:t xml:space="preserve"> believes it would be more relevant to align the Australian </w:t>
      </w:r>
      <w:r w:rsidR="001B5D97">
        <w:t>Biktarvy</w:t>
      </w:r>
      <w:r w:rsidR="00080EC5">
        <w:t xml:space="preserve"> </w:t>
      </w:r>
      <w:r w:rsidR="001640DD">
        <w:t>indication for consistency with the indications approved in Australi</w:t>
      </w:r>
      <w:r w:rsidR="00080EC5">
        <w:t xml:space="preserve">a for the other TAF-based HIV-1 </w:t>
      </w:r>
      <w:r w:rsidR="00B81BAA">
        <w:t>treatments, for example</w:t>
      </w:r>
      <w:r w:rsidR="001640DD">
        <w:t xml:space="preserve"> G</w:t>
      </w:r>
      <w:r w:rsidR="004C008B">
        <w:t>envoya</w:t>
      </w:r>
      <w:r w:rsidR="001640DD">
        <w:t xml:space="preserve"> (AUST R 233398). Therefore </w:t>
      </w:r>
      <w:r>
        <w:t xml:space="preserve">the sponsor </w:t>
      </w:r>
      <w:r w:rsidR="001640DD">
        <w:t>is p</w:t>
      </w:r>
      <w:r w:rsidR="00080EC5">
        <w:t xml:space="preserve">roposing the following modified </w:t>
      </w:r>
      <w:r w:rsidR="001640DD">
        <w:t xml:space="preserve">indication for </w:t>
      </w:r>
      <w:r w:rsidR="001B5D97">
        <w:t>Biktarvy</w:t>
      </w:r>
      <w:r w:rsidR="001640DD">
        <w:t xml:space="preserve"> as this adequately captures the Delegate’s comments:</w:t>
      </w:r>
    </w:p>
    <w:p w:rsidR="001640DD" w:rsidRPr="002B4B04" w:rsidRDefault="001B5D97" w:rsidP="002B4B04">
      <w:pPr>
        <w:ind w:left="720"/>
        <w:rPr>
          <w:i/>
        </w:rPr>
      </w:pPr>
      <w:r w:rsidRPr="002B4B04">
        <w:rPr>
          <w:i/>
        </w:rPr>
        <w:t>Biktarvy</w:t>
      </w:r>
      <w:r w:rsidR="001640DD" w:rsidRPr="002B4B04">
        <w:rPr>
          <w:i/>
        </w:rPr>
        <w:t xml:space="preserve"> is indicated for the treatment of HIV-1 infection in adults w</w:t>
      </w:r>
      <w:r w:rsidR="00080EC5" w:rsidRPr="002B4B04">
        <w:rPr>
          <w:i/>
        </w:rPr>
        <w:t xml:space="preserve">ho are antiretroviral treatment </w:t>
      </w:r>
      <w:r w:rsidR="001640DD" w:rsidRPr="002B4B04">
        <w:rPr>
          <w:i/>
        </w:rPr>
        <w:t>(ART)-naive or to replace the current antiretroviral regimen in those w</w:t>
      </w:r>
      <w:r w:rsidR="00080EC5" w:rsidRPr="002B4B04">
        <w:rPr>
          <w:i/>
        </w:rPr>
        <w:t xml:space="preserve">ho are virologically-suppressed </w:t>
      </w:r>
      <w:r w:rsidR="001640DD" w:rsidRPr="002B4B04">
        <w:rPr>
          <w:i/>
        </w:rPr>
        <w:t xml:space="preserve">(HIV-1 RNA </w:t>
      </w:r>
      <w:r w:rsidR="00251457" w:rsidRPr="002B4B04">
        <w:rPr>
          <w:i/>
        </w:rPr>
        <w:t xml:space="preserve">&lt; </w:t>
      </w:r>
      <w:r w:rsidR="001640DD" w:rsidRPr="002B4B04">
        <w:rPr>
          <w:i/>
        </w:rPr>
        <w:t xml:space="preserve">50 copies per mL) on a stable antiretroviral regimen at the </w:t>
      </w:r>
      <w:r w:rsidR="00080EC5" w:rsidRPr="002B4B04">
        <w:rPr>
          <w:i/>
        </w:rPr>
        <w:t xml:space="preserve">start of therapy </w:t>
      </w:r>
      <w:r w:rsidR="001640DD" w:rsidRPr="002B4B04">
        <w:rPr>
          <w:i/>
        </w:rPr>
        <w:t>with no history of treatment failure and no known substitutions as</w:t>
      </w:r>
      <w:r w:rsidR="00080EC5" w:rsidRPr="002B4B04">
        <w:rPr>
          <w:i/>
        </w:rPr>
        <w:t xml:space="preserve">sociated with resistance to the </w:t>
      </w:r>
      <w:r w:rsidR="001640DD" w:rsidRPr="002B4B04">
        <w:rPr>
          <w:i/>
        </w:rPr>
        <w:t xml:space="preserve">individual components of </w:t>
      </w:r>
      <w:r w:rsidRPr="002B4B04">
        <w:rPr>
          <w:i/>
        </w:rPr>
        <w:t>Biktarvy</w:t>
      </w:r>
      <w:r w:rsidR="001640DD" w:rsidRPr="002B4B04">
        <w:rPr>
          <w:i/>
        </w:rPr>
        <w:t>.</w:t>
      </w:r>
    </w:p>
    <w:p w:rsidR="001640DD" w:rsidRPr="0098625E" w:rsidRDefault="002B4B04" w:rsidP="0098625E">
      <w:pPr>
        <w:pStyle w:val="Heading5"/>
      </w:pPr>
      <w:r>
        <w:t>Conclusion</w:t>
      </w:r>
    </w:p>
    <w:p w:rsidR="001640DD" w:rsidRPr="001640DD" w:rsidRDefault="001B5D97" w:rsidP="001640DD">
      <w:r>
        <w:t>Biktarvy</w:t>
      </w:r>
      <w:r w:rsidR="001640DD">
        <w:t xml:space="preserve"> has demonstrated both potent antiviral efficacy and a safety and </w:t>
      </w:r>
      <w:r w:rsidR="00080EC5">
        <w:t xml:space="preserve">tolerability profile that offer </w:t>
      </w:r>
      <w:r w:rsidR="001640DD">
        <w:t xml:space="preserve">advantages over existing recommended ARV regimens, with a high barrier to </w:t>
      </w:r>
      <w:r w:rsidR="00080EC5">
        <w:t xml:space="preserve">resistance, no evidence of bone </w:t>
      </w:r>
      <w:r w:rsidR="001640DD">
        <w:t>or renal toxicity, no risk of hypersensitivity reactions, a low potential for drug-dr</w:t>
      </w:r>
      <w:r w:rsidR="00080EC5">
        <w:t xml:space="preserve">ug interactions, flexibility to </w:t>
      </w:r>
      <w:r w:rsidR="001640DD">
        <w:t xml:space="preserve">dose without regard to food, and a smaller tablet size. </w:t>
      </w:r>
      <w:r>
        <w:t>Biktarvy</w:t>
      </w:r>
      <w:r w:rsidR="001640DD">
        <w:t xml:space="preserve"> represe</w:t>
      </w:r>
      <w:r w:rsidR="00080EC5">
        <w:t>nts a favo</w:t>
      </w:r>
      <w:r w:rsidR="0098625E">
        <w:t>u</w:t>
      </w:r>
      <w:r w:rsidR="00080EC5">
        <w:t xml:space="preserve">rable new therapeutic </w:t>
      </w:r>
      <w:r w:rsidR="00BE6936">
        <w:t xml:space="preserve">once daily option for HIV </w:t>
      </w:r>
      <w:r w:rsidR="001640DD">
        <w:t>infected adults, without any known mutations as</w:t>
      </w:r>
      <w:r w:rsidR="00080EC5">
        <w:t xml:space="preserve">sociated with resistance to the </w:t>
      </w:r>
      <w:r w:rsidR="001640DD">
        <w:t xml:space="preserve">individual components of </w:t>
      </w:r>
      <w:r>
        <w:t>Biktarvy</w:t>
      </w:r>
      <w:r w:rsidR="001640DD">
        <w:t>.</w:t>
      </w:r>
    </w:p>
    <w:p w:rsidR="008E7846" w:rsidRPr="009E6672" w:rsidRDefault="008E7846" w:rsidP="009E6672">
      <w:pPr>
        <w:pStyle w:val="Heading4"/>
      </w:pPr>
      <w:r w:rsidRPr="009E6672">
        <w:lastRenderedPageBreak/>
        <w:t>Advisory Committee Considerations</w:t>
      </w:r>
      <w:r w:rsidR="00456765" w:rsidRPr="007E7BFA">
        <w:rPr>
          <w:rStyle w:val="FootnoteReference"/>
        </w:rPr>
        <w:footnoteReference w:id="41"/>
      </w:r>
    </w:p>
    <w:p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p>
    <w:p w:rsidR="00662560" w:rsidRPr="00662560" w:rsidRDefault="00662560" w:rsidP="00662560">
      <w:pPr>
        <w:rPr>
          <w:bCs/>
        </w:rPr>
      </w:pPr>
      <w:r w:rsidRPr="00662560">
        <w:rPr>
          <w:bCs/>
        </w:rPr>
        <w:t xml:space="preserve">The ACM taking into account the submitted evidence of efficacy, safety and quality, agreed with the delegate and considered </w:t>
      </w:r>
      <w:r w:rsidR="001B5D97">
        <w:rPr>
          <w:bCs/>
        </w:rPr>
        <w:t>Biktarvy</w:t>
      </w:r>
      <w:r w:rsidRPr="00662560">
        <w:rPr>
          <w:bCs/>
        </w:rPr>
        <w:t xml:space="preserve"> oral tablet containing bictegravir 50 mg / emtricitabine 200 mg / tenofovir alafenamide 25 mg to have an overall positiv</w:t>
      </w:r>
      <w:r w:rsidR="002B4B04">
        <w:rPr>
          <w:bCs/>
        </w:rPr>
        <w:t>e benefit-risk profile for the D</w:t>
      </w:r>
      <w:r w:rsidRPr="00662560">
        <w:rPr>
          <w:bCs/>
        </w:rPr>
        <w:t>elegate’s amended indication:</w:t>
      </w:r>
    </w:p>
    <w:p w:rsidR="00662560" w:rsidRPr="00662560" w:rsidRDefault="001B5D97" w:rsidP="00662560">
      <w:pPr>
        <w:ind w:left="720"/>
        <w:rPr>
          <w:bCs/>
          <w:i/>
        </w:rPr>
      </w:pPr>
      <w:r>
        <w:rPr>
          <w:bCs/>
          <w:i/>
        </w:rPr>
        <w:t>Biktarvy</w:t>
      </w:r>
      <w:r w:rsidR="00662560" w:rsidRPr="00662560">
        <w:rPr>
          <w:bCs/>
          <w:i/>
        </w:rPr>
        <w:t xml:space="preserve"> is indicated for the treatment of HIV-1 infection in adults who are </w:t>
      </w:r>
      <w:r w:rsidR="00850938">
        <w:rPr>
          <w:bCs/>
          <w:i/>
        </w:rPr>
        <w:t>ART naïve</w:t>
      </w:r>
      <w:r w:rsidR="00662560" w:rsidRPr="00662560">
        <w:rPr>
          <w:bCs/>
          <w:i/>
        </w:rPr>
        <w:t xml:space="preserve"> or to replace the current antiretroviral regimen in those who are virologically-suppressed (HIV-1 RNA </w:t>
      </w:r>
      <w:r w:rsidR="00251457">
        <w:rPr>
          <w:bCs/>
          <w:i/>
        </w:rPr>
        <w:t xml:space="preserve">&lt; </w:t>
      </w:r>
      <w:r w:rsidR="00662560" w:rsidRPr="00662560">
        <w:rPr>
          <w:bCs/>
          <w:i/>
        </w:rPr>
        <w:t xml:space="preserve">50 copies/ml) on a stable antiretroviral regimen for at least 3 months with no history of treatment failure, and with no known substitutions associated with resistance to the individual components of </w:t>
      </w:r>
      <w:r>
        <w:rPr>
          <w:bCs/>
          <w:i/>
        </w:rPr>
        <w:t>Biktarvy</w:t>
      </w:r>
      <w:r w:rsidR="00662560" w:rsidRPr="00662560">
        <w:rPr>
          <w:bCs/>
          <w:i/>
        </w:rPr>
        <w:t>.</w:t>
      </w:r>
    </w:p>
    <w:p w:rsidR="00662560" w:rsidRPr="00662560" w:rsidRDefault="00662560" w:rsidP="00662560">
      <w:pPr>
        <w:rPr>
          <w:bCs/>
        </w:rPr>
      </w:pPr>
      <w:r w:rsidRPr="00662560">
        <w:rPr>
          <w:bCs/>
        </w:rPr>
        <w:t>In providing this advice the ACM noted that:</w:t>
      </w:r>
    </w:p>
    <w:p w:rsidR="00662560" w:rsidRPr="002B4B04" w:rsidRDefault="00662560" w:rsidP="002B4B04">
      <w:pPr>
        <w:pStyle w:val="ListBullet"/>
      </w:pPr>
      <w:r w:rsidRPr="002B4B04">
        <w:t>The focus of antiretroviral treatments for HIV infection is increasingly on improved toxicity profiles and adherence.</w:t>
      </w:r>
    </w:p>
    <w:p w:rsidR="00662560" w:rsidRPr="00662560" w:rsidRDefault="00662560" w:rsidP="002B4B04">
      <w:pPr>
        <w:pStyle w:val="ListBullet"/>
        <w:rPr>
          <w:bCs/>
        </w:rPr>
      </w:pPr>
      <w:r w:rsidRPr="00662560">
        <w:rPr>
          <w:bCs/>
        </w:rPr>
        <w:t>Emtricitabine (FTC) and tenofovir alafenamide (TAF) have previously been approved and are in wide use in Australia.</w:t>
      </w:r>
    </w:p>
    <w:p w:rsidR="00662560" w:rsidRPr="00662560" w:rsidRDefault="001B5D97" w:rsidP="002B4B04">
      <w:pPr>
        <w:pStyle w:val="ListBullet"/>
        <w:rPr>
          <w:bCs/>
        </w:rPr>
      </w:pPr>
      <w:r>
        <w:rPr>
          <w:bCs/>
        </w:rPr>
        <w:t>Biktarvy</w:t>
      </w:r>
      <w:r w:rsidR="00662560" w:rsidRPr="00662560">
        <w:rPr>
          <w:bCs/>
        </w:rPr>
        <w:t xml:space="preserve"> is approved in the US (February 2018) as a complete treatment regimen for HIV-1 infection in adults who are treatment naïve or as an alternative for those currently taking a fully suppressive regimen. It is currently under review in the EU and Canada.</w:t>
      </w:r>
    </w:p>
    <w:p w:rsidR="00662560" w:rsidRPr="00662560" w:rsidRDefault="00662560" w:rsidP="002B4B04">
      <w:pPr>
        <w:pStyle w:val="ListBullet"/>
        <w:rPr>
          <w:bCs/>
        </w:rPr>
      </w:pPr>
      <w:r w:rsidRPr="00662560">
        <w:rPr>
          <w:bCs/>
        </w:rPr>
        <w:t>The sponsor withdrew the HBV coinfection indication due to small numbers of patients.</w:t>
      </w:r>
    </w:p>
    <w:p w:rsidR="00662560" w:rsidRPr="00662560" w:rsidRDefault="00662560" w:rsidP="002B4B04">
      <w:pPr>
        <w:pStyle w:val="ListBullet"/>
      </w:pPr>
      <w:r w:rsidRPr="00662560">
        <w:t>The arguments made by the sponsor to suppor</w:t>
      </w:r>
      <w:r w:rsidR="002B4B04">
        <w:t>t the 50 mg dose selection for Phase III</w:t>
      </w:r>
      <w:r w:rsidRPr="00662560">
        <w:t xml:space="preserve"> studies are not entirely convincing given that the optimal dose of bictegravir (BIC) tablet was found to be </w:t>
      </w:r>
      <w:r w:rsidR="00251457">
        <w:t>75 mg</w:t>
      </w:r>
      <w:r w:rsidRPr="00662560">
        <w:t xml:space="preserve"> in early studies.</w:t>
      </w:r>
    </w:p>
    <w:p w:rsidR="00662560" w:rsidRPr="00662560" w:rsidRDefault="00662560" w:rsidP="002B4B04">
      <w:pPr>
        <w:pStyle w:val="ListBullet"/>
      </w:pPr>
      <w:r w:rsidRPr="00662560">
        <w:t>Data in the dossier suggests that higher doses of BIC may be required in the presence of moderate hepatic impairment.</w:t>
      </w:r>
    </w:p>
    <w:p w:rsidR="00662560" w:rsidRPr="00662560" w:rsidRDefault="001B5D97" w:rsidP="002B4B04">
      <w:pPr>
        <w:pStyle w:val="ListBullet"/>
      </w:pPr>
      <w:r>
        <w:t>Biktarvy</w:t>
      </w:r>
      <w:r w:rsidR="00662560" w:rsidRPr="00662560">
        <w:t xml:space="preserve"> should not be used in patients with severe renal impairment.</w:t>
      </w:r>
    </w:p>
    <w:p w:rsidR="00662560" w:rsidRPr="00662560" w:rsidRDefault="001B5D97" w:rsidP="002B4B04">
      <w:pPr>
        <w:pStyle w:val="ListBullet"/>
      </w:pPr>
      <w:r>
        <w:t>Biktarvy</w:t>
      </w:r>
      <w:r w:rsidR="00662560" w:rsidRPr="00662560">
        <w:t xml:space="preserve"> interacts with strong antacids.</w:t>
      </w:r>
    </w:p>
    <w:p w:rsidR="00662560" w:rsidRPr="00662560" w:rsidRDefault="00662560" w:rsidP="002B4B04">
      <w:pPr>
        <w:pStyle w:val="ListBullet"/>
      </w:pPr>
      <w:r w:rsidRPr="00662560">
        <w:t xml:space="preserve">Bictegravir is pregnancy category B1 but </w:t>
      </w:r>
      <w:r w:rsidR="001B5D97">
        <w:t>Biktarvy</w:t>
      </w:r>
      <w:r w:rsidRPr="00662560">
        <w:t xml:space="preserve"> is B3 consistent with other FTC/TAF combinations.</w:t>
      </w:r>
    </w:p>
    <w:p w:rsidR="00662560" w:rsidRPr="00662560" w:rsidRDefault="00662560" w:rsidP="002B4B04">
      <w:pPr>
        <w:pStyle w:val="ListBullet"/>
      </w:pPr>
      <w:r w:rsidRPr="00662560">
        <w:t xml:space="preserve">Two of eight HIV/HBV co-infected patients in </w:t>
      </w:r>
      <w:r w:rsidR="00116653">
        <w:t>Study</w:t>
      </w:r>
      <w:r w:rsidRPr="00662560">
        <w:t xml:space="preserve"> 1490 had hepatic flares.</w:t>
      </w:r>
    </w:p>
    <w:p w:rsidR="00662560" w:rsidRDefault="00662560" w:rsidP="00662560">
      <w:pPr>
        <w:rPr>
          <w:bCs/>
        </w:rPr>
      </w:pPr>
      <w:r w:rsidRPr="00662560">
        <w:rPr>
          <w:bCs/>
        </w:rPr>
        <w:t>The Committee was of the view that the sponsor should submit a dossier based on the findings of the ongoing open label non-randomised study in children and adolescents as early as possible after primary completion in December 2018.</w:t>
      </w:r>
    </w:p>
    <w:p w:rsidR="00662560" w:rsidRPr="00662560" w:rsidRDefault="00662560" w:rsidP="00662560">
      <w:pPr>
        <w:pStyle w:val="Heading5"/>
      </w:pPr>
      <w:r w:rsidRPr="00662560">
        <w:lastRenderedPageBreak/>
        <w:t>Proposed conditions of registration</w:t>
      </w:r>
    </w:p>
    <w:p w:rsidR="00662560" w:rsidRPr="00662560" w:rsidRDefault="00662560" w:rsidP="00662560">
      <w:pPr>
        <w:rPr>
          <w:bCs/>
        </w:rPr>
      </w:pPr>
      <w:r w:rsidRPr="00662560">
        <w:rPr>
          <w:bCs/>
        </w:rPr>
        <w:t>The ACM agreed with the delegate on the proposed conditions of registration and advised on the inclusion of the following:</w:t>
      </w:r>
    </w:p>
    <w:p w:rsidR="00662560" w:rsidRPr="00662560" w:rsidRDefault="00662560" w:rsidP="002B4B04">
      <w:pPr>
        <w:pStyle w:val="ListBullet"/>
      </w:pPr>
      <w:r w:rsidRPr="00662560">
        <w:t>Subject to satisfactory implementation of the Risk Management Plan most recently negotiated by the TGA including inclusion in the Black Triangle Scheme,</w:t>
      </w:r>
    </w:p>
    <w:p w:rsidR="00662560" w:rsidRPr="00662560" w:rsidRDefault="00662560" w:rsidP="002B4B04">
      <w:pPr>
        <w:pStyle w:val="ListBullet"/>
      </w:pPr>
      <w:r w:rsidRPr="00662560">
        <w:t>Negotiation of the Product Information and Consumer Medicine Information to the satisfaction of the TGA.</w:t>
      </w:r>
    </w:p>
    <w:p w:rsidR="00662560" w:rsidRPr="00662560" w:rsidRDefault="00662560" w:rsidP="00662560">
      <w:pPr>
        <w:pStyle w:val="Heading5"/>
      </w:pPr>
      <w:r w:rsidRPr="00662560">
        <w:t>Proposed Product Information (PI)/ Consumer Medicine Information (CMI) amendments</w:t>
      </w:r>
    </w:p>
    <w:p w:rsidR="00662560" w:rsidRPr="00662560" w:rsidRDefault="00662560" w:rsidP="00662560">
      <w:pPr>
        <w:rPr>
          <w:bCs/>
        </w:rPr>
      </w:pPr>
      <w:r w:rsidRPr="00662560">
        <w:rPr>
          <w:bCs/>
        </w:rPr>
        <w:t>The ACM agreed with the delegate to the proposed amendments to the Product Information (PI) and Consumer Medicine information (CMI) and specifically advised on the inclusion of the following:</w:t>
      </w:r>
    </w:p>
    <w:p w:rsidR="00662560" w:rsidRPr="00662560" w:rsidRDefault="00662560" w:rsidP="002B4B04">
      <w:pPr>
        <w:pStyle w:val="ListBullet"/>
      </w:pPr>
      <w:r w:rsidRPr="00662560">
        <w:t>A strong statement warning of possible disease flares in hepatitis B/HIV co</w:t>
      </w:r>
      <w:r w:rsidR="002B4B04">
        <w:t>-</w:t>
      </w:r>
      <w:r w:rsidRPr="00662560">
        <w:t>infected patients.</w:t>
      </w:r>
    </w:p>
    <w:p w:rsidR="00662560" w:rsidRPr="00662560" w:rsidRDefault="00662560" w:rsidP="002B4B04">
      <w:pPr>
        <w:pStyle w:val="ListBullet"/>
      </w:pPr>
      <w:r w:rsidRPr="00662560">
        <w:t>A strong statement regarding the interaction with strong antacids.</w:t>
      </w:r>
    </w:p>
    <w:p w:rsidR="00662560" w:rsidRPr="00662560" w:rsidRDefault="00662560" w:rsidP="00662560">
      <w:pPr>
        <w:pStyle w:val="Heading5"/>
      </w:pPr>
      <w:r w:rsidRPr="00662560">
        <w:t>Specific Advice</w:t>
      </w:r>
    </w:p>
    <w:p w:rsidR="00662560" w:rsidRPr="00662560" w:rsidRDefault="00662560" w:rsidP="00662560">
      <w:pPr>
        <w:rPr>
          <w:bCs/>
        </w:rPr>
      </w:pPr>
      <w:r w:rsidRPr="00662560">
        <w:rPr>
          <w:bCs/>
        </w:rPr>
        <w:t>The ACM advised the following in response to the delegate’s specific questions on the submission:</w:t>
      </w:r>
    </w:p>
    <w:p w:rsidR="00662560" w:rsidRPr="002B4B04" w:rsidRDefault="00250A57" w:rsidP="002B4B04">
      <w:pPr>
        <w:pStyle w:val="Numberbullet0"/>
        <w:numPr>
          <w:ilvl w:val="0"/>
          <w:numId w:val="31"/>
        </w:numPr>
        <w:rPr>
          <w:b/>
          <w:i/>
        </w:rPr>
      </w:pPr>
      <w:r>
        <w:rPr>
          <w:b/>
          <w:i/>
        </w:rPr>
        <w:t xml:space="preserve">The </w:t>
      </w:r>
      <w:r w:rsidR="00662560" w:rsidRPr="002B4B04">
        <w:rPr>
          <w:b/>
          <w:i/>
        </w:rPr>
        <w:t>ACM is requested to comment o</w:t>
      </w:r>
      <w:r w:rsidR="001411C5" w:rsidRPr="002B4B04">
        <w:rPr>
          <w:b/>
          <w:i/>
        </w:rPr>
        <w:t>n dose selection for the Phase III</w:t>
      </w:r>
      <w:r w:rsidR="00662560" w:rsidRPr="002B4B04">
        <w:rPr>
          <w:b/>
          <w:i/>
        </w:rPr>
        <w:t xml:space="preserve"> studies and on the optimal wording of the indication.</w:t>
      </w:r>
    </w:p>
    <w:p w:rsidR="00662560" w:rsidRPr="00662560" w:rsidRDefault="00662560" w:rsidP="00662560">
      <w:pPr>
        <w:rPr>
          <w:bCs/>
        </w:rPr>
      </w:pPr>
      <w:r w:rsidRPr="00662560">
        <w:rPr>
          <w:bCs/>
        </w:rPr>
        <w:t xml:space="preserve">The Committee noted that the decision to include the </w:t>
      </w:r>
      <w:r w:rsidR="00782831">
        <w:rPr>
          <w:bCs/>
        </w:rPr>
        <w:t>50 mg</w:t>
      </w:r>
      <w:r w:rsidRPr="00662560">
        <w:rPr>
          <w:bCs/>
        </w:rPr>
        <w:t xml:space="preserve"> dose of BIC in the FDC is suboptimal and that a </w:t>
      </w:r>
      <w:r w:rsidR="00251457">
        <w:rPr>
          <w:bCs/>
        </w:rPr>
        <w:t>75 mg</w:t>
      </w:r>
      <w:r w:rsidRPr="00662560">
        <w:rPr>
          <w:bCs/>
        </w:rPr>
        <w:t xml:space="preserve"> dose would have been preferable. However, they agree that the </w:t>
      </w:r>
      <w:r w:rsidR="00782831">
        <w:rPr>
          <w:bCs/>
        </w:rPr>
        <w:t>50 mg</w:t>
      </w:r>
      <w:r w:rsidRPr="00662560">
        <w:rPr>
          <w:bCs/>
        </w:rPr>
        <w:t xml:space="preserve"> dose is acceptable based on efficacy outcomes.</w:t>
      </w:r>
    </w:p>
    <w:p w:rsidR="00662560" w:rsidRPr="00662560" w:rsidRDefault="00662560" w:rsidP="00662560">
      <w:pPr>
        <w:rPr>
          <w:bCs/>
        </w:rPr>
      </w:pPr>
      <w:r w:rsidRPr="00662560">
        <w:rPr>
          <w:bCs/>
        </w:rPr>
        <w:t xml:space="preserve">The Committee agreed with the revised wording of the indication proposed by the Delegate. The Committee also noted the </w:t>
      </w:r>
      <w:r w:rsidR="004E4AAB">
        <w:rPr>
          <w:bCs/>
        </w:rPr>
        <w:t>sponsor</w:t>
      </w:r>
      <w:r w:rsidRPr="00662560">
        <w:rPr>
          <w:bCs/>
        </w:rPr>
        <w:t>’s Pre-ACM respons</w:t>
      </w:r>
      <w:r>
        <w:rPr>
          <w:bCs/>
        </w:rPr>
        <w:t>e and considered it acceptable.</w:t>
      </w:r>
    </w:p>
    <w:p w:rsidR="00662560" w:rsidRPr="002B4B04" w:rsidRDefault="00250A57" w:rsidP="002B4B04">
      <w:pPr>
        <w:pStyle w:val="Numberbullet0"/>
        <w:rPr>
          <w:b/>
          <w:i/>
        </w:rPr>
      </w:pPr>
      <w:r>
        <w:rPr>
          <w:b/>
          <w:i/>
        </w:rPr>
        <w:t xml:space="preserve">The </w:t>
      </w:r>
      <w:r w:rsidR="00662560" w:rsidRPr="002B4B04">
        <w:rPr>
          <w:b/>
          <w:i/>
        </w:rPr>
        <w:t>ACM is requested to advise on the suitability of proposed recommendations in moderate hepatic impairment (no change in dose required) and in severe renal impairment (do not use).</w:t>
      </w:r>
    </w:p>
    <w:p w:rsidR="00662560" w:rsidRPr="00662560" w:rsidRDefault="00662560" w:rsidP="00662560">
      <w:pPr>
        <w:rPr>
          <w:bCs/>
        </w:rPr>
      </w:pPr>
      <w:r w:rsidRPr="00662560">
        <w:rPr>
          <w:bCs/>
        </w:rPr>
        <w:t>The Committee advised that there is no need to modify the dose in moderate hepatic impairment as the sponsor has demonstrated that free BIC levels are unaffected.</w:t>
      </w:r>
    </w:p>
    <w:p w:rsidR="00456765" w:rsidRDefault="00662560" w:rsidP="008E7846">
      <w:pPr>
        <w:rPr>
          <w:bCs/>
        </w:rPr>
      </w:pPr>
      <w:r w:rsidRPr="00662560">
        <w:rPr>
          <w:bCs/>
        </w:rPr>
        <w:t>The Committee agreed with the contraindication in severe renal impairment based on the TAF component</w:t>
      </w:r>
      <w:r>
        <w:rPr>
          <w:bCs/>
        </w:rPr>
        <w:t>.</w:t>
      </w:r>
    </w:p>
    <w:p w:rsidR="00662560" w:rsidRDefault="00662560" w:rsidP="009E6672">
      <w:pPr>
        <w:pStyle w:val="Heading4"/>
      </w:pPr>
      <w:r>
        <w:t xml:space="preserve">Sponsor </w:t>
      </w:r>
      <w:r w:rsidR="00ED3A2F">
        <w:t>response to ACM recommendations</w:t>
      </w:r>
    </w:p>
    <w:p w:rsidR="004D7644" w:rsidRPr="004D7644" w:rsidRDefault="004D7644" w:rsidP="004D7644">
      <w:r w:rsidRPr="004D7644">
        <w:t>The ACM advi</w:t>
      </w:r>
      <w:r>
        <w:t xml:space="preserve">sed the following in </w:t>
      </w:r>
      <w:r w:rsidRPr="004D7644">
        <w:t>resp</w:t>
      </w:r>
      <w:r w:rsidR="009E6672">
        <w:t>onse to the D</w:t>
      </w:r>
      <w:r>
        <w:t xml:space="preserve">elegate’s specific </w:t>
      </w:r>
      <w:r w:rsidRPr="004D7644">
        <w:t>questions on the submission:</w:t>
      </w:r>
    </w:p>
    <w:p w:rsidR="004D7644" w:rsidRPr="009E6672" w:rsidRDefault="00250A57" w:rsidP="004D7644">
      <w:pPr>
        <w:rPr>
          <w:b/>
          <w:i/>
        </w:rPr>
      </w:pPr>
      <w:r>
        <w:rPr>
          <w:b/>
          <w:i/>
        </w:rPr>
        <w:t xml:space="preserve">The </w:t>
      </w:r>
      <w:r w:rsidR="004D7644" w:rsidRPr="009E6672">
        <w:rPr>
          <w:b/>
          <w:i/>
        </w:rPr>
        <w:t>ACM</w:t>
      </w:r>
      <w:r w:rsidR="00BB264A" w:rsidRPr="009E6672">
        <w:rPr>
          <w:b/>
          <w:i/>
        </w:rPr>
        <w:t xml:space="preserve"> is requested to comment on the </w:t>
      </w:r>
      <w:r w:rsidR="004D7644" w:rsidRPr="009E6672">
        <w:rPr>
          <w:b/>
          <w:i/>
        </w:rPr>
        <w:t>optimal wording of the indication.</w:t>
      </w:r>
    </w:p>
    <w:p w:rsidR="00066684" w:rsidRDefault="004D7644" w:rsidP="004D7644">
      <w:r w:rsidRPr="00066684">
        <w:t>The Co</w:t>
      </w:r>
      <w:r w:rsidR="00BB264A" w:rsidRPr="00066684">
        <w:t xml:space="preserve">mmittee agreed with the revised </w:t>
      </w:r>
      <w:r w:rsidRPr="00066684">
        <w:t>wordin</w:t>
      </w:r>
      <w:r w:rsidR="00BB264A" w:rsidRPr="00066684">
        <w:t xml:space="preserve">g of the indication proposed by </w:t>
      </w:r>
      <w:r w:rsidRPr="00066684">
        <w:t>the Del</w:t>
      </w:r>
      <w:r w:rsidR="00BB264A" w:rsidRPr="00066684">
        <w:t>egate.</w:t>
      </w:r>
    </w:p>
    <w:p w:rsidR="004D7644" w:rsidRPr="00066684" w:rsidRDefault="00BB264A" w:rsidP="004D7644">
      <w:r w:rsidRPr="00066684">
        <w:t xml:space="preserve">The Committee also noted </w:t>
      </w:r>
      <w:r w:rsidR="004D7644" w:rsidRPr="00066684">
        <w:t>the</w:t>
      </w:r>
      <w:r w:rsidRPr="00066684">
        <w:t xml:space="preserve"> </w:t>
      </w:r>
      <w:r w:rsidR="004E4AAB" w:rsidRPr="00066684">
        <w:t>sponsor</w:t>
      </w:r>
      <w:r w:rsidRPr="00066684">
        <w:t xml:space="preserve">’s Pre-ACM response and </w:t>
      </w:r>
      <w:r w:rsidR="004D7644" w:rsidRPr="00066684">
        <w:t>considered it acceptable.</w:t>
      </w:r>
    </w:p>
    <w:p w:rsidR="004D7644" w:rsidRPr="004D7644" w:rsidRDefault="009E6672" w:rsidP="004D7644">
      <w:r>
        <w:t>The sponsor</w:t>
      </w:r>
      <w:r w:rsidR="004D7644" w:rsidRPr="004D7644">
        <w:t xml:space="preserve"> ha</w:t>
      </w:r>
      <w:r w:rsidR="00BB264A">
        <w:t xml:space="preserve">s noted the Committees comments </w:t>
      </w:r>
      <w:r w:rsidR="004D7644" w:rsidRPr="004D7644">
        <w:t xml:space="preserve">on the </w:t>
      </w:r>
      <w:r w:rsidR="00BB264A">
        <w:t xml:space="preserve">optimal wording of the proposed </w:t>
      </w:r>
      <w:r w:rsidR="004D7644" w:rsidRPr="004D7644">
        <w:t>in</w:t>
      </w:r>
      <w:r w:rsidR="00BB264A">
        <w:t xml:space="preserve">dication and that the Committee </w:t>
      </w:r>
      <w:r w:rsidR="004D7644" w:rsidRPr="004D7644">
        <w:t xml:space="preserve">considered </w:t>
      </w:r>
      <w:r>
        <w:t>the sponsor’s</w:t>
      </w:r>
      <w:r w:rsidR="004D7644" w:rsidRPr="004D7644">
        <w:t xml:space="preserve"> Pre-ACM</w:t>
      </w:r>
      <w:r w:rsidR="00BB264A">
        <w:t xml:space="preserve"> response </w:t>
      </w:r>
      <w:r w:rsidR="004D7644" w:rsidRPr="004D7644">
        <w:t xml:space="preserve">acceptable. </w:t>
      </w:r>
      <w:r>
        <w:t>The sponsor</w:t>
      </w:r>
      <w:r w:rsidR="00BB264A">
        <w:t xml:space="preserve"> maintains that it is more </w:t>
      </w:r>
      <w:r w:rsidR="004D7644" w:rsidRPr="004D7644">
        <w:t>r</w:t>
      </w:r>
      <w:r w:rsidR="00BB264A">
        <w:t xml:space="preserve">elevant to align the Australian </w:t>
      </w:r>
      <w:r w:rsidR="004D7644" w:rsidRPr="004D7644">
        <w:t>B</w:t>
      </w:r>
      <w:r w:rsidRPr="004D7644">
        <w:t>ikt</w:t>
      </w:r>
      <w:r>
        <w:t>arvy</w:t>
      </w:r>
      <w:r w:rsidR="00BB264A">
        <w:t xml:space="preserve"> indication for consistency </w:t>
      </w:r>
      <w:r w:rsidR="004D7644" w:rsidRPr="004D7644">
        <w:t>with the ap</w:t>
      </w:r>
      <w:r w:rsidR="00BB264A">
        <w:t xml:space="preserve">proved indications in Australia </w:t>
      </w:r>
      <w:r w:rsidR="004D7644" w:rsidRPr="004D7644">
        <w:t>for the ot</w:t>
      </w:r>
      <w:r w:rsidR="00BB264A">
        <w:t xml:space="preserve">her TAF-based HIV-1 </w:t>
      </w:r>
      <w:r w:rsidR="00BB264A">
        <w:lastRenderedPageBreak/>
        <w:t xml:space="preserve">treatments, </w:t>
      </w:r>
      <w:r w:rsidR="004D7644" w:rsidRPr="004D7644">
        <w:t>suc</w:t>
      </w:r>
      <w:r w:rsidR="00BB264A">
        <w:t>h as G</w:t>
      </w:r>
      <w:r>
        <w:t>envoya</w:t>
      </w:r>
      <w:r w:rsidR="00BB264A">
        <w:t xml:space="preserve"> (AUST R 233398) to </w:t>
      </w:r>
      <w:r w:rsidR="004D7644" w:rsidRPr="004D7644">
        <w:t>highlight th</w:t>
      </w:r>
      <w:r w:rsidR="00BB264A">
        <w:t>at B</w:t>
      </w:r>
      <w:r>
        <w:t>iktarvy</w:t>
      </w:r>
      <w:r w:rsidR="00BB264A">
        <w:t xml:space="preserve"> can be </w:t>
      </w:r>
      <w:r w:rsidR="004D7644" w:rsidRPr="004D7644">
        <w:t>prescrib</w:t>
      </w:r>
      <w:r w:rsidR="00BB264A">
        <w:t xml:space="preserve">ed for virologically-suppressed </w:t>
      </w:r>
      <w:r w:rsidR="004D7644" w:rsidRPr="004D7644">
        <w:t>patients on a s</w:t>
      </w:r>
      <w:r w:rsidR="00BB264A">
        <w:t xml:space="preserve">table antiretroviral regimen at </w:t>
      </w:r>
      <w:r w:rsidR="004D7644" w:rsidRPr="004D7644">
        <w:t>the start of therapy.</w:t>
      </w:r>
    </w:p>
    <w:p w:rsidR="00D43D36" w:rsidRDefault="004D7644" w:rsidP="004D7644">
      <w:r w:rsidRPr="004D7644">
        <w:t>Therefo</w:t>
      </w:r>
      <w:r w:rsidR="00BB264A">
        <w:t xml:space="preserve">re </w:t>
      </w:r>
      <w:r w:rsidR="009E6672">
        <w:t>the sponsor</w:t>
      </w:r>
      <w:r w:rsidR="00BB264A">
        <w:t xml:space="preserve"> believes the proposed </w:t>
      </w:r>
      <w:r w:rsidRPr="004D7644">
        <w:t>indi</w:t>
      </w:r>
      <w:r w:rsidR="00BB264A">
        <w:t xml:space="preserve">cation adequately addresses the </w:t>
      </w:r>
      <w:r w:rsidRPr="004D7644">
        <w:t>concerns raised in the Delegate’s Overview</w:t>
      </w:r>
      <w:r>
        <w:t>.</w:t>
      </w:r>
    </w:p>
    <w:p w:rsidR="009E6672" w:rsidRPr="00D43D36" w:rsidRDefault="009E6672" w:rsidP="004D7644">
      <w:r>
        <w:t>Additional negotiations with regard to details in the PI occurred but these are beyond the scope of the AusPAR.</w:t>
      </w:r>
    </w:p>
    <w:p w:rsidR="008E7846" w:rsidRPr="002E238E" w:rsidRDefault="008E7846" w:rsidP="008E7846">
      <w:pPr>
        <w:pStyle w:val="Heading3"/>
      </w:pPr>
      <w:bookmarkStart w:id="148" w:name="_Toc247691532"/>
      <w:bookmarkStart w:id="149" w:name="_Toc314842516"/>
      <w:bookmarkStart w:id="150" w:name="_Toc20133996"/>
      <w:bookmarkEnd w:id="106"/>
      <w:bookmarkEnd w:id="146"/>
      <w:bookmarkEnd w:id="147"/>
      <w:r>
        <w:t>Outcome</w:t>
      </w:r>
      <w:bookmarkEnd w:id="148"/>
      <w:bookmarkEnd w:id="149"/>
      <w:bookmarkEnd w:id="150"/>
    </w:p>
    <w:p w:rsidR="00D23139" w:rsidRPr="00D23139" w:rsidRDefault="00D23139" w:rsidP="00D23139">
      <w:bookmarkStart w:id="151" w:name="_Toc247691533"/>
      <w:bookmarkStart w:id="152" w:name="_Toc314842517"/>
      <w:r w:rsidRPr="00D23139">
        <w:t xml:space="preserve">Based on a review of quality, safety and efficacy, TGA approved the registration of </w:t>
      </w:r>
      <w:r w:rsidR="006A3015">
        <w:t xml:space="preserve">Biktarvy </w:t>
      </w:r>
      <w:r w:rsidR="0098625E">
        <w:t xml:space="preserve">bictegravir </w:t>
      </w:r>
      <w:r w:rsidR="00782831">
        <w:t>50 mg</w:t>
      </w:r>
      <w:r w:rsidR="006A3015">
        <w:t xml:space="preserve">, </w:t>
      </w:r>
      <w:r w:rsidR="0098625E">
        <w:t>e</w:t>
      </w:r>
      <w:r w:rsidR="0098625E" w:rsidRPr="0047516F">
        <w:t xml:space="preserve">mtricitabine </w:t>
      </w:r>
      <w:r w:rsidR="006A3015" w:rsidRPr="0047516F">
        <w:t>200mg</w:t>
      </w:r>
      <w:r w:rsidR="006A3015">
        <w:t xml:space="preserve"> and </w:t>
      </w:r>
      <w:r w:rsidR="0098625E">
        <w:t>t</w:t>
      </w:r>
      <w:r w:rsidR="0098625E" w:rsidRPr="0047516F">
        <w:t xml:space="preserve">enofovir </w:t>
      </w:r>
      <w:r w:rsidR="006A3015" w:rsidRPr="0047516F">
        <w:t xml:space="preserve">alafenamide </w:t>
      </w:r>
      <w:r w:rsidR="00782831">
        <w:t>25 mg</w:t>
      </w:r>
      <w:r w:rsidRPr="00D23139">
        <w:t>, indicated for:</w:t>
      </w:r>
    </w:p>
    <w:p w:rsidR="00D23139" w:rsidRPr="006A3015" w:rsidRDefault="001B5D97" w:rsidP="006A3015">
      <w:pPr>
        <w:ind w:left="720"/>
        <w:rPr>
          <w:i/>
        </w:rPr>
      </w:pPr>
      <w:r>
        <w:rPr>
          <w:i/>
        </w:rPr>
        <w:t>Biktarvy</w:t>
      </w:r>
      <w:r w:rsidR="006A3015" w:rsidRPr="006A3015">
        <w:rPr>
          <w:i/>
        </w:rPr>
        <w:t xml:space="preserve"> is indicated for the treatment of HIV-1 infection in adults who are antiretroviral therapy (ART)-naïve or to replace the current antiretroviral regimen in those who are virologically-suppressed (HIV-1 RNA </w:t>
      </w:r>
      <w:r w:rsidR="00251457">
        <w:rPr>
          <w:i/>
        </w:rPr>
        <w:t xml:space="preserve">&lt; </w:t>
      </w:r>
      <w:r w:rsidR="006A3015" w:rsidRPr="006A3015">
        <w:rPr>
          <w:i/>
        </w:rPr>
        <w:t xml:space="preserve">50 copies per mL) on a stable antiretroviral regimen at the start of therapy with no history of treatment failure, and no known substitutions associated with resistance to the individual components of </w:t>
      </w:r>
      <w:r>
        <w:rPr>
          <w:i/>
        </w:rPr>
        <w:t>Biktarvy</w:t>
      </w:r>
      <w:r w:rsidR="006A3015" w:rsidRPr="006A3015">
        <w:rPr>
          <w:i/>
        </w:rPr>
        <w:t>.</w:t>
      </w:r>
    </w:p>
    <w:p w:rsidR="00D23139" w:rsidRPr="00D23139" w:rsidRDefault="00D23139" w:rsidP="00D23139">
      <w:pPr>
        <w:pStyle w:val="Heading4"/>
      </w:pPr>
      <w:r w:rsidRPr="00D23139">
        <w:t>Specific conditions of registration applying to these goods</w:t>
      </w:r>
    </w:p>
    <w:p w:rsidR="006A3015" w:rsidRDefault="001B5D97" w:rsidP="009E6672">
      <w:pPr>
        <w:pStyle w:val="ListBullet"/>
      </w:pPr>
      <w:r>
        <w:t>Biktarvy</w:t>
      </w:r>
      <w:r w:rsidR="006A3015">
        <w:t xml:space="preserve"> (</w:t>
      </w:r>
      <w:r w:rsidR="0098625E">
        <w:t>Bictegravir/Emtricitabine/Tenofovir Alafenamide</w:t>
      </w:r>
      <w:r w:rsidR="006A3015">
        <w:t>) is to be</w:t>
      </w:r>
      <w:r w:rsidR="009E6672">
        <w:t xml:space="preserve"> </w:t>
      </w:r>
      <w:r w:rsidR="006A3015">
        <w:t xml:space="preserve">included in the Black Triangle Scheme. The PI and CMI for </w:t>
      </w:r>
      <w:r>
        <w:t>Biktarvy</w:t>
      </w:r>
      <w:r w:rsidR="006A3015">
        <w:t xml:space="preserve"> must include the</w:t>
      </w:r>
      <w:r w:rsidR="009E6672">
        <w:t xml:space="preserve"> </w:t>
      </w:r>
      <w:r w:rsidR="006A3015">
        <w:t>black triangle symbol and mandatory accompanying text for five years, which starts from</w:t>
      </w:r>
      <w:r w:rsidR="009E6672">
        <w:t xml:space="preserve"> </w:t>
      </w:r>
      <w:r w:rsidR="006A3015">
        <w:t>the date that the sponsor notifies the TGA of supply of the product.</w:t>
      </w:r>
    </w:p>
    <w:p w:rsidR="006A3015" w:rsidRDefault="006A3015" w:rsidP="009E6672">
      <w:pPr>
        <w:pStyle w:val="ListBullet"/>
      </w:pPr>
      <w:r>
        <w:t xml:space="preserve">The </w:t>
      </w:r>
      <w:r w:rsidR="001B5D97">
        <w:t>Biktarvy</w:t>
      </w:r>
      <w:r>
        <w:t xml:space="preserve"> EU-Risk Management Plan (RMP) (version 0.1, dated 10 June 2017, data</w:t>
      </w:r>
      <w:r w:rsidR="009E6672">
        <w:t xml:space="preserve"> </w:t>
      </w:r>
      <w:r>
        <w:t>lock point 11 May 2017), with Australian Specific Annex (version 0.2, dated February</w:t>
      </w:r>
      <w:r w:rsidR="009E6672">
        <w:t xml:space="preserve"> </w:t>
      </w:r>
      <w:r>
        <w:t>2018), included with submission PM-2017-02454-1-2, and any subsequent revisions, as</w:t>
      </w:r>
      <w:r w:rsidR="009E6672">
        <w:t xml:space="preserve"> </w:t>
      </w:r>
      <w:r>
        <w:t>agreed with the TGA will be implemented in Australia.</w:t>
      </w:r>
    </w:p>
    <w:p w:rsidR="008E7846" w:rsidRDefault="00A80B5B" w:rsidP="00D23139">
      <w:pPr>
        <w:pStyle w:val="Heading2"/>
      </w:pPr>
      <w:bookmarkStart w:id="153" w:name="_Toc20133997"/>
      <w:r>
        <w:t xml:space="preserve">Attachment 1. </w:t>
      </w:r>
      <w:r w:rsidR="008E7846">
        <w:t xml:space="preserve">Product </w:t>
      </w:r>
      <w:r w:rsidR="00AA0ED0">
        <w:t>I</w:t>
      </w:r>
      <w:r w:rsidR="008E7846">
        <w:t>nformation</w:t>
      </w:r>
      <w:bookmarkEnd w:id="151"/>
      <w:bookmarkEnd w:id="152"/>
      <w:bookmarkEnd w:id="153"/>
    </w:p>
    <w:p w:rsidR="00C80137" w:rsidRDefault="006136D7" w:rsidP="00C80137">
      <w:pPr>
        <w:rPr>
          <w:color w:val="000000"/>
          <w:lang w:eastAsia="en-AU"/>
        </w:rPr>
      </w:pPr>
      <w:r w:rsidRPr="002B3624">
        <w:t xml:space="preserve">The </w:t>
      </w:r>
      <w:r>
        <w:t>PI</w:t>
      </w:r>
      <w:r w:rsidRPr="002B3624">
        <w:t xml:space="preserve"> for </w:t>
      </w:r>
      <w:r w:rsidR="009E6672">
        <w:t>Biktarvy</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251457">
        <w:t xml:space="preserve">&lt; </w:t>
      </w:r>
      <w:hyperlink r:id="rId57" w:history="1">
        <w:r w:rsidR="007C6B9B" w:rsidRPr="007C6B9B">
          <w:rPr>
            <w:rStyle w:val="Hyperlink"/>
          </w:rPr>
          <w:t>https://www.tga.gov.au/product-information-pi</w:t>
        </w:r>
      </w:hyperlink>
      <w:r w:rsidR="00251457">
        <w:t xml:space="preserve">&gt; </w:t>
      </w:r>
    </w:p>
    <w:p w:rsidR="00291957" w:rsidRDefault="00291957" w:rsidP="00BE6936">
      <w:pPr>
        <w:autoSpaceDE w:val="0"/>
        <w:autoSpaceDN w:val="0"/>
        <w:adjustRightInd w:val="0"/>
        <w:spacing w:after="0"/>
        <w:rPr>
          <w:lang w:eastAsia="ja-JP"/>
        </w:rPr>
      </w:pPr>
    </w:p>
    <w:p w:rsidR="00C80137" w:rsidRPr="001D043B" w:rsidRDefault="00C80137" w:rsidP="003A7F6C">
      <w:pPr>
        <w:pStyle w:val="TableTitle"/>
        <w:sectPr w:rsidR="00C80137" w:rsidRPr="001D043B" w:rsidSect="00B452CE">
          <w:headerReference w:type="even" r:id="rId58"/>
          <w:headerReference w:type="default" r:id="rId59"/>
          <w:headerReference w:type="first" r:id="rId60"/>
          <w:footerReference w:type="first" r:id="rId6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62" w:history="1">
              <w:r w:rsidRPr="004C239D">
                <w:rPr>
                  <w:rStyle w:val="Hyperlink"/>
                </w:rPr>
                <w:t>info@tga.gov.au</w:t>
              </w:r>
            </w:hyperlink>
            <w:r w:rsidR="006565A4">
              <w:t xml:space="preserve"> </w:t>
            </w:r>
            <w:r w:rsidRPr="00487162">
              <w:t>Phone: 1800 020 653</w:t>
            </w:r>
            <w:r w:rsidR="006565A4">
              <w:t xml:space="preserve"> </w:t>
            </w:r>
            <w:r w:rsidRPr="00487162">
              <w:t>Fax: 02 6232 8605</w:t>
            </w:r>
          </w:p>
          <w:p w:rsidR="001C32CD" w:rsidRPr="004C239D" w:rsidRDefault="00040F04" w:rsidP="00A05FA4">
            <w:pPr>
              <w:pStyle w:val="Address"/>
              <w:spacing w:line="260" w:lineRule="atLeast"/>
              <w:rPr>
                <w:b/>
                <w:color w:val="0000FF"/>
                <w:u w:val="single"/>
              </w:rPr>
            </w:pPr>
            <w:hyperlink r:id="rId63"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64"/>
      <w:headerReference w:type="default" r:id="rId65"/>
      <w:footerReference w:type="default" r:id="rId66"/>
      <w:headerReference w:type="first" r:id="rId67"/>
      <w:footerReference w:type="first" r:id="rId6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B51" w:rsidRDefault="002F3B51" w:rsidP="00C40A36">
      <w:pPr>
        <w:spacing w:after="0"/>
      </w:pPr>
      <w:r>
        <w:separator/>
      </w:r>
    </w:p>
  </w:endnote>
  <w:endnote w:type="continuationSeparator" w:id="0">
    <w:p w:rsidR="002F3B51" w:rsidRDefault="002F3B5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A1"/>
    <w:family w:val="auto"/>
    <w:notTrueType/>
    <w:pitch w:val="default"/>
    <w:sig w:usb0="00000083" w:usb1="08070000" w:usb2="00000010" w:usb3="00000000" w:csb0="00020009"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F3B51" w:rsidRPr="00487162" w:rsidTr="00DB750B">
      <w:trPr>
        <w:trHeight w:val="269"/>
      </w:trPr>
      <w:tc>
        <w:tcPr>
          <w:tcW w:w="7371" w:type="dxa"/>
          <w:tcMar>
            <w:top w:w="142" w:type="dxa"/>
            <w:bottom w:w="0" w:type="dxa"/>
          </w:tcMar>
        </w:tcPr>
        <w:p w:rsidR="002F3B51" w:rsidRPr="00487162" w:rsidRDefault="002F3B51" w:rsidP="006B6EC5">
          <w:pPr>
            <w:pStyle w:val="Footer"/>
          </w:pPr>
          <w:r>
            <w:t>AusPAR - Biktarvy</w:t>
          </w:r>
          <w:r w:rsidRPr="00DA08F1">
            <w:t xml:space="preserve"> - Bictegravir / emtricitabine / tenofovir alafenamide - Gilead Sciences - PM-2017-02454-1-2 - </w:t>
          </w:r>
          <w:r>
            <w:t>FINAL 1 August 2019</w:t>
          </w:r>
        </w:p>
      </w:tc>
      <w:tc>
        <w:tcPr>
          <w:tcW w:w="1490" w:type="dxa"/>
          <w:tcMar>
            <w:top w:w="142" w:type="dxa"/>
            <w:bottom w:w="0" w:type="dxa"/>
          </w:tcMar>
        </w:tcPr>
        <w:p w:rsidR="002F3B51" w:rsidRPr="00487162" w:rsidRDefault="002F3B51" w:rsidP="00DB750B">
          <w:pPr>
            <w:pStyle w:val="Footer"/>
            <w:jc w:val="right"/>
          </w:pPr>
          <w:r w:rsidRPr="00487162">
            <w:t xml:space="preserve">Page </w:t>
          </w:r>
          <w:r>
            <w:fldChar w:fldCharType="begin"/>
          </w:r>
          <w:r>
            <w:instrText xml:space="preserve"> PAGE  \* Arabic </w:instrText>
          </w:r>
          <w:r>
            <w:fldChar w:fldCharType="separate"/>
          </w:r>
          <w:r w:rsidR="00040F04">
            <w:rPr>
              <w:noProof/>
            </w:rPr>
            <w:t>2</w:t>
          </w:r>
          <w:r>
            <w:fldChar w:fldCharType="end"/>
          </w:r>
          <w:r w:rsidRPr="00487162">
            <w:t xml:space="preserve"> of </w:t>
          </w:r>
          <w:fldSimple w:instr=" NUMPAGES  \* Arabic ">
            <w:r w:rsidR="00040F04">
              <w:rPr>
                <w:noProof/>
              </w:rPr>
              <w:t>88</w:t>
            </w:r>
          </w:fldSimple>
        </w:p>
      </w:tc>
    </w:tr>
  </w:tbl>
  <w:p w:rsidR="002F3B51" w:rsidRDefault="002F3B51"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F3B51" w:rsidRPr="00487162" w:rsidTr="00E45619">
      <w:trPr>
        <w:trHeight w:val="269"/>
      </w:trPr>
      <w:tc>
        <w:tcPr>
          <w:tcW w:w="4519" w:type="dxa"/>
          <w:tcBorders>
            <w:top w:val="single" w:sz="4" w:space="0" w:color="auto"/>
          </w:tcBorders>
          <w:tcMar>
            <w:top w:w="142" w:type="dxa"/>
            <w:bottom w:w="0" w:type="dxa"/>
          </w:tcMar>
        </w:tcPr>
        <w:p w:rsidR="002F3B51" w:rsidRPr="00487162" w:rsidRDefault="002F3B51" w:rsidP="00FE1DEE">
          <w:pPr>
            <w:pStyle w:val="Footer"/>
          </w:pPr>
          <w:r w:rsidRPr="00487162">
            <w:t>Document title, Part #, Section # - Section title</w:t>
          </w:r>
        </w:p>
        <w:p w:rsidR="002F3B51" w:rsidRPr="00487162" w:rsidRDefault="002F3B51" w:rsidP="00FE1DEE">
          <w:pPr>
            <w:pStyle w:val="Footer"/>
          </w:pPr>
          <w:r w:rsidRPr="00487162">
            <w:t>V1.0 October 2010</w:t>
          </w:r>
        </w:p>
      </w:tc>
      <w:tc>
        <w:tcPr>
          <w:tcW w:w="4342" w:type="dxa"/>
          <w:tcBorders>
            <w:top w:val="single" w:sz="4" w:space="0" w:color="auto"/>
          </w:tcBorders>
          <w:tcMar>
            <w:top w:w="142" w:type="dxa"/>
            <w:bottom w:w="0" w:type="dxa"/>
          </w:tcMar>
        </w:tcPr>
        <w:p w:rsidR="002F3B51" w:rsidRPr="00487162" w:rsidRDefault="002F3B5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89</w:t>
            </w:r>
          </w:fldSimple>
        </w:p>
      </w:tc>
    </w:tr>
  </w:tbl>
  <w:p w:rsidR="002F3B51" w:rsidRDefault="002F3B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51" w:rsidRPr="001C32CD" w:rsidRDefault="002F3B51"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F3B51" w:rsidTr="0010601F">
      <w:trPr>
        <w:trHeight w:val="108"/>
      </w:trPr>
      <w:tc>
        <w:tcPr>
          <w:tcW w:w="8875" w:type="dxa"/>
          <w:gridSpan w:val="2"/>
          <w:tcBorders>
            <w:bottom w:val="single" w:sz="4" w:space="0" w:color="auto"/>
          </w:tcBorders>
          <w:tcMar>
            <w:right w:w="284" w:type="dxa"/>
          </w:tcMar>
        </w:tcPr>
        <w:p w:rsidR="002F3B51" w:rsidRDefault="002F3B51" w:rsidP="006E08B3">
          <w:pPr>
            <w:pStyle w:val="Heading3"/>
          </w:pPr>
          <w:r>
            <w:t>Copyright</w:t>
          </w:r>
        </w:p>
        <w:p w:rsidR="002F3B51" w:rsidRDefault="002F3B51" w:rsidP="006E08B3">
          <w:r>
            <w:rPr>
              <w:rFonts w:cs="Arial"/>
            </w:rPr>
            <w:t>©</w:t>
          </w:r>
          <w:r>
            <w:t xml:space="preserve"> Commonwealth of Australia [add year]</w:t>
          </w:r>
        </w:p>
        <w:p w:rsidR="002F3B51" w:rsidRDefault="002F3B51" w:rsidP="006E08B3"/>
        <w:p w:rsidR="002F3B51" w:rsidRDefault="002F3B5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F3B51" w:rsidRDefault="002F3B51" w:rsidP="006E08B3"/>
        <w:p w:rsidR="002F3B51" w:rsidRDefault="002F3B51" w:rsidP="006E08B3">
          <w:pPr>
            <w:pStyle w:val="Heading3"/>
          </w:pPr>
          <w:r>
            <w:t>Confidentiality</w:t>
          </w:r>
        </w:p>
        <w:p w:rsidR="002F3B51" w:rsidRDefault="002F3B5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F3B51" w:rsidRDefault="002F3B51" w:rsidP="006E08B3"/>
        <w:p w:rsidR="002F3B51" w:rsidRDefault="002F3B51" w:rsidP="006E08B3">
          <w:r>
            <w:t>For submission made by individuals, all personal details, other than your name, will be removed from your submission before it is published on the TGA’s Internet site.</w:t>
          </w:r>
        </w:p>
        <w:p w:rsidR="002F3B51" w:rsidRDefault="002F3B51" w:rsidP="006E08B3"/>
        <w:p w:rsidR="002F3B51" w:rsidRDefault="002F3B51" w:rsidP="006E08B3">
          <w:r>
            <w:t>In addition, a list of parties making submissions will be published. If you do not wish to be identified with your submission you must specifically request this in the space provided ib the submission coversheet.</w:t>
          </w:r>
        </w:p>
      </w:tc>
    </w:tr>
    <w:tr w:rsidR="002F3B51" w:rsidTr="0010601F">
      <w:trPr>
        <w:trHeight w:val="417"/>
      </w:trPr>
      <w:tc>
        <w:tcPr>
          <w:tcW w:w="4519" w:type="dxa"/>
          <w:tcBorders>
            <w:top w:val="single" w:sz="4" w:space="0" w:color="auto"/>
          </w:tcBorders>
          <w:tcMar>
            <w:top w:w="142" w:type="dxa"/>
            <w:bottom w:w="0" w:type="dxa"/>
          </w:tcMar>
        </w:tcPr>
        <w:p w:rsidR="002F3B51" w:rsidRDefault="002F3B51" w:rsidP="006E08B3">
          <w:r>
            <w:t>Document title, Part #, Section # - Section title</w:t>
          </w:r>
        </w:p>
        <w:p w:rsidR="002F3B51" w:rsidRDefault="002F3B51" w:rsidP="006E08B3">
          <w:r>
            <w:t>V1.0 October 2010</w:t>
          </w:r>
        </w:p>
      </w:tc>
      <w:tc>
        <w:tcPr>
          <w:tcW w:w="4356" w:type="dxa"/>
          <w:tcBorders>
            <w:top w:val="single" w:sz="4" w:space="0" w:color="auto"/>
          </w:tcBorders>
          <w:tcMar>
            <w:top w:w="142" w:type="dxa"/>
            <w:bottom w:w="0" w:type="dxa"/>
          </w:tcMar>
        </w:tcPr>
        <w:p w:rsidR="002F3B51" w:rsidRDefault="002F3B5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89</w:t>
            </w:r>
          </w:fldSimple>
          <w:r>
            <w:t xml:space="preserve"> </w:t>
          </w:r>
        </w:p>
      </w:tc>
    </w:tr>
  </w:tbl>
  <w:p w:rsidR="002F3B51" w:rsidRDefault="002F3B5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B51" w:rsidRDefault="002F3B51" w:rsidP="00C40A36">
      <w:pPr>
        <w:spacing w:after="0"/>
      </w:pPr>
      <w:r>
        <w:separator/>
      </w:r>
    </w:p>
  </w:footnote>
  <w:footnote w:type="continuationSeparator" w:id="0">
    <w:p w:rsidR="002F3B51" w:rsidRDefault="002F3B51" w:rsidP="00C40A36">
      <w:pPr>
        <w:spacing w:after="0"/>
      </w:pPr>
      <w:r>
        <w:continuationSeparator/>
      </w:r>
    </w:p>
  </w:footnote>
  <w:footnote w:id="1">
    <w:p w:rsidR="002F3B51" w:rsidRDefault="002F3B51">
      <w:pPr>
        <w:pStyle w:val="FootnoteText"/>
      </w:pPr>
      <w:r>
        <w:rPr>
          <w:rStyle w:val="FootnoteReference"/>
        </w:rPr>
        <w:footnoteRef/>
      </w:r>
      <w:r>
        <w:t xml:space="preserve"> </w:t>
      </w:r>
      <w:r w:rsidRPr="00C53A94">
        <w:t>Australasian Society for HIV, Viral Hepatitis and Sexual Health Medicine (ASHM)</w:t>
      </w:r>
      <w:r>
        <w:t>. (2016). Antiretroviral guidelines: US DHHS guidelines with Australian commentary. Accessed 9 April 2019.</w:t>
      </w:r>
    </w:p>
  </w:footnote>
  <w:footnote w:id="2">
    <w:p w:rsidR="002F3B51" w:rsidRPr="00A26F7F" w:rsidRDefault="002F3B51">
      <w:pPr>
        <w:pStyle w:val="FootnoteText"/>
        <w:rPr>
          <w:lang w:val="en-US"/>
        </w:rPr>
      </w:pPr>
      <w:r>
        <w:rPr>
          <w:rStyle w:val="FootnoteReference"/>
        </w:rPr>
        <w:footnoteRef/>
      </w:r>
      <w:r>
        <w:t xml:space="preserve"> C</w:t>
      </w:r>
      <w:r>
        <w:rPr>
          <w:vertAlign w:val="subscript"/>
        </w:rPr>
        <w:t xml:space="preserve">max </w:t>
      </w:r>
      <w:r w:rsidRPr="00A26F7F">
        <w:t xml:space="preserve">= </w:t>
      </w:r>
      <w:r>
        <w:rPr>
          <w:rFonts w:cstheme="minorHAnsi"/>
        </w:rPr>
        <w:t>Maximum observed concentration of drug</w:t>
      </w:r>
    </w:p>
  </w:footnote>
  <w:footnote w:id="3">
    <w:p w:rsidR="002F3B51" w:rsidRPr="00A26F7F" w:rsidRDefault="002F3B51">
      <w:pPr>
        <w:pStyle w:val="FootnoteText"/>
        <w:rPr>
          <w:lang w:val="en-US"/>
        </w:rPr>
      </w:pPr>
      <w:r>
        <w:rPr>
          <w:rStyle w:val="FootnoteReference"/>
        </w:rPr>
        <w:footnoteRef/>
      </w:r>
      <w:r>
        <w:t xml:space="preserve"> </w:t>
      </w:r>
      <w:r>
        <w:rPr>
          <w:rFonts w:cstheme="minorHAnsi"/>
        </w:rPr>
        <w:t>AUC</w:t>
      </w:r>
      <w:r>
        <w:rPr>
          <w:rFonts w:cstheme="minorHAnsi"/>
          <w:vertAlign w:val="subscript"/>
        </w:rPr>
        <w:t xml:space="preserve">inf </w:t>
      </w:r>
      <w:r w:rsidRPr="00A26F7F">
        <w:rPr>
          <w:rFonts w:cstheme="minorHAnsi"/>
        </w:rPr>
        <w:t xml:space="preserve">= </w:t>
      </w:r>
      <w:r>
        <w:rPr>
          <w:rFonts w:cstheme="minorHAnsi"/>
        </w:rPr>
        <w:t>Area under the plasma concentration versus time curve extrapolated to infinite time</w:t>
      </w:r>
    </w:p>
  </w:footnote>
  <w:footnote w:id="4">
    <w:p w:rsidR="002F3B51" w:rsidRPr="00A26F7F" w:rsidRDefault="002F3B51">
      <w:pPr>
        <w:pStyle w:val="FootnoteText"/>
        <w:rPr>
          <w:lang w:val="en-US"/>
        </w:rPr>
      </w:pPr>
      <w:r>
        <w:rPr>
          <w:rStyle w:val="FootnoteReference"/>
        </w:rPr>
        <w:footnoteRef/>
      </w:r>
      <w:r>
        <w:t xml:space="preserve"> </w:t>
      </w:r>
      <w:r>
        <w:rPr>
          <w:rFonts w:cstheme="minorHAnsi"/>
        </w:rPr>
        <w:t>AUC</w:t>
      </w:r>
      <w:r>
        <w:rPr>
          <w:rFonts w:cstheme="minorHAnsi"/>
          <w:vertAlign w:val="subscript"/>
        </w:rPr>
        <w:t>last</w:t>
      </w:r>
      <w:r>
        <w:rPr>
          <w:rFonts w:cstheme="minorHAnsi"/>
        </w:rPr>
        <w:t xml:space="preserve"> = Area under the plasma concentration versus time curve from time zero to the last quantifiable concentration</w:t>
      </w:r>
    </w:p>
  </w:footnote>
  <w:footnote w:id="5">
    <w:p w:rsidR="002F3B51" w:rsidRDefault="002F3B51">
      <w:pPr>
        <w:pStyle w:val="FootnoteText"/>
      </w:pPr>
      <w:r>
        <w:rPr>
          <w:rStyle w:val="FootnoteReference"/>
        </w:rPr>
        <w:footnoteRef/>
      </w:r>
      <w:r>
        <w:t xml:space="preserve"> </w:t>
      </w:r>
      <w:r w:rsidRPr="006C7291">
        <w:t>E</w:t>
      </w:r>
      <w:r>
        <w:t>uropean Medicines Agency (E</w:t>
      </w:r>
      <w:r w:rsidRPr="006C7291">
        <w:t>MEA</w:t>
      </w:r>
      <w:r>
        <w:t>)</w:t>
      </w:r>
      <w:r w:rsidRPr="006C7291">
        <w:t>, Committee for Proprietary Medicinal Products (CPMP),</w:t>
      </w:r>
      <w:r>
        <w:t xml:space="preserve"> 27 July 2006</w:t>
      </w:r>
      <w:r w:rsidRPr="006C7291">
        <w:t>. Guid</w:t>
      </w:r>
      <w:r>
        <w:t>eline on c</w:t>
      </w:r>
      <w:r w:rsidRPr="006C7291">
        <w:t>arcinogenic</w:t>
      </w:r>
      <w:r>
        <w:t>ity evaluation of medicinal products for the treatment of HIV infection</w:t>
      </w:r>
      <w:r w:rsidRPr="006C7291">
        <w:t>, CPMP/SWP/</w:t>
      </w:r>
      <w:r>
        <w:t>194898</w:t>
      </w:r>
      <w:r w:rsidRPr="006C7291">
        <w:t>/</w:t>
      </w:r>
      <w:r>
        <w:t>2</w:t>
      </w:r>
      <w:r w:rsidRPr="006C7291">
        <w:t>00</w:t>
      </w:r>
      <w:r>
        <w:t>6.</w:t>
      </w:r>
    </w:p>
  </w:footnote>
  <w:footnote w:id="6">
    <w:p w:rsidR="002F3B51" w:rsidRPr="00CE499F" w:rsidRDefault="002F3B51">
      <w:pPr>
        <w:pStyle w:val="FootnoteText"/>
      </w:pPr>
      <w:r>
        <w:rPr>
          <w:rStyle w:val="FootnoteReference"/>
        </w:rPr>
        <w:footnoteRef/>
      </w:r>
      <w:r>
        <w:t xml:space="preserve"> HIV-1 BaL an</w:t>
      </w:r>
      <w:r w:rsidRPr="00CE499F">
        <w:t xml:space="preserve"> infectious molecular clone consist</w:t>
      </w:r>
      <w:r>
        <w:t>ing</w:t>
      </w:r>
      <w:r w:rsidRPr="00CE499F">
        <w:t xml:space="preserve"> of the HXB3 backbone and BaL Env and flanking sequences</w:t>
      </w:r>
    </w:p>
  </w:footnote>
  <w:footnote w:id="7">
    <w:p w:rsidR="002F3B51" w:rsidRPr="00A26F7F" w:rsidRDefault="002F3B51">
      <w:pPr>
        <w:pStyle w:val="FootnoteText"/>
        <w:rPr>
          <w:lang w:val="en-US"/>
        </w:rPr>
      </w:pPr>
      <w:r>
        <w:rPr>
          <w:rStyle w:val="FootnoteReference"/>
        </w:rPr>
        <w:footnoteRef/>
      </w:r>
      <w:r>
        <w:t xml:space="preserve"> </w:t>
      </w:r>
      <w:r>
        <w:rPr>
          <w:rFonts w:cstheme="minorHAnsi"/>
        </w:rPr>
        <w:t>C</w:t>
      </w:r>
      <w:r>
        <w:rPr>
          <w:rFonts w:cstheme="minorHAnsi"/>
          <w:vertAlign w:val="subscript"/>
        </w:rPr>
        <w:t>tau</w:t>
      </w:r>
      <w:r>
        <w:rPr>
          <w:rFonts w:cstheme="minorHAnsi"/>
        </w:rPr>
        <w:t xml:space="preserve"> = Observed drug concentration at the end of the dosing interval</w:t>
      </w:r>
    </w:p>
  </w:footnote>
  <w:footnote w:id="8">
    <w:p w:rsidR="002F3B51" w:rsidRDefault="002F3B51">
      <w:pPr>
        <w:pStyle w:val="FootnoteText"/>
      </w:pPr>
      <w:r>
        <w:rPr>
          <w:rStyle w:val="FootnoteReference"/>
        </w:rPr>
        <w:footnoteRef/>
      </w:r>
      <w:r>
        <w:t xml:space="preserve"> </w:t>
      </w:r>
      <w:r w:rsidRPr="00D8620E">
        <w:t>Hargreaves IP</w:t>
      </w:r>
      <w:r>
        <w:t>,</w:t>
      </w:r>
      <w:r w:rsidRPr="00D8620E">
        <w:t xml:space="preserve"> et al.</w:t>
      </w:r>
      <w:r>
        <w:t xml:space="preserve"> (2016) Drug-i</w:t>
      </w:r>
      <w:r w:rsidRPr="00D8620E">
        <w:t xml:space="preserve">nduced </w:t>
      </w:r>
      <w:r>
        <w:t>m</w:t>
      </w:r>
      <w:r w:rsidRPr="00D8620E">
        <w:t xml:space="preserve">itochondrial </w:t>
      </w:r>
      <w:r>
        <w:t>t</w:t>
      </w:r>
      <w:r w:rsidRPr="00D8620E">
        <w:t xml:space="preserve">oxicity. </w:t>
      </w:r>
      <w:r w:rsidRPr="00D8620E">
        <w:rPr>
          <w:i/>
        </w:rPr>
        <w:t>Drug Saf</w:t>
      </w:r>
      <w:r w:rsidRPr="00D8620E">
        <w:t>. 2016</w:t>
      </w:r>
      <w:r>
        <w:t>;</w:t>
      </w:r>
      <w:r w:rsidRPr="00D8620E">
        <w:t xml:space="preserve"> 39:</w:t>
      </w:r>
      <w:r>
        <w:t xml:space="preserve"> </w:t>
      </w:r>
      <w:r w:rsidRPr="00D8620E">
        <w:t>661-674</w:t>
      </w:r>
      <w:r>
        <w:t>.</w:t>
      </w:r>
    </w:p>
  </w:footnote>
  <w:footnote w:id="9">
    <w:p w:rsidR="002F3B51" w:rsidRDefault="002F3B51">
      <w:pPr>
        <w:pStyle w:val="FootnoteText"/>
      </w:pPr>
      <w:r>
        <w:rPr>
          <w:rStyle w:val="FootnoteReference"/>
        </w:rPr>
        <w:footnoteRef/>
      </w:r>
      <w:r>
        <w:t xml:space="preserve"> </w:t>
      </w:r>
      <w:r w:rsidRPr="00A4739D">
        <w:t>Cahn P, et al.</w:t>
      </w:r>
      <w:r>
        <w:t xml:space="preserve"> (2013)</w:t>
      </w:r>
      <w:r w:rsidRPr="00A4739D">
        <w:t xml:space="preserve"> Dolutegravir versus raltegravir in antiretroviral-experienced, integrase-inhibitor-naive adults with HIV: week 48 results from the randomised, double-blind, non-inferiority SAILING study. </w:t>
      </w:r>
      <w:r w:rsidRPr="00A4739D">
        <w:rPr>
          <w:i/>
        </w:rPr>
        <w:t>Lancet</w:t>
      </w:r>
      <w:r w:rsidRPr="00A4739D">
        <w:t xml:space="preserve"> 2013</w:t>
      </w:r>
      <w:r>
        <w:t>;</w:t>
      </w:r>
      <w:r w:rsidRPr="00A4739D">
        <w:t xml:space="preserve"> 382:700</w:t>
      </w:r>
      <w:r>
        <w:t>-</w:t>
      </w:r>
      <w:r w:rsidRPr="00A4739D">
        <w:t>708.</w:t>
      </w:r>
    </w:p>
  </w:footnote>
  <w:footnote w:id="10">
    <w:p w:rsidR="002F3B51" w:rsidRDefault="002F3B51">
      <w:pPr>
        <w:pStyle w:val="FootnoteText"/>
      </w:pPr>
      <w:r>
        <w:rPr>
          <w:rStyle w:val="FootnoteReference"/>
        </w:rPr>
        <w:footnoteRef/>
      </w:r>
      <w:r>
        <w:t xml:space="preserve"> </w:t>
      </w:r>
      <w:r w:rsidRPr="00344590">
        <w:t xml:space="preserve">Mesplede T, et al. </w:t>
      </w:r>
      <w:r>
        <w:t xml:space="preserve">(2013) </w:t>
      </w:r>
      <w:r w:rsidRPr="00344590">
        <w:t xml:space="preserve">Viral fitness cost prevents HIV-1 from evading dolutegravir drug pressure. </w:t>
      </w:r>
      <w:r w:rsidRPr="00344590">
        <w:rPr>
          <w:i/>
        </w:rPr>
        <w:t>Retrovirology</w:t>
      </w:r>
      <w:r>
        <w:t xml:space="preserve"> </w:t>
      </w:r>
      <w:r w:rsidRPr="00344590">
        <w:t>2013</w:t>
      </w:r>
      <w:r>
        <w:t>;</w:t>
      </w:r>
      <w:r w:rsidRPr="00344590">
        <w:t xml:space="preserve"> </w:t>
      </w:r>
      <w:r>
        <w:t>1</w:t>
      </w:r>
      <w:r w:rsidRPr="00344590">
        <w:t>0: 22.</w:t>
      </w:r>
    </w:p>
  </w:footnote>
  <w:footnote w:id="11">
    <w:p w:rsidR="002F3B51" w:rsidRDefault="002F3B51">
      <w:pPr>
        <w:pStyle w:val="FootnoteText"/>
      </w:pPr>
      <w:r>
        <w:rPr>
          <w:rStyle w:val="FootnoteReference"/>
        </w:rPr>
        <w:footnoteRef/>
      </w:r>
      <w:r>
        <w:t xml:space="preserve"> </w:t>
      </w:r>
      <w:r w:rsidRPr="00344590">
        <w:t xml:space="preserve">Wares M, et al. The M50I polymorphic substitution in association with the R263K mutation in HIV-1 subtype B integrase increases drug resistance but does not restore viral replicative fitness. </w:t>
      </w:r>
      <w:r w:rsidRPr="00EC22C3">
        <w:rPr>
          <w:i/>
        </w:rPr>
        <w:t>Retrovirology</w:t>
      </w:r>
      <w:r w:rsidRPr="00344590">
        <w:t>, 2014</w:t>
      </w:r>
      <w:r>
        <w:t>;</w:t>
      </w:r>
      <w:r w:rsidRPr="00344590">
        <w:t xml:space="preserve"> 11:7.</w:t>
      </w:r>
    </w:p>
  </w:footnote>
  <w:footnote w:id="12">
    <w:p w:rsidR="002F3B51" w:rsidRDefault="002F3B51" w:rsidP="00644EA7">
      <w:pPr>
        <w:pStyle w:val="FootnoteText"/>
      </w:pPr>
      <w:r>
        <w:rPr>
          <w:rStyle w:val="FootnoteReference"/>
        </w:rPr>
        <w:footnoteRef/>
      </w:r>
      <w:r>
        <w:t xml:space="preserve"> </w:t>
      </w:r>
      <w:r w:rsidRPr="00344590">
        <w:t xml:space="preserve">Anstett K, </w:t>
      </w:r>
      <w:r>
        <w:t>et al</w:t>
      </w:r>
      <w:r w:rsidRPr="00344590">
        <w:t>.</w:t>
      </w:r>
      <w:r>
        <w:t xml:space="preserve"> (2015)</w:t>
      </w:r>
      <w:r w:rsidRPr="00344590">
        <w:t xml:space="preserve"> Dolutegravir-</w:t>
      </w:r>
      <w:r>
        <w:t>s</w:t>
      </w:r>
      <w:r w:rsidRPr="00344590">
        <w:t xml:space="preserve">elected HIV-1 </w:t>
      </w:r>
      <w:r>
        <w:t>c</w:t>
      </w:r>
      <w:r w:rsidRPr="00344590">
        <w:t xml:space="preserve">ontaining the N155H and R263K </w:t>
      </w:r>
      <w:r>
        <w:t>r</w:t>
      </w:r>
      <w:r w:rsidRPr="00344590">
        <w:t xml:space="preserve">esistance </w:t>
      </w:r>
      <w:r>
        <w:t>s</w:t>
      </w:r>
      <w:r w:rsidRPr="00344590">
        <w:t xml:space="preserve">ubstitutions </w:t>
      </w:r>
      <w:r>
        <w:t>d</w:t>
      </w:r>
      <w:r w:rsidRPr="00344590">
        <w:t xml:space="preserve">oes </w:t>
      </w:r>
      <w:r>
        <w:t>n</w:t>
      </w:r>
      <w:r w:rsidRPr="00344590">
        <w:t xml:space="preserve">ot </w:t>
      </w:r>
      <w:r>
        <w:t>a</w:t>
      </w:r>
      <w:r w:rsidRPr="00344590">
        <w:t xml:space="preserve">cquire </w:t>
      </w:r>
      <w:r>
        <w:t>a</w:t>
      </w:r>
      <w:r w:rsidRPr="00344590">
        <w:t xml:space="preserve">dditional </w:t>
      </w:r>
      <w:r>
        <w:t>c</w:t>
      </w:r>
      <w:r w:rsidRPr="00344590">
        <w:t xml:space="preserve">ompensatory </w:t>
      </w:r>
      <w:r>
        <w:t>m</w:t>
      </w:r>
      <w:r w:rsidRPr="00344590">
        <w:t xml:space="preserve">utations under </w:t>
      </w:r>
      <w:r>
        <w:t>d</w:t>
      </w:r>
      <w:r w:rsidRPr="00344590">
        <w:t xml:space="preserve">rug </w:t>
      </w:r>
      <w:r>
        <w:t>p</w:t>
      </w:r>
      <w:r w:rsidRPr="00344590">
        <w:t xml:space="preserve">ressure </w:t>
      </w:r>
      <w:r>
        <w:t>t</w:t>
      </w:r>
      <w:r w:rsidRPr="00344590">
        <w:t xml:space="preserve">hat </w:t>
      </w:r>
      <w:r>
        <w:t>l</w:t>
      </w:r>
      <w:r w:rsidRPr="00344590">
        <w:t xml:space="preserve">ead to </w:t>
      </w:r>
      <w:r>
        <w:t>h</w:t>
      </w:r>
      <w:r w:rsidRPr="00344590">
        <w:t>igher-</w:t>
      </w:r>
      <w:r>
        <w:t>l</w:t>
      </w:r>
      <w:r w:rsidRPr="00344590">
        <w:t xml:space="preserve">evel </w:t>
      </w:r>
      <w:r>
        <w:t>r</w:t>
      </w:r>
      <w:r w:rsidRPr="00344590">
        <w:t xml:space="preserve">esistance and </w:t>
      </w:r>
      <w:r>
        <w:t>i</w:t>
      </w:r>
      <w:r w:rsidRPr="00344590">
        <w:t xml:space="preserve">ncreased </w:t>
      </w:r>
      <w:r>
        <w:t>r</w:t>
      </w:r>
      <w:r w:rsidRPr="00344590">
        <w:t xml:space="preserve">eplicative </w:t>
      </w:r>
      <w:r>
        <w:t>c</w:t>
      </w:r>
      <w:r w:rsidRPr="00344590">
        <w:t xml:space="preserve">apacity. </w:t>
      </w:r>
      <w:r w:rsidRPr="00EC22C3">
        <w:rPr>
          <w:i/>
        </w:rPr>
        <w:t>J Virol</w:t>
      </w:r>
      <w:r w:rsidRPr="00344590">
        <w:t>. 2015</w:t>
      </w:r>
      <w:r>
        <w:t>;</w:t>
      </w:r>
      <w:r w:rsidRPr="00344590">
        <w:t xml:space="preserve"> 89:</w:t>
      </w:r>
      <w:r>
        <w:t xml:space="preserve"> 10482-</w:t>
      </w:r>
      <w:r w:rsidRPr="00344590">
        <w:t>10488.</w:t>
      </w:r>
    </w:p>
  </w:footnote>
  <w:footnote w:id="13">
    <w:p w:rsidR="002F3B51" w:rsidRDefault="002F3B51" w:rsidP="00644EA7">
      <w:pPr>
        <w:pStyle w:val="FootnoteText"/>
      </w:pPr>
      <w:r>
        <w:rPr>
          <w:rStyle w:val="FootnoteReference"/>
        </w:rPr>
        <w:footnoteRef/>
      </w:r>
      <w:r>
        <w:t xml:space="preserve"> </w:t>
      </w:r>
      <w:r w:rsidRPr="002B7BD4">
        <w:t>Fantauzzi A,</w:t>
      </w:r>
      <w:r>
        <w:t xml:space="preserve"> et al</w:t>
      </w:r>
      <w:r w:rsidRPr="002B7BD4">
        <w:t>.</w:t>
      </w:r>
      <w:r>
        <w:t xml:space="preserve"> (2014)</w:t>
      </w:r>
      <w:r w:rsidRPr="002B7BD4">
        <w:t xml:space="preserve"> Dolutegravir: clinical efficacy and role in HIV therapy. </w:t>
      </w:r>
      <w:r w:rsidRPr="00EC22C3">
        <w:rPr>
          <w:i/>
        </w:rPr>
        <w:t>Ther Adv Chronic Dis</w:t>
      </w:r>
      <w:r w:rsidRPr="002B7BD4">
        <w:t>. 2014;5:</w:t>
      </w:r>
      <w:r>
        <w:t xml:space="preserve"> </w:t>
      </w:r>
      <w:r w:rsidRPr="002B7BD4">
        <w:t>164-77.</w:t>
      </w:r>
    </w:p>
  </w:footnote>
  <w:footnote w:id="14">
    <w:p w:rsidR="002F3B51" w:rsidRDefault="002F3B51">
      <w:pPr>
        <w:pStyle w:val="FootnoteText"/>
      </w:pPr>
      <w:r>
        <w:rPr>
          <w:rStyle w:val="FootnoteReference"/>
        </w:rPr>
        <w:footnoteRef/>
      </w:r>
      <w:r>
        <w:t xml:space="preserve"> </w:t>
      </w:r>
      <w:r w:rsidRPr="00792D99">
        <w:t>hERG (human ether-a-go-go-related gene) encodes the alpha subunit of a potassium ion channel that is important for cardiac repolarisation.</w:t>
      </w:r>
    </w:p>
  </w:footnote>
  <w:footnote w:id="15">
    <w:p w:rsidR="002F3B51" w:rsidRPr="002D5055" w:rsidRDefault="002F3B51">
      <w:pPr>
        <w:pStyle w:val="FootnoteText"/>
        <w:rPr>
          <w:lang w:val="en-US"/>
        </w:rPr>
      </w:pPr>
      <w:r>
        <w:rPr>
          <w:rStyle w:val="FootnoteReference"/>
        </w:rPr>
        <w:footnoteRef/>
      </w:r>
      <w:r>
        <w:t xml:space="preserve"> </w:t>
      </w:r>
      <w:r>
        <w:rPr>
          <w:rFonts w:cstheme="minorHAnsi"/>
        </w:rPr>
        <w:t>T</w:t>
      </w:r>
      <w:r>
        <w:rPr>
          <w:rFonts w:cstheme="minorHAnsi"/>
          <w:vertAlign w:val="subscript"/>
        </w:rPr>
        <w:t>max</w:t>
      </w:r>
      <w:r>
        <w:rPr>
          <w:rFonts w:cstheme="minorHAnsi"/>
        </w:rPr>
        <w:t xml:space="preserve"> = Time (observed time point) of </w:t>
      </w:r>
      <w:r>
        <w:t>C</w:t>
      </w:r>
      <w:r>
        <w:rPr>
          <w:vertAlign w:val="subscript"/>
        </w:rPr>
        <w:t>max</w:t>
      </w:r>
    </w:p>
  </w:footnote>
  <w:footnote w:id="16">
    <w:p w:rsidR="002F3B51" w:rsidRPr="00CD4AC6" w:rsidRDefault="002F3B51">
      <w:pPr>
        <w:pStyle w:val="FootnoteText"/>
        <w:rPr>
          <w:lang w:val="en-US"/>
        </w:rPr>
      </w:pPr>
      <w:r>
        <w:rPr>
          <w:rStyle w:val="FootnoteReference"/>
        </w:rPr>
        <w:footnoteRef/>
      </w:r>
      <w:r>
        <w:t xml:space="preserve"> OATP = Organic-anion-transporting polypeptide; OCT = Organic cation transporter</w:t>
      </w:r>
    </w:p>
  </w:footnote>
  <w:footnote w:id="17">
    <w:p w:rsidR="002F3B51" w:rsidRDefault="002F3B51">
      <w:pPr>
        <w:pStyle w:val="FootnoteText"/>
      </w:pPr>
      <w:r>
        <w:rPr>
          <w:rStyle w:val="FootnoteReference"/>
        </w:rPr>
        <w:footnoteRef/>
      </w:r>
      <w:r>
        <w:t xml:space="preserve"> </w:t>
      </w:r>
      <w:r w:rsidRPr="00B22D7D">
        <w:t>International Conference on Harmonisation of technical requirements for registration of pharmaceuticals for human use (2009). Guidance on Nonclinical safety studies for the conduct of human clinical trials and marketing authoriza</w:t>
      </w:r>
      <w:r>
        <w:t>tion for pharmaceuticals M3(R2), June 2009.</w:t>
      </w:r>
    </w:p>
  </w:footnote>
  <w:footnote w:id="18">
    <w:p w:rsidR="002F3B51" w:rsidRDefault="002F3B51" w:rsidP="00F90874">
      <w:pPr>
        <w:pStyle w:val="FootnoteText"/>
      </w:pPr>
      <w:r>
        <w:rPr>
          <w:rStyle w:val="FootnoteReference"/>
        </w:rPr>
        <w:footnoteRef/>
      </w:r>
      <w:r>
        <w:t xml:space="preserve"> Pregnancy Category B3 is defined as: Medicines which have been taken by only a limited number of pregnant women and women of childbearing age, without an increase in the frequency of malformation or other direct or indirect harmful effects on the human foetus having been observed. Studies in animals have shown evidence of an increased occurrence of foetal damage, the significance of which is considered uncertain in humans.</w:t>
      </w:r>
    </w:p>
  </w:footnote>
  <w:footnote w:id="19">
    <w:p w:rsidR="002F3B51" w:rsidRPr="00F90874" w:rsidRDefault="002F3B51">
      <w:pPr>
        <w:pStyle w:val="FootnoteText"/>
      </w:pPr>
      <w:r>
        <w:rPr>
          <w:rStyle w:val="FootnoteReference"/>
        </w:rPr>
        <w:footnoteRef/>
      </w:r>
      <w:r>
        <w:t xml:space="preserve"> </w:t>
      </w:r>
      <w:r w:rsidRPr="00F90874">
        <w:t>Pregnancy Category B1 is defined as</w:t>
      </w:r>
      <w:r>
        <w:t>:</w:t>
      </w:r>
      <w:r w:rsidRPr="00F90874">
        <w:t xml:space="preserve"> 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F90874">
        <w:t>Studies in animals have not shown evidence of an increased occurrence of fetal damage.</w:t>
      </w:r>
    </w:p>
  </w:footnote>
  <w:footnote w:id="20">
    <w:p w:rsidR="002F3B51" w:rsidRPr="00066684" w:rsidRDefault="002F3B51">
      <w:pPr>
        <w:pStyle w:val="FootnoteText"/>
        <w:rPr>
          <w:lang w:val="en-US"/>
        </w:rPr>
      </w:pPr>
      <w:r>
        <w:rPr>
          <w:rStyle w:val="FootnoteReference"/>
        </w:rPr>
        <w:footnoteRef/>
      </w:r>
      <w:r>
        <w:t xml:space="preserve"> </w:t>
      </w:r>
      <w:r>
        <w:rPr>
          <w:lang w:val="en-US"/>
        </w:rPr>
        <w:t xml:space="preserve">Clarification: </w:t>
      </w:r>
      <w:r>
        <w:t>Bictegravir is not intended for paediatric use as a single agent</w:t>
      </w:r>
    </w:p>
  </w:footnote>
  <w:footnote w:id="21">
    <w:p w:rsidR="002F3B51" w:rsidRPr="006E6870" w:rsidRDefault="002F3B51" w:rsidP="008243E0">
      <w:pPr>
        <w:pStyle w:val="FootnoteText"/>
      </w:pPr>
      <w:r>
        <w:rPr>
          <w:rStyle w:val="FootnoteReference"/>
        </w:rPr>
        <w:footnoteRef/>
      </w:r>
      <w:r>
        <w:t xml:space="preserve"> Australian Federation of AIDS Organisations. (2017) </w:t>
      </w:r>
      <w:r w:rsidRPr="006E6870">
        <w:t>HIV in Australia: 2017</w:t>
      </w:r>
      <w:r>
        <w:t>. Accessed 9 April 2019.</w:t>
      </w:r>
    </w:p>
  </w:footnote>
  <w:footnote w:id="22">
    <w:p w:rsidR="002F3B51" w:rsidRDefault="002F3B51" w:rsidP="008243E0">
      <w:pPr>
        <w:pStyle w:val="FootnoteText"/>
      </w:pPr>
      <w:r>
        <w:rPr>
          <w:rStyle w:val="FootnoteReference"/>
        </w:rPr>
        <w:footnoteRef/>
      </w:r>
      <w:r>
        <w:t xml:space="preserve"> Günthard HF, et al. (2016) Antiretroviral drugs for treatment and prevention of HIV infection in adults: 2016 Recommendations of the International Antiviral Society-USA Panel. </w:t>
      </w:r>
      <w:r w:rsidRPr="00FD4697">
        <w:rPr>
          <w:i/>
        </w:rPr>
        <w:t>JAMA</w:t>
      </w:r>
      <w:r>
        <w:t xml:space="preserve"> 2016; 316:191-210.</w:t>
      </w:r>
    </w:p>
  </w:footnote>
  <w:footnote w:id="23">
    <w:p w:rsidR="002F3B51" w:rsidRDefault="002F3B51" w:rsidP="008243E0">
      <w:pPr>
        <w:pStyle w:val="FootnoteText"/>
      </w:pPr>
      <w:r>
        <w:rPr>
          <w:rStyle w:val="FootnoteReference"/>
        </w:rPr>
        <w:footnoteRef/>
      </w:r>
      <w:r>
        <w:t xml:space="preserve"> Lundgren JD, et al. (2015) Initiation of antiretroviral therapy in early asymptomatic HIV infection. </w:t>
      </w:r>
      <w:r w:rsidRPr="00FD4697">
        <w:rPr>
          <w:i/>
        </w:rPr>
        <w:t>N Engl J Med</w:t>
      </w:r>
      <w:r>
        <w:rPr>
          <w:i/>
        </w:rPr>
        <w:t xml:space="preserve"> </w:t>
      </w:r>
      <w:r w:rsidRPr="00FD4697">
        <w:t>2015</w:t>
      </w:r>
      <w:r>
        <w:t>; 373:795-807.</w:t>
      </w:r>
    </w:p>
  </w:footnote>
  <w:footnote w:id="24">
    <w:p w:rsidR="002F3B51" w:rsidRDefault="002F3B51" w:rsidP="008243E0">
      <w:pPr>
        <w:pStyle w:val="FootnoteText"/>
      </w:pPr>
      <w:r>
        <w:rPr>
          <w:rStyle w:val="FootnoteReference"/>
        </w:rPr>
        <w:footnoteRef/>
      </w:r>
      <w:r>
        <w:t xml:space="preserve"> Danel C, et al. (2015) A trial of early antiretrovirals and isoniazid preventive therapy in Africa. </w:t>
      </w:r>
      <w:r w:rsidRPr="00FD4697">
        <w:rPr>
          <w:i/>
        </w:rPr>
        <w:t>N Engl J Med</w:t>
      </w:r>
      <w:r>
        <w:t xml:space="preserve"> 2015; 373:808-22.</w:t>
      </w:r>
    </w:p>
  </w:footnote>
  <w:footnote w:id="25">
    <w:p w:rsidR="002F3B51" w:rsidRDefault="002F3B51" w:rsidP="008243E0">
      <w:pPr>
        <w:pStyle w:val="FootnoteText"/>
      </w:pPr>
      <w:r>
        <w:rPr>
          <w:rStyle w:val="FootnoteReference"/>
        </w:rPr>
        <w:footnoteRef/>
      </w:r>
      <w:r>
        <w:t xml:space="preserve"> Grinsztejn B, et al. (2014) Effects of early versus delayed initiation of antiretroviral treatment on clinical outcomes of HIV-1 infection: results from the phase III HPTN 052 randomised controlled trial. </w:t>
      </w:r>
      <w:r w:rsidRPr="00FD4697">
        <w:rPr>
          <w:i/>
        </w:rPr>
        <w:t>Lancet Infect Dis</w:t>
      </w:r>
      <w:r>
        <w:rPr>
          <w:i/>
        </w:rPr>
        <w:t xml:space="preserve"> </w:t>
      </w:r>
      <w:r w:rsidRPr="00FD4697">
        <w:t>2014</w:t>
      </w:r>
      <w:r>
        <w:t>; 14: 281-90.</w:t>
      </w:r>
    </w:p>
  </w:footnote>
  <w:footnote w:id="26">
    <w:p w:rsidR="002F3B51" w:rsidRDefault="002F3B51" w:rsidP="00D273C7">
      <w:pPr>
        <w:pStyle w:val="FootnoteText"/>
      </w:pPr>
      <w:r>
        <w:rPr>
          <w:rStyle w:val="FootnoteReference"/>
        </w:rPr>
        <w:footnoteRef/>
      </w:r>
      <w:r>
        <w:t xml:space="preserve"> </w:t>
      </w:r>
      <w:r w:rsidRPr="00C53A94">
        <w:t>Australasian Society for HIV, Viral Hepatitis and Sexual Health Medicine (ASHM)</w:t>
      </w:r>
      <w:r>
        <w:t>. (2016). Antiretroviral guidelines: US DHHS guidelines with Australian commentary. Accessed 9 April 2019.</w:t>
      </w:r>
    </w:p>
  </w:footnote>
  <w:footnote w:id="27">
    <w:p w:rsidR="002F3B51" w:rsidRPr="004E4AAB" w:rsidRDefault="002F3B51" w:rsidP="004E4AAB">
      <w:pPr>
        <w:pStyle w:val="FootnoteText"/>
      </w:pPr>
      <w:r>
        <w:rPr>
          <w:rStyle w:val="FootnoteReference"/>
        </w:rPr>
        <w:footnoteRef/>
      </w:r>
      <w:r>
        <w:t xml:space="preserve"> </w:t>
      </w:r>
      <w:r w:rsidRPr="004E4AAB">
        <w:t>U. S. Department of Health and Human Services, Food and Drug Administration (FDA), Center</w:t>
      </w:r>
      <w:r>
        <w:t xml:space="preserve"> </w:t>
      </w:r>
      <w:r w:rsidRPr="004E4AAB">
        <w:t>for Drug Evaluation and Research (CDER).</w:t>
      </w:r>
      <w:r>
        <w:t xml:space="preserve"> Human Immunodeficiency Virus-1 </w:t>
      </w:r>
      <w:r w:rsidRPr="004E4AAB">
        <w:t>Infection: Developing Antiretroviral Drugs for Treatment. G</w:t>
      </w:r>
      <w:r>
        <w:t xml:space="preserve">uidance for Industry. </w:t>
      </w:r>
      <w:r w:rsidRPr="004E4AAB">
        <w:t>Silver Spring, MD. November, 2015.</w:t>
      </w:r>
    </w:p>
  </w:footnote>
  <w:footnote w:id="28">
    <w:p w:rsidR="002F3B51" w:rsidRDefault="002F3B51" w:rsidP="004E4AAB">
      <w:pPr>
        <w:pStyle w:val="FootnoteText"/>
      </w:pPr>
      <w:r>
        <w:rPr>
          <w:rStyle w:val="FootnoteReference"/>
        </w:rPr>
        <w:footnoteRef/>
      </w:r>
      <w:r>
        <w:t xml:space="preserve"> European Medicines Agency (EMEA). Committee for Medicinal Products for Human Use (CHMP), Guideline on the clinical development of medicinal products for the treatment of HIV infection. April 2016, 2016.</w:t>
      </w:r>
    </w:p>
  </w:footnote>
  <w:footnote w:id="29">
    <w:p w:rsidR="002F3B51" w:rsidRDefault="002F3B51" w:rsidP="004E4AAB">
      <w:pPr>
        <w:pStyle w:val="FootnoteText"/>
      </w:pPr>
      <w:r>
        <w:rPr>
          <w:rStyle w:val="FootnoteReference"/>
        </w:rPr>
        <w:footnoteRef/>
      </w:r>
      <w:r>
        <w:t xml:space="preserve"> U.S. Department of Health and Human Services Food and Drug Administration Center for Drug Evaluation and Research (CDER); Center for Biologics Evaluation and Research (CBER). Guidance for Industry. Antiretroviral Drugs Using Plasma HIV RNA Measurements — Clinical Considerations for Accelerated and Traditional Approval Oct, 2002.</w:t>
      </w:r>
    </w:p>
  </w:footnote>
  <w:footnote w:id="30">
    <w:p w:rsidR="002F3B51" w:rsidRPr="002D5055" w:rsidRDefault="002F3B51">
      <w:pPr>
        <w:pStyle w:val="FootnoteText"/>
        <w:rPr>
          <w:lang w:val="en-US"/>
        </w:rPr>
      </w:pPr>
      <w:r>
        <w:rPr>
          <w:rStyle w:val="FootnoteReference"/>
        </w:rPr>
        <w:footnoteRef/>
      </w:r>
      <w:r>
        <w:t xml:space="preserve"> </w:t>
      </w:r>
      <w:r>
        <w:rPr>
          <w:rFonts w:cstheme="minorHAnsi"/>
        </w:rPr>
        <w:t>Vz/F = Apparent volume of distribution of the drug</w:t>
      </w:r>
    </w:p>
  </w:footnote>
  <w:footnote w:id="31">
    <w:p w:rsidR="002F3B51" w:rsidRPr="00A26F7F" w:rsidRDefault="002F3B51" w:rsidP="00A26F7F">
      <w:pPr>
        <w:pStyle w:val="FootnoteText"/>
        <w:rPr>
          <w:lang w:val="en-US"/>
        </w:rPr>
      </w:pPr>
      <w:r>
        <w:rPr>
          <w:rStyle w:val="FootnoteReference"/>
        </w:rPr>
        <w:footnoteRef/>
      </w:r>
      <w:r>
        <w:t xml:space="preserve"> </w:t>
      </w:r>
      <w:r>
        <w:rPr>
          <w:rFonts w:cstheme="minorHAnsi"/>
        </w:rPr>
        <w:t>CL/F = Apparent oral clearance after administration of the drug; D1 = Duration of the depot compartment; Ka = Absorption rate; Vc/F = Apparent volume of central compartment</w:t>
      </w:r>
    </w:p>
  </w:footnote>
  <w:footnote w:id="32">
    <w:p w:rsidR="002F3B51" w:rsidRPr="00A26F7F" w:rsidRDefault="002F3B51">
      <w:pPr>
        <w:pStyle w:val="FootnoteText"/>
        <w:rPr>
          <w:lang w:val="en-US"/>
        </w:rPr>
      </w:pPr>
      <w:r>
        <w:rPr>
          <w:rStyle w:val="FootnoteReference"/>
        </w:rPr>
        <w:footnoteRef/>
      </w:r>
      <w:r>
        <w:t xml:space="preserve"> </w:t>
      </w:r>
      <w:r>
        <w:rPr>
          <w:rFonts w:cstheme="minorHAnsi"/>
        </w:rPr>
        <w:t>DAVG</w:t>
      </w:r>
      <w:r>
        <w:rPr>
          <w:rFonts w:cstheme="minorHAnsi"/>
          <w:vertAlign w:val="subscript"/>
        </w:rPr>
        <w:t>11</w:t>
      </w:r>
      <w:r>
        <w:rPr>
          <w:rFonts w:cstheme="minorHAnsi"/>
        </w:rPr>
        <w:t xml:space="preserve"> = </w:t>
      </w:r>
      <w:r>
        <w:rPr>
          <w:rFonts w:eastAsia="TimesNewRoman" w:cs="TimesNewRoman"/>
        </w:rPr>
        <w:t>Time-weighted average change from baseline to study Day 11</w:t>
      </w:r>
    </w:p>
  </w:footnote>
  <w:footnote w:id="33">
    <w:p w:rsidR="002F3B51" w:rsidRPr="00A26F7F" w:rsidRDefault="002F3B51">
      <w:pPr>
        <w:pStyle w:val="FootnoteText"/>
        <w:rPr>
          <w:lang w:val="en-US"/>
        </w:rPr>
      </w:pPr>
      <w:r>
        <w:rPr>
          <w:rStyle w:val="FootnoteReference"/>
        </w:rPr>
        <w:footnoteRef/>
      </w:r>
      <w:r>
        <w:t xml:space="preserve"> ABC = Abacavir ;3TC = Lamivudine ; DTG = Dolutegravir</w:t>
      </w:r>
    </w:p>
  </w:footnote>
  <w:footnote w:id="34">
    <w:p w:rsidR="002F3B51" w:rsidRPr="002D5055" w:rsidRDefault="002F3B51">
      <w:pPr>
        <w:pStyle w:val="FootnoteText"/>
        <w:rPr>
          <w:lang w:val="en-US"/>
        </w:rPr>
      </w:pPr>
      <w:r>
        <w:rPr>
          <w:rStyle w:val="FootnoteReference"/>
        </w:rPr>
        <w:footnoteRef/>
      </w:r>
      <w:r>
        <w:t xml:space="preserve"> SBR = </w:t>
      </w:r>
      <w:r>
        <w:rPr>
          <w:lang w:eastAsia="ja-JP"/>
        </w:rPr>
        <w:t>RTV or COBI-boosted ATV or DRV + either FTC/TDF or ABC/3TC</w:t>
      </w:r>
    </w:p>
  </w:footnote>
  <w:footnote w:id="35">
    <w:p w:rsidR="002F3B51" w:rsidRPr="004E5D79" w:rsidRDefault="002F3B51">
      <w:pPr>
        <w:pStyle w:val="FootnoteText"/>
        <w:rPr>
          <w:lang w:val="en-US"/>
        </w:rPr>
      </w:pPr>
      <w:r>
        <w:rPr>
          <w:rStyle w:val="FootnoteReference"/>
        </w:rPr>
        <w:footnoteRef/>
      </w:r>
      <w:r>
        <w:t xml:space="preserve"> </w:t>
      </w:r>
      <w:r w:rsidRPr="00A41D8E">
        <w:rPr>
          <w:lang w:eastAsia="ja-JP"/>
        </w:rPr>
        <w:t>WHO Regional Office for Europe. Management of hepatitis B and HIV coinfection: Clinical Protocol for the WHO European region (2011 revision)</w:t>
      </w:r>
    </w:p>
  </w:footnote>
  <w:footnote w:id="36">
    <w:p w:rsidR="002F3B51" w:rsidRDefault="002F3B51" w:rsidP="002354E9">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2F3B51" w:rsidRDefault="002F3B51" w:rsidP="002354E9">
      <w:pPr>
        <w:pStyle w:val="FootnoteText"/>
      </w:pPr>
      <w:r w:rsidRPr="00F12492">
        <w:rPr>
          <w:i/>
        </w:rPr>
        <w:t>Routine pharmacovigilance</w:t>
      </w:r>
      <w:r>
        <w:t xml:space="preserve"> practices involve the following activities:</w:t>
      </w:r>
    </w:p>
    <w:p w:rsidR="002F3B51" w:rsidRDefault="002F3B51" w:rsidP="002354E9">
      <w:pPr>
        <w:pStyle w:val="FootnoteText"/>
        <w:numPr>
          <w:ilvl w:val="0"/>
          <w:numId w:val="28"/>
        </w:numPr>
      </w:pPr>
      <w:r>
        <w:t>All suspected adverse reactions that are reported to the personnel of the company are collected and collated in an accessible manner;</w:t>
      </w:r>
    </w:p>
    <w:p w:rsidR="002F3B51" w:rsidRDefault="002F3B51" w:rsidP="002354E9">
      <w:pPr>
        <w:pStyle w:val="FootnoteText"/>
        <w:numPr>
          <w:ilvl w:val="0"/>
          <w:numId w:val="28"/>
        </w:numPr>
      </w:pPr>
      <w:r>
        <w:t>Reporting to regulatory authorities;</w:t>
      </w:r>
    </w:p>
    <w:p w:rsidR="002F3B51" w:rsidRDefault="002F3B51" w:rsidP="002354E9">
      <w:pPr>
        <w:pStyle w:val="FootnoteText"/>
        <w:numPr>
          <w:ilvl w:val="0"/>
          <w:numId w:val="28"/>
        </w:numPr>
      </w:pPr>
      <w:r>
        <w:t>Continuous monitoring of the safety profiles of approved products including signal detection and updating of labelling;</w:t>
      </w:r>
    </w:p>
    <w:p w:rsidR="002F3B51" w:rsidRDefault="002F3B51" w:rsidP="002354E9">
      <w:pPr>
        <w:pStyle w:val="FootnoteText"/>
        <w:numPr>
          <w:ilvl w:val="0"/>
          <w:numId w:val="28"/>
        </w:numPr>
      </w:pPr>
      <w:r>
        <w:t>Submission of PSURs;</w:t>
      </w:r>
    </w:p>
    <w:p w:rsidR="002F3B51" w:rsidRPr="00F12492" w:rsidRDefault="002F3B51" w:rsidP="002354E9">
      <w:pPr>
        <w:pStyle w:val="FootnoteText"/>
        <w:numPr>
          <w:ilvl w:val="0"/>
          <w:numId w:val="28"/>
        </w:numPr>
        <w:rPr>
          <w:lang w:val="en-US"/>
        </w:rPr>
      </w:pPr>
      <w:r>
        <w:t>Meeting other local regulatory agency requirements.</w:t>
      </w:r>
    </w:p>
  </w:footnote>
  <w:footnote w:id="37">
    <w:p w:rsidR="002F3B51" w:rsidRPr="004C008B" w:rsidRDefault="002F3B51" w:rsidP="004C008B">
      <w:pPr>
        <w:pStyle w:val="FootnoteText"/>
      </w:pPr>
      <w:r>
        <w:rPr>
          <w:rStyle w:val="FootnoteReference"/>
        </w:rPr>
        <w:footnoteRef/>
      </w:r>
      <w:r>
        <w:t xml:space="preserve"> Gunthard HF, et al. Antiretroviral Drugs for Treatment and Prevention of HIV Infection in Adults: 2016 Recommendation of the International Antiviral Society-USA Panel</w:t>
      </w:r>
      <w:r w:rsidRPr="004C008B">
        <w:rPr>
          <w:i/>
        </w:rPr>
        <w:t>. JAMA</w:t>
      </w:r>
      <w:r>
        <w:t>. 2016; 316: 191-210</w:t>
      </w:r>
    </w:p>
  </w:footnote>
  <w:footnote w:id="38">
    <w:p w:rsidR="002F3B51" w:rsidRPr="004C008B" w:rsidRDefault="002F3B51" w:rsidP="004C008B">
      <w:pPr>
        <w:pStyle w:val="FootnoteText"/>
      </w:pPr>
      <w:r>
        <w:rPr>
          <w:rStyle w:val="FootnoteReference"/>
        </w:rPr>
        <w:footnoteRef/>
      </w:r>
      <w:r>
        <w:t xml:space="preserve"> Descovy, Gilead Sciences Inc. (emtricitabine and tenofovir alafenamide) tablets, for oral use. U. S. Prescribing Information. Foster City, CA. Revised April. 2017</w:t>
      </w:r>
    </w:p>
  </w:footnote>
  <w:footnote w:id="39">
    <w:p w:rsidR="002F3B51" w:rsidRPr="009E0328" w:rsidRDefault="002F3B51">
      <w:pPr>
        <w:pStyle w:val="FootnoteText"/>
        <w:rPr>
          <w:lang w:val="en-US"/>
        </w:rPr>
      </w:pPr>
      <w:r>
        <w:rPr>
          <w:rStyle w:val="FootnoteReference"/>
        </w:rPr>
        <w:footnoteRef/>
      </w:r>
      <w:r>
        <w:t xml:space="preserve"> </w:t>
      </w:r>
      <w:r>
        <w:rPr>
          <w:rFonts w:eastAsia="TimesNewRoman" w:cstheme="minorHAnsi"/>
        </w:rPr>
        <w:t>eGFR</w:t>
      </w:r>
      <w:r>
        <w:rPr>
          <w:rFonts w:eastAsia="TimesNewRoman" w:cstheme="minorHAnsi"/>
          <w:vertAlign w:val="subscript"/>
        </w:rPr>
        <w:t>CG</w:t>
      </w:r>
      <w:r>
        <w:rPr>
          <w:rFonts w:eastAsia="TimesNewRoman" w:cstheme="minorHAnsi"/>
        </w:rPr>
        <w:t xml:space="preserve"> = </w:t>
      </w:r>
      <w:r>
        <w:rPr>
          <w:rFonts w:eastAsia="TimesNewRoman" w:cs="TimesNewRoman"/>
        </w:rPr>
        <w:t>Estimated glomerular filtration rate calculated using the Cockcroft-Gault equation</w:t>
      </w:r>
    </w:p>
  </w:footnote>
  <w:footnote w:id="40">
    <w:p w:rsidR="002F3B51" w:rsidRPr="00A26F7F" w:rsidRDefault="002F3B51">
      <w:pPr>
        <w:pStyle w:val="FootnoteText"/>
        <w:rPr>
          <w:lang w:val="en-US"/>
        </w:rPr>
      </w:pPr>
      <w:r>
        <w:rPr>
          <w:rStyle w:val="FootnoteReference"/>
        </w:rPr>
        <w:footnoteRef/>
      </w:r>
      <w:r>
        <w:t xml:space="preserve"> </w:t>
      </w:r>
      <w:r>
        <w:rPr>
          <w:rFonts w:cstheme="minorHAnsi"/>
        </w:rPr>
        <w:t>ADME = Absorption, distribution, metabolism and excretion</w:t>
      </w:r>
    </w:p>
  </w:footnote>
  <w:footnote w:id="41">
    <w:p w:rsidR="002F3B51" w:rsidRDefault="002F3B51"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2F3B51" w:rsidRPr="00456765" w:rsidRDefault="002F3B51"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51" w:rsidRDefault="002F3B51"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51" w:rsidRDefault="002F3B51">
    <w:pPr>
      <w:rPr>
        <w:noProof/>
        <w:lang w:eastAsia="en-AU"/>
      </w:rPr>
    </w:pPr>
    <w:r w:rsidRPr="00347824">
      <w:rPr>
        <w:noProof/>
        <w:lang w:eastAsia="en-AU"/>
      </w:rPr>
      <w:drawing>
        <wp:anchor distT="0" distB="0" distL="114300" distR="114300" simplePos="0" relativeHeight="251659264" behindDoc="1" locked="0" layoutInCell="1" allowOverlap="1" wp14:anchorId="75221DDD" wp14:editId="38E090EF">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F3B51" w:rsidRDefault="002F3B51" w:rsidP="00593AD1">
    <w:pPr>
      <w:pStyle w:val="HeaderNoLine"/>
    </w:pPr>
    <w:r>
      <w:rPr>
        <w:noProof/>
        <w:lang w:eastAsia="en-AU"/>
      </w:rPr>
      <w:drawing>
        <wp:inline distT="0" distB="0" distL="0" distR="0" wp14:anchorId="1A24FF03" wp14:editId="1857D5E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51" w:rsidRDefault="002F3B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51" w:rsidRDefault="002F3B51">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51" w:rsidRDefault="002F3B5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51" w:rsidRDefault="002F3B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51" w:rsidRDefault="002F3B51"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51" w:rsidRDefault="002F3B51" w:rsidP="006E08B3">
    <w:r>
      <w:t>Therapeutic Goods Administration</w:t>
    </w:r>
  </w:p>
  <w:p w:rsidR="002F3B51" w:rsidRDefault="002F3B51"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992" w:hanging="425"/>
      </w:pPr>
      <w:rPr>
        <w:rFonts w:ascii="Cambria" w:hAnsi="Cambria" w:hint="default"/>
      </w:rPr>
    </w:lvl>
    <w:lvl w:ilvl="1">
      <w:start w:val="1"/>
      <w:numFmt w:val="lowerLetter"/>
      <w:pStyle w:val="Numberbullet2"/>
      <w:lvlText w:val="%2."/>
      <w:lvlJc w:val="left"/>
      <w:pPr>
        <w:ind w:left="1418" w:hanging="426"/>
      </w:pPr>
      <w:rPr>
        <w:rFonts w:hint="default"/>
      </w:rPr>
    </w:lvl>
    <w:lvl w:ilvl="2">
      <w:start w:val="1"/>
      <w:numFmt w:val="lowerRoman"/>
      <w:pStyle w:val="Numberbullet3"/>
      <w:lvlText w:val="%3."/>
      <w:lvlJc w:val="left"/>
      <w:pPr>
        <w:ind w:left="1843" w:hanging="425"/>
      </w:pPr>
      <w:rPr>
        <w:rFonts w:hint="default"/>
      </w:rPr>
    </w:lvl>
    <w:lvl w:ilvl="3">
      <w:start w:val="1"/>
      <w:numFmt w:val="none"/>
      <w:lvlText w:val=""/>
      <w:lvlJc w:val="left"/>
      <w:pPr>
        <w:ind w:left="1843" w:hanging="425"/>
      </w:pPr>
      <w:rPr>
        <w:rFonts w:hint="default"/>
      </w:rPr>
    </w:lvl>
    <w:lvl w:ilvl="4">
      <w:start w:val="1"/>
      <w:numFmt w:val="none"/>
      <w:lvlText w:val=""/>
      <w:lvlJc w:val="left"/>
      <w:pPr>
        <w:ind w:left="1843" w:hanging="425"/>
      </w:pPr>
      <w:rPr>
        <w:rFonts w:hint="default"/>
      </w:rPr>
    </w:lvl>
    <w:lvl w:ilvl="5">
      <w:start w:val="1"/>
      <w:numFmt w:val="none"/>
      <w:lvlText w:val=""/>
      <w:lvlJc w:val="left"/>
      <w:pPr>
        <w:ind w:left="1843" w:hanging="425"/>
      </w:pPr>
      <w:rPr>
        <w:rFonts w:hint="default"/>
      </w:rPr>
    </w:lvl>
    <w:lvl w:ilvl="6">
      <w:start w:val="1"/>
      <w:numFmt w:val="none"/>
      <w:lvlText w:val="%7"/>
      <w:lvlJc w:val="left"/>
      <w:pPr>
        <w:ind w:left="1843" w:hanging="425"/>
      </w:pPr>
      <w:rPr>
        <w:rFonts w:hint="default"/>
      </w:rPr>
    </w:lvl>
    <w:lvl w:ilvl="7">
      <w:start w:val="1"/>
      <w:numFmt w:val="none"/>
      <w:lvlText w:val=""/>
      <w:lvlJc w:val="left"/>
      <w:pPr>
        <w:ind w:left="1843" w:hanging="425"/>
      </w:pPr>
      <w:rPr>
        <w:rFonts w:hint="default"/>
      </w:rPr>
    </w:lvl>
    <w:lvl w:ilvl="8">
      <w:start w:val="1"/>
      <w:numFmt w:val="none"/>
      <w:lvlText w:val=""/>
      <w:lvlJc w:val="left"/>
      <w:pPr>
        <w:ind w:left="1843" w:hanging="425"/>
      </w:pPr>
      <w:rPr>
        <w:rFonts w:hint="default"/>
      </w:rPr>
    </w:lvl>
  </w:abstractNum>
  <w:abstractNum w:abstractNumId="5" w15:restartNumberingAfterBreak="0">
    <w:nsid w:val="168F13E9"/>
    <w:multiLevelType w:val="multilevel"/>
    <w:tmpl w:val="CC22AF4A"/>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E86323C"/>
    <w:multiLevelType w:val="multilevel"/>
    <w:tmpl w:val="A978D666"/>
    <w:lvl w:ilvl="0">
      <w:start w:val="1"/>
      <w:numFmt w:val="bullet"/>
      <w:pStyle w:val="Bulletpoint"/>
      <w:suff w:val="space"/>
      <w:lvlText w:val=""/>
      <w:lvlJc w:val="left"/>
      <w:pPr>
        <w:ind w:left="227" w:hanging="227"/>
      </w:pPr>
      <w:rPr>
        <w:rFonts w:ascii="Symbol" w:hAnsi="Symbol" w:hint="default"/>
        <w:color w:val="auto"/>
        <w:position w:val="0"/>
        <w:sz w:val="22"/>
      </w:rPr>
    </w:lvl>
    <w:lvl w:ilvl="1">
      <w:start w:val="1"/>
      <w:numFmt w:val="bullet"/>
      <w:lvlText w:val="o"/>
      <w:lvlJc w:val="left"/>
      <w:pPr>
        <w:tabs>
          <w:tab w:val="num" w:pos="1298"/>
        </w:tabs>
        <w:ind w:left="1298" w:hanging="360"/>
      </w:pPr>
      <w:rPr>
        <w:rFonts w:ascii="Courier New" w:hAnsi="Courier New" w:cs="Symbol" w:hint="default"/>
      </w:rPr>
    </w:lvl>
    <w:lvl w:ilvl="2">
      <w:start w:val="1"/>
      <w:numFmt w:val="bullet"/>
      <w:lvlText w:val=""/>
      <w:lvlJc w:val="left"/>
      <w:pPr>
        <w:tabs>
          <w:tab w:val="num" w:pos="2018"/>
        </w:tabs>
        <w:ind w:left="2018" w:hanging="360"/>
      </w:pPr>
      <w:rPr>
        <w:rFonts w:ascii="Wingdings" w:hAnsi="Wingdings" w:hint="default"/>
      </w:rPr>
    </w:lvl>
    <w:lvl w:ilvl="3">
      <w:start w:val="1"/>
      <w:numFmt w:val="bullet"/>
      <w:lvlText w:val=""/>
      <w:lvlJc w:val="left"/>
      <w:pPr>
        <w:tabs>
          <w:tab w:val="num" w:pos="2738"/>
        </w:tabs>
        <w:ind w:left="2738" w:hanging="360"/>
      </w:pPr>
      <w:rPr>
        <w:rFonts w:ascii="Symbol" w:hAnsi="Symbol" w:hint="default"/>
      </w:rPr>
    </w:lvl>
    <w:lvl w:ilvl="4">
      <w:start w:val="1"/>
      <w:numFmt w:val="bullet"/>
      <w:lvlText w:val="o"/>
      <w:lvlJc w:val="left"/>
      <w:pPr>
        <w:tabs>
          <w:tab w:val="num" w:pos="3458"/>
        </w:tabs>
        <w:ind w:left="3458" w:hanging="360"/>
      </w:pPr>
      <w:rPr>
        <w:rFonts w:ascii="Courier New" w:hAnsi="Courier New" w:cs="Symbol" w:hint="default"/>
      </w:rPr>
    </w:lvl>
    <w:lvl w:ilvl="5">
      <w:start w:val="1"/>
      <w:numFmt w:val="bullet"/>
      <w:lvlText w:val=""/>
      <w:lvlJc w:val="left"/>
      <w:pPr>
        <w:tabs>
          <w:tab w:val="num" w:pos="4178"/>
        </w:tabs>
        <w:ind w:left="4178" w:hanging="360"/>
      </w:pPr>
      <w:rPr>
        <w:rFonts w:ascii="Wingdings" w:hAnsi="Wingdings" w:hint="default"/>
      </w:rPr>
    </w:lvl>
    <w:lvl w:ilvl="6">
      <w:start w:val="1"/>
      <w:numFmt w:val="bullet"/>
      <w:lvlText w:val=""/>
      <w:lvlJc w:val="left"/>
      <w:pPr>
        <w:tabs>
          <w:tab w:val="num" w:pos="4898"/>
        </w:tabs>
        <w:ind w:left="4898" w:hanging="360"/>
      </w:pPr>
      <w:rPr>
        <w:rFonts w:ascii="Symbol" w:hAnsi="Symbol" w:hint="default"/>
      </w:rPr>
    </w:lvl>
    <w:lvl w:ilvl="7">
      <w:start w:val="1"/>
      <w:numFmt w:val="bullet"/>
      <w:lvlText w:val="o"/>
      <w:lvlJc w:val="left"/>
      <w:pPr>
        <w:tabs>
          <w:tab w:val="num" w:pos="5618"/>
        </w:tabs>
        <w:ind w:left="5618" w:hanging="360"/>
      </w:pPr>
      <w:rPr>
        <w:rFonts w:ascii="Courier New" w:hAnsi="Courier New" w:cs="Symbol" w:hint="default"/>
      </w:rPr>
    </w:lvl>
    <w:lvl w:ilvl="8">
      <w:start w:val="1"/>
      <w:numFmt w:val="bullet"/>
      <w:lvlText w:val=""/>
      <w:lvlJc w:val="left"/>
      <w:pPr>
        <w:tabs>
          <w:tab w:val="num" w:pos="6338"/>
        </w:tabs>
        <w:ind w:left="6338" w:hanging="360"/>
      </w:pPr>
      <w:rPr>
        <w:rFonts w:ascii="Wingdings" w:hAnsi="Wingdings" w:hint="default"/>
      </w:rPr>
    </w:lvl>
  </w:abstractNum>
  <w:abstractNum w:abstractNumId="7"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num>
  <w:num w:numId="28">
    <w:abstractNumId w:val="8"/>
  </w:num>
  <w:num w:numId="29">
    <w:abstractNumId w:val="6"/>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742"/>
    <w:rsid w:val="00002031"/>
    <w:rsid w:val="000044A0"/>
    <w:rsid w:val="00004734"/>
    <w:rsid w:val="00006B22"/>
    <w:rsid w:val="0001276A"/>
    <w:rsid w:val="00014608"/>
    <w:rsid w:val="0001524A"/>
    <w:rsid w:val="000246AE"/>
    <w:rsid w:val="00025C67"/>
    <w:rsid w:val="00030821"/>
    <w:rsid w:val="000330E6"/>
    <w:rsid w:val="00040F04"/>
    <w:rsid w:val="00042EBE"/>
    <w:rsid w:val="00044772"/>
    <w:rsid w:val="0005159B"/>
    <w:rsid w:val="00051A3E"/>
    <w:rsid w:val="0005559E"/>
    <w:rsid w:val="000604D6"/>
    <w:rsid w:val="000627B9"/>
    <w:rsid w:val="00066684"/>
    <w:rsid w:val="00071C78"/>
    <w:rsid w:val="000734D8"/>
    <w:rsid w:val="00073CCB"/>
    <w:rsid w:val="00077775"/>
    <w:rsid w:val="00080EC5"/>
    <w:rsid w:val="00087507"/>
    <w:rsid w:val="00090471"/>
    <w:rsid w:val="00096AA7"/>
    <w:rsid w:val="000A018A"/>
    <w:rsid w:val="000A3AED"/>
    <w:rsid w:val="000A624F"/>
    <w:rsid w:val="000A7552"/>
    <w:rsid w:val="000B1427"/>
    <w:rsid w:val="000B3532"/>
    <w:rsid w:val="000B3A75"/>
    <w:rsid w:val="000B7F33"/>
    <w:rsid w:val="000C00C2"/>
    <w:rsid w:val="000C690F"/>
    <w:rsid w:val="000C6F65"/>
    <w:rsid w:val="000D1295"/>
    <w:rsid w:val="000D3422"/>
    <w:rsid w:val="000D391B"/>
    <w:rsid w:val="000D3D6D"/>
    <w:rsid w:val="000D4FC7"/>
    <w:rsid w:val="000D7440"/>
    <w:rsid w:val="000E0B61"/>
    <w:rsid w:val="000E45E0"/>
    <w:rsid w:val="000E6196"/>
    <w:rsid w:val="000F37F1"/>
    <w:rsid w:val="000F4869"/>
    <w:rsid w:val="000F5B42"/>
    <w:rsid w:val="000F6E6F"/>
    <w:rsid w:val="000F7FF4"/>
    <w:rsid w:val="001047A5"/>
    <w:rsid w:val="0010601F"/>
    <w:rsid w:val="001060B9"/>
    <w:rsid w:val="0010788A"/>
    <w:rsid w:val="00107A31"/>
    <w:rsid w:val="00110EA5"/>
    <w:rsid w:val="00112F56"/>
    <w:rsid w:val="00115967"/>
    <w:rsid w:val="00116653"/>
    <w:rsid w:val="00124ACD"/>
    <w:rsid w:val="00125318"/>
    <w:rsid w:val="001305A2"/>
    <w:rsid w:val="00133238"/>
    <w:rsid w:val="00133A1B"/>
    <w:rsid w:val="001411C5"/>
    <w:rsid w:val="0014197B"/>
    <w:rsid w:val="001447CD"/>
    <w:rsid w:val="001516B1"/>
    <w:rsid w:val="00154EBB"/>
    <w:rsid w:val="00156316"/>
    <w:rsid w:val="00157E47"/>
    <w:rsid w:val="00161181"/>
    <w:rsid w:val="00162D14"/>
    <w:rsid w:val="00163780"/>
    <w:rsid w:val="001640DD"/>
    <w:rsid w:val="00164F07"/>
    <w:rsid w:val="00165389"/>
    <w:rsid w:val="0017693F"/>
    <w:rsid w:val="001802A3"/>
    <w:rsid w:val="0018110E"/>
    <w:rsid w:val="0018158C"/>
    <w:rsid w:val="00181684"/>
    <w:rsid w:val="0018333E"/>
    <w:rsid w:val="001843C6"/>
    <w:rsid w:val="001850E0"/>
    <w:rsid w:val="001A2158"/>
    <w:rsid w:val="001A525F"/>
    <w:rsid w:val="001B09F9"/>
    <w:rsid w:val="001B5C90"/>
    <w:rsid w:val="001B5D97"/>
    <w:rsid w:val="001B6448"/>
    <w:rsid w:val="001C32CD"/>
    <w:rsid w:val="001C4E21"/>
    <w:rsid w:val="001D2984"/>
    <w:rsid w:val="001D5ABB"/>
    <w:rsid w:val="001D60BD"/>
    <w:rsid w:val="001E07CF"/>
    <w:rsid w:val="001E2662"/>
    <w:rsid w:val="001E27FD"/>
    <w:rsid w:val="001E59F1"/>
    <w:rsid w:val="001F2CEE"/>
    <w:rsid w:val="001F357A"/>
    <w:rsid w:val="001F49EB"/>
    <w:rsid w:val="001F6CBA"/>
    <w:rsid w:val="001F720E"/>
    <w:rsid w:val="0020115C"/>
    <w:rsid w:val="00201D4E"/>
    <w:rsid w:val="002065F4"/>
    <w:rsid w:val="002076C9"/>
    <w:rsid w:val="00211773"/>
    <w:rsid w:val="00216225"/>
    <w:rsid w:val="00220B8A"/>
    <w:rsid w:val="002257F3"/>
    <w:rsid w:val="00233456"/>
    <w:rsid w:val="002339A5"/>
    <w:rsid w:val="002354E9"/>
    <w:rsid w:val="0024006C"/>
    <w:rsid w:val="00242449"/>
    <w:rsid w:val="00250A57"/>
    <w:rsid w:val="00251457"/>
    <w:rsid w:val="002564BD"/>
    <w:rsid w:val="00257848"/>
    <w:rsid w:val="002578FC"/>
    <w:rsid w:val="0027084A"/>
    <w:rsid w:val="00283945"/>
    <w:rsid w:val="00286434"/>
    <w:rsid w:val="00286C59"/>
    <w:rsid w:val="00291957"/>
    <w:rsid w:val="002942D1"/>
    <w:rsid w:val="0029501A"/>
    <w:rsid w:val="002A0238"/>
    <w:rsid w:val="002A3721"/>
    <w:rsid w:val="002B1638"/>
    <w:rsid w:val="002B3624"/>
    <w:rsid w:val="002B4B04"/>
    <w:rsid w:val="002B7BD4"/>
    <w:rsid w:val="002D05A8"/>
    <w:rsid w:val="002D0952"/>
    <w:rsid w:val="002D2B38"/>
    <w:rsid w:val="002D5055"/>
    <w:rsid w:val="002E0D75"/>
    <w:rsid w:val="002E40B3"/>
    <w:rsid w:val="002E4C9A"/>
    <w:rsid w:val="002E603F"/>
    <w:rsid w:val="002F11F8"/>
    <w:rsid w:val="002F1508"/>
    <w:rsid w:val="002F3B51"/>
    <w:rsid w:val="002F3E76"/>
    <w:rsid w:val="002F3F56"/>
    <w:rsid w:val="002F44B5"/>
    <w:rsid w:val="002F5122"/>
    <w:rsid w:val="003066C7"/>
    <w:rsid w:val="00311AC0"/>
    <w:rsid w:val="003176FC"/>
    <w:rsid w:val="00320633"/>
    <w:rsid w:val="0032378D"/>
    <w:rsid w:val="00323EBF"/>
    <w:rsid w:val="0032583B"/>
    <w:rsid w:val="00327883"/>
    <w:rsid w:val="00335504"/>
    <w:rsid w:val="00340C18"/>
    <w:rsid w:val="003442FD"/>
    <w:rsid w:val="00344590"/>
    <w:rsid w:val="00346554"/>
    <w:rsid w:val="00347824"/>
    <w:rsid w:val="00350567"/>
    <w:rsid w:val="003521E8"/>
    <w:rsid w:val="00370CE3"/>
    <w:rsid w:val="003728F3"/>
    <w:rsid w:val="003735BC"/>
    <w:rsid w:val="0037496E"/>
    <w:rsid w:val="00380451"/>
    <w:rsid w:val="00383221"/>
    <w:rsid w:val="00386150"/>
    <w:rsid w:val="003874CE"/>
    <w:rsid w:val="00390900"/>
    <w:rsid w:val="003A7F6C"/>
    <w:rsid w:val="003B4D60"/>
    <w:rsid w:val="003B7E39"/>
    <w:rsid w:val="003C58DC"/>
    <w:rsid w:val="003C7581"/>
    <w:rsid w:val="003D1E62"/>
    <w:rsid w:val="003E0B99"/>
    <w:rsid w:val="003E2486"/>
    <w:rsid w:val="003E3208"/>
    <w:rsid w:val="003F0B04"/>
    <w:rsid w:val="0040134E"/>
    <w:rsid w:val="004033BB"/>
    <w:rsid w:val="004334C7"/>
    <w:rsid w:val="00440A2D"/>
    <w:rsid w:val="00441C3F"/>
    <w:rsid w:val="004562C2"/>
    <w:rsid w:val="004564A7"/>
    <w:rsid w:val="00456765"/>
    <w:rsid w:val="004617BF"/>
    <w:rsid w:val="00463658"/>
    <w:rsid w:val="004637A0"/>
    <w:rsid w:val="00465136"/>
    <w:rsid w:val="004722CC"/>
    <w:rsid w:val="00473252"/>
    <w:rsid w:val="0047516F"/>
    <w:rsid w:val="00481186"/>
    <w:rsid w:val="00486A6E"/>
    <w:rsid w:val="004936E4"/>
    <w:rsid w:val="00494E60"/>
    <w:rsid w:val="00497487"/>
    <w:rsid w:val="004A6189"/>
    <w:rsid w:val="004A7390"/>
    <w:rsid w:val="004B7B76"/>
    <w:rsid w:val="004C008B"/>
    <w:rsid w:val="004C239D"/>
    <w:rsid w:val="004C2DCA"/>
    <w:rsid w:val="004C61D2"/>
    <w:rsid w:val="004D7644"/>
    <w:rsid w:val="004E4AAB"/>
    <w:rsid w:val="004E5D79"/>
    <w:rsid w:val="004F0C4A"/>
    <w:rsid w:val="004F0F38"/>
    <w:rsid w:val="004F47D6"/>
    <w:rsid w:val="00500337"/>
    <w:rsid w:val="00501921"/>
    <w:rsid w:val="005022B6"/>
    <w:rsid w:val="00506BB3"/>
    <w:rsid w:val="00530354"/>
    <w:rsid w:val="0053625B"/>
    <w:rsid w:val="005368DA"/>
    <w:rsid w:val="005434C6"/>
    <w:rsid w:val="00543B39"/>
    <w:rsid w:val="00546154"/>
    <w:rsid w:val="00550096"/>
    <w:rsid w:val="00555280"/>
    <w:rsid w:val="00556029"/>
    <w:rsid w:val="00557FF9"/>
    <w:rsid w:val="00562327"/>
    <w:rsid w:val="005711D5"/>
    <w:rsid w:val="00571CAE"/>
    <w:rsid w:val="00575688"/>
    <w:rsid w:val="00576378"/>
    <w:rsid w:val="00577130"/>
    <w:rsid w:val="00577945"/>
    <w:rsid w:val="00577E38"/>
    <w:rsid w:val="00582FC7"/>
    <w:rsid w:val="00585322"/>
    <w:rsid w:val="005857C6"/>
    <w:rsid w:val="0058597B"/>
    <w:rsid w:val="00592F6E"/>
    <w:rsid w:val="00593AD1"/>
    <w:rsid w:val="00594742"/>
    <w:rsid w:val="005A68B6"/>
    <w:rsid w:val="005C5570"/>
    <w:rsid w:val="005C79A4"/>
    <w:rsid w:val="005D34FA"/>
    <w:rsid w:val="005D5442"/>
    <w:rsid w:val="005D634A"/>
    <w:rsid w:val="00603F32"/>
    <w:rsid w:val="00604C06"/>
    <w:rsid w:val="00605AD4"/>
    <w:rsid w:val="00607FE5"/>
    <w:rsid w:val="006136D7"/>
    <w:rsid w:val="00614806"/>
    <w:rsid w:val="0061772C"/>
    <w:rsid w:val="00625A6E"/>
    <w:rsid w:val="00632398"/>
    <w:rsid w:val="00633533"/>
    <w:rsid w:val="00640FC3"/>
    <w:rsid w:val="00642020"/>
    <w:rsid w:val="00644EA7"/>
    <w:rsid w:val="0064629F"/>
    <w:rsid w:val="0064763D"/>
    <w:rsid w:val="0065268E"/>
    <w:rsid w:val="0065337B"/>
    <w:rsid w:val="0065419D"/>
    <w:rsid w:val="006565A4"/>
    <w:rsid w:val="006603BC"/>
    <w:rsid w:val="006604D8"/>
    <w:rsid w:val="00662560"/>
    <w:rsid w:val="00664A5B"/>
    <w:rsid w:val="006655BD"/>
    <w:rsid w:val="0066735C"/>
    <w:rsid w:val="006763D2"/>
    <w:rsid w:val="00677B4A"/>
    <w:rsid w:val="00680C08"/>
    <w:rsid w:val="006877CB"/>
    <w:rsid w:val="006912D4"/>
    <w:rsid w:val="006916A0"/>
    <w:rsid w:val="006931B1"/>
    <w:rsid w:val="006A15C0"/>
    <w:rsid w:val="006A3015"/>
    <w:rsid w:val="006A343E"/>
    <w:rsid w:val="006B2A05"/>
    <w:rsid w:val="006B6EC5"/>
    <w:rsid w:val="006C3E2A"/>
    <w:rsid w:val="006C4441"/>
    <w:rsid w:val="006C642F"/>
    <w:rsid w:val="006C7291"/>
    <w:rsid w:val="006D03E5"/>
    <w:rsid w:val="006D5425"/>
    <w:rsid w:val="006D5D3E"/>
    <w:rsid w:val="006E08B3"/>
    <w:rsid w:val="006E1E5C"/>
    <w:rsid w:val="006E4E21"/>
    <w:rsid w:val="006E6870"/>
    <w:rsid w:val="006F17AC"/>
    <w:rsid w:val="006F25B8"/>
    <w:rsid w:val="006F572E"/>
    <w:rsid w:val="00703948"/>
    <w:rsid w:val="007046D6"/>
    <w:rsid w:val="00705DB0"/>
    <w:rsid w:val="00722B57"/>
    <w:rsid w:val="00726788"/>
    <w:rsid w:val="00730F8A"/>
    <w:rsid w:val="00735A8C"/>
    <w:rsid w:val="0074253D"/>
    <w:rsid w:val="0074429B"/>
    <w:rsid w:val="007615BC"/>
    <w:rsid w:val="00761AED"/>
    <w:rsid w:val="00762F05"/>
    <w:rsid w:val="007652FF"/>
    <w:rsid w:val="00770CAC"/>
    <w:rsid w:val="00770EF1"/>
    <w:rsid w:val="00773EF7"/>
    <w:rsid w:val="00774E1D"/>
    <w:rsid w:val="007765D8"/>
    <w:rsid w:val="0077675A"/>
    <w:rsid w:val="00780355"/>
    <w:rsid w:val="007819FD"/>
    <w:rsid w:val="00782831"/>
    <w:rsid w:val="00783CE3"/>
    <w:rsid w:val="00785717"/>
    <w:rsid w:val="00785721"/>
    <w:rsid w:val="00792D99"/>
    <w:rsid w:val="0079350E"/>
    <w:rsid w:val="00793A59"/>
    <w:rsid w:val="007A46F5"/>
    <w:rsid w:val="007B5F47"/>
    <w:rsid w:val="007B6132"/>
    <w:rsid w:val="007B6E9F"/>
    <w:rsid w:val="007C1216"/>
    <w:rsid w:val="007C1AF7"/>
    <w:rsid w:val="007C4BE8"/>
    <w:rsid w:val="007C6B9B"/>
    <w:rsid w:val="007C76A4"/>
    <w:rsid w:val="007E7BFA"/>
    <w:rsid w:val="00800747"/>
    <w:rsid w:val="00805B5D"/>
    <w:rsid w:val="00805D27"/>
    <w:rsid w:val="00806DCB"/>
    <w:rsid w:val="00810ED7"/>
    <w:rsid w:val="00811608"/>
    <w:rsid w:val="00821776"/>
    <w:rsid w:val="008243E0"/>
    <w:rsid w:val="008321F5"/>
    <w:rsid w:val="00832369"/>
    <w:rsid w:val="00833633"/>
    <w:rsid w:val="00834660"/>
    <w:rsid w:val="00836BC2"/>
    <w:rsid w:val="00850938"/>
    <w:rsid w:val="0085156D"/>
    <w:rsid w:val="00852B28"/>
    <w:rsid w:val="0085641B"/>
    <w:rsid w:val="00857136"/>
    <w:rsid w:val="00862CB3"/>
    <w:rsid w:val="00874E5D"/>
    <w:rsid w:val="00875A6B"/>
    <w:rsid w:val="00885B11"/>
    <w:rsid w:val="00886D15"/>
    <w:rsid w:val="00887DD8"/>
    <w:rsid w:val="00891BA9"/>
    <w:rsid w:val="00896018"/>
    <w:rsid w:val="008960DD"/>
    <w:rsid w:val="0089635C"/>
    <w:rsid w:val="008A2B9D"/>
    <w:rsid w:val="008A3D9F"/>
    <w:rsid w:val="008A5E0B"/>
    <w:rsid w:val="008A6D59"/>
    <w:rsid w:val="008A6F73"/>
    <w:rsid w:val="008B437D"/>
    <w:rsid w:val="008B4B03"/>
    <w:rsid w:val="008B596F"/>
    <w:rsid w:val="008C159F"/>
    <w:rsid w:val="008C1623"/>
    <w:rsid w:val="008C1850"/>
    <w:rsid w:val="008C51A9"/>
    <w:rsid w:val="008C6A0B"/>
    <w:rsid w:val="008E7846"/>
    <w:rsid w:val="008F02E5"/>
    <w:rsid w:val="008F1CCC"/>
    <w:rsid w:val="008F2967"/>
    <w:rsid w:val="008F2A62"/>
    <w:rsid w:val="008F2B23"/>
    <w:rsid w:val="008F6943"/>
    <w:rsid w:val="00902A21"/>
    <w:rsid w:val="0091238A"/>
    <w:rsid w:val="0091523F"/>
    <w:rsid w:val="00920330"/>
    <w:rsid w:val="009219D7"/>
    <w:rsid w:val="00922D53"/>
    <w:rsid w:val="00923B70"/>
    <w:rsid w:val="00924482"/>
    <w:rsid w:val="00930237"/>
    <w:rsid w:val="00937C17"/>
    <w:rsid w:val="00940A89"/>
    <w:rsid w:val="00946AEE"/>
    <w:rsid w:val="00946EA5"/>
    <w:rsid w:val="009538A0"/>
    <w:rsid w:val="00963C08"/>
    <w:rsid w:val="0097318E"/>
    <w:rsid w:val="009752A5"/>
    <w:rsid w:val="009765EF"/>
    <w:rsid w:val="00980A20"/>
    <w:rsid w:val="0098585A"/>
    <w:rsid w:val="0098625E"/>
    <w:rsid w:val="00992BD0"/>
    <w:rsid w:val="009A310B"/>
    <w:rsid w:val="009A46A7"/>
    <w:rsid w:val="009A4CED"/>
    <w:rsid w:val="009A690D"/>
    <w:rsid w:val="009B1D12"/>
    <w:rsid w:val="009B416B"/>
    <w:rsid w:val="009C4BD5"/>
    <w:rsid w:val="009D0CD5"/>
    <w:rsid w:val="009D251A"/>
    <w:rsid w:val="009D4D46"/>
    <w:rsid w:val="009D7B64"/>
    <w:rsid w:val="009D7B77"/>
    <w:rsid w:val="009E0328"/>
    <w:rsid w:val="009E0BB0"/>
    <w:rsid w:val="009E3FBB"/>
    <w:rsid w:val="009E605F"/>
    <w:rsid w:val="009E6672"/>
    <w:rsid w:val="009F0F13"/>
    <w:rsid w:val="009F7353"/>
    <w:rsid w:val="00A00420"/>
    <w:rsid w:val="00A04F85"/>
    <w:rsid w:val="00A05FA4"/>
    <w:rsid w:val="00A102E4"/>
    <w:rsid w:val="00A12C42"/>
    <w:rsid w:val="00A14DF7"/>
    <w:rsid w:val="00A17160"/>
    <w:rsid w:val="00A22D57"/>
    <w:rsid w:val="00A26F7F"/>
    <w:rsid w:val="00A3246D"/>
    <w:rsid w:val="00A332A9"/>
    <w:rsid w:val="00A36FA7"/>
    <w:rsid w:val="00A43ED0"/>
    <w:rsid w:val="00A44DDB"/>
    <w:rsid w:val="00A45965"/>
    <w:rsid w:val="00A4739D"/>
    <w:rsid w:val="00A475B7"/>
    <w:rsid w:val="00A47AF7"/>
    <w:rsid w:val="00A47C3E"/>
    <w:rsid w:val="00A50226"/>
    <w:rsid w:val="00A60BAD"/>
    <w:rsid w:val="00A70505"/>
    <w:rsid w:val="00A77F87"/>
    <w:rsid w:val="00A80B5B"/>
    <w:rsid w:val="00A84E36"/>
    <w:rsid w:val="00A92B53"/>
    <w:rsid w:val="00A964D1"/>
    <w:rsid w:val="00AA0ED0"/>
    <w:rsid w:val="00AA6D50"/>
    <w:rsid w:val="00AC2B40"/>
    <w:rsid w:val="00AC2BB2"/>
    <w:rsid w:val="00AC2C3C"/>
    <w:rsid w:val="00AC512D"/>
    <w:rsid w:val="00AD0083"/>
    <w:rsid w:val="00AD3935"/>
    <w:rsid w:val="00AD4A16"/>
    <w:rsid w:val="00AD5CCA"/>
    <w:rsid w:val="00AE65EB"/>
    <w:rsid w:val="00AE67A7"/>
    <w:rsid w:val="00AF1D94"/>
    <w:rsid w:val="00AF60C5"/>
    <w:rsid w:val="00B009C6"/>
    <w:rsid w:val="00B01548"/>
    <w:rsid w:val="00B07B2F"/>
    <w:rsid w:val="00B11202"/>
    <w:rsid w:val="00B13EBD"/>
    <w:rsid w:val="00B1414B"/>
    <w:rsid w:val="00B21D29"/>
    <w:rsid w:val="00B22D7D"/>
    <w:rsid w:val="00B2321D"/>
    <w:rsid w:val="00B25034"/>
    <w:rsid w:val="00B315E8"/>
    <w:rsid w:val="00B3230D"/>
    <w:rsid w:val="00B33588"/>
    <w:rsid w:val="00B33863"/>
    <w:rsid w:val="00B37D17"/>
    <w:rsid w:val="00B4175E"/>
    <w:rsid w:val="00B41C85"/>
    <w:rsid w:val="00B452CE"/>
    <w:rsid w:val="00B54C25"/>
    <w:rsid w:val="00B65EB1"/>
    <w:rsid w:val="00B76B91"/>
    <w:rsid w:val="00B77EB1"/>
    <w:rsid w:val="00B80C4A"/>
    <w:rsid w:val="00B811C6"/>
    <w:rsid w:val="00B81B43"/>
    <w:rsid w:val="00B81BAA"/>
    <w:rsid w:val="00B84871"/>
    <w:rsid w:val="00B855B0"/>
    <w:rsid w:val="00B92E08"/>
    <w:rsid w:val="00BA226B"/>
    <w:rsid w:val="00BB1E7D"/>
    <w:rsid w:val="00BB264A"/>
    <w:rsid w:val="00BC622A"/>
    <w:rsid w:val="00BD430E"/>
    <w:rsid w:val="00BE0A78"/>
    <w:rsid w:val="00BE1078"/>
    <w:rsid w:val="00BE6368"/>
    <w:rsid w:val="00BE6936"/>
    <w:rsid w:val="00BE79F0"/>
    <w:rsid w:val="00BF041F"/>
    <w:rsid w:val="00BF046D"/>
    <w:rsid w:val="00BF1190"/>
    <w:rsid w:val="00BF3774"/>
    <w:rsid w:val="00BF5D04"/>
    <w:rsid w:val="00C009AA"/>
    <w:rsid w:val="00C044C6"/>
    <w:rsid w:val="00C05CE7"/>
    <w:rsid w:val="00C06986"/>
    <w:rsid w:val="00C1164D"/>
    <w:rsid w:val="00C11F5F"/>
    <w:rsid w:val="00C16861"/>
    <w:rsid w:val="00C25FB3"/>
    <w:rsid w:val="00C346AB"/>
    <w:rsid w:val="00C35B6B"/>
    <w:rsid w:val="00C368DA"/>
    <w:rsid w:val="00C404A6"/>
    <w:rsid w:val="00C40A36"/>
    <w:rsid w:val="00C44419"/>
    <w:rsid w:val="00C45E7B"/>
    <w:rsid w:val="00C471B1"/>
    <w:rsid w:val="00C53A94"/>
    <w:rsid w:val="00C6316B"/>
    <w:rsid w:val="00C634A9"/>
    <w:rsid w:val="00C64586"/>
    <w:rsid w:val="00C70D53"/>
    <w:rsid w:val="00C73D0B"/>
    <w:rsid w:val="00C76548"/>
    <w:rsid w:val="00C772FF"/>
    <w:rsid w:val="00C80137"/>
    <w:rsid w:val="00C801AF"/>
    <w:rsid w:val="00C80256"/>
    <w:rsid w:val="00C94498"/>
    <w:rsid w:val="00C94CD4"/>
    <w:rsid w:val="00C94EA0"/>
    <w:rsid w:val="00C9747E"/>
    <w:rsid w:val="00CA07F1"/>
    <w:rsid w:val="00CB6BC0"/>
    <w:rsid w:val="00CC1B7C"/>
    <w:rsid w:val="00CC727F"/>
    <w:rsid w:val="00CD4AC6"/>
    <w:rsid w:val="00CE18E4"/>
    <w:rsid w:val="00CE499F"/>
    <w:rsid w:val="00CF15C3"/>
    <w:rsid w:val="00CF2B6F"/>
    <w:rsid w:val="00CF2F3E"/>
    <w:rsid w:val="00CF58B6"/>
    <w:rsid w:val="00D0062D"/>
    <w:rsid w:val="00D00928"/>
    <w:rsid w:val="00D017ED"/>
    <w:rsid w:val="00D040BC"/>
    <w:rsid w:val="00D040D3"/>
    <w:rsid w:val="00D04C65"/>
    <w:rsid w:val="00D201D2"/>
    <w:rsid w:val="00D224FE"/>
    <w:rsid w:val="00D23139"/>
    <w:rsid w:val="00D273C7"/>
    <w:rsid w:val="00D32F32"/>
    <w:rsid w:val="00D35C68"/>
    <w:rsid w:val="00D425BB"/>
    <w:rsid w:val="00D43D36"/>
    <w:rsid w:val="00D453FA"/>
    <w:rsid w:val="00D509D2"/>
    <w:rsid w:val="00D52105"/>
    <w:rsid w:val="00D57919"/>
    <w:rsid w:val="00D63737"/>
    <w:rsid w:val="00D6493E"/>
    <w:rsid w:val="00D7195D"/>
    <w:rsid w:val="00D72FD0"/>
    <w:rsid w:val="00D7301E"/>
    <w:rsid w:val="00D83AE1"/>
    <w:rsid w:val="00D855D4"/>
    <w:rsid w:val="00D8620E"/>
    <w:rsid w:val="00D902C9"/>
    <w:rsid w:val="00D93466"/>
    <w:rsid w:val="00DA08F1"/>
    <w:rsid w:val="00DA1124"/>
    <w:rsid w:val="00DB06B8"/>
    <w:rsid w:val="00DB1F06"/>
    <w:rsid w:val="00DB6124"/>
    <w:rsid w:val="00DB750B"/>
    <w:rsid w:val="00DB75B7"/>
    <w:rsid w:val="00DC6E02"/>
    <w:rsid w:val="00DD28CD"/>
    <w:rsid w:val="00DE02AE"/>
    <w:rsid w:val="00DE39D1"/>
    <w:rsid w:val="00DF04D3"/>
    <w:rsid w:val="00DF1D7F"/>
    <w:rsid w:val="00DF2011"/>
    <w:rsid w:val="00DF4BE4"/>
    <w:rsid w:val="00E02382"/>
    <w:rsid w:val="00E02FB4"/>
    <w:rsid w:val="00E13FC7"/>
    <w:rsid w:val="00E20571"/>
    <w:rsid w:val="00E235F7"/>
    <w:rsid w:val="00E23659"/>
    <w:rsid w:val="00E239D4"/>
    <w:rsid w:val="00E26130"/>
    <w:rsid w:val="00E34B4A"/>
    <w:rsid w:val="00E37DF3"/>
    <w:rsid w:val="00E40B22"/>
    <w:rsid w:val="00E4104E"/>
    <w:rsid w:val="00E435F3"/>
    <w:rsid w:val="00E43A06"/>
    <w:rsid w:val="00E44ED1"/>
    <w:rsid w:val="00E45619"/>
    <w:rsid w:val="00E4588F"/>
    <w:rsid w:val="00E45E80"/>
    <w:rsid w:val="00E46DA3"/>
    <w:rsid w:val="00E51BB1"/>
    <w:rsid w:val="00E624A5"/>
    <w:rsid w:val="00E64BA4"/>
    <w:rsid w:val="00E7344E"/>
    <w:rsid w:val="00E76350"/>
    <w:rsid w:val="00E82665"/>
    <w:rsid w:val="00EB04D2"/>
    <w:rsid w:val="00EB0798"/>
    <w:rsid w:val="00EB40AD"/>
    <w:rsid w:val="00EB586E"/>
    <w:rsid w:val="00EB5BEF"/>
    <w:rsid w:val="00EB5FC8"/>
    <w:rsid w:val="00EC0F9F"/>
    <w:rsid w:val="00EC22C3"/>
    <w:rsid w:val="00EC463D"/>
    <w:rsid w:val="00EC7A85"/>
    <w:rsid w:val="00ED2922"/>
    <w:rsid w:val="00ED3A2F"/>
    <w:rsid w:val="00ED3CAD"/>
    <w:rsid w:val="00ED5A41"/>
    <w:rsid w:val="00EE1DE8"/>
    <w:rsid w:val="00EE22BF"/>
    <w:rsid w:val="00EE27C2"/>
    <w:rsid w:val="00EE3C87"/>
    <w:rsid w:val="00EE6EE5"/>
    <w:rsid w:val="00EE7971"/>
    <w:rsid w:val="00EF4BAD"/>
    <w:rsid w:val="00EF59DC"/>
    <w:rsid w:val="00F0040C"/>
    <w:rsid w:val="00F004C4"/>
    <w:rsid w:val="00F033EC"/>
    <w:rsid w:val="00F03708"/>
    <w:rsid w:val="00F04F68"/>
    <w:rsid w:val="00F12518"/>
    <w:rsid w:val="00F12670"/>
    <w:rsid w:val="00F14B27"/>
    <w:rsid w:val="00F15DC7"/>
    <w:rsid w:val="00F22213"/>
    <w:rsid w:val="00F3148D"/>
    <w:rsid w:val="00F325C5"/>
    <w:rsid w:val="00F32FE0"/>
    <w:rsid w:val="00F35298"/>
    <w:rsid w:val="00F364C7"/>
    <w:rsid w:val="00F43D90"/>
    <w:rsid w:val="00F47333"/>
    <w:rsid w:val="00F4778A"/>
    <w:rsid w:val="00F47E37"/>
    <w:rsid w:val="00F47F01"/>
    <w:rsid w:val="00F53C07"/>
    <w:rsid w:val="00F54B65"/>
    <w:rsid w:val="00F55D87"/>
    <w:rsid w:val="00F640B6"/>
    <w:rsid w:val="00F66DF2"/>
    <w:rsid w:val="00F75C8D"/>
    <w:rsid w:val="00F80D3D"/>
    <w:rsid w:val="00F80E40"/>
    <w:rsid w:val="00F8234A"/>
    <w:rsid w:val="00F848D9"/>
    <w:rsid w:val="00F90874"/>
    <w:rsid w:val="00FA5069"/>
    <w:rsid w:val="00FA52CB"/>
    <w:rsid w:val="00FA5B82"/>
    <w:rsid w:val="00FA639E"/>
    <w:rsid w:val="00FB25B0"/>
    <w:rsid w:val="00FC1FCA"/>
    <w:rsid w:val="00FC25E4"/>
    <w:rsid w:val="00FC4EF7"/>
    <w:rsid w:val="00FD014F"/>
    <w:rsid w:val="00FD0824"/>
    <w:rsid w:val="00FD119B"/>
    <w:rsid w:val="00FD1EDC"/>
    <w:rsid w:val="00FD4697"/>
    <w:rsid w:val="00FE1DEE"/>
    <w:rsid w:val="00FF2126"/>
    <w:rsid w:val="00FF473E"/>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616F6851"/>
  <w15:docId w15:val="{B238FFD4-BD0B-476E-90FF-43817E9E6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437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03082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E2662"/>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071C78"/>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rsid w:val="00644EA7"/>
    <w:pPr>
      <w:spacing w:after="220" w:line="240" w:lineRule="auto"/>
    </w:pPr>
    <w:rPr>
      <w:rFonts w:eastAsia="Times New Roman"/>
      <w:snapToGrid w:val="0"/>
      <w:kern w:val="16"/>
      <w:szCs w:val="24"/>
    </w:rPr>
  </w:style>
  <w:style w:type="character" w:customStyle="1" w:styleId="StandardChar">
    <w:name w:val="Standard Char"/>
    <w:basedOn w:val="DefaultParagraphFont"/>
    <w:link w:val="Standard"/>
    <w:rsid w:val="00644EA7"/>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644EA7"/>
    <w:pPr>
      <w:keepNext/>
      <w:spacing w:after="110"/>
      <w:outlineLvl w:val="2"/>
    </w:pPr>
    <w:rPr>
      <w:b/>
      <w:i/>
    </w:rPr>
  </w:style>
  <w:style w:type="character" w:customStyle="1" w:styleId="TabletextChar">
    <w:name w:val="Table text Char"/>
    <w:basedOn w:val="DefaultParagraphFont"/>
    <w:link w:val="Tabletext"/>
    <w:rsid w:val="002A0238"/>
    <w:rPr>
      <w:rFonts w:ascii="Cambria" w:eastAsia="Cambria" w:hAnsi="Cambria" w:cs="Times New Roman"/>
      <w:sz w:val="19"/>
    </w:rPr>
  </w:style>
  <w:style w:type="paragraph" w:customStyle="1" w:styleId="TableHeader">
    <w:name w:val="Table Header"/>
    <w:basedOn w:val="Normal"/>
    <w:rsid w:val="002A0238"/>
    <w:pPr>
      <w:keepNext/>
      <w:keepLines/>
      <w:widowControl w:val="0"/>
      <w:spacing w:before="60" w:after="60" w:line="200" w:lineRule="exact"/>
      <w:jc w:val="center"/>
    </w:pPr>
    <w:rPr>
      <w:rFonts w:eastAsia="MS Mincho" w:cstheme="minorBidi"/>
      <w:b/>
      <w:kern w:val="2"/>
      <w:sz w:val="19"/>
      <w:szCs w:val="19"/>
    </w:rPr>
  </w:style>
  <w:style w:type="table" w:customStyle="1" w:styleId="TableTGAblue1">
    <w:name w:val="Table TGA blue1"/>
    <w:basedOn w:val="TableNormal"/>
    <w:uiPriority w:val="99"/>
    <w:qFormat/>
    <w:rsid w:val="008F2A62"/>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0D7440"/>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Grid1">
    <w:name w:val="Table Grid1"/>
    <w:basedOn w:val="TableNormal"/>
    <w:next w:val="TableGrid"/>
    <w:uiPriority w:val="59"/>
    <w:rsid w:val="00E34B4A"/>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4B4A"/>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armacovigilanceplan">
    <w:name w:val="Pharmacovigilance plan"/>
    <w:basedOn w:val="Normal"/>
    <w:link w:val="PharmacovigilanceplanChar"/>
    <w:qFormat/>
    <w:rsid w:val="002354E9"/>
    <w:pPr>
      <w:spacing w:before="20" w:after="20" w:line="252" w:lineRule="auto"/>
      <w:jc w:val="center"/>
    </w:pPr>
    <w:rPr>
      <w:rFonts w:eastAsia="Times New Roman"/>
      <w:b/>
      <w:snapToGrid w:val="0"/>
      <w:kern w:val="16"/>
      <w:sz w:val="20"/>
      <w:szCs w:val="24"/>
    </w:rPr>
  </w:style>
  <w:style w:type="character" w:customStyle="1" w:styleId="PharmacovigilanceplanChar">
    <w:name w:val="Pharmacovigilance plan Char"/>
    <w:basedOn w:val="DefaultParagraphFont"/>
    <w:link w:val="Pharmacovigilanceplan"/>
    <w:rsid w:val="002354E9"/>
    <w:rPr>
      <w:rFonts w:ascii="Cambria" w:eastAsia="Times New Roman" w:hAnsi="Cambria" w:cs="Times New Roman"/>
      <w:b/>
      <w:snapToGrid w:val="0"/>
      <w:kern w:val="16"/>
      <w:sz w:val="20"/>
      <w:szCs w:val="24"/>
    </w:rPr>
  </w:style>
  <w:style w:type="character" w:customStyle="1" w:styleId="Heading8Char">
    <w:name w:val="Heading 8 Char"/>
    <w:basedOn w:val="DefaultParagraphFont"/>
    <w:link w:val="Heading8"/>
    <w:uiPriority w:val="9"/>
    <w:semiHidden/>
    <w:rsid w:val="00030821"/>
    <w:rPr>
      <w:rFonts w:asciiTheme="majorHAnsi" w:eastAsiaTheme="majorEastAsia" w:hAnsiTheme="majorHAnsi" w:cstheme="majorBidi"/>
      <w:color w:val="404040" w:themeColor="text1" w:themeTint="BF"/>
      <w:sz w:val="20"/>
      <w:szCs w:val="20"/>
    </w:rPr>
  </w:style>
  <w:style w:type="character" w:styleId="Emphasis">
    <w:name w:val="Emphasis"/>
    <w:basedOn w:val="DefaultParagraphFont"/>
    <w:uiPriority w:val="20"/>
    <w:qFormat/>
    <w:rsid w:val="00CE499F"/>
    <w:rPr>
      <w:i/>
      <w:iCs/>
    </w:rPr>
  </w:style>
  <w:style w:type="paragraph" w:customStyle="1" w:styleId="Bulletpoint">
    <w:name w:val="Bullet point"/>
    <w:basedOn w:val="Normal"/>
    <w:rsid w:val="00F90874"/>
    <w:pPr>
      <w:numPr>
        <w:numId w:val="29"/>
      </w:numPr>
      <w:tabs>
        <w:tab w:val="left" w:pos="397"/>
      </w:tabs>
      <w:spacing w:after="180" w:line="240" w:lineRule="auto"/>
    </w:pPr>
    <w:rPr>
      <w:rFonts w:eastAsia="Times New Roman"/>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030074">
      <w:bodyDiv w:val="1"/>
      <w:marLeft w:val="0"/>
      <w:marRight w:val="0"/>
      <w:marTop w:val="0"/>
      <w:marBottom w:val="0"/>
      <w:divBdr>
        <w:top w:val="none" w:sz="0" w:space="0" w:color="auto"/>
        <w:left w:val="none" w:sz="0" w:space="0" w:color="auto"/>
        <w:bottom w:val="none" w:sz="0" w:space="0" w:color="auto"/>
        <w:right w:val="none" w:sz="0" w:space="0" w:color="auto"/>
      </w:divBdr>
    </w:div>
    <w:div w:id="21086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hyperlink" Target="https://www.tga.gov.au" TargetMode="External"/><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header" Target="header3.xm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tga.gov.au/product-information-pi" TargetMode="External"/><Relationship Id="rId61"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5.xm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hyperlink" Target="https://www.tga.gov.au" TargetMode="Externa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4.xml"/><Relationship Id="rId67" Type="http://schemas.openxmlformats.org/officeDocument/2006/relationships/header" Target="header8.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mailto:info@tga.gov.au"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3268\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0A745-1545-47AF-87AD-63FF74F14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Template>
  <TotalTime>105</TotalTime>
  <Pages>88</Pages>
  <Words>27007</Words>
  <Characters>152860</Characters>
  <Application>Microsoft Office Word</Application>
  <DocSecurity>0</DocSecurity>
  <Lines>3323</Lines>
  <Paragraphs>1635</Paragraphs>
  <ScaleCrop>false</ScaleCrop>
  <HeadingPairs>
    <vt:vector size="2" baseType="variant">
      <vt:variant>
        <vt:lpstr>Title</vt:lpstr>
      </vt:variant>
      <vt:variant>
        <vt:i4>1</vt:i4>
      </vt:variant>
    </vt:vector>
  </HeadingPairs>
  <TitlesOfParts>
    <vt:vector size="1" baseType="lpstr">
      <vt:lpstr>Australian public assessment for Bictegravir / Emtricitabine / Tenofovir alafenamide</vt:lpstr>
    </vt:vector>
  </TitlesOfParts>
  <Company>Department of Health Therapeutic Goods Administration</Company>
  <LinksUpToDate>false</LinksUpToDate>
  <CharactersWithSpaces>178232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Bictegravir / Emtricitabine / Tenofovir alafenamide</dc:title>
  <dc:subject>prescription medicines</dc:subject>
  <dc:creator> Therapeutic Goods Administration</dc:creator>
  <cp:keywords>AusPARs</cp:keywords>
  <cp:lastPrinted>2019-07-15T01:47:00Z</cp:lastPrinted>
  <dcterms:created xsi:type="dcterms:W3CDTF">2019-09-23T02:04:00Z</dcterms:created>
  <dcterms:modified xsi:type="dcterms:W3CDTF">2019-09-23T05:59:00Z</dcterms:modified>
  <cp:category/>
</cp:coreProperties>
</file>