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report: April 2015&#10;Second round report: September 2015&#10;"/>
      </w:tblPr>
      <w:tblGrid>
        <w:gridCol w:w="7567"/>
      </w:tblGrid>
      <w:tr w:rsidR="008E7846" w:rsidRPr="003442FE" w14:paraId="50B9464E" w14:textId="77777777" w:rsidTr="00A972DD">
        <w:trPr>
          <w:trHeight w:val="2089"/>
        </w:trPr>
        <w:tc>
          <w:tcPr>
            <w:tcW w:w="7567" w:type="dxa"/>
            <w:tcBorders>
              <w:top w:val="nil"/>
              <w:left w:val="nil"/>
              <w:bottom w:val="nil"/>
              <w:right w:val="nil"/>
            </w:tcBorders>
          </w:tcPr>
          <w:p w14:paraId="3BDC0AAB" w14:textId="77777777" w:rsidR="008E7846" w:rsidRDefault="00A972DD" w:rsidP="0017078F">
            <w:pPr>
              <w:rPr>
                <w:rFonts w:ascii="Arial" w:hAnsi="Arial" w:cs="Arial"/>
                <w:b/>
                <w:color w:val="002C47"/>
                <w:sz w:val="36"/>
                <w:szCs w:val="36"/>
              </w:rPr>
            </w:pPr>
            <w:r>
              <w:rPr>
                <w:rFonts w:ascii="Arial" w:hAnsi="Arial" w:cs="Arial"/>
                <w:b/>
                <w:color w:val="002C47"/>
                <w:sz w:val="36"/>
                <w:szCs w:val="36"/>
              </w:rPr>
              <w:t>First round report: April 2015</w:t>
            </w:r>
          </w:p>
          <w:p w14:paraId="7010D49C" w14:textId="13B2874C" w:rsidR="00A972DD" w:rsidRPr="003442FE" w:rsidRDefault="00A972DD" w:rsidP="0017078F">
            <w:pPr>
              <w:rPr>
                <w:rFonts w:ascii="Arial" w:hAnsi="Arial" w:cs="Arial"/>
                <w:b/>
                <w:color w:val="002C47"/>
                <w:sz w:val="36"/>
                <w:szCs w:val="36"/>
              </w:rPr>
            </w:pPr>
            <w:r>
              <w:rPr>
                <w:rFonts w:ascii="Arial" w:hAnsi="Arial" w:cs="Arial"/>
                <w:b/>
                <w:color w:val="002C47"/>
                <w:sz w:val="36"/>
                <w:szCs w:val="36"/>
              </w:rPr>
              <w:t>Second round report: September 2015</w:t>
            </w:r>
          </w:p>
        </w:tc>
      </w:tr>
    </w:tbl>
    <w:tbl>
      <w:tblPr>
        <w:tblpPr w:leftFromText="180" w:rightFromText="180" w:vertAnchor="page" w:tblpY="3316"/>
        <w:tblW w:w="9079" w:type="dxa"/>
        <w:tblLayout w:type="fixed"/>
        <w:tblLook w:val="04A0" w:firstRow="1" w:lastRow="0" w:firstColumn="1" w:lastColumn="0" w:noHBand="0" w:noVBand="1"/>
        <w:tblDescription w:val="AusPAR Attachment 2&#10;Extract from the Clinical Evaluation Report for Blinatumomab (rch)&#10;Proprietary Product Name: Blincyto&#10;Sponsor: Amgen Australia Pty Ltd&#10;"/>
      </w:tblPr>
      <w:tblGrid>
        <w:gridCol w:w="9079"/>
      </w:tblGrid>
      <w:tr w:rsidR="0032583B" w:rsidRPr="003442FE" w14:paraId="79C83D3A" w14:textId="77777777" w:rsidTr="00E07F15">
        <w:trPr>
          <w:trHeight w:val="1548"/>
        </w:trPr>
        <w:tc>
          <w:tcPr>
            <w:tcW w:w="9079" w:type="dxa"/>
          </w:tcPr>
          <w:p w14:paraId="6ECAEBE2" w14:textId="77777777" w:rsidR="0032583B" w:rsidRPr="003442FE" w:rsidRDefault="00E07F15" w:rsidP="00A964D1">
            <w:pPr>
              <w:pStyle w:val="Title"/>
              <w:rPr>
                <w:color w:val="FFFFFF" w:themeColor="background1"/>
              </w:rPr>
            </w:pPr>
            <w:r w:rsidRPr="003442FE">
              <w:rPr>
                <w:color w:val="FFFFFF" w:themeColor="background1"/>
              </w:rPr>
              <w:t>AusPAR Attachment 2</w:t>
            </w:r>
          </w:p>
        </w:tc>
      </w:tr>
      <w:tr w:rsidR="00E07F15" w:rsidRPr="003442FE" w14:paraId="1E409B0B" w14:textId="77777777" w:rsidTr="00E07F15">
        <w:trPr>
          <w:trHeight w:val="868"/>
        </w:trPr>
        <w:tc>
          <w:tcPr>
            <w:tcW w:w="9079" w:type="dxa"/>
          </w:tcPr>
          <w:p w14:paraId="11E1CB4A" w14:textId="50FCF397" w:rsidR="00E07F15" w:rsidRPr="003442FE" w:rsidRDefault="00E07F15" w:rsidP="00E07F15">
            <w:pPr>
              <w:pStyle w:val="Title"/>
              <w:rPr>
                <w:color w:val="FFFFFF" w:themeColor="background1"/>
              </w:rPr>
            </w:pPr>
            <w:r w:rsidRPr="003442FE">
              <w:rPr>
                <w:color w:val="FFFFFF" w:themeColor="background1"/>
              </w:rPr>
              <w:t xml:space="preserve">Extract from the </w:t>
            </w:r>
            <w:r w:rsidR="00686A5B">
              <w:rPr>
                <w:color w:val="FFFFFF" w:themeColor="background1"/>
              </w:rPr>
              <w:t>Clini</w:t>
            </w:r>
            <w:r w:rsidR="00586C19">
              <w:rPr>
                <w:color w:val="FFFFFF" w:themeColor="background1"/>
              </w:rPr>
              <w:t>cal Evaluation Report for B</w:t>
            </w:r>
            <w:r w:rsidR="00F85481">
              <w:rPr>
                <w:color w:val="FFFFFF" w:themeColor="background1"/>
              </w:rPr>
              <w:t>linatumomab</w:t>
            </w:r>
            <w:r w:rsidR="00586C19">
              <w:rPr>
                <w:color w:val="FFFFFF" w:themeColor="background1"/>
              </w:rPr>
              <w:t xml:space="preserve"> (rch)</w:t>
            </w:r>
          </w:p>
        </w:tc>
      </w:tr>
      <w:tr w:rsidR="00E07F15" w:rsidRPr="003442FE" w14:paraId="2C76F04E" w14:textId="77777777" w:rsidTr="00E07F15">
        <w:tc>
          <w:tcPr>
            <w:tcW w:w="9079" w:type="dxa"/>
          </w:tcPr>
          <w:p w14:paraId="2F88C193" w14:textId="22718EB9" w:rsidR="00E07F15" w:rsidRPr="003442FE" w:rsidRDefault="00E07F15" w:rsidP="00F85481">
            <w:pPr>
              <w:pStyle w:val="Subtitle"/>
              <w:ind w:left="0"/>
              <w:rPr>
                <w:color w:val="FFFFFF" w:themeColor="background1"/>
              </w:rPr>
            </w:pPr>
            <w:r w:rsidRPr="003442FE">
              <w:rPr>
                <w:color w:val="FFFFFF" w:themeColor="background1"/>
              </w:rPr>
              <w:t xml:space="preserve">Proprietary Product Name: </w:t>
            </w:r>
            <w:r w:rsidR="00F85481">
              <w:rPr>
                <w:color w:val="FFFFFF" w:themeColor="background1"/>
              </w:rPr>
              <w:t>Blincyto</w:t>
            </w:r>
          </w:p>
        </w:tc>
      </w:tr>
      <w:tr w:rsidR="00E07F15" w:rsidRPr="003442FE" w14:paraId="600F01E3" w14:textId="77777777" w:rsidTr="00E07F15">
        <w:trPr>
          <w:trHeight w:val="486"/>
        </w:trPr>
        <w:tc>
          <w:tcPr>
            <w:tcW w:w="9079" w:type="dxa"/>
          </w:tcPr>
          <w:p w14:paraId="69EDBA3F" w14:textId="48A93BA9" w:rsidR="00E07F15" w:rsidRPr="003442FE" w:rsidRDefault="00F85481" w:rsidP="00F85481">
            <w:pPr>
              <w:pStyle w:val="Subtitle"/>
              <w:ind w:left="0"/>
              <w:rPr>
                <w:color w:val="FFFFFF" w:themeColor="background1"/>
              </w:rPr>
            </w:pPr>
            <w:r>
              <w:rPr>
                <w:color w:val="FFFFFF" w:themeColor="background1"/>
              </w:rPr>
              <w:t>Sponsor: Amgen Australia Pty Ltd</w:t>
            </w:r>
          </w:p>
        </w:tc>
      </w:tr>
    </w:tbl>
    <w:p w14:paraId="33A856AF" w14:textId="77777777" w:rsidR="008E7846" w:rsidRPr="003442FE" w:rsidRDefault="008E7846" w:rsidP="00515899">
      <w:pPr>
        <w:pStyle w:val="NonTOCHeading2"/>
        <w:pageBreakBefore/>
      </w:pPr>
      <w:bookmarkStart w:id="0" w:name="_GoBack"/>
      <w:bookmarkEnd w:id="0"/>
      <w:r w:rsidRPr="003442FE">
        <w:t>About the Therapeutic Goods Administration (TGA)</w:t>
      </w:r>
    </w:p>
    <w:p w14:paraId="5C123FCE" w14:textId="77777777" w:rsidR="008E7846" w:rsidRPr="003442FE" w:rsidRDefault="008E7846" w:rsidP="00DC2A7E">
      <w:pPr>
        <w:pStyle w:val="ListBullet"/>
        <w:numPr>
          <w:ilvl w:val="0"/>
          <w:numId w:val="1"/>
        </w:numPr>
        <w:ind w:left="357" w:hanging="357"/>
      </w:pPr>
      <w:r w:rsidRPr="003442FE">
        <w:t xml:space="preserve">The Therapeutic Goods Administration (TGA) is </w:t>
      </w:r>
      <w:r w:rsidR="00E624A5" w:rsidRPr="003442FE">
        <w:t xml:space="preserve">part </w:t>
      </w:r>
      <w:r w:rsidRPr="003442FE">
        <w:t>of the Australian Government Department of Health, and is responsible for regulating medicines and medical devices.</w:t>
      </w:r>
    </w:p>
    <w:p w14:paraId="43269F92" w14:textId="77777777" w:rsidR="008E7846" w:rsidRPr="003442FE" w:rsidRDefault="00C811C0" w:rsidP="00DC2A7E">
      <w:pPr>
        <w:pStyle w:val="ListBullet"/>
        <w:numPr>
          <w:ilvl w:val="0"/>
          <w:numId w:val="1"/>
        </w:numPr>
        <w:ind w:left="357" w:hanging="357"/>
      </w:pPr>
      <w:r w:rsidRPr="003442FE">
        <w:t xml:space="preserve">The </w:t>
      </w:r>
      <w:r w:rsidR="008E7846" w:rsidRPr="003442FE">
        <w:t xml:space="preserve">TGA administers the </w:t>
      </w:r>
      <w:r w:rsidR="008E7846" w:rsidRPr="003442FE">
        <w:rPr>
          <w:i/>
        </w:rPr>
        <w:t>Therapeutic Goods Act 1989</w:t>
      </w:r>
      <w:r w:rsidR="008E7846" w:rsidRPr="003442FE">
        <w:t xml:space="preserve"> (the Act), applying a risk management approach designed to ensure therapeutic goods supplied in Australia meet acceptable standards of quality, safety and efficacy (performance), when necessary.</w:t>
      </w:r>
    </w:p>
    <w:p w14:paraId="3BC486CC" w14:textId="77777777" w:rsidR="008E7846" w:rsidRPr="003442FE" w:rsidRDefault="008E7846" w:rsidP="00DC2A7E">
      <w:pPr>
        <w:pStyle w:val="ListBullet"/>
        <w:numPr>
          <w:ilvl w:val="0"/>
          <w:numId w:val="1"/>
        </w:numPr>
        <w:ind w:left="357" w:hanging="357"/>
      </w:pPr>
      <w:r w:rsidRPr="003442FE">
        <w:t>The work of the TGA is based on applying scientific and clinical expertise to decision-making, to ensure that the benefits to consumers outweigh any risks associated with the use of medicines and medical devices.</w:t>
      </w:r>
    </w:p>
    <w:p w14:paraId="7D740304" w14:textId="77777777" w:rsidR="008E7846" w:rsidRPr="003442FE" w:rsidRDefault="008E7846" w:rsidP="00DC2A7E">
      <w:pPr>
        <w:pStyle w:val="ListBullet"/>
        <w:numPr>
          <w:ilvl w:val="0"/>
          <w:numId w:val="1"/>
        </w:numPr>
        <w:ind w:left="357" w:hanging="357"/>
      </w:pPr>
      <w:r w:rsidRPr="003442FE">
        <w:t>The TGA relies on the public, healthcare professionals and industry to report problems with medicines or medical devices. TGA investigates reports received by it to determine any necessary regulatory action.</w:t>
      </w:r>
    </w:p>
    <w:p w14:paraId="66A4B885" w14:textId="665BAC9A" w:rsidR="008E7846" w:rsidRPr="003442FE" w:rsidRDefault="008E7846" w:rsidP="00DC2A7E">
      <w:pPr>
        <w:pStyle w:val="ListBullet"/>
        <w:numPr>
          <w:ilvl w:val="0"/>
          <w:numId w:val="1"/>
        </w:numPr>
        <w:ind w:left="357" w:hanging="357"/>
      </w:pPr>
      <w:r w:rsidRPr="003442FE">
        <w:t xml:space="preserve">To report a problem with a medicine or medical device, please see the information on the </w:t>
      </w:r>
      <w:hyperlink r:id="rId9" w:history="1">
        <w:r w:rsidRPr="0094134D">
          <w:rPr>
            <w:rStyle w:val="Hyperlink"/>
          </w:rPr>
          <w:t>TGA website</w:t>
        </w:r>
      </w:hyperlink>
      <w:r w:rsidR="00375CAE">
        <w:t xml:space="preserve"> </w:t>
      </w:r>
      <w:r w:rsidR="00423768">
        <w:t xml:space="preserve">&lt; </w:t>
      </w:r>
      <w:r w:rsidR="00E979F4" w:rsidRPr="0094134D">
        <w:t>https://www.tga.gov.au</w:t>
      </w:r>
      <w:r w:rsidR="00423768">
        <w:t xml:space="preserve"> </w:t>
      </w:r>
      <w:proofErr w:type="gramStart"/>
      <w:r w:rsidR="00423768">
        <w:t xml:space="preserve">&gt; </w:t>
      </w:r>
      <w:r w:rsidRPr="003442FE">
        <w:t>.</w:t>
      </w:r>
      <w:proofErr w:type="gramEnd"/>
    </w:p>
    <w:p w14:paraId="5847C11F" w14:textId="77777777" w:rsidR="0017078F" w:rsidRPr="003442FE" w:rsidRDefault="0017078F" w:rsidP="0017078F">
      <w:pPr>
        <w:pStyle w:val="NonTOCHeading2"/>
      </w:pPr>
      <w:r w:rsidRPr="003442FE">
        <w:t>About the Extract from the Clinical Evaluation Report</w:t>
      </w:r>
    </w:p>
    <w:p w14:paraId="53C8B74C" w14:textId="77777777" w:rsidR="0017078F" w:rsidRPr="003442FE" w:rsidRDefault="003D0A3B" w:rsidP="0017078F">
      <w:pPr>
        <w:pStyle w:val="ListBullet"/>
      </w:pPr>
      <w:r w:rsidRPr="003442FE">
        <w:t>This document provides a more detailed evaluation of the clinical findings, extracted from the Clinical Evaluation Report (CER) prepared by the TGA. This extract does not include sections from the CER regarding product documentation or post market activities.</w:t>
      </w:r>
    </w:p>
    <w:p w14:paraId="562CD42C" w14:textId="77777777" w:rsidR="003D0A3B" w:rsidRPr="003442FE" w:rsidRDefault="003D0A3B" w:rsidP="003D0A3B">
      <w:pPr>
        <w:pStyle w:val="ListBullet"/>
      </w:pPr>
      <w:r w:rsidRPr="003442FE">
        <w:t>The words [Information redacted], where they appear in this document, indicate that confidential information has been deleted.</w:t>
      </w:r>
    </w:p>
    <w:p w14:paraId="10D4759A" w14:textId="7FC406A9" w:rsidR="0017078F" w:rsidRPr="003442FE" w:rsidRDefault="003D0A3B" w:rsidP="0017078F">
      <w:pPr>
        <w:pStyle w:val="ListBullet"/>
      </w:pPr>
      <w:r w:rsidRPr="003442FE">
        <w:t xml:space="preserve">For the most recent </w:t>
      </w:r>
      <w:hyperlink r:id="rId10" w:history="1">
        <w:r w:rsidRPr="0094134D">
          <w:rPr>
            <w:rStyle w:val="Hyperlink"/>
          </w:rPr>
          <w:t>Product Information (PI),</w:t>
        </w:r>
      </w:hyperlink>
      <w:r w:rsidRPr="003442FE">
        <w:t xml:space="preserve"> please refer to the TGA website</w:t>
      </w:r>
      <w:r w:rsidR="00375CAE">
        <w:t xml:space="preserve"> </w:t>
      </w:r>
      <w:r w:rsidR="00423768">
        <w:t xml:space="preserve">&lt; </w:t>
      </w:r>
      <w:r w:rsidR="0010193C" w:rsidRPr="0094134D">
        <w:t>https://www.tga.gov.au/product-information-pi</w:t>
      </w:r>
      <w:r w:rsidR="007D6F35">
        <w:t xml:space="preserve"> &gt;</w:t>
      </w:r>
    </w:p>
    <w:p w14:paraId="41B051B6" w14:textId="77777777" w:rsidR="00924482" w:rsidRPr="003442FE" w:rsidRDefault="00924482" w:rsidP="00586C19">
      <w:pPr>
        <w:pStyle w:val="LegalSubheading"/>
        <w:spacing w:before="3960"/>
      </w:pPr>
      <w:r w:rsidRPr="003442FE">
        <w:t>Copyright</w:t>
      </w:r>
    </w:p>
    <w:p w14:paraId="243B98DF" w14:textId="2A0FA230" w:rsidR="00924482" w:rsidRPr="003442FE" w:rsidRDefault="00924482" w:rsidP="00924482">
      <w:pPr>
        <w:pStyle w:val="LegalCopy"/>
      </w:pPr>
      <w:r w:rsidRPr="003442FE">
        <w:rPr>
          <w:rFonts w:cs="Arial"/>
        </w:rPr>
        <w:t>© Commonwealth of Australia 201</w:t>
      </w:r>
      <w:r w:rsidR="00586C19">
        <w:rPr>
          <w:rFonts w:cs="Arial"/>
        </w:rPr>
        <w:t>8</w:t>
      </w:r>
      <w:r w:rsidRPr="003442FE">
        <w:rPr>
          <w:rFonts w:cs="Arial"/>
        </w:rPr>
        <w:br/>
      </w:r>
      <w:proofErr w:type="gramStart"/>
      <w:r w:rsidRPr="003442FE">
        <w:rPr>
          <w:rFonts w:cs="Arial"/>
        </w:rPr>
        <w:t>This</w:t>
      </w:r>
      <w:proofErr w:type="gramEnd"/>
      <w:r w:rsidRPr="003442FE">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442FE">
        <w:rPr>
          <w:rFonts w:cs="Arial"/>
          <w:i/>
        </w:rPr>
        <w:t>Copyright Act 1968</w:t>
      </w:r>
      <w:r w:rsidRPr="003442F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w:t>
      </w:r>
      <w:r w:rsidR="00375CAE">
        <w:rPr>
          <w:rFonts w:cs="Arial"/>
        </w:rPr>
        <w:t xml:space="preserve"> </w:t>
      </w:r>
      <w:r w:rsidR="00423768">
        <w:rPr>
          <w:rFonts w:cs="Arial"/>
        </w:rPr>
        <w:t xml:space="preserve">&lt; </w:t>
      </w:r>
      <w:hyperlink r:id="rId11" w:history="1">
        <w:r w:rsidRPr="003442FE">
          <w:rPr>
            <w:rStyle w:val="Hyperlink"/>
            <w:rFonts w:cs="Arial"/>
          </w:rPr>
          <w:t>tga.copyright@tga.gov.au</w:t>
        </w:r>
      </w:hyperlink>
      <w:r w:rsidR="00423768">
        <w:rPr>
          <w:rFonts w:cs="Arial"/>
        </w:rPr>
        <w:t xml:space="preserve"> </w:t>
      </w:r>
      <w:proofErr w:type="gramStart"/>
      <w:r w:rsidR="00423768">
        <w:rPr>
          <w:rFonts w:cs="Arial"/>
        </w:rPr>
        <w:t xml:space="preserve">&gt; </w:t>
      </w:r>
      <w:r w:rsidRPr="003442FE">
        <w:rPr>
          <w:rFonts w:cs="Arial"/>
        </w:rPr>
        <w:t>.</w:t>
      </w:r>
      <w:proofErr w:type="gramEnd"/>
    </w:p>
    <w:p w14:paraId="1D64701E" w14:textId="77777777" w:rsidR="00924482" w:rsidRPr="003442FE" w:rsidRDefault="00924482" w:rsidP="00924482">
      <w:pPr>
        <w:pStyle w:val="LegalCopy"/>
        <w:sectPr w:rsidR="00924482" w:rsidRPr="003442FE"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12DDEDB" w14:textId="77777777" w:rsidR="0089635C" w:rsidRPr="003442FE" w:rsidRDefault="0089635C" w:rsidP="0010788A">
          <w:pPr>
            <w:pStyle w:val="Contents"/>
          </w:pPr>
          <w:r w:rsidRPr="003442FE">
            <w:t>Contents</w:t>
          </w:r>
        </w:p>
        <w:p w14:paraId="1013DFB4" w14:textId="77777777" w:rsidR="007B270B" w:rsidRDefault="004F4AF5">
          <w:pPr>
            <w:pStyle w:val="TOC2"/>
            <w:rPr>
              <w:rFonts w:asciiTheme="minorHAnsi" w:eastAsiaTheme="minorEastAsia" w:hAnsiTheme="minorHAnsi" w:cstheme="minorBidi"/>
              <w:b w:val="0"/>
              <w:noProof/>
              <w:sz w:val="22"/>
              <w:lang w:eastAsia="en-AU"/>
            </w:rPr>
          </w:pPr>
          <w:r w:rsidRPr="003442FE">
            <w:fldChar w:fldCharType="begin"/>
          </w:r>
          <w:r w:rsidR="0089635C" w:rsidRPr="003442FE">
            <w:instrText xml:space="preserve"> TOC \o "1-3" \h \z \u </w:instrText>
          </w:r>
          <w:r w:rsidRPr="003442FE">
            <w:fldChar w:fldCharType="separate"/>
          </w:r>
          <w:hyperlink w:anchor="_Toc505762956" w:history="1">
            <w:r w:rsidR="007B270B" w:rsidRPr="00552DCD">
              <w:rPr>
                <w:rStyle w:val="Hyperlink"/>
                <w:noProof/>
              </w:rPr>
              <w:t>List of abbreviations</w:t>
            </w:r>
            <w:r w:rsidR="007B270B">
              <w:rPr>
                <w:noProof/>
                <w:webHidden/>
              </w:rPr>
              <w:tab/>
            </w:r>
            <w:r w:rsidR="007B270B">
              <w:rPr>
                <w:noProof/>
                <w:webHidden/>
              </w:rPr>
              <w:fldChar w:fldCharType="begin"/>
            </w:r>
            <w:r w:rsidR="007B270B">
              <w:rPr>
                <w:noProof/>
                <w:webHidden/>
              </w:rPr>
              <w:instrText xml:space="preserve"> PAGEREF _Toc505762956 \h </w:instrText>
            </w:r>
            <w:r w:rsidR="007B270B">
              <w:rPr>
                <w:noProof/>
                <w:webHidden/>
              </w:rPr>
            </w:r>
            <w:r w:rsidR="007B270B">
              <w:rPr>
                <w:noProof/>
                <w:webHidden/>
              </w:rPr>
              <w:fldChar w:fldCharType="separate"/>
            </w:r>
            <w:r w:rsidR="007B270B">
              <w:rPr>
                <w:noProof/>
                <w:webHidden/>
              </w:rPr>
              <w:t>5</w:t>
            </w:r>
            <w:r w:rsidR="007B270B">
              <w:rPr>
                <w:noProof/>
                <w:webHidden/>
              </w:rPr>
              <w:fldChar w:fldCharType="end"/>
            </w:r>
          </w:hyperlink>
        </w:p>
        <w:p w14:paraId="6579B230"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57" w:history="1">
            <w:r w:rsidR="007B270B" w:rsidRPr="00552DCD">
              <w:rPr>
                <w:rStyle w:val="Hyperlink"/>
                <w:noProof/>
                <w:lang w:eastAsia="en-AU"/>
              </w:rPr>
              <w:t>1.</w:t>
            </w:r>
            <w:r w:rsidR="007B270B">
              <w:rPr>
                <w:rFonts w:asciiTheme="minorHAnsi" w:eastAsiaTheme="minorEastAsia" w:hAnsiTheme="minorHAnsi" w:cstheme="minorBidi"/>
                <w:b w:val="0"/>
                <w:noProof/>
                <w:sz w:val="22"/>
                <w:lang w:eastAsia="en-AU"/>
              </w:rPr>
              <w:tab/>
            </w:r>
            <w:r w:rsidR="007B270B" w:rsidRPr="00552DCD">
              <w:rPr>
                <w:rStyle w:val="Hyperlink"/>
                <w:noProof/>
                <w:lang w:eastAsia="en-AU"/>
              </w:rPr>
              <w:t>Introduction</w:t>
            </w:r>
            <w:r w:rsidR="007B270B">
              <w:rPr>
                <w:noProof/>
                <w:webHidden/>
              </w:rPr>
              <w:tab/>
            </w:r>
            <w:r w:rsidR="007B270B">
              <w:rPr>
                <w:noProof/>
                <w:webHidden/>
              </w:rPr>
              <w:fldChar w:fldCharType="begin"/>
            </w:r>
            <w:r w:rsidR="007B270B">
              <w:rPr>
                <w:noProof/>
                <w:webHidden/>
              </w:rPr>
              <w:instrText xml:space="preserve"> PAGEREF _Toc505762957 \h </w:instrText>
            </w:r>
            <w:r w:rsidR="007B270B">
              <w:rPr>
                <w:noProof/>
                <w:webHidden/>
              </w:rPr>
            </w:r>
            <w:r w:rsidR="007B270B">
              <w:rPr>
                <w:noProof/>
                <w:webHidden/>
              </w:rPr>
              <w:fldChar w:fldCharType="separate"/>
            </w:r>
            <w:r w:rsidR="007B270B">
              <w:rPr>
                <w:noProof/>
                <w:webHidden/>
              </w:rPr>
              <w:t>12</w:t>
            </w:r>
            <w:r w:rsidR="007B270B">
              <w:rPr>
                <w:noProof/>
                <w:webHidden/>
              </w:rPr>
              <w:fldChar w:fldCharType="end"/>
            </w:r>
          </w:hyperlink>
        </w:p>
        <w:p w14:paraId="08B5C551"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58" w:history="1">
            <w:r w:rsidR="007B270B" w:rsidRPr="00552DCD">
              <w:rPr>
                <w:rStyle w:val="Hyperlink"/>
                <w:noProof/>
              </w:rPr>
              <w:t>1.1.</w:t>
            </w:r>
            <w:r w:rsidR="007B270B">
              <w:rPr>
                <w:rFonts w:asciiTheme="minorHAnsi" w:eastAsiaTheme="minorEastAsia" w:hAnsiTheme="minorHAnsi" w:cstheme="minorBidi"/>
                <w:noProof/>
                <w:lang w:eastAsia="en-AU"/>
              </w:rPr>
              <w:tab/>
            </w:r>
            <w:r w:rsidR="007B270B" w:rsidRPr="00552DCD">
              <w:rPr>
                <w:rStyle w:val="Hyperlink"/>
                <w:noProof/>
              </w:rPr>
              <w:t>Drug class and therapeutic indication</w:t>
            </w:r>
            <w:r w:rsidR="007B270B">
              <w:rPr>
                <w:noProof/>
                <w:webHidden/>
              </w:rPr>
              <w:tab/>
            </w:r>
            <w:r w:rsidR="007B270B">
              <w:rPr>
                <w:noProof/>
                <w:webHidden/>
              </w:rPr>
              <w:fldChar w:fldCharType="begin"/>
            </w:r>
            <w:r w:rsidR="007B270B">
              <w:rPr>
                <w:noProof/>
                <w:webHidden/>
              </w:rPr>
              <w:instrText xml:space="preserve"> PAGEREF _Toc505762958 \h </w:instrText>
            </w:r>
            <w:r w:rsidR="007B270B">
              <w:rPr>
                <w:noProof/>
                <w:webHidden/>
              </w:rPr>
            </w:r>
            <w:r w:rsidR="007B270B">
              <w:rPr>
                <w:noProof/>
                <w:webHidden/>
              </w:rPr>
              <w:fldChar w:fldCharType="separate"/>
            </w:r>
            <w:r w:rsidR="007B270B">
              <w:rPr>
                <w:noProof/>
                <w:webHidden/>
              </w:rPr>
              <w:t>12</w:t>
            </w:r>
            <w:r w:rsidR="007B270B">
              <w:rPr>
                <w:noProof/>
                <w:webHidden/>
              </w:rPr>
              <w:fldChar w:fldCharType="end"/>
            </w:r>
          </w:hyperlink>
        </w:p>
        <w:p w14:paraId="405F5ACA"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59" w:history="1">
            <w:r w:rsidR="007B270B" w:rsidRPr="00552DCD">
              <w:rPr>
                <w:rStyle w:val="Hyperlink"/>
                <w:noProof/>
              </w:rPr>
              <w:t>1.2.</w:t>
            </w:r>
            <w:r w:rsidR="007B270B">
              <w:rPr>
                <w:rFonts w:asciiTheme="minorHAnsi" w:eastAsiaTheme="minorEastAsia" w:hAnsiTheme="minorHAnsi" w:cstheme="minorBidi"/>
                <w:noProof/>
                <w:lang w:eastAsia="en-AU"/>
              </w:rPr>
              <w:tab/>
            </w:r>
            <w:r w:rsidR="007B270B" w:rsidRPr="00552DCD">
              <w:rPr>
                <w:rStyle w:val="Hyperlink"/>
                <w:noProof/>
              </w:rPr>
              <w:t>Dosage forms and strengths</w:t>
            </w:r>
            <w:r w:rsidR="007B270B">
              <w:rPr>
                <w:noProof/>
                <w:webHidden/>
              </w:rPr>
              <w:tab/>
            </w:r>
            <w:r w:rsidR="007B270B">
              <w:rPr>
                <w:noProof/>
                <w:webHidden/>
              </w:rPr>
              <w:fldChar w:fldCharType="begin"/>
            </w:r>
            <w:r w:rsidR="007B270B">
              <w:rPr>
                <w:noProof/>
                <w:webHidden/>
              </w:rPr>
              <w:instrText xml:space="preserve"> PAGEREF _Toc505762959 \h </w:instrText>
            </w:r>
            <w:r w:rsidR="007B270B">
              <w:rPr>
                <w:noProof/>
                <w:webHidden/>
              </w:rPr>
            </w:r>
            <w:r w:rsidR="007B270B">
              <w:rPr>
                <w:noProof/>
                <w:webHidden/>
              </w:rPr>
              <w:fldChar w:fldCharType="separate"/>
            </w:r>
            <w:r w:rsidR="007B270B">
              <w:rPr>
                <w:noProof/>
                <w:webHidden/>
              </w:rPr>
              <w:t>12</w:t>
            </w:r>
            <w:r w:rsidR="007B270B">
              <w:rPr>
                <w:noProof/>
                <w:webHidden/>
              </w:rPr>
              <w:fldChar w:fldCharType="end"/>
            </w:r>
          </w:hyperlink>
        </w:p>
        <w:p w14:paraId="252AD139"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60" w:history="1">
            <w:r w:rsidR="007B270B" w:rsidRPr="00552DCD">
              <w:rPr>
                <w:rStyle w:val="Hyperlink"/>
                <w:noProof/>
              </w:rPr>
              <w:t>2.</w:t>
            </w:r>
            <w:r w:rsidR="007B270B">
              <w:rPr>
                <w:rFonts w:asciiTheme="minorHAnsi" w:eastAsiaTheme="minorEastAsia" w:hAnsiTheme="minorHAnsi" w:cstheme="minorBidi"/>
                <w:b w:val="0"/>
                <w:noProof/>
                <w:sz w:val="22"/>
                <w:lang w:eastAsia="en-AU"/>
              </w:rPr>
              <w:tab/>
            </w:r>
            <w:r w:rsidR="007B270B" w:rsidRPr="00552DCD">
              <w:rPr>
                <w:rStyle w:val="Hyperlink"/>
                <w:noProof/>
              </w:rPr>
              <w:t>Clinical rationale</w:t>
            </w:r>
            <w:r w:rsidR="007B270B">
              <w:rPr>
                <w:noProof/>
                <w:webHidden/>
              </w:rPr>
              <w:tab/>
            </w:r>
            <w:r w:rsidR="007B270B">
              <w:rPr>
                <w:noProof/>
                <w:webHidden/>
              </w:rPr>
              <w:fldChar w:fldCharType="begin"/>
            </w:r>
            <w:r w:rsidR="007B270B">
              <w:rPr>
                <w:noProof/>
                <w:webHidden/>
              </w:rPr>
              <w:instrText xml:space="preserve"> PAGEREF _Toc505762960 \h </w:instrText>
            </w:r>
            <w:r w:rsidR="007B270B">
              <w:rPr>
                <w:noProof/>
                <w:webHidden/>
              </w:rPr>
            </w:r>
            <w:r w:rsidR="007B270B">
              <w:rPr>
                <w:noProof/>
                <w:webHidden/>
              </w:rPr>
              <w:fldChar w:fldCharType="separate"/>
            </w:r>
            <w:r w:rsidR="007B270B">
              <w:rPr>
                <w:noProof/>
                <w:webHidden/>
              </w:rPr>
              <w:t>12</w:t>
            </w:r>
            <w:r w:rsidR="007B270B">
              <w:rPr>
                <w:noProof/>
                <w:webHidden/>
              </w:rPr>
              <w:fldChar w:fldCharType="end"/>
            </w:r>
          </w:hyperlink>
        </w:p>
        <w:p w14:paraId="76A94960"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1" w:history="1">
            <w:r w:rsidR="007B270B" w:rsidRPr="00552DCD">
              <w:rPr>
                <w:rStyle w:val="Hyperlink"/>
                <w:noProof/>
              </w:rPr>
              <w:t>2.1.</w:t>
            </w:r>
            <w:r w:rsidR="007B270B">
              <w:rPr>
                <w:rFonts w:asciiTheme="minorHAnsi" w:eastAsiaTheme="minorEastAsia" w:hAnsiTheme="minorHAnsi" w:cstheme="minorBidi"/>
                <w:noProof/>
                <w:lang w:eastAsia="en-AU"/>
              </w:rPr>
              <w:tab/>
            </w:r>
            <w:r w:rsidR="007B270B" w:rsidRPr="00552DCD">
              <w:rPr>
                <w:rStyle w:val="Hyperlink"/>
                <w:noProof/>
              </w:rPr>
              <w:t>Clinical rationale</w:t>
            </w:r>
            <w:r w:rsidR="007B270B">
              <w:rPr>
                <w:noProof/>
                <w:webHidden/>
              </w:rPr>
              <w:tab/>
            </w:r>
            <w:r w:rsidR="007B270B">
              <w:rPr>
                <w:noProof/>
                <w:webHidden/>
              </w:rPr>
              <w:fldChar w:fldCharType="begin"/>
            </w:r>
            <w:r w:rsidR="007B270B">
              <w:rPr>
                <w:noProof/>
                <w:webHidden/>
              </w:rPr>
              <w:instrText xml:space="preserve"> PAGEREF _Toc505762961 \h </w:instrText>
            </w:r>
            <w:r w:rsidR="007B270B">
              <w:rPr>
                <w:noProof/>
                <w:webHidden/>
              </w:rPr>
            </w:r>
            <w:r w:rsidR="007B270B">
              <w:rPr>
                <w:noProof/>
                <w:webHidden/>
              </w:rPr>
              <w:fldChar w:fldCharType="separate"/>
            </w:r>
            <w:r w:rsidR="007B270B">
              <w:rPr>
                <w:noProof/>
                <w:webHidden/>
              </w:rPr>
              <w:t>12</w:t>
            </w:r>
            <w:r w:rsidR="007B270B">
              <w:rPr>
                <w:noProof/>
                <w:webHidden/>
              </w:rPr>
              <w:fldChar w:fldCharType="end"/>
            </w:r>
          </w:hyperlink>
        </w:p>
        <w:p w14:paraId="5770E7A0"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2" w:history="1">
            <w:r w:rsidR="007B270B" w:rsidRPr="00552DCD">
              <w:rPr>
                <w:rStyle w:val="Hyperlink"/>
                <w:noProof/>
              </w:rPr>
              <w:t>2.2.</w:t>
            </w:r>
            <w:r w:rsidR="007B270B">
              <w:rPr>
                <w:rFonts w:asciiTheme="minorHAnsi" w:eastAsiaTheme="minorEastAsia" w:hAnsiTheme="minorHAnsi" w:cstheme="minorBidi"/>
                <w:noProof/>
                <w:lang w:eastAsia="en-AU"/>
              </w:rPr>
              <w:tab/>
            </w:r>
            <w:r w:rsidR="007B270B" w:rsidRPr="00552DCD">
              <w:rPr>
                <w:rStyle w:val="Hyperlink"/>
                <w:noProof/>
              </w:rPr>
              <w:t>Formulation development</w:t>
            </w:r>
            <w:r w:rsidR="007B270B">
              <w:rPr>
                <w:noProof/>
                <w:webHidden/>
              </w:rPr>
              <w:tab/>
            </w:r>
            <w:r w:rsidR="007B270B">
              <w:rPr>
                <w:noProof/>
                <w:webHidden/>
              </w:rPr>
              <w:fldChar w:fldCharType="begin"/>
            </w:r>
            <w:r w:rsidR="007B270B">
              <w:rPr>
                <w:noProof/>
                <w:webHidden/>
              </w:rPr>
              <w:instrText xml:space="preserve"> PAGEREF _Toc505762962 \h </w:instrText>
            </w:r>
            <w:r w:rsidR="007B270B">
              <w:rPr>
                <w:noProof/>
                <w:webHidden/>
              </w:rPr>
            </w:r>
            <w:r w:rsidR="007B270B">
              <w:rPr>
                <w:noProof/>
                <w:webHidden/>
              </w:rPr>
              <w:fldChar w:fldCharType="separate"/>
            </w:r>
            <w:r w:rsidR="007B270B">
              <w:rPr>
                <w:noProof/>
                <w:webHidden/>
              </w:rPr>
              <w:t>13</w:t>
            </w:r>
            <w:r w:rsidR="007B270B">
              <w:rPr>
                <w:noProof/>
                <w:webHidden/>
              </w:rPr>
              <w:fldChar w:fldCharType="end"/>
            </w:r>
          </w:hyperlink>
        </w:p>
        <w:p w14:paraId="2172D9CA"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3" w:history="1">
            <w:r w:rsidR="007B270B" w:rsidRPr="00552DCD">
              <w:rPr>
                <w:rStyle w:val="Hyperlink"/>
                <w:noProof/>
              </w:rPr>
              <w:t>2.3.</w:t>
            </w:r>
            <w:r w:rsidR="007B270B">
              <w:rPr>
                <w:rFonts w:asciiTheme="minorHAnsi" w:eastAsiaTheme="minorEastAsia" w:hAnsiTheme="minorHAnsi" w:cstheme="minorBidi"/>
                <w:noProof/>
                <w:lang w:eastAsia="en-AU"/>
              </w:rPr>
              <w:tab/>
            </w:r>
            <w:r w:rsidR="007B270B" w:rsidRPr="00552DCD">
              <w:rPr>
                <w:rStyle w:val="Hyperlink"/>
                <w:noProof/>
              </w:rPr>
              <w:t>Guidance</w:t>
            </w:r>
            <w:r w:rsidR="007B270B">
              <w:rPr>
                <w:noProof/>
                <w:webHidden/>
              </w:rPr>
              <w:tab/>
            </w:r>
            <w:r w:rsidR="007B270B">
              <w:rPr>
                <w:noProof/>
                <w:webHidden/>
              </w:rPr>
              <w:fldChar w:fldCharType="begin"/>
            </w:r>
            <w:r w:rsidR="007B270B">
              <w:rPr>
                <w:noProof/>
                <w:webHidden/>
              </w:rPr>
              <w:instrText xml:space="preserve"> PAGEREF _Toc505762963 \h </w:instrText>
            </w:r>
            <w:r w:rsidR="007B270B">
              <w:rPr>
                <w:noProof/>
                <w:webHidden/>
              </w:rPr>
            </w:r>
            <w:r w:rsidR="007B270B">
              <w:rPr>
                <w:noProof/>
                <w:webHidden/>
              </w:rPr>
              <w:fldChar w:fldCharType="separate"/>
            </w:r>
            <w:r w:rsidR="007B270B">
              <w:rPr>
                <w:noProof/>
                <w:webHidden/>
              </w:rPr>
              <w:t>13</w:t>
            </w:r>
            <w:r w:rsidR="007B270B">
              <w:rPr>
                <w:noProof/>
                <w:webHidden/>
              </w:rPr>
              <w:fldChar w:fldCharType="end"/>
            </w:r>
          </w:hyperlink>
        </w:p>
        <w:p w14:paraId="4E19ED1A"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64" w:history="1">
            <w:r w:rsidR="007B270B" w:rsidRPr="00552DCD">
              <w:rPr>
                <w:rStyle w:val="Hyperlink"/>
                <w:noProof/>
                <w:lang w:eastAsia="en-AU"/>
              </w:rPr>
              <w:t>3.</w:t>
            </w:r>
            <w:r w:rsidR="007B270B">
              <w:rPr>
                <w:rFonts w:asciiTheme="minorHAnsi" w:eastAsiaTheme="minorEastAsia" w:hAnsiTheme="minorHAnsi" w:cstheme="minorBidi"/>
                <w:b w:val="0"/>
                <w:noProof/>
                <w:sz w:val="22"/>
                <w:lang w:eastAsia="en-AU"/>
              </w:rPr>
              <w:tab/>
            </w:r>
            <w:r w:rsidR="007B270B" w:rsidRPr="00552DCD">
              <w:rPr>
                <w:rStyle w:val="Hyperlink"/>
                <w:noProof/>
                <w:lang w:eastAsia="en-AU"/>
              </w:rPr>
              <w:t>Contents of the clinical dossier</w:t>
            </w:r>
            <w:r w:rsidR="007B270B">
              <w:rPr>
                <w:noProof/>
                <w:webHidden/>
              </w:rPr>
              <w:tab/>
            </w:r>
            <w:r w:rsidR="007B270B">
              <w:rPr>
                <w:noProof/>
                <w:webHidden/>
              </w:rPr>
              <w:fldChar w:fldCharType="begin"/>
            </w:r>
            <w:r w:rsidR="007B270B">
              <w:rPr>
                <w:noProof/>
                <w:webHidden/>
              </w:rPr>
              <w:instrText xml:space="preserve"> PAGEREF _Toc505762964 \h </w:instrText>
            </w:r>
            <w:r w:rsidR="007B270B">
              <w:rPr>
                <w:noProof/>
                <w:webHidden/>
              </w:rPr>
            </w:r>
            <w:r w:rsidR="007B270B">
              <w:rPr>
                <w:noProof/>
                <w:webHidden/>
              </w:rPr>
              <w:fldChar w:fldCharType="separate"/>
            </w:r>
            <w:r w:rsidR="007B270B">
              <w:rPr>
                <w:noProof/>
                <w:webHidden/>
              </w:rPr>
              <w:t>13</w:t>
            </w:r>
            <w:r w:rsidR="007B270B">
              <w:rPr>
                <w:noProof/>
                <w:webHidden/>
              </w:rPr>
              <w:fldChar w:fldCharType="end"/>
            </w:r>
          </w:hyperlink>
        </w:p>
        <w:p w14:paraId="53A9ECAA"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5" w:history="1">
            <w:r w:rsidR="007B270B" w:rsidRPr="00552DCD">
              <w:rPr>
                <w:rStyle w:val="Hyperlink"/>
                <w:noProof/>
              </w:rPr>
              <w:t>3.1.</w:t>
            </w:r>
            <w:r w:rsidR="007B270B">
              <w:rPr>
                <w:rFonts w:asciiTheme="minorHAnsi" w:eastAsiaTheme="minorEastAsia" w:hAnsiTheme="minorHAnsi" w:cstheme="minorBidi"/>
                <w:noProof/>
                <w:lang w:eastAsia="en-AU"/>
              </w:rPr>
              <w:tab/>
            </w:r>
            <w:r w:rsidR="007B270B" w:rsidRPr="00552DCD">
              <w:rPr>
                <w:rStyle w:val="Hyperlink"/>
                <w:noProof/>
              </w:rPr>
              <w:t>Scope of the clinical dossier</w:t>
            </w:r>
            <w:r w:rsidR="007B270B">
              <w:rPr>
                <w:noProof/>
                <w:webHidden/>
              </w:rPr>
              <w:tab/>
            </w:r>
            <w:r w:rsidR="007B270B">
              <w:rPr>
                <w:noProof/>
                <w:webHidden/>
              </w:rPr>
              <w:fldChar w:fldCharType="begin"/>
            </w:r>
            <w:r w:rsidR="007B270B">
              <w:rPr>
                <w:noProof/>
                <w:webHidden/>
              </w:rPr>
              <w:instrText xml:space="preserve"> PAGEREF _Toc505762965 \h </w:instrText>
            </w:r>
            <w:r w:rsidR="007B270B">
              <w:rPr>
                <w:noProof/>
                <w:webHidden/>
              </w:rPr>
            </w:r>
            <w:r w:rsidR="007B270B">
              <w:rPr>
                <w:noProof/>
                <w:webHidden/>
              </w:rPr>
              <w:fldChar w:fldCharType="separate"/>
            </w:r>
            <w:r w:rsidR="007B270B">
              <w:rPr>
                <w:noProof/>
                <w:webHidden/>
              </w:rPr>
              <w:t>13</w:t>
            </w:r>
            <w:r w:rsidR="007B270B">
              <w:rPr>
                <w:noProof/>
                <w:webHidden/>
              </w:rPr>
              <w:fldChar w:fldCharType="end"/>
            </w:r>
          </w:hyperlink>
        </w:p>
        <w:p w14:paraId="38E91704"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6" w:history="1">
            <w:r w:rsidR="007B270B" w:rsidRPr="00552DCD">
              <w:rPr>
                <w:rStyle w:val="Hyperlink"/>
                <w:noProof/>
              </w:rPr>
              <w:t>3.2.</w:t>
            </w:r>
            <w:r w:rsidR="007B270B">
              <w:rPr>
                <w:rFonts w:asciiTheme="minorHAnsi" w:eastAsiaTheme="minorEastAsia" w:hAnsiTheme="minorHAnsi" w:cstheme="minorBidi"/>
                <w:noProof/>
                <w:lang w:eastAsia="en-AU"/>
              </w:rPr>
              <w:tab/>
            </w:r>
            <w:r w:rsidR="007B270B" w:rsidRPr="00552DCD">
              <w:rPr>
                <w:rStyle w:val="Hyperlink"/>
                <w:noProof/>
              </w:rPr>
              <w:t>Paediatric data</w:t>
            </w:r>
            <w:r w:rsidR="007B270B">
              <w:rPr>
                <w:noProof/>
                <w:webHidden/>
              </w:rPr>
              <w:tab/>
            </w:r>
            <w:r w:rsidR="007B270B">
              <w:rPr>
                <w:noProof/>
                <w:webHidden/>
              </w:rPr>
              <w:fldChar w:fldCharType="begin"/>
            </w:r>
            <w:r w:rsidR="007B270B">
              <w:rPr>
                <w:noProof/>
                <w:webHidden/>
              </w:rPr>
              <w:instrText xml:space="preserve"> PAGEREF _Toc505762966 \h </w:instrText>
            </w:r>
            <w:r w:rsidR="007B270B">
              <w:rPr>
                <w:noProof/>
                <w:webHidden/>
              </w:rPr>
            </w:r>
            <w:r w:rsidR="007B270B">
              <w:rPr>
                <w:noProof/>
                <w:webHidden/>
              </w:rPr>
              <w:fldChar w:fldCharType="separate"/>
            </w:r>
            <w:r w:rsidR="007B270B">
              <w:rPr>
                <w:noProof/>
                <w:webHidden/>
              </w:rPr>
              <w:t>14</w:t>
            </w:r>
            <w:r w:rsidR="007B270B">
              <w:rPr>
                <w:noProof/>
                <w:webHidden/>
              </w:rPr>
              <w:fldChar w:fldCharType="end"/>
            </w:r>
          </w:hyperlink>
        </w:p>
        <w:p w14:paraId="6124C573"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7" w:history="1">
            <w:r w:rsidR="007B270B" w:rsidRPr="00552DCD">
              <w:rPr>
                <w:rStyle w:val="Hyperlink"/>
                <w:noProof/>
              </w:rPr>
              <w:t>3.3.</w:t>
            </w:r>
            <w:r w:rsidR="007B270B">
              <w:rPr>
                <w:rFonts w:asciiTheme="minorHAnsi" w:eastAsiaTheme="minorEastAsia" w:hAnsiTheme="minorHAnsi" w:cstheme="minorBidi"/>
                <w:noProof/>
                <w:lang w:eastAsia="en-AU"/>
              </w:rPr>
              <w:tab/>
            </w:r>
            <w:r w:rsidR="007B270B" w:rsidRPr="00552DCD">
              <w:rPr>
                <w:rStyle w:val="Hyperlink"/>
                <w:noProof/>
              </w:rPr>
              <w:t>Good clinical practice</w:t>
            </w:r>
            <w:r w:rsidR="007B270B">
              <w:rPr>
                <w:noProof/>
                <w:webHidden/>
              </w:rPr>
              <w:tab/>
            </w:r>
            <w:r w:rsidR="007B270B">
              <w:rPr>
                <w:noProof/>
                <w:webHidden/>
              </w:rPr>
              <w:fldChar w:fldCharType="begin"/>
            </w:r>
            <w:r w:rsidR="007B270B">
              <w:rPr>
                <w:noProof/>
                <w:webHidden/>
              </w:rPr>
              <w:instrText xml:space="preserve"> PAGEREF _Toc505762967 \h </w:instrText>
            </w:r>
            <w:r w:rsidR="007B270B">
              <w:rPr>
                <w:noProof/>
                <w:webHidden/>
              </w:rPr>
            </w:r>
            <w:r w:rsidR="007B270B">
              <w:rPr>
                <w:noProof/>
                <w:webHidden/>
              </w:rPr>
              <w:fldChar w:fldCharType="separate"/>
            </w:r>
            <w:r w:rsidR="007B270B">
              <w:rPr>
                <w:noProof/>
                <w:webHidden/>
              </w:rPr>
              <w:t>14</w:t>
            </w:r>
            <w:r w:rsidR="007B270B">
              <w:rPr>
                <w:noProof/>
                <w:webHidden/>
              </w:rPr>
              <w:fldChar w:fldCharType="end"/>
            </w:r>
          </w:hyperlink>
        </w:p>
        <w:p w14:paraId="5AB7B42D"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68" w:history="1">
            <w:r w:rsidR="007B270B" w:rsidRPr="00552DCD">
              <w:rPr>
                <w:rStyle w:val="Hyperlink"/>
                <w:noProof/>
              </w:rPr>
              <w:t>4.</w:t>
            </w:r>
            <w:r w:rsidR="007B270B">
              <w:rPr>
                <w:rFonts w:asciiTheme="minorHAnsi" w:eastAsiaTheme="minorEastAsia" w:hAnsiTheme="minorHAnsi" w:cstheme="minorBidi"/>
                <w:b w:val="0"/>
                <w:noProof/>
                <w:sz w:val="22"/>
                <w:lang w:eastAsia="en-AU"/>
              </w:rPr>
              <w:tab/>
            </w:r>
            <w:r w:rsidR="007B270B" w:rsidRPr="00552DCD">
              <w:rPr>
                <w:rStyle w:val="Hyperlink"/>
                <w:noProof/>
              </w:rPr>
              <w:t>Pharmacokinetics</w:t>
            </w:r>
            <w:r w:rsidR="007B270B">
              <w:rPr>
                <w:noProof/>
                <w:webHidden/>
              </w:rPr>
              <w:tab/>
            </w:r>
            <w:r w:rsidR="007B270B">
              <w:rPr>
                <w:noProof/>
                <w:webHidden/>
              </w:rPr>
              <w:fldChar w:fldCharType="begin"/>
            </w:r>
            <w:r w:rsidR="007B270B">
              <w:rPr>
                <w:noProof/>
                <w:webHidden/>
              </w:rPr>
              <w:instrText xml:space="preserve"> PAGEREF _Toc505762968 \h </w:instrText>
            </w:r>
            <w:r w:rsidR="007B270B">
              <w:rPr>
                <w:noProof/>
                <w:webHidden/>
              </w:rPr>
            </w:r>
            <w:r w:rsidR="007B270B">
              <w:rPr>
                <w:noProof/>
                <w:webHidden/>
              </w:rPr>
              <w:fldChar w:fldCharType="separate"/>
            </w:r>
            <w:r w:rsidR="007B270B">
              <w:rPr>
                <w:noProof/>
                <w:webHidden/>
              </w:rPr>
              <w:t>14</w:t>
            </w:r>
            <w:r w:rsidR="007B270B">
              <w:rPr>
                <w:noProof/>
                <w:webHidden/>
              </w:rPr>
              <w:fldChar w:fldCharType="end"/>
            </w:r>
          </w:hyperlink>
        </w:p>
        <w:p w14:paraId="548815A9"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69" w:history="1">
            <w:r w:rsidR="007B270B" w:rsidRPr="00552DCD">
              <w:rPr>
                <w:rStyle w:val="Hyperlink"/>
                <w:noProof/>
              </w:rPr>
              <w:t>4.1.</w:t>
            </w:r>
            <w:r w:rsidR="007B270B">
              <w:rPr>
                <w:rFonts w:asciiTheme="minorHAnsi" w:eastAsiaTheme="minorEastAsia" w:hAnsiTheme="minorHAnsi" w:cstheme="minorBidi"/>
                <w:noProof/>
                <w:lang w:eastAsia="en-AU"/>
              </w:rPr>
              <w:tab/>
            </w:r>
            <w:r w:rsidR="007B270B" w:rsidRPr="00552DCD">
              <w:rPr>
                <w:rStyle w:val="Hyperlink"/>
                <w:noProof/>
              </w:rPr>
              <w:t>Studies providing pharmacokinetic data</w:t>
            </w:r>
            <w:r w:rsidR="007B270B">
              <w:rPr>
                <w:noProof/>
                <w:webHidden/>
              </w:rPr>
              <w:tab/>
            </w:r>
            <w:r w:rsidR="007B270B">
              <w:rPr>
                <w:noProof/>
                <w:webHidden/>
              </w:rPr>
              <w:fldChar w:fldCharType="begin"/>
            </w:r>
            <w:r w:rsidR="007B270B">
              <w:rPr>
                <w:noProof/>
                <w:webHidden/>
              </w:rPr>
              <w:instrText xml:space="preserve"> PAGEREF _Toc505762969 \h </w:instrText>
            </w:r>
            <w:r w:rsidR="007B270B">
              <w:rPr>
                <w:noProof/>
                <w:webHidden/>
              </w:rPr>
            </w:r>
            <w:r w:rsidR="007B270B">
              <w:rPr>
                <w:noProof/>
                <w:webHidden/>
              </w:rPr>
              <w:fldChar w:fldCharType="separate"/>
            </w:r>
            <w:r w:rsidR="007B270B">
              <w:rPr>
                <w:noProof/>
                <w:webHidden/>
              </w:rPr>
              <w:t>14</w:t>
            </w:r>
            <w:r w:rsidR="007B270B">
              <w:rPr>
                <w:noProof/>
                <w:webHidden/>
              </w:rPr>
              <w:fldChar w:fldCharType="end"/>
            </w:r>
          </w:hyperlink>
        </w:p>
        <w:p w14:paraId="03B3E324"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0" w:history="1">
            <w:r w:rsidR="007B270B" w:rsidRPr="00552DCD">
              <w:rPr>
                <w:rStyle w:val="Hyperlink"/>
                <w:noProof/>
              </w:rPr>
              <w:t>4.2.</w:t>
            </w:r>
            <w:r w:rsidR="007B270B">
              <w:rPr>
                <w:rFonts w:asciiTheme="minorHAnsi" w:eastAsiaTheme="minorEastAsia" w:hAnsiTheme="minorHAnsi" w:cstheme="minorBidi"/>
                <w:noProof/>
                <w:lang w:eastAsia="en-AU"/>
              </w:rPr>
              <w:tab/>
            </w:r>
            <w:r w:rsidR="007B270B" w:rsidRPr="00552DCD">
              <w:rPr>
                <w:rStyle w:val="Hyperlink"/>
                <w:noProof/>
              </w:rPr>
              <w:t>Summary of pharmacokinetics</w:t>
            </w:r>
            <w:r w:rsidR="007B270B">
              <w:rPr>
                <w:noProof/>
                <w:webHidden/>
              </w:rPr>
              <w:tab/>
            </w:r>
            <w:r w:rsidR="007B270B">
              <w:rPr>
                <w:noProof/>
                <w:webHidden/>
              </w:rPr>
              <w:fldChar w:fldCharType="begin"/>
            </w:r>
            <w:r w:rsidR="007B270B">
              <w:rPr>
                <w:noProof/>
                <w:webHidden/>
              </w:rPr>
              <w:instrText xml:space="preserve"> PAGEREF _Toc505762970 \h </w:instrText>
            </w:r>
            <w:r w:rsidR="007B270B">
              <w:rPr>
                <w:noProof/>
                <w:webHidden/>
              </w:rPr>
            </w:r>
            <w:r w:rsidR="007B270B">
              <w:rPr>
                <w:noProof/>
                <w:webHidden/>
              </w:rPr>
              <w:fldChar w:fldCharType="separate"/>
            </w:r>
            <w:r w:rsidR="007B270B">
              <w:rPr>
                <w:noProof/>
                <w:webHidden/>
              </w:rPr>
              <w:t>15</w:t>
            </w:r>
            <w:r w:rsidR="007B270B">
              <w:rPr>
                <w:noProof/>
                <w:webHidden/>
              </w:rPr>
              <w:fldChar w:fldCharType="end"/>
            </w:r>
          </w:hyperlink>
        </w:p>
        <w:p w14:paraId="271DA163"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1" w:history="1">
            <w:r w:rsidR="007B270B" w:rsidRPr="00552DCD">
              <w:rPr>
                <w:rStyle w:val="Hyperlink"/>
                <w:noProof/>
              </w:rPr>
              <w:t>4.3.</w:t>
            </w:r>
            <w:r w:rsidR="007B270B">
              <w:rPr>
                <w:rFonts w:asciiTheme="minorHAnsi" w:eastAsiaTheme="minorEastAsia" w:hAnsiTheme="minorHAnsi" w:cstheme="minorBidi"/>
                <w:noProof/>
                <w:lang w:eastAsia="en-AU"/>
              </w:rPr>
              <w:tab/>
            </w:r>
            <w:r w:rsidR="007B270B" w:rsidRPr="00552DCD">
              <w:rPr>
                <w:rStyle w:val="Hyperlink"/>
                <w:noProof/>
              </w:rPr>
              <w:t>Summary of results of individual studies</w:t>
            </w:r>
            <w:r w:rsidR="007B270B">
              <w:rPr>
                <w:noProof/>
                <w:webHidden/>
              </w:rPr>
              <w:tab/>
            </w:r>
            <w:r w:rsidR="007B270B">
              <w:rPr>
                <w:noProof/>
                <w:webHidden/>
              </w:rPr>
              <w:fldChar w:fldCharType="begin"/>
            </w:r>
            <w:r w:rsidR="007B270B">
              <w:rPr>
                <w:noProof/>
                <w:webHidden/>
              </w:rPr>
              <w:instrText xml:space="preserve"> PAGEREF _Toc505762971 \h </w:instrText>
            </w:r>
            <w:r w:rsidR="007B270B">
              <w:rPr>
                <w:noProof/>
                <w:webHidden/>
              </w:rPr>
            </w:r>
            <w:r w:rsidR="007B270B">
              <w:rPr>
                <w:noProof/>
                <w:webHidden/>
              </w:rPr>
              <w:fldChar w:fldCharType="separate"/>
            </w:r>
            <w:r w:rsidR="007B270B">
              <w:rPr>
                <w:noProof/>
                <w:webHidden/>
              </w:rPr>
              <w:t>16</w:t>
            </w:r>
            <w:r w:rsidR="007B270B">
              <w:rPr>
                <w:noProof/>
                <w:webHidden/>
              </w:rPr>
              <w:fldChar w:fldCharType="end"/>
            </w:r>
          </w:hyperlink>
        </w:p>
        <w:p w14:paraId="36C52D7B"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2" w:history="1">
            <w:r w:rsidR="007B270B" w:rsidRPr="00552DCD">
              <w:rPr>
                <w:rStyle w:val="Hyperlink"/>
                <w:noProof/>
              </w:rPr>
              <w:t>4.4.</w:t>
            </w:r>
            <w:r w:rsidR="007B270B">
              <w:rPr>
                <w:rFonts w:asciiTheme="minorHAnsi" w:eastAsiaTheme="minorEastAsia" w:hAnsiTheme="minorHAnsi" w:cstheme="minorBidi"/>
                <w:noProof/>
                <w:lang w:eastAsia="en-AU"/>
              </w:rPr>
              <w:tab/>
            </w:r>
            <w:r w:rsidR="007B270B" w:rsidRPr="00552DCD">
              <w:rPr>
                <w:rStyle w:val="Hyperlink"/>
                <w:noProof/>
              </w:rPr>
              <w:t>General description of blinatumomab pharmacokinetics</w:t>
            </w:r>
            <w:r w:rsidR="007B270B">
              <w:rPr>
                <w:noProof/>
                <w:webHidden/>
              </w:rPr>
              <w:tab/>
            </w:r>
            <w:r w:rsidR="007B270B">
              <w:rPr>
                <w:noProof/>
                <w:webHidden/>
              </w:rPr>
              <w:fldChar w:fldCharType="begin"/>
            </w:r>
            <w:r w:rsidR="007B270B">
              <w:rPr>
                <w:noProof/>
                <w:webHidden/>
              </w:rPr>
              <w:instrText xml:space="preserve"> PAGEREF _Toc505762972 \h </w:instrText>
            </w:r>
            <w:r w:rsidR="007B270B">
              <w:rPr>
                <w:noProof/>
                <w:webHidden/>
              </w:rPr>
            </w:r>
            <w:r w:rsidR="007B270B">
              <w:rPr>
                <w:noProof/>
                <w:webHidden/>
              </w:rPr>
              <w:fldChar w:fldCharType="separate"/>
            </w:r>
            <w:r w:rsidR="007B270B">
              <w:rPr>
                <w:noProof/>
                <w:webHidden/>
              </w:rPr>
              <w:t>26</w:t>
            </w:r>
            <w:r w:rsidR="007B270B">
              <w:rPr>
                <w:noProof/>
                <w:webHidden/>
              </w:rPr>
              <w:fldChar w:fldCharType="end"/>
            </w:r>
          </w:hyperlink>
        </w:p>
        <w:p w14:paraId="456E8B58"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3" w:history="1">
            <w:r w:rsidR="007B270B" w:rsidRPr="00552DCD">
              <w:rPr>
                <w:rStyle w:val="Hyperlink"/>
                <w:noProof/>
              </w:rPr>
              <w:t>4.5.</w:t>
            </w:r>
            <w:r w:rsidR="007B270B">
              <w:rPr>
                <w:rFonts w:asciiTheme="minorHAnsi" w:eastAsiaTheme="minorEastAsia" w:hAnsiTheme="minorHAnsi" w:cstheme="minorBidi"/>
                <w:noProof/>
                <w:lang w:eastAsia="en-AU"/>
              </w:rPr>
              <w:tab/>
            </w:r>
            <w:r w:rsidR="007B270B" w:rsidRPr="00552DCD">
              <w:rPr>
                <w:rStyle w:val="Hyperlink"/>
                <w:noProof/>
              </w:rPr>
              <w:t>Study 119137 Population pharmacokinetic analysis</w:t>
            </w:r>
            <w:r w:rsidR="007B270B">
              <w:rPr>
                <w:noProof/>
                <w:webHidden/>
              </w:rPr>
              <w:tab/>
            </w:r>
            <w:r w:rsidR="007B270B">
              <w:rPr>
                <w:noProof/>
                <w:webHidden/>
              </w:rPr>
              <w:fldChar w:fldCharType="begin"/>
            </w:r>
            <w:r w:rsidR="007B270B">
              <w:rPr>
                <w:noProof/>
                <w:webHidden/>
              </w:rPr>
              <w:instrText xml:space="preserve"> PAGEREF _Toc505762973 \h </w:instrText>
            </w:r>
            <w:r w:rsidR="007B270B">
              <w:rPr>
                <w:noProof/>
                <w:webHidden/>
              </w:rPr>
            </w:r>
            <w:r w:rsidR="007B270B">
              <w:rPr>
                <w:noProof/>
                <w:webHidden/>
              </w:rPr>
              <w:fldChar w:fldCharType="separate"/>
            </w:r>
            <w:r w:rsidR="007B270B">
              <w:rPr>
                <w:noProof/>
                <w:webHidden/>
              </w:rPr>
              <w:t>34</w:t>
            </w:r>
            <w:r w:rsidR="007B270B">
              <w:rPr>
                <w:noProof/>
                <w:webHidden/>
              </w:rPr>
              <w:fldChar w:fldCharType="end"/>
            </w:r>
          </w:hyperlink>
        </w:p>
        <w:p w14:paraId="3CE489A2"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4" w:history="1">
            <w:r w:rsidR="007B270B" w:rsidRPr="00552DCD">
              <w:rPr>
                <w:rStyle w:val="Hyperlink"/>
                <w:noProof/>
              </w:rPr>
              <w:t>4.6.</w:t>
            </w:r>
            <w:r w:rsidR="007B270B">
              <w:rPr>
                <w:rFonts w:asciiTheme="minorHAnsi" w:eastAsiaTheme="minorEastAsia" w:hAnsiTheme="minorHAnsi" w:cstheme="minorBidi"/>
                <w:noProof/>
                <w:lang w:eastAsia="en-AU"/>
              </w:rPr>
              <w:tab/>
            </w:r>
            <w:r w:rsidR="007B270B" w:rsidRPr="00552DCD">
              <w:rPr>
                <w:rStyle w:val="Hyperlink"/>
                <w:noProof/>
              </w:rPr>
              <w:t>Evaluator’s overall conclusions on pharmacokinetics</w:t>
            </w:r>
            <w:r w:rsidR="007B270B">
              <w:rPr>
                <w:noProof/>
                <w:webHidden/>
              </w:rPr>
              <w:tab/>
            </w:r>
            <w:r w:rsidR="007B270B">
              <w:rPr>
                <w:noProof/>
                <w:webHidden/>
              </w:rPr>
              <w:fldChar w:fldCharType="begin"/>
            </w:r>
            <w:r w:rsidR="007B270B">
              <w:rPr>
                <w:noProof/>
                <w:webHidden/>
              </w:rPr>
              <w:instrText xml:space="preserve"> PAGEREF _Toc505762974 \h </w:instrText>
            </w:r>
            <w:r w:rsidR="007B270B">
              <w:rPr>
                <w:noProof/>
                <w:webHidden/>
              </w:rPr>
            </w:r>
            <w:r w:rsidR="007B270B">
              <w:rPr>
                <w:noProof/>
                <w:webHidden/>
              </w:rPr>
              <w:fldChar w:fldCharType="separate"/>
            </w:r>
            <w:r w:rsidR="007B270B">
              <w:rPr>
                <w:noProof/>
                <w:webHidden/>
              </w:rPr>
              <w:t>37</w:t>
            </w:r>
            <w:r w:rsidR="007B270B">
              <w:rPr>
                <w:noProof/>
                <w:webHidden/>
              </w:rPr>
              <w:fldChar w:fldCharType="end"/>
            </w:r>
          </w:hyperlink>
        </w:p>
        <w:p w14:paraId="2680DD73"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75" w:history="1">
            <w:r w:rsidR="007B270B" w:rsidRPr="00552DCD">
              <w:rPr>
                <w:rStyle w:val="Hyperlink"/>
                <w:noProof/>
              </w:rPr>
              <w:t>5.</w:t>
            </w:r>
            <w:r w:rsidR="007B270B">
              <w:rPr>
                <w:rFonts w:asciiTheme="minorHAnsi" w:eastAsiaTheme="minorEastAsia" w:hAnsiTheme="minorHAnsi" w:cstheme="minorBidi"/>
                <w:b w:val="0"/>
                <w:noProof/>
                <w:sz w:val="22"/>
                <w:lang w:eastAsia="en-AU"/>
              </w:rPr>
              <w:tab/>
            </w:r>
            <w:r w:rsidR="007B270B" w:rsidRPr="00552DCD">
              <w:rPr>
                <w:rStyle w:val="Hyperlink"/>
                <w:noProof/>
              </w:rPr>
              <w:t>Pharmacodynamics</w:t>
            </w:r>
            <w:r w:rsidR="007B270B">
              <w:rPr>
                <w:noProof/>
                <w:webHidden/>
              </w:rPr>
              <w:tab/>
            </w:r>
            <w:r w:rsidR="007B270B">
              <w:rPr>
                <w:noProof/>
                <w:webHidden/>
              </w:rPr>
              <w:fldChar w:fldCharType="begin"/>
            </w:r>
            <w:r w:rsidR="007B270B">
              <w:rPr>
                <w:noProof/>
                <w:webHidden/>
              </w:rPr>
              <w:instrText xml:space="preserve"> PAGEREF _Toc505762975 \h </w:instrText>
            </w:r>
            <w:r w:rsidR="007B270B">
              <w:rPr>
                <w:noProof/>
                <w:webHidden/>
              </w:rPr>
            </w:r>
            <w:r w:rsidR="007B270B">
              <w:rPr>
                <w:noProof/>
                <w:webHidden/>
              </w:rPr>
              <w:fldChar w:fldCharType="separate"/>
            </w:r>
            <w:r w:rsidR="007B270B">
              <w:rPr>
                <w:noProof/>
                <w:webHidden/>
              </w:rPr>
              <w:t>38</w:t>
            </w:r>
            <w:r w:rsidR="007B270B">
              <w:rPr>
                <w:noProof/>
                <w:webHidden/>
              </w:rPr>
              <w:fldChar w:fldCharType="end"/>
            </w:r>
          </w:hyperlink>
        </w:p>
        <w:p w14:paraId="38BC5733"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6" w:history="1">
            <w:r w:rsidR="007B270B" w:rsidRPr="00552DCD">
              <w:rPr>
                <w:rStyle w:val="Hyperlink"/>
                <w:noProof/>
              </w:rPr>
              <w:t>5.1.</w:t>
            </w:r>
            <w:r w:rsidR="007B270B">
              <w:rPr>
                <w:rFonts w:asciiTheme="minorHAnsi" w:eastAsiaTheme="minorEastAsia" w:hAnsiTheme="minorHAnsi" w:cstheme="minorBidi"/>
                <w:noProof/>
                <w:lang w:eastAsia="en-AU"/>
              </w:rPr>
              <w:tab/>
            </w:r>
            <w:r w:rsidR="007B270B" w:rsidRPr="00552DCD">
              <w:rPr>
                <w:rStyle w:val="Hyperlink"/>
                <w:noProof/>
              </w:rPr>
              <w:t>Studies providing pharmacodynamic data</w:t>
            </w:r>
            <w:r w:rsidR="007B270B">
              <w:rPr>
                <w:noProof/>
                <w:webHidden/>
              </w:rPr>
              <w:tab/>
            </w:r>
            <w:r w:rsidR="007B270B">
              <w:rPr>
                <w:noProof/>
                <w:webHidden/>
              </w:rPr>
              <w:fldChar w:fldCharType="begin"/>
            </w:r>
            <w:r w:rsidR="007B270B">
              <w:rPr>
                <w:noProof/>
                <w:webHidden/>
              </w:rPr>
              <w:instrText xml:space="preserve"> PAGEREF _Toc505762976 \h </w:instrText>
            </w:r>
            <w:r w:rsidR="007B270B">
              <w:rPr>
                <w:noProof/>
                <w:webHidden/>
              </w:rPr>
            </w:r>
            <w:r w:rsidR="007B270B">
              <w:rPr>
                <w:noProof/>
                <w:webHidden/>
              </w:rPr>
              <w:fldChar w:fldCharType="separate"/>
            </w:r>
            <w:r w:rsidR="007B270B">
              <w:rPr>
                <w:noProof/>
                <w:webHidden/>
              </w:rPr>
              <w:t>38</w:t>
            </w:r>
            <w:r w:rsidR="007B270B">
              <w:rPr>
                <w:noProof/>
                <w:webHidden/>
              </w:rPr>
              <w:fldChar w:fldCharType="end"/>
            </w:r>
          </w:hyperlink>
        </w:p>
        <w:p w14:paraId="2C6A11E0"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7" w:history="1">
            <w:r w:rsidR="007B270B" w:rsidRPr="00552DCD">
              <w:rPr>
                <w:rStyle w:val="Hyperlink"/>
                <w:noProof/>
              </w:rPr>
              <w:t>5.2.</w:t>
            </w:r>
            <w:r w:rsidR="007B270B">
              <w:rPr>
                <w:rFonts w:asciiTheme="minorHAnsi" w:eastAsiaTheme="minorEastAsia" w:hAnsiTheme="minorHAnsi" w:cstheme="minorBidi"/>
                <w:noProof/>
                <w:lang w:eastAsia="en-AU"/>
              </w:rPr>
              <w:tab/>
            </w:r>
            <w:r w:rsidR="007B270B" w:rsidRPr="00552DCD">
              <w:rPr>
                <w:rStyle w:val="Hyperlink"/>
                <w:noProof/>
              </w:rPr>
              <w:t>Summary of pharmacodynamics</w:t>
            </w:r>
            <w:r w:rsidR="007B270B">
              <w:rPr>
                <w:noProof/>
                <w:webHidden/>
              </w:rPr>
              <w:tab/>
            </w:r>
            <w:r w:rsidR="007B270B">
              <w:rPr>
                <w:noProof/>
                <w:webHidden/>
              </w:rPr>
              <w:fldChar w:fldCharType="begin"/>
            </w:r>
            <w:r w:rsidR="007B270B">
              <w:rPr>
                <w:noProof/>
                <w:webHidden/>
              </w:rPr>
              <w:instrText xml:space="preserve"> PAGEREF _Toc505762977 \h </w:instrText>
            </w:r>
            <w:r w:rsidR="007B270B">
              <w:rPr>
                <w:noProof/>
                <w:webHidden/>
              </w:rPr>
            </w:r>
            <w:r w:rsidR="007B270B">
              <w:rPr>
                <w:noProof/>
                <w:webHidden/>
              </w:rPr>
              <w:fldChar w:fldCharType="separate"/>
            </w:r>
            <w:r w:rsidR="007B270B">
              <w:rPr>
                <w:noProof/>
                <w:webHidden/>
              </w:rPr>
              <w:t>40</w:t>
            </w:r>
            <w:r w:rsidR="007B270B">
              <w:rPr>
                <w:noProof/>
                <w:webHidden/>
              </w:rPr>
              <w:fldChar w:fldCharType="end"/>
            </w:r>
          </w:hyperlink>
        </w:p>
        <w:p w14:paraId="7C3C89C0"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78" w:history="1">
            <w:r w:rsidR="007B270B" w:rsidRPr="00552DCD">
              <w:rPr>
                <w:rStyle w:val="Hyperlink"/>
                <w:noProof/>
              </w:rPr>
              <w:t>5.3.</w:t>
            </w:r>
            <w:r w:rsidR="007B270B">
              <w:rPr>
                <w:rFonts w:asciiTheme="minorHAnsi" w:eastAsiaTheme="minorEastAsia" w:hAnsiTheme="minorHAnsi" w:cstheme="minorBidi"/>
                <w:noProof/>
                <w:lang w:eastAsia="en-AU"/>
              </w:rPr>
              <w:tab/>
            </w:r>
            <w:r w:rsidR="007B270B" w:rsidRPr="00552DCD">
              <w:rPr>
                <w:rStyle w:val="Hyperlink"/>
                <w:noProof/>
              </w:rPr>
              <w:t>Evaluator’s overall conclusions on pharmacodynamics</w:t>
            </w:r>
            <w:r w:rsidR="007B270B">
              <w:rPr>
                <w:noProof/>
                <w:webHidden/>
              </w:rPr>
              <w:tab/>
            </w:r>
            <w:r w:rsidR="007B270B">
              <w:rPr>
                <w:noProof/>
                <w:webHidden/>
              </w:rPr>
              <w:fldChar w:fldCharType="begin"/>
            </w:r>
            <w:r w:rsidR="007B270B">
              <w:rPr>
                <w:noProof/>
                <w:webHidden/>
              </w:rPr>
              <w:instrText xml:space="preserve"> PAGEREF _Toc505762978 \h </w:instrText>
            </w:r>
            <w:r w:rsidR="007B270B">
              <w:rPr>
                <w:noProof/>
                <w:webHidden/>
              </w:rPr>
            </w:r>
            <w:r w:rsidR="007B270B">
              <w:rPr>
                <w:noProof/>
                <w:webHidden/>
              </w:rPr>
              <w:fldChar w:fldCharType="separate"/>
            </w:r>
            <w:r w:rsidR="007B270B">
              <w:rPr>
                <w:noProof/>
                <w:webHidden/>
              </w:rPr>
              <w:t>50</w:t>
            </w:r>
            <w:r w:rsidR="007B270B">
              <w:rPr>
                <w:noProof/>
                <w:webHidden/>
              </w:rPr>
              <w:fldChar w:fldCharType="end"/>
            </w:r>
          </w:hyperlink>
        </w:p>
        <w:p w14:paraId="397D809D"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79" w:history="1">
            <w:r w:rsidR="007B270B" w:rsidRPr="00552DCD">
              <w:rPr>
                <w:rStyle w:val="Hyperlink"/>
                <w:noProof/>
              </w:rPr>
              <w:t>6.</w:t>
            </w:r>
            <w:r w:rsidR="007B270B">
              <w:rPr>
                <w:rFonts w:asciiTheme="minorHAnsi" w:eastAsiaTheme="minorEastAsia" w:hAnsiTheme="minorHAnsi" w:cstheme="minorBidi"/>
                <w:b w:val="0"/>
                <w:noProof/>
                <w:sz w:val="22"/>
                <w:lang w:eastAsia="en-AU"/>
              </w:rPr>
              <w:tab/>
            </w:r>
            <w:r w:rsidR="007B270B" w:rsidRPr="00552DCD">
              <w:rPr>
                <w:rStyle w:val="Hyperlink"/>
                <w:noProof/>
              </w:rPr>
              <w:t>Dosage selection for the pivotal studies</w:t>
            </w:r>
            <w:r w:rsidR="007B270B">
              <w:rPr>
                <w:noProof/>
                <w:webHidden/>
              </w:rPr>
              <w:tab/>
            </w:r>
            <w:r w:rsidR="007B270B">
              <w:rPr>
                <w:noProof/>
                <w:webHidden/>
              </w:rPr>
              <w:fldChar w:fldCharType="begin"/>
            </w:r>
            <w:r w:rsidR="007B270B">
              <w:rPr>
                <w:noProof/>
                <w:webHidden/>
              </w:rPr>
              <w:instrText xml:space="preserve"> PAGEREF _Toc505762979 \h </w:instrText>
            </w:r>
            <w:r w:rsidR="007B270B">
              <w:rPr>
                <w:noProof/>
                <w:webHidden/>
              </w:rPr>
            </w:r>
            <w:r w:rsidR="007B270B">
              <w:rPr>
                <w:noProof/>
                <w:webHidden/>
              </w:rPr>
              <w:fldChar w:fldCharType="separate"/>
            </w:r>
            <w:r w:rsidR="007B270B">
              <w:rPr>
                <w:noProof/>
                <w:webHidden/>
              </w:rPr>
              <w:t>51</w:t>
            </w:r>
            <w:r w:rsidR="007B270B">
              <w:rPr>
                <w:noProof/>
                <w:webHidden/>
              </w:rPr>
              <w:fldChar w:fldCharType="end"/>
            </w:r>
          </w:hyperlink>
        </w:p>
        <w:p w14:paraId="1EBBD63D"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80" w:history="1">
            <w:r w:rsidR="007B270B" w:rsidRPr="00552DCD">
              <w:rPr>
                <w:rStyle w:val="Hyperlink"/>
                <w:noProof/>
              </w:rPr>
              <w:t>7.</w:t>
            </w:r>
            <w:r w:rsidR="007B270B">
              <w:rPr>
                <w:rFonts w:asciiTheme="minorHAnsi" w:eastAsiaTheme="minorEastAsia" w:hAnsiTheme="minorHAnsi" w:cstheme="minorBidi"/>
                <w:b w:val="0"/>
                <w:noProof/>
                <w:sz w:val="22"/>
                <w:lang w:eastAsia="en-AU"/>
              </w:rPr>
              <w:tab/>
            </w:r>
            <w:r w:rsidR="007B270B" w:rsidRPr="00552DCD">
              <w:rPr>
                <w:rStyle w:val="Hyperlink"/>
                <w:noProof/>
              </w:rPr>
              <w:t>Clinical efficacy</w:t>
            </w:r>
            <w:r w:rsidR="007B270B">
              <w:rPr>
                <w:noProof/>
                <w:webHidden/>
              </w:rPr>
              <w:tab/>
            </w:r>
            <w:r w:rsidR="007B270B">
              <w:rPr>
                <w:noProof/>
                <w:webHidden/>
              </w:rPr>
              <w:fldChar w:fldCharType="begin"/>
            </w:r>
            <w:r w:rsidR="007B270B">
              <w:rPr>
                <w:noProof/>
                <w:webHidden/>
              </w:rPr>
              <w:instrText xml:space="preserve"> PAGEREF _Toc505762980 \h </w:instrText>
            </w:r>
            <w:r w:rsidR="007B270B">
              <w:rPr>
                <w:noProof/>
                <w:webHidden/>
              </w:rPr>
            </w:r>
            <w:r w:rsidR="007B270B">
              <w:rPr>
                <w:noProof/>
                <w:webHidden/>
              </w:rPr>
              <w:fldChar w:fldCharType="separate"/>
            </w:r>
            <w:r w:rsidR="007B270B">
              <w:rPr>
                <w:noProof/>
                <w:webHidden/>
              </w:rPr>
              <w:t>51</w:t>
            </w:r>
            <w:r w:rsidR="007B270B">
              <w:rPr>
                <w:noProof/>
                <w:webHidden/>
              </w:rPr>
              <w:fldChar w:fldCharType="end"/>
            </w:r>
          </w:hyperlink>
        </w:p>
        <w:p w14:paraId="2716956A"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1" w:history="1">
            <w:r w:rsidR="007B270B" w:rsidRPr="00552DCD">
              <w:rPr>
                <w:rStyle w:val="Hyperlink"/>
                <w:noProof/>
              </w:rPr>
              <w:t>7.1.</w:t>
            </w:r>
            <w:r w:rsidR="007B270B">
              <w:rPr>
                <w:rFonts w:asciiTheme="minorHAnsi" w:eastAsiaTheme="minorEastAsia" w:hAnsiTheme="minorHAnsi" w:cstheme="minorBidi"/>
                <w:noProof/>
                <w:lang w:eastAsia="en-AU"/>
              </w:rPr>
              <w:tab/>
            </w:r>
            <w:r w:rsidR="007B270B" w:rsidRPr="00552DCD">
              <w:rPr>
                <w:rStyle w:val="Hyperlink"/>
                <w:noProof/>
              </w:rPr>
              <w:t>Pivotal efficacy study</w:t>
            </w:r>
            <w:r w:rsidR="007B270B">
              <w:rPr>
                <w:noProof/>
                <w:webHidden/>
              </w:rPr>
              <w:tab/>
            </w:r>
            <w:r w:rsidR="007B270B">
              <w:rPr>
                <w:noProof/>
                <w:webHidden/>
              </w:rPr>
              <w:fldChar w:fldCharType="begin"/>
            </w:r>
            <w:r w:rsidR="007B270B">
              <w:rPr>
                <w:noProof/>
                <w:webHidden/>
              </w:rPr>
              <w:instrText xml:space="preserve"> PAGEREF _Toc505762981 \h </w:instrText>
            </w:r>
            <w:r w:rsidR="007B270B">
              <w:rPr>
                <w:noProof/>
                <w:webHidden/>
              </w:rPr>
            </w:r>
            <w:r w:rsidR="007B270B">
              <w:rPr>
                <w:noProof/>
                <w:webHidden/>
              </w:rPr>
              <w:fldChar w:fldCharType="separate"/>
            </w:r>
            <w:r w:rsidR="007B270B">
              <w:rPr>
                <w:noProof/>
                <w:webHidden/>
              </w:rPr>
              <w:t>51</w:t>
            </w:r>
            <w:r w:rsidR="007B270B">
              <w:rPr>
                <w:noProof/>
                <w:webHidden/>
              </w:rPr>
              <w:fldChar w:fldCharType="end"/>
            </w:r>
          </w:hyperlink>
        </w:p>
        <w:p w14:paraId="286EC047"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2" w:history="1">
            <w:r w:rsidR="007B270B" w:rsidRPr="00552DCD">
              <w:rPr>
                <w:rStyle w:val="Hyperlink"/>
                <w:noProof/>
              </w:rPr>
              <w:t>7.2.</w:t>
            </w:r>
            <w:r w:rsidR="007B270B">
              <w:rPr>
                <w:rFonts w:asciiTheme="minorHAnsi" w:eastAsiaTheme="minorEastAsia" w:hAnsiTheme="minorHAnsi" w:cstheme="minorBidi"/>
                <w:noProof/>
                <w:lang w:eastAsia="en-AU"/>
              </w:rPr>
              <w:tab/>
            </w:r>
            <w:r w:rsidR="007B270B" w:rsidRPr="00552DCD">
              <w:rPr>
                <w:rStyle w:val="Hyperlink"/>
                <w:noProof/>
              </w:rPr>
              <w:t>Other clinical studies in acute lymphoblastic leukaemia</w:t>
            </w:r>
            <w:r w:rsidR="007B270B">
              <w:rPr>
                <w:noProof/>
                <w:webHidden/>
              </w:rPr>
              <w:tab/>
            </w:r>
            <w:r w:rsidR="007B270B">
              <w:rPr>
                <w:noProof/>
                <w:webHidden/>
              </w:rPr>
              <w:fldChar w:fldCharType="begin"/>
            </w:r>
            <w:r w:rsidR="007B270B">
              <w:rPr>
                <w:noProof/>
                <w:webHidden/>
              </w:rPr>
              <w:instrText xml:space="preserve"> PAGEREF _Toc505762982 \h </w:instrText>
            </w:r>
            <w:r w:rsidR="007B270B">
              <w:rPr>
                <w:noProof/>
                <w:webHidden/>
              </w:rPr>
            </w:r>
            <w:r w:rsidR="007B270B">
              <w:rPr>
                <w:noProof/>
                <w:webHidden/>
              </w:rPr>
              <w:fldChar w:fldCharType="separate"/>
            </w:r>
            <w:r w:rsidR="007B270B">
              <w:rPr>
                <w:noProof/>
                <w:webHidden/>
              </w:rPr>
              <w:t>95</w:t>
            </w:r>
            <w:r w:rsidR="007B270B">
              <w:rPr>
                <w:noProof/>
                <w:webHidden/>
              </w:rPr>
              <w:fldChar w:fldCharType="end"/>
            </w:r>
          </w:hyperlink>
        </w:p>
        <w:p w14:paraId="3BD3232F"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3" w:history="1">
            <w:r w:rsidR="007B270B" w:rsidRPr="00552DCD">
              <w:rPr>
                <w:rStyle w:val="Hyperlink"/>
                <w:noProof/>
              </w:rPr>
              <w:t>7.3.</w:t>
            </w:r>
            <w:r w:rsidR="007B270B">
              <w:rPr>
                <w:rFonts w:asciiTheme="minorHAnsi" w:eastAsiaTheme="minorEastAsia" w:hAnsiTheme="minorHAnsi" w:cstheme="minorBidi"/>
                <w:noProof/>
                <w:lang w:eastAsia="en-AU"/>
              </w:rPr>
              <w:tab/>
            </w:r>
            <w:r w:rsidR="007B270B" w:rsidRPr="00552DCD">
              <w:rPr>
                <w:rStyle w:val="Hyperlink"/>
                <w:noProof/>
              </w:rPr>
              <w:t>Historical Comparator Studies in Relapsed/Refractory ALL</w:t>
            </w:r>
            <w:r w:rsidR="007B270B">
              <w:rPr>
                <w:noProof/>
                <w:webHidden/>
              </w:rPr>
              <w:tab/>
            </w:r>
            <w:r w:rsidR="007B270B">
              <w:rPr>
                <w:noProof/>
                <w:webHidden/>
              </w:rPr>
              <w:fldChar w:fldCharType="begin"/>
            </w:r>
            <w:r w:rsidR="007B270B">
              <w:rPr>
                <w:noProof/>
                <w:webHidden/>
              </w:rPr>
              <w:instrText xml:space="preserve"> PAGEREF _Toc505762983 \h </w:instrText>
            </w:r>
            <w:r w:rsidR="007B270B">
              <w:rPr>
                <w:noProof/>
                <w:webHidden/>
              </w:rPr>
            </w:r>
            <w:r w:rsidR="007B270B">
              <w:rPr>
                <w:noProof/>
                <w:webHidden/>
              </w:rPr>
              <w:fldChar w:fldCharType="separate"/>
            </w:r>
            <w:r w:rsidR="007B270B">
              <w:rPr>
                <w:noProof/>
                <w:webHidden/>
              </w:rPr>
              <w:t>103</w:t>
            </w:r>
            <w:r w:rsidR="007B270B">
              <w:rPr>
                <w:noProof/>
                <w:webHidden/>
              </w:rPr>
              <w:fldChar w:fldCharType="end"/>
            </w:r>
          </w:hyperlink>
        </w:p>
        <w:p w14:paraId="2DF98F2D"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4" w:history="1">
            <w:r w:rsidR="007B270B" w:rsidRPr="00552DCD">
              <w:rPr>
                <w:rStyle w:val="Hyperlink"/>
                <w:noProof/>
              </w:rPr>
              <w:t>7.4.</w:t>
            </w:r>
            <w:r w:rsidR="007B270B">
              <w:rPr>
                <w:rFonts w:asciiTheme="minorHAnsi" w:eastAsiaTheme="minorEastAsia" w:hAnsiTheme="minorHAnsi" w:cstheme="minorBidi"/>
                <w:noProof/>
                <w:lang w:eastAsia="en-AU"/>
              </w:rPr>
              <w:tab/>
            </w:r>
            <w:r w:rsidR="007B270B" w:rsidRPr="00552DCD">
              <w:rPr>
                <w:rStyle w:val="Hyperlink"/>
                <w:noProof/>
              </w:rPr>
              <w:t>Model based meta-analysis</w:t>
            </w:r>
            <w:r w:rsidR="007B270B">
              <w:rPr>
                <w:noProof/>
                <w:webHidden/>
              </w:rPr>
              <w:tab/>
            </w:r>
            <w:r w:rsidR="007B270B">
              <w:rPr>
                <w:noProof/>
                <w:webHidden/>
              </w:rPr>
              <w:fldChar w:fldCharType="begin"/>
            </w:r>
            <w:r w:rsidR="007B270B">
              <w:rPr>
                <w:noProof/>
                <w:webHidden/>
              </w:rPr>
              <w:instrText xml:space="preserve"> PAGEREF _Toc505762984 \h </w:instrText>
            </w:r>
            <w:r w:rsidR="007B270B">
              <w:rPr>
                <w:noProof/>
                <w:webHidden/>
              </w:rPr>
            </w:r>
            <w:r w:rsidR="007B270B">
              <w:rPr>
                <w:noProof/>
                <w:webHidden/>
              </w:rPr>
              <w:fldChar w:fldCharType="separate"/>
            </w:r>
            <w:r w:rsidR="007B270B">
              <w:rPr>
                <w:noProof/>
                <w:webHidden/>
              </w:rPr>
              <w:t>105</w:t>
            </w:r>
            <w:r w:rsidR="007B270B">
              <w:rPr>
                <w:noProof/>
                <w:webHidden/>
              </w:rPr>
              <w:fldChar w:fldCharType="end"/>
            </w:r>
          </w:hyperlink>
        </w:p>
        <w:p w14:paraId="59F687AA"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5" w:history="1">
            <w:r w:rsidR="007B270B" w:rsidRPr="00552DCD">
              <w:rPr>
                <w:rStyle w:val="Hyperlink"/>
                <w:noProof/>
              </w:rPr>
              <w:t>7.5.</w:t>
            </w:r>
            <w:r w:rsidR="007B270B">
              <w:rPr>
                <w:rFonts w:asciiTheme="minorHAnsi" w:eastAsiaTheme="minorEastAsia" w:hAnsiTheme="minorHAnsi" w:cstheme="minorBidi"/>
                <w:noProof/>
                <w:lang w:eastAsia="en-AU"/>
              </w:rPr>
              <w:tab/>
            </w:r>
            <w:r w:rsidR="007B270B" w:rsidRPr="00552DCD">
              <w:rPr>
                <w:rStyle w:val="Hyperlink"/>
                <w:noProof/>
              </w:rPr>
              <w:t>Evaluator’s conclusions on clinical efficacy</w:t>
            </w:r>
            <w:r w:rsidR="007B270B">
              <w:rPr>
                <w:noProof/>
                <w:webHidden/>
              </w:rPr>
              <w:tab/>
            </w:r>
            <w:r w:rsidR="007B270B">
              <w:rPr>
                <w:noProof/>
                <w:webHidden/>
              </w:rPr>
              <w:fldChar w:fldCharType="begin"/>
            </w:r>
            <w:r w:rsidR="007B270B">
              <w:rPr>
                <w:noProof/>
                <w:webHidden/>
              </w:rPr>
              <w:instrText xml:space="preserve"> PAGEREF _Toc505762985 \h </w:instrText>
            </w:r>
            <w:r w:rsidR="007B270B">
              <w:rPr>
                <w:noProof/>
                <w:webHidden/>
              </w:rPr>
            </w:r>
            <w:r w:rsidR="007B270B">
              <w:rPr>
                <w:noProof/>
                <w:webHidden/>
              </w:rPr>
              <w:fldChar w:fldCharType="separate"/>
            </w:r>
            <w:r w:rsidR="007B270B">
              <w:rPr>
                <w:noProof/>
                <w:webHidden/>
              </w:rPr>
              <w:t>106</w:t>
            </w:r>
            <w:r w:rsidR="007B270B">
              <w:rPr>
                <w:noProof/>
                <w:webHidden/>
              </w:rPr>
              <w:fldChar w:fldCharType="end"/>
            </w:r>
          </w:hyperlink>
        </w:p>
        <w:p w14:paraId="61BF6830"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86" w:history="1">
            <w:r w:rsidR="007B270B" w:rsidRPr="00552DCD">
              <w:rPr>
                <w:rStyle w:val="Hyperlink"/>
                <w:noProof/>
              </w:rPr>
              <w:t>8.</w:t>
            </w:r>
            <w:r w:rsidR="007B270B">
              <w:rPr>
                <w:rFonts w:asciiTheme="minorHAnsi" w:eastAsiaTheme="minorEastAsia" w:hAnsiTheme="minorHAnsi" w:cstheme="minorBidi"/>
                <w:b w:val="0"/>
                <w:noProof/>
                <w:sz w:val="22"/>
                <w:lang w:eastAsia="en-AU"/>
              </w:rPr>
              <w:tab/>
            </w:r>
            <w:r w:rsidR="007B270B" w:rsidRPr="00552DCD">
              <w:rPr>
                <w:rStyle w:val="Hyperlink"/>
                <w:noProof/>
              </w:rPr>
              <w:t>Clinical safety</w:t>
            </w:r>
            <w:r w:rsidR="007B270B">
              <w:rPr>
                <w:noProof/>
                <w:webHidden/>
              </w:rPr>
              <w:tab/>
            </w:r>
            <w:r w:rsidR="007B270B">
              <w:rPr>
                <w:noProof/>
                <w:webHidden/>
              </w:rPr>
              <w:fldChar w:fldCharType="begin"/>
            </w:r>
            <w:r w:rsidR="007B270B">
              <w:rPr>
                <w:noProof/>
                <w:webHidden/>
              </w:rPr>
              <w:instrText xml:space="preserve"> PAGEREF _Toc505762986 \h </w:instrText>
            </w:r>
            <w:r w:rsidR="007B270B">
              <w:rPr>
                <w:noProof/>
                <w:webHidden/>
              </w:rPr>
            </w:r>
            <w:r w:rsidR="007B270B">
              <w:rPr>
                <w:noProof/>
                <w:webHidden/>
              </w:rPr>
              <w:fldChar w:fldCharType="separate"/>
            </w:r>
            <w:r w:rsidR="007B270B">
              <w:rPr>
                <w:noProof/>
                <w:webHidden/>
              </w:rPr>
              <w:t>107</w:t>
            </w:r>
            <w:r w:rsidR="007B270B">
              <w:rPr>
                <w:noProof/>
                <w:webHidden/>
              </w:rPr>
              <w:fldChar w:fldCharType="end"/>
            </w:r>
          </w:hyperlink>
        </w:p>
        <w:p w14:paraId="070CD4B4"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7" w:history="1">
            <w:r w:rsidR="007B270B" w:rsidRPr="00552DCD">
              <w:rPr>
                <w:rStyle w:val="Hyperlink"/>
                <w:noProof/>
              </w:rPr>
              <w:t>8.1.</w:t>
            </w:r>
            <w:r w:rsidR="007B270B">
              <w:rPr>
                <w:rFonts w:asciiTheme="minorHAnsi" w:eastAsiaTheme="minorEastAsia" w:hAnsiTheme="minorHAnsi" w:cstheme="minorBidi"/>
                <w:noProof/>
                <w:lang w:eastAsia="en-AU"/>
              </w:rPr>
              <w:tab/>
            </w:r>
            <w:r w:rsidR="007B270B" w:rsidRPr="00552DCD">
              <w:rPr>
                <w:rStyle w:val="Hyperlink"/>
                <w:noProof/>
              </w:rPr>
              <w:t>Studies providing evaluable safety data</w:t>
            </w:r>
            <w:r w:rsidR="007B270B">
              <w:rPr>
                <w:noProof/>
                <w:webHidden/>
              </w:rPr>
              <w:tab/>
            </w:r>
            <w:r w:rsidR="007B270B">
              <w:rPr>
                <w:noProof/>
                <w:webHidden/>
              </w:rPr>
              <w:fldChar w:fldCharType="begin"/>
            </w:r>
            <w:r w:rsidR="007B270B">
              <w:rPr>
                <w:noProof/>
                <w:webHidden/>
              </w:rPr>
              <w:instrText xml:space="preserve"> PAGEREF _Toc505762987 \h </w:instrText>
            </w:r>
            <w:r w:rsidR="007B270B">
              <w:rPr>
                <w:noProof/>
                <w:webHidden/>
              </w:rPr>
            </w:r>
            <w:r w:rsidR="007B270B">
              <w:rPr>
                <w:noProof/>
                <w:webHidden/>
              </w:rPr>
              <w:fldChar w:fldCharType="separate"/>
            </w:r>
            <w:r w:rsidR="007B270B">
              <w:rPr>
                <w:noProof/>
                <w:webHidden/>
              </w:rPr>
              <w:t>107</w:t>
            </w:r>
            <w:r w:rsidR="007B270B">
              <w:rPr>
                <w:noProof/>
                <w:webHidden/>
              </w:rPr>
              <w:fldChar w:fldCharType="end"/>
            </w:r>
          </w:hyperlink>
        </w:p>
        <w:p w14:paraId="1248BA03"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8" w:history="1">
            <w:r w:rsidR="007B270B" w:rsidRPr="00552DCD">
              <w:rPr>
                <w:rStyle w:val="Hyperlink"/>
                <w:noProof/>
              </w:rPr>
              <w:t>8.2.</w:t>
            </w:r>
            <w:r w:rsidR="007B270B">
              <w:rPr>
                <w:rFonts w:asciiTheme="minorHAnsi" w:eastAsiaTheme="minorEastAsia" w:hAnsiTheme="minorHAnsi" w:cstheme="minorBidi"/>
                <w:noProof/>
                <w:lang w:eastAsia="en-AU"/>
              </w:rPr>
              <w:tab/>
            </w:r>
            <w:r w:rsidR="007B270B" w:rsidRPr="00552DCD">
              <w:rPr>
                <w:rStyle w:val="Hyperlink"/>
                <w:noProof/>
              </w:rPr>
              <w:t>Patient exposure</w:t>
            </w:r>
            <w:r w:rsidR="007B270B">
              <w:rPr>
                <w:noProof/>
                <w:webHidden/>
              </w:rPr>
              <w:tab/>
            </w:r>
            <w:r w:rsidR="007B270B">
              <w:rPr>
                <w:noProof/>
                <w:webHidden/>
              </w:rPr>
              <w:fldChar w:fldCharType="begin"/>
            </w:r>
            <w:r w:rsidR="007B270B">
              <w:rPr>
                <w:noProof/>
                <w:webHidden/>
              </w:rPr>
              <w:instrText xml:space="preserve"> PAGEREF _Toc505762988 \h </w:instrText>
            </w:r>
            <w:r w:rsidR="007B270B">
              <w:rPr>
                <w:noProof/>
                <w:webHidden/>
              </w:rPr>
            </w:r>
            <w:r w:rsidR="007B270B">
              <w:rPr>
                <w:noProof/>
                <w:webHidden/>
              </w:rPr>
              <w:fldChar w:fldCharType="separate"/>
            </w:r>
            <w:r w:rsidR="007B270B">
              <w:rPr>
                <w:noProof/>
                <w:webHidden/>
              </w:rPr>
              <w:t>108</w:t>
            </w:r>
            <w:r w:rsidR="007B270B">
              <w:rPr>
                <w:noProof/>
                <w:webHidden/>
              </w:rPr>
              <w:fldChar w:fldCharType="end"/>
            </w:r>
          </w:hyperlink>
        </w:p>
        <w:p w14:paraId="0B14B68C"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89" w:history="1">
            <w:r w:rsidR="007B270B" w:rsidRPr="00552DCD">
              <w:rPr>
                <w:rStyle w:val="Hyperlink"/>
                <w:noProof/>
              </w:rPr>
              <w:t>8.3.</w:t>
            </w:r>
            <w:r w:rsidR="007B270B">
              <w:rPr>
                <w:rFonts w:asciiTheme="minorHAnsi" w:eastAsiaTheme="minorEastAsia" w:hAnsiTheme="minorHAnsi" w:cstheme="minorBidi"/>
                <w:noProof/>
                <w:lang w:eastAsia="en-AU"/>
              </w:rPr>
              <w:tab/>
            </w:r>
            <w:r w:rsidR="007B270B" w:rsidRPr="00552DCD">
              <w:rPr>
                <w:rStyle w:val="Hyperlink"/>
                <w:noProof/>
              </w:rPr>
              <w:t>Adverse events</w:t>
            </w:r>
            <w:r w:rsidR="007B270B">
              <w:rPr>
                <w:noProof/>
                <w:webHidden/>
              </w:rPr>
              <w:tab/>
            </w:r>
            <w:r w:rsidR="007B270B">
              <w:rPr>
                <w:noProof/>
                <w:webHidden/>
              </w:rPr>
              <w:fldChar w:fldCharType="begin"/>
            </w:r>
            <w:r w:rsidR="007B270B">
              <w:rPr>
                <w:noProof/>
                <w:webHidden/>
              </w:rPr>
              <w:instrText xml:space="preserve"> PAGEREF _Toc505762989 \h </w:instrText>
            </w:r>
            <w:r w:rsidR="007B270B">
              <w:rPr>
                <w:noProof/>
                <w:webHidden/>
              </w:rPr>
            </w:r>
            <w:r w:rsidR="007B270B">
              <w:rPr>
                <w:noProof/>
                <w:webHidden/>
              </w:rPr>
              <w:fldChar w:fldCharType="separate"/>
            </w:r>
            <w:r w:rsidR="007B270B">
              <w:rPr>
                <w:noProof/>
                <w:webHidden/>
              </w:rPr>
              <w:t>109</w:t>
            </w:r>
            <w:r w:rsidR="007B270B">
              <w:rPr>
                <w:noProof/>
                <w:webHidden/>
              </w:rPr>
              <w:fldChar w:fldCharType="end"/>
            </w:r>
          </w:hyperlink>
        </w:p>
        <w:p w14:paraId="34ABC7D7"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90" w:history="1">
            <w:r w:rsidR="007B270B" w:rsidRPr="00552DCD">
              <w:rPr>
                <w:rStyle w:val="Hyperlink"/>
                <w:noProof/>
              </w:rPr>
              <w:t>8.4.</w:t>
            </w:r>
            <w:r w:rsidR="007B270B">
              <w:rPr>
                <w:rFonts w:asciiTheme="minorHAnsi" w:eastAsiaTheme="minorEastAsia" w:hAnsiTheme="minorHAnsi" w:cstheme="minorBidi"/>
                <w:noProof/>
                <w:lang w:eastAsia="en-AU"/>
              </w:rPr>
              <w:tab/>
            </w:r>
            <w:r w:rsidR="007B270B" w:rsidRPr="00552DCD">
              <w:rPr>
                <w:rStyle w:val="Hyperlink"/>
                <w:noProof/>
              </w:rPr>
              <w:t>Post-marketing experience</w:t>
            </w:r>
            <w:r w:rsidR="007B270B">
              <w:rPr>
                <w:noProof/>
                <w:webHidden/>
              </w:rPr>
              <w:tab/>
            </w:r>
            <w:r w:rsidR="007B270B">
              <w:rPr>
                <w:noProof/>
                <w:webHidden/>
              </w:rPr>
              <w:fldChar w:fldCharType="begin"/>
            </w:r>
            <w:r w:rsidR="007B270B">
              <w:rPr>
                <w:noProof/>
                <w:webHidden/>
              </w:rPr>
              <w:instrText xml:space="preserve"> PAGEREF _Toc505762990 \h </w:instrText>
            </w:r>
            <w:r w:rsidR="007B270B">
              <w:rPr>
                <w:noProof/>
                <w:webHidden/>
              </w:rPr>
            </w:r>
            <w:r w:rsidR="007B270B">
              <w:rPr>
                <w:noProof/>
                <w:webHidden/>
              </w:rPr>
              <w:fldChar w:fldCharType="separate"/>
            </w:r>
            <w:r w:rsidR="007B270B">
              <w:rPr>
                <w:noProof/>
                <w:webHidden/>
              </w:rPr>
              <w:t>122</w:t>
            </w:r>
            <w:r w:rsidR="007B270B">
              <w:rPr>
                <w:noProof/>
                <w:webHidden/>
              </w:rPr>
              <w:fldChar w:fldCharType="end"/>
            </w:r>
          </w:hyperlink>
        </w:p>
        <w:p w14:paraId="3D1E58AD"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91" w:history="1">
            <w:r w:rsidR="007B270B" w:rsidRPr="00552DCD">
              <w:rPr>
                <w:rStyle w:val="Hyperlink"/>
                <w:noProof/>
              </w:rPr>
              <w:t>8.5.</w:t>
            </w:r>
            <w:r w:rsidR="007B270B">
              <w:rPr>
                <w:rFonts w:asciiTheme="minorHAnsi" w:eastAsiaTheme="minorEastAsia" w:hAnsiTheme="minorHAnsi" w:cstheme="minorBidi"/>
                <w:noProof/>
                <w:lang w:eastAsia="en-AU"/>
              </w:rPr>
              <w:tab/>
            </w:r>
            <w:r w:rsidR="007B270B" w:rsidRPr="00552DCD">
              <w:rPr>
                <w:rStyle w:val="Hyperlink"/>
                <w:noProof/>
              </w:rPr>
              <w:t>Other safety issues</w:t>
            </w:r>
            <w:r w:rsidR="007B270B">
              <w:rPr>
                <w:noProof/>
                <w:webHidden/>
              </w:rPr>
              <w:tab/>
            </w:r>
            <w:r w:rsidR="007B270B">
              <w:rPr>
                <w:noProof/>
                <w:webHidden/>
              </w:rPr>
              <w:fldChar w:fldCharType="begin"/>
            </w:r>
            <w:r w:rsidR="007B270B">
              <w:rPr>
                <w:noProof/>
                <w:webHidden/>
              </w:rPr>
              <w:instrText xml:space="preserve"> PAGEREF _Toc505762991 \h </w:instrText>
            </w:r>
            <w:r w:rsidR="007B270B">
              <w:rPr>
                <w:noProof/>
                <w:webHidden/>
              </w:rPr>
            </w:r>
            <w:r w:rsidR="007B270B">
              <w:rPr>
                <w:noProof/>
                <w:webHidden/>
              </w:rPr>
              <w:fldChar w:fldCharType="separate"/>
            </w:r>
            <w:r w:rsidR="007B270B">
              <w:rPr>
                <w:noProof/>
                <w:webHidden/>
              </w:rPr>
              <w:t>123</w:t>
            </w:r>
            <w:r w:rsidR="007B270B">
              <w:rPr>
                <w:noProof/>
                <w:webHidden/>
              </w:rPr>
              <w:fldChar w:fldCharType="end"/>
            </w:r>
          </w:hyperlink>
        </w:p>
        <w:p w14:paraId="503CA8F5"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92" w:history="1">
            <w:r w:rsidR="007B270B" w:rsidRPr="00552DCD">
              <w:rPr>
                <w:rStyle w:val="Hyperlink"/>
                <w:noProof/>
              </w:rPr>
              <w:t>8.6.</w:t>
            </w:r>
            <w:r w:rsidR="007B270B">
              <w:rPr>
                <w:rFonts w:asciiTheme="minorHAnsi" w:eastAsiaTheme="minorEastAsia" w:hAnsiTheme="minorHAnsi" w:cstheme="minorBidi"/>
                <w:noProof/>
                <w:lang w:eastAsia="en-AU"/>
              </w:rPr>
              <w:tab/>
            </w:r>
            <w:r w:rsidR="007B270B" w:rsidRPr="00552DCD">
              <w:rPr>
                <w:rStyle w:val="Hyperlink"/>
                <w:noProof/>
              </w:rPr>
              <w:t>Evaluator’s overall conclusions on clinical safety</w:t>
            </w:r>
            <w:r w:rsidR="007B270B">
              <w:rPr>
                <w:noProof/>
                <w:webHidden/>
              </w:rPr>
              <w:tab/>
            </w:r>
            <w:r w:rsidR="007B270B">
              <w:rPr>
                <w:noProof/>
                <w:webHidden/>
              </w:rPr>
              <w:fldChar w:fldCharType="begin"/>
            </w:r>
            <w:r w:rsidR="007B270B">
              <w:rPr>
                <w:noProof/>
                <w:webHidden/>
              </w:rPr>
              <w:instrText xml:space="preserve"> PAGEREF _Toc505762992 \h </w:instrText>
            </w:r>
            <w:r w:rsidR="007B270B">
              <w:rPr>
                <w:noProof/>
                <w:webHidden/>
              </w:rPr>
            </w:r>
            <w:r w:rsidR="007B270B">
              <w:rPr>
                <w:noProof/>
                <w:webHidden/>
              </w:rPr>
              <w:fldChar w:fldCharType="separate"/>
            </w:r>
            <w:r w:rsidR="007B270B">
              <w:rPr>
                <w:noProof/>
                <w:webHidden/>
              </w:rPr>
              <w:t>124</w:t>
            </w:r>
            <w:r w:rsidR="007B270B">
              <w:rPr>
                <w:noProof/>
                <w:webHidden/>
              </w:rPr>
              <w:fldChar w:fldCharType="end"/>
            </w:r>
          </w:hyperlink>
        </w:p>
        <w:p w14:paraId="422A9D1D"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93" w:history="1">
            <w:r w:rsidR="007B270B" w:rsidRPr="00552DCD">
              <w:rPr>
                <w:rStyle w:val="Hyperlink"/>
                <w:noProof/>
              </w:rPr>
              <w:t>9.</w:t>
            </w:r>
            <w:r w:rsidR="007B270B">
              <w:rPr>
                <w:rFonts w:asciiTheme="minorHAnsi" w:eastAsiaTheme="minorEastAsia" w:hAnsiTheme="minorHAnsi" w:cstheme="minorBidi"/>
                <w:b w:val="0"/>
                <w:noProof/>
                <w:sz w:val="22"/>
                <w:lang w:eastAsia="en-AU"/>
              </w:rPr>
              <w:tab/>
            </w:r>
            <w:r w:rsidR="007B270B" w:rsidRPr="00552DCD">
              <w:rPr>
                <w:rStyle w:val="Hyperlink"/>
                <w:noProof/>
              </w:rPr>
              <w:t>First round benefit-risk assessment</w:t>
            </w:r>
            <w:r w:rsidR="007B270B">
              <w:rPr>
                <w:noProof/>
                <w:webHidden/>
              </w:rPr>
              <w:tab/>
            </w:r>
            <w:r w:rsidR="007B270B">
              <w:rPr>
                <w:noProof/>
                <w:webHidden/>
              </w:rPr>
              <w:fldChar w:fldCharType="begin"/>
            </w:r>
            <w:r w:rsidR="007B270B">
              <w:rPr>
                <w:noProof/>
                <w:webHidden/>
              </w:rPr>
              <w:instrText xml:space="preserve"> PAGEREF _Toc505762993 \h </w:instrText>
            </w:r>
            <w:r w:rsidR="007B270B">
              <w:rPr>
                <w:noProof/>
                <w:webHidden/>
              </w:rPr>
            </w:r>
            <w:r w:rsidR="007B270B">
              <w:rPr>
                <w:noProof/>
                <w:webHidden/>
              </w:rPr>
              <w:fldChar w:fldCharType="separate"/>
            </w:r>
            <w:r w:rsidR="007B270B">
              <w:rPr>
                <w:noProof/>
                <w:webHidden/>
              </w:rPr>
              <w:t>125</w:t>
            </w:r>
            <w:r w:rsidR="007B270B">
              <w:rPr>
                <w:noProof/>
                <w:webHidden/>
              </w:rPr>
              <w:fldChar w:fldCharType="end"/>
            </w:r>
          </w:hyperlink>
        </w:p>
        <w:p w14:paraId="77DA40C4"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94" w:history="1">
            <w:r w:rsidR="007B270B" w:rsidRPr="00552DCD">
              <w:rPr>
                <w:rStyle w:val="Hyperlink"/>
                <w:noProof/>
              </w:rPr>
              <w:t>9.1.</w:t>
            </w:r>
            <w:r w:rsidR="007B270B">
              <w:rPr>
                <w:rFonts w:asciiTheme="minorHAnsi" w:eastAsiaTheme="minorEastAsia" w:hAnsiTheme="minorHAnsi" w:cstheme="minorBidi"/>
                <w:noProof/>
                <w:lang w:eastAsia="en-AU"/>
              </w:rPr>
              <w:tab/>
            </w:r>
            <w:r w:rsidR="007B270B" w:rsidRPr="00552DCD">
              <w:rPr>
                <w:rStyle w:val="Hyperlink"/>
                <w:noProof/>
              </w:rPr>
              <w:t>Assessment of benefits</w:t>
            </w:r>
            <w:r w:rsidR="007B270B">
              <w:rPr>
                <w:noProof/>
                <w:webHidden/>
              </w:rPr>
              <w:tab/>
            </w:r>
            <w:r w:rsidR="007B270B">
              <w:rPr>
                <w:noProof/>
                <w:webHidden/>
              </w:rPr>
              <w:fldChar w:fldCharType="begin"/>
            </w:r>
            <w:r w:rsidR="007B270B">
              <w:rPr>
                <w:noProof/>
                <w:webHidden/>
              </w:rPr>
              <w:instrText xml:space="preserve"> PAGEREF _Toc505762994 \h </w:instrText>
            </w:r>
            <w:r w:rsidR="007B270B">
              <w:rPr>
                <w:noProof/>
                <w:webHidden/>
              </w:rPr>
            </w:r>
            <w:r w:rsidR="007B270B">
              <w:rPr>
                <w:noProof/>
                <w:webHidden/>
              </w:rPr>
              <w:fldChar w:fldCharType="separate"/>
            </w:r>
            <w:r w:rsidR="007B270B">
              <w:rPr>
                <w:noProof/>
                <w:webHidden/>
              </w:rPr>
              <w:t>125</w:t>
            </w:r>
            <w:r w:rsidR="007B270B">
              <w:rPr>
                <w:noProof/>
                <w:webHidden/>
              </w:rPr>
              <w:fldChar w:fldCharType="end"/>
            </w:r>
          </w:hyperlink>
        </w:p>
        <w:p w14:paraId="0AF39A3D"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95" w:history="1">
            <w:r w:rsidR="007B270B" w:rsidRPr="00552DCD">
              <w:rPr>
                <w:rStyle w:val="Hyperlink"/>
                <w:noProof/>
              </w:rPr>
              <w:t>9.2.</w:t>
            </w:r>
            <w:r w:rsidR="007B270B">
              <w:rPr>
                <w:rFonts w:asciiTheme="minorHAnsi" w:eastAsiaTheme="minorEastAsia" w:hAnsiTheme="minorHAnsi" w:cstheme="minorBidi"/>
                <w:noProof/>
                <w:lang w:eastAsia="en-AU"/>
              </w:rPr>
              <w:tab/>
            </w:r>
            <w:r w:rsidR="007B270B" w:rsidRPr="00552DCD">
              <w:rPr>
                <w:rStyle w:val="Hyperlink"/>
                <w:noProof/>
              </w:rPr>
              <w:t>Assessment of risks</w:t>
            </w:r>
            <w:r w:rsidR="007B270B">
              <w:rPr>
                <w:noProof/>
                <w:webHidden/>
              </w:rPr>
              <w:tab/>
            </w:r>
            <w:r w:rsidR="007B270B">
              <w:rPr>
                <w:noProof/>
                <w:webHidden/>
              </w:rPr>
              <w:fldChar w:fldCharType="begin"/>
            </w:r>
            <w:r w:rsidR="007B270B">
              <w:rPr>
                <w:noProof/>
                <w:webHidden/>
              </w:rPr>
              <w:instrText xml:space="preserve"> PAGEREF _Toc505762995 \h </w:instrText>
            </w:r>
            <w:r w:rsidR="007B270B">
              <w:rPr>
                <w:noProof/>
                <w:webHidden/>
              </w:rPr>
            </w:r>
            <w:r w:rsidR="007B270B">
              <w:rPr>
                <w:noProof/>
                <w:webHidden/>
              </w:rPr>
              <w:fldChar w:fldCharType="separate"/>
            </w:r>
            <w:r w:rsidR="007B270B">
              <w:rPr>
                <w:noProof/>
                <w:webHidden/>
              </w:rPr>
              <w:t>125</w:t>
            </w:r>
            <w:r w:rsidR="007B270B">
              <w:rPr>
                <w:noProof/>
                <w:webHidden/>
              </w:rPr>
              <w:fldChar w:fldCharType="end"/>
            </w:r>
          </w:hyperlink>
        </w:p>
        <w:p w14:paraId="3E70D361" w14:textId="77777777" w:rsidR="007B270B" w:rsidRDefault="0046212E">
          <w:pPr>
            <w:pStyle w:val="TOC3"/>
            <w:tabs>
              <w:tab w:val="left" w:pos="1575"/>
            </w:tabs>
            <w:rPr>
              <w:rFonts w:asciiTheme="minorHAnsi" w:eastAsiaTheme="minorEastAsia" w:hAnsiTheme="minorHAnsi" w:cstheme="minorBidi"/>
              <w:noProof/>
              <w:lang w:eastAsia="en-AU"/>
            </w:rPr>
          </w:pPr>
          <w:hyperlink w:anchor="_Toc505762996" w:history="1">
            <w:r w:rsidR="007B270B" w:rsidRPr="00552DCD">
              <w:rPr>
                <w:rStyle w:val="Hyperlink"/>
                <w:noProof/>
              </w:rPr>
              <w:t>9.3.</w:t>
            </w:r>
            <w:r w:rsidR="007B270B">
              <w:rPr>
                <w:rFonts w:asciiTheme="minorHAnsi" w:eastAsiaTheme="minorEastAsia" w:hAnsiTheme="minorHAnsi" w:cstheme="minorBidi"/>
                <w:noProof/>
                <w:lang w:eastAsia="en-AU"/>
              </w:rPr>
              <w:tab/>
            </w:r>
            <w:r w:rsidR="007B270B" w:rsidRPr="00552DCD">
              <w:rPr>
                <w:rStyle w:val="Hyperlink"/>
                <w:noProof/>
              </w:rPr>
              <w:t>Assessment of benefit-risk balance</w:t>
            </w:r>
            <w:r w:rsidR="007B270B">
              <w:rPr>
                <w:noProof/>
                <w:webHidden/>
              </w:rPr>
              <w:tab/>
            </w:r>
            <w:r w:rsidR="007B270B">
              <w:rPr>
                <w:noProof/>
                <w:webHidden/>
              </w:rPr>
              <w:fldChar w:fldCharType="begin"/>
            </w:r>
            <w:r w:rsidR="007B270B">
              <w:rPr>
                <w:noProof/>
                <w:webHidden/>
              </w:rPr>
              <w:instrText xml:space="preserve"> PAGEREF _Toc505762996 \h </w:instrText>
            </w:r>
            <w:r w:rsidR="007B270B">
              <w:rPr>
                <w:noProof/>
                <w:webHidden/>
              </w:rPr>
            </w:r>
            <w:r w:rsidR="007B270B">
              <w:rPr>
                <w:noProof/>
                <w:webHidden/>
              </w:rPr>
              <w:fldChar w:fldCharType="separate"/>
            </w:r>
            <w:r w:rsidR="007B270B">
              <w:rPr>
                <w:noProof/>
                <w:webHidden/>
              </w:rPr>
              <w:t>126</w:t>
            </w:r>
            <w:r w:rsidR="007B270B">
              <w:rPr>
                <w:noProof/>
                <w:webHidden/>
              </w:rPr>
              <w:fldChar w:fldCharType="end"/>
            </w:r>
          </w:hyperlink>
        </w:p>
        <w:p w14:paraId="0969F314"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97" w:history="1">
            <w:r w:rsidR="007B270B" w:rsidRPr="00552DCD">
              <w:rPr>
                <w:rStyle w:val="Hyperlink"/>
                <w:noProof/>
              </w:rPr>
              <w:t>10.</w:t>
            </w:r>
            <w:r w:rsidR="007B270B">
              <w:rPr>
                <w:rFonts w:asciiTheme="minorHAnsi" w:eastAsiaTheme="minorEastAsia" w:hAnsiTheme="minorHAnsi" w:cstheme="minorBidi"/>
                <w:b w:val="0"/>
                <w:noProof/>
                <w:sz w:val="22"/>
                <w:lang w:eastAsia="en-AU"/>
              </w:rPr>
              <w:tab/>
            </w:r>
            <w:r w:rsidR="007B270B" w:rsidRPr="00552DCD">
              <w:rPr>
                <w:rStyle w:val="Hyperlink"/>
                <w:noProof/>
              </w:rPr>
              <w:t>First round recommendation regarding authorisation</w:t>
            </w:r>
            <w:r w:rsidR="007B270B">
              <w:rPr>
                <w:noProof/>
                <w:webHidden/>
              </w:rPr>
              <w:tab/>
            </w:r>
            <w:r w:rsidR="007B270B">
              <w:rPr>
                <w:noProof/>
                <w:webHidden/>
              </w:rPr>
              <w:fldChar w:fldCharType="begin"/>
            </w:r>
            <w:r w:rsidR="007B270B">
              <w:rPr>
                <w:noProof/>
                <w:webHidden/>
              </w:rPr>
              <w:instrText xml:space="preserve"> PAGEREF _Toc505762997 \h </w:instrText>
            </w:r>
            <w:r w:rsidR="007B270B">
              <w:rPr>
                <w:noProof/>
                <w:webHidden/>
              </w:rPr>
            </w:r>
            <w:r w:rsidR="007B270B">
              <w:rPr>
                <w:noProof/>
                <w:webHidden/>
              </w:rPr>
              <w:fldChar w:fldCharType="separate"/>
            </w:r>
            <w:r w:rsidR="007B270B">
              <w:rPr>
                <w:noProof/>
                <w:webHidden/>
              </w:rPr>
              <w:t>126</w:t>
            </w:r>
            <w:r w:rsidR="007B270B">
              <w:rPr>
                <w:noProof/>
                <w:webHidden/>
              </w:rPr>
              <w:fldChar w:fldCharType="end"/>
            </w:r>
          </w:hyperlink>
        </w:p>
        <w:p w14:paraId="409EFAA4"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98" w:history="1">
            <w:r w:rsidR="007B270B" w:rsidRPr="00552DCD">
              <w:rPr>
                <w:rStyle w:val="Hyperlink"/>
                <w:noProof/>
              </w:rPr>
              <w:t>11.</w:t>
            </w:r>
            <w:r w:rsidR="007B270B">
              <w:rPr>
                <w:rFonts w:asciiTheme="minorHAnsi" w:eastAsiaTheme="minorEastAsia" w:hAnsiTheme="minorHAnsi" w:cstheme="minorBidi"/>
                <w:b w:val="0"/>
                <w:noProof/>
                <w:sz w:val="22"/>
                <w:lang w:eastAsia="en-AU"/>
              </w:rPr>
              <w:tab/>
            </w:r>
            <w:r w:rsidR="007B270B" w:rsidRPr="00552DCD">
              <w:rPr>
                <w:rStyle w:val="Hyperlink"/>
                <w:noProof/>
              </w:rPr>
              <w:t>Clinical questions</w:t>
            </w:r>
            <w:r w:rsidR="007B270B">
              <w:rPr>
                <w:noProof/>
                <w:webHidden/>
              </w:rPr>
              <w:tab/>
            </w:r>
            <w:r w:rsidR="007B270B">
              <w:rPr>
                <w:noProof/>
                <w:webHidden/>
              </w:rPr>
              <w:fldChar w:fldCharType="begin"/>
            </w:r>
            <w:r w:rsidR="007B270B">
              <w:rPr>
                <w:noProof/>
                <w:webHidden/>
              </w:rPr>
              <w:instrText xml:space="preserve"> PAGEREF _Toc505762998 \h </w:instrText>
            </w:r>
            <w:r w:rsidR="007B270B">
              <w:rPr>
                <w:noProof/>
                <w:webHidden/>
              </w:rPr>
            </w:r>
            <w:r w:rsidR="007B270B">
              <w:rPr>
                <w:noProof/>
                <w:webHidden/>
              </w:rPr>
              <w:fldChar w:fldCharType="separate"/>
            </w:r>
            <w:r w:rsidR="007B270B">
              <w:rPr>
                <w:noProof/>
                <w:webHidden/>
              </w:rPr>
              <w:t>126</w:t>
            </w:r>
            <w:r w:rsidR="007B270B">
              <w:rPr>
                <w:noProof/>
                <w:webHidden/>
              </w:rPr>
              <w:fldChar w:fldCharType="end"/>
            </w:r>
          </w:hyperlink>
        </w:p>
        <w:p w14:paraId="2E023E25"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2999" w:history="1">
            <w:r w:rsidR="007B270B" w:rsidRPr="00552DCD">
              <w:rPr>
                <w:rStyle w:val="Hyperlink"/>
                <w:noProof/>
              </w:rPr>
              <w:t>12.</w:t>
            </w:r>
            <w:r w:rsidR="007B270B">
              <w:rPr>
                <w:rFonts w:asciiTheme="minorHAnsi" w:eastAsiaTheme="minorEastAsia" w:hAnsiTheme="minorHAnsi" w:cstheme="minorBidi"/>
                <w:b w:val="0"/>
                <w:noProof/>
                <w:sz w:val="22"/>
                <w:lang w:eastAsia="en-AU"/>
              </w:rPr>
              <w:tab/>
            </w:r>
            <w:r w:rsidR="007B270B" w:rsidRPr="00552DCD">
              <w:rPr>
                <w:rStyle w:val="Hyperlink"/>
                <w:noProof/>
              </w:rPr>
              <w:t>Second round evaluation of clinical data submitted in response to questions</w:t>
            </w:r>
            <w:r w:rsidR="007B270B">
              <w:rPr>
                <w:noProof/>
                <w:webHidden/>
              </w:rPr>
              <w:tab/>
            </w:r>
            <w:r w:rsidR="007B270B">
              <w:rPr>
                <w:noProof/>
                <w:webHidden/>
              </w:rPr>
              <w:fldChar w:fldCharType="begin"/>
            </w:r>
            <w:r w:rsidR="007B270B">
              <w:rPr>
                <w:noProof/>
                <w:webHidden/>
              </w:rPr>
              <w:instrText xml:space="preserve"> PAGEREF _Toc505762999 \h </w:instrText>
            </w:r>
            <w:r w:rsidR="007B270B">
              <w:rPr>
                <w:noProof/>
                <w:webHidden/>
              </w:rPr>
            </w:r>
            <w:r w:rsidR="007B270B">
              <w:rPr>
                <w:noProof/>
                <w:webHidden/>
              </w:rPr>
              <w:fldChar w:fldCharType="separate"/>
            </w:r>
            <w:r w:rsidR="007B270B">
              <w:rPr>
                <w:noProof/>
                <w:webHidden/>
              </w:rPr>
              <w:t>126</w:t>
            </w:r>
            <w:r w:rsidR="007B270B">
              <w:rPr>
                <w:noProof/>
                <w:webHidden/>
              </w:rPr>
              <w:fldChar w:fldCharType="end"/>
            </w:r>
          </w:hyperlink>
        </w:p>
        <w:p w14:paraId="2716DFBE" w14:textId="77777777" w:rsidR="007B270B" w:rsidRDefault="0046212E">
          <w:pPr>
            <w:pStyle w:val="TOC3"/>
            <w:tabs>
              <w:tab w:val="left" w:pos="1697"/>
            </w:tabs>
            <w:rPr>
              <w:rFonts w:asciiTheme="minorHAnsi" w:eastAsiaTheme="minorEastAsia" w:hAnsiTheme="minorHAnsi" w:cstheme="minorBidi"/>
              <w:noProof/>
              <w:lang w:eastAsia="en-AU"/>
            </w:rPr>
          </w:pPr>
          <w:hyperlink w:anchor="_Toc505763000" w:history="1">
            <w:r w:rsidR="007B270B" w:rsidRPr="00552DCD">
              <w:rPr>
                <w:rStyle w:val="Hyperlink"/>
                <w:noProof/>
              </w:rPr>
              <w:t>12.1.</w:t>
            </w:r>
            <w:r w:rsidR="007B270B">
              <w:rPr>
                <w:rFonts w:asciiTheme="minorHAnsi" w:eastAsiaTheme="minorEastAsia" w:hAnsiTheme="minorHAnsi" w:cstheme="minorBidi"/>
                <w:noProof/>
                <w:lang w:eastAsia="en-AU"/>
              </w:rPr>
              <w:tab/>
            </w:r>
            <w:r w:rsidR="007B270B" w:rsidRPr="00552DCD">
              <w:rPr>
                <w:rStyle w:val="Hyperlink"/>
                <w:noProof/>
              </w:rPr>
              <w:t>Question 1</w:t>
            </w:r>
            <w:r w:rsidR="007B270B">
              <w:rPr>
                <w:noProof/>
                <w:webHidden/>
              </w:rPr>
              <w:tab/>
            </w:r>
            <w:r w:rsidR="007B270B">
              <w:rPr>
                <w:noProof/>
                <w:webHidden/>
              </w:rPr>
              <w:fldChar w:fldCharType="begin"/>
            </w:r>
            <w:r w:rsidR="007B270B">
              <w:rPr>
                <w:noProof/>
                <w:webHidden/>
              </w:rPr>
              <w:instrText xml:space="preserve"> PAGEREF _Toc505763000 \h </w:instrText>
            </w:r>
            <w:r w:rsidR="007B270B">
              <w:rPr>
                <w:noProof/>
                <w:webHidden/>
              </w:rPr>
            </w:r>
            <w:r w:rsidR="007B270B">
              <w:rPr>
                <w:noProof/>
                <w:webHidden/>
              </w:rPr>
              <w:fldChar w:fldCharType="separate"/>
            </w:r>
            <w:r w:rsidR="007B270B">
              <w:rPr>
                <w:noProof/>
                <w:webHidden/>
              </w:rPr>
              <w:t>126</w:t>
            </w:r>
            <w:r w:rsidR="007B270B">
              <w:rPr>
                <w:noProof/>
                <w:webHidden/>
              </w:rPr>
              <w:fldChar w:fldCharType="end"/>
            </w:r>
          </w:hyperlink>
        </w:p>
        <w:p w14:paraId="33924EBF" w14:textId="77777777" w:rsidR="007B270B" w:rsidRDefault="0046212E">
          <w:pPr>
            <w:pStyle w:val="TOC3"/>
            <w:tabs>
              <w:tab w:val="left" w:pos="1697"/>
            </w:tabs>
            <w:rPr>
              <w:rFonts w:asciiTheme="minorHAnsi" w:eastAsiaTheme="minorEastAsia" w:hAnsiTheme="minorHAnsi" w:cstheme="minorBidi"/>
              <w:noProof/>
              <w:lang w:eastAsia="en-AU"/>
            </w:rPr>
          </w:pPr>
          <w:hyperlink w:anchor="_Toc505763001" w:history="1">
            <w:r w:rsidR="007B270B" w:rsidRPr="00552DCD">
              <w:rPr>
                <w:rStyle w:val="Hyperlink"/>
                <w:noProof/>
              </w:rPr>
              <w:t>12.2.</w:t>
            </w:r>
            <w:r w:rsidR="007B270B">
              <w:rPr>
                <w:rFonts w:asciiTheme="minorHAnsi" w:eastAsiaTheme="minorEastAsia" w:hAnsiTheme="minorHAnsi" w:cstheme="minorBidi"/>
                <w:noProof/>
                <w:lang w:eastAsia="en-AU"/>
              </w:rPr>
              <w:tab/>
            </w:r>
            <w:r w:rsidR="007B270B" w:rsidRPr="00552DCD">
              <w:rPr>
                <w:rStyle w:val="Hyperlink"/>
                <w:noProof/>
              </w:rPr>
              <w:t>Question 2</w:t>
            </w:r>
            <w:r w:rsidR="007B270B">
              <w:rPr>
                <w:noProof/>
                <w:webHidden/>
              </w:rPr>
              <w:tab/>
            </w:r>
            <w:r w:rsidR="007B270B">
              <w:rPr>
                <w:noProof/>
                <w:webHidden/>
              </w:rPr>
              <w:fldChar w:fldCharType="begin"/>
            </w:r>
            <w:r w:rsidR="007B270B">
              <w:rPr>
                <w:noProof/>
                <w:webHidden/>
              </w:rPr>
              <w:instrText xml:space="preserve"> PAGEREF _Toc505763001 \h </w:instrText>
            </w:r>
            <w:r w:rsidR="007B270B">
              <w:rPr>
                <w:noProof/>
                <w:webHidden/>
              </w:rPr>
            </w:r>
            <w:r w:rsidR="007B270B">
              <w:rPr>
                <w:noProof/>
                <w:webHidden/>
              </w:rPr>
              <w:fldChar w:fldCharType="separate"/>
            </w:r>
            <w:r w:rsidR="007B270B">
              <w:rPr>
                <w:noProof/>
                <w:webHidden/>
              </w:rPr>
              <w:t>127</w:t>
            </w:r>
            <w:r w:rsidR="007B270B">
              <w:rPr>
                <w:noProof/>
                <w:webHidden/>
              </w:rPr>
              <w:fldChar w:fldCharType="end"/>
            </w:r>
          </w:hyperlink>
        </w:p>
        <w:p w14:paraId="0EE3BD3F" w14:textId="77777777" w:rsidR="007B270B" w:rsidRDefault="0046212E">
          <w:pPr>
            <w:pStyle w:val="TOC3"/>
            <w:tabs>
              <w:tab w:val="left" w:pos="1697"/>
            </w:tabs>
            <w:rPr>
              <w:rFonts w:asciiTheme="minorHAnsi" w:eastAsiaTheme="minorEastAsia" w:hAnsiTheme="minorHAnsi" w:cstheme="minorBidi"/>
              <w:noProof/>
              <w:lang w:eastAsia="en-AU"/>
            </w:rPr>
          </w:pPr>
          <w:hyperlink w:anchor="_Toc505763002" w:history="1">
            <w:r w:rsidR="007B270B" w:rsidRPr="00552DCD">
              <w:rPr>
                <w:rStyle w:val="Hyperlink"/>
                <w:noProof/>
              </w:rPr>
              <w:t>12.3.</w:t>
            </w:r>
            <w:r w:rsidR="007B270B">
              <w:rPr>
                <w:rFonts w:asciiTheme="minorHAnsi" w:eastAsiaTheme="minorEastAsia" w:hAnsiTheme="minorHAnsi" w:cstheme="minorBidi"/>
                <w:noProof/>
                <w:lang w:eastAsia="en-AU"/>
              </w:rPr>
              <w:tab/>
            </w:r>
            <w:r w:rsidR="007B270B" w:rsidRPr="00552DCD">
              <w:rPr>
                <w:rStyle w:val="Hyperlink"/>
                <w:noProof/>
              </w:rPr>
              <w:t>Question 3</w:t>
            </w:r>
            <w:r w:rsidR="007B270B">
              <w:rPr>
                <w:noProof/>
                <w:webHidden/>
              </w:rPr>
              <w:tab/>
            </w:r>
            <w:r w:rsidR="007B270B">
              <w:rPr>
                <w:noProof/>
                <w:webHidden/>
              </w:rPr>
              <w:fldChar w:fldCharType="begin"/>
            </w:r>
            <w:r w:rsidR="007B270B">
              <w:rPr>
                <w:noProof/>
                <w:webHidden/>
              </w:rPr>
              <w:instrText xml:space="preserve"> PAGEREF _Toc505763002 \h </w:instrText>
            </w:r>
            <w:r w:rsidR="007B270B">
              <w:rPr>
                <w:noProof/>
                <w:webHidden/>
              </w:rPr>
            </w:r>
            <w:r w:rsidR="007B270B">
              <w:rPr>
                <w:noProof/>
                <w:webHidden/>
              </w:rPr>
              <w:fldChar w:fldCharType="separate"/>
            </w:r>
            <w:r w:rsidR="007B270B">
              <w:rPr>
                <w:noProof/>
                <w:webHidden/>
              </w:rPr>
              <w:t>131</w:t>
            </w:r>
            <w:r w:rsidR="007B270B">
              <w:rPr>
                <w:noProof/>
                <w:webHidden/>
              </w:rPr>
              <w:fldChar w:fldCharType="end"/>
            </w:r>
          </w:hyperlink>
        </w:p>
        <w:p w14:paraId="51DFD4C8"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3003" w:history="1">
            <w:r w:rsidR="007B270B" w:rsidRPr="00552DCD">
              <w:rPr>
                <w:rStyle w:val="Hyperlink"/>
                <w:noProof/>
              </w:rPr>
              <w:t>13.</w:t>
            </w:r>
            <w:r w:rsidR="007B270B">
              <w:rPr>
                <w:rFonts w:asciiTheme="minorHAnsi" w:eastAsiaTheme="minorEastAsia" w:hAnsiTheme="minorHAnsi" w:cstheme="minorBidi"/>
                <w:b w:val="0"/>
                <w:noProof/>
                <w:sz w:val="22"/>
                <w:lang w:eastAsia="en-AU"/>
              </w:rPr>
              <w:tab/>
            </w:r>
            <w:r w:rsidR="007B270B" w:rsidRPr="00552DCD">
              <w:rPr>
                <w:rStyle w:val="Hyperlink"/>
                <w:noProof/>
              </w:rPr>
              <w:t>Second round benefit-risk assessment</w:t>
            </w:r>
            <w:r w:rsidR="007B270B">
              <w:rPr>
                <w:noProof/>
                <w:webHidden/>
              </w:rPr>
              <w:tab/>
            </w:r>
            <w:r w:rsidR="007B270B">
              <w:rPr>
                <w:noProof/>
                <w:webHidden/>
              </w:rPr>
              <w:fldChar w:fldCharType="begin"/>
            </w:r>
            <w:r w:rsidR="007B270B">
              <w:rPr>
                <w:noProof/>
                <w:webHidden/>
              </w:rPr>
              <w:instrText xml:space="preserve"> PAGEREF _Toc505763003 \h </w:instrText>
            </w:r>
            <w:r w:rsidR="007B270B">
              <w:rPr>
                <w:noProof/>
                <w:webHidden/>
              </w:rPr>
            </w:r>
            <w:r w:rsidR="007B270B">
              <w:rPr>
                <w:noProof/>
                <w:webHidden/>
              </w:rPr>
              <w:fldChar w:fldCharType="separate"/>
            </w:r>
            <w:r w:rsidR="007B270B">
              <w:rPr>
                <w:noProof/>
                <w:webHidden/>
              </w:rPr>
              <w:t>132</w:t>
            </w:r>
            <w:r w:rsidR="007B270B">
              <w:rPr>
                <w:noProof/>
                <w:webHidden/>
              </w:rPr>
              <w:fldChar w:fldCharType="end"/>
            </w:r>
          </w:hyperlink>
        </w:p>
        <w:p w14:paraId="12F2CDA8" w14:textId="77777777" w:rsidR="007B270B" w:rsidRDefault="0046212E">
          <w:pPr>
            <w:pStyle w:val="TOC3"/>
            <w:tabs>
              <w:tab w:val="left" w:pos="1697"/>
            </w:tabs>
            <w:rPr>
              <w:rFonts w:asciiTheme="minorHAnsi" w:eastAsiaTheme="minorEastAsia" w:hAnsiTheme="minorHAnsi" w:cstheme="minorBidi"/>
              <w:noProof/>
              <w:lang w:eastAsia="en-AU"/>
            </w:rPr>
          </w:pPr>
          <w:hyperlink w:anchor="_Toc505763004" w:history="1">
            <w:r w:rsidR="007B270B" w:rsidRPr="00552DCD">
              <w:rPr>
                <w:rStyle w:val="Hyperlink"/>
                <w:noProof/>
              </w:rPr>
              <w:t>13.1.</w:t>
            </w:r>
            <w:r w:rsidR="007B270B">
              <w:rPr>
                <w:rFonts w:asciiTheme="minorHAnsi" w:eastAsiaTheme="minorEastAsia" w:hAnsiTheme="minorHAnsi" w:cstheme="minorBidi"/>
                <w:noProof/>
                <w:lang w:eastAsia="en-AU"/>
              </w:rPr>
              <w:tab/>
            </w:r>
            <w:r w:rsidR="007B270B" w:rsidRPr="00552DCD">
              <w:rPr>
                <w:rStyle w:val="Hyperlink"/>
                <w:noProof/>
              </w:rPr>
              <w:t>Second round assessment of benefits</w:t>
            </w:r>
            <w:r w:rsidR="007B270B">
              <w:rPr>
                <w:noProof/>
                <w:webHidden/>
              </w:rPr>
              <w:tab/>
            </w:r>
            <w:r w:rsidR="007B270B">
              <w:rPr>
                <w:noProof/>
                <w:webHidden/>
              </w:rPr>
              <w:fldChar w:fldCharType="begin"/>
            </w:r>
            <w:r w:rsidR="007B270B">
              <w:rPr>
                <w:noProof/>
                <w:webHidden/>
              </w:rPr>
              <w:instrText xml:space="preserve"> PAGEREF _Toc505763004 \h </w:instrText>
            </w:r>
            <w:r w:rsidR="007B270B">
              <w:rPr>
                <w:noProof/>
                <w:webHidden/>
              </w:rPr>
            </w:r>
            <w:r w:rsidR="007B270B">
              <w:rPr>
                <w:noProof/>
                <w:webHidden/>
              </w:rPr>
              <w:fldChar w:fldCharType="separate"/>
            </w:r>
            <w:r w:rsidR="007B270B">
              <w:rPr>
                <w:noProof/>
                <w:webHidden/>
              </w:rPr>
              <w:t>132</w:t>
            </w:r>
            <w:r w:rsidR="007B270B">
              <w:rPr>
                <w:noProof/>
                <w:webHidden/>
              </w:rPr>
              <w:fldChar w:fldCharType="end"/>
            </w:r>
          </w:hyperlink>
        </w:p>
        <w:p w14:paraId="07C86713" w14:textId="77777777" w:rsidR="007B270B" w:rsidRDefault="0046212E">
          <w:pPr>
            <w:pStyle w:val="TOC3"/>
            <w:tabs>
              <w:tab w:val="left" w:pos="1697"/>
            </w:tabs>
            <w:rPr>
              <w:rFonts w:asciiTheme="minorHAnsi" w:eastAsiaTheme="minorEastAsia" w:hAnsiTheme="minorHAnsi" w:cstheme="minorBidi"/>
              <w:noProof/>
              <w:lang w:eastAsia="en-AU"/>
            </w:rPr>
          </w:pPr>
          <w:hyperlink w:anchor="_Toc505763005" w:history="1">
            <w:r w:rsidR="007B270B" w:rsidRPr="00552DCD">
              <w:rPr>
                <w:rStyle w:val="Hyperlink"/>
                <w:noProof/>
              </w:rPr>
              <w:t>13.2.</w:t>
            </w:r>
            <w:r w:rsidR="007B270B">
              <w:rPr>
                <w:rFonts w:asciiTheme="minorHAnsi" w:eastAsiaTheme="minorEastAsia" w:hAnsiTheme="minorHAnsi" w:cstheme="minorBidi"/>
                <w:noProof/>
                <w:lang w:eastAsia="en-AU"/>
              </w:rPr>
              <w:tab/>
            </w:r>
            <w:r w:rsidR="007B270B" w:rsidRPr="00552DCD">
              <w:rPr>
                <w:rStyle w:val="Hyperlink"/>
                <w:noProof/>
              </w:rPr>
              <w:t>Second round assessment of risks</w:t>
            </w:r>
            <w:r w:rsidR="007B270B">
              <w:rPr>
                <w:noProof/>
                <w:webHidden/>
              </w:rPr>
              <w:tab/>
            </w:r>
            <w:r w:rsidR="007B270B">
              <w:rPr>
                <w:noProof/>
                <w:webHidden/>
              </w:rPr>
              <w:fldChar w:fldCharType="begin"/>
            </w:r>
            <w:r w:rsidR="007B270B">
              <w:rPr>
                <w:noProof/>
                <w:webHidden/>
              </w:rPr>
              <w:instrText xml:space="preserve"> PAGEREF _Toc505763005 \h </w:instrText>
            </w:r>
            <w:r w:rsidR="007B270B">
              <w:rPr>
                <w:noProof/>
                <w:webHidden/>
              </w:rPr>
            </w:r>
            <w:r w:rsidR="007B270B">
              <w:rPr>
                <w:noProof/>
                <w:webHidden/>
              </w:rPr>
              <w:fldChar w:fldCharType="separate"/>
            </w:r>
            <w:r w:rsidR="007B270B">
              <w:rPr>
                <w:noProof/>
                <w:webHidden/>
              </w:rPr>
              <w:t>133</w:t>
            </w:r>
            <w:r w:rsidR="007B270B">
              <w:rPr>
                <w:noProof/>
                <w:webHidden/>
              </w:rPr>
              <w:fldChar w:fldCharType="end"/>
            </w:r>
          </w:hyperlink>
        </w:p>
        <w:p w14:paraId="2E26EA7E" w14:textId="77777777" w:rsidR="007B270B" w:rsidRDefault="0046212E">
          <w:pPr>
            <w:pStyle w:val="TOC3"/>
            <w:tabs>
              <w:tab w:val="left" w:pos="1697"/>
            </w:tabs>
            <w:rPr>
              <w:rFonts w:asciiTheme="minorHAnsi" w:eastAsiaTheme="minorEastAsia" w:hAnsiTheme="minorHAnsi" w:cstheme="minorBidi"/>
              <w:noProof/>
              <w:lang w:eastAsia="en-AU"/>
            </w:rPr>
          </w:pPr>
          <w:hyperlink w:anchor="_Toc505763006" w:history="1">
            <w:r w:rsidR="007B270B" w:rsidRPr="00552DCD">
              <w:rPr>
                <w:rStyle w:val="Hyperlink"/>
                <w:noProof/>
              </w:rPr>
              <w:t>13.3.</w:t>
            </w:r>
            <w:r w:rsidR="007B270B">
              <w:rPr>
                <w:rFonts w:asciiTheme="minorHAnsi" w:eastAsiaTheme="minorEastAsia" w:hAnsiTheme="minorHAnsi" w:cstheme="minorBidi"/>
                <w:noProof/>
                <w:lang w:eastAsia="en-AU"/>
              </w:rPr>
              <w:tab/>
            </w:r>
            <w:r w:rsidR="007B270B" w:rsidRPr="00552DCD">
              <w:rPr>
                <w:rStyle w:val="Hyperlink"/>
                <w:noProof/>
              </w:rPr>
              <w:t>Second round assessment of benefit-risk balance</w:t>
            </w:r>
            <w:r w:rsidR="007B270B">
              <w:rPr>
                <w:noProof/>
                <w:webHidden/>
              </w:rPr>
              <w:tab/>
            </w:r>
            <w:r w:rsidR="007B270B">
              <w:rPr>
                <w:noProof/>
                <w:webHidden/>
              </w:rPr>
              <w:fldChar w:fldCharType="begin"/>
            </w:r>
            <w:r w:rsidR="007B270B">
              <w:rPr>
                <w:noProof/>
                <w:webHidden/>
              </w:rPr>
              <w:instrText xml:space="preserve"> PAGEREF _Toc505763006 \h </w:instrText>
            </w:r>
            <w:r w:rsidR="007B270B">
              <w:rPr>
                <w:noProof/>
                <w:webHidden/>
              </w:rPr>
            </w:r>
            <w:r w:rsidR="007B270B">
              <w:rPr>
                <w:noProof/>
                <w:webHidden/>
              </w:rPr>
              <w:fldChar w:fldCharType="separate"/>
            </w:r>
            <w:r w:rsidR="007B270B">
              <w:rPr>
                <w:noProof/>
                <w:webHidden/>
              </w:rPr>
              <w:t>133</w:t>
            </w:r>
            <w:r w:rsidR="007B270B">
              <w:rPr>
                <w:noProof/>
                <w:webHidden/>
              </w:rPr>
              <w:fldChar w:fldCharType="end"/>
            </w:r>
          </w:hyperlink>
        </w:p>
        <w:p w14:paraId="25FEAC28"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3007" w:history="1">
            <w:r w:rsidR="007B270B" w:rsidRPr="00552DCD">
              <w:rPr>
                <w:rStyle w:val="Hyperlink"/>
                <w:noProof/>
              </w:rPr>
              <w:t>14.</w:t>
            </w:r>
            <w:r w:rsidR="007B270B">
              <w:rPr>
                <w:rFonts w:asciiTheme="minorHAnsi" w:eastAsiaTheme="minorEastAsia" w:hAnsiTheme="minorHAnsi" w:cstheme="minorBidi"/>
                <w:b w:val="0"/>
                <w:noProof/>
                <w:sz w:val="22"/>
                <w:lang w:eastAsia="en-AU"/>
              </w:rPr>
              <w:tab/>
            </w:r>
            <w:r w:rsidR="007B270B" w:rsidRPr="00552DCD">
              <w:rPr>
                <w:rStyle w:val="Hyperlink"/>
                <w:noProof/>
              </w:rPr>
              <w:t>Second round recommendation regarding authorisation</w:t>
            </w:r>
            <w:r w:rsidR="007B270B">
              <w:rPr>
                <w:noProof/>
                <w:webHidden/>
              </w:rPr>
              <w:tab/>
            </w:r>
            <w:r w:rsidR="007B270B">
              <w:rPr>
                <w:noProof/>
                <w:webHidden/>
              </w:rPr>
              <w:fldChar w:fldCharType="begin"/>
            </w:r>
            <w:r w:rsidR="007B270B">
              <w:rPr>
                <w:noProof/>
                <w:webHidden/>
              </w:rPr>
              <w:instrText xml:space="preserve"> PAGEREF _Toc505763007 \h </w:instrText>
            </w:r>
            <w:r w:rsidR="007B270B">
              <w:rPr>
                <w:noProof/>
                <w:webHidden/>
              </w:rPr>
            </w:r>
            <w:r w:rsidR="007B270B">
              <w:rPr>
                <w:noProof/>
                <w:webHidden/>
              </w:rPr>
              <w:fldChar w:fldCharType="separate"/>
            </w:r>
            <w:r w:rsidR="007B270B">
              <w:rPr>
                <w:noProof/>
                <w:webHidden/>
              </w:rPr>
              <w:t>133</w:t>
            </w:r>
            <w:r w:rsidR="007B270B">
              <w:rPr>
                <w:noProof/>
                <w:webHidden/>
              </w:rPr>
              <w:fldChar w:fldCharType="end"/>
            </w:r>
          </w:hyperlink>
        </w:p>
        <w:p w14:paraId="361F3FD7" w14:textId="77777777" w:rsidR="007B270B" w:rsidRDefault="0046212E">
          <w:pPr>
            <w:pStyle w:val="TOC2"/>
            <w:tabs>
              <w:tab w:val="left" w:pos="1247"/>
            </w:tabs>
            <w:rPr>
              <w:rFonts w:asciiTheme="minorHAnsi" w:eastAsiaTheme="minorEastAsia" w:hAnsiTheme="minorHAnsi" w:cstheme="minorBidi"/>
              <w:b w:val="0"/>
              <w:noProof/>
              <w:sz w:val="22"/>
              <w:lang w:eastAsia="en-AU"/>
            </w:rPr>
          </w:pPr>
          <w:hyperlink w:anchor="_Toc505763008" w:history="1">
            <w:r w:rsidR="007B270B" w:rsidRPr="00552DCD">
              <w:rPr>
                <w:rStyle w:val="Hyperlink"/>
                <w:noProof/>
              </w:rPr>
              <w:t>15.</w:t>
            </w:r>
            <w:r w:rsidR="007B270B">
              <w:rPr>
                <w:rFonts w:asciiTheme="minorHAnsi" w:eastAsiaTheme="minorEastAsia" w:hAnsiTheme="minorHAnsi" w:cstheme="minorBidi"/>
                <w:b w:val="0"/>
                <w:noProof/>
                <w:sz w:val="22"/>
                <w:lang w:eastAsia="en-AU"/>
              </w:rPr>
              <w:tab/>
            </w:r>
            <w:r w:rsidR="007B270B" w:rsidRPr="00552DCD">
              <w:rPr>
                <w:rStyle w:val="Hyperlink"/>
                <w:noProof/>
              </w:rPr>
              <w:t>References</w:t>
            </w:r>
            <w:r w:rsidR="007B270B">
              <w:rPr>
                <w:noProof/>
                <w:webHidden/>
              </w:rPr>
              <w:tab/>
            </w:r>
            <w:r w:rsidR="007B270B">
              <w:rPr>
                <w:noProof/>
                <w:webHidden/>
              </w:rPr>
              <w:fldChar w:fldCharType="begin"/>
            </w:r>
            <w:r w:rsidR="007B270B">
              <w:rPr>
                <w:noProof/>
                <w:webHidden/>
              </w:rPr>
              <w:instrText xml:space="preserve"> PAGEREF _Toc505763008 \h </w:instrText>
            </w:r>
            <w:r w:rsidR="007B270B">
              <w:rPr>
                <w:noProof/>
                <w:webHidden/>
              </w:rPr>
            </w:r>
            <w:r w:rsidR="007B270B">
              <w:rPr>
                <w:noProof/>
                <w:webHidden/>
              </w:rPr>
              <w:fldChar w:fldCharType="separate"/>
            </w:r>
            <w:r w:rsidR="007B270B">
              <w:rPr>
                <w:noProof/>
                <w:webHidden/>
              </w:rPr>
              <w:t>133</w:t>
            </w:r>
            <w:r w:rsidR="007B270B">
              <w:rPr>
                <w:noProof/>
                <w:webHidden/>
              </w:rPr>
              <w:fldChar w:fldCharType="end"/>
            </w:r>
          </w:hyperlink>
        </w:p>
        <w:p w14:paraId="575F04CE" w14:textId="77777777" w:rsidR="003A7F6C" w:rsidRPr="003442FE" w:rsidRDefault="004F4AF5" w:rsidP="00B811C6">
          <w:pPr>
            <w:pStyle w:val="TOC2"/>
          </w:pPr>
          <w:r w:rsidRPr="003442FE">
            <w:fldChar w:fldCharType="end"/>
          </w:r>
        </w:p>
      </w:sdtContent>
    </w:sdt>
    <w:bookmarkStart w:id="3" w:name="_Toc314842482" w:displacedByCustomXml="prev"/>
    <w:p w14:paraId="73484673" w14:textId="77777777" w:rsidR="00586F98" w:rsidRPr="003442FE" w:rsidRDefault="00586F98" w:rsidP="007B7D09">
      <w:pPr>
        <w:pStyle w:val="Heading2"/>
        <w:pageBreakBefore/>
        <w:numPr>
          <w:ilvl w:val="0"/>
          <w:numId w:val="0"/>
        </w:numPr>
      </w:pPr>
      <w:bookmarkStart w:id="4" w:name="_Toc351716269"/>
      <w:bookmarkStart w:id="5" w:name="_Toc351718881"/>
      <w:bookmarkStart w:id="6" w:name="_Toc355338616"/>
      <w:bookmarkStart w:id="7" w:name="_Toc505762956"/>
      <w:r w:rsidRPr="003442FE">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RPr="003442FE" w14:paraId="56A5C879" w14:textId="77777777" w:rsidTr="00501D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36C38E08" w14:textId="77777777" w:rsidR="00586F98" w:rsidRPr="003442FE" w:rsidRDefault="00586F98" w:rsidP="000A63AF">
            <w:r w:rsidRPr="003442FE">
              <w:t>Abbreviation</w:t>
            </w:r>
          </w:p>
        </w:tc>
        <w:tc>
          <w:tcPr>
            <w:tcW w:w="6911" w:type="dxa"/>
          </w:tcPr>
          <w:p w14:paraId="072CA43F" w14:textId="77777777" w:rsidR="00586F98" w:rsidRPr="003442FE" w:rsidRDefault="00586F98" w:rsidP="000A63AF">
            <w:pPr>
              <w:cnfStyle w:val="100000000000" w:firstRow="1" w:lastRow="0" w:firstColumn="0" w:lastColumn="0" w:oddVBand="0" w:evenVBand="0" w:oddHBand="0" w:evenHBand="0" w:firstRowFirstColumn="0" w:firstRowLastColumn="0" w:lastRowFirstColumn="0" w:lastRowLastColumn="0"/>
            </w:pPr>
            <w:r w:rsidRPr="003442FE">
              <w:t>Meaning</w:t>
            </w:r>
          </w:p>
        </w:tc>
      </w:tr>
      <w:tr w:rsidR="00501D67" w:rsidRPr="003442FE" w14:paraId="5AC2A2C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EAF64C1" w14:textId="7DD0676C" w:rsidR="00501D67" w:rsidRPr="003442FE" w:rsidRDefault="00586C19" w:rsidP="000A63AF">
            <w:r>
              <w:rPr>
                <w:rFonts w:cs="TimesNewRoman"/>
                <w:szCs w:val="22"/>
              </w:rPr>
              <w:t>AE</w:t>
            </w:r>
          </w:p>
        </w:tc>
        <w:tc>
          <w:tcPr>
            <w:tcW w:w="6911" w:type="dxa"/>
          </w:tcPr>
          <w:p w14:paraId="49B90A08" w14:textId="29698898"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Pr="006003DA">
              <w:rPr>
                <w:rFonts w:cs="TimesNewRoman"/>
                <w:szCs w:val="22"/>
              </w:rPr>
              <w:t>dverse event</w:t>
            </w:r>
          </w:p>
        </w:tc>
      </w:tr>
      <w:tr w:rsidR="00501D67" w:rsidRPr="003442FE" w14:paraId="6FFD4E7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ABDB01F" w14:textId="0BE1E39E" w:rsidR="00501D67" w:rsidRPr="003442FE" w:rsidRDefault="00501D67" w:rsidP="000A63AF">
            <w:r w:rsidRPr="006003DA">
              <w:rPr>
                <w:rFonts w:cs="TimesNewRoman"/>
                <w:szCs w:val="22"/>
              </w:rPr>
              <w:t>ALL</w:t>
            </w:r>
          </w:p>
        </w:tc>
        <w:tc>
          <w:tcPr>
            <w:tcW w:w="6911" w:type="dxa"/>
          </w:tcPr>
          <w:p w14:paraId="4A1A5A0C" w14:textId="2914FBA4"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cute lymphoblastic leuk</w:t>
            </w:r>
            <w:r>
              <w:rPr>
                <w:rFonts w:cs="TimesNewRoman"/>
                <w:szCs w:val="22"/>
              </w:rPr>
              <w:t>a</w:t>
            </w:r>
            <w:r w:rsidR="00501D67" w:rsidRPr="006003DA">
              <w:rPr>
                <w:rFonts w:cs="TimesNewRoman"/>
                <w:szCs w:val="22"/>
              </w:rPr>
              <w:t>emia</w:t>
            </w:r>
          </w:p>
        </w:tc>
      </w:tr>
      <w:tr w:rsidR="00501D67" w:rsidRPr="003442FE" w14:paraId="3968166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C50123C" w14:textId="7F708E8E" w:rsidR="00501D67" w:rsidRPr="003442FE" w:rsidRDefault="00501D67" w:rsidP="000A63AF">
            <w:r w:rsidRPr="006003DA">
              <w:rPr>
                <w:rFonts w:cs="TimesNewRoman"/>
                <w:szCs w:val="22"/>
              </w:rPr>
              <w:t>ALT</w:t>
            </w:r>
          </w:p>
        </w:tc>
        <w:tc>
          <w:tcPr>
            <w:tcW w:w="6911" w:type="dxa"/>
          </w:tcPr>
          <w:p w14:paraId="06D8775E" w14:textId="06196FAC" w:rsidR="00501D67" w:rsidRPr="003442FE" w:rsidRDefault="00A923F9" w:rsidP="00A923F9">
            <w:pPr>
              <w:cnfStyle w:val="000000000000" w:firstRow="0" w:lastRow="0" w:firstColumn="0" w:lastColumn="0" w:oddVBand="0" w:evenVBand="0" w:oddHBand="0" w:evenHBand="0" w:firstRowFirstColumn="0" w:firstRowLastColumn="0" w:lastRowFirstColumn="0" w:lastRowLastColumn="0"/>
            </w:pPr>
            <w:r>
              <w:rPr>
                <w:rFonts w:cs="TimesNewRoman"/>
                <w:szCs w:val="22"/>
              </w:rPr>
              <w:t>Al</w:t>
            </w:r>
            <w:r w:rsidR="00501D67" w:rsidRPr="006003DA">
              <w:rPr>
                <w:rFonts w:cs="TimesNewRoman"/>
                <w:szCs w:val="22"/>
              </w:rPr>
              <w:t>anine aminotransferase</w:t>
            </w:r>
          </w:p>
        </w:tc>
      </w:tr>
      <w:tr w:rsidR="00501D67" w:rsidRPr="003442FE" w14:paraId="3179ADF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65892C9" w14:textId="1021685D" w:rsidR="00501D67" w:rsidRPr="003442FE" w:rsidRDefault="00501D67" w:rsidP="00A923F9">
            <w:r w:rsidRPr="006003DA">
              <w:rPr>
                <w:rFonts w:cs="TimesNewRoman"/>
                <w:szCs w:val="22"/>
              </w:rPr>
              <w:t>AMG103</w:t>
            </w:r>
          </w:p>
        </w:tc>
        <w:tc>
          <w:tcPr>
            <w:tcW w:w="6911" w:type="dxa"/>
          </w:tcPr>
          <w:p w14:paraId="5F03D7C6" w14:textId="6CAD7FF0"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B</w:t>
            </w:r>
            <w:r w:rsidR="00501D67" w:rsidRPr="006003DA">
              <w:rPr>
                <w:rFonts w:cs="TimesNewRoman"/>
                <w:szCs w:val="22"/>
              </w:rPr>
              <w:t>linatumomab</w:t>
            </w:r>
            <w:r>
              <w:rPr>
                <w:rFonts w:cs="TimesNewRoman"/>
                <w:szCs w:val="22"/>
              </w:rPr>
              <w:t xml:space="preserve"> (drug development code)</w:t>
            </w:r>
          </w:p>
        </w:tc>
      </w:tr>
      <w:tr w:rsidR="00501D67" w:rsidRPr="003442FE" w14:paraId="0E3A76E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5FD6B22" w14:textId="57121751" w:rsidR="00501D67" w:rsidRPr="003442FE" w:rsidRDefault="00501D67" w:rsidP="000A63AF">
            <w:r w:rsidRPr="006003DA">
              <w:rPr>
                <w:rFonts w:cs="TimesNewRoman"/>
                <w:szCs w:val="22"/>
              </w:rPr>
              <w:t>ANC</w:t>
            </w:r>
          </w:p>
        </w:tc>
        <w:tc>
          <w:tcPr>
            <w:tcW w:w="6911" w:type="dxa"/>
          </w:tcPr>
          <w:p w14:paraId="7603E378" w14:textId="24C4DEF4"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bsolute neutrophil count</w:t>
            </w:r>
          </w:p>
        </w:tc>
      </w:tr>
      <w:tr w:rsidR="00501D67" w:rsidRPr="003442FE" w14:paraId="4037CE1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716E8AC" w14:textId="6C156573" w:rsidR="00501D67" w:rsidRPr="003442FE" w:rsidRDefault="00501D67" w:rsidP="000A63AF">
            <w:r w:rsidRPr="006003DA">
              <w:rPr>
                <w:rFonts w:cs="TimesNewRoman"/>
                <w:szCs w:val="22"/>
              </w:rPr>
              <w:t>AP</w:t>
            </w:r>
          </w:p>
        </w:tc>
        <w:tc>
          <w:tcPr>
            <w:tcW w:w="6911" w:type="dxa"/>
          </w:tcPr>
          <w:p w14:paraId="14E8C0C4" w14:textId="5A90CAB6"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lkaline phosphatase</w:t>
            </w:r>
          </w:p>
        </w:tc>
      </w:tr>
      <w:tr w:rsidR="00501D67" w:rsidRPr="003442FE" w14:paraId="6FA7D6C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8172CA1" w14:textId="3ABA6523" w:rsidR="00501D67" w:rsidRPr="003442FE" w:rsidRDefault="00501D67" w:rsidP="000A63AF">
            <w:r w:rsidRPr="006003DA">
              <w:rPr>
                <w:rFonts w:cs="TimesNewRoman"/>
                <w:szCs w:val="22"/>
              </w:rPr>
              <w:t>AST</w:t>
            </w:r>
          </w:p>
        </w:tc>
        <w:tc>
          <w:tcPr>
            <w:tcW w:w="6911" w:type="dxa"/>
          </w:tcPr>
          <w:p w14:paraId="6C17FF3E" w14:textId="2035E4C1" w:rsidR="00501D67" w:rsidRPr="003442FE" w:rsidRDefault="00A923F9" w:rsidP="00A923F9">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spartate aminotransferase</w:t>
            </w:r>
          </w:p>
        </w:tc>
      </w:tr>
      <w:tr w:rsidR="00501D67" w:rsidRPr="003442FE" w14:paraId="5C84D06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B8D9BF2" w14:textId="68005344" w:rsidR="00501D67" w:rsidRPr="003442FE" w:rsidRDefault="00501D67" w:rsidP="000A63AF">
            <w:r w:rsidRPr="006003DA">
              <w:rPr>
                <w:rFonts w:cs="TimesNewRoman"/>
                <w:szCs w:val="22"/>
              </w:rPr>
              <w:t>AT</w:t>
            </w:r>
          </w:p>
        </w:tc>
        <w:tc>
          <w:tcPr>
            <w:tcW w:w="6911" w:type="dxa"/>
          </w:tcPr>
          <w:p w14:paraId="62A484BA" w14:textId="32D1B8A8"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nti-thrombin</w:t>
            </w:r>
          </w:p>
        </w:tc>
      </w:tr>
      <w:tr w:rsidR="00501D67" w:rsidRPr="003442FE" w14:paraId="0C73A88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9FFF558" w14:textId="239C50B3" w:rsidR="00501D67" w:rsidRPr="003442FE" w:rsidRDefault="006B3B14" w:rsidP="000A63AF">
            <w:r>
              <w:rPr>
                <w:rFonts w:cs="TimesNewRoman"/>
                <w:szCs w:val="22"/>
              </w:rPr>
              <w:t>ATC</w:t>
            </w:r>
          </w:p>
        </w:tc>
        <w:tc>
          <w:tcPr>
            <w:tcW w:w="6911" w:type="dxa"/>
          </w:tcPr>
          <w:p w14:paraId="5B7401BD" w14:textId="6C776BD6"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Anatomical Therapeutic Chemical</w:t>
            </w:r>
          </w:p>
        </w:tc>
      </w:tr>
      <w:tr w:rsidR="00501D67" w:rsidRPr="003442FE" w14:paraId="47AC73C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1C49F0D" w14:textId="0614D371" w:rsidR="00501D67" w:rsidRPr="003442FE" w:rsidRDefault="00501D67" w:rsidP="000A63AF">
            <w:r w:rsidRPr="006003DA">
              <w:rPr>
                <w:rFonts w:cs="TimesNewRoman"/>
                <w:szCs w:val="22"/>
              </w:rPr>
              <w:t>AV</w:t>
            </w:r>
          </w:p>
        </w:tc>
        <w:tc>
          <w:tcPr>
            <w:tcW w:w="6911" w:type="dxa"/>
          </w:tcPr>
          <w:p w14:paraId="6F165AF6" w14:textId="1FBBE389"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trioventricular</w:t>
            </w:r>
          </w:p>
        </w:tc>
      </w:tr>
      <w:tr w:rsidR="00501D67" w:rsidRPr="003442FE" w14:paraId="26183E8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F2B448D" w14:textId="51564502" w:rsidR="00501D67" w:rsidRPr="003442FE" w:rsidRDefault="00501D67" w:rsidP="000A63AF">
            <w:r w:rsidRPr="006003DA">
              <w:rPr>
                <w:rFonts w:cs="TimesNewRoman"/>
                <w:szCs w:val="22"/>
              </w:rPr>
              <w:t>b/l</w:t>
            </w:r>
          </w:p>
        </w:tc>
        <w:tc>
          <w:tcPr>
            <w:tcW w:w="6911" w:type="dxa"/>
          </w:tcPr>
          <w:p w14:paraId="59F1A372" w14:textId="6CAD56AA"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B</w:t>
            </w:r>
            <w:r w:rsidR="00501D67" w:rsidRPr="006003DA">
              <w:rPr>
                <w:rFonts w:cs="TimesNewRoman"/>
                <w:szCs w:val="22"/>
              </w:rPr>
              <w:t>aseline</w:t>
            </w:r>
          </w:p>
        </w:tc>
      </w:tr>
      <w:tr w:rsidR="00501D67" w:rsidRPr="003442FE" w14:paraId="0069C8D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2B14491" w14:textId="47075050" w:rsidR="00501D67" w:rsidRPr="003442FE" w:rsidRDefault="00586C19" w:rsidP="000A63AF">
            <w:r>
              <w:rPr>
                <w:rFonts w:cs="TimesNewRoman"/>
                <w:szCs w:val="22"/>
              </w:rPr>
              <w:t>B-ALL</w:t>
            </w:r>
          </w:p>
        </w:tc>
        <w:tc>
          <w:tcPr>
            <w:tcW w:w="6911" w:type="dxa"/>
          </w:tcPr>
          <w:p w14:paraId="55A04451" w14:textId="73E5DB2B"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B cell acute lymphoblastic leuk</w:t>
            </w:r>
            <w:r w:rsidR="00A923F9">
              <w:rPr>
                <w:rFonts w:cs="TimesNewRoman"/>
                <w:szCs w:val="22"/>
              </w:rPr>
              <w:t>a</w:t>
            </w:r>
            <w:r w:rsidRPr="006003DA">
              <w:rPr>
                <w:rFonts w:cs="TimesNewRoman"/>
                <w:szCs w:val="22"/>
              </w:rPr>
              <w:t>emia</w:t>
            </w:r>
          </w:p>
        </w:tc>
      </w:tr>
      <w:tr w:rsidR="00501D67" w:rsidRPr="003442FE" w14:paraId="68419F5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4AD9030" w14:textId="5415F85B" w:rsidR="00501D67" w:rsidRPr="003442FE" w:rsidRDefault="00501D67" w:rsidP="000A63AF">
            <w:r w:rsidRPr="006003DA">
              <w:rPr>
                <w:rFonts w:cs="TimesNewRoman"/>
                <w:szCs w:val="22"/>
              </w:rPr>
              <w:t>bcr/abl</w:t>
            </w:r>
          </w:p>
        </w:tc>
        <w:tc>
          <w:tcPr>
            <w:tcW w:w="6911" w:type="dxa"/>
          </w:tcPr>
          <w:p w14:paraId="51814BB1" w14:textId="3F090EBE"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B</w:t>
            </w:r>
            <w:r w:rsidR="00501D67" w:rsidRPr="006003DA">
              <w:rPr>
                <w:rFonts w:cs="TimesNewRoman"/>
                <w:szCs w:val="22"/>
              </w:rPr>
              <w:t>reakpoin</w:t>
            </w:r>
            <w:r w:rsidR="00586C19">
              <w:rPr>
                <w:rFonts w:cs="TimesNewRoman"/>
                <w:szCs w:val="22"/>
              </w:rPr>
              <w:t>t cluster region of ABL1 genes</w:t>
            </w:r>
          </w:p>
        </w:tc>
      </w:tr>
      <w:tr w:rsidR="00501D67" w:rsidRPr="003442FE" w14:paraId="3AA5820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85A67EA" w14:textId="3E56E0A1" w:rsidR="00501D67" w:rsidRPr="003442FE" w:rsidRDefault="00501D67" w:rsidP="000A63AF">
            <w:r w:rsidRPr="006003DA">
              <w:rPr>
                <w:rFonts w:cs="TimesNewRoman"/>
                <w:szCs w:val="22"/>
              </w:rPr>
              <w:t>BiTE</w:t>
            </w:r>
          </w:p>
        </w:tc>
        <w:tc>
          <w:tcPr>
            <w:tcW w:w="6911" w:type="dxa"/>
          </w:tcPr>
          <w:p w14:paraId="0F513D33" w14:textId="4C8DD28C"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B</w:t>
            </w:r>
            <w:r w:rsidR="00501D67" w:rsidRPr="006003DA">
              <w:rPr>
                <w:rFonts w:cs="TimesNewRoman"/>
                <w:szCs w:val="22"/>
              </w:rPr>
              <w:t xml:space="preserve">ispecific </w:t>
            </w:r>
            <w:r w:rsidR="00586C19">
              <w:rPr>
                <w:rFonts w:cs="TimesNewRoman"/>
                <w:szCs w:val="22"/>
              </w:rPr>
              <w:t>T cell</w:t>
            </w:r>
            <w:r w:rsidR="00501D67" w:rsidRPr="006003DA">
              <w:rPr>
                <w:rFonts w:cs="TimesNewRoman"/>
                <w:szCs w:val="22"/>
              </w:rPr>
              <w:t xml:space="preserve"> engager</w:t>
            </w:r>
          </w:p>
        </w:tc>
      </w:tr>
      <w:tr w:rsidR="00501D67" w:rsidRPr="003442FE" w14:paraId="06DD318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630EB88" w14:textId="41BBEFCB" w:rsidR="00501D67" w:rsidRPr="003442FE" w:rsidRDefault="00501D67" w:rsidP="000A63AF">
            <w:r w:rsidRPr="006003DA">
              <w:rPr>
                <w:rFonts w:cs="TimesNewRoman"/>
                <w:szCs w:val="22"/>
              </w:rPr>
              <w:t>BLOQ</w:t>
            </w:r>
          </w:p>
        </w:tc>
        <w:tc>
          <w:tcPr>
            <w:tcW w:w="6911" w:type="dxa"/>
          </w:tcPr>
          <w:p w14:paraId="2DC8AE8D" w14:textId="6106F9EB"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B</w:t>
            </w:r>
            <w:r w:rsidR="00501D67" w:rsidRPr="006003DA">
              <w:rPr>
                <w:rFonts w:cs="TimesNewRoman"/>
                <w:szCs w:val="22"/>
              </w:rPr>
              <w:t>elow the lower limit of quantification</w:t>
            </w:r>
          </w:p>
        </w:tc>
      </w:tr>
      <w:tr w:rsidR="00501D67" w:rsidRPr="003442FE" w14:paraId="31B61C2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ACD9235" w14:textId="53C82EE5" w:rsidR="00501D67" w:rsidRPr="003442FE" w:rsidRDefault="00501D67" w:rsidP="000A63AF">
            <w:r w:rsidRPr="006003DA">
              <w:rPr>
                <w:rFonts w:cs="TimesNewRoman"/>
                <w:szCs w:val="22"/>
              </w:rPr>
              <w:t>BSA</w:t>
            </w:r>
          </w:p>
        </w:tc>
        <w:tc>
          <w:tcPr>
            <w:tcW w:w="6911" w:type="dxa"/>
          </w:tcPr>
          <w:p w14:paraId="0B6EB8D9" w14:textId="10A2A09E"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B</w:t>
            </w:r>
            <w:r w:rsidR="00501D67" w:rsidRPr="006003DA">
              <w:rPr>
                <w:rFonts w:cs="TimesNewRoman"/>
                <w:szCs w:val="22"/>
              </w:rPr>
              <w:t>ody surface area</w:t>
            </w:r>
          </w:p>
        </w:tc>
      </w:tr>
      <w:tr w:rsidR="00501D67" w:rsidRPr="003442FE" w14:paraId="6AB25D5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9AFC52E" w14:textId="57257A0D" w:rsidR="00501D67" w:rsidRPr="003442FE" w:rsidRDefault="00501D67" w:rsidP="000A63AF">
            <w:r w:rsidRPr="006003DA">
              <w:rPr>
                <w:rFonts w:cs="TimesNewRoman"/>
                <w:szCs w:val="22"/>
              </w:rPr>
              <w:t>BTCR</w:t>
            </w:r>
          </w:p>
        </w:tc>
        <w:tc>
          <w:tcPr>
            <w:tcW w:w="6911" w:type="dxa"/>
          </w:tcPr>
          <w:p w14:paraId="272C547F" w14:textId="7A357DA3"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B cell: T cell ratio</w:t>
            </w:r>
          </w:p>
        </w:tc>
      </w:tr>
      <w:tr w:rsidR="00501D67" w:rsidRPr="003442FE" w14:paraId="6B63E73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51A822B" w14:textId="7053BA78" w:rsidR="00501D67" w:rsidRPr="003442FE" w:rsidRDefault="00501D67" w:rsidP="000A63AF">
            <w:r w:rsidRPr="006003DA">
              <w:rPr>
                <w:rFonts w:cs="TimesNewRoman"/>
                <w:szCs w:val="22"/>
              </w:rPr>
              <w:t>CD</w:t>
            </w:r>
          </w:p>
        </w:tc>
        <w:tc>
          <w:tcPr>
            <w:tcW w:w="6911" w:type="dxa"/>
          </w:tcPr>
          <w:p w14:paraId="3500665E" w14:textId="07D49244"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luster of differentiation</w:t>
            </w:r>
          </w:p>
        </w:tc>
      </w:tr>
      <w:tr w:rsidR="00501D67" w:rsidRPr="003442FE" w14:paraId="11DC5AD7"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67C5BB7" w14:textId="0852ECD1" w:rsidR="00501D67" w:rsidRPr="003442FE" w:rsidRDefault="00501D67" w:rsidP="000A63AF">
            <w:r w:rsidRPr="006003DA">
              <w:rPr>
                <w:rFonts w:cs="TimesNewRoman"/>
                <w:szCs w:val="22"/>
              </w:rPr>
              <w:t>CD19</w:t>
            </w:r>
          </w:p>
        </w:tc>
        <w:tc>
          <w:tcPr>
            <w:tcW w:w="6911" w:type="dxa"/>
          </w:tcPr>
          <w:p w14:paraId="7BD768CC" w14:textId="374DC475"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M</w:t>
            </w:r>
            <w:r w:rsidR="00501D67" w:rsidRPr="006003DA">
              <w:rPr>
                <w:rFonts w:cs="TimesNewRoman"/>
                <w:szCs w:val="22"/>
              </w:rPr>
              <w:t>arker on B cells</w:t>
            </w:r>
          </w:p>
        </w:tc>
      </w:tr>
      <w:tr w:rsidR="00501D67" w:rsidRPr="003442FE" w14:paraId="731BE289"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99C845C" w14:textId="28D82D69" w:rsidR="00501D67" w:rsidRPr="003442FE" w:rsidRDefault="00501D67" w:rsidP="000A63AF">
            <w:r w:rsidRPr="006003DA">
              <w:rPr>
                <w:rFonts w:cs="TimesNewRoman"/>
                <w:szCs w:val="22"/>
              </w:rPr>
              <w:t>CD197</w:t>
            </w:r>
          </w:p>
        </w:tc>
        <w:tc>
          <w:tcPr>
            <w:tcW w:w="6911" w:type="dxa"/>
          </w:tcPr>
          <w:p w14:paraId="048EBE01" w14:textId="771D03EA"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A</w:t>
            </w:r>
            <w:r w:rsidR="00501D67" w:rsidRPr="006003DA">
              <w:rPr>
                <w:rFonts w:cs="TimesNewRoman"/>
                <w:szCs w:val="22"/>
              </w:rPr>
              <w:t xml:space="preserve">lso called CCR7; marker for </w:t>
            </w:r>
            <w:r w:rsidR="00586C19">
              <w:rPr>
                <w:rFonts w:cs="TimesNewRoman"/>
                <w:szCs w:val="22"/>
              </w:rPr>
              <w:t>T cell</w:t>
            </w:r>
            <w:r w:rsidR="00501D67" w:rsidRPr="006003DA">
              <w:rPr>
                <w:rFonts w:cs="TimesNewRoman"/>
                <w:szCs w:val="22"/>
              </w:rPr>
              <w:t xml:space="preserve"> differentiation</w:t>
            </w:r>
          </w:p>
        </w:tc>
      </w:tr>
      <w:tr w:rsidR="00501D67" w:rsidRPr="003442FE" w14:paraId="56A8278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58E99D7" w14:textId="01294F69" w:rsidR="00501D67" w:rsidRPr="003442FE" w:rsidRDefault="00501D67" w:rsidP="000A63AF">
            <w:r w:rsidRPr="006003DA">
              <w:rPr>
                <w:rFonts w:cs="TimesNewRoman"/>
                <w:szCs w:val="22"/>
              </w:rPr>
              <w:t>CD28</w:t>
            </w:r>
          </w:p>
        </w:tc>
        <w:tc>
          <w:tcPr>
            <w:tcW w:w="6911" w:type="dxa"/>
          </w:tcPr>
          <w:p w14:paraId="2AB0AB4B" w14:textId="37875DB9"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Cluster of Differentiation 28; one of the molecules expressed on T cells that provide co-stimulatory signals, which are</w:t>
            </w:r>
            <w:r w:rsidR="00586C19">
              <w:rPr>
                <w:rFonts w:cs="TimesNewRoman"/>
                <w:szCs w:val="22"/>
              </w:rPr>
              <w:t xml:space="preserve"> required for T cell activation</w:t>
            </w:r>
          </w:p>
        </w:tc>
      </w:tr>
      <w:tr w:rsidR="00501D67" w:rsidRPr="003442FE" w14:paraId="1A437B8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E04B2B2" w14:textId="5E8DCE1E" w:rsidR="00501D67" w:rsidRPr="003442FE" w:rsidRDefault="00501D67" w:rsidP="000A63AF">
            <w:r w:rsidRPr="006003DA">
              <w:rPr>
                <w:rFonts w:cs="TimesNewRoman"/>
                <w:szCs w:val="22"/>
              </w:rPr>
              <w:t>CD3</w:t>
            </w:r>
          </w:p>
        </w:tc>
        <w:tc>
          <w:tcPr>
            <w:tcW w:w="6911" w:type="dxa"/>
          </w:tcPr>
          <w:p w14:paraId="65481B12" w14:textId="57DCB022"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M</w:t>
            </w:r>
            <w:r w:rsidR="00501D67" w:rsidRPr="006003DA">
              <w:rPr>
                <w:rFonts w:cs="TimesNewRoman"/>
                <w:szCs w:val="22"/>
              </w:rPr>
              <w:t>arker on T cells</w:t>
            </w:r>
          </w:p>
        </w:tc>
      </w:tr>
      <w:tr w:rsidR="00501D67" w:rsidRPr="003442FE" w14:paraId="351EE8A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CB7337B" w14:textId="00FBFFB7" w:rsidR="00501D67" w:rsidRPr="003442FE" w:rsidRDefault="00501D67" w:rsidP="000A63AF">
            <w:r w:rsidRPr="006003DA">
              <w:rPr>
                <w:rFonts w:cs="TimesNewRoman"/>
                <w:szCs w:val="22"/>
              </w:rPr>
              <w:t>CD4</w:t>
            </w:r>
          </w:p>
        </w:tc>
        <w:tc>
          <w:tcPr>
            <w:tcW w:w="6911" w:type="dxa"/>
          </w:tcPr>
          <w:p w14:paraId="7B3ED92F" w14:textId="4EF04934"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M</w:t>
            </w:r>
            <w:r w:rsidR="00501D67" w:rsidRPr="006003DA">
              <w:rPr>
                <w:rFonts w:cs="TimesNewRoman"/>
                <w:szCs w:val="22"/>
              </w:rPr>
              <w:t>arker on a subset of T cells (CD4+ T cells)</w:t>
            </w:r>
          </w:p>
        </w:tc>
      </w:tr>
      <w:tr w:rsidR="00501D67" w:rsidRPr="003442FE" w14:paraId="3ED2AB6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D2D95BE" w14:textId="66DA74B5" w:rsidR="00501D67" w:rsidRPr="003442FE" w:rsidRDefault="00586C19" w:rsidP="000A63AF">
            <w:r>
              <w:rPr>
                <w:rFonts w:cs="TimesNewRoman"/>
                <w:szCs w:val="22"/>
              </w:rPr>
              <w:t>CD45RA</w:t>
            </w:r>
          </w:p>
        </w:tc>
        <w:tc>
          <w:tcPr>
            <w:tcW w:w="6911" w:type="dxa"/>
          </w:tcPr>
          <w:p w14:paraId="28D642F0" w14:textId="4BB37581"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I</w:t>
            </w:r>
            <w:r w:rsidR="00501D67" w:rsidRPr="006003DA">
              <w:rPr>
                <w:rFonts w:cs="TimesNewRoman"/>
                <w:szCs w:val="22"/>
              </w:rPr>
              <w:t xml:space="preserve">soform of CD45 expressed on distinct subsets of T cells; marker for </w:t>
            </w:r>
            <w:r w:rsidR="00586C19">
              <w:rPr>
                <w:rFonts w:cs="TimesNewRoman"/>
                <w:szCs w:val="22"/>
              </w:rPr>
              <w:t>T cell</w:t>
            </w:r>
            <w:r w:rsidR="00501D67" w:rsidRPr="006003DA">
              <w:rPr>
                <w:rFonts w:cs="TimesNewRoman"/>
                <w:szCs w:val="22"/>
              </w:rPr>
              <w:t xml:space="preserve"> differentiation</w:t>
            </w:r>
          </w:p>
        </w:tc>
      </w:tr>
      <w:tr w:rsidR="00501D67" w:rsidRPr="003442FE" w14:paraId="40CAC40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9E1752B" w14:textId="7804A58E" w:rsidR="00501D67" w:rsidRPr="003442FE" w:rsidRDefault="00501D67" w:rsidP="000A63AF">
            <w:r w:rsidRPr="006003DA">
              <w:rPr>
                <w:rFonts w:cs="TimesNewRoman"/>
                <w:szCs w:val="22"/>
              </w:rPr>
              <w:t>CD8</w:t>
            </w:r>
          </w:p>
        </w:tc>
        <w:tc>
          <w:tcPr>
            <w:tcW w:w="6911" w:type="dxa"/>
          </w:tcPr>
          <w:p w14:paraId="5958DAB2" w14:textId="1FB1FC16"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M</w:t>
            </w:r>
            <w:r w:rsidR="00501D67" w:rsidRPr="006003DA">
              <w:rPr>
                <w:rFonts w:cs="TimesNewRoman"/>
                <w:szCs w:val="22"/>
              </w:rPr>
              <w:t>arker on a subset of T cells (CD8+ T cells)</w:t>
            </w:r>
          </w:p>
        </w:tc>
      </w:tr>
      <w:tr w:rsidR="00501D67" w:rsidRPr="003442FE" w14:paraId="6EB9C00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482DD59" w14:textId="106B1B57" w:rsidR="00501D67" w:rsidRPr="003442FE" w:rsidRDefault="00501D67" w:rsidP="000A63AF">
            <w:r w:rsidRPr="006003DA">
              <w:rPr>
                <w:rFonts w:cs="TimesNewRoman"/>
                <w:szCs w:val="22"/>
              </w:rPr>
              <w:t>CI</w:t>
            </w:r>
          </w:p>
        </w:tc>
        <w:tc>
          <w:tcPr>
            <w:tcW w:w="6911" w:type="dxa"/>
          </w:tcPr>
          <w:p w14:paraId="7B7265D6" w14:textId="4F01AD56"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onfidence interval</w:t>
            </w:r>
          </w:p>
        </w:tc>
      </w:tr>
      <w:tr w:rsidR="00501D67" w:rsidRPr="003442FE" w14:paraId="38B345E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4F3C24B" w14:textId="78C3F3C1" w:rsidR="00501D67" w:rsidRPr="003442FE" w:rsidRDefault="00501D67" w:rsidP="000A63AF">
            <w:r w:rsidRPr="006003DA">
              <w:rPr>
                <w:rFonts w:cs="TimesNewRoman"/>
                <w:szCs w:val="22"/>
              </w:rPr>
              <w:t>CL</w:t>
            </w:r>
          </w:p>
        </w:tc>
        <w:tc>
          <w:tcPr>
            <w:tcW w:w="6911" w:type="dxa"/>
          </w:tcPr>
          <w:p w14:paraId="36716EC5" w14:textId="3E9517EF"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learance</w:t>
            </w:r>
          </w:p>
        </w:tc>
      </w:tr>
      <w:tr w:rsidR="00501D67" w:rsidRPr="003442FE" w14:paraId="781A4CA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66A4CA9" w14:textId="3D658805" w:rsidR="00501D67" w:rsidRPr="003442FE" w:rsidRDefault="00501D67" w:rsidP="000A63AF">
            <w:r w:rsidRPr="006003DA">
              <w:rPr>
                <w:rFonts w:cs="TimesNewRoman"/>
                <w:szCs w:val="22"/>
              </w:rPr>
              <w:t>CLL</w:t>
            </w:r>
          </w:p>
        </w:tc>
        <w:tc>
          <w:tcPr>
            <w:tcW w:w="6911" w:type="dxa"/>
          </w:tcPr>
          <w:p w14:paraId="570BBB39" w14:textId="00650A9F"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hronic lymphocytic leuk</w:t>
            </w:r>
            <w:r>
              <w:rPr>
                <w:rFonts w:cs="TimesNewRoman"/>
                <w:szCs w:val="22"/>
              </w:rPr>
              <w:t>a</w:t>
            </w:r>
            <w:r w:rsidR="00501D67" w:rsidRPr="006003DA">
              <w:rPr>
                <w:rFonts w:cs="TimesNewRoman"/>
                <w:szCs w:val="22"/>
              </w:rPr>
              <w:t>emia</w:t>
            </w:r>
          </w:p>
        </w:tc>
      </w:tr>
      <w:tr w:rsidR="00501D67" w:rsidRPr="003442FE" w14:paraId="3A16C9A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CF32A6B" w14:textId="300EEC8E" w:rsidR="00501D67" w:rsidRPr="003442FE" w:rsidRDefault="00501D67" w:rsidP="000A63AF">
            <w:r w:rsidRPr="006003DA">
              <w:rPr>
                <w:rFonts w:cs="TimesNewRoman"/>
                <w:szCs w:val="22"/>
              </w:rPr>
              <w:t>C</w:t>
            </w:r>
            <w:r w:rsidRPr="00A923F9">
              <w:rPr>
                <w:rFonts w:cs="TimesNewRoman"/>
                <w:szCs w:val="22"/>
                <w:vertAlign w:val="subscript"/>
              </w:rPr>
              <w:t>max</w:t>
            </w:r>
          </w:p>
        </w:tc>
        <w:tc>
          <w:tcPr>
            <w:tcW w:w="6911" w:type="dxa"/>
          </w:tcPr>
          <w:p w14:paraId="17AF45D5" w14:textId="5B67EFC0"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M</w:t>
            </w:r>
            <w:r w:rsidR="00501D67" w:rsidRPr="006003DA">
              <w:rPr>
                <w:rFonts w:cs="TimesNewRoman"/>
                <w:szCs w:val="22"/>
              </w:rPr>
              <w:t>aximum observed concentration</w:t>
            </w:r>
          </w:p>
        </w:tc>
      </w:tr>
      <w:tr w:rsidR="00501D67" w:rsidRPr="003442FE" w14:paraId="38C57E9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60E88A1" w14:textId="55C22D30" w:rsidR="00501D67" w:rsidRPr="003442FE" w:rsidRDefault="00501D67" w:rsidP="000A63AF">
            <w:r w:rsidRPr="006003DA">
              <w:rPr>
                <w:rFonts w:cs="TimesNewRoman"/>
                <w:szCs w:val="22"/>
              </w:rPr>
              <w:t>CMV</w:t>
            </w:r>
          </w:p>
        </w:tc>
        <w:tc>
          <w:tcPr>
            <w:tcW w:w="6911" w:type="dxa"/>
          </w:tcPr>
          <w:p w14:paraId="069C646E" w14:textId="327E3DA0"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ytomegalovirus</w:t>
            </w:r>
          </w:p>
        </w:tc>
      </w:tr>
      <w:tr w:rsidR="00501D67" w:rsidRPr="003442FE" w14:paraId="5CE8C6B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FA7EF9B" w14:textId="5E1B3B63" w:rsidR="00501D67" w:rsidRPr="003442FE" w:rsidRDefault="00501D67" w:rsidP="000A63AF">
            <w:r w:rsidRPr="006003DA">
              <w:rPr>
                <w:rFonts w:cs="TimesNewRoman"/>
                <w:szCs w:val="22"/>
              </w:rPr>
              <w:t>CNS</w:t>
            </w:r>
          </w:p>
        </w:tc>
        <w:tc>
          <w:tcPr>
            <w:tcW w:w="6911" w:type="dxa"/>
          </w:tcPr>
          <w:p w14:paraId="689FFE39" w14:textId="73FA80C9"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entral nervous system</w:t>
            </w:r>
          </w:p>
        </w:tc>
      </w:tr>
      <w:tr w:rsidR="00501D67" w:rsidRPr="003442FE" w14:paraId="0B5AFBD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56FBC93" w14:textId="6C2B8F09" w:rsidR="00501D67" w:rsidRPr="003442FE" w:rsidRDefault="00501D67" w:rsidP="000A63AF">
            <w:r w:rsidRPr="006003DA">
              <w:rPr>
                <w:rFonts w:cs="TimesNewRoman"/>
                <w:szCs w:val="22"/>
              </w:rPr>
              <w:t>CPR</w:t>
            </w:r>
          </w:p>
        </w:tc>
        <w:tc>
          <w:tcPr>
            <w:tcW w:w="6911" w:type="dxa"/>
          </w:tcPr>
          <w:p w14:paraId="0AA231BE" w14:textId="18D74C6E"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ardiopulmonary resuscitation</w:t>
            </w:r>
          </w:p>
        </w:tc>
      </w:tr>
      <w:tr w:rsidR="00501D67" w:rsidRPr="003442FE" w14:paraId="0933EA7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C9DD163" w14:textId="3A45D6E9" w:rsidR="00501D67" w:rsidRPr="003442FE" w:rsidRDefault="00501D67" w:rsidP="000A63AF">
            <w:r w:rsidRPr="006003DA">
              <w:rPr>
                <w:rFonts w:cs="TimesNewRoman"/>
                <w:szCs w:val="22"/>
              </w:rPr>
              <w:t>CR</w:t>
            </w:r>
          </w:p>
        </w:tc>
        <w:tc>
          <w:tcPr>
            <w:tcW w:w="6911" w:type="dxa"/>
          </w:tcPr>
          <w:p w14:paraId="3D7694B6" w14:textId="09FA9C87"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omplete remission</w:t>
            </w:r>
          </w:p>
        </w:tc>
      </w:tr>
      <w:tr w:rsidR="00501D67" w:rsidRPr="003442FE" w14:paraId="3E14A7A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C265908" w14:textId="4776F946" w:rsidR="00501D67" w:rsidRPr="003442FE" w:rsidRDefault="00501D67" w:rsidP="000A63AF">
            <w:r w:rsidRPr="006003DA">
              <w:rPr>
                <w:rFonts w:cs="TimesNewRoman"/>
                <w:szCs w:val="22"/>
              </w:rPr>
              <w:t>CR</w:t>
            </w:r>
          </w:p>
        </w:tc>
        <w:tc>
          <w:tcPr>
            <w:tcW w:w="6911" w:type="dxa"/>
          </w:tcPr>
          <w:p w14:paraId="36322DD2" w14:textId="3661228B"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omplete response/remission</w:t>
            </w:r>
          </w:p>
        </w:tc>
      </w:tr>
      <w:tr w:rsidR="00501D67" w:rsidRPr="003442FE" w14:paraId="333898D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2C2F1EB" w14:textId="7F4C04EB" w:rsidR="00501D67" w:rsidRPr="003442FE" w:rsidRDefault="00586C19" w:rsidP="000A63AF">
            <w:r>
              <w:rPr>
                <w:rFonts w:cs="TimesNewRoman"/>
                <w:szCs w:val="22"/>
              </w:rPr>
              <w:t>CrCL</w:t>
            </w:r>
          </w:p>
        </w:tc>
        <w:tc>
          <w:tcPr>
            <w:tcW w:w="6911" w:type="dxa"/>
          </w:tcPr>
          <w:p w14:paraId="7BC798A9" w14:textId="7AE6F693"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reatinine clearance estimated by Cockcroft-Gault formula</w:t>
            </w:r>
          </w:p>
        </w:tc>
      </w:tr>
      <w:tr w:rsidR="00501D67" w:rsidRPr="003442FE" w14:paraId="18EBD01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635F17B" w14:textId="7EC75CB7" w:rsidR="00501D67" w:rsidRPr="003442FE" w:rsidRDefault="00501D67" w:rsidP="000A63AF">
            <w:r w:rsidRPr="006003DA">
              <w:rPr>
                <w:rFonts w:cs="TimesNewRoman"/>
                <w:szCs w:val="22"/>
              </w:rPr>
              <w:t>CRF</w:t>
            </w:r>
          </w:p>
        </w:tc>
        <w:tc>
          <w:tcPr>
            <w:tcW w:w="6911" w:type="dxa"/>
          </w:tcPr>
          <w:p w14:paraId="5E7DBDEB" w14:textId="52FBC9CE"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Ca</w:t>
            </w:r>
            <w:r w:rsidR="00501D67" w:rsidRPr="006003DA">
              <w:rPr>
                <w:rFonts w:cs="TimesNewRoman"/>
                <w:szCs w:val="22"/>
              </w:rPr>
              <w:t>se report form</w:t>
            </w:r>
          </w:p>
        </w:tc>
      </w:tr>
      <w:tr w:rsidR="00501D67" w:rsidRPr="003442FE" w14:paraId="67AF51A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1CF89DD" w14:textId="324B8A32" w:rsidR="00501D67" w:rsidRPr="003442FE" w:rsidRDefault="00501D67" w:rsidP="000A63AF">
            <w:r w:rsidRPr="006003DA">
              <w:rPr>
                <w:rFonts w:cs="TimesNewRoman"/>
                <w:szCs w:val="22"/>
              </w:rPr>
              <w:t>CRh*</w:t>
            </w:r>
          </w:p>
        </w:tc>
        <w:tc>
          <w:tcPr>
            <w:tcW w:w="6911" w:type="dxa"/>
          </w:tcPr>
          <w:p w14:paraId="51E8B688" w14:textId="1C6F8ED6"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omplete remission with partial h</w:t>
            </w:r>
            <w:r>
              <w:rPr>
                <w:rFonts w:cs="TimesNewRoman"/>
                <w:szCs w:val="22"/>
              </w:rPr>
              <w:t>a</w:t>
            </w:r>
            <w:r w:rsidR="00501D67" w:rsidRPr="006003DA">
              <w:rPr>
                <w:rFonts w:cs="TimesNewRoman"/>
                <w:szCs w:val="22"/>
              </w:rPr>
              <w:t>ematological recovery</w:t>
            </w:r>
          </w:p>
        </w:tc>
      </w:tr>
      <w:tr w:rsidR="00501D67" w:rsidRPr="003442FE" w14:paraId="37B589C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0248D5B" w14:textId="3F77F4EF" w:rsidR="00501D67" w:rsidRPr="003442FE" w:rsidRDefault="00501D67" w:rsidP="000A63AF">
            <w:r w:rsidRPr="006003DA">
              <w:rPr>
                <w:rFonts w:cs="TimesNewRoman"/>
                <w:szCs w:val="22"/>
              </w:rPr>
              <w:t>CRO</w:t>
            </w:r>
          </w:p>
        </w:tc>
        <w:tc>
          <w:tcPr>
            <w:tcW w:w="6911" w:type="dxa"/>
          </w:tcPr>
          <w:p w14:paraId="654F8BDD" w14:textId="25CFDC84" w:rsidR="00501D67" w:rsidRPr="003442FE" w:rsidRDefault="00501D67" w:rsidP="00A923F9">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Contract Research Organi</w:t>
            </w:r>
            <w:r w:rsidR="00A923F9">
              <w:rPr>
                <w:rFonts w:cs="TimesNewRoman"/>
                <w:szCs w:val="22"/>
              </w:rPr>
              <w:t>s</w:t>
            </w:r>
            <w:r w:rsidRPr="006003DA">
              <w:rPr>
                <w:rFonts w:cs="TimesNewRoman"/>
                <w:szCs w:val="22"/>
              </w:rPr>
              <w:t>ation</w:t>
            </w:r>
          </w:p>
        </w:tc>
      </w:tr>
      <w:tr w:rsidR="00501D67" w:rsidRPr="003442FE" w14:paraId="370DD15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66391B8" w14:textId="76E80E42" w:rsidR="00501D67" w:rsidRPr="003442FE" w:rsidRDefault="00501D67" w:rsidP="000A63AF">
            <w:r w:rsidRPr="006003DA">
              <w:rPr>
                <w:rFonts w:cs="TimesNewRoman"/>
                <w:szCs w:val="22"/>
              </w:rPr>
              <w:t>CRP</w:t>
            </w:r>
          </w:p>
        </w:tc>
        <w:tc>
          <w:tcPr>
            <w:tcW w:w="6911" w:type="dxa"/>
          </w:tcPr>
          <w:p w14:paraId="04D9EAB5" w14:textId="2F6DAD74"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C-reactive protein</w:t>
            </w:r>
          </w:p>
        </w:tc>
      </w:tr>
      <w:tr w:rsidR="00501D67" w:rsidRPr="003442FE" w14:paraId="3216197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0293336" w14:textId="05A21CCF" w:rsidR="00501D67" w:rsidRPr="003442FE" w:rsidRDefault="00501D67" w:rsidP="000A63AF">
            <w:r w:rsidRPr="006003DA">
              <w:rPr>
                <w:rFonts w:cs="TimesNewRoman"/>
                <w:szCs w:val="22"/>
              </w:rPr>
              <w:t>CSF</w:t>
            </w:r>
          </w:p>
        </w:tc>
        <w:tc>
          <w:tcPr>
            <w:tcW w:w="6911" w:type="dxa"/>
          </w:tcPr>
          <w:p w14:paraId="179E61AE" w14:textId="74302AD4"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erebrospinal fluid</w:t>
            </w:r>
          </w:p>
        </w:tc>
      </w:tr>
      <w:tr w:rsidR="00501D67" w:rsidRPr="003442FE" w14:paraId="64538C9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D4BF90C" w14:textId="71CDF7A3" w:rsidR="00501D67" w:rsidRPr="003442FE" w:rsidRDefault="00501D67" w:rsidP="000A63AF">
            <w:r w:rsidRPr="006003DA">
              <w:rPr>
                <w:rFonts w:cs="TimesNewRoman"/>
                <w:szCs w:val="22"/>
              </w:rPr>
              <w:t>CSR</w:t>
            </w:r>
          </w:p>
        </w:tc>
        <w:tc>
          <w:tcPr>
            <w:tcW w:w="6911" w:type="dxa"/>
          </w:tcPr>
          <w:p w14:paraId="369DF1D7" w14:textId="5B4AA835"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Clinical Study Report</w:t>
            </w:r>
          </w:p>
        </w:tc>
      </w:tr>
      <w:tr w:rsidR="00501D67" w:rsidRPr="003442FE" w14:paraId="581DCAF7"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169A4A6" w14:textId="41EA7931" w:rsidR="00501D67" w:rsidRPr="003442FE" w:rsidRDefault="00501D67" w:rsidP="000A63AF">
            <w:r w:rsidRPr="006003DA">
              <w:rPr>
                <w:rFonts w:cs="TimesNewRoman"/>
                <w:szCs w:val="22"/>
              </w:rPr>
              <w:t>C</w:t>
            </w:r>
            <w:r w:rsidRPr="00A923F9">
              <w:rPr>
                <w:rFonts w:cs="TimesNewRoman"/>
                <w:szCs w:val="22"/>
                <w:vertAlign w:val="subscript"/>
              </w:rPr>
              <w:t>ss</w:t>
            </w:r>
          </w:p>
        </w:tc>
        <w:tc>
          <w:tcPr>
            <w:tcW w:w="6911" w:type="dxa"/>
          </w:tcPr>
          <w:p w14:paraId="5CDE52DD" w14:textId="142F3341"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oncentration at steady state</w:t>
            </w:r>
          </w:p>
        </w:tc>
      </w:tr>
      <w:tr w:rsidR="00501D67" w:rsidRPr="003442FE" w14:paraId="3C5B0397"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3F7FE27" w14:textId="0BE9142F" w:rsidR="00501D67" w:rsidRPr="003442FE" w:rsidRDefault="00501D67" w:rsidP="000A63AF">
            <w:r w:rsidRPr="006003DA">
              <w:rPr>
                <w:rFonts w:cs="TimesNewRoman"/>
                <w:szCs w:val="22"/>
              </w:rPr>
              <w:t>CST</w:t>
            </w:r>
          </w:p>
        </w:tc>
        <w:tc>
          <w:tcPr>
            <w:tcW w:w="6911" w:type="dxa"/>
          </w:tcPr>
          <w:p w14:paraId="6BDDF05D" w14:textId="399FC8E3"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linical study team</w:t>
            </w:r>
          </w:p>
        </w:tc>
      </w:tr>
      <w:tr w:rsidR="00501D67" w:rsidRPr="003442FE" w14:paraId="74C750A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C7EC6B2" w14:textId="292452BC" w:rsidR="00501D67" w:rsidRPr="003442FE" w:rsidRDefault="00501D67" w:rsidP="000A63AF">
            <w:r w:rsidRPr="006003DA">
              <w:rPr>
                <w:rFonts w:cs="TimesNewRoman"/>
                <w:szCs w:val="22"/>
              </w:rPr>
              <w:t>CT</w:t>
            </w:r>
          </w:p>
        </w:tc>
        <w:tc>
          <w:tcPr>
            <w:tcW w:w="6911" w:type="dxa"/>
          </w:tcPr>
          <w:p w14:paraId="76995E65" w14:textId="5787B2F4" w:rsidR="00501D67" w:rsidRPr="003442FE" w:rsidRDefault="00A923F9" w:rsidP="00396C92">
            <w:pPr>
              <w:cnfStyle w:val="000000000000" w:firstRow="0" w:lastRow="0" w:firstColumn="0" w:lastColumn="0" w:oddVBand="0" w:evenVBand="0" w:oddHBand="0" w:evenHBand="0" w:firstRowFirstColumn="0" w:firstRowLastColumn="0" w:lastRowFirstColumn="0" w:lastRowLastColumn="0"/>
            </w:pPr>
            <w:r>
              <w:rPr>
                <w:rFonts w:cs="TimesNewRoman"/>
                <w:szCs w:val="22"/>
              </w:rPr>
              <w:t>C</w:t>
            </w:r>
            <w:r w:rsidR="00501D67" w:rsidRPr="006003DA">
              <w:rPr>
                <w:rFonts w:cs="TimesNewRoman"/>
                <w:szCs w:val="22"/>
              </w:rPr>
              <w:t>omputed tomography</w:t>
            </w:r>
          </w:p>
        </w:tc>
      </w:tr>
      <w:tr w:rsidR="00501D67" w:rsidRPr="003442FE" w14:paraId="7780F2D9"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50D6EEB" w14:textId="03E5FCEA" w:rsidR="00501D67" w:rsidRPr="003442FE" w:rsidRDefault="00501D67" w:rsidP="000A63AF">
            <w:r w:rsidRPr="006003DA">
              <w:rPr>
                <w:rFonts w:cs="TimesNewRoman"/>
                <w:szCs w:val="22"/>
              </w:rPr>
              <w:t>CTCAE</w:t>
            </w:r>
          </w:p>
        </w:tc>
        <w:tc>
          <w:tcPr>
            <w:tcW w:w="6911" w:type="dxa"/>
          </w:tcPr>
          <w:p w14:paraId="4F652D20" w14:textId="5E0A30D6"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Common Terminology Criteria for Adverse Events</w:t>
            </w:r>
          </w:p>
        </w:tc>
      </w:tr>
      <w:tr w:rsidR="00501D67" w:rsidRPr="003442FE" w14:paraId="13EABAE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3627C5E" w14:textId="0BACEBFD" w:rsidR="00501D67" w:rsidRPr="003442FE" w:rsidRDefault="00501D67" w:rsidP="000A63AF">
            <w:r w:rsidRPr="006003DA">
              <w:rPr>
                <w:rFonts w:cs="TimesNewRoman"/>
                <w:szCs w:val="22"/>
              </w:rPr>
              <w:t>CTM4</w:t>
            </w:r>
          </w:p>
        </w:tc>
        <w:tc>
          <w:tcPr>
            <w:tcW w:w="6911" w:type="dxa"/>
          </w:tcPr>
          <w:p w14:paraId="3449F28C" w14:textId="52500315"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Clinical Trial Material 4</w:t>
            </w:r>
          </w:p>
        </w:tc>
      </w:tr>
      <w:tr w:rsidR="00501D67" w:rsidRPr="003442FE" w14:paraId="5604A07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813D2C2" w14:textId="59617AB2" w:rsidR="00501D67" w:rsidRPr="003442FE" w:rsidRDefault="00501D67" w:rsidP="000A63AF">
            <w:r w:rsidRPr="006003DA">
              <w:rPr>
                <w:rFonts w:cs="TimesNewRoman"/>
                <w:szCs w:val="22"/>
              </w:rPr>
              <w:t>CTM5</w:t>
            </w:r>
          </w:p>
        </w:tc>
        <w:tc>
          <w:tcPr>
            <w:tcW w:w="6911" w:type="dxa"/>
          </w:tcPr>
          <w:p w14:paraId="7B891C03" w14:textId="4161594A" w:rsidR="00501D67" w:rsidRPr="003442FE" w:rsidRDefault="00501D67" w:rsidP="00396C92">
            <w:pPr>
              <w:cnfStyle w:val="000000000000" w:firstRow="0" w:lastRow="0" w:firstColumn="0" w:lastColumn="0" w:oddVBand="0" w:evenVBand="0" w:oddHBand="0" w:evenHBand="0" w:firstRowFirstColumn="0" w:firstRowLastColumn="0" w:lastRowFirstColumn="0" w:lastRowLastColumn="0"/>
            </w:pPr>
            <w:r w:rsidRPr="006003DA">
              <w:rPr>
                <w:rFonts w:cs="TimesNewRoman"/>
                <w:szCs w:val="22"/>
              </w:rPr>
              <w:t>Clinical Trial Material 5 (clinical trial material from the market manufacturing process)</w:t>
            </w:r>
          </w:p>
        </w:tc>
      </w:tr>
      <w:tr w:rsidR="00501D67" w:rsidRPr="003442FE" w14:paraId="6F0E0F6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CC8DEF5" w14:textId="46CA490E" w:rsidR="00501D67" w:rsidRPr="006003DA" w:rsidRDefault="00501D67" w:rsidP="000A63AF">
            <w:pPr>
              <w:rPr>
                <w:rFonts w:cs="TimesNewRoman"/>
              </w:rPr>
            </w:pPr>
            <w:r w:rsidRPr="006003DA">
              <w:rPr>
                <w:rFonts w:cs="TimesNewRoman"/>
                <w:szCs w:val="22"/>
              </w:rPr>
              <w:t>CV</w:t>
            </w:r>
          </w:p>
        </w:tc>
        <w:tc>
          <w:tcPr>
            <w:tcW w:w="6911" w:type="dxa"/>
          </w:tcPr>
          <w:p w14:paraId="311E3618" w14:textId="19A9EBDE"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coefficient of variation</w:t>
            </w:r>
          </w:p>
        </w:tc>
      </w:tr>
      <w:tr w:rsidR="00501D67" w:rsidRPr="003442FE" w14:paraId="5E2ECB3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70AB1FF" w14:textId="079052EF" w:rsidR="00501D67" w:rsidRPr="006003DA" w:rsidRDefault="00501D67" w:rsidP="000A63AF">
            <w:pPr>
              <w:rPr>
                <w:rFonts w:cs="TimesNewRoman"/>
              </w:rPr>
            </w:pPr>
            <w:r w:rsidRPr="006003DA">
              <w:rPr>
                <w:rFonts w:cs="TimesNewRoman"/>
                <w:szCs w:val="22"/>
              </w:rPr>
              <w:t>DBP</w:t>
            </w:r>
          </w:p>
        </w:tc>
        <w:tc>
          <w:tcPr>
            <w:tcW w:w="6911" w:type="dxa"/>
          </w:tcPr>
          <w:p w14:paraId="505B6B43" w14:textId="16F6726C"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D</w:t>
            </w:r>
            <w:r w:rsidR="00501D67" w:rsidRPr="006003DA">
              <w:rPr>
                <w:rFonts w:cs="TimesNewRoman"/>
                <w:szCs w:val="22"/>
              </w:rPr>
              <w:t>iastolic blood pressure</w:t>
            </w:r>
          </w:p>
        </w:tc>
      </w:tr>
      <w:tr w:rsidR="00501D67" w:rsidRPr="003442FE" w14:paraId="59DAF927"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0014574" w14:textId="124D26A0" w:rsidR="00501D67" w:rsidRPr="006003DA" w:rsidRDefault="00501D67" w:rsidP="000A63AF">
            <w:pPr>
              <w:rPr>
                <w:rFonts w:cs="TimesNewRoman"/>
              </w:rPr>
            </w:pPr>
            <w:r w:rsidRPr="006003DA">
              <w:rPr>
                <w:rFonts w:cs="TimesNewRoman"/>
                <w:szCs w:val="22"/>
              </w:rPr>
              <w:t>dF</w:t>
            </w:r>
          </w:p>
        </w:tc>
        <w:tc>
          <w:tcPr>
            <w:tcW w:w="6911" w:type="dxa"/>
          </w:tcPr>
          <w:p w14:paraId="4BD23228" w14:textId="453EB90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D</w:t>
            </w:r>
            <w:r w:rsidR="00501D67" w:rsidRPr="006003DA">
              <w:rPr>
                <w:rFonts w:cs="TimesNewRoman"/>
                <w:szCs w:val="22"/>
              </w:rPr>
              <w:t>egree of freedom</w:t>
            </w:r>
          </w:p>
        </w:tc>
      </w:tr>
      <w:tr w:rsidR="00501D67" w:rsidRPr="003442FE" w14:paraId="1699773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F8668BA" w14:textId="56717F00" w:rsidR="00501D67" w:rsidRPr="006003DA" w:rsidRDefault="00501D67" w:rsidP="000A63AF">
            <w:pPr>
              <w:rPr>
                <w:rFonts w:cs="TimesNewRoman"/>
              </w:rPr>
            </w:pPr>
            <w:r w:rsidRPr="006003DA">
              <w:rPr>
                <w:rFonts w:cs="TimesNewRoman"/>
                <w:szCs w:val="22"/>
              </w:rPr>
              <w:t>DFS</w:t>
            </w:r>
          </w:p>
        </w:tc>
        <w:tc>
          <w:tcPr>
            <w:tcW w:w="6911" w:type="dxa"/>
          </w:tcPr>
          <w:p w14:paraId="026C7A38" w14:textId="65745C4C"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D</w:t>
            </w:r>
            <w:r w:rsidR="00501D67" w:rsidRPr="006003DA">
              <w:rPr>
                <w:rFonts w:cs="TimesNewRoman"/>
                <w:szCs w:val="22"/>
              </w:rPr>
              <w:t>isease free survival</w:t>
            </w:r>
          </w:p>
        </w:tc>
      </w:tr>
      <w:tr w:rsidR="00501D67" w:rsidRPr="003442FE" w14:paraId="05E811D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5DA294B" w14:textId="41759211" w:rsidR="00501D67" w:rsidRPr="006003DA" w:rsidRDefault="00501D67" w:rsidP="000A63AF">
            <w:pPr>
              <w:rPr>
                <w:rFonts w:cs="TimesNewRoman"/>
              </w:rPr>
            </w:pPr>
            <w:r w:rsidRPr="006003DA">
              <w:rPr>
                <w:rFonts w:cs="TimesNewRoman"/>
                <w:szCs w:val="22"/>
              </w:rPr>
              <w:t>DIC</w:t>
            </w:r>
          </w:p>
        </w:tc>
        <w:tc>
          <w:tcPr>
            <w:tcW w:w="6911" w:type="dxa"/>
          </w:tcPr>
          <w:p w14:paraId="5D6EFCE0" w14:textId="33450C3D"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D</w:t>
            </w:r>
            <w:r w:rsidR="00501D67" w:rsidRPr="006003DA">
              <w:rPr>
                <w:rFonts w:cs="TimesNewRoman"/>
                <w:szCs w:val="22"/>
              </w:rPr>
              <w:t>isseminated intravascular coagulation</w:t>
            </w:r>
          </w:p>
        </w:tc>
      </w:tr>
      <w:tr w:rsidR="00501D67" w:rsidRPr="003442FE" w14:paraId="6C7E399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2D8FEB6" w14:textId="53DC31F6" w:rsidR="00501D67" w:rsidRPr="006003DA" w:rsidRDefault="00501D67" w:rsidP="000A63AF">
            <w:pPr>
              <w:rPr>
                <w:rFonts w:cs="TimesNewRoman"/>
              </w:rPr>
            </w:pPr>
            <w:r w:rsidRPr="006003DA">
              <w:rPr>
                <w:rFonts w:cs="TimesNewRoman"/>
                <w:szCs w:val="22"/>
              </w:rPr>
              <w:t>DMC</w:t>
            </w:r>
          </w:p>
        </w:tc>
        <w:tc>
          <w:tcPr>
            <w:tcW w:w="6911" w:type="dxa"/>
          </w:tcPr>
          <w:p w14:paraId="29B05373" w14:textId="4C7914DF"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D</w:t>
            </w:r>
            <w:r w:rsidR="00501D67" w:rsidRPr="006003DA">
              <w:rPr>
                <w:rFonts w:cs="TimesNewRoman"/>
                <w:szCs w:val="22"/>
              </w:rPr>
              <w:t>ata monitoring committee</w:t>
            </w:r>
          </w:p>
        </w:tc>
      </w:tr>
      <w:tr w:rsidR="00501D67" w:rsidRPr="003442FE" w14:paraId="169FD32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AC04781" w14:textId="3FEBCB1F" w:rsidR="00501D67" w:rsidRPr="006003DA" w:rsidRDefault="00501D67" w:rsidP="000A63AF">
            <w:pPr>
              <w:rPr>
                <w:rFonts w:cs="TimesNewRoman"/>
              </w:rPr>
            </w:pPr>
            <w:r w:rsidRPr="006003DA">
              <w:rPr>
                <w:rFonts w:cs="TimesNewRoman"/>
                <w:szCs w:val="22"/>
              </w:rPr>
              <w:t>ECG</w:t>
            </w:r>
          </w:p>
        </w:tc>
        <w:tc>
          <w:tcPr>
            <w:tcW w:w="6911" w:type="dxa"/>
          </w:tcPr>
          <w:p w14:paraId="0D83DC1C" w14:textId="7CFB91DA"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lectrocardiogram</w:t>
            </w:r>
          </w:p>
        </w:tc>
      </w:tr>
      <w:tr w:rsidR="00501D67" w:rsidRPr="003442FE" w14:paraId="3B3E9D7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A182DE3" w14:textId="6041306E" w:rsidR="00501D67" w:rsidRPr="006003DA" w:rsidRDefault="00501D67" w:rsidP="000A63AF">
            <w:pPr>
              <w:rPr>
                <w:rFonts w:cs="TimesNewRoman"/>
              </w:rPr>
            </w:pPr>
            <w:r w:rsidRPr="006003DA">
              <w:rPr>
                <w:rFonts w:cs="TimesNewRoman"/>
                <w:szCs w:val="22"/>
              </w:rPr>
              <w:t>ECL</w:t>
            </w:r>
          </w:p>
        </w:tc>
        <w:tc>
          <w:tcPr>
            <w:tcW w:w="6911" w:type="dxa"/>
          </w:tcPr>
          <w:p w14:paraId="0CA5446C" w14:textId="77DD1E8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lectrochemiluminescence</w:t>
            </w:r>
          </w:p>
        </w:tc>
      </w:tr>
      <w:tr w:rsidR="00501D67" w:rsidRPr="003442FE" w14:paraId="71B856C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4E912F8" w14:textId="330BA18B" w:rsidR="00501D67" w:rsidRPr="006003DA" w:rsidRDefault="00501D67" w:rsidP="000A63AF">
            <w:pPr>
              <w:rPr>
                <w:rFonts w:cs="TimesNewRoman"/>
              </w:rPr>
            </w:pPr>
            <w:r w:rsidRPr="006003DA">
              <w:rPr>
                <w:rFonts w:cs="TimesNewRoman"/>
                <w:szCs w:val="22"/>
              </w:rPr>
              <w:t>ECOG</w:t>
            </w:r>
          </w:p>
        </w:tc>
        <w:tc>
          <w:tcPr>
            <w:tcW w:w="6911" w:type="dxa"/>
          </w:tcPr>
          <w:p w14:paraId="6C897E1F" w14:textId="63D97E6E"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Eastern Cooperative Oncology Group performance status</w:t>
            </w:r>
          </w:p>
        </w:tc>
      </w:tr>
      <w:tr w:rsidR="00501D67" w:rsidRPr="003442FE" w14:paraId="384F4B7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191DB91" w14:textId="1A6F1880" w:rsidR="00501D67" w:rsidRPr="006003DA" w:rsidRDefault="00501D67" w:rsidP="000A63AF">
            <w:pPr>
              <w:rPr>
                <w:rFonts w:cs="TimesNewRoman"/>
              </w:rPr>
            </w:pPr>
            <w:r w:rsidRPr="006003DA">
              <w:rPr>
                <w:rFonts w:cs="TimesNewRoman"/>
                <w:szCs w:val="22"/>
              </w:rPr>
              <w:t>eCRF</w:t>
            </w:r>
          </w:p>
        </w:tc>
        <w:tc>
          <w:tcPr>
            <w:tcW w:w="6911" w:type="dxa"/>
          </w:tcPr>
          <w:p w14:paraId="63A12683" w14:textId="5234578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lectronic case report form</w:t>
            </w:r>
          </w:p>
        </w:tc>
      </w:tr>
      <w:tr w:rsidR="00501D67" w:rsidRPr="003442FE" w14:paraId="2FC1625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23CC651" w14:textId="1B2CA2D2" w:rsidR="00501D67" w:rsidRPr="006003DA" w:rsidRDefault="00501D67" w:rsidP="000A63AF">
            <w:pPr>
              <w:rPr>
                <w:rFonts w:cs="TimesNewRoman"/>
              </w:rPr>
            </w:pPr>
            <w:r w:rsidRPr="006003DA">
              <w:rPr>
                <w:rFonts w:cs="TimesNewRoman"/>
                <w:szCs w:val="22"/>
              </w:rPr>
              <w:t>EDC/CDM</w:t>
            </w:r>
          </w:p>
        </w:tc>
        <w:tc>
          <w:tcPr>
            <w:tcW w:w="6911" w:type="dxa"/>
          </w:tcPr>
          <w:p w14:paraId="6090D828" w14:textId="42972E2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lectronic data capture/clinical data management</w:t>
            </w:r>
          </w:p>
        </w:tc>
      </w:tr>
      <w:tr w:rsidR="00501D67" w:rsidRPr="003442FE" w14:paraId="31CB33B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9C9DA80" w14:textId="10760864" w:rsidR="00501D67" w:rsidRPr="006003DA" w:rsidRDefault="00501D67" w:rsidP="000A63AF">
            <w:pPr>
              <w:rPr>
                <w:rFonts w:cs="TimesNewRoman"/>
              </w:rPr>
            </w:pPr>
            <w:r w:rsidRPr="006003DA">
              <w:rPr>
                <w:rFonts w:cs="TimesNewRoman"/>
                <w:szCs w:val="22"/>
              </w:rPr>
              <w:t>EFS</w:t>
            </w:r>
          </w:p>
        </w:tc>
        <w:tc>
          <w:tcPr>
            <w:tcW w:w="6911" w:type="dxa"/>
          </w:tcPr>
          <w:p w14:paraId="3FD03698" w14:textId="479FAD29"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Efficacy Set</w:t>
            </w:r>
          </w:p>
        </w:tc>
      </w:tr>
      <w:tr w:rsidR="00501D67" w:rsidRPr="003442FE" w14:paraId="5055DB1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FB4E305" w14:textId="21D556F7" w:rsidR="00501D67" w:rsidRPr="006003DA" w:rsidRDefault="00501D67" w:rsidP="000A63AF">
            <w:pPr>
              <w:rPr>
                <w:rFonts w:cs="TimesNewRoman"/>
              </w:rPr>
            </w:pPr>
            <w:r w:rsidRPr="006003DA">
              <w:rPr>
                <w:rFonts w:cs="TimesNewRoman"/>
                <w:szCs w:val="22"/>
              </w:rPr>
              <w:t>ELISA</w:t>
            </w:r>
          </w:p>
        </w:tc>
        <w:tc>
          <w:tcPr>
            <w:tcW w:w="6911" w:type="dxa"/>
          </w:tcPr>
          <w:p w14:paraId="49760976" w14:textId="672A9FC3"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nzyme-linked immunosorbent assay</w:t>
            </w:r>
          </w:p>
        </w:tc>
      </w:tr>
      <w:tr w:rsidR="00501D67" w:rsidRPr="003442FE" w14:paraId="3EEAD17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56319D3" w14:textId="739B2487" w:rsidR="00501D67" w:rsidRPr="006003DA" w:rsidRDefault="00501D67" w:rsidP="000A63AF">
            <w:pPr>
              <w:rPr>
                <w:rFonts w:cs="TimesNewRoman"/>
              </w:rPr>
            </w:pPr>
            <w:r w:rsidRPr="006003DA">
              <w:rPr>
                <w:rFonts w:cs="TimesNewRoman"/>
                <w:szCs w:val="22"/>
              </w:rPr>
              <w:t>EoCS</w:t>
            </w:r>
          </w:p>
        </w:tc>
        <w:tc>
          <w:tcPr>
            <w:tcW w:w="6911" w:type="dxa"/>
          </w:tcPr>
          <w:p w14:paraId="65E28A91" w14:textId="0D6BE40A"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nd of core study</w:t>
            </w:r>
          </w:p>
        </w:tc>
      </w:tr>
      <w:tr w:rsidR="00501D67" w:rsidRPr="003442FE" w14:paraId="658F0E8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C35F386" w14:textId="73BD3DB2" w:rsidR="00501D67" w:rsidRPr="006003DA" w:rsidRDefault="00501D67" w:rsidP="000A63AF">
            <w:pPr>
              <w:rPr>
                <w:rFonts w:cs="TimesNewRoman"/>
              </w:rPr>
            </w:pPr>
            <w:r w:rsidRPr="006003DA">
              <w:rPr>
                <w:rFonts w:cs="TimesNewRoman"/>
                <w:szCs w:val="22"/>
              </w:rPr>
              <w:t>EOI</w:t>
            </w:r>
          </w:p>
        </w:tc>
        <w:tc>
          <w:tcPr>
            <w:tcW w:w="6911" w:type="dxa"/>
          </w:tcPr>
          <w:p w14:paraId="1CCC52BE" w14:textId="58B00504"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E</w:t>
            </w:r>
            <w:r w:rsidR="00501D67" w:rsidRPr="006003DA">
              <w:rPr>
                <w:rFonts w:cs="TimesNewRoman"/>
                <w:szCs w:val="22"/>
              </w:rPr>
              <w:t>vents of interest</w:t>
            </w:r>
          </w:p>
        </w:tc>
      </w:tr>
      <w:tr w:rsidR="00501D67" w:rsidRPr="003442FE" w14:paraId="2B669A1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2F60E79" w14:textId="3DF4CE4D" w:rsidR="00501D67" w:rsidRPr="006003DA" w:rsidRDefault="00501D67" w:rsidP="000A63AF">
            <w:pPr>
              <w:rPr>
                <w:rFonts w:cs="TimesNewRoman"/>
              </w:rPr>
            </w:pPr>
            <w:r w:rsidRPr="006003DA">
              <w:rPr>
                <w:rFonts w:cs="TimesNewRoman"/>
                <w:szCs w:val="22"/>
              </w:rPr>
              <w:t>FAS</w:t>
            </w:r>
          </w:p>
        </w:tc>
        <w:tc>
          <w:tcPr>
            <w:tcW w:w="6911" w:type="dxa"/>
          </w:tcPr>
          <w:p w14:paraId="24960C67" w14:textId="18B065FD"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Full Analysis Set</w:t>
            </w:r>
          </w:p>
        </w:tc>
      </w:tr>
      <w:tr w:rsidR="00501D67" w:rsidRPr="003442FE" w14:paraId="193E5427"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E167A0C" w14:textId="05E0A412" w:rsidR="00501D67" w:rsidRPr="006003DA" w:rsidRDefault="00501D67" w:rsidP="000A63AF">
            <w:pPr>
              <w:rPr>
                <w:rFonts w:cs="TimesNewRoman"/>
              </w:rPr>
            </w:pPr>
            <w:r w:rsidRPr="006003DA">
              <w:rPr>
                <w:rFonts w:cs="TimesNewRoman"/>
                <w:szCs w:val="22"/>
              </w:rPr>
              <w:t>GCP</w:t>
            </w:r>
          </w:p>
        </w:tc>
        <w:tc>
          <w:tcPr>
            <w:tcW w:w="6911" w:type="dxa"/>
          </w:tcPr>
          <w:p w14:paraId="1F54F4C1" w14:textId="33108345"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Good Clinical Practice</w:t>
            </w:r>
          </w:p>
        </w:tc>
      </w:tr>
      <w:tr w:rsidR="00501D67" w:rsidRPr="003442FE" w14:paraId="69EF99C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D8D2E1F" w14:textId="3BE2C65D" w:rsidR="00501D67" w:rsidRPr="006003DA" w:rsidRDefault="00A923F9" w:rsidP="000A63AF">
            <w:pPr>
              <w:rPr>
                <w:rFonts w:cs="TimesNewRoman"/>
              </w:rPr>
            </w:pPr>
            <w:r>
              <w:rPr>
                <w:rFonts w:cs="TimesNewRoman"/>
                <w:szCs w:val="22"/>
              </w:rPr>
              <w:t>GGT</w:t>
            </w:r>
            <w:r w:rsidR="00501D67" w:rsidRPr="006003DA">
              <w:rPr>
                <w:rFonts w:cs="TimesNewRoman"/>
                <w:szCs w:val="22"/>
              </w:rPr>
              <w:t>γ</w:t>
            </w:r>
          </w:p>
        </w:tc>
        <w:tc>
          <w:tcPr>
            <w:tcW w:w="6911" w:type="dxa"/>
          </w:tcPr>
          <w:p w14:paraId="6C2F3420" w14:textId="26266258"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Glutamyltransferase</w:t>
            </w:r>
          </w:p>
        </w:tc>
      </w:tr>
      <w:tr w:rsidR="00501D67" w:rsidRPr="003442FE" w14:paraId="26F02E8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CA96D26" w14:textId="391CF1B8" w:rsidR="00501D67" w:rsidRPr="006003DA" w:rsidRDefault="00501D67" w:rsidP="000A63AF">
            <w:pPr>
              <w:rPr>
                <w:rFonts w:cs="TimesNewRoman"/>
              </w:rPr>
            </w:pPr>
            <w:r w:rsidRPr="006003DA">
              <w:rPr>
                <w:rFonts w:cs="TimesNewRoman"/>
                <w:szCs w:val="22"/>
              </w:rPr>
              <w:t>GvHD</w:t>
            </w:r>
          </w:p>
        </w:tc>
        <w:tc>
          <w:tcPr>
            <w:tcW w:w="6911" w:type="dxa"/>
          </w:tcPr>
          <w:p w14:paraId="7ACD0971" w14:textId="7BDDF34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G</w:t>
            </w:r>
            <w:r w:rsidR="00501D67" w:rsidRPr="006003DA">
              <w:rPr>
                <w:rFonts w:cs="TimesNewRoman"/>
                <w:szCs w:val="22"/>
              </w:rPr>
              <w:t>raft versus-host disease</w:t>
            </w:r>
          </w:p>
        </w:tc>
      </w:tr>
      <w:tr w:rsidR="00501D67" w:rsidRPr="003442FE" w14:paraId="67B1EFB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D8F0BA9" w14:textId="618B53DB" w:rsidR="00501D67" w:rsidRPr="006003DA" w:rsidRDefault="00501D67" w:rsidP="000A63AF">
            <w:pPr>
              <w:rPr>
                <w:rFonts w:cs="TimesNewRoman"/>
              </w:rPr>
            </w:pPr>
            <w:r w:rsidRPr="006003DA">
              <w:rPr>
                <w:rFonts w:cs="TimesNewRoman"/>
                <w:szCs w:val="22"/>
              </w:rPr>
              <w:t>H0</w:t>
            </w:r>
          </w:p>
        </w:tc>
        <w:tc>
          <w:tcPr>
            <w:tcW w:w="6911" w:type="dxa"/>
          </w:tcPr>
          <w:p w14:paraId="53BF29C3" w14:textId="701144DA"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w:t>
            </w:r>
            <w:r w:rsidR="00501D67" w:rsidRPr="006003DA">
              <w:rPr>
                <w:rFonts w:cs="TimesNewRoman"/>
                <w:szCs w:val="22"/>
              </w:rPr>
              <w:t>ull hypothesis</w:t>
            </w:r>
          </w:p>
        </w:tc>
      </w:tr>
      <w:tr w:rsidR="00501D67" w:rsidRPr="003442FE" w14:paraId="677A96D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AEE5503" w14:textId="0A4E5E27" w:rsidR="00501D67" w:rsidRPr="006003DA" w:rsidRDefault="00501D67" w:rsidP="000A63AF">
            <w:pPr>
              <w:rPr>
                <w:rFonts w:cs="TimesNewRoman"/>
              </w:rPr>
            </w:pPr>
            <w:r w:rsidRPr="006003DA">
              <w:rPr>
                <w:rFonts w:cs="TimesNewRoman"/>
                <w:szCs w:val="22"/>
              </w:rPr>
              <w:t>HAMA</w:t>
            </w:r>
          </w:p>
        </w:tc>
        <w:tc>
          <w:tcPr>
            <w:tcW w:w="6911" w:type="dxa"/>
          </w:tcPr>
          <w:p w14:paraId="444007DE" w14:textId="452FE719"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w:t>
            </w:r>
            <w:r w:rsidR="00501D67" w:rsidRPr="006003DA">
              <w:rPr>
                <w:rFonts w:cs="TimesNewRoman"/>
                <w:szCs w:val="22"/>
              </w:rPr>
              <w:t>uman anti-mouse antibodies</w:t>
            </w:r>
          </w:p>
        </w:tc>
      </w:tr>
      <w:tr w:rsidR="00501D67" w:rsidRPr="003442FE" w14:paraId="728E75C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2E19606" w14:textId="720FAC63" w:rsidR="00501D67" w:rsidRPr="006003DA" w:rsidRDefault="00501D67" w:rsidP="000A63AF">
            <w:pPr>
              <w:rPr>
                <w:rFonts w:cs="TimesNewRoman"/>
              </w:rPr>
            </w:pPr>
            <w:r w:rsidRPr="006003DA">
              <w:rPr>
                <w:rFonts w:cs="TimesNewRoman"/>
                <w:szCs w:val="22"/>
              </w:rPr>
              <w:t>Hb</w:t>
            </w:r>
          </w:p>
        </w:tc>
        <w:tc>
          <w:tcPr>
            <w:tcW w:w="6911" w:type="dxa"/>
          </w:tcPr>
          <w:p w14:paraId="63453EFE" w14:textId="05DCFFCF"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Ha</w:t>
            </w:r>
            <w:r w:rsidR="00501D67" w:rsidRPr="006003DA">
              <w:rPr>
                <w:rFonts w:cs="TimesNewRoman"/>
                <w:szCs w:val="22"/>
              </w:rPr>
              <w:t>emoglobin</w:t>
            </w:r>
          </w:p>
        </w:tc>
      </w:tr>
      <w:tr w:rsidR="00501D67" w:rsidRPr="003442FE" w14:paraId="412C2EC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B398926" w14:textId="1013071E" w:rsidR="00501D67" w:rsidRPr="006003DA" w:rsidRDefault="00501D67" w:rsidP="000A63AF">
            <w:pPr>
              <w:rPr>
                <w:rFonts w:cs="TimesNewRoman"/>
              </w:rPr>
            </w:pPr>
            <w:r w:rsidRPr="006003DA">
              <w:rPr>
                <w:rFonts w:cs="TimesNewRoman"/>
                <w:szCs w:val="22"/>
              </w:rPr>
              <w:t>HBsAg</w:t>
            </w:r>
          </w:p>
        </w:tc>
        <w:tc>
          <w:tcPr>
            <w:tcW w:w="6911" w:type="dxa"/>
          </w:tcPr>
          <w:p w14:paraId="094F458F" w14:textId="615AC3A0"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w:t>
            </w:r>
            <w:r w:rsidR="00501D67" w:rsidRPr="006003DA">
              <w:rPr>
                <w:rFonts w:cs="TimesNewRoman"/>
                <w:szCs w:val="22"/>
              </w:rPr>
              <w:t>epatitis B surface antigen</w:t>
            </w:r>
          </w:p>
        </w:tc>
      </w:tr>
      <w:tr w:rsidR="00501D67" w:rsidRPr="003442FE" w14:paraId="239FDA1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FD1E180" w14:textId="693F6099" w:rsidR="00501D67" w:rsidRPr="006003DA" w:rsidRDefault="00501D67" w:rsidP="000A63AF">
            <w:pPr>
              <w:rPr>
                <w:rFonts w:cs="TimesNewRoman"/>
              </w:rPr>
            </w:pPr>
            <w:r w:rsidRPr="006003DA">
              <w:rPr>
                <w:rFonts w:cs="TimesNewRoman"/>
                <w:szCs w:val="22"/>
              </w:rPr>
              <w:t>HCV</w:t>
            </w:r>
          </w:p>
        </w:tc>
        <w:tc>
          <w:tcPr>
            <w:tcW w:w="6911" w:type="dxa"/>
          </w:tcPr>
          <w:p w14:paraId="71C4BD52" w14:textId="54AD1BDE"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w:t>
            </w:r>
            <w:r w:rsidR="00501D67" w:rsidRPr="006003DA">
              <w:rPr>
                <w:rFonts w:cs="TimesNewRoman"/>
                <w:szCs w:val="22"/>
              </w:rPr>
              <w:t>epatitis C virus</w:t>
            </w:r>
          </w:p>
        </w:tc>
      </w:tr>
      <w:tr w:rsidR="00501D67" w:rsidRPr="003442FE" w14:paraId="71CBFBE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7888496" w14:textId="2CD1F020" w:rsidR="00501D67" w:rsidRPr="006003DA" w:rsidRDefault="00501D67" w:rsidP="000A63AF">
            <w:pPr>
              <w:rPr>
                <w:rFonts w:cs="TimesNewRoman"/>
              </w:rPr>
            </w:pPr>
            <w:r w:rsidRPr="006003DA">
              <w:rPr>
                <w:rFonts w:cs="TimesNewRoman"/>
                <w:szCs w:val="22"/>
              </w:rPr>
              <w:t>HIV</w:t>
            </w:r>
          </w:p>
        </w:tc>
        <w:tc>
          <w:tcPr>
            <w:tcW w:w="6911" w:type="dxa"/>
          </w:tcPr>
          <w:p w14:paraId="6B5332AD" w14:textId="4C5EBB2C"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w:t>
            </w:r>
            <w:r w:rsidR="00501D67" w:rsidRPr="006003DA">
              <w:rPr>
                <w:rFonts w:cs="TimesNewRoman"/>
                <w:szCs w:val="22"/>
              </w:rPr>
              <w:t>uman immunodeficiency virus</w:t>
            </w:r>
          </w:p>
        </w:tc>
      </w:tr>
      <w:tr w:rsidR="00501D67" w:rsidRPr="003442FE" w14:paraId="659B915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963637B" w14:textId="6876B385" w:rsidR="00501D67" w:rsidRPr="006003DA" w:rsidRDefault="00A923F9" w:rsidP="000A63AF">
            <w:pPr>
              <w:rPr>
                <w:rFonts w:cs="TimesNewRoman"/>
              </w:rPr>
            </w:pPr>
            <w:r>
              <w:rPr>
                <w:rFonts w:cs="TimesNewRoman"/>
                <w:szCs w:val="22"/>
              </w:rPr>
              <w:t>HLA/</w:t>
            </w:r>
            <w:r w:rsidR="00501D67" w:rsidRPr="006003DA">
              <w:rPr>
                <w:rFonts w:cs="TimesNewRoman"/>
                <w:szCs w:val="22"/>
              </w:rPr>
              <w:t>HLA-DR</w:t>
            </w:r>
          </w:p>
        </w:tc>
        <w:tc>
          <w:tcPr>
            <w:tcW w:w="6911" w:type="dxa"/>
          </w:tcPr>
          <w:p w14:paraId="34EC3AE1" w14:textId="6CF7923D"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Human leukocyte antigen/</w:t>
            </w:r>
            <w:r w:rsidR="00501D67" w:rsidRPr="006003DA">
              <w:rPr>
                <w:rFonts w:cs="TimesNewRoman"/>
                <w:szCs w:val="22"/>
              </w:rPr>
              <w:t>human leukocyte antigen</w:t>
            </w:r>
          </w:p>
        </w:tc>
      </w:tr>
      <w:tr w:rsidR="00501D67" w:rsidRPr="003442FE" w14:paraId="754E203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41992C1" w14:textId="0C9B780A" w:rsidR="00501D67" w:rsidRPr="006003DA" w:rsidRDefault="00501D67" w:rsidP="000A63AF">
            <w:pPr>
              <w:rPr>
                <w:rFonts w:cs="TimesNewRoman"/>
              </w:rPr>
            </w:pPr>
            <w:r w:rsidRPr="006003DA">
              <w:rPr>
                <w:rFonts w:cs="TimesNewRoman"/>
                <w:szCs w:val="22"/>
              </w:rPr>
              <w:t>HSCT</w:t>
            </w:r>
          </w:p>
        </w:tc>
        <w:tc>
          <w:tcPr>
            <w:tcW w:w="6911" w:type="dxa"/>
          </w:tcPr>
          <w:p w14:paraId="241FDC2B" w14:textId="33F993DB"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Ha</w:t>
            </w:r>
            <w:r w:rsidR="00501D67" w:rsidRPr="006003DA">
              <w:rPr>
                <w:rFonts w:cs="TimesNewRoman"/>
                <w:szCs w:val="22"/>
              </w:rPr>
              <w:t>ematopoietic stem cell transplantation</w:t>
            </w:r>
          </w:p>
        </w:tc>
      </w:tr>
      <w:tr w:rsidR="00501D67" w:rsidRPr="003442FE" w14:paraId="46C327D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3DEF053" w14:textId="4358C7F6" w:rsidR="00501D67" w:rsidRPr="006003DA" w:rsidRDefault="00501D67" w:rsidP="000A63AF">
            <w:pPr>
              <w:rPr>
                <w:rFonts w:cs="TimesNewRoman"/>
              </w:rPr>
            </w:pPr>
            <w:r w:rsidRPr="006003DA">
              <w:rPr>
                <w:rFonts w:cs="TimesNewRoman"/>
                <w:szCs w:val="22"/>
              </w:rPr>
              <w:t>ICF</w:t>
            </w:r>
          </w:p>
        </w:tc>
        <w:tc>
          <w:tcPr>
            <w:tcW w:w="6911" w:type="dxa"/>
          </w:tcPr>
          <w:p w14:paraId="7AB682C1" w14:textId="3325EAA2"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nformed consent form</w:t>
            </w:r>
          </w:p>
        </w:tc>
      </w:tr>
      <w:tr w:rsidR="00501D67" w:rsidRPr="003442FE" w14:paraId="5A96739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AD5FB7D" w14:textId="3FFC0847" w:rsidR="00501D67" w:rsidRPr="006003DA" w:rsidRDefault="00501D67" w:rsidP="000A63AF">
            <w:pPr>
              <w:rPr>
                <w:rFonts w:cs="TimesNewRoman"/>
              </w:rPr>
            </w:pPr>
            <w:r w:rsidRPr="006003DA">
              <w:rPr>
                <w:rFonts w:cs="TimesNewRoman"/>
                <w:szCs w:val="22"/>
              </w:rPr>
              <w:t>ICH</w:t>
            </w:r>
          </w:p>
        </w:tc>
        <w:tc>
          <w:tcPr>
            <w:tcW w:w="6911" w:type="dxa"/>
          </w:tcPr>
          <w:p w14:paraId="7E1DDC39" w14:textId="5C819B7F"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International Conference on Harmonization</w:t>
            </w:r>
          </w:p>
        </w:tc>
      </w:tr>
      <w:tr w:rsidR="00501D67" w:rsidRPr="003442FE" w14:paraId="10DCDD0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A667E32" w14:textId="6F109061" w:rsidR="00501D67" w:rsidRPr="006003DA" w:rsidRDefault="00501D67" w:rsidP="000A63AF">
            <w:pPr>
              <w:rPr>
                <w:rFonts w:cs="TimesNewRoman"/>
              </w:rPr>
            </w:pPr>
            <w:r w:rsidRPr="006003DA">
              <w:rPr>
                <w:rFonts w:cs="TimesNewRoman"/>
                <w:szCs w:val="22"/>
              </w:rPr>
              <w:t>IEC</w:t>
            </w:r>
          </w:p>
        </w:tc>
        <w:tc>
          <w:tcPr>
            <w:tcW w:w="6911" w:type="dxa"/>
          </w:tcPr>
          <w:p w14:paraId="5904311C" w14:textId="5A897D53"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Independent Ethics Committee</w:t>
            </w:r>
          </w:p>
        </w:tc>
      </w:tr>
      <w:tr w:rsidR="00501D67" w:rsidRPr="003442FE" w14:paraId="34D4618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1CB2DBB" w14:textId="04453BB7" w:rsidR="00501D67" w:rsidRPr="006003DA" w:rsidRDefault="00501D67" w:rsidP="000A63AF">
            <w:pPr>
              <w:rPr>
                <w:rFonts w:cs="TimesNewRoman"/>
              </w:rPr>
            </w:pPr>
            <w:r w:rsidRPr="006003DA">
              <w:rPr>
                <w:rFonts w:cs="TimesNewRoman"/>
                <w:szCs w:val="22"/>
              </w:rPr>
              <w:t>IFN</w:t>
            </w:r>
          </w:p>
        </w:tc>
        <w:tc>
          <w:tcPr>
            <w:tcW w:w="6911" w:type="dxa"/>
          </w:tcPr>
          <w:p w14:paraId="5AA631E1" w14:textId="6464883C"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nterferon</w:t>
            </w:r>
          </w:p>
        </w:tc>
      </w:tr>
      <w:tr w:rsidR="00501D67" w:rsidRPr="003442FE" w14:paraId="25EEF38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F986560" w14:textId="466AA4E8" w:rsidR="00501D67" w:rsidRPr="006003DA" w:rsidRDefault="00501D67" w:rsidP="000A63AF">
            <w:pPr>
              <w:rPr>
                <w:rFonts w:cs="TimesNewRoman"/>
              </w:rPr>
            </w:pPr>
            <w:r w:rsidRPr="006003DA">
              <w:rPr>
                <w:rFonts w:cs="TimesNewRoman"/>
                <w:szCs w:val="22"/>
              </w:rPr>
              <w:t>IIV</w:t>
            </w:r>
          </w:p>
        </w:tc>
        <w:tc>
          <w:tcPr>
            <w:tcW w:w="6911" w:type="dxa"/>
          </w:tcPr>
          <w:p w14:paraId="3475CAB9" w14:textId="230F0859"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Inter</w:t>
            </w:r>
            <w:r w:rsidR="00501D67" w:rsidRPr="006003DA">
              <w:rPr>
                <w:rFonts w:cs="TimesNewRoman"/>
                <w:szCs w:val="22"/>
              </w:rPr>
              <w:t>individual variability</w:t>
            </w:r>
          </w:p>
        </w:tc>
      </w:tr>
      <w:tr w:rsidR="00501D67" w:rsidRPr="003442FE" w14:paraId="48F538A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9B466FC" w14:textId="7961B1FD" w:rsidR="00501D67" w:rsidRPr="006003DA" w:rsidRDefault="00501D67" w:rsidP="000A63AF">
            <w:pPr>
              <w:rPr>
                <w:rFonts w:cs="TimesNewRoman"/>
              </w:rPr>
            </w:pPr>
            <w:r w:rsidRPr="006003DA">
              <w:rPr>
                <w:rFonts w:cs="TimesNewRoman"/>
                <w:szCs w:val="22"/>
              </w:rPr>
              <w:t>IL</w:t>
            </w:r>
          </w:p>
        </w:tc>
        <w:tc>
          <w:tcPr>
            <w:tcW w:w="6911" w:type="dxa"/>
          </w:tcPr>
          <w:p w14:paraId="48DFB37A" w14:textId="6B868305"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nterleukin</w:t>
            </w:r>
          </w:p>
        </w:tc>
      </w:tr>
      <w:tr w:rsidR="00501D67" w:rsidRPr="003442FE" w14:paraId="4971361A"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38DBDE4" w14:textId="33F61D7D" w:rsidR="00501D67" w:rsidRPr="006003DA" w:rsidRDefault="00501D67" w:rsidP="000A63AF">
            <w:pPr>
              <w:rPr>
                <w:rFonts w:cs="TimesNewRoman"/>
              </w:rPr>
            </w:pPr>
            <w:r w:rsidRPr="006003DA">
              <w:rPr>
                <w:rFonts w:cs="TimesNewRoman"/>
                <w:szCs w:val="22"/>
              </w:rPr>
              <w:t>INR</w:t>
            </w:r>
          </w:p>
        </w:tc>
        <w:tc>
          <w:tcPr>
            <w:tcW w:w="6911" w:type="dxa"/>
          </w:tcPr>
          <w:p w14:paraId="4FBAB9A8" w14:textId="5C11A1EB"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International normalis</w:t>
            </w:r>
            <w:r w:rsidR="00501D67" w:rsidRPr="006003DA">
              <w:rPr>
                <w:rFonts w:cs="TimesNewRoman"/>
                <w:szCs w:val="22"/>
              </w:rPr>
              <w:t>ed ratio (of prothrombin time)</w:t>
            </w:r>
          </w:p>
        </w:tc>
      </w:tr>
      <w:tr w:rsidR="00501D67" w:rsidRPr="003442FE" w14:paraId="67CEF49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CFAE688" w14:textId="03D61184" w:rsidR="00501D67" w:rsidRPr="006003DA" w:rsidRDefault="00501D67" w:rsidP="000A63AF">
            <w:pPr>
              <w:rPr>
                <w:rFonts w:cs="TimesNewRoman"/>
              </w:rPr>
            </w:pPr>
            <w:r w:rsidRPr="006003DA">
              <w:rPr>
                <w:rFonts w:cs="TimesNewRoman"/>
                <w:szCs w:val="22"/>
              </w:rPr>
              <w:t>IOV</w:t>
            </w:r>
          </w:p>
        </w:tc>
        <w:tc>
          <w:tcPr>
            <w:tcW w:w="6911" w:type="dxa"/>
          </w:tcPr>
          <w:p w14:paraId="106AAF2C" w14:textId="3FFA9E6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Inter</w:t>
            </w:r>
            <w:r w:rsidR="00501D67" w:rsidRPr="006003DA">
              <w:rPr>
                <w:rFonts w:cs="TimesNewRoman"/>
                <w:szCs w:val="22"/>
              </w:rPr>
              <w:t>occasion variability</w:t>
            </w:r>
          </w:p>
        </w:tc>
      </w:tr>
      <w:tr w:rsidR="00501D67" w:rsidRPr="003442FE" w14:paraId="57EB6BA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B4C8984" w14:textId="76A1A4F2" w:rsidR="00501D67" w:rsidRPr="006003DA" w:rsidRDefault="00501D67" w:rsidP="000A63AF">
            <w:pPr>
              <w:rPr>
                <w:rFonts w:cs="TimesNewRoman"/>
              </w:rPr>
            </w:pPr>
            <w:r w:rsidRPr="006003DA">
              <w:rPr>
                <w:rFonts w:cs="TimesNewRoman"/>
                <w:szCs w:val="22"/>
              </w:rPr>
              <w:t>IPRED</w:t>
            </w:r>
          </w:p>
        </w:tc>
        <w:tc>
          <w:tcPr>
            <w:tcW w:w="6911" w:type="dxa"/>
          </w:tcPr>
          <w:p w14:paraId="4244793A" w14:textId="23E73ED2"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ndividual predictions</w:t>
            </w:r>
          </w:p>
        </w:tc>
      </w:tr>
      <w:tr w:rsidR="00501D67" w:rsidRPr="003442FE" w14:paraId="5E55E88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01A54DD" w14:textId="767EB98F" w:rsidR="00501D67" w:rsidRPr="006003DA" w:rsidRDefault="00501D67" w:rsidP="000A63AF">
            <w:pPr>
              <w:rPr>
                <w:rFonts w:cs="TimesNewRoman"/>
              </w:rPr>
            </w:pPr>
            <w:r w:rsidRPr="006003DA">
              <w:rPr>
                <w:rFonts w:cs="TimesNewRoman"/>
                <w:szCs w:val="22"/>
              </w:rPr>
              <w:t>IRB</w:t>
            </w:r>
          </w:p>
        </w:tc>
        <w:tc>
          <w:tcPr>
            <w:tcW w:w="6911" w:type="dxa"/>
          </w:tcPr>
          <w:p w14:paraId="6D367C92" w14:textId="6B608970"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Institutional Review Board</w:t>
            </w:r>
          </w:p>
        </w:tc>
      </w:tr>
      <w:tr w:rsidR="00501D67" w:rsidRPr="003442FE" w14:paraId="20E9F16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A1E883D" w14:textId="767F2FB5" w:rsidR="00501D67" w:rsidRPr="006003DA" w:rsidRDefault="00501D67" w:rsidP="000A63AF">
            <w:pPr>
              <w:rPr>
                <w:rFonts w:cs="TimesNewRoman"/>
              </w:rPr>
            </w:pPr>
            <w:r w:rsidRPr="006003DA">
              <w:rPr>
                <w:rFonts w:cs="TimesNewRoman"/>
                <w:szCs w:val="22"/>
              </w:rPr>
              <w:t>IV</w:t>
            </w:r>
          </w:p>
        </w:tc>
        <w:tc>
          <w:tcPr>
            <w:tcW w:w="6911" w:type="dxa"/>
          </w:tcPr>
          <w:p w14:paraId="005D9356" w14:textId="6D2D1B5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ntravenous</w:t>
            </w:r>
          </w:p>
        </w:tc>
      </w:tr>
      <w:tr w:rsidR="00501D67" w:rsidRPr="003442FE" w14:paraId="3B5E75F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F1842B2" w14:textId="436E38A0" w:rsidR="00501D67" w:rsidRPr="006003DA" w:rsidRDefault="00501D67" w:rsidP="000A63AF">
            <w:pPr>
              <w:rPr>
                <w:rFonts w:cs="TimesNewRoman"/>
              </w:rPr>
            </w:pPr>
            <w:r w:rsidRPr="006003DA">
              <w:rPr>
                <w:rFonts w:cs="TimesNewRoman"/>
                <w:szCs w:val="22"/>
              </w:rPr>
              <w:t>K-M</w:t>
            </w:r>
          </w:p>
        </w:tc>
        <w:tc>
          <w:tcPr>
            <w:tcW w:w="6911" w:type="dxa"/>
          </w:tcPr>
          <w:p w14:paraId="10C39CAE" w14:textId="2312BC41"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Kaplan-Meier</w:t>
            </w:r>
          </w:p>
        </w:tc>
      </w:tr>
      <w:tr w:rsidR="00501D67" w:rsidRPr="003442FE" w14:paraId="4CC59E7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538E1D3" w14:textId="04B8DFCC" w:rsidR="00501D67" w:rsidRPr="006003DA" w:rsidRDefault="00501D67" w:rsidP="000A63AF">
            <w:pPr>
              <w:rPr>
                <w:rFonts w:cs="TimesNewRoman"/>
              </w:rPr>
            </w:pPr>
            <w:r w:rsidRPr="006003DA">
              <w:rPr>
                <w:rFonts w:cs="TimesNewRoman"/>
                <w:szCs w:val="22"/>
              </w:rPr>
              <w:t>LDH</w:t>
            </w:r>
          </w:p>
        </w:tc>
        <w:tc>
          <w:tcPr>
            <w:tcW w:w="6911" w:type="dxa"/>
          </w:tcPr>
          <w:p w14:paraId="323C423B" w14:textId="5E5F2FC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L</w:t>
            </w:r>
            <w:r w:rsidR="00501D67" w:rsidRPr="006003DA">
              <w:rPr>
                <w:rFonts w:cs="TimesNewRoman"/>
                <w:szCs w:val="22"/>
              </w:rPr>
              <w:t>actate dehydrogenase</w:t>
            </w:r>
          </w:p>
        </w:tc>
      </w:tr>
      <w:tr w:rsidR="00501D67" w:rsidRPr="003442FE" w14:paraId="5EFB6EA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D683BCF" w14:textId="029AE25B" w:rsidR="00501D67" w:rsidRPr="006003DA" w:rsidRDefault="00501D67" w:rsidP="000A63AF">
            <w:pPr>
              <w:rPr>
                <w:rFonts w:cs="TimesNewRoman"/>
              </w:rPr>
            </w:pPr>
            <w:r w:rsidRPr="006003DA">
              <w:rPr>
                <w:rFonts w:cs="TimesNewRoman"/>
                <w:szCs w:val="22"/>
              </w:rPr>
              <w:t>LFA</w:t>
            </w:r>
          </w:p>
        </w:tc>
        <w:tc>
          <w:tcPr>
            <w:tcW w:w="6911" w:type="dxa"/>
          </w:tcPr>
          <w:p w14:paraId="52CB5EAA" w14:textId="640B96F7"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1 lymphocyte function-associated antigen 1</w:t>
            </w:r>
          </w:p>
        </w:tc>
      </w:tr>
      <w:tr w:rsidR="00501D67" w:rsidRPr="003442FE" w14:paraId="4447968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C6A2534" w14:textId="6A3EB461" w:rsidR="00501D67" w:rsidRPr="006003DA" w:rsidRDefault="00501D67" w:rsidP="000A63AF">
            <w:pPr>
              <w:rPr>
                <w:rFonts w:cs="TimesNewRoman"/>
              </w:rPr>
            </w:pPr>
            <w:r w:rsidRPr="006003DA">
              <w:rPr>
                <w:rFonts w:cs="TimesNewRoman"/>
                <w:szCs w:val="22"/>
              </w:rPr>
              <w:t>LLOQ</w:t>
            </w:r>
          </w:p>
        </w:tc>
        <w:tc>
          <w:tcPr>
            <w:tcW w:w="6911" w:type="dxa"/>
          </w:tcPr>
          <w:p w14:paraId="2F21F1D7" w14:textId="00A2C18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L</w:t>
            </w:r>
            <w:r w:rsidR="00501D67" w:rsidRPr="006003DA">
              <w:rPr>
                <w:rFonts w:cs="TimesNewRoman"/>
                <w:szCs w:val="22"/>
              </w:rPr>
              <w:t>ower limit of quantification</w:t>
            </w:r>
          </w:p>
        </w:tc>
      </w:tr>
      <w:tr w:rsidR="00501D67" w:rsidRPr="003442FE" w14:paraId="72013DF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A228D85" w14:textId="7AFD80AF" w:rsidR="00501D67" w:rsidRPr="006003DA" w:rsidRDefault="00501D67" w:rsidP="000A63AF">
            <w:pPr>
              <w:rPr>
                <w:rFonts w:cs="TimesNewRoman"/>
              </w:rPr>
            </w:pPr>
            <w:r w:rsidRPr="006003DA">
              <w:rPr>
                <w:rFonts w:cs="TimesNewRoman"/>
                <w:szCs w:val="22"/>
              </w:rPr>
              <w:t>LOD</w:t>
            </w:r>
          </w:p>
        </w:tc>
        <w:tc>
          <w:tcPr>
            <w:tcW w:w="6911" w:type="dxa"/>
          </w:tcPr>
          <w:p w14:paraId="1A9C1C95" w14:textId="1595DA6D"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L</w:t>
            </w:r>
            <w:r w:rsidR="00501D67" w:rsidRPr="006003DA">
              <w:rPr>
                <w:rFonts w:cs="TimesNewRoman"/>
                <w:szCs w:val="22"/>
              </w:rPr>
              <w:t>imit of detection</w:t>
            </w:r>
          </w:p>
        </w:tc>
      </w:tr>
      <w:tr w:rsidR="00501D67" w:rsidRPr="003442FE" w14:paraId="29E97583" w14:textId="77777777" w:rsidTr="00A923F9">
        <w:trPr>
          <w:trHeight w:val="430"/>
        </w:trPr>
        <w:tc>
          <w:tcPr>
            <w:cnfStyle w:val="001000000000" w:firstRow="0" w:lastRow="0" w:firstColumn="1" w:lastColumn="0" w:oddVBand="0" w:evenVBand="0" w:oddHBand="0" w:evenHBand="0" w:firstRowFirstColumn="0" w:firstRowLastColumn="0" w:lastRowFirstColumn="0" w:lastRowLastColumn="0"/>
            <w:tcW w:w="1890" w:type="dxa"/>
          </w:tcPr>
          <w:p w14:paraId="3FD8A097" w14:textId="7EE6E574" w:rsidR="00501D67" w:rsidRPr="006003DA" w:rsidRDefault="00501D67" w:rsidP="000A63AF">
            <w:pPr>
              <w:rPr>
                <w:rFonts w:cs="TimesNewRoman"/>
              </w:rPr>
            </w:pPr>
            <w:r w:rsidRPr="006003DA">
              <w:rPr>
                <w:rFonts w:cs="TimesNewRoman"/>
                <w:szCs w:val="22"/>
              </w:rPr>
              <w:t>MCHC</w:t>
            </w:r>
          </w:p>
        </w:tc>
        <w:tc>
          <w:tcPr>
            <w:tcW w:w="6911" w:type="dxa"/>
          </w:tcPr>
          <w:p w14:paraId="749597B2" w14:textId="06AE25AB"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M</w:t>
            </w:r>
            <w:r w:rsidR="00501D67" w:rsidRPr="006003DA">
              <w:rPr>
                <w:rFonts w:cs="TimesNewRoman"/>
                <w:szCs w:val="22"/>
              </w:rPr>
              <w:t>ean cell h</w:t>
            </w:r>
            <w:r>
              <w:rPr>
                <w:rFonts w:cs="TimesNewRoman"/>
                <w:szCs w:val="22"/>
              </w:rPr>
              <w:t>a</w:t>
            </w:r>
            <w:r w:rsidR="00501D67" w:rsidRPr="006003DA">
              <w:rPr>
                <w:rFonts w:cs="TimesNewRoman"/>
                <w:szCs w:val="22"/>
              </w:rPr>
              <w:t>emoglobin concentration</w:t>
            </w:r>
          </w:p>
        </w:tc>
      </w:tr>
      <w:tr w:rsidR="00501D67" w:rsidRPr="003442FE" w14:paraId="0570858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12A3FF9" w14:textId="50734535" w:rsidR="00501D67" w:rsidRPr="006003DA" w:rsidRDefault="00501D67" w:rsidP="000A63AF">
            <w:pPr>
              <w:rPr>
                <w:rFonts w:cs="TimesNewRoman"/>
              </w:rPr>
            </w:pPr>
            <w:r w:rsidRPr="006003DA">
              <w:rPr>
                <w:rFonts w:cs="TimesNewRoman"/>
                <w:szCs w:val="22"/>
              </w:rPr>
              <w:t>MCV</w:t>
            </w:r>
          </w:p>
        </w:tc>
        <w:tc>
          <w:tcPr>
            <w:tcW w:w="6911" w:type="dxa"/>
          </w:tcPr>
          <w:p w14:paraId="4CE4ED4D" w14:textId="25F87EE0"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M</w:t>
            </w:r>
            <w:r w:rsidR="00501D67" w:rsidRPr="006003DA">
              <w:rPr>
                <w:rFonts w:cs="TimesNewRoman"/>
                <w:szCs w:val="22"/>
              </w:rPr>
              <w:t>ean cell volume</w:t>
            </w:r>
          </w:p>
        </w:tc>
      </w:tr>
      <w:tr w:rsidR="00501D67" w:rsidRPr="003442FE" w14:paraId="4D2FCD5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BFF4A2B" w14:textId="7132EA7A" w:rsidR="00501D67" w:rsidRPr="006003DA" w:rsidRDefault="00501D67" w:rsidP="000A63AF">
            <w:pPr>
              <w:rPr>
                <w:rFonts w:cs="TimesNewRoman"/>
              </w:rPr>
            </w:pPr>
            <w:r w:rsidRPr="006003DA">
              <w:rPr>
                <w:rFonts w:cs="TimesNewRoman"/>
                <w:szCs w:val="22"/>
              </w:rPr>
              <w:t>MDRD</w:t>
            </w:r>
          </w:p>
        </w:tc>
        <w:tc>
          <w:tcPr>
            <w:tcW w:w="6911" w:type="dxa"/>
          </w:tcPr>
          <w:p w14:paraId="3BCD4729" w14:textId="14C1983D"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Modification of Diet in Renal Disease</w:t>
            </w:r>
          </w:p>
        </w:tc>
      </w:tr>
      <w:tr w:rsidR="00501D67" w:rsidRPr="003442FE" w14:paraId="7B0D2A2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7B4538F" w14:textId="35A32FF3" w:rsidR="00501D67" w:rsidRPr="006003DA" w:rsidRDefault="00501D67" w:rsidP="000A63AF">
            <w:pPr>
              <w:rPr>
                <w:rFonts w:cs="TimesNewRoman"/>
              </w:rPr>
            </w:pPr>
            <w:r w:rsidRPr="006003DA">
              <w:rPr>
                <w:rFonts w:cs="TimesNewRoman"/>
                <w:szCs w:val="22"/>
              </w:rPr>
              <w:t>MedDRA</w:t>
            </w:r>
          </w:p>
        </w:tc>
        <w:tc>
          <w:tcPr>
            <w:tcW w:w="6911" w:type="dxa"/>
          </w:tcPr>
          <w:p w14:paraId="3BF68305" w14:textId="4B85CC5E"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Medical Dictionary for Regulatory Activities</w:t>
            </w:r>
          </w:p>
        </w:tc>
      </w:tr>
      <w:tr w:rsidR="00501D67" w:rsidRPr="003442FE" w14:paraId="061B81CA"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B08F3E2" w14:textId="184DB4B5" w:rsidR="00501D67" w:rsidRPr="006003DA" w:rsidRDefault="00501D67" w:rsidP="000A63AF">
            <w:pPr>
              <w:rPr>
                <w:rFonts w:cs="TimesNewRoman"/>
              </w:rPr>
            </w:pPr>
            <w:r w:rsidRPr="006003DA">
              <w:rPr>
                <w:rFonts w:cs="TimesNewRoman"/>
                <w:szCs w:val="22"/>
              </w:rPr>
              <w:t>MRD</w:t>
            </w:r>
          </w:p>
        </w:tc>
        <w:tc>
          <w:tcPr>
            <w:tcW w:w="6911" w:type="dxa"/>
          </w:tcPr>
          <w:p w14:paraId="4180D295" w14:textId="21863B7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M</w:t>
            </w:r>
            <w:r w:rsidR="00501D67" w:rsidRPr="006003DA">
              <w:rPr>
                <w:rFonts w:cs="TimesNewRoman"/>
                <w:szCs w:val="22"/>
              </w:rPr>
              <w:t>inimal residual disease</w:t>
            </w:r>
          </w:p>
        </w:tc>
      </w:tr>
      <w:tr w:rsidR="00501D67" w:rsidRPr="003442FE" w14:paraId="713C09A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FC86258" w14:textId="0C14E2CE" w:rsidR="00501D67" w:rsidRPr="006003DA" w:rsidRDefault="00501D67" w:rsidP="000A63AF">
            <w:pPr>
              <w:rPr>
                <w:rFonts w:cs="TimesNewRoman"/>
              </w:rPr>
            </w:pPr>
            <w:r w:rsidRPr="006003DA">
              <w:rPr>
                <w:rFonts w:cs="TimesNewRoman"/>
                <w:szCs w:val="22"/>
              </w:rPr>
              <w:t>MRI</w:t>
            </w:r>
          </w:p>
        </w:tc>
        <w:tc>
          <w:tcPr>
            <w:tcW w:w="6911" w:type="dxa"/>
          </w:tcPr>
          <w:p w14:paraId="057193B4" w14:textId="19D7EFBD"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M</w:t>
            </w:r>
            <w:r w:rsidR="00501D67" w:rsidRPr="006003DA">
              <w:rPr>
                <w:rFonts w:cs="TimesNewRoman"/>
                <w:szCs w:val="22"/>
              </w:rPr>
              <w:t>agnetic resonance imaging</w:t>
            </w:r>
          </w:p>
        </w:tc>
      </w:tr>
      <w:tr w:rsidR="00501D67" w:rsidRPr="003442FE" w14:paraId="5EEA712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FBA76A9" w14:textId="7C4E1940" w:rsidR="00501D67" w:rsidRPr="006003DA" w:rsidRDefault="00A923F9" w:rsidP="00A923F9">
            <w:pPr>
              <w:rPr>
                <w:rFonts w:cs="TimesNewRoman"/>
              </w:rPr>
            </w:pPr>
            <w:r>
              <w:rPr>
                <w:rFonts w:cs="TimesNewRoman"/>
                <w:szCs w:val="22"/>
              </w:rPr>
              <w:t>MT103</w:t>
            </w:r>
          </w:p>
        </w:tc>
        <w:tc>
          <w:tcPr>
            <w:tcW w:w="6911" w:type="dxa"/>
          </w:tcPr>
          <w:p w14:paraId="6F6709A8" w14:textId="1A62D05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B</w:t>
            </w:r>
            <w:r w:rsidR="00501D67" w:rsidRPr="006003DA">
              <w:rPr>
                <w:rFonts w:cs="TimesNewRoman"/>
                <w:szCs w:val="22"/>
              </w:rPr>
              <w:t>linatumomab</w:t>
            </w:r>
            <w:r>
              <w:rPr>
                <w:rFonts w:cs="TimesNewRoman"/>
                <w:szCs w:val="22"/>
              </w:rPr>
              <w:t xml:space="preserve"> (drug development code)</w:t>
            </w:r>
          </w:p>
        </w:tc>
      </w:tr>
      <w:tr w:rsidR="00501D67" w:rsidRPr="003442FE" w14:paraId="16A55B9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A1CF53B" w14:textId="4F97776B" w:rsidR="00501D67" w:rsidRPr="006003DA" w:rsidRDefault="00501D67" w:rsidP="000A63AF">
            <w:pPr>
              <w:rPr>
                <w:rFonts w:cs="TimesNewRoman"/>
              </w:rPr>
            </w:pPr>
            <w:r w:rsidRPr="006003DA">
              <w:rPr>
                <w:rFonts w:cs="TimesNewRoman"/>
                <w:szCs w:val="22"/>
              </w:rPr>
              <w:t>MVOF</w:t>
            </w:r>
          </w:p>
        </w:tc>
        <w:tc>
          <w:tcPr>
            <w:tcW w:w="6911" w:type="dxa"/>
          </w:tcPr>
          <w:p w14:paraId="23F8B0DA" w14:textId="3841CE63"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M</w:t>
            </w:r>
            <w:r w:rsidR="00501D67" w:rsidRPr="006003DA">
              <w:rPr>
                <w:rFonts w:cs="TimesNewRoman"/>
                <w:szCs w:val="22"/>
              </w:rPr>
              <w:t>inimum value of objective function</w:t>
            </w:r>
          </w:p>
        </w:tc>
      </w:tr>
      <w:tr w:rsidR="00501D67" w:rsidRPr="003442FE" w14:paraId="094EE44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3C90E27" w14:textId="06F9F28A" w:rsidR="00501D67" w:rsidRPr="006003DA" w:rsidRDefault="00501D67" w:rsidP="000A63AF">
            <w:pPr>
              <w:rPr>
                <w:rFonts w:cs="TimesNewRoman"/>
              </w:rPr>
            </w:pPr>
            <w:r w:rsidRPr="006003DA">
              <w:rPr>
                <w:rFonts w:cs="TimesNewRoman"/>
                <w:szCs w:val="22"/>
              </w:rPr>
              <w:t>n.e.</w:t>
            </w:r>
          </w:p>
        </w:tc>
        <w:tc>
          <w:tcPr>
            <w:tcW w:w="6911" w:type="dxa"/>
          </w:tcPr>
          <w:p w14:paraId="5330919C" w14:textId="7865CA6E"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w:t>
            </w:r>
            <w:r w:rsidR="00501D67" w:rsidRPr="006003DA">
              <w:rPr>
                <w:rFonts w:cs="TimesNewRoman"/>
                <w:szCs w:val="22"/>
              </w:rPr>
              <w:t>ot estimable</w:t>
            </w:r>
          </w:p>
        </w:tc>
      </w:tr>
      <w:tr w:rsidR="00501D67" w:rsidRPr="003442FE" w14:paraId="17B88C7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249404E" w14:textId="2F644BDE" w:rsidR="00501D67" w:rsidRPr="006003DA" w:rsidRDefault="00501D67" w:rsidP="000A63AF">
            <w:pPr>
              <w:rPr>
                <w:rFonts w:cs="TimesNewRoman"/>
              </w:rPr>
            </w:pPr>
            <w:r w:rsidRPr="006003DA">
              <w:rPr>
                <w:rFonts w:cs="TimesNewRoman"/>
                <w:szCs w:val="22"/>
              </w:rPr>
              <w:t>NCI</w:t>
            </w:r>
          </w:p>
        </w:tc>
        <w:tc>
          <w:tcPr>
            <w:tcW w:w="6911" w:type="dxa"/>
          </w:tcPr>
          <w:p w14:paraId="2F34CD66" w14:textId="4D10CF33"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National Cancer Institute</w:t>
            </w:r>
          </w:p>
        </w:tc>
      </w:tr>
      <w:tr w:rsidR="00501D67" w:rsidRPr="003442FE" w14:paraId="7D137C07"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E1C9D48" w14:textId="35BF4D01" w:rsidR="00501D67" w:rsidRPr="006003DA" w:rsidRDefault="00501D67" w:rsidP="000A63AF">
            <w:pPr>
              <w:rPr>
                <w:rFonts w:cs="TimesNewRoman"/>
              </w:rPr>
            </w:pPr>
            <w:r w:rsidRPr="006003DA">
              <w:rPr>
                <w:rFonts w:cs="TimesNewRoman"/>
                <w:szCs w:val="22"/>
              </w:rPr>
              <w:t>NCI-CTCAE</w:t>
            </w:r>
          </w:p>
        </w:tc>
        <w:tc>
          <w:tcPr>
            <w:tcW w:w="6911" w:type="dxa"/>
          </w:tcPr>
          <w:p w14:paraId="6ACAB1CA" w14:textId="2090A160"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National Cancer Institute-Common Terminology Criteria for Adverse Events</w:t>
            </w:r>
          </w:p>
        </w:tc>
      </w:tr>
      <w:tr w:rsidR="00501D67" w:rsidRPr="003442FE" w14:paraId="7B8CA64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EAC8FDE" w14:textId="6CC3D236" w:rsidR="00501D67" w:rsidRPr="006003DA" w:rsidRDefault="00501D67" w:rsidP="000A63AF">
            <w:pPr>
              <w:rPr>
                <w:rFonts w:cs="TimesNewRoman"/>
              </w:rPr>
            </w:pPr>
            <w:r w:rsidRPr="006003DA">
              <w:rPr>
                <w:rFonts w:cs="TimesNewRoman"/>
                <w:szCs w:val="22"/>
              </w:rPr>
              <w:t>NHL</w:t>
            </w:r>
          </w:p>
        </w:tc>
        <w:tc>
          <w:tcPr>
            <w:tcW w:w="6911" w:type="dxa"/>
          </w:tcPr>
          <w:p w14:paraId="5D17F7DC" w14:textId="536315C5"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Non-Hodgkin’s lymphoma</w:t>
            </w:r>
          </w:p>
        </w:tc>
      </w:tr>
      <w:tr w:rsidR="00501D67" w:rsidRPr="003442FE" w14:paraId="3CAF801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8E6E8D5" w14:textId="4EC1681C" w:rsidR="00501D67" w:rsidRPr="006003DA" w:rsidRDefault="00501D67" w:rsidP="000A63AF">
            <w:pPr>
              <w:rPr>
                <w:rFonts w:cs="TimesNewRoman"/>
              </w:rPr>
            </w:pPr>
            <w:r w:rsidRPr="006003DA">
              <w:rPr>
                <w:rFonts w:cs="TimesNewRoman"/>
                <w:szCs w:val="22"/>
              </w:rPr>
              <w:t>NK</w:t>
            </w:r>
          </w:p>
        </w:tc>
        <w:tc>
          <w:tcPr>
            <w:tcW w:w="6911" w:type="dxa"/>
          </w:tcPr>
          <w:p w14:paraId="6D7F0353" w14:textId="712FB86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w:t>
            </w:r>
            <w:r w:rsidR="00501D67" w:rsidRPr="006003DA">
              <w:rPr>
                <w:rFonts w:cs="TimesNewRoman"/>
                <w:szCs w:val="22"/>
              </w:rPr>
              <w:t>atural killer</w:t>
            </w:r>
          </w:p>
        </w:tc>
      </w:tr>
      <w:tr w:rsidR="00501D67" w:rsidRPr="003442FE" w14:paraId="44D7378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C9F6D11" w14:textId="64F3AFF8" w:rsidR="00501D67" w:rsidRPr="006003DA" w:rsidRDefault="006B3B14" w:rsidP="000A63AF">
            <w:pPr>
              <w:rPr>
                <w:rFonts w:cs="TimesNewRoman"/>
              </w:rPr>
            </w:pPr>
            <w:r>
              <w:rPr>
                <w:rFonts w:cs="TimesNewRoman"/>
                <w:szCs w:val="22"/>
              </w:rPr>
              <w:t>NONMEM</w:t>
            </w:r>
          </w:p>
        </w:tc>
        <w:tc>
          <w:tcPr>
            <w:tcW w:w="6911" w:type="dxa"/>
          </w:tcPr>
          <w:p w14:paraId="7B27E709" w14:textId="324A3D24"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w:t>
            </w:r>
            <w:r w:rsidR="00501D67" w:rsidRPr="006003DA">
              <w:rPr>
                <w:rFonts w:cs="TimesNewRoman"/>
                <w:szCs w:val="22"/>
              </w:rPr>
              <w:t xml:space="preserve">onlinear mixed effects </w:t>
            </w:r>
            <w:r w:rsidRPr="006003DA">
              <w:rPr>
                <w:rFonts w:cs="TimesNewRoman"/>
                <w:szCs w:val="22"/>
              </w:rPr>
              <w:t>modelling</w:t>
            </w:r>
          </w:p>
        </w:tc>
      </w:tr>
      <w:tr w:rsidR="00501D67" w:rsidRPr="003442FE" w14:paraId="47CBC6F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253ACF3" w14:textId="00A7CFB1" w:rsidR="00501D67" w:rsidRPr="006003DA" w:rsidRDefault="00501D67" w:rsidP="000A63AF">
            <w:pPr>
              <w:rPr>
                <w:rFonts w:cs="TimesNewRoman"/>
              </w:rPr>
            </w:pPr>
            <w:r w:rsidRPr="006003DA">
              <w:rPr>
                <w:rFonts w:cs="TimesNewRoman"/>
                <w:szCs w:val="22"/>
              </w:rPr>
              <w:t>NPC</w:t>
            </w:r>
          </w:p>
        </w:tc>
        <w:tc>
          <w:tcPr>
            <w:tcW w:w="6911" w:type="dxa"/>
          </w:tcPr>
          <w:p w14:paraId="2F1EB328" w14:textId="22BFC81E"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w:t>
            </w:r>
            <w:r w:rsidR="00501D67" w:rsidRPr="006003DA">
              <w:rPr>
                <w:rFonts w:cs="TimesNewRoman"/>
                <w:szCs w:val="22"/>
              </w:rPr>
              <w:t>umerical predictive checks</w:t>
            </w:r>
          </w:p>
        </w:tc>
      </w:tr>
      <w:tr w:rsidR="00501D67" w:rsidRPr="003442FE" w14:paraId="7EC273A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AC2BA58" w14:textId="2A8DC45C" w:rsidR="00501D67" w:rsidRPr="006003DA" w:rsidRDefault="006B3B14" w:rsidP="000A63AF">
            <w:pPr>
              <w:rPr>
                <w:rFonts w:cs="TimesNewRoman"/>
              </w:rPr>
            </w:pPr>
            <w:r>
              <w:rPr>
                <w:rFonts w:cs="TimesNewRoman"/>
                <w:szCs w:val="22"/>
              </w:rPr>
              <w:t>NPDE</w:t>
            </w:r>
          </w:p>
        </w:tc>
        <w:tc>
          <w:tcPr>
            <w:tcW w:w="6911" w:type="dxa"/>
          </w:tcPr>
          <w:p w14:paraId="5B73A65F" w14:textId="3661452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Normalis</w:t>
            </w:r>
            <w:r w:rsidR="00501D67" w:rsidRPr="006003DA">
              <w:rPr>
                <w:rFonts w:cs="TimesNewRoman"/>
                <w:szCs w:val="22"/>
              </w:rPr>
              <w:t>ed prediction distribution errors</w:t>
            </w:r>
          </w:p>
        </w:tc>
      </w:tr>
      <w:tr w:rsidR="00501D67" w:rsidRPr="003442FE" w14:paraId="352480EA"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046E5A5" w14:textId="35D6004F" w:rsidR="00501D67" w:rsidRPr="006003DA" w:rsidRDefault="00501D67" w:rsidP="000A63AF">
            <w:pPr>
              <w:rPr>
                <w:rFonts w:cs="TimesNewRoman"/>
              </w:rPr>
            </w:pPr>
            <w:r w:rsidRPr="006003DA">
              <w:rPr>
                <w:rFonts w:cs="TimesNewRoman"/>
                <w:szCs w:val="22"/>
              </w:rPr>
              <w:t>NSAID</w:t>
            </w:r>
          </w:p>
        </w:tc>
        <w:tc>
          <w:tcPr>
            <w:tcW w:w="6911" w:type="dxa"/>
          </w:tcPr>
          <w:p w14:paraId="7AE4C347" w14:textId="5C657C29"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N</w:t>
            </w:r>
            <w:r w:rsidR="00501D67" w:rsidRPr="006003DA">
              <w:rPr>
                <w:rFonts w:cs="TimesNewRoman"/>
                <w:szCs w:val="22"/>
              </w:rPr>
              <w:t>onsteroidal anti-inflammatory drug</w:t>
            </w:r>
          </w:p>
        </w:tc>
      </w:tr>
      <w:tr w:rsidR="00501D67" w:rsidRPr="003442FE" w14:paraId="6E62D28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7976B6E" w14:textId="3732746D" w:rsidR="00501D67" w:rsidRPr="006003DA" w:rsidRDefault="006B3B14" w:rsidP="006B3B14">
            <w:pPr>
              <w:rPr>
                <w:rFonts w:cs="TimesNewRoman"/>
              </w:rPr>
            </w:pPr>
            <w:r>
              <w:rPr>
                <w:rFonts w:cs="TimesNewRoman"/>
                <w:szCs w:val="22"/>
              </w:rPr>
              <w:t>OS</w:t>
            </w:r>
          </w:p>
        </w:tc>
        <w:tc>
          <w:tcPr>
            <w:tcW w:w="6911" w:type="dxa"/>
          </w:tcPr>
          <w:p w14:paraId="27010D2A" w14:textId="43CBE89E"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O</w:t>
            </w:r>
            <w:r w:rsidR="00501D67" w:rsidRPr="006003DA">
              <w:rPr>
                <w:rFonts w:cs="TimesNewRoman"/>
                <w:szCs w:val="22"/>
              </w:rPr>
              <w:t>verall survival</w:t>
            </w:r>
          </w:p>
        </w:tc>
      </w:tr>
      <w:tr w:rsidR="00501D67" w:rsidRPr="003442FE" w14:paraId="3EEE8031"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A77AEA1" w14:textId="2586363C" w:rsidR="00501D67" w:rsidRPr="006003DA" w:rsidRDefault="00501D67" w:rsidP="000A63AF">
            <w:pPr>
              <w:rPr>
                <w:rFonts w:cs="TimesNewRoman"/>
              </w:rPr>
            </w:pPr>
            <w:r w:rsidRPr="006003DA">
              <w:rPr>
                <w:rFonts w:cs="TimesNewRoman"/>
                <w:szCs w:val="22"/>
              </w:rPr>
              <w:t>PAS</w:t>
            </w:r>
          </w:p>
        </w:tc>
        <w:tc>
          <w:tcPr>
            <w:tcW w:w="6911" w:type="dxa"/>
          </w:tcPr>
          <w:p w14:paraId="0C7350C6" w14:textId="6B7E7509"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Primary Analysis Set</w:t>
            </w:r>
          </w:p>
        </w:tc>
      </w:tr>
      <w:tr w:rsidR="00501D67" w:rsidRPr="003442FE" w14:paraId="0FDE219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4140368" w14:textId="3E2ED3F5" w:rsidR="00501D67" w:rsidRPr="006003DA" w:rsidRDefault="00501D67" w:rsidP="000A63AF">
            <w:pPr>
              <w:rPr>
                <w:rFonts w:cs="TimesNewRoman"/>
              </w:rPr>
            </w:pPr>
            <w:r w:rsidRPr="006003DA">
              <w:rPr>
                <w:rFonts w:cs="TimesNewRoman"/>
                <w:szCs w:val="22"/>
              </w:rPr>
              <w:t>PCR</w:t>
            </w:r>
          </w:p>
        </w:tc>
        <w:tc>
          <w:tcPr>
            <w:tcW w:w="6911" w:type="dxa"/>
          </w:tcPr>
          <w:p w14:paraId="7ED36BDE" w14:textId="5BD92E6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olymerase chain reaction</w:t>
            </w:r>
          </w:p>
        </w:tc>
      </w:tr>
      <w:tr w:rsidR="00501D67" w:rsidRPr="003442FE" w14:paraId="3C311CF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3283E00" w14:textId="07A41E66" w:rsidR="00501D67" w:rsidRPr="006003DA" w:rsidRDefault="00501D67" w:rsidP="000A63AF">
            <w:pPr>
              <w:rPr>
                <w:rFonts w:cs="TimesNewRoman"/>
              </w:rPr>
            </w:pPr>
            <w:r w:rsidRPr="006003DA">
              <w:rPr>
                <w:rFonts w:cs="TimesNewRoman"/>
                <w:szCs w:val="22"/>
              </w:rPr>
              <w:t>PD</w:t>
            </w:r>
          </w:p>
        </w:tc>
        <w:tc>
          <w:tcPr>
            <w:tcW w:w="6911" w:type="dxa"/>
          </w:tcPr>
          <w:p w14:paraId="69DF724E" w14:textId="0F872FDE"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harmacodynamics</w:t>
            </w:r>
          </w:p>
        </w:tc>
      </w:tr>
      <w:tr w:rsidR="00501D67" w:rsidRPr="003442FE" w14:paraId="321D8E4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6E33BC5" w14:textId="0F3F3A16" w:rsidR="00501D67" w:rsidRPr="006003DA" w:rsidRDefault="00501D67" w:rsidP="000A63AF">
            <w:pPr>
              <w:rPr>
                <w:rFonts w:cs="TimesNewRoman"/>
              </w:rPr>
            </w:pPr>
            <w:r w:rsidRPr="006003DA">
              <w:rPr>
                <w:rFonts w:cs="TimesNewRoman"/>
                <w:szCs w:val="22"/>
              </w:rPr>
              <w:t>PDS</w:t>
            </w:r>
          </w:p>
        </w:tc>
        <w:tc>
          <w:tcPr>
            <w:tcW w:w="6911" w:type="dxa"/>
          </w:tcPr>
          <w:p w14:paraId="1678C4AB" w14:textId="1A378F83"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harmacodynamics Data Set</w:t>
            </w:r>
          </w:p>
        </w:tc>
      </w:tr>
      <w:tr w:rsidR="00501D67" w:rsidRPr="003442FE" w14:paraId="6ABA5C3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0D4FC45" w14:textId="0C68101F" w:rsidR="00501D67" w:rsidRPr="006003DA" w:rsidRDefault="00501D67" w:rsidP="000A63AF">
            <w:pPr>
              <w:rPr>
                <w:rFonts w:cs="TimesNewRoman"/>
              </w:rPr>
            </w:pPr>
            <w:r w:rsidRPr="006003DA">
              <w:rPr>
                <w:rFonts w:cs="TimesNewRoman"/>
                <w:szCs w:val="22"/>
              </w:rPr>
              <w:t>pg</w:t>
            </w:r>
          </w:p>
        </w:tc>
        <w:tc>
          <w:tcPr>
            <w:tcW w:w="6911" w:type="dxa"/>
          </w:tcPr>
          <w:p w14:paraId="25DEADB2" w14:textId="02AD88E3"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icogram</w:t>
            </w:r>
          </w:p>
        </w:tc>
      </w:tr>
      <w:tr w:rsidR="00501D67" w:rsidRPr="003442FE" w14:paraId="2181196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3239B8C" w14:textId="23303B85" w:rsidR="00501D67" w:rsidRPr="006003DA" w:rsidRDefault="00501D67" w:rsidP="000A63AF">
            <w:pPr>
              <w:rPr>
                <w:rFonts w:cs="TimesNewRoman"/>
              </w:rPr>
            </w:pPr>
            <w:r w:rsidRPr="006003DA">
              <w:rPr>
                <w:rFonts w:cs="TimesNewRoman"/>
                <w:szCs w:val="22"/>
              </w:rPr>
              <w:t>Ph+</w:t>
            </w:r>
          </w:p>
        </w:tc>
        <w:tc>
          <w:tcPr>
            <w:tcW w:w="6911" w:type="dxa"/>
          </w:tcPr>
          <w:p w14:paraId="4813250C" w14:textId="3E5769BF"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Philadelphia chromosome (Philadelphia-positive subtype)</w:t>
            </w:r>
          </w:p>
        </w:tc>
      </w:tr>
      <w:tr w:rsidR="00501D67" w:rsidRPr="003442FE" w14:paraId="423AF70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6B44B49" w14:textId="174114B0" w:rsidR="00501D67" w:rsidRPr="006003DA" w:rsidRDefault="00501D67" w:rsidP="000A63AF">
            <w:pPr>
              <w:rPr>
                <w:rFonts w:cs="TimesNewRoman"/>
              </w:rPr>
            </w:pPr>
            <w:r w:rsidRPr="006003DA">
              <w:rPr>
                <w:rFonts w:cs="TimesNewRoman"/>
                <w:szCs w:val="22"/>
              </w:rPr>
              <w:t>PK</w:t>
            </w:r>
          </w:p>
        </w:tc>
        <w:tc>
          <w:tcPr>
            <w:tcW w:w="6911" w:type="dxa"/>
          </w:tcPr>
          <w:p w14:paraId="7DB9212F" w14:textId="51D298E9"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harmacokinetics</w:t>
            </w:r>
          </w:p>
        </w:tc>
      </w:tr>
      <w:tr w:rsidR="00501D67" w:rsidRPr="003442FE" w14:paraId="0DD5281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A197DA0" w14:textId="36C368F3" w:rsidR="00501D67" w:rsidRPr="006003DA" w:rsidRDefault="00501D67" w:rsidP="000A63AF">
            <w:pPr>
              <w:rPr>
                <w:rFonts w:cs="TimesNewRoman"/>
              </w:rPr>
            </w:pPr>
            <w:r w:rsidRPr="006003DA">
              <w:rPr>
                <w:rFonts w:cs="TimesNewRoman"/>
                <w:szCs w:val="22"/>
              </w:rPr>
              <w:t>PKS</w:t>
            </w:r>
          </w:p>
        </w:tc>
        <w:tc>
          <w:tcPr>
            <w:tcW w:w="6911" w:type="dxa"/>
          </w:tcPr>
          <w:p w14:paraId="2EF52690" w14:textId="520BB7CC"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Pharmacokinetic Data Set</w:t>
            </w:r>
          </w:p>
        </w:tc>
      </w:tr>
      <w:tr w:rsidR="00501D67" w:rsidRPr="003442FE" w14:paraId="08151E3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2653E2F" w14:textId="019DF0EC" w:rsidR="00501D67" w:rsidRPr="006003DA" w:rsidRDefault="00501D67" w:rsidP="000A63AF">
            <w:pPr>
              <w:rPr>
                <w:rFonts w:cs="TimesNewRoman"/>
              </w:rPr>
            </w:pPr>
            <w:r w:rsidRPr="006003DA">
              <w:rPr>
                <w:rFonts w:cs="TimesNewRoman"/>
                <w:szCs w:val="22"/>
              </w:rPr>
              <w:t>PPS</w:t>
            </w:r>
          </w:p>
        </w:tc>
        <w:tc>
          <w:tcPr>
            <w:tcW w:w="6911" w:type="dxa"/>
          </w:tcPr>
          <w:p w14:paraId="410F6EA9" w14:textId="62C6CC4F"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Per Protocol Set</w:t>
            </w:r>
          </w:p>
        </w:tc>
      </w:tr>
      <w:tr w:rsidR="00501D67" w:rsidRPr="003442FE" w14:paraId="1E71537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AD220D3" w14:textId="3106BD11" w:rsidR="00501D67" w:rsidRPr="006003DA" w:rsidRDefault="00586C19" w:rsidP="000A63AF">
            <w:pPr>
              <w:rPr>
                <w:rFonts w:cs="TimesNewRoman"/>
              </w:rPr>
            </w:pPr>
            <w:r>
              <w:rPr>
                <w:rFonts w:cs="TimesNewRoman"/>
                <w:szCs w:val="22"/>
              </w:rPr>
              <w:t>Pre-B-ALL</w:t>
            </w:r>
          </w:p>
        </w:tc>
        <w:tc>
          <w:tcPr>
            <w:tcW w:w="6911" w:type="dxa"/>
          </w:tcPr>
          <w:p w14:paraId="0A41EEC3" w14:textId="6CCE2E1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mmunophenotypic subtype of adult B-Precursor ALL defined by the detection of HLA-DR, TdT, CD19, CD10 and cytoplasmic μ-chains</w:t>
            </w:r>
          </w:p>
        </w:tc>
      </w:tr>
      <w:tr w:rsidR="00501D67" w:rsidRPr="003442FE" w14:paraId="709555A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3C42069" w14:textId="6F3FE913" w:rsidR="00501D67" w:rsidRPr="006003DA" w:rsidRDefault="00501D67" w:rsidP="000A63AF">
            <w:pPr>
              <w:rPr>
                <w:rFonts w:cs="TimesNewRoman"/>
              </w:rPr>
            </w:pPr>
            <w:r w:rsidRPr="006003DA">
              <w:rPr>
                <w:rFonts w:cs="TimesNewRoman"/>
                <w:szCs w:val="22"/>
              </w:rPr>
              <w:t>Pro-B ALL</w:t>
            </w:r>
          </w:p>
        </w:tc>
        <w:tc>
          <w:tcPr>
            <w:tcW w:w="6911" w:type="dxa"/>
          </w:tcPr>
          <w:p w14:paraId="361C23C7" w14:textId="2910856C"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mmunophenotypic subtype of adult B-Precursor ALL defined by the detection of HLA-DR, TdT, CD19</w:t>
            </w:r>
          </w:p>
        </w:tc>
      </w:tr>
      <w:tr w:rsidR="00501D67" w:rsidRPr="003442FE" w14:paraId="7C8FBCE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E4348BA" w14:textId="5EAC8BB1" w:rsidR="00501D67" w:rsidRPr="006003DA" w:rsidRDefault="00501D67" w:rsidP="000A63AF">
            <w:pPr>
              <w:rPr>
                <w:rFonts w:cs="TimesNewRoman"/>
              </w:rPr>
            </w:pPr>
            <w:r w:rsidRPr="006003DA">
              <w:rPr>
                <w:rFonts w:cs="TimesNewRoman"/>
                <w:szCs w:val="22"/>
              </w:rPr>
              <w:t>PT</w:t>
            </w:r>
          </w:p>
        </w:tc>
        <w:tc>
          <w:tcPr>
            <w:tcW w:w="6911" w:type="dxa"/>
          </w:tcPr>
          <w:p w14:paraId="2649E981" w14:textId="3E08B62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rothrombin time</w:t>
            </w:r>
          </w:p>
        </w:tc>
      </w:tr>
      <w:tr w:rsidR="00501D67" w:rsidRPr="003442FE" w14:paraId="1040447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37C4F7D" w14:textId="646A5786" w:rsidR="00501D67" w:rsidRPr="006003DA" w:rsidRDefault="00501D67" w:rsidP="000A63AF">
            <w:pPr>
              <w:rPr>
                <w:rFonts w:cs="TimesNewRoman"/>
              </w:rPr>
            </w:pPr>
            <w:r w:rsidRPr="006003DA">
              <w:rPr>
                <w:rFonts w:cs="TimesNewRoman"/>
                <w:szCs w:val="22"/>
              </w:rPr>
              <w:t>PTT</w:t>
            </w:r>
          </w:p>
        </w:tc>
        <w:tc>
          <w:tcPr>
            <w:tcW w:w="6911" w:type="dxa"/>
          </w:tcPr>
          <w:p w14:paraId="0302749C" w14:textId="0969FF3F"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P</w:t>
            </w:r>
            <w:r w:rsidR="00501D67" w:rsidRPr="006003DA">
              <w:rPr>
                <w:rFonts w:cs="TimesNewRoman"/>
                <w:szCs w:val="22"/>
              </w:rPr>
              <w:t>artial thromboplastin time</w:t>
            </w:r>
          </w:p>
        </w:tc>
      </w:tr>
      <w:tr w:rsidR="00501D67" w:rsidRPr="003442FE" w14:paraId="15A7FE7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7E6E318" w14:textId="14643C4F" w:rsidR="00501D67" w:rsidRPr="006003DA" w:rsidRDefault="00501D67" w:rsidP="000A63AF">
            <w:pPr>
              <w:rPr>
                <w:rFonts w:cs="TimesNewRoman"/>
              </w:rPr>
            </w:pPr>
            <w:r w:rsidRPr="006003DA">
              <w:rPr>
                <w:rFonts w:cs="TimesNewRoman"/>
                <w:szCs w:val="22"/>
              </w:rPr>
              <w:t>QRS interval</w:t>
            </w:r>
          </w:p>
        </w:tc>
        <w:tc>
          <w:tcPr>
            <w:tcW w:w="6911" w:type="dxa"/>
          </w:tcPr>
          <w:p w14:paraId="2FA2DA93" w14:textId="101CB93B"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ime from the beginning to the end of the QRS complex on ECG</w:t>
            </w:r>
          </w:p>
        </w:tc>
      </w:tr>
      <w:tr w:rsidR="00501D67" w:rsidRPr="003442FE" w14:paraId="53B3C7C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394E851" w14:textId="7EDD8C81" w:rsidR="00501D67" w:rsidRPr="006003DA" w:rsidRDefault="00501D67" w:rsidP="000A63AF">
            <w:pPr>
              <w:rPr>
                <w:rFonts w:cs="TimesNewRoman"/>
              </w:rPr>
            </w:pPr>
            <w:r w:rsidRPr="006003DA">
              <w:rPr>
                <w:rFonts w:cs="TimesNewRoman"/>
                <w:szCs w:val="22"/>
              </w:rPr>
              <w:t>QT interval</w:t>
            </w:r>
          </w:p>
        </w:tc>
        <w:tc>
          <w:tcPr>
            <w:tcW w:w="6911" w:type="dxa"/>
          </w:tcPr>
          <w:p w14:paraId="12A15E85" w14:textId="401484BF"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 xml:space="preserve">ime from the beginning of the </w:t>
            </w:r>
            <w:r>
              <w:rPr>
                <w:rFonts w:cs="TimesNewRoman"/>
                <w:szCs w:val="22"/>
              </w:rPr>
              <w:t>QRS complex to the end of the T </w:t>
            </w:r>
            <w:r w:rsidR="00501D67" w:rsidRPr="006003DA">
              <w:rPr>
                <w:rFonts w:cs="TimesNewRoman"/>
                <w:szCs w:val="22"/>
              </w:rPr>
              <w:t>wave on ECG</w:t>
            </w:r>
          </w:p>
        </w:tc>
      </w:tr>
      <w:tr w:rsidR="00501D67" w:rsidRPr="003442FE" w14:paraId="1AD73610"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87EFFF0" w14:textId="3DB25E6F" w:rsidR="00501D67" w:rsidRPr="006003DA" w:rsidRDefault="00501D67" w:rsidP="000A63AF">
            <w:pPr>
              <w:rPr>
                <w:rFonts w:cs="TimesNewRoman"/>
              </w:rPr>
            </w:pPr>
            <w:r w:rsidRPr="006003DA">
              <w:rPr>
                <w:rFonts w:cs="TimesNewRoman"/>
                <w:szCs w:val="22"/>
              </w:rPr>
              <w:t>QTcB</w:t>
            </w:r>
          </w:p>
        </w:tc>
        <w:tc>
          <w:tcPr>
            <w:tcW w:w="6911" w:type="dxa"/>
          </w:tcPr>
          <w:p w14:paraId="7B2D7B11" w14:textId="6C806ACB"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Bazette’s correction to QT interval</w:t>
            </w:r>
          </w:p>
        </w:tc>
      </w:tr>
      <w:tr w:rsidR="00501D67" w:rsidRPr="003442FE" w14:paraId="645E618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ECD7B52" w14:textId="4271D4B3" w:rsidR="00501D67" w:rsidRPr="006003DA" w:rsidRDefault="00501D67" w:rsidP="000A63AF">
            <w:pPr>
              <w:rPr>
                <w:rFonts w:cs="TimesNewRoman"/>
              </w:rPr>
            </w:pPr>
            <w:r w:rsidRPr="006003DA">
              <w:rPr>
                <w:rFonts w:cs="TimesNewRoman"/>
                <w:szCs w:val="22"/>
              </w:rPr>
              <w:t>QTcF</w:t>
            </w:r>
          </w:p>
        </w:tc>
        <w:tc>
          <w:tcPr>
            <w:tcW w:w="6911" w:type="dxa"/>
          </w:tcPr>
          <w:p w14:paraId="1C00C3A5" w14:textId="390BF672"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Fridericia’s correction to QT interval</w:t>
            </w:r>
          </w:p>
        </w:tc>
      </w:tr>
      <w:tr w:rsidR="00501D67" w:rsidRPr="003442FE" w14:paraId="52C5DD4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F709151" w14:textId="23F9B570" w:rsidR="00501D67" w:rsidRPr="006003DA" w:rsidRDefault="00501D67" w:rsidP="000A63AF">
            <w:pPr>
              <w:rPr>
                <w:rFonts w:cs="TimesNewRoman"/>
              </w:rPr>
            </w:pPr>
            <w:r w:rsidRPr="006003DA">
              <w:rPr>
                <w:rFonts w:cs="TimesNewRoman"/>
                <w:szCs w:val="22"/>
              </w:rPr>
              <w:t>R/R</w:t>
            </w:r>
          </w:p>
        </w:tc>
        <w:tc>
          <w:tcPr>
            <w:tcW w:w="6911" w:type="dxa"/>
          </w:tcPr>
          <w:p w14:paraId="2C83AE63" w14:textId="03651F6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R</w:t>
            </w:r>
            <w:r w:rsidR="00501D67" w:rsidRPr="006003DA">
              <w:rPr>
                <w:rFonts w:cs="TimesNewRoman"/>
                <w:szCs w:val="22"/>
              </w:rPr>
              <w:t>efractory or relapsed</w:t>
            </w:r>
          </w:p>
        </w:tc>
      </w:tr>
      <w:tr w:rsidR="00501D67" w:rsidRPr="003442FE" w14:paraId="2E1B981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5CF3162" w14:textId="667B02BA" w:rsidR="00501D67" w:rsidRPr="006003DA" w:rsidRDefault="00501D67" w:rsidP="000A63AF">
            <w:pPr>
              <w:rPr>
                <w:rFonts w:cs="TimesNewRoman"/>
              </w:rPr>
            </w:pPr>
            <w:r w:rsidRPr="006003DA">
              <w:rPr>
                <w:rFonts w:cs="TimesNewRoman"/>
                <w:szCs w:val="22"/>
              </w:rPr>
              <w:t>R0</w:t>
            </w:r>
          </w:p>
        </w:tc>
        <w:tc>
          <w:tcPr>
            <w:tcW w:w="6911" w:type="dxa"/>
          </w:tcPr>
          <w:p w14:paraId="48A647C1" w14:textId="4A04ADF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nfusion rate</w:t>
            </w:r>
          </w:p>
        </w:tc>
      </w:tr>
      <w:tr w:rsidR="00501D67" w:rsidRPr="003442FE" w14:paraId="0CBF891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31F2B02" w14:textId="1EA65C4D" w:rsidR="00501D67" w:rsidRPr="006003DA" w:rsidRDefault="00501D67" w:rsidP="000A63AF">
            <w:pPr>
              <w:rPr>
                <w:rFonts w:cs="TimesNewRoman"/>
              </w:rPr>
            </w:pPr>
            <w:r w:rsidRPr="006003DA">
              <w:rPr>
                <w:rFonts w:cs="TimesNewRoman"/>
                <w:szCs w:val="22"/>
              </w:rPr>
              <w:t>RFS</w:t>
            </w:r>
          </w:p>
        </w:tc>
        <w:tc>
          <w:tcPr>
            <w:tcW w:w="6911" w:type="dxa"/>
          </w:tcPr>
          <w:p w14:paraId="7DC1BEBE" w14:textId="12C68F7A"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 xml:space="preserve">Relapse </w:t>
            </w:r>
            <w:r w:rsidR="00501D67" w:rsidRPr="006003DA">
              <w:rPr>
                <w:rFonts w:cs="TimesNewRoman"/>
                <w:szCs w:val="22"/>
              </w:rPr>
              <w:t>free survival</w:t>
            </w:r>
          </w:p>
        </w:tc>
      </w:tr>
      <w:tr w:rsidR="00501D67" w:rsidRPr="003442FE" w14:paraId="14154D0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ADAACB8" w14:textId="2ACBF56D" w:rsidR="00501D67" w:rsidRPr="006003DA" w:rsidRDefault="00501D67" w:rsidP="000A63AF">
            <w:pPr>
              <w:rPr>
                <w:rFonts w:cs="TimesNewRoman"/>
              </w:rPr>
            </w:pPr>
            <w:r w:rsidRPr="006003DA">
              <w:rPr>
                <w:rFonts w:cs="TimesNewRoman"/>
                <w:szCs w:val="22"/>
              </w:rPr>
              <w:t>RR</w:t>
            </w:r>
          </w:p>
        </w:tc>
        <w:tc>
          <w:tcPr>
            <w:tcW w:w="6911" w:type="dxa"/>
          </w:tcPr>
          <w:p w14:paraId="1220EC48" w14:textId="567E9124"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nterval of time from</w:t>
            </w:r>
            <w:r>
              <w:rPr>
                <w:rFonts w:cs="TimesNewRoman"/>
                <w:szCs w:val="22"/>
              </w:rPr>
              <w:t xml:space="preserve"> the peak of one R wave to that </w:t>
            </w:r>
            <w:r w:rsidR="00501D67" w:rsidRPr="006003DA">
              <w:rPr>
                <w:rFonts w:cs="TimesNewRoman"/>
                <w:szCs w:val="22"/>
              </w:rPr>
              <w:t>of the following R wave on ECG</w:t>
            </w:r>
          </w:p>
        </w:tc>
      </w:tr>
      <w:tr w:rsidR="00501D67" w:rsidRPr="003442FE" w14:paraId="286DE1C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8E70437" w14:textId="2B77B79E" w:rsidR="00501D67" w:rsidRPr="006003DA" w:rsidRDefault="00501D67" w:rsidP="000A63AF">
            <w:pPr>
              <w:rPr>
                <w:rFonts w:cs="TimesNewRoman"/>
              </w:rPr>
            </w:pPr>
            <w:r w:rsidRPr="006003DA">
              <w:rPr>
                <w:rFonts w:cs="TimesNewRoman"/>
                <w:szCs w:val="22"/>
              </w:rPr>
              <w:t>RSE</w:t>
            </w:r>
          </w:p>
        </w:tc>
        <w:tc>
          <w:tcPr>
            <w:tcW w:w="6911" w:type="dxa"/>
          </w:tcPr>
          <w:p w14:paraId="71997D6E" w14:textId="6479B092"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R</w:t>
            </w:r>
            <w:r w:rsidR="00501D67" w:rsidRPr="006003DA">
              <w:rPr>
                <w:rFonts w:cs="TimesNewRoman"/>
                <w:szCs w:val="22"/>
              </w:rPr>
              <w:t>elative standard error</w:t>
            </w:r>
          </w:p>
        </w:tc>
      </w:tr>
      <w:tr w:rsidR="00501D67" w:rsidRPr="003442FE" w14:paraId="28140A9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F37E0D6" w14:textId="1D6C8E3D" w:rsidR="00501D67" w:rsidRPr="006003DA" w:rsidRDefault="00501D67" w:rsidP="000A63AF">
            <w:pPr>
              <w:rPr>
                <w:rFonts w:cs="TimesNewRoman"/>
              </w:rPr>
            </w:pPr>
            <w:r w:rsidRPr="006003DA">
              <w:rPr>
                <w:rFonts w:cs="TimesNewRoman"/>
                <w:szCs w:val="22"/>
              </w:rPr>
              <w:t>SAF</w:t>
            </w:r>
          </w:p>
        </w:tc>
        <w:tc>
          <w:tcPr>
            <w:tcW w:w="6911" w:type="dxa"/>
          </w:tcPr>
          <w:p w14:paraId="5DB94835" w14:textId="213D0463"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Safety Analysis Set</w:t>
            </w:r>
          </w:p>
        </w:tc>
      </w:tr>
      <w:tr w:rsidR="00501D67" w:rsidRPr="003442FE" w14:paraId="40D1A03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E17B2D9" w14:textId="6AC18733" w:rsidR="00501D67" w:rsidRPr="006003DA" w:rsidRDefault="00501D67" w:rsidP="000A63AF">
            <w:pPr>
              <w:rPr>
                <w:rFonts w:cs="TimesNewRoman"/>
              </w:rPr>
            </w:pPr>
            <w:r w:rsidRPr="006003DA">
              <w:rPr>
                <w:rFonts w:cs="TimesNewRoman"/>
                <w:szCs w:val="22"/>
              </w:rPr>
              <w:t>SAP</w:t>
            </w:r>
          </w:p>
        </w:tc>
        <w:tc>
          <w:tcPr>
            <w:tcW w:w="6911" w:type="dxa"/>
          </w:tcPr>
          <w:p w14:paraId="2E34F617" w14:textId="2FD314AD"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Statistical Analysis Plan</w:t>
            </w:r>
          </w:p>
        </w:tc>
      </w:tr>
      <w:tr w:rsidR="00501D67" w:rsidRPr="003442FE" w14:paraId="7A83BAB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B4E7ABD" w14:textId="025FC20D" w:rsidR="00501D67" w:rsidRPr="006003DA" w:rsidRDefault="00501D67" w:rsidP="000A63AF">
            <w:pPr>
              <w:rPr>
                <w:rFonts w:cs="TimesNewRoman"/>
              </w:rPr>
            </w:pPr>
            <w:r w:rsidRPr="006003DA">
              <w:rPr>
                <w:rFonts w:cs="TimesNewRoman"/>
                <w:szCs w:val="22"/>
              </w:rPr>
              <w:t>SBP</w:t>
            </w:r>
          </w:p>
        </w:tc>
        <w:tc>
          <w:tcPr>
            <w:tcW w:w="6911" w:type="dxa"/>
          </w:tcPr>
          <w:p w14:paraId="2CC77296" w14:textId="7F15CCD3"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S</w:t>
            </w:r>
            <w:r w:rsidR="00501D67" w:rsidRPr="006003DA">
              <w:rPr>
                <w:rFonts w:cs="TimesNewRoman"/>
                <w:szCs w:val="22"/>
              </w:rPr>
              <w:t>ystolic blood pressure</w:t>
            </w:r>
          </w:p>
        </w:tc>
      </w:tr>
      <w:tr w:rsidR="00501D67" w:rsidRPr="003442FE" w14:paraId="53D71EF5"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6F4BAA97" w14:textId="2EA428E4" w:rsidR="00501D67" w:rsidRPr="006003DA" w:rsidRDefault="00501D67" w:rsidP="000A63AF">
            <w:pPr>
              <w:rPr>
                <w:rFonts w:cs="TimesNewRoman"/>
              </w:rPr>
            </w:pPr>
            <w:r w:rsidRPr="006003DA">
              <w:rPr>
                <w:rFonts w:cs="TimesNewRoman"/>
                <w:szCs w:val="22"/>
              </w:rPr>
              <w:t>SD</w:t>
            </w:r>
          </w:p>
        </w:tc>
        <w:tc>
          <w:tcPr>
            <w:tcW w:w="6911" w:type="dxa"/>
          </w:tcPr>
          <w:p w14:paraId="44DC55DF" w14:textId="5F0B2918"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standard deviation</w:t>
            </w:r>
          </w:p>
        </w:tc>
      </w:tr>
      <w:tr w:rsidR="00501D67" w:rsidRPr="003442FE" w14:paraId="034340E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9087652" w14:textId="5470CDFA" w:rsidR="00501D67" w:rsidRPr="006003DA" w:rsidRDefault="00501D67" w:rsidP="000A63AF">
            <w:pPr>
              <w:rPr>
                <w:rFonts w:cs="TimesNewRoman"/>
              </w:rPr>
            </w:pPr>
            <w:r w:rsidRPr="006003DA">
              <w:rPr>
                <w:rFonts w:cs="TimesNewRoman"/>
                <w:szCs w:val="22"/>
              </w:rPr>
              <w:t>SGOT</w:t>
            </w:r>
          </w:p>
        </w:tc>
        <w:tc>
          <w:tcPr>
            <w:tcW w:w="6911" w:type="dxa"/>
          </w:tcPr>
          <w:p w14:paraId="54B01C87" w14:textId="0A68C25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S</w:t>
            </w:r>
            <w:r w:rsidR="00501D67" w:rsidRPr="006003DA">
              <w:rPr>
                <w:rFonts w:cs="TimesNewRoman"/>
                <w:szCs w:val="22"/>
              </w:rPr>
              <w:t>erum glutamic oxaloacetic transaminase (AST: aspartate aminotransferase)</w:t>
            </w:r>
          </w:p>
        </w:tc>
      </w:tr>
      <w:tr w:rsidR="00501D67" w:rsidRPr="003442FE" w14:paraId="755C843A"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051FAAB" w14:textId="069AC923" w:rsidR="00501D67" w:rsidRPr="006003DA" w:rsidRDefault="00501D67" w:rsidP="000A63AF">
            <w:pPr>
              <w:rPr>
                <w:rFonts w:cs="TimesNewRoman"/>
              </w:rPr>
            </w:pPr>
            <w:r w:rsidRPr="006003DA">
              <w:rPr>
                <w:rFonts w:cs="TimesNewRoman"/>
                <w:szCs w:val="22"/>
              </w:rPr>
              <w:t>SMQ</w:t>
            </w:r>
          </w:p>
        </w:tc>
        <w:tc>
          <w:tcPr>
            <w:tcW w:w="6911" w:type="dxa"/>
          </w:tcPr>
          <w:p w14:paraId="640A2C90" w14:textId="15BB89C5"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Standardized MedDRA Query</w:t>
            </w:r>
          </w:p>
        </w:tc>
      </w:tr>
      <w:tr w:rsidR="00501D67" w:rsidRPr="003442FE" w14:paraId="4216578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7E463B2" w14:textId="24E3DBB7" w:rsidR="00501D67" w:rsidRPr="006003DA" w:rsidRDefault="00501D67" w:rsidP="000A63AF">
            <w:pPr>
              <w:rPr>
                <w:rFonts w:cs="TimesNewRoman"/>
              </w:rPr>
            </w:pPr>
            <w:r w:rsidRPr="006003DA">
              <w:rPr>
                <w:rFonts w:cs="TimesNewRoman"/>
                <w:szCs w:val="22"/>
              </w:rPr>
              <w:t>SOC</w:t>
            </w:r>
          </w:p>
        </w:tc>
        <w:tc>
          <w:tcPr>
            <w:tcW w:w="6911" w:type="dxa"/>
          </w:tcPr>
          <w:p w14:paraId="1FD178DC" w14:textId="50290A8C"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System Organ Class</w:t>
            </w:r>
          </w:p>
        </w:tc>
      </w:tr>
      <w:tr w:rsidR="00501D67" w:rsidRPr="003442FE" w14:paraId="1A4A91D4"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ACC640D" w14:textId="6B070BF6" w:rsidR="00501D67" w:rsidRPr="006003DA" w:rsidRDefault="006B3B14" w:rsidP="000A63AF">
            <w:pPr>
              <w:rPr>
                <w:rFonts w:cs="TimesNewRoman"/>
              </w:rPr>
            </w:pPr>
            <w:r>
              <w:rPr>
                <w:rFonts w:cs="TimesNewRoman"/>
                <w:szCs w:val="22"/>
              </w:rPr>
              <w:t>sWFI</w:t>
            </w:r>
          </w:p>
        </w:tc>
        <w:tc>
          <w:tcPr>
            <w:tcW w:w="6911" w:type="dxa"/>
          </w:tcPr>
          <w:p w14:paraId="5E270729" w14:textId="501085A5"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S</w:t>
            </w:r>
            <w:r w:rsidR="00501D67" w:rsidRPr="006003DA">
              <w:rPr>
                <w:rFonts w:cs="TimesNewRoman"/>
                <w:szCs w:val="22"/>
              </w:rPr>
              <w:t>terile water for injection</w:t>
            </w:r>
          </w:p>
        </w:tc>
      </w:tr>
      <w:tr w:rsidR="00501D67" w:rsidRPr="003442FE" w14:paraId="272B718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66FC1F2" w14:textId="33E8FAD1" w:rsidR="00501D67" w:rsidRPr="006003DA" w:rsidRDefault="00501D67" w:rsidP="000A63AF">
            <w:pPr>
              <w:rPr>
                <w:rFonts w:cs="TimesNewRoman"/>
              </w:rPr>
            </w:pPr>
            <w:r w:rsidRPr="006003DA">
              <w:rPr>
                <w:rFonts w:cs="TimesNewRoman"/>
                <w:szCs w:val="22"/>
              </w:rPr>
              <w:t>TCM</w:t>
            </w:r>
          </w:p>
        </w:tc>
        <w:tc>
          <w:tcPr>
            <w:tcW w:w="6911" w:type="dxa"/>
          </w:tcPr>
          <w:p w14:paraId="18704C4A" w14:textId="43740BA6"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C</w:t>
            </w:r>
            <w:r w:rsidR="00501D67" w:rsidRPr="006003DA">
              <w:rPr>
                <w:rFonts w:cs="TimesNewRoman"/>
                <w:szCs w:val="22"/>
              </w:rPr>
              <w:t>entral memory T cell</w:t>
            </w:r>
          </w:p>
        </w:tc>
      </w:tr>
      <w:tr w:rsidR="00501D67" w:rsidRPr="003442FE" w14:paraId="1281ECB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11C5191C" w14:textId="55D0520F" w:rsidR="00501D67" w:rsidRPr="006003DA" w:rsidRDefault="00501D67" w:rsidP="000A63AF">
            <w:pPr>
              <w:rPr>
                <w:rFonts w:cs="TimesNewRoman"/>
              </w:rPr>
            </w:pPr>
            <w:r w:rsidRPr="006003DA">
              <w:rPr>
                <w:rFonts w:cs="TimesNewRoman"/>
                <w:szCs w:val="22"/>
              </w:rPr>
              <w:t>TCR</w:t>
            </w:r>
          </w:p>
        </w:tc>
        <w:tc>
          <w:tcPr>
            <w:tcW w:w="6911" w:type="dxa"/>
          </w:tcPr>
          <w:p w14:paraId="51610822" w14:textId="615E3557"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T cell receptor</w:t>
            </w:r>
          </w:p>
        </w:tc>
      </w:tr>
      <w:tr w:rsidR="00501D67" w:rsidRPr="003442FE" w14:paraId="2B18DE5D"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4C77E68" w14:textId="675F8077" w:rsidR="00501D67" w:rsidRPr="006003DA" w:rsidRDefault="00501D67" w:rsidP="000A63AF">
            <w:pPr>
              <w:rPr>
                <w:rFonts w:cs="TimesNewRoman"/>
              </w:rPr>
            </w:pPr>
            <w:r w:rsidRPr="006003DA">
              <w:rPr>
                <w:rFonts w:cs="TimesNewRoman"/>
                <w:szCs w:val="22"/>
              </w:rPr>
              <w:t>TEM</w:t>
            </w:r>
          </w:p>
        </w:tc>
        <w:tc>
          <w:tcPr>
            <w:tcW w:w="6911" w:type="dxa"/>
          </w:tcPr>
          <w:p w14:paraId="24494CED" w14:textId="5479C3E8"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ype of effector memory T cell</w:t>
            </w:r>
          </w:p>
        </w:tc>
      </w:tr>
      <w:tr w:rsidR="00501D67" w:rsidRPr="003442FE" w14:paraId="203601C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476DD483" w14:textId="55EFB0D3" w:rsidR="00501D67" w:rsidRPr="006003DA" w:rsidRDefault="00501D67" w:rsidP="000A63AF">
            <w:pPr>
              <w:rPr>
                <w:rFonts w:cs="TimesNewRoman"/>
              </w:rPr>
            </w:pPr>
            <w:r w:rsidRPr="006003DA">
              <w:rPr>
                <w:rFonts w:cs="TimesNewRoman"/>
                <w:szCs w:val="22"/>
              </w:rPr>
              <w:t>TKI</w:t>
            </w:r>
          </w:p>
        </w:tc>
        <w:tc>
          <w:tcPr>
            <w:tcW w:w="6911" w:type="dxa"/>
          </w:tcPr>
          <w:p w14:paraId="5B7E880B" w14:textId="170C4EFB"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yrosine kinase inhibitor</w:t>
            </w:r>
          </w:p>
        </w:tc>
      </w:tr>
      <w:tr w:rsidR="00501D67" w:rsidRPr="003442FE" w14:paraId="4516F35B"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92F2BC1" w14:textId="2F4FEFA8" w:rsidR="00501D67" w:rsidRPr="006003DA" w:rsidRDefault="00586C19" w:rsidP="000A63AF">
            <w:pPr>
              <w:rPr>
                <w:rFonts w:cs="TimesNewRoman"/>
              </w:rPr>
            </w:pPr>
            <w:r>
              <w:rPr>
                <w:rFonts w:cs="TimesNewRoman"/>
                <w:szCs w:val="22"/>
              </w:rPr>
              <w:t>TLS</w:t>
            </w:r>
          </w:p>
        </w:tc>
        <w:tc>
          <w:tcPr>
            <w:tcW w:w="6911" w:type="dxa"/>
          </w:tcPr>
          <w:p w14:paraId="71AE4195" w14:textId="0CAE456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umo</w:t>
            </w:r>
            <w:r>
              <w:rPr>
                <w:rFonts w:cs="TimesNewRoman"/>
                <w:szCs w:val="22"/>
              </w:rPr>
              <w:t>u</w:t>
            </w:r>
            <w:r w:rsidR="00501D67" w:rsidRPr="006003DA">
              <w:rPr>
                <w:rFonts w:cs="TimesNewRoman"/>
                <w:szCs w:val="22"/>
              </w:rPr>
              <w:t>r lysis syndrome</w:t>
            </w:r>
          </w:p>
        </w:tc>
      </w:tr>
      <w:tr w:rsidR="00501D67" w:rsidRPr="003442FE" w14:paraId="419BF1C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9A489E8" w14:textId="34250B50" w:rsidR="00501D67" w:rsidRPr="006003DA" w:rsidRDefault="00501D67" w:rsidP="000A63AF">
            <w:pPr>
              <w:rPr>
                <w:rFonts w:cs="TimesNewRoman"/>
              </w:rPr>
            </w:pPr>
            <w:r w:rsidRPr="006003DA">
              <w:rPr>
                <w:rFonts w:cs="TimesNewRoman"/>
                <w:szCs w:val="22"/>
              </w:rPr>
              <w:t>TNF</w:t>
            </w:r>
          </w:p>
        </w:tc>
        <w:tc>
          <w:tcPr>
            <w:tcW w:w="6911" w:type="dxa"/>
          </w:tcPr>
          <w:p w14:paraId="384B7388" w14:textId="0C2FCC51"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umo</w:t>
            </w:r>
            <w:r>
              <w:rPr>
                <w:rFonts w:cs="TimesNewRoman"/>
                <w:szCs w:val="22"/>
              </w:rPr>
              <w:t>u</w:t>
            </w:r>
            <w:r w:rsidR="00501D67" w:rsidRPr="006003DA">
              <w:rPr>
                <w:rFonts w:cs="TimesNewRoman"/>
                <w:szCs w:val="22"/>
              </w:rPr>
              <w:t>r necrosis factor</w:t>
            </w:r>
          </w:p>
        </w:tc>
      </w:tr>
      <w:tr w:rsidR="00501D67" w:rsidRPr="003442FE" w14:paraId="03BB9C89"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A60CDFC" w14:textId="17D8A906" w:rsidR="00501D67" w:rsidRPr="006003DA" w:rsidRDefault="00586C19" w:rsidP="000A63AF">
            <w:pPr>
              <w:rPr>
                <w:rFonts w:cs="TimesNewRoman"/>
              </w:rPr>
            </w:pPr>
            <w:r>
              <w:rPr>
                <w:rFonts w:cs="TimesNewRoman"/>
                <w:szCs w:val="22"/>
              </w:rPr>
              <w:t>TVCL</w:t>
            </w:r>
          </w:p>
        </w:tc>
        <w:tc>
          <w:tcPr>
            <w:tcW w:w="6911" w:type="dxa"/>
          </w:tcPr>
          <w:p w14:paraId="6ECB2E49" w14:textId="237E61CE"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T</w:t>
            </w:r>
            <w:r w:rsidR="00501D67" w:rsidRPr="006003DA">
              <w:rPr>
                <w:rFonts w:cs="TimesNewRoman"/>
                <w:szCs w:val="22"/>
              </w:rPr>
              <w:t>ypical value of systemic clearance</w:t>
            </w:r>
          </w:p>
        </w:tc>
      </w:tr>
      <w:tr w:rsidR="00501D67" w:rsidRPr="003442FE" w14:paraId="2908D458"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7B90765D" w14:textId="377AB28B" w:rsidR="00501D67" w:rsidRPr="006003DA" w:rsidRDefault="00586C19" w:rsidP="000A63AF">
            <w:pPr>
              <w:rPr>
                <w:rFonts w:cs="TimesNewRoman"/>
              </w:rPr>
            </w:pPr>
            <w:r>
              <w:rPr>
                <w:rFonts w:cs="TimesNewRoman"/>
                <w:szCs w:val="22"/>
              </w:rPr>
              <w:t>ULN</w:t>
            </w:r>
          </w:p>
        </w:tc>
        <w:tc>
          <w:tcPr>
            <w:tcW w:w="6911" w:type="dxa"/>
          </w:tcPr>
          <w:p w14:paraId="7019CE36" w14:textId="6E4B1947"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U</w:t>
            </w:r>
            <w:r w:rsidR="00501D67" w:rsidRPr="006003DA">
              <w:rPr>
                <w:rFonts w:cs="TimesNewRoman"/>
                <w:szCs w:val="22"/>
              </w:rPr>
              <w:t>pper limit of normal</w:t>
            </w:r>
          </w:p>
        </w:tc>
      </w:tr>
      <w:tr w:rsidR="00501D67" w:rsidRPr="003442FE" w14:paraId="4E5293EE"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ED25399" w14:textId="65F2CF0E" w:rsidR="00501D67" w:rsidRPr="006003DA" w:rsidRDefault="00586C19" w:rsidP="000A63AF">
            <w:pPr>
              <w:rPr>
                <w:rFonts w:cs="TimesNewRoman"/>
              </w:rPr>
            </w:pPr>
            <w:r>
              <w:rPr>
                <w:rFonts w:cs="TimesNewRoman"/>
                <w:szCs w:val="22"/>
              </w:rPr>
              <w:t>V</w:t>
            </w:r>
          </w:p>
        </w:tc>
        <w:tc>
          <w:tcPr>
            <w:tcW w:w="6911" w:type="dxa"/>
          </w:tcPr>
          <w:p w14:paraId="25DDF025" w14:textId="0B96C520"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V</w:t>
            </w:r>
            <w:r w:rsidR="00501D67" w:rsidRPr="006003DA">
              <w:rPr>
                <w:rFonts w:cs="TimesNewRoman"/>
                <w:szCs w:val="22"/>
              </w:rPr>
              <w:t>olume of distribution for the central compartment</w:t>
            </w:r>
          </w:p>
        </w:tc>
      </w:tr>
      <w:tr w:rsidR="00501D67" w:rsidRPr="003442FE" w14:paraId="27AD7BB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D305459" w14:textId="456F3E58" w:rsidR="00501D67" w:rsidRPr="006003DA" w:rsidRDefault="00501D67" w:rsidP="000A63AF">
            <w:pPr>
              <w:rPr>
                <w:rFonts w:cs="TimesNewRoman"/>
              </w:rPr>
            </w:pPr>
            <w:r w:rsidRPr="006003DA">
              <w:rPr>
                <w:rFonts w:cs="TimesNewRoman"/>
                <w:szCs w:val="22"/>
              </w:rPr>
              <w:t xml:space="preserve">Vz </w:t>
            </w:r>
          </w:p>
        </w:tc>
        <w:tc>
          <w:tcPr>
            <w:tcW w:w="6911" w:type="dxa"/>
          </w:tcPr>
          <w:p w14:paraId="3220997F" w14:textId="76C57FD9"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V</w:t>
            </w:r>
            <w:r w:rsidR="00501D67" w:rsidRPr="006003DA">
              <w:rPr>
                <w:rFonts w:cs="TimesNewRoman"/>
                <w:szCs w:val="22"/>
              </w:rPr>
              <w:t>olume of distribution</w:t>
            </w:r>
          </w:p>
        </w:tc>
      </w:tr>
      <w:tr w:rsidR="00501D67" w:rsidRPr="003442FE" w14:paraId="22BDA412"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2569298F" w14:textId="6DB60BB4" w:rsidR="00501D67" w:rsidRPr="006003DA" w:rsidRDefault="00501D67" w:rsidP="000A63AF">
            <w:pPr>
              <w:rPr>
                <w:rFonts w:cs="TimesNewRoman"/>
              </w:rPr>
            </w:pPr>
            <w:r w:rsidRPr="006003DA">
              <w:rPr>
                <w:rFonts w:cs="TimesNewRoman"/>
                <w:szCs w:val="22"/>
              </w:rPr>
              <w:t>WBC</w:t>
            </w:r>
          </w:p>
        </w:tc>
        <w:tc>
          <w:tcPr>
            <w:tcW w:w="6911" w:type="dxa"/>
          </w:tcPr>
          <w:p w14:paraId="4E6C1064" w14:textId="231A9A18"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W</w:t>
            </w:r>
            <w:r w:rsidR="00501D67" w:rsidRPr="006003DA">
              <w:rPr>
                <w:rFonts w:cs="TimesNewRoman"/>
                <w:szCs w:val="22"/>
              </w:rPr>
              <w:t>hite blood cell</w:t>
            </w:r>
          </w:p>
        </w:tc>
      </w:tr>
      <w:tr w:rsidR="00501D67" w:rsidRPr="003442FE" w14:paraId="7C94E9D3"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E010D6F" w14:textId="44D9AC5C" w:rsidR="00501D67" w:rsidRPr="006003DA" w:rsidRDefault="00501D67" w:rsidP="000A63AF">
            <w:pPr>
              <w:rPr>
                <w:rFonts w:cs="TimesNewRoman"/>
              </w:rPr>
            </w:pPr>
            <w:r w:rsidRPr="006003DA">
              <w:rPr>
                <w:rFonts w:cs="TimesNewRoman"/>
                <w:szCs w:val="22"/>
              </w:rPr>
              <w:t>WHO</w:t>
            </w:r>
          </w:p>
        </w:tc>
        <w:tc>
          <w:tcPr>
            <w:tcW w:w="6911" w:type="dxa"/>
          </w:tcPr>
          <w:p w14:paraId="496D2E45" w14:textId="310942D8"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World Health Organization</w:t>
            </w:r>
          </w:p>
        </w:tc>
      </w:tr>
      <w:tr w:rsidR="00501D67" w:rsidRPr="003442FE" w14:paraId="5FD328B6"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5F9F053B" w14:textId="69016FBF" w:rsidR="00501D67" w:rsidRPr="006003DA" w:rsidRDefault="00586C19" w:rsidP="000A63AF">
            <w:pPr>
              <w:rPr>
                <w:rFonts w:cs="TimesNewRoman"/>
              </w:rPr>
            </w:pPr>
            <w:r>
              <w:rPr>
                <w:rFonts w:cs="TimesNewRoman"/>
                <w:szCs w:val="22"/>
              </w:rPr>
              <w:t>θ</w:t>
            </w:r>
          </w:p>
        </w:tc>
        <w:tc>
          <w:tcPr>
            <w:tcW w:w="6911" w:type="dxa"/>
          </w:tcPr>
          <w:p w14:paraId="7298827F" w14:textId="6A884772" w:rsidR="00501D67" w:rsidRPr="006003DA" w:rsidRDefault="00501D67" w:rsidP="00396C92">
            <w:pPr>
              <w:cnfStyle w:val="000000000000" w:firstRow="0" w:lastRow="0" w:firstColumn="0" w:lastColumn="0" w:oddVBand="0" w:evenVBand="0" w:oddHBand="0" w:evenHBand="0" w:firstRowFirstColumn="0" w:firstRowLastColumn="0" w:lastRowFirstColumn="0" w:lastRowLastColumn="0"/>
              <w:rPr>
                <w:rFonts w:cs="TimesNewRoman"/>
              </w:rPr>
            </w:pPr>
            <w:r w:rsidRPr="006003DA">
              <w:rPr>
                <w:rFonts w:cs="TimesNewRoman"/>
                <w:szCs w:val="22"/>
              </w:rPr>
              <w:t>Theta typical value of a structural model parameter</w:t>
            </w:r>
          </w:p>
        </w:tc>
      </w:tr>
      <w:tr w:rsidR="00501D67" w:rsidRPr="003442FE" w14:paraId="366133FF"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34CDB8EA" w14:textId="782BE552" w:rsidR="00501D67" w:rsidRPr="006003DA" w:rsidRDefault="00586C19" w:rsidP="000A63AF">
            <w:pPr>
              <w:rPr>
                <w:rFonts w:cs="TimesNewRoman"/>
              </w:rPr>
            </w:pPr>
            <w:r>
              <w:rPr>
                <w:rFonts w:cs="TimesNewRoman"/>
                <w:szCs w:val="22"/>
              </w:rPr>
              <w:t>σ</w:t>
            </w:r>
            <w:r w:rsidR="00501D67" w:rsidRPr="006003DA">
              <w:rPr>
                <w:rFonts w:cs="TimesNewRoman"/>
                <w:szCs w:val="22"/>
              </w:rPr>
              <w:t>2 sigma2</w:t>
            </w:r>
          </w:p>
        </w:tc>
        <w:tc>
          <w:tcPr>
            <w:tcW w:w="6911" w:type="dxa"/>
          </w:tcPr>
          <w:p w14:paraId="533BC0D3" w14:textId="16C572CB"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V</w:t>
            </w:r>
            <w:r w:rsidR="00501D67" w:rsidRPr="006003DA">
              <w:rPr>
                <w:rFonts w:cs="TimesNewRoman"/>
                <w:szCs w:val="22"/>
              </w:rPr>
              <w:t>ariance of the residual error</w:t>
            </w:r>
          </w:p>
        </w:tc>
      </w:tr>
      <w:tr w:rsidR="00501D67" w:rsidRPr="003442FE" w14:paraId="25AC2A5C" w14:textId="77777777" w:rsidTr="00501D67">
        <w:tc>
          <w:tcPr>
            <w:cnfStyle w:val="001000000000" w:firstRow="0" w:lastRow="0" w:firstColumn="1" w:lastColumn="0" w:oddVBand="0" w:evenVBand="0" w:oddHBand="0" w:evenHBand="0" w:firstRowFirstColumn="0" w:firstRowLastColumn="0" w:lastRowFirstColumn="0" w:lastRowLastColumn="0"/>
            <w:tcW w:w="1890" w:type="dxa"/>
          </w:tcPr>
          <w:p w14:paraId="06861B45" w14:textId="2D2A130D" w:rsidR="00501D67" w:rsidRPr="006003DA" w:rsidRDefault="00586C19" w:rsidP="000A63AF">
            <w:pPr>
              <w:rPr>
                <w:rFonts w:cs="TimesNewRoman"/>
              </w:rPr>
            </w:pPr>
            <w:r>
              <w:rPr>
                <w:rFonts w:cs="TimesNewRoman"/>
                <w:szCs w:val="22"/>
              </w:rPr>
              <w:t>ω2 omega2</w:t>
            </w:r>
          </w:p>
        </w:tc>
        <w:tc>
          <w:tcPr>
            <w:tcW w:w="6911" w:type="dxa"/>
          </w:tcPr>
          <w:p w14:paraId="61D0E348" w14:textId="17C03C65" w:rsidR="00501D67" w:rsidRPr="006003DA" w:rsidRDefault="00A923F9" w:rsidP="00396C92">
            <w:pPr>
              <w:cnfStyle w:val="000000000000" w:firstRow="0" w:lastRow="0" w:firstColumn="0" w:lastColumn="0" w:oddVBand="0" w:evenVBand="0" w:oddHBand="0" w:evenHBand="0" w:firstRowFirstColumn="0" w:firstRowLastColumn="0" w:lastRowFirstColumn="0" w:lastRowLastColumn="0"/>
              <w:rPr>
                <w:rFonts w:cs="TimesNewRoman"/>
              </w:rPr>
            </w:pPr>
            <w:r>
              <w:rPr>
                <w:rFonts w:cs="TimesNewRoman"/>
                <w:szCs w:val="22"/>
              </w:rPr>
              <w:t>I</w:t>
            </w:r>
            <w:r w:rsidR="00501D67" w:rsidRPr="006003DA">
              <w:rPr>
                <w:rFonts w:cs="TimesNewRoman"/>
                <w:szCs w:val="22"/>
              </w:rPr>
              <w:t>nter-individual variance</w:t>
            </w:r>
          </w:p>
        </w:tc>
      </w:tr>
    </w:tbl>
    <w:p w14:paraId="37173A81" w14:textId="77777777" w:rsidR="0094614A" w:rsidRDefault="0094614A" w:rsidP="0043797D">
      <w:pPr>
        <w:pStyle w:val="Heading2"/>
        <w:pageBreakBefore/>
        <w:rPr>
          <w:lang w:eastAsia="en-AU"/>
        </w:rPr>
      </w:pPr>
      <w:bookmarkStart w:id="8" w:name="_Toc505762957"/>
      <w:bookmarkStart w:id="9" w:name="_Toc351718900"/>
      <w:bookmarkStart w:id="10" w:name="_Toc355338635"/>
      <w:r w:rsidRPr="003442FE">
        <w:rPr>
          <w:lang w:eastAsia="en-AU"/>
        </w:rPr>
        <w:t>Introduction</w:t>
      </w:r>
      <w:bookmarkEnd w:id="8"/>
    </w:p>
    <w:p w14:paraId="112C4471" w14:textId="77777777" w:rsidR="00425634" w:rsidRDefault="00425634" w:rsidP="00425634">
      <w:pPr>
        <w:pStyle w:val="Heading3"/>
        <w:rPr>
          <w:rFonts w:eastAsia="Cambria"/>
        </w:rPr>
      </w:pPr>
      <w:bookmarkStart w:id="11" w:name="_Toc272414596"/>
      <w:bookmarkStart w:id="12" w:name="_Toc290846218"/>
      <w:bookmarkStart w:id="13" w:name="_Toc457473392"/>
      <w:bookmarkStart w:id="14" w:name="_Toc505762958"/>
      <w:r w:rsidRPr="003442FE">
        <w:rPr>
          <w:rFonts w:eastAsia="Cambria"/>
        </w:rPr>
        <w:t>Drug class and therapeutic indication</w:t>
      </w:r>
      <w:bookmarkEnd w:id="11"/>
      <w:bookmarkEnd w:id="12"/>
      <w:bookmarkEnd w:id="13"/>
      <w:bookmarkEnd w:id="14"/>
    </w:p>
    <w:p w14:paraId="18A5CAB4" w14:textId="541F9564" w:rsidR="007369DC" w:rsidRPr="007369DC" w:rsidRDefault="007369DC" w:rsidP="007369DC">
      <w:pPr>
        <w:rPr>
          <w:lang w:eastAsia="ja-JP"/>
        </w:rPr>
      </w:pPr>
      <w:r w:rsidRPr="007369DC">
        <w:rPr>
          <w:lang w:eastAsia="ja-JP"/>
        </w:rPr>
        <w:t>This is a full submission to r</w:t>
      </w:r>
      <w:r>
        <w:rPr>
          <w:lang w:eastAsia="ja-JP"/>
        </w:rPr>
        <w:t xml:space="preserve">egister the new chemical entity, </w:t>
      </w:r>
      <w:r w:rsidRPr="007369DC">
        <w:rPr>
          <w:lang w:eastAsia="ja-JP"/>
        </w:rPr>
        <w:t>blinatumomab</w:t>
      </w:r>
      <w:r w:rsidR="00586C19">
        <w:rPr>
          <w:lang w:eastAsia="ja-JP"/>
        </w:rPr>
        <w:t xml:space="preserve"> (rch)</w:t>
      </w:r>
    </w:p>
    <w:p w14:paraId="2B5E177C" w14:textId="72B2980E" w:rsidR="007369DC" w:rsidRPr="007369DC" w:rsidRDefault="007369DC" w:rsidP="007369DC">
      <w:pPr>
        <w:rPr>
          <w:lang w:eastAsia="ja-JP"/>
        </w:rPr>
      </w:pPr>
      <w:r>
        <w:rPr>
          <w:lang w:eastAsia="ja-JP"/>
        </w:rPr>
        <w:t xml:space="preserve">Blinatumomab is a novel single </w:t>
      </w:r>
      <w:r w:rsidRPr="007369DC">
        <w:rPr>
          <w:lang w:eastAsia="ja-JP"/>
        </w:rPr>
        <w:t xml:space="preserve">chain antibody construct of the bispecific </w:t>
      </w:r>
      <w:r w:rsidR="00586C19">
        <w:rPr>
          <w:lang w:eastAsia="ja-JP"/>
        </w:rPr>
        <w:t>T cell</w:t>
      </w:r>
      <w:r w:rsidRPr="007369DC">
        <w:rPr>
          <w:lang w:eastAsia="ja-JP"/>
        </w:rPr>
        <w:t xml:space="preserve"> engager (BiTE) class that selectively binds with high affinity to CD19 (expressed on lymphocytes of B-lineage origin) and CD3 (expressed on T lymphocytes).</w:t>
      </w:r>
    </w:p>
    <w:p w14:paraId="6735F42C" w14:textId="77777777" w:rsidR="007369DC" w:rsidRDefault="007369DC" w:rsidP="007369DC">
      <w:pPr>
        <w:rPr>
          <w:lang w:eastAsia="ja-JP"/>
        </w:rPr>
      </w:pPr>
      <w:r w:rsidRPr="007369DC">
        <w:rPr>
          <w:lang w:eastAsia="ja-JP"/>
        </w:rPr>
        <w:t>The proposed indication is</w:t>
      </w:r>
      <w:r>
        <w:rPr>
          <w:lang w:eastAsia="ja-JP"/>
        </w:rPr>
        <w:t>:</w:t>
      </w:r>
    </w:p>
    <w:p w14:paraId="055B3FA8" w14:textId="5EEA62F7" w:rsidR="007369DC" w:rsidRPr="007369DC" w:rsidRDefault="007369DC" w:rsidP="007369DC">
      <w:pPr>
        <w:ind w:left="720"/>
        <w:rPr>
          <w:i/>
          <w:lang w:eastAsia="ja-JP"/>
        </w:rPr>
      </w:pPr>
      <w:r w:rsidRPr="007369DC">
        <w:rPr>
          <w:i/>
          <w:lang w:eastAsia="ja-JP"/>
        </w:rPr>
        <w:t>“B</w:t>
      </w:r>
      <w:r>
        <w:rPr>
          <w:i/>
          <w:lang w:eastAsia="ja-JP"/>
        </w:rPr>
        <w:t>lincyto</w:t>
      </w:r>
      <w:r w:rsidRPr="007369DC">
        <w:rPr>
          <w:i/>
          <w:lang w:eastAsia="ja-JP"/>
        </w:rPr>
        <w:t xml:space="preserve"> is indicated for the treatment of adults with Philadelphia chromosome negative relapsed or refractory B-precursor acute lymphoblastic leukaemia (ALL)’.</w:t>
      </w:r>
    </w:p>
    <w:p w14:paraId="64DDD007" w14:textId="6E00FC9A" w:rsidR="007369DC" w:rsidRDefault="00FF7B45" w:rsidP="007369DC">
      <w:pPr>
        <w:pStyle w:val="Heading3"/>
        <w:rPr>
          <w:rFonts w:eastAsia="Cambria"/>
        </w:rPr>
      </w:pPr>
      <w:bookmarkStart w:id="15" w:name="_Toc272414597"/>
      <w:bookmarkStart w:id="16" w:name="_Toc290846219"/>
      <w:bookmarkStart w:id="17" w:name="_Toc457473393"/>
      <w:bookmarkStart w:id="18" w:name="_Toc505762959"/>
      <w:r w:rsidRPr="003442FE">
        <w:rPr>
          <w:rFonts w:eastAsia="Cambria"/>
        </w:rPr>
        <w:t>Dosage forms and strengths</w:t>
      </w:r>
      <w:bookmarkEnd w:id="15"/>
      <w:bookmarkEnd w:id="16"/>
      <w:bookmarkEnd w:id="17"/>
      <w:bookmarkEnd w:id="18"/>
    </w:p>
    <w:p w14:paraId="751AA033" w14:textId="5289AC3C" w:rsidR="007369DC" w:rsidRPr="007369DC" w:rsidRDefault="007369DC" w:rsidP="007369DC">
      <w:pPr>
        <w:rPr>
          <w:lang w:eastAsia="ja-JP"/>
        </w:rPr>
      </w:pPr>
      <w:r w:rsidRPr="007369DC">
        <w:rPr>
          <w:lang w:eastAsia="ja-JP"/>
        </w:rPr>
        <w:t>The submission proposes registration of the following dosage forms and stren</w:t>
      </w:r>
      <w:r w:rsidR="006B3B14">
        <w:rPr>
          <w:lang w:eastAsia="ja-JP"/>
        </w:rPr>
        <w:t>gths:</w:t>
      </w:r>
    </w:p>
    <w:p w14:paraId="1980C961" w14:textId="77777777" w:rsidR="007369DC" w:rsidRPr="007369DC" w:rsidRDefault="007369DC" w:rsidP="007369DC">
      <w:pPr>
        <w:rPr>
          <w:lang w:eastAsia="ja-JP"/>
        </w:rPr>
      </w:pPr>
      <w:r w:rsidRPr="007369DC">
        <w:rPr>
          <w:lang w:eastAsia="ja-JP"/>
        </w:rPr>
        <w:t>A composite pack which contains:</w:t>
      </w:r>
    </w:p>
    <w:p w14:paraId="7CBA43A9" w14:textId="53557810" w:rsidR="007369DC" w:rsidRPr="007369DC" w:rsidRDefault="007369DC" w:rsidP="007369DC">
      <w:pPr>
        <w:pStyle w:val="ListBullet"/>
        <w:rPr>
          <w:lang w:eastAsia="ja-JP"/>
        </w:rPr>
      </w:pPr>
      <w:r>
        <w:rPr>
          <w:lang w:eastAsia="ja-JP"/>
        </w:rPr>
        <w:t xml:space="preserve">One single </w:t>
      </w:r>
      <w:r w:rsidRPr="007369DC">
        <w:rPr>
          <w:lang w:eastAsia="ja-JP"/>
        </w:rPr>
        <w:t xml:space="preserve">use vial containing 38.5 mcg of blinatumomab, citric acid monohydrate, </w:t>
      </w:r>
      <w:proofErr w:type="gramStart"/>
      <w:r w:rsidRPr="007369DC">
        <w:rPr>
          <w:lang w:eastAsia="ja-JP"/>
        </w:rPr>
        <w:t>trehalose</w:t>
      </w:r>
      <w:proofErr w:type="gramEnd"/>
      <w:r w:rsidRPr="007369DC">
        <w:rPr>
          <w:lang w:eastAsia="ja-JP"/>
        </w:rPr>
        <w:t xml:space="preserve"> dehydrate, lysine hydrochloride, polysorbate 80 and sodium hydroxide lyophil</w:t>
      </w:r>
      <w:r w:rsidR="00D50F7E">
        <w:rPr>
          <w:lang w:eastAsia="ja-JP"/>
        </w:rPr>
        <w:t>ised</w:t>
      </w:r>
      <w:r w:rsidRPr="007369DC">
        <w:rPr>
          <w:lang w:eastAsia="ja-JP"/>
        </w:rPr>
        <w:t xml:space="preserve"> powder for reconstitution with 3 mL of preservative</w:t>
      </w:r>
      <w:r w:rsidR="006A3B04">
        <w:rPr>
          <w:lang w:eastAsia="ja-JP"/>
        </w:rPr>
        <w:t xml:space="preserve"> free</w:t>
      </w:r>
      <w:r w:rsidRPr="007369DC">
        <w:rPr>
          <w:lang w:eastAsia="ja-JP"/>
        </w:rPr>
        <w:t xml:space="preserve"> sterile water for injections</w:t>
      </w:r>
      <w:r>
        <w:rPr>
          <w:lang w:eastAsia="ja-JP"/>
        </w:rPr>
        <w:t>.</w:t>
      </w:r>
    </w:p>
    <w:p w14:paraId="6C041EB3" w14:textId="3ABAACE8" w:rsidR="007369DC" w:rsidRPr="007369DC" w:rsidRDefault="007369DC" w:rsidP="007369DC">
      <w:pPr>
        <w:pStyle w:val="ListBullet"/>
        <w:rPr>
          <w:lang w:eastAsia="ja-JP"/>
        </w:rPr>
      </w:pPr>
      <w:r>
        <w:rPr>
          <w:lang w:eastAsia="ja-JP"/>
        </w:rPr>
        <w:t xml:space="preserve">One single </w:t>
      </w:r>
      <w:r w:rsidRPr="007369DC">
        <w:rPr>
          <w:lang w:eastAsia="ja-JP"/>
        </w:rPr>
        <w:t>use vial of intravenous solution stabiliser containing citric acid monohydrate, lysine hydrochloride, polysorbate 80, sodium hydroxide (for pH adjustment) and water for injections.</w:t>
      </w:r>
    </w:p>
    <w:p w14:paraId="439B0B8C" w14:textId="77777777" w:rsidR="00586F98" w:rsidRPr="003442FE" w:rsidRDefault="00586F98" w:rsidP="006B4C50">
      <w:pPr>
        <w:pStyle w:val="Heading2"/>
      </w:pPr>
      <w:bookmarkStart w:id="19" w:name="_Toc505762960"/>
      <w:r w:rsidRPr="003442FE">
        <w:t>Clinical rationale</w:t>
      </w:r>
      <w:bookmarkEnd w:id="19"/>
    </w:p>
    <w:p w14:paraId="3D56E51B" w14:textId="77777777" w:rsidR="004846EE" w:rsidRDefault="004846EE" w:rsidP="004846EE">
      <w:pPr>
        <w:pStyle w:val="Heading3"/>
        <w:rPr>
          <w:rFonts w:eastAsia="Cambria"/>
        </w:rPr>
      </w:pPr>
      <w:bookmarkStart w:id="20" w:name="_Toc457473406"/>
      <w:bookmarkStart w:id="21" w:name="_Toc505762961"/>
      <w:r w:rsidRPr="004846EE">
        <w:rPr>
          <w:rFonts w:eastAsia="Cambria"/>
        </w:rPr>
        <w:t>Clinical rationale</w:t>
      </w:r>
      <w:bookmarkEnd w:id="20"/>
      <w:bookmarkEnd w:id="21"/>
    </w:p>
    <w:p w14:paraId="4F3E9F9B" w14:textId="314D1280" w:rsidR="00B62C02" w:rsidRPr="00B62C02" w:rsidRDefault="00B62C02" w:rsidP="00B62C02">
      <w:pPr>
        <w:rPr>
          <w:lang w:eastAsia="ja-JP"/>
        </w:rPr>
      </w:pPr>
      <w:r w:rsidRPr="00B62C02">
        <w:rPr>
          <w:lang w:eastAsia="ja-JP"/>
        </w:rPr>
        <w:t>Adult Philadelphia chromosome-negative relapsed or refractory B-precursor acute lymphoblastic leukaemia (ALL) are aggressive leukaemias that carry very poor prognoses, with median overall survivals reported to be 3 to 5 months with current chemotherapy treatments. Thus</w:t>
      </w:r>
      <w:r w:rsidR="00000368">
        <w:rPr>
          <w:lang w:eastAsia="ja-JP"/>
        </w:rPr>
        <w:t>,</w:t>
      </w:r>
      <w:r w:rsidRPr="00B62C02">
        <w:rPr>
          <w:lang w:eastAsia="ja-JP"/>
        </w:rPr>
        <w:t xml:space="preserve"> refractory or relapsed and </w:t>
      </w:r>
      <w:r w:rsidR="00803B89">
        <w:rPr>
          <w:lang w:eastAsia="ja-JP"/>
        </w:rPr>
        <w:t xml:space="preserve">MRD </w:t>
      </w:r>
      <w:r w:rsidRPr="00B62C02">
        <w:rPr>
          <w:lang w:eastAsia="ja-JP"/>
        </w:rPr>
        <w:t>positive ALL remains an unsolved therapeutic problem, for which therapies with an alternative mechanism of action are needed.</w:t>
      </w:r>
    </w:p>
    <w:p w14:paraId="307DEA2E" w14:textId="77777777" w:rsidR="00B62C02" w:rsidRPr="00B62C02" w:rsidRDefault="00B62C02" w:rsidP="00B62C02">
      <w:pPr>
        <w:rPr>
          <w:lang w:eastAsia="ja-JP"/>
        </w:rPr>
      </w:pPr>
      <w:r w:rsidRPr="00B62C02">
        <w:rPr>
          <w:lang w:eastAsia="ja-JP"/>
        </w:rPr>
        <w:t>When patients relapse, the response rate is low, and if a CR is obtained, it is generally of very short duration. Current treatment options are limited, the most common including different combinations of multi-drug chemotherapy regimens, with the goal of inducing remission to allow allogeneic haematopoietic stem cell transplantation (HSCT; currently the only potentially curative option), or to obtain long-term remission if allogeneic HSCT is not possible. The outcome of adult ALL, regardless of age or treatment, is extremely poor. All treatment approaches are based on small studies with complete remission rates of 25% to 50% that are very short. The poor outcome of relapsed ALL is highlighted in children by the fact that in the last 20 years, no study was able to show an improvement in all relapsed risk groups.</w:t>
      </w:r>
    </w:p>
    <w:p w14:paraId="25191B72" w14:textId="7B51515B" w:rsidR="00B62C02" w:rsidRDefault="00B62C02" w:rsidP="00B62C02">
      <w:pPr>
        <w:rPr>
          <w:lang w:eastAsia="ja-JP"/>
        </w:rPr>
      </w:pPr>
      <w:r w:rsidRPr="00B62C02">
        <w:rPr>
          <w:lang w:eastAsia="ja-JP"/>
        </w:rPr>
        <w:t xml:space="preserve">Consequently, most new agents will be first used in the relapsed setting. Blinatumomab is a single-chain antibody with dual specificity against CD3 and CD19 (bispecific </w:t>
      </w:r>
      <w:r w:rsidR="00586C19">
        <w:rPr>
          <w:lang w:eastAsia="ja-JP"/>
        </w:rPr>
        <w:t>T cell</w:t>
      </w:r>
      <w:r w:rsidRPr="00B62C02">
        <w:rPr>
          <w:lang w:eastAsia="ja-JP"/>
        </w:rPr>
        <w:t xml:space="preserve"> engaging or BiTE antibody), which brings normal cytotoxic T cells into close proximity with normal and malignant CD19-positive B cells. Conventional monoclonal antibodies, which lack the dual specificity of BiTE antibodies, do not draw T cells and B-ALL cells together for the same degree of potent </w:t>
      </w:r>
      <w:r w:rsidR="00A972DD" w:rsidRPr="00B62C02">
        <w:rPr>
          <w:lang w:eastAsia="ja-JP"/>
        </w:rPr>
        <w:t>tumour</w:t>
      </w:r>
      <w:r w:rsidRPr="00B62C02">
        <w:rPr>
          <w:lang w:eastAsia="ja-JP"/>
        </w:rPr>
        <w:t>-cell killing. The proposed use of blinatumomab is as a targeted therapy option for relapsed or refractory Philadelphia chromosome negative ALL, with the aim to achieve a second CR and enable a prompt allogeneic HSCT with any available suitable donor.</w:t>
      </w:r>
    </w:p>
    <w:p w14:paraId="474CB9C1" w14:textId="77777777" w:rsidR="00B62C02" w:rsidRPr="00B62C02" w:rsidRDefault="00B62C02" w:rsidP="00B62C02">
      <w:pPr>
        <w:pStyle w:val="Heading3"/>
        <w:rPr>
          <w:rFonts w:eastAsia="Cambria"/>
        </w:rPr>
      </w:pPr>
      <w:bookmarkStart w:id="22" w:name="_Toc272414603"/>
      <w:bookmarkStart w:id="23" w:name="_Toc290846225"/>
      <w:bookmarkStart w:id="24" w:name="_Toc292015551"/>
      <w:bookmarkStart w:id="25" w:name="_Toc505762962"/>
      <w:r w:rsidRPr="00B62C02">
        <w:rPr>
          <w:rFonts w:eastAsia="Cambria"/>
        </w:rPr>
        <w:t>Formulation development</w:t>
      </w:r>
      <w:bookmarkEnd w:id="22"/>
      <w:bookmarkEnd w:id="23"/>
      <w:bookmarkEnd w:id="24"/>
      <w:bookmarkEnd w:id="25"/>
    </w:p>
    <w:p w14:paraId="657F0417" w14:textId="00EBC407" w:rsidR="00B62C02" w:rsidRPr="00B62C02" w:rsidRDefault="00B62C02" w:rsidP="00B62C02">
      <w:pPr>
        <w:rPr>
          <w:lang w:eastAsia="ja-JP"/>
        </w:rPr>
      </w:pPr>
      <w:r w:rsidRPr="00B62C02">
        <w:rPr>
          <w:lang w:eastAsia="ja-JP"/>
        </w:rPr>
        <w:t xml:space="preserve">A total of </w:t>
      </w:r>
      <w:r w:rsidR="00423768">
        <w:rPr>
          <w:lang w:eastAsia="ja-JP"/>
        </w:rPr>
        <w:t>2</w:t>
      </w:r>
      <w:r w:rsidRPr="00B62C02">
        <w:rPr>
          <w:lang w:eastAsia="ja-JP"/>
        </w:rPr>
        <w:t xml:space="preserve"> drug product formulations have been used in the context of the blinatumomab clinical program and the </w:t>
      </w:r>
      <w:r w:rsidR="00423768">
        <w:rPr>
          <w:lang w:eastAsia="ja-JP"/>
        </w:rPr>
        <w:t>6</w:t>
      </w:r>
      <w:r w:rsidRPr="00B62C02">
        <w:rPr>
          <w:lang w:eastAsia="ja-JP"/>
        </w:rPr>
        <w:t xml:space="preserve"> drug substance manufacturing processes.</w:t>
      </w:r>
    </w:p>
    <w:p w14:paraId="54CCE489" w14:textId="4FB4A1DD" w:rsidR="00B62C02" w:rsidRPr="00B62C02" w:rsidRDefault="00B62C02" w:rsidP="009823EA">
      <w:pPr>
        <w:pStyle w:val="ListBullet"/>
        <w:rPr>
          <w:lang w:eastAsia="ja-JP"/>
        </w:rPr>
      </w:pPr>
      <w:r w:rsidRPr="004E73A0">
        <w:rPr>
          <w:bCs/>
          <w:lang w:eastAsia="ja-JP"/>
        </w:rPr>
        <w:t>Process 1 and Process 2:</w:t>
      </w:r>
      <w:r w:rsidRPr="00B62C02">
        <w:rPr>
          <w:lang w:eastAsia="ja-JP"/>
        </w:rPr>
        <w:t xml:space="preserve"> The drug product formulation used in early clinical trials was provided as a liquid formulation containing 1</w:t>
      </w:r>
      <w:r w:rsidR="00375CAE">
        <w:rPr>
          <w:lang w:eastAsia="ja-JP"/>
        </w:rPr>
        <w:t xml:space="preserve"> </w:t>
      </w:r>
      <w:r w:rsidR="0018721C">
        <w:rPr>
          <w:lang w:eastAsia="ja-JP"/>
        </w:rPr>
        <w:t>µg</w:t>
      </w:r>
      <w:r w:rsidRPr="00B62C02">
        <w:rPr>
          <w:lang w:eastAsia="ja-JP"/>
        </w:rPr>
        <w:t>/mL blinatumomab in phosphate buffered saline (PBS), supplemented with 0.1% human serum albumin (HSA).</w:t>
      </w:r>
    </w:p>
    <w:p w14:paraId="5368311D" w14:textId="3A670537" w:rsidR="00B62C02" w:rsidRPr="00B62C02" w:rsidRDefault="00B62C02" w:rsidP="009823EA">
      <w:pPr>
        <w:pStyle w:val="ListBullet"/>
        <w:rPr>
          <w:lang w:eastAsia="ja-JP"/>
        </w:rPr>
      </w:pPr>
      <w:r w:rsidRPr="00070E8B">
        <w:rPr>
          <w:bCs/>
          <w:lang w:eastAsia="ja-JP"/>
        </w:rPr>
        <w:t>Process 3 to Commercial Process</w:t>
      </w:r>
      <w:r w:rsidRPr="00B62C02">
        <w:rPr>
          <w:b/>
          <w:bCs/>
          <w:lang w:eastAsia="ja-JP"/>
        </w:rPr>
        <w:t>:</w:t>
      </w:r>
      <w:r w:rsidRPr="00B62C02">
        <w:rPr>
          <w:lang w:eastAsia="ja-JP"/>
        </w:rPr>
        <w:t xml:space="preserve"> A single major formulation change was implemented beginning with Process 3. This formulation was selected for both drug substance and drug product and was used for most of the </w:t>
      </w:r>
      <w:r w:rsidR="0018721C">
        <w:rPr>
          <w:lang w:eastAsia="ja-JP"/>
        </w:rPr>
        <w:t>Phase II</w:t>
      </w:r>
      <w:r w:rsidRPr="00B62C02">
        <w:rPr>
          <w:lang w:eastAsia="ja-JP"/>
        </w:rPr>
        <w:t xml:space="preserve"> clinical trials and the ongoing </w:t>
      </w:r>
      <w:r w:rsidR="0018721C">
        <w:rPr>
          <w:lang w:eastAsia="ja-JP"/>
        </w:rPr>
        <w:t>Phase III</w:t>
      </w:r>
      <w:r w:rsidRPr="00B62C02">
        <w:rPr>
          <w:lang w:eastAsia="ja-JP"/>
        </w:rPr>
        <w:t xml:space="preserve"> clinical trial.</w:t>
      </w:r>
    </w:p>
    <w:p w14:paraId="5F30FB1A" w14:textId="77777777" w:rsidR="00B62C02" w:rsidRPr="00B62C02" w:rsidRDefault="00B62C02" w:rsidP="00B62C02">
      <w:pPr>
        <w:rPr>
          <w:lang w:eastAsia="ja-JP"/>
        </w:rPr>
      </w:pPr>
      <w:r w:rsidRPr="00B62C02">
        <w:rPr>
          <w:lang w:eastAsia="ja-JP"/>
        </w:rPr>
        <w:t>Formulation development initiated with Process 3 was designed to:</w:t>
      </w:r>
    </w:p>
    <w:p w14:paraId="751DFEEA" w14:textId="5C7ABBD7" w:rsidR="00B62C02" w:rsidRPr="00B62C02" w:rsidRDefault="00B62C02" w:rsidP="00070E8B">
      <w:pPr>
        <w:pStyle w:val="ListBullet"/>
        <w:rPr>
          <w:lang w:eastAsia="ja-JP"/>
        </w:rPr>
      </w:pPr>
      <w:r w:rsidRPr="00B62C02">
        <w:rPr>
          <w:lang w:eastAsia="ja-JP"/>
        </w:rPr>
        <w:t>Increase the blinatumomab concentration to 55</w:t>
      </w:r>
      <w:r w:rsidR="00375CAE">
        <w:rPr>
          <w:lang w:eastAsia="ja-JP"/>
        </w:rPr>
        <w:t xml:space="preserve"> </w:t>
      </w:r>
      <w:r w:rsidR="0018721C">
        <w:rPr>
          <w:lang w:eastAsia="ja-JP"/>
        </w:rPr>
        <w:t>µg</w:t>
      </w:r>
      <w:r w:rsidRPr="00B62C02">
        <w:rPr>
          <w:lang w:eastAsia="ja-JP"/>
        </w:rPr>
        <w:t>/mL</w:t>
      </w:r>
    </w:p>
    <w:p w14:paraId="1AC95B7C" w14:textId="77777777" w:rsidR="00B62C02" w:rsidRPr="00B62C02" w:rsidRDefault="00B62C02" w:rsidP="00070E8B">
      <w:pPr>
        <w:pStyle w:val="ListBullet"/>
        <w:rPr>
          <w:lang w:eastAsia="ja-JP"/>
        </w:rPr>
      </w:pPr>
      <w:r w:rsidRPr="00B62C02">
        <w:rPr>
          <w:lang w:eastAsia="ja-JP"/>
        </w:rPr>
        <w:t>Remove HSA</w:t>
      </w:r>
    </w:p>
    <w:p w14:paraId="39C75CEB" w14:textId="77777777" w:rsidR="00B62C02" w:rsidRPr="00B62C02" w:rsidRDefault="00B62C02" w:rsidP="00070E8B">
      <w:pPr>
        <w:pStyle w:val="ListBullet"/>
        <w:rPr>
          <w:lang w:eastAsia="ja-JP"/>
        </w:rPr>
      </w:pPr>
      <w:r w:rsidRPr="00B62C02">
        <w:rPr>
          <w:lang w:eastAsia="ja-JP"/>
        </w:rPr>
        <w:t>Improve the blinatumomab stability and prevent adsorption to surfaces</w:t>
      </w:r>
    </w:p>
    <w:p w14:paraId="3044780B" w14:textId="29F73AA6" w:rsidR="00B62C02" w:rsidRPr="00B62C02" w:rsidRDefault="00B62C02" w:rsidP="00070E8B">
      <w:pPr>
        <w:pStyle w:val="ListBullet"/>
        <w:rPr>
          <w:lang w:eastAsia="ja-JP"/>
        </w:rPr>
      </w:pPr>
      <w:r w:rsidRPr="00B62C02">
        <w:rPr>
          <w:lang w:eastAsia="ja-JP"/>
        </w:rPr>
        <w:t>Support a lyophil</w:t>
      </w:r>
      <w:r w:rsidR="00D50F7E">
        <w:rPr>
          <w:lang w:eastAsia="ja-JP"/>
        </w:rPr>
        <w:t>ised</w:t>
      </w:r>
      <w:r w:rsidRPr="00B62C02">
        <w:rPr>
          <w:lang w:eastAsia="ja-JP"/>
        </w:rPr>
        <w:t xml:space="preserve"> formulation with acceptable stability when stored at 2°C to 8°C and after reconstitution</w:t>
      </w:r>
    </w:p>
    <w:p w14:paraId="49A003D7" w14:textId="77777777" w:rsidR="00762291" w:rsidRDefault="00762291" w:rsidP="00DB4AD4">
      <w:pPr>
        <w:pStyle w:val="Heading3"/>
        <w:rPr>
          <w:rFonts w:eastAsia="Cambria"/>
        </w:rPr>
      </w:pPr>
      <w:bookmarkStart w:id="26" w:name="_Toc505762963"/>
      <w:r w:rsidRPr="00762291">
        <w:rPr>
          <w:rFonts w:eastAsia="Cambria"/>
        </w:rPr>
        <w:t>Guidance</w:t>
      </w:r>
      <w:bookmarkEnd w:id="26"/>
    </w:p>
    <w:p w14:paraId="5959F621" w14:textId="77777777" w:rsidR="00B62C02" w:rsidRPr="00B62C02" w:rsidRDefault="00B62C02" w:rsidP="00B62C02">
      <w:pPr>
        <w:rPr>
          <w:lang w:eastAsia="ja-JP"/>
        </w:rPr>
      </w:pPr>
      <w:r w:rsidRPr="00B62C02">
        <w:rPr>
          <w:lang w:eastAsia="ja-JP"/>
        </w:rPr>
        <w:t>TGA has adopted the following EU guidelines relevant to this submission:</w:t>
      </w:r>
    </w:p>
    <w:p w14:paraId="6B443FEE" w14:textId="62D78FF9" w:rsidR="00B62C02" w:rsidRPr="00B62C02" w:rsidRDefault="00B62C02" w:rsidP="00070E8B">
      <w:pPr>
        <w:pStyle w:val="ListBullet"/>
        <w:rPr>
          <w:lang w:eastAsia="ja-JP"/>
        </w:rPr>
      </w:pPr>
      <w:r w:rsidRPr="00B62C02">
        <w:rPr>
          <w:lang w:eastAsia="ja-JP"/>
        </w:rPr>
        <w:t>EMA/CHMP/205/95/Rev.4 Guideline on the evaluation of anticancer medicinal products in man Replaces: CPMP/EWP/205/95/Rev.3/Corr (Adopted</w:t>
      </w:r>
      <w:r w:rsidR="00070E8B">
        <w:rPr>
          <w:lang w:eastAsia="ja-JP"/>
        </w:rPr>
        <w:t xml:space="preserve"> by TGA June 2006) Effective: 1 April </w:t>
      </w:r>
      <w:r w:rsidRPr="00B62C02">
        <w:rPr>
          <w:lang w:eastAsia="ja-JP"/>
        </w:rPr>
        <w:t>2014</w:t>
      </w:r>
    </w:p>
    <w:p w14:paraId="0A722DF6" w14:textId="4B3308A5" w:rsidR="00B62C02" w:rsidRPr="00B62C02" w:rsidRDefault="00B62C02" w:rsidP="00070E8B">
      <w:pPr>
        <w:pStyle w:val="ListBullet"/>
        <w:rPr>
          <w:lang w:eastAsia="ja-JP"/>
        </w:rPr>
      </w:pPr>
      <w:r w:rsidRPr="00B62C02">
        <w:rPr>
          <w:lang w:eastAsia="ja-JP"/>
        </w:rPr>
        <w:t xml:space="preserve">CHMP/EWP/83561/2005 Guideline on Clinical Trials in Small </w:t>
      </w:r>
      <w:r w:rsidR="00070E8B">
        <w:rPr>
          <w:lang w:eastAsia="ja-JP"/>
        </w:rPr>
        <w:t>Populations Effective: December </w:t>
      </w:r>
      <w:r w:rsidRPr="00B62C02">
        <w:rPr>
          <w:lang w:eastAsia="ja-JP"/>
        </w:rPr>
        <w:t>2006</w:t>
      </w:r>
    </w:p>
    <w:p w14:paraId="1AC03071" w14:textId="77777777" w:rsidR="00586F98" w:rsidRDefault="00586F98" w:rsidP="00586F98">
      <w:pPr>
        <w:pStyle w:val="Heading2"/>
        <w:rPr>
          <w:lang w:eastAsia="en-AU"/>
        </w:rPr>
      </w:pPr>
      <w:bookmarkStart w:id="27" w:name="_Toc505762964"/>
      <w:r w:rsidRPr="003442FE">
        <w:rPr>
          <w:lang w:eastAsia="en-AU"/>
        </w:rPr>
        <w:t>Contents of the clinical dossier</w:t>
      </w:r>
      <w:bookmarkEnd w:id="9"/>
      <w:bookmarkEnd w:id="10"/>
      <w:bookmarkEnd w:id="27"/>
    </w:p>
    <w:p w14:paraId="5A0F10A7" w14:textId="77777777" w:rsidR="00586F98" w:rsidRDefault="00586F98" w:rsidP="00586F98">
      <w:pPr>
        <w:pStyle w:val="Heading3"/>
      </w:pPr>
      <w:bookmarkStart w:id="28" w:name="_Toc505762965"/>
      <w:r w:rsidRPr="003442FE">
        <w:t>Scope of the clinical dossier</w:t>
      </w:r>
      <w:bookmarkEnd w:id="28"/>
    </w:p>
    <w:p w14:paraId="0D9C9AB6" w14:textId="77777777" w:rsidR="00F12BF3" w:rsidRPr="00F12BF3" w:rsidRDefault="00F12BF3" w:rsidP="00F12BF3">
      <w:pPr>
        <w:rPr>
          <w:lang w:eastAsia="ja-JP"/>
        </w:rPr>
      </w:pPr>
      <w:r w:rsidRPr="00F12BF3">
        <w:rPr>
          <w:lang w:eastAsia="ja-JP"/>
        </w:rPr>
        <w:t>The clinical dossier documented a full clinical development program of pharmacology, efficacy and safety.</w:t>
      </w:r>
    </w:p>
    <w:p w14:paraId="4BE7FF13" w14:textId="77777777" w:rsidR="00F12BF3" w:rsidRPr="00F12BF3" w:rsidRDefault="00F12BF3" w:rsidP="00F12BF3">
      <w:pPr>
        <w:rPr>
          <w:lang w:eastAsia="ja-JP"/>
        </w:rPr>
      </w:pPr>
      <w:r w:rsidRPr="00F12BF3">
        <w:rPr>
          <w:lang w:eastAsia="ja-JP"/>
        </w:rPr>
        <w:t>The submission contained the following clinical information:</w:t>
      </w:r>
    </w:p>
    <w:p w14:paraId="65C74ACA" w14:textId="77777777" w:rsidR="00F12BF3" w:rsidRPr="00F12BF3" w:rsidRDefault="00F12BF3" w:rsidP="00070E8B">
      <w:pPr>
        <w:pStyle w:val="ListBullet"/>
        <w:rPr>
          <w:lang w:eastAsia="ja-JP"/>
        </w:rPr>
      </w:pPr>
      <w:r w:rsidRPr="00F12BF3">
        <w:rPr>
          <w:lang w:eastAsia="ja-JP"/>
        </w:rPr>
        <w:t>4 clinical studies in adults (Studies MT103-104, MT103-202, MT103-206 and MT103-211) in which pharmacokinetic and pharmacodynamic properties of blinatumomab were assessed in addition to safety/efficacy.</w:t>
      </w:r>
    </w:p>
    <w:p w14:paraId="298D0A4A" w14:textId="02BB2877" w:rsidR="00F12BF3" w:rsidRPr="00F12BF3" w:rsidRDefault="00F12BF3" w:rsidP="00070E8B">
      <w:pPr>
        <w:pStyle w:val="ListBullet"/>
        <w:rPr>
          <w:lang w:eastAsia="ja-JP"/>
        </w:rPr>
      </w:pPr>
      <w:r w:rsidRPr="00F12BF3">
        <w:rPr>
          <w:lang w:eastAsia="ja-JP"/>
        </w:rPr>
        <w:t>1 pivotal efficacy/safety study (</w:t>
      </w:r>
      <w:r w:rsidR="00070E8B">
        <w:rPr>
          <w:lang w:eastAsia="ja-JP"/>
        </w:rPr>
        <w:t xml:space="preserve">Study </w:t>
      </w:r>
      <w:r w:rsidRPr="00F12BF3">
        <w:rPr>
          <w:lang w:eastAsia="ja-JP"/>
        </w:rPr>
        <w:t>MT103-211), which also provided pharmacodynamic and pharmacokinetic data.</w:t>
      </w:r>
    </w:p>
    <w:p w14:paraId="22D089BC" w14:textId="610C0B03" w:rsidR="00F12BF3" w:rsidRPr="00F12BF3" w:rsidRDefault="00F12BF3" w:rsidP="00070E8B">
      <w:pPr>
        <w:pStyle w:val="ListBullet"/>
        <w:rPr>
          <w:lang w:eastAsia="ja-JP"/>
        </w:rPr>
      </w:pPr>
      <w:r w:rsidRPr="00F12BF3">
        <w:rPr>
          <w:lang w:eastAsia="ja-JP"/>
        </w:rPr>
        <w:t>1 efficacy/safety study (</w:t>
      </w:r>
      <w:r w:rsidR="00070E8B">
        <w:rPr>
          <w:lang w:eastAsia="ja-JP"/>
        </w:rPr>
        <w:t xml:space="preserve">Study </w:t>
      </w:r>
      <w:r w:rsidRPr="00F12BF3">
        <w:rPr>
          <w:lang w:eastAsia="ja-JP"/>
        </w:rPr>
        <w:t>MT103-206), which also provided pharmacodynamic and pharmacokinetic data.</w:t>
      </w:r>
    </w:p>
    <w:p w14:paraId="3540A466" w14:textId="77777777" w:rsidR="00F12BF3" w:rsidRPr="00F12BF3" w:rsidRDefault="00F12BF3" w:rsidP="00070E8B">
      <w:pPr>
        <w:pStyle w:val="ListBullet"/>
        <w:rPr>
          <w:lang w:eastAsia="ja-JP"/>
        </w:rPr>
      </w:pPr>
      <w:r w:rsidRPr="00F12BF3">
        <w:rPr>
          <w:lang w:eastAsia="ja-JP"/>
        </w:rPr>
        <w:t>2 efficacy/safety studies (Study MT103-202; Study MT103-203) for indications which differed from the current application and which also provided pharmacodynamic and pharmacokinetic data.</w:t>
      </w:r>
    </w:p>
    <w:p w14:paraId="0BEFB240" w14:textId="77777777" w:rsidR="00F12BF3" w:rsidRPr="00F12BF3" w:rsidRDefault="00F12BF3" w:rsidP="00070E8B">
      <w:pPr>
        <w:pStyle w:val="ListBullet"/>
        <w:rPr>
          <w:lang w:eastAsia="ja-JP"/>
        </w:rPr>
      </w:pPr>
      <w:r w:rsidRPr="00F12BF3">
        <w:rPr>
          <w:lang w:eastAsia="ja-JP"/>
        </w:rPr>
        <w:t>1 study analysing historical comparator data (Study 20120310).</w:t>
      </w:r>
    </w:p>
    <w:p w14:paraId="059608E3" w14:textId="57FAAA14" w:rsidR="00F12BF3" w:rsidRPr="00F12BF3" w:rsidRDefault="00070E8B" w:rsidP="00070E8B">
      <w:pPr>
        <w:pStyle w:val="ListBullet"/>
        <w:rPr>
          <w:lang w:eastAsia="ja-JP"/>
        </w:rPr>
      </w:pPr>
      <w:r>
        <w:rPr>
          <w:lang w:eastAsia="ja-JP"/>
        </w:rPr>
        <w:t xml:space="preserve">2 model </w:t>
      </w:r>
      <w:r w:rsidR="00F12BF3" w:rsidRPr="00F12BF3">
        <w:rPr>
          <w:lang w:eastAsia="ja-JP"/>
        </w:rPr>
        <w:t>based meta-analyses (Studies 118427 and 119834)</w:t>
      </w:r>
      <w:r>
        <w:rPr>
          <w:lang w:eastAsia="ja-JP"/>
        </w:rPr>
        <w:t>.</w:t>
      </w:r>
    </w:p>
    <w:p w14:paraId="4E533859" w14:textId="7C93B2EC" w:rsidR="00F12BF3" w:rsidRPr="00F12BF3" w:rsidRDefault="00070E8B" w:rsidP="00F12BF3">
      <w:pPr>
        <w:rPr>
          <w:lang w:eastAsia="ja-JP"/>
        </w:rPr>
      </w:pPr>
      <w:r>
        <w:rPr>
          <w:lang w:eastAsia="ja-JP"/>
        </w:rPr>
        <w:t xml:space="preserve">In addition, the submission contained the following: </w:t>
      </w:r>
      <w:r w:rsidRPr="00070E8B">
        <w:rPr>
          <w:lang w:eastAsia="ja-JP"/>
        </w:rPr>
        <w:t xml:space="preserve">A </w:t>
      </w:r>
      <w:r w:rsidR="00F12BF3" w:rsidRPr="00070E8B">
        <w:rPr>
          <w:lang w:eastAsia="ja-JP"/>
        </w:rPr>
        <w:t xml:space="preserve">Clinical Overview, Summary of Clinical Pharmacology, Summary of Clinical Efficacy, Summary of Clinical Safety, </w:t>
      </w:r>
      <w:r w:rsidR="00F12BF3" w:rsidRPr="00070E8B">
        <w:rPr>
          <w:iCs/>
          <w:lang w:eastAsia="ja-JP"/>
        </w:rPr>
        <w:t>Quality Overall Summaries of Blina</w:t>
      </w:r>
      <w:r w:rsidR="002D00ED">
        <w:rPr>
          <w:iCs/>
          <w:lang w:eastAsia="ja-JP"/>
        </w:rPr>
        <w:t>tumomab and Intravenous Stabilis</w:t>
      </w:r>
      <w:r w:rsidR="00F12BF3" w:rsidRPr="00070E8B">
        <w:rPr>
          <w:iCs/>
          <w:lang w:eastAsia="ja-JP"/>
        </w:rPr>
        <w:t>er Solution</w:t>
      </w:r>
      <w:r w:rsidR="00F12BF3" w:rsidRPr="00070E8B">
        <w:rPr>
          <w:lang w:eastAsia="ja-JP"/>
        </w:rPr>
        <w:t xml:space="preserve"> tabulations and statistical analysis plan and literature references.</w:t>
      </w:r>
    </w:p>
    <w:p w14:paraId="0EFEB9F4" w14:textId="77777777" w:rsidR="00586F98" w:rsidRDefault="00586F98" w:rsidP="00586F98">
      <w:pPr>
        <w:pStyle w:val="Heading3"/>
      </w:pPr>
      <w:bookmarkStart w:id="29" w:name="_Toc505762966"/>
      <w:r w:rsidRPr="003442FE">
        <w:t>Paediatric data</w:t>
      </w:r>
      <w:bookmarkEnd w:id="29"/>
    </w:p>
    <w:p w14:paraId="479067E9" w14:textId="110A7A08" w:rsidR="00F12BF3" w:rsidRPr="00F12BF3" w:rsidRDefault="00F12BF3" w:rsidP="00F12BF3">
      <w:pPr>
        <w:rPr>
          <w:lang w:eastAsia="ja-JP"/>
        </w:rPr>
      </w:pPr>
      <w:r w:rsidRPr="00F12BF3">
        <w:rPr>
          <w:lang w:eastAsia="ja-JP"/>
        </w:rPr>
        <w:t xml:space="preserve">Results from </w:t>
      </w:r>
      <w:r w:rsidR="0018721C">
        <w:rPr>
          <w:lang w:eastAsia="ja-JP"/>
        </w:rPr>
        <w:t>Phase I</w:t>
      </w:r>
      <w:r w:rsidRPr="00F12BF3">
        <w:rPr>
          <w:lang w:eastAsia="ja-JP"/>
        </w:rPr>
        <w:t xml:space="preserve"> of the ongoing </w:t>
      </w:r>
      <w:r w:rsidR="0018721C">
        <w:rPr>
          <w:lang w:eastAsia="ja-JP"/>
        </w:rPr>
        <w:t>Phase I/II</w:t>
      </w:r>
      <w:r w:rsidR="00070E8B">
        <w:rPr>
          <w:lang w:eastAsia="ja-JP"/>
        </w:rPr>
        <w:t xml:space="preserve"> Study</w:t>
      </w:r>
      <w:r w:rsidRPr="00F12BF3">
        <w:rPr>
          <w:lang w:eastAsia="ja-JP"/>
        </w:rPr>
        <w:t xml:space="preserve"> MT103-205, were included in the submission. This was a first paediatric study, not a first in human study. This was an </w:t>
      </w:r>
      <w:r w:rsidR="00070E8B">
        <w:rPr>
          <w:lang w:eastAsia="ja-JP"/>
        </w:rPr>
        <w:t>open label</w:t>
      </w:r>
      <w:r w:rsidR="002D00ED">
        <w:rPr>
          <w:lang w:eastAsia="ja-JP"/>
        </w:rPr>
        <w:t>, combined 2 </w:t>
      </w:r>
      <w:r w:rsidRPr="00F12BF3">
        <w:rPr>
          <w:lang w:eastAsia="ja-JP"/>
        </w:rPr>
        <w:t xml:space="preserve">part multicentre clinical study. </w:t>
      </w:r>
      <w:r w:rsidR="0018721C">
        <w:rPr>
          <w:lang w:eastAsia="ja-JP"/>
        </w:rPr>
        <w:t>Phase I</w:t>
      </w:r>
      <w:r w:rsidRPr="00F12BF3">
        <w:rPr>
          <w:lang w:eastAsia="ja-JP"/>
        </w:rPr>
        <w:t xml:space="preserve"> was a dose finding study to investigate the PK, safety, and clinical activity of escalating levels (3.7 to 60 </w:t>
      </w:r>
      <w:r w:rsidR="002D00ED">
        <w:rPr>
          <w:lang w:eastAsia="ja-JP"/>
        </w:rPr>
        <w:t>µg</w:t>
      </w:r>
      <w:r w:rsidRPr="00F12BF3">
        <w:rPr>
          <w:lang w:eastAsia="ja-JP"/>
        </w:rPr>
        <w:t>/m</w:t>
      </w:r>
      <w:r w:rsidRPr="00F12BF3">
        <w:rPr>
          <w:vertAlign w:val="superscript"/>
          <w:lang w:eastAsia="ja-JP"/>
        </w:rPr>
        <w:t>2</w:t>
      </w:r>
      <w:r w:rsidRPr="00F12BF3">
        <w:rPr>
          <w:lang w:eastAsia="ja-JP"/>
        </w:rPr>
        <w:t xml:space="preserve">/day) of blinatumomab in paediatric and adolescent patients with relapsed or refractory B-precursor ALL. Once a recommended dose was selected in the </w:t>
      </w:r>
      <w:r w:rsidR="0018721C">
        <w:rPr>
          <w:lang w:eastAsia="ja-JP"/>
        </w:rPr>
        <w:t>Phase I</w:t>
      </w:r>
      <w:r w:rsidRPr="00F12BF3">
        <w:rPr>
          <w:lang w:eastAsia="ja-JP"/>
        </w:rPr>
        <w:t xml:space="preserve"> part of the study, the </w:t>
      </w:r>
      <w:r w:rsidR="0018721C">
        <w:rPr>
          <w:lang w:eastAsia="ja-JP"/>
        </w:rPr>
        <w:t>Phase II</w:t>
      </w:r>
      <w:r w:rsidR="002D00ED">
        <w:rPr>
          <w:lang w:eastAsia="ja-JP"/>
        </w:rPr>
        <w:t xml:space="preserve"> part (2 </w:t>
      </w:r>
      <w:r w:rsidRPr="00F12BF3">
        <w:rPr>
          <w:lang w:eastAsia="ja-JP"/>
        </w:rPr>
        <w:t>stage single arm design) was begun to assess the safety and efficacy of the recommended dose level of blinatumomab. The study consisted of a screening peri</w:t>
      </w:r>
      <w:r w:rsidR="002D00ED">
        <w:rPr>
          <w:lang w:eastAsia="ja-JP"/>
        </w:rPr>
        <w:t>od, a treatment period, and an end of core s</w:t>
      </w:r>
      <w:r w:rsidRPr="00F12BF3">
        <w:rPr>
          <w:lang w:eastAsia="ja-JP"/>
        </w:rPr>
        <w:t>tudy visit 30 days after the last dose of study medication. After the last treatment cycle all subjects were followed for efficacy and survival up to 24 months after treatment start.</w:t>
      </w:r>
    </w:p>
    <w:p w14:paraId="5D306C9A" w14:textId="77777777" w:rsidR="00586F98" w:rsidRDefault="00586F98" w:rsidP="00586F98">
      <w:pPr>
        <w:pStyle w:val="Heading3"/>
      </w:pPr>
      <w:bookmarkStart w:id="30" w:name="_Toc505762967"/>
      <w:r w:rsidRPr="003442FE">
        <w:t>Good clinical practice</w:t>
      </w:r>
      <w:bookmarkEnd w:id="30"/>
    </w:p>
    <w:p w14:paraId="143F5E75" w14:textId="2302347E" w:rsidR="00F12BF3" w:rsidRPr="00F12BF3" w:rsidRDefault="00F12BF3" w:rsidP="00F12BF3">
      <w:pPr>
        <w:rPr>
          <w:lang w:eastAsia="ja-JP"/>
        </w:rPr>
      </w:pPr>
      <w:bookmarkStart w:id="31" w:name="_Toc241374282"/>
      <w:r w:rsidRPr="00F12BF3">
        <w:rPr>
          <w:lang w:eastAsia="ja-JP"/>
        </w:rPr>
        <w:t xml:space="preserve">All of the studies at US sites were conducted under a United States Investigational New </w:t>
      </w:r>
      <w:r w:rsidR="002D00ED">
        <w:rPr>
          <w:lang w:eastAsia="ja-JP"/>
        </w:rPr>
        <w:t>Drug Application (IND). All non-</w:t>
      </w:r>
      <w:r w:rsidRPr="00F12BF3">
        <w:rPr>
          <w:lang w:eastAsia="ja-JP"/>
        </w:rPr>
        <w:t>US sites complied with local regulations. All of the sites (US and non-US) were conducted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14:paraId="0A7A6347" w14:textId="1B56AFBC" w:rsidR="00F12BF3" w:rsidRPr="00F12BF3" w:rsidRDefault="00F12BF3" w:rsidP="00F12BF3">
      <w:pPr>
        <w:rPr>
          <w:lang w:eastAsia="ja-JP"/>
        </w:rPr>
      </w:pPr>
      <w:r w:rsidRPr="00F12BF3">
        <w:rPr>
          <w:lang w:eastAsia="ja-JP"/>
        </w:rPr>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undertaking any study-related procedures.</w:t>
      </w:r>
      <w:bookmarkEnd w:id="31"/>
    </w:p>
    <w:p w14:paraId="25C33B2B" w14:textId="77777777" w:rsidR="00586F98" w:rsidRDefault="00586F98" w:rsidP="00586F98">
      <w:pPr>
        <w:pStyle w:val="Heading2"/>
      </w:pPr>
      <w:bookmarkStart w:id="32" w:name="_Toc355338639"/>
      <w:bookmarkStart w:id="33" w:name="_Toc505762968"/>
      <w:r w:rsidRPr="003442FE">
        <w:t>Pharmacokinetics</w:t>
      </w:r>
      <w:bookmarkEnd w:id="32"/>
      <w:bookmarkEnd w:id="33"/>
    </w:p>
    <w:p w14:paraId="34AFC74D" w14:textId="77777777" w:rsidR="00F31F9F" w:rsidRPr="00F31F9F" w:rsidRDefault="00F31F9F" w:rsidP="002D00ED">
      <w:pPr>
        <w:pStyle w:val="Heading3"/>
      </w:pPr>
      <w:bookmarkStart w:id="34" w:name="_Ref271017296"/>
      <w:bookmarkStart w:id="35" w:name="_Ref271018924"/>
      <w:bookmarkStart w:id="36" w:name="_Ref271018934"/>
      <w:bookmarkStart w:id="37" w:name="_Toc272414614"/>
      <w:bookmarkStart w:id="38" w:name="_Toc290846238"/>
      <w:bookmarkStart w:id="39" w:name="_Toc292015564"/>
      <w:bookmarkStart w:id="40" w:name="_Toc505762969"/>
      <w:r w:rsidRPr="00F31F9F">
        <w:t>Studies</w:t>
      </w:r>
      <w:bookmarkEnd w:id="34"/>
      <w:bookmarkEnd w:id="35"/>
      <w:bookmarkEnd w:id="36"/>
      <w:r w:rsidRPr="00F31F9F">
        <w:t xml:space="preserve"> providing pharmacokinetic data</w:t>
      </w:r>
      <w:bookmarkEnd w:id="37"/>
      <w:bookmarkEnd w:id="38"/>
      <w:bookmarkEnd w:id="39"/>
      <w:bookmarkEnd w:id="40"/>
    </w:p>
    <w:p w14:paraId="567D95C9" w14:textId="14674F93" w:rsidR="00F31F9F" w:rsidRPr="00F31F9F" w:rsidRDefault="00F31F9F" w:rsidP="00F31F9F">
      <w:pPr>
        <w:rPr>
          <w:lang w:eastAsia="ja-JP"/>
        </w:rPr>
      </w:pPr>
      <w:r w:rsidRPr="00F31F9F">
        <w:rPr>
          <w:lang w:eastAsia="ja-JP"/>
        </w:rPr>
        <w:t>An overview of the clinical pharmacology of blinatumomab, including support for the fixed dose regimen and schedule for adults with relapsed/refractory ALL (9</w:t>
      </w:r>
      <w:r w:rsidR="00375CAE">
        <w:rPr>
          <w:lang w:eastAsia="ja-JP"/>
        </w:rPr>
        <w:t xml:space="preserve"> </w:t>
      </w:r>
      <w:r w:rsidR="0018721C">
        <w:rPr>
          <w:lang w:eastAsia="ja-JP"/>
        </w:rPr>
        <w:t>µg</w:t>
      </w:r>
      <w:r w:rsidRPr="00F31F9F">
        <w:rPr>
          <w:lang w:eastAsia="ja-JP"/>
        </w:rPr>
        <w:t>/day for the first 7 days of treatment, followed by 28</w:t>
      </w:r>
      <w:r w:rsidR="00375CAE">
        <w:rPr>
          <w:lang w:eastAsia="ja-JP"/>
        </w:rPr>
        <w:t xml:space="preserve"> </w:t>
      </w:r>
      <w:r w:rsidR="0018721C">
        <w:rPr>
          <w:lang w:eastAsia="ja-JP"/>
        </w:rPr>
        <w:t>µg</w:t>
      </w:r>
      <w:r w:rsidR="002D00ED">
        <w:rPr>
          <w:lang w:eastAsia="ja-JP"/>
        </w:rPr>
        <w:t xml:space="preserve">/day starting from </w:t>
      </w:r>
      <w:r w:rsidR="007D46D6">
        <w:rPr>
          <w:lang w:eastAsia="ja-JP"/>
        </w:rPr>
        <w:t>Week 2</w:t>
      </w:r>
      <w:r w:rsidRPr="00F31F9F">
        <w:rPr>
          <w:lang w:eastAsia="ja-JP"/>
        </w:rPr>
        <w:t>, as a continuous intravenous (IV) infusion at a constant flow rate over 4 weeks followed by a treatment</w:t>
      </w:r>
      <w:r w:rsidR="006A3B04">
        <w:rPr>
          <w:lang w:eastAsia="ja-JP"/>
        </w:rPr>
        <w:t xml:space="preserve"> free</w:t>
      </w:r>
      <w:r w:rsidRPr="00F31F9F">
        <w:rPr>
          <w:lang w:eastAsia="ja-JP"/>
        </w:rPr>
        <w:t xml:space="preserve"> interval of 2 weeks) </w:t>
      </w:r>
      <w:r w:rsidR="002D00ED">
        <w:rPr>
          <w:lang w:eastAsia="ja-JP"/>
        </w:rPr>
        <w:t xml:space="preserve">was </w:t>
      </w:r>
      <w:r w:rsidRPr="00F31F9F">
        <w:rPr>
          <w:lang w:eastAsia="ja-JP"/>
        </w:rPr>
        <w:t xml:space="preserve">presented in </w:t>
      </w:r>
      <w:r w:rsidR="002D00ED">
        <w:rPr>
          <w:lang w:eastAsia="ja-JP"/>
        </w:rPr>
        <w:t xml:space="preserve">the </w:t>
      </w:r>
      <w:r w:rsidRPr="00F31F9F">
        <w:rPr>
          <w:lang w:eastAsia="ja-JP"/>
        </w:rPr>
        <w:t>Summary of Clinical Pharmacology Studies</w:t>
      </w:r>
      <w:r w:rsidR="00000368">
        <w:rPr>
          <w:lang w:eastAsia="ja-JP"/>
        </w:rPr>
        <w:t xml:space="preserve">. </w:t>
      </w:r>
      <w:r w:rsidR="002D00ED">
        <w:rPr>
          <w:lang w:eastAsia="ja-JP"/>
        </w:rPr>
        <w:t xml:space="preserve">Table 1, shown below, gives </w:t>
      </w:r>
      <w:r w:rsidRPr="00F31F9F">
        <w:rPr>
          <w:lang w:eastAsia="ja-JP"/>
        </w:rPr>
        <w:t>the studies relating to each pharmacokinetic topic and the location of each study summary.</w:t>
      </w:r>
    </w:p>
    <w:p w14:paraId="2AE81E6E" w14:textId="311429C5" w:rsidR="00F31F9F" w:rsidRPr="00F31F9F" w:rsidRDefault="006B3B14" w:rsidP="002D00ED">
      <w:pPr>
        <w:pStyle w:val="Tabletitle"/>
        <w:rPr>
          <w:lang w:eastAsia="ja-JP"/>
        </w:rPr>
      </w:pPr>
      <w:bookmarkStart w:id="41" w:name="_Toc292015684"/>
      <w:r>
        <w:rPr>
          <w:lang w:eastAsia="ja-JP"/>
        </w:rPr>
        <w:t>Table 1</w:t>
      </w:r>
      <w:r w:rsidR="00586C19">
        <w:rPr>
          <w:lang w:eastAsia="ja-JP"/>
        </w:rPr>
        <w:t>:</w:t>
      </w:r>
      <w:r w:rsidR="00F31F9F" w:rsidRPr="00F31F9F">
        <w:rPr>
          <w:lang w:eastAsia="ja-JP"/>
        </w:rPr>
        <w:t xml:space="preserve"> Submitted pharmacokinetic studies</w:t>
      </w:r>
      <w:bookmarkEnd w:id="41"/>
    </w:p>
    <w:tbl>
      <w:tblPr>
        <w:tblStyle w:val="TableTGAblue"/>
        <w:tblW w:w="8747" w:type="dxa"/>
        <w:tblLayout w:type="fixed"/>
        <w:tblLook w:val="04A0" w:firstRow="1" w:lastRow="0" w:firstColumn="1" w:lastColumn="0" w:noHBand="0" w:noVBand="1"/>
        <w:tblDescription w:val="Table 1: Submitted pharmacokinetic studies"/>
      </w:tblPr>
      <w:tblGrid>
        <w:gridCol w:w="1809"/>
        <w:gridCol w:w="2473"/>
        <w:gridCol w:w="1555"/>
        <w:gridCol w:w="2910"/>
      </w:tblGrid>
      <w:tr w:rsidR="00000368" w:rsidRPr="00F31F9F" w14:paraId="04BE1828" w14:textId="77777777" w:rsidTr="007B7D09">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1809" w:type="dxa"/>
          </w:tcPr>
          <w:p w14:paraId="25E436B5" w14:textId="77777777" w:rsidR="00000368" w:rsidRPr="00F31F9F" w:rsidRDefault="00000368" w:rsidP="00F31F9F">
            <w:pPr>
              <w:rPr>
                <w:b w:val="0"/>
                <w:lang w:eastAsia="ja-JP"/>
              </w:rPr>
            </w:pPr>
            <w:r w:rsidRPr="00F31F9F">
              <w:rPr>
                <w:lang w:eastAsia="ja-JP"/>
              </w:rPr>
              <w:t>PK topic</w:t>
            </w:r>
          </w:p>
        </w:tc>
        <w:tc>
          <w:tcPr>
            <w:tcW w:w="2473" w:type="dxa"/>
          </w:tcPr>
          <w:p w14:paraId="3F1381F0" w14:textId="77777777" w:rsidR="00000368" w:rsidRPr="00F31F9F" w:rsidRDefault="00000368" w:rsidP="00F31F9F">
            <w:pPr>
              <w:cnfStyle w:val="100000000000" w:firstRow="1" w:lastRow="0" w:firstColumn="0" w:lastColumn="0" w:oddVBand="0" w:evenVBand="0" w:oddHBand="0" w:evenHBand="0" w:firstRowFirstColumn="0" w:firstRowLastColumn="0" w:lastRowFirstColumn="0" w:lastRowLastColumn="0"/>
              <w:rPr>
                <w:b w:val="0"/>
                <w:lang w:eastAsia="ja-JP"/>
              </w:rPr>
            </w:pPr>
            <w:r w:rsidRPr="00F31F9F">
              <w:rPr>
                <w:lang w:eastAsia="ja-JP"/>
              </w:rPr>
              <w:t>Subtopic</w:t>
            </w:r>
          </w:p>
        </w:tc>
        <w:tc>
          <w:tcPr>
            <w:tcW w:w="1555" w:type="dxa"/>
          </w:tcPr>
          <w:p w14:paraId="6A6CB943" w14:textId="77777777" w:rsidR="00000368" w:rsidRPr="00F31F9F" w:rsidRDefault="00000368" w:rsidP="00F31F9F">
            <w:pPr>
              <w:cnfStyle w:val="100000000000" w:firstRow="1" w:lastRow="0" w:firstColumn="0" w:lastColumn="0" w:oddVBand="0" w:evenVBand="0" w:oddHBand="0" w:evenHBand="0" w:firstRowFirstColumn="0" w:firstRowLastColumn="0" w:lastRowFirstColumn="0" w:lastRowLastColumn="0"/>
              <w:rPr>
                <w:b w:val="0"/>
                <w:lang w:eastAsia="ja-JP"/>
              </w:rPr>
            </w:pPr>
            <w:r w:rsidRPr="00F31F9F">
              <w:rPr>
                <w:lang w:eastAsia="ja-JP"/>
              </w:rPr>
              <w:t>Study ID</w:t>
            </w:r>
          </w:p>
        </w:tc>
        <w:tc>
          <w:tcPr>
            <w:tcW w:w="2910" w:type="dxa"/>
          </w:tcPr>
          <w:p w14:paraId="680C40D0" w14:textId="77777777" w:rsidR="00000368" w:rsidRPr="00F31F9F" w:rsidRDefault="00000368" w:rsidP="00F31F9F">
            <w:pPr>
              <w:cnfStyle w:val="100000000000" w:firstRow="1" w:lastRow="0" w:firstColumn="0" w:lastColumn="0" w:oddVBand="0" w:evenVBand="0" w:oddHBand="0" w:evenHBand="0" w:firstRowFirstColumn="0" w:firstRowLastColumn="0" w:lastRowFirstColumn="0" w:lastRowLastColumn="0"/>
              <w:rPr>
                <w:b w:val="0"/>
                <w:lang w:eastAsia="ja-JP"/>
              </w:rPr>
            </w:pPr>
            <w:r w:rsidRPr="00F31F9F">
              <w:rPr>
                <w:lang w:eastAsia="ja-JP"/>
              </w:rPr>
              <w:t>Primary aim</w:t>
            </w:r>
          </w:p>
        </w:tc>
      </w:tr>
      <w:tr w:rsidR="00000368" w:rsidRPr="00F31F9F" w14:paraId="6283D55B" w14:textId="77777777" w:rsidTr="00586C19">
        <w:trPr>
          <w:trHeight w:val="1391"/>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2F736974" w14:textId="4A2FB82F" w:rsidR="00000368" w:rsidRPr="00F31F9F" w:rsidRDefault="00000368" w:rsidP="00000368">
            <w:pPr>
              <w:ind w:left="0"/>
              <w:rPr>
                <w:b/>
                <w:lang w:eastAsia="ja-JP"/>
              </w:rPr>
            </w:pPr>
            <w:r w:rsidRPr="00F31F9F">
              <w:rPr>
                <w:b/>
                <w:lang w:eastAsia="ja-JP"/>
              </w:rPr>
              <w:t>PK in target population (adults)</w:t>
            </w:r>
          </w:p>
        </w:tc>
        <w:tc>
          <w:tcPr>
            <w:tcW w:w="2473" w:type="dxa"/>
          </w:tcPr>
          <w:p w14:paraId="3C3DEF72" w14:textId="5DBBAF5A"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w:t>
            </w:r>
            <w:r w:rsidRPr="00F31F9F">
              <w:rPr>
                <w:lang w:eastAsia="ja-JP"/>
              </w:rPr>
              <w:t>, non-</w:t>
            </w:r>
            <w:r>
              <w:rPr>
                <w:lang w:eastAsia="ja-JP"/>
              </w:rPr>
              <w:t>randomised</w:t>
            </w:r>
            <w:r w:rsidRPr="00F31F9F">
              <w:rPr>
                <w:lang w:eastAsia="ja-JP"/>
              </w:rPr>
              <w:t>, non</w:t>
            </w:r>
            <w:r>
              <w:rPr>
                <w:lang w:eastAsia="ja-JP"/>
              </w:rPr>
              <w:t>-control</w:t>
            </w:r>
            <w:r w:rsidRPr="00F31F9F">
              <w:rPr>
                <w:lang w:eastAsia="ja-JP"/>
              </w:rPr>
              <w:t xml:space="preserve">led, </w:t>
            </w:r>
            <w:r>
              <w:rPr>
                <w:lang w:eastAsia="ja-JP"/>
              </w:rPr>
              <w:t>open label</w:t>
            </w:r>
            <w:r w:rsidRPr="00F31F9F">
              <w:rPr>
                <w:lang w:eastAsia="ja-JP"/>
              </w:rPr>
              <w:t xml:space="preserve">, interpatient </w:t>
            </w:r>
            <w:r>
              <w:rPr>
                <w:lang w:eastAsia="ja-JP"/>
              </w:rPr>
              <w:t>dose escalation study</w:t>
            </w:r>
          </w:p>
        </w:tc>
        <w:tc>
          <w:tcPr>
            <w:tcW w:w="1555" w:type="dxa"/>
          </w:tcPr>
          <w:p w14:paraId="2F17C4A7"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MT103-104</w:t>
            </w:r>
          </w:p>
        </w:tc>
        <w:tc>
          <w:tcPr>
            <w:tcW w:w="2910" w:type="dxa"/>
          </w:tcPr>
          <w:p w14:paraId="3DE00526"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Determine the maximal tolerable dose, PK, PD, and antitumor activity</w:t>
            </w:r>
          </w:p>
        </w:tc>
      </w:tr>
      <w:tr w:rsidR="00000368" w:rsidRPr="00F31F9F" w14:paraId="7F5C895F" w14:textId="77777777" w:rsidTr="00586C19">
        <w:trPr>
          <w:trHeight w:val="872"/>
        </w:trPr>
        <w:tc>
          <w:tcPr>
            <w:cnfStyle w:val="001000000000" w:firstRow="0" w:lastRow="0" w:firstColumn="1" w:lastColumn="0" w:oddVBand="0" w:evenVBand="0" w:oddHBand="0" w:evenHBand="0" w:firstRowFirstColumn="0" w:firstRowLastColumn="0" w:lastRowFirstColumn="0" w:lastRowLastColumn="0"/>
            <w:tcW w:w="1809" w:type="dxa"/>
            <w:vMerge/>
          </w:tcPr>
          <w:p w14:paraId="769CF892" w14:textId="77777777" w:rsidR="00000368" w:rsidRPr="00F31F9F" w:rsidRDefault="00000368" w:rsidP="00F31F9F">
            <w:pPr>
              <w:rPr>
                <w:lang w:eastAsia="ja-JP"/>
              </w:rPr>
            </w:pPr>
          </w:p>
        </w:tc>
        <w:tc>
          <w:tcPr>
            <w:tcW w:w="2473" w:type="dxa"/>
          </w:tcPr>
          <w:p w14:paraId="2D56D5B0" w14:textId="5F959110"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w:t>
            </w:r>
            <w:r w:rsidRPr="00F31F9F">
              <w:rPr>
                <w:lang w:eastAsia="ja-JP"/>
              </w:rPr>
              <w:t>, non-</w:t>
            </w:r>
            <w:r>
              <w:rPr>
                <w:lang w:eastAsia="ja-JP"/>
              </w:rPr>
              <w:t>randomised</w:t>
            </w:r>
            <w:r w:rsidRPr="00F31F9F">
              <w:rPr>
                <w:lang w:eastAsia="ja-JP"/>
              </w:rPr>
              <w:t>, non</w:t>
            </w:r>
            <w:r>
              <w:rPr>
                <w:lang w:eastAsia="ja-JP"/>
              </w:rPr>
              <w:t>-control</w:t>
            </w:r>
            <w:r w:rsidRPr="00F31F9F">
              <w:rPr>
                <w:lang w:eastAsia="ja-JP"/>
              </w:rPr>
              <w:t xml:space="preserve">led, </w:t>
            </w:r>
            <w:r>
              <w:rPr>
                <w:lang w:eastAsia="ja-JP"/>
              </w:rPr>
              <w:t>open label study</w:t>
            </w:r>
          </w:p>
        </w:tc>
        <w:tc>
          <w:tcPr>
            <w:tcW w:w="1555" w:type="dxa"/>
          </w:tcPr>
          <w:p w14:paraId="77508917"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MT103-202</w:t>
            </w:r>
          </w:p>
        </w:tc>
        <w:tc>
          <w:tcPr>
            <w:tcW w:w="2910" w:type="dxa"/>
          </w:tcPr>
          <w:p w14:paraId="67A8347C"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Investigate the efficacy (MRD response rate), safety, tolerability, PK, and PD</w:t>
            </w:r>
          </w:p>
        </w:tc>
      </w:tr>
      <w:tr w:rsidR="00000368" w:rsidRPr="00F31F9F" w14:paraId="4C8FAC83" w14:textId="77777777" w:rsidTr="00586C19">
        <w:trPr>
          <w:trHeight w:val="949"/>
        </w:trPr>
        <w:tc>
          <w:tcPr>
            <w:cnfStyle w:val="001000000000" w:firstRow="0" w:lastRow="0" w:firstColumn="1" w:lastColumn="0" w:oddVBand="0" w:evenVBand="0" w:oddHBand="0" w:evenHBand="0" w:firstRowFirstColumn="0" w:firstRowLastColumn="0" w:lastRowFirstColumn="0" w:lastRowLastColumn="0"/>
            <w:tcW w:w="1809" w:type="dxa"/>
            <w:vMerge/>
          </w:tcPr>
          <w:p w14:paraId="1C0F04DD" w14:textId="77777777" w:rsidR="00000368" w:rsidRPr="00F31F9F" w:rsidRDefault="00000368" w:rsidP="00F31F9F">
            <w:pPr>
              <w:rPr>
                <w:lang w:eastAsia="ja-JP"/>
              </w:rPr>
            </w:pPr>
          </w:p>
        </w:tc>
        <w:tc>
          <w:tcPr>
            <w:tcW w:w="2473" w:type="dxa"/>
          </w:tcPr>
          <w:p w14:paraId="63FA3FD6" w14:textId="4A76BF95"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w:t>
            </w:r>
            <w:r w:rsidRPr="00F31F9F">
              <w:rPr>
                <w:lang w:eastAsia="ja-JP"/>
              </w:rPr>
              <w:t xml:space="preserve">, </w:t>
            </w:r>
            <w:r>
              <w:rPr>
                <w:lang w:eastAsia="ja-JP"/>
              </w:rPr>
              <w:t>open label</w:t>
            </w:r>
            <w:r w:rsidRPr="00F31F9F">
              <w:rPr>
                <w:lang w:eastAsia="ja-JP"/>
              </w:rPr>
              <w:t>, multicentre, exploratory study</w:t>
            </w:r>
          </w:p>
        </w:tc>
        <w:tc>
          <w:tcPr>
            <w:tcW w:w="1555" w:type="dxa"/>
          </w:tcPr>
          <w:p w14:paraId="126FCE96"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MT103-206</w:t>
            </w:r>
          </w:p>
        </w:tc>
        <w:tc>
          <w:tcPr>
            <w:tcW w:w="2910" w:type="dxa"/>
          </w:tcPr>
          <w:p w14:paraId="6654FBCC"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Evaluate the efficacy, safety, tolerability, PK, and PD</w:t>
            </w:r>
          </w:p>
        </w:tc>
      </w:tr>
      <w:tr w:rsidR="00000368" w:rsidRPr="00F31F9F" w14:paraId="0E85AB6F" w14:textId="77777777" w:rsidTr="00586C19">
        <w:trPr>
          <w:trHeight w:val="933"/>
        </w:trPr>
        <w:tc>
          <w:tcPr>
            <w:cnfStyle w:val="001000000000" w:firstRow="0" w:lastRow="0" w:firstColumn="1" w:lastColumn="0" w:oddVBand="0" w:evenVBand="0" w:oddHBand="0" w:evenHBand="0" w:firstRowFirstColumn="0" w:firstRowLastColumn="0" w:lastRowFirstColumn="0" w:lastRowLastColumn="0"/>
            <w:tcW w:w="1809" w:type="dxa"/>
            <w:vMerge/>
          </w:tcPr>
          <w:p w14:paraId="3ED9E958" w14:textId="77777777" w:rsidR="00000368" w:rsidRPr="00F31F9F" w:rsidRDefault="00000368" w:rsidP="00F31F9F">
            <w:pPr>
              <w:rPr>
                <w:lang w:eastAsia="ja-JP"/>
              </w:rPr>
            </w:pPr>
          </w:p>
        </w:tc>
        <w:tc>
          <w:tcPr>
            <w:tcW w:w="2473" w:type="dxa"/>
          </w:tcPr>
          <w:p w14:paraId="48D9A0F2" w14:textId="55EA556E"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w:t>
            </w:r>
            <w:r w:rsidRPr="00F31F9F">
              <w:rPr>
                <w:lang w:eastAsia="ja-JP"/>
              </w:rPr>
              <w:t xml:space="preserve">, </w:t>
            </w:r>
            <w:r>
              <w:rPr>
                <w:lang w:eastAsia="ja-JP"/>
              </w:rPr>
              <w:t>open label</w:t>
            </w:r>
            <w:r w:rsidRPr="00F31F9F">
              <w:rPr>
                <w:lang w:eastAsia="ja-JP"/>
              </w:rPr>
              <w:t>, multicentre, single arm study</w:t>
            </w:r>
          </w:p>
        </w:tc>
        <w:tc>
          <w:tcPr>
            <w:tcW w:w="1555" w:type="dxa"/>
          </w:tcPr>
          <w:p w14:paraId="600044CB"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MT103-211</w:t>
            </w:r>
          </w:p>
        </w:tc>
        <w:tc>
          <w:tcPr>
            <w:tcW w:w="2910" w:type="dxa"/>
          </w:tcPr>
          <w:p w14:paraId="055C1AA2" w14:textId="0602ADFE"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E</w:t>
            </w:r>
            <w:r w:rsidRPr="00F31F9F">
              <w:rPr>
                <w:lang w:eastAsia="ja-JP"/>
              </w:rPr>
              <w:t>valuate the efficacy, safety, tolerability, PK, and PD</w:t>
            </w:r>
          </w:p>
        </w:tc>
      </w:tr>
      <w:tr w:rsidR="00000368" w:rsidRPr="00F31F9F" w14:paraId="1A27AA9E" w14:textId="77777777" w:rsidTr="00586C19">
        <w:trPr>
          <w:trHeight w:val="1605"/>
        </w:trPr>
        <w:tc>
          <w:tcPr>
            <w:cnfStyle w:val="001000000000" w:firstRow="0" w:lastRow="0" w:firstColumn="1" w:lastColumn="0" w:oddVBand="0" w:evenVBand="0" w:oddHBand="0" w:evenHBand="0" w:firstRowFirstColumn="0" w:firstRowLastColumn="0" w:lastRowFirstColumn="0" w:lastRowLastColumn="0"/>
            <w:tcW w:w="1809" w:type="dxa"/>
          </w:tcPr>
          <w:p w14:paraId="566B3670" w14:textId="30E1D134" w:rsidR="00000368" w:rsidRPr="00F31F9F" w:rsidRDefault="00000368" w:rsidP="00000368">
            <w:pPr>
              <w:ind w:left="0"/>
              <w:rPr>
                <w:b/>
                <w:lang w:eastAsia="ja-JP"/>
              </w:rPr>
            </w:pPr>
            <w:r w:rsidRPr="00F31F9F">
              <w:rPr>
                <w:b/>
                <w:lang w:eastAsia="ja-JP"/>
              </w:rPr>
              <w:t>PK in special populations (paediatric subjects</w:t>
            </w:r>
            <w:r>
              <w:rPr>
                <w:b/>
                <w:lang w:eastAsia="ja-JP"/>
              </w:rPr>
              <w:t xml:space="preserve"> &lt; </w:t>
            </w:r>
            <w:r w:rsidRPr="00F31F9F">
              <w:rPr>
                <w:b/>
                <w:lang w:eastAsia="ja-JP"/>
              </w:rPr>
              <w:t>18 years)</w:t>
            </w:r>
          </w:p>
        </w:tc>
        <w:tc>
          <w:tcPr>
            <w:tcW w:w="2473" w:type="dxa"/>
          </w:tcPr>
          <w:p w14:paraId="6A143FDA" w14:textId="3993D309"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w:t>
            </w:r>
            <w:r w:rsidRPr="00F31F9F">
              <w:rPr>
                <w:lang w:eastAsia="ja-JP"/>
              </w:rPr>
              <w:t xml:space="preserve">, multicentre, </w:t>
            </w:r>
            <w:r>
              <w:rPr>
                <w:lang w:eastAsia="ja-JP"/>
              </w:rPr>
              <w:t>single arm</w:t>
            </w:r>
            <w:r w:rsidRPr="00F31F9F">
              <w:rPr>
                <w:lang w:eastAsia="ja-JP"/>
              </w:rPr>
              <w:t xml:space="preserve"> study preceded by dose evaluation</w:t>
            </w:r>
          </w:p>
        </w:tc>
        <w:tc>
          <w:tcPr>
            <w:tcW w:w="1555" w:type="dxa"/>
          </w:tcPr>
          <w:p w14:paraId="25E27958" w14:textId="77777777"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MT103-205</w:t>
            </w:r>
          </w:p>
        </w:tc>
        <w:tc>
          <w:tcPr>
            <w:tcW w:w="2910" w:type="dxa"/>
          </w:tcPr>
          <w:p w14:paraId="7C55F510" w14:textId="4C75EB5E" w:rsidR="00000368" w:rsidRPr="00F31F9F" w:rsidRDefault="00000368" w:rsidP="00000368">
            <w:pPr>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I</w:t>
            </w:r>
            <w:r w:rsidRPr="00F31F9F">
              <w:rPr>
                <w:lang w:eastAsia="ja-JP"/>
              </w:rPr>
              <w:t>nvestigate the efficacy, safety, and tolerability of blinatumomab in paediatric and adolescent subjects with R/R ALL</w:t>
            </w:r>
          </w:p>
        </w:tc>
      </w:tr>
    </w:tbl>
    <w:p w14:paraId="698EA977" w14:textId="77777777" w:rsidR="00F31F9F" w:rsidRPr="00F31F9F" w:rsidRDefault="00F31F9F" w:rsidP="00F31F9F">
      <w:pPr>
        <w:rPr>
          <w:lang w:eastAsia="ja-JP"/>
        </w:rPr>
      </w:pPr>
      <w:r w:rsidRPr="00F31F9F">
        <w:rPr>
          <w:lang w:eastAsia="ja-JP"/>
        </w:rPr>
        <w:t>None of the studies had deficiencies that excluded their results from consideration.</w:t>
      </w:r>
    </w:p>
    <w:p w14:paraId="21081AAA" w14:textId="77777777" w:rsidR="00F31F9F" w:rsidRPr="00F31F9F" w:rsidRDefault="00F31F9F" w:rsidP="002D00ED">
      <w:pPr>
        <w:pStyle w:val="Heading3"/>
      </w:pPr>
      <w:bookmarkStart w:id="42" w:name="_Ref269118175"/>
      <w:bookmarkStart w:id="43" w:name="_Toc272414616"/>
      <w:bookmarkStart w:id="44" w:name="_Toc290846239"/>
      <w:bookmarkStart w:id="45" w:name="_Toc292015565"/>
      <w:bookmarkStart w:id="46" w:name="_Toc505762970"/>
      <w:r w:rsidRPr="00F31F9F">
        <w:t>Summary of pharmacokinetics</w:t>
      </w:r>
      <w:bookmarkEnd w:id="42"/>
      <w:bookmarkEnd w:id="43"/>
      <w:bookmarkEnd w:id="44"/>
      <w:bookmarkEnd w:id="45"/>
      <w:bookmarkEnd w:id="46"/>
    </w:p>
    <w:p w14:paraId="4EF3BCD4" w14:textId="3BA805F3" w:rsidR="00F31F9F" w:rsidRPr="00F31F9F" w:rsidRDefault="00F31F9F" w:rsidP="00F31F9F">
      <w:pPr>
        <w:rPr>
          <w:lang w:eastAsia="ja-JP"/>
        </w:rPr>
      </w:pPr>
      <w:r w:rsidRPr="00F31F9F">
        <w:rPr>
          <w:lang w:eastAsia="ja-JP"/>
        </w:rPr>
        <w:t>There was no specific pharmacokinetics and pharmacodynamics clinical study in the blinatumomab clinical program. Pharmacokinetics and pharmacodynamics were assessed along with safety and efficacy in 4 clinical studies (</w:t>
      </w:r>
      <w:r w:rsidR="002D00ED">
        <w:rPr>
          <w:lang w:eastAsia="ja-JP"/>
        </w:rPr>
        <w:t xml:space="preserve">Studies </w:t>
      </w:r>
      <w:r w:rsidRPr="00F31F9F">
        <w:rPr>
          <w:lang w:eastAsia="ja-JP"/>
        </w:rPr>
        <w:t>MT103-104, MT103-202, MT103-206 and MT103-211). In addition, the interim pharmacokinetic re</w:t>
      </w:r>
      <w:r w:rsidR="00586C19">
        <w:rPr>
          <w:lang w:eastAsia="ja-JP"/>
        </w:rPr>
        <w:t>sults for the paediatric Study MT103</w:t>
      </w:r>
      <w:r w:rsidR="00586C19">
        <w:rPr>
          <w:lang w:eastAsia="ja-JP"/>
        </w:rPr>
        <w:noBreakHyphen/>
      </w:r>
      <w:r w:rsidRPr="00F31F9F">
        <w:rPr>
          <w:lang w:eastAsia="ja-JP"/>
        </w:rPr>
        <w:t>205 were provided. The effects of intrinsic factors on the blinatumomab pharmacokinetics were evaluated using integrated data obtained from the adult studies. An absorption study was not conducted because the intended route of administration for blinatumomab is via continuous IV infusion.</w:t>
      </w:r>
    </w:p>
    <w:p w14:paraId="779FFF62" w14:textId="08D709CE" w:rsidR="00F31F9F" w:rsidRPr="00F31F9F" w:rsidRDefault="00F31F9F" w:rsidP="00F31F9F">
      <w:pPr>
        <w:rPr>
          <w:lang w:eastAsia="ja-JP"/>
        </w:rPr>
      </w:pPr>
      <w:r w:rsidRPr="00F31F9F">
        <w:rPr>
          <w:lang w:eastAsia="ja-JP"/>
        </w:rPr>
        <w:t>A formal drug-drug interaction study (</w:t>
      </w:r>
      <w:r w:rsidR="002D00ED">
        <w:rPr>
          <w:lang w:eastAsia="ja-JP"/>
        </w:rPr>
        <w:t>for example</w:t>
      </w:r>
      <w:r w:rsidRPr="00F31F9F">
        <w:rPr>
          <w:lang w:eastAsia="ja-JP"/>
        </w:rPr>
        <w:t xml:space="preserve"> with CYP450 enzyme inhibitors) was not conducted as blinatumomab is not expected to be eliminated via hepatic metabolism (</w:t>
      </w:r>
      <w:r w:rsidR="002D00ED">
        <w:rPr>
          <w:lang w:eastAsia="ja-JP"/>
        </w:rPr>
        <w:t xml:space="preserve">for example, </w:t>
      </w:r>
      <w:r w:rsidRPr="00F31F9F">
        <w:rPr>
          <w:lang w:eastAsia="ja-JP"/>
        </w:rPr>
        <w:t>by CYP450 enzymes) and blinatumomab is primarily intended to be administered as a single agent. The indirect effect of cytokine elevation on CYP450 activities following blinatumomab administration was evaluated with physiologically based pharmacokinetic (PBPK) modelling and simulations were conducted to evaluate the effect of blinatumomab-induced cytokine elevation on CYP450 activities (Study 117730).</w:t>
      </w:r>
    </w:p>
    <w:p w14:paraId="501541CB" w14:textId="77777777" w:rsidR="00F31F9F" w:rsidRPr="00F31F9F" w:rsidRDefault="00F31F9F" w:rsidP="00F31F9F">
      <w:pPr>
        <w:rPr>
          <w:lang w:eastAsia="ja-JP"/>
        </w:rPr>
      </w:pPr>
      <w:r w:rsidRPr="00F31F9F">
        <w:rPr>
          <w:lang w:eastAsia="ja-JP"/>
        </w:rPr>
        <w:t>Formal pharmacokinetic studies in subjects with renal impairment or hepatic impairment were not conducted. The effects of renal and hepatic impairment on blinatumomab pharmacokinetics were assessed by retrospective analysis of data from the 4 adult clinical trials.</w:t>
      </w:r>
    </w:p>
    <w:p w14:paraId="5A89F7DD" w14:textId="77777777" w:rsidR="00F31F9F" w:rsidRPr="00F31F9F" w:rsidRDefault="00F31F9F" w:rsidP="00F31F9F">
      <w:pPr>
        <w:rPr>
          <w:lang w:eastAsia="ja-JP"/>
        </w:rPr>
      </w:pPr>
      <w:r w:rsidRPr="00F31F9F">
        <w:rPr>
          <w:lang w:eastAsia="ja-JP"/>
        </w:rPr>
        <w:t>No thorough QTc study was conducted. The relationship between blinatumomab concentrations and QT prolongation was assessed using the integrated data from Studies MT103-203 and MT103</w:t>
      </w:r>
      <w:r w:rsidRPr="00000368">
        <w:rPr>
          <w:lang w:eastAsia="ja-JP"/>
        </w:rPr>
        <w:t>-</w:t>
      </w:r>
      <w:r w:rsidRPr="00F31F9F">
        <w:rPr>
          <w:lang w:eastAsia="ja-JP"/>
        </w:rPr>
        <w:t>206.</w:t>
      </w:r>
    </w:p>
    <w:p w14:paraId="79F6C16F" w14:textId="77777777" w:rsidR="00F31F9F" w:rsidRPr="00F31F9F" w:rsidRDefault="00F31F9F" w:rsidP="002D00ED">
      <w:pPr>
        <w:pStyle w:val="Heading4"/>
      </w:pPr>
      <w:bookmarkStart w:id="47" w:name="_Toc292015566"/>
      <w:bookmarkStart w:id="48" w:name="_Ref271189106"/>
      <w:bookmarkStart w:id="49" w:name="_Ref271189143"/>
      <w:bookmarkStart w:id="50" w:name="_Toc272414618"/>
      <w:bookmarkStart w:id="51" w:name="_Toc290846241"/>
      <w:r w:rsidRPr="00F31F9F">
        <w:t>Physicochemical characteristics of the active substance</w:t>
      </w:r>
      <w:bookmarkEnd w:id="47"/>
    </w:p>
    <w:p w14:paraId="0A67AB99" w14:textId="59FD80BA" w:rsidR="00F31F9F" w:rsidRPr="00F31F9F" w:rsidRDefault="00F31F9F" w:rsidP="00F31F9F">
      <w:pPr>
        <w:rPr>
          <w:lang w:eastAsia="ja-JP"/>
        </w:rPr>
      </w:pPr>
      <w:r w:rsidRPr="00F31F9F">
        <w:rPr>
          <w:lang w:eastAsia="ja-JP"/>
        </w:rPr>
        <w:t xml:space="preserve">Blinatumomab is a </w:t>
      </w:r>
      <w:r w:rsidR="002D00ED">
        <w:rPr>
          <w:lang w:eastAsia="ja-JP"/>
        </w:rPr>
        <w:t>bispecific T cell engager (BiTE</w:t>
      </w:r>
      <w:r w:rsidRPr="00F31F9F">
        <w:rPr>
          <w:lang w:eastAsia="ja-JP"/>
        </w:rPr>
        <w:t>) antibody construct that selectively binds with high affinity to CD19 (expressed on cells of B-lineage origin) and CD3 (expressed on T cells). Using recombinant DNA technology, Blinc</w:t>
      </w:r>
      <w:r w:rsidR="00000368">
        <w:rPr>
          <w:lang w:eastAsia="ja-JP"/>
        </w:rPr>
        <w:t xml:space="preserve">yto is produced in a well </w:t>
      </w:r>
      <w:r w:rsidRPr="00F31F9F">
        <w:rPr>
          <w:lang w:eastAsia="ja-JP"/>
        </w:rPr>
        <w:t>characterised mammalian cell (Chinese hamster ovary) culture. It consists of 504 amino acids and has a molecular weight of approximately 54 kilodaltons.</w:t>
      </w:r>
    </w:p>
    <w:p w14:paraId="462ED231" w14:textId="77777777" w:rsidR="00F31F9F" w:rsidRPr="00F31F9F" w:rsidRDefault="00F31F9F" w:rsidP="00F214D5">
      <w:pPr>
        <w:pStyle w:val="Heading4"/>
      </w:pPr>
      <w:bookmarkStart w:id="52" w:name="_Toc241374292"/>
      <w:bookmarkStart w:id="53" w:name="_Ref271189131"/>
      <w:bookmarkStart w:id="54" w:name="_Ref271189136"/>
      <w:bookmarkStart w:id="55" w:name="_Toc272414625"/>
      <w:bookmarkStart w:id="56" w:name="_Toc290846248"/>
      <w:bookmarkStart w:id="57" w:name="_Toc292015567"/>
      <w:bookmarkEnd w:id="48"/>
      <w:bookmarkEnd w:id="49"/>
      <w:bookmarkEnd w:id="50"/>
      <w:bookmarkEnd w:id="51"/>
      <w:r w:rsidRPr="00F31F9F">
        <w:t>Pharmacokinetics in the target population</w:t>
      </w:r>
      <w:bookmarkEnd w:id="52"/>
      <w:bookmarkEnd w:id="53"/>
      <w:bookmarkEnd w:id="54"/>
      <w:bookmarkEnd w:id="55"/>
      <w:bookmarkEnd w:id="56"/>
      <w:bookmarkEnd w:id="57"/>
    </w:p>
    <w:p w14:paraId="0D4271D4" w14:textId="337CC647" w:rsidR="00F31F9F" w:rsidRPr="00F31F9F" w:rsidRDefault="00F214D5" w:rsidP="00F214D5">
      <w:pPr>
        <w:pStyle w:val="Heading5"/>
      </w:pPr>
      <w:bookmarkStart w:id="58" w:name="_Toc292015568"/>
      <w:bookmarkStart w:id="59" w:name="_Toc241374293"/>
      <w:r>
        <w:t>Pharmacokinetic a</w:t>
      </w:r>
      <w:r w:rsidR="00F31F9F" w:rsidRPr="00F31F9F">
        <w:t>ssessments</w:t>
      </w:r>
      <w:bookmarkEnd w:id="58"/>
    </w:p>
    <w:p w14:paraId="49158531" w14:textId="1BCC5E1E" w:rsidR="00F31F9F" w:rsidRPr="00F31F9F" w:rsidRDefault="00F31F9F" w:rsidP="00F31F9F">
      <w:pPr>
        <w:rPr>
          <w:lang w:eastAsia="ja-JP"/>
        </w:rPr>
      </w:pPr>
      <w:r w:rsidRPr="00F31F9F">
        <w:rPr>
          <w:lang w:eastAsia="ja-JP"/>
        </w:rPr>
        <w:t>The pharmacokinetic sampling strategy for each study (either intense or limited serial sampling) is indica</w:t>
      </w:r>
      <w:r w:rsidR="00F214D5">
        <w:rPr>
          <w:lang w:eastAsia="ja-JP"/>
        </w:rPr>
        <w:t>ted below in Table 2</w:t>
      </w:r>
      <w:r w:rsidRPr="00F31F9F">
        <w:rPr>
          <w:lang w:eastAsia="ja-JP"/>
        </w:rPr>
        <w:t>. A validated bioassay was used to quantify serum blinatumomab concentrations. The assay is based on the principle that the CD69 activation marker is expressed on T cells in a blinatumomab concentration dependent manner; therefore the assay m</w:t>
      </w:r>
      <w:r w:rsidR="00F214D5">
        <w:rPr>
          <w:lang w:eastAsia="ja-JP"/>
        </w:rPr>
        <w:t>easures ‘active form’</w:t>
      </w:r>
      <w:r w:rsidRPr="00F31F9F">
        <w:rPr>
          <w:lang w:eastAsia="ja-JP"/>
        </w:rPr>
        <w:t xml:space="preserve"> of blinatumomab. The pharmacokinetic parameters of blinatumomab were analysed by non-compartmental analysis and popul</w:t>
      </w:r>
      <w:r w:rsidR="00F214D5">
        <w:rPr>
          <w:lang w:eastAsia="ja-JP"/>
        </w:rPr>
        <w:t>ation pharmacokinetic analysis.</w:t>
      </w:r>
    </w:p>
    <w:p w14:paraId="59A384F6" w14:textId="45C72B50" w:rsidR="00F31F9F" w:rsidRPr="00F31F9F" w:rsidRDefault="00F214D5" w:rsidP="00F214D5">
      <w:pPr>
        <w:pStyle w:val="Heading5"/>
      </w:pPr>
      <w:bookmarkStart w:id="60" w:name="_Toc292015569"/>
      <w:r>
        <w:t>Immunogenicity a</w:t>
      </w:r>
      <w:r w:rsidR="00F31F9F" w:rsidRPr="00F31F9F">
        <w:t>ssessments</w:t>
      </w:r>
      <w:bookmarkEnd w:id="60"/>
    </w:p>
    <w:p w14:paraId="7130BB3D" w14:textId="574E3BA1" w:rsidR="00F31F9F" w:rsidRPr="00F31F9F" w:rsidRDefault="00F31F9F" w:rsidP="00F31F9F">
      <w:pPr>
        <w:rPr>
          <w:lang w:eastAsia="ja-JP"/>
        </w:rPr>
      </w:pPr>
      <w:r w:rsidRPr="00F31F9F">
        <w:rPr>
          <w:lang w:eastAsia="ja-JP"/>
        </w:rPr>
        <w:t>Subjects were monitored throughout each study to characte</w:t>
      </w:r>
      <w:r w:rsidR="00F214D5">
        <w:rPr>
          <w:lang w:eastAsia="ja-JP"/>
        </w:rPr>
        <w:t>ris</w:t>
      </w:r>
      <w:r w:rsidRPr="00F31F9F">
        <w:rPr>
          <w:lang w:eastAsia="ja-JP"/>
        </w:rPr>
        <w:t>e the development of anti-blinatumomab antibodies and to explore the impact of any positive anti-drug antibody (ADA) on the pharmacokinetics of blinatumomab. Immunogenicity was assessed by a validated ELISA method to determine if anti-idiotype antibodies di</w:t>
      </w:r>
      <w:r w:rsidR="00000368">
        <w:rPr>
          <w:lang w:eastAsia="ja-JP"/>
        </w:rPr>
        <w:t>rected against blinatumomab and</w:t>
      </w:r>
      <w:r w:rsidRPr="00F31F9F">
        <w:rPr>
          <w:lang w:eastAsia="ja-JP"/>
        </w:rPr>
        <w:t>/or human anti-mo</w:t>
      </w:r>
      <w:r w:rsidR="00F214D5">
        <w:rPr>
          <w:lang w:eastAsia="ja-JP"/>
        </w:rPr>
        <w:t>use antibodies were detectable.</w:t>
      </w:r>
    </w:p>
    <w:p w14:paraId="758C063F" w14:textId="117F0862" w:rsidR="00F31F9F" w:rsidRPr="00F31F9F" w:rsidRDefault="00F214D5" w:rsidP="00BA262E">
      <w:pPr>
        <w:pStyle w:val="Heading3"/>
      </w:pPr>
      <w:bookmarkStart w:id="61" w:name="_Toc292015570"/>
      <w:bookmarkStart w:id="62" w:name="_Toc505762971"/>
      <w:r>
        <w:t>Summary of results of individual s</w:t>
      </w:r>
      <w:r w:rsidR="00F31F9F" w:rsidRPr="00F31F9F">
        <w:t>tudies</w:t>
      </w:r>
      <w:bookmarkEnd w:id="61"/>
      <w:bookmarkEnd w:id="62"/>
    </w:p>
    <w:p w14:paraId="6C5C071A" w14:textId="6F527A42" w:rsidR="00F31F9F" w:rsidRPr="00F31F9F" w:rsidRDefault="00F214D5" w:rsidP="00F31F9F">
      <w:pPr>
        <w:rPr>
          <w:lang w:eastAsia="ja-JP"/>
        </w:rPr>
      </w:pPr>
      <w:r>
        <w:rPr>
          <w:lang w:eastAsia="ja-JP"/>
        </w:rPr>
        <w:t>Table 2</w:t>
      </w:r>
      <w:r w:rsidR="00000368">
        <w:rPr>
          <w:lang w:eastAsia="ja-JP"/>
        </w:rPr>
        <w:t>, shown below,</w:t>
      </w:r>
      <w:r w:rsidR="00F31F9F" w:rsidRPr="00F31F9F">
        <w:rPr>
          <w:lang w:eastAsia="ja-JP"/>
        </w:rPr>
        <w:t xml:space="preserve"> provides brief descriptions of the 4 adult and 1 paediatric clinical studies included in this summary of clinical pharmacology. Information includes main study design components, key study results, and pharmacokinetic/pharmacodynamic assessments. Further details are provi</w:t>
      </w:r>
      <w:r>
        <w:rPr>
          <w:lang w:eastAsia="ja-JP"/>
        </w:rPr>
        <w:t>ded in the subsequent sections.</w:t>
      </w:r>
    </w:p>
    <w:p w14:paraId="2BEDB917" w14:textId="6066FE31" w:rsidR="00F31F9F" w:rsidRPr="00F31F9F" w:rsidRDefault="006B3B14" w:rsidP="00950181">
      <w:pPr>
        <w:pStyle w:val="Tabletitle"/>
        <w:rPr>
          <w:lang w:eastAsia="ja-JP"/>
        </w:rPr>
      </w:pPr>
      <w:bookmarkStart w:id="63" w:name="_Toc292015685"/>
      <w:r>
        <w:rPr>
          <w:lang w:eastAsia="ja-JP"/>
        </w:rPr>
        <w:t>Table 2:</w:t>
      </w:r>
      <w:r w:rsidR="00113DF8">
        <w:rPr>
          <w:lang w:eastAsia="ja-JP"/>
        </w:rPr>
        <w:t xml:space="preserve"> Blinatumomab pharmacokinetic p</w:t>
      </w:r>
      <w:r w:rsidR="00F31F9F" w:rsidRPr="00F31F9F">
        <w:rPr>
          <w:lang w:eastAsia="ja-JP"/>
        </w:rPr>
        <w:t>arameter</w:t>
      </w:r>
      <w:r w:rsidR="00113DF8">
        <w:rPr>
          <w:lang w:eastAsia="ja-JP"/>
        </w:rPr>
        <w:t xml:space="preserve"> estimates following continuous IV infusion in adult s</w:t>
      </w:r>
      <w:r w:rsidR="00F31F9F" w:rsidRPr="00F31F9F">
        <w:rPr>
          <w:lang w:eastAsia="ja-JP"/>
        </w:rPr>
        <w:t>ubjects with NHL, MRD+ ALL, and R/R ALL</w:t>
      </w:r>
      <w:bookmarkEnd w:id="63"/>
    </w:p>
    <w:tbl>
      <w:tblPr>
        <w:tblStyle w:val="TableTGAblue"/>
        <w:tblW w:w="9059" w:type="dxa"/>
        <w:tblLook w:val="04A0" w:firstRow="1" w:lastRow="0" w:firstColumn="1" w:lastColumn="0" w:noHBand="0" w:noVBand="1"/>
        <w:tblDescription w:val="Table 2: Blinatumomab pharmacokinetic parameter estimates following continuous IV infusion in adult subjects with NHL, MRD+ ALL, and R"/>
      </w:tblPr>
      <w:tblGrid>
        <w:gridCol w:w="722"/>
        <w:gridCol w:w="1574"/>
        <w:gridCol w:w="1564"/>
        <w:gridCol w:w="1479"/>
        <w:gridCol w:w="1297"/>
        <w:gridCol w:w="1109"/>
        <w:gridCol w:w="1497"/>
      </w:tblGrid>
      <w:tr w:rsidR="00000368" w:rsidRPr="00586C19" w14:paraId="1B923B47" w14:textId="77777777" w:rsidTr="007B270B">
        <w:trPr>
          <w:cnfStyle w:val="100000000000" w:firstRow="1" w:lastRow="0" w:firstColumn="0" w:lastColumn="0" w:oddVBand="0" w:evenVBand="0" w:oddHBand="0" w:evenHBand="0" w:firstRowFirstColumn="0" w:firstRowLastColumn="0" w:lastRowFirstColumn="0" w:lastRowLastColumn="0"/>
          <w:cantSplit/>
          <w:trHeight w:val="1448"/>
          <w:tblHeader/>
        </w:trPr>
        <w:tc>
          <w:tcPr>
            <w:cnfStyle w:val="001000000000" w:firstRow="0" w:lastRow="0" w:firstColumn="1" w:lastColumn="0" w:oddVBand="0" w:evenVBand="0" w:oddHBand="0" w:evenHBand="0" w:firstRowFirstColumn="0" w:firstRowLastColumn="0" w:lastRowFirstColumn="0" w:lastRowLastColumn="0"/>
            <w:tcW w:w="708" w:type="dxa"/>
          </w:tcPr>
          <w:p w14:paraId="59E2816B" w14:textId="2921BF1E" w:rsidR="00F31F9F" w:rsidRPr="00586C19" w:rsidRDefault="00113DF8" w:rsidP="00586C19">
            <w:pPr>
              <w:keepNext/>
              <w:ind w:left="0" w:right="0"/>
              <w:rPr>
                <w:bCs/>
                <w:sz w:val="20"/>
                <w:szCs w:val="20"/>
                <w:lang w:eastAsia="ja-JP"/>
              </w:rPr>
            </w:pPr>
            <w:r w:rsidRPr="00586C19">
              <w:rPr>
                <w:bCs/>
                <w:sz w:val="20"/>
                <w:szCs w:val="20"/>
                <w:lang w:eastAsia="ja-JP"/>
              </w:rPr>
              <w:t xml:space="preserve">Study </w:t>
            </w:r>
            <w:r w:rsidR="00000368" w:rsidRPr="00586C19">
              <w:rPr>
                <w:bCs/>
                <w:sz w:val="20"/>
                <w:szCs w:val="20"/>
                <w:lang w:eastAsia="ja-JP"/>
              </w:rPr>
              <w:t>ID</w:t>
            </w:r>
          </w:p>
        </w:tc>
        <w:tc>
          <w:tcPr>
            <w:tcW w:w="1543" w:type="dxa"/>
          </w:tcPr>
          <w:p w14:paraId="618BCC72" w14:textId="5B8D46E1" w:rsidR="00F31F9F" w:rsidRPr="00586C19" w:rsidRDefault="00113DF8" w:rsidP="00586C19">
            <w:pPr>
              <w:keepNext/>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Study design; o</w:t>
            </w:r>
            <w:r w:rsidR="00F31F9F" w:rsidRPr="00586C19">
              <w:rPr>
                <w:bCs/>
                <w:sz w:val="20"/>
                <w:szCs w:val="20"/>
                <w:lang w:eastAsia="ja-JP"/>
              </w:rPr>
              <w:t>bjectives</w:t>
            </w:r>
          </w:p>
        </w:tc>
        <w:tc>
          <w:tcPr>
            <w:tcW w:w="1533" w:type="dxa"/>
          </w:tcPr>
          <w:p w14:paraId="4B2F24CE" w14:textId="507020CB" w:rsidR="00F31F9F" w:rsidRPr="00586C19" w:rsidRDefault="00113DF8" w:rsidP="00586C19">
            <w:pPr>
              <w:keepNext/>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Test products, dosage regimens, and route of a</w:t>
            </w:r>
            <w:r w:rsidR="00F31F9F" w:rsidRPr="00586C19">
              <w:rPr>
                <w:bCs/>
                <w:sz w:val="20"/>
                <w:szCs w:val="20"/>
                <w:lang w:eastAsia="ja-JP"/>
              </w:rPr>
              <w:t>dministration</w:t>
            </w:r>
          </w:p>
        </w:tc>
        <w:tc>
          <w:tcPr>
            <w:tcW w:w="1450" w:type="dxa"/>
          </w:tcPr>
          <w:p w14:paraId="6AA3C22F" w14:textId="4625E5F2" w:rsidR="00F31F9F" w:rsidRPr="00586C19" w:rsidRDefault="00113DF8" w:rsidP="00586C19">
            <w:pPr>
              <w:keepNext/>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Key entry c</w:t>
            </w:r>
            <w:r w:rsidR="00F31F9F" w:rsidRPr="00586C19">
              <w:rPr>
                <w:bCs/>
                <w:sz w:val="20"/>
                <w:szCs w:val="20"/>
                <w:lang w:eastAsia="ja-JP"/>
              </w:rPr>
              <w:t>riteria</w:t>
            </w:r>
          </w:p>
        </w:tc>
        <w:tc>
          <w:tcPr>
            <w:tcW w:w="1271" w:type="dxa"/>
          </w:tcPr>
          <w:p w14:paraId="275D6CA0" w14:textId="26AF0DF9" w:rsidR="00F31F9F" w:rsidRPr="00586C19" w:rsidRDefault="00113DF8" w:rsidP="00586C19">
            <w:pPr>
              <w:keepNext/>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Number of s</w:t>
            </w:r>
            <w:r w:rsidR="00F31F9F" w:rsidRPr="00586C19">
              <w:rPr>
                <w:bCs/>
                <w:sz w:val="20"/>
                <w:szCs w:val="20"/>
                <w:lang w:eastAsia="ja-JP"/>
              </w:rPr>
              <w:t xml:space="preserve">ubjects </w:t>
            </w:r>
            <w:r w:rsidRPr="00586C19">
              <w:rPr>
                <w:bCs/>
                <w:sz w:val="20"/>
                <w:szCs w:val="20"/>
                <w:lang w:eastAsia="ja-JP"/>
              </w:rPr>
              <w:t>r</w:t>
            </w:r>
            <w:r w:rsidR="00070E8B" w:rsidRPr="00586C19">
              <w:rPr>
                <w:bCs/>
                <w:sz w:val="20"/>
                <w:szCs w:val="20"/>
                <w:lang w:eastAsia="ja-JP"/>
              </w:rPr>
              <w:t>andomised</w:t>
            </w:r>
          </w:p>
        </w:tc>
        <w:tc>
          <w:tcPr>
            <w:tcW w:w="1087" w:type="dxa"/>
          </w:tcPr>
          <w:p w14:paraId="461D1103" w14:textId="74E26791" w:rsidR="00F31F9F" w:rsidRPr="00586C19" w:rsidRDefault="00113DF8" w:rsidP="00586C19">
            <w:pPr>
              <w:keepNext/>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PK/PD s</w:t>
            </w:r>
            <w:r w:rsidR="00F31F9F" w:rsidRPr="00586C19">
              <w:rPr>
                <w:bCs/>
                <w:sz w:val="20"/>
                <w:szCs w:val="20"/>
                <w:lang w:eastAsia="ja-JP"/>
              </w:rPr>
              <w:t xml:space="preserve">ampling </w:t>
            </w:r>
            <w:r w:rsidR="00000368" w:rsidRPr="00586C19">
              <w:rPr>
                <w:bCs/>
                <w:sz w:val="20"/>
                <w:szCs w:val="20"/>
                <w:lang w:eastAsia="ja-JP"/>
              </w:rPr>
              <w:t>sc</w:t>
            </w:r>
            <w:r w:rsidRPr="00586C19">
              <w:rPr>
                <w:bCs/>
                <w:sz w:val="20"/>
                <w:szCs w:val="20"/>
                <w:lang w:eastAsia="ja-JP"/>
              </w:rPr>
              <w:t>heme (</w:t>
            </w:r>
            <w:r w:rsidR="00F31F9F" w:rsidRPr="00586C19">
              <w:rPr>
                <w:bCs/>
                <w:sz w:val="20"/>
                <w:szCs w:val="20"/>
                <w:lang w:eastAsia="ja-JP"/>
              </w:rPr>
              <w:t>subjects)</w:t>
            </w:r>
          </w:p>
        </w:tc>
        <w:tc>
          <w:tcPr>
            <w:tcW w:w="1467" w:type="dxa"/>
          </w:tcPr>
          <w:p w14:paraId="64228697" w14:textId="15582FE8" w:rsidR="00F31F9F" w:rsidRPr="00586C19" w:rsidRDefault="00000368" w:rsidP="00586C19">
            <w:pPr>
              <w:keepNext/>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Key study and</w:t>
            </w:r>
            <w:r w:rsidR="00F31F9F" w:rsidRPr="00586C19">
              <w:rPr>
                <w:bCs/>
                <w:sz w:val="20"/>
                <w:szCs w:val="20"/>
                <w:lang w:eastAsia="ja-JP"/>
              </w:rPr>
              <w:t xml:space="preserve"> </w:t>
            </w:r>
            <w:r w:rsidRPr="00586C19">
              <w:rPr>
                <w:bCs/>
                <w:sz w:val="20"/>
                <w:szCs w:val="20"/>
                <w:lang w:eastAsia="ja-JP"/>
              </w:rPr>
              <w:t>c</w:t>
            </w:r>
            <w:r w:rsidR="00F31F9F" w:rsidRPr="00586C19">
              <w:rPr>
                <w:bCs/>
                <w:sz w:val="20"/>
                <w:szCs w:val="20"/>
                <w:lang w:eastAsia="ja-JP"/>
              </w:rPr>
              <w:t xml:space="preserve">linical </w:t>
            </w:r>
            <w:r w:rsidRPr="00586C19">
              <w:rPr>
                <w:bCs/>
                <w:sz w:val="20"/>
                <w:szCs w:val="20"/>
                <w:lang w:eastAsia="ja-JP"/>
              </w:rPr>
              <w:t>p</w:t>
            </w:r>
            <w:r w:rsidR="00F31F9F" w:rsidRPr="00586C19">
              <w:rPr>
                <w:bCs/>
                <w:sz w:val="20"/>
                <w:szCs w:val="20"/>
                <w:lang w:eastAsia="ja-JP"/>
              </w:rPr>
              <w:t xml:space="preserve">harmacology </w:t>
            </w:r>
            <w:r w:rsidRPr="00586C19">
              <w:rPr>
                <w:bCs/>
                <w:sz w:val="20"/>
                <w:szCs w:val="20"/>
                <w:lang w:eastAsia="ja-JP"/>
              </w:rPr>
              <w:t>r</w:t>
            </w:r>
            <w:r w:rsidR="00F31F9F" w:rsidRPr="00586C19">
              <w:rPr>
                <w:bCs/>
                <w:sz w:val="20"/>
                <w:szCs w:val="20"/>
                <w:lang w:eastAsia="ja-JP"/>
              </w:rPr>
              <w:t>esults</w:t>
            </w:r>
          </w:p>
        </w:tc>
      </w:tr>
      <w:tr w:rsidR="00000368" w:rsidRPr="00586C19" w14:paraId="41B9FE03" w14:textId="77777777" w:rsidTr="007B270B">
        <w:trPr>
          <w:cantSplit/>
          <w:trHeight w:val="7457"/>
        </w:trPr>
        <w:tc>
          <w:tcPr>
            <w:cnfStyle w:val="001000000000" w:firstRow="0" w:lastRow="0" w:firstColumn="1" w:lastColumn="0" w:oddVBand="0" w:evenVBand="0" w:oddHBand="0" w:evenHBand="0" w:firstRowFirstColumn="0" w:firstRowLastColumn="0" w:lastRowFirstColumn="0" w:lastRowLastColumn="0"/>
            <w:tcW w:w="708" w:type="dxa"/>
          </w:tcPr>
          <w:p w14:paraId="53F8E643" w14:textId="77777777" w:rsidR="00F31F9F" w:rsidRPr="00586C19" w:rsidRDefault="00F31F9F" w:rsidP="00586C19">
            <w:pPr>
              <w:keepNext/>
              <w:ind w:left="0" w:right="0"/>
              <w:rPr>
                <w:sz w:val="20"/>
                <w:szCs w:val="20"/>
                <w:lang w:eastAsia="ja-JP"/>
              </w:rPr>
            </w:pPr>
            <w:r w:rsidRPr="00586C19">
              <w:rPr>
                <w:sz w:val="20"/>
                <w:szCs w:val="20"/>
                <w:lang w:eastAsia="ja-JP"/>
              </w:rPr>
              <w:t>MT 103-104</w:t>
            </w:r>
          </w:p>
        </w:tc>
        <w:tc>
          <w:tcPr>
            <w:tcW w:w="1543" w:type="dxa"/>
          </w:tcPr>
          <w:p w14:paraId="0EA67F85" w14:textId="7D145565" w:rsidR="00F31F9F" w:rsidRPr="00586C19" w:rsidRDefault="0018721C" w:rsidP="00586C1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roofErr w:type="gramStart"/>
            <w:r w:rsidRPr="00586C19">
              <w:rPr>
                <w:sz w:val="20"/>
                <w:szCs w:val="20"/>
                <w:lang w:eastAsia="ja-JP"/>
              </w:rPr>
              <w:t>Phase</w:t>
            </w:r>
            <w:proofErr w:type="gramEnd"/>
            <w:r w:rsidRPr="00586C19">
              <w:rPr>
                <w:sz w:val="20"/>
                <w:szCs w:val="20"/>
                <w:lang w:eastAsia="ja-JP"/>
              </w:rPr>
              <w:t xml:space="preserve"> I</w:t>
            </w:r>
            <w:r w:rsidR="00113DF8" w:rsidRPr="00586C19">
              <w:rPr>
                <w:sz w:val="20"/>
                <w:szCs w:val="20"/>
                <w:lang w:eastAsia="ja-JP"/>
              </w:rPr>
              <w:t>, non</w:t>
            </w:r>
            <w:r w:rsidR="00070E8B" w:rsidRPr="00586C19">
              <w:rPr>
                <w:sz w:val="20"/>
                <w:szCs w:val="20"/>
                <w:lang w:eastAsia="ja-JP"/>
              </w:rPr>
              <w:t>randomised</w:t>
            </w:r>
            <w:r w:rsidR="00F31F9F" w:rsidRPr="00586C19">
              <w:rPr>
                <w:sz w:val="20"/>
                <w:szCs w:val="20"/>
                <w:lang w:eastAsia="ja-JP"/>
              </w:rPr>
              <w:t>, non</w:t>
            </w:r>
            <w:r w:rsidR="00113DF8" w:rsidRPr="00586C19">
              <w:rPr>
                <w:sz w:val="20"/>
                <w:szCs w:val="20"/>
                <w:lang w:eastAsia="ja-JP"/>
              </w:rPr>
              <w:t>-</w:t>
            </w:r>
            <w:r w:rsidR="00070E8B" w:rsidRPr="00586C19">
              <w:rPr>
                <w:sz w:val="20"/>
                <w:szCs w:val="20"/>
                <w:lang w:eastAsia="ja-JP"/>
              </w:rPr>
              <w:t>control</w:t>
            </w:r>
            <w:r w:rsidR="00F31F9F" w:rsidRPr="00586C19">
              <w:rPr>
                <w:sz w:val="20"/>
                <w:szCs w:val="20"/>
                <w:lang w:eastAsia="ja-JP"/>
              </w:rPr>
              <w:t xml:space="preserve">led, </w:t>
            </w:r>
            <w:r w:rsidR="00070E8B" w:rsidRPr="00586C19">
              <w:rPr>
                <w:sz w:val="20"/>
                <w:szCs w:val="20"/>
                <w:lang w:eastAsia="ja-JP"/>
              </w:rPr>
              <w:t>open label</w:t>
            </w:r>
            <w:r w:rsidR="00F31F9F" w:rsidRPr="00586C19">
              <w:rPr>
                <w:sz w:val="20"/>
                <w:szCs w:val="20"/>
                <w:lang w:eastAsia="ja-JP"/>
              </w:rPr>
              <w:t>, interpatient dose escalation study to determine the maximal tolerable dose, PK, PD, and antitumor activity</w:t>
            </w:r>
            <w:r w:rsidR="00D50F7E" w:rsidRPr="00586C19">
              <w:rPr>
                <w:sz w:val="20"/>
                <w:szCs w:val="20"/>
                <w:lang w:eastAsia="ja-JP"/>
              </w:rPr>
              <w:t>.</w:t>
            </w:r>
          </w:p>
        </w:tc>
        <w:tc>
          <w:tcPr>
            <w:tcW w:w="1533" w:type="dxa"/>
          </w:tcPr>
          <w:p w14:paraId="2476C95D" w14:textId="397B39AB" w:rsidR="00F31F9F" w:rsidRPr="00586C19" w:rsidRDefault="00F31F9F" w:rsidP="00586C1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CTM4, 0.5, 1.5, 5, 15, 30, 60, and 90</w:t>
            </w:r>
            <w:r w:rsidR="00000368" w:rsidRPr="00586C19">
              <w:rPr>
                <w:sz w:val="20"/>
                <w:szCs w:val="20"/>
                <w:lang w:eastAsia="ja-JP"/>
              </w:rPr>
              <w:t> </w:t>
            </w:r>
            <w:r w:rsidR="0018721C" w:rsidRPr="00586C19">
              <w:rPr>
                <w:sz w:val="20"/>
                <w:szCs w:val="20"/>
                <w:lang w:eastAsia="ja-JP"/>
              </w:rPr>
              <w:t>µg</w:t>
            </w:r>
            <w:r w:rsidR="00BA262E" w:rsidRPr="00586C19">
              <w:rPr>
                <w:sz w:val="20"/>
                <w:szCs w:val="20"/>
                <w:lang w:eastAsia="ja-JP"/>
              </w:rPr>
              <w:t xml:space="preserve">/m²/day cIV for 4 to </w:t>
            </w:r>
            <w:r w:rsidRPr="00586C19">
              <w:rPr>
                <w:sz w:val="20"/>
                <w:szCs w:val="20"/>
                <w:lang w:eastAsia="ja-JP"/>
              </w:rPr>
              <w:t>8 weeks</w:t>
            </w:r>
          </w:p>
        </w:tc>
        <w:tc>
          <w:tcPr>
            <w:tcW w:w="1450" w:type="dxa"/>
          </w:tcPr>
          <w:p w14:paraId="7C17C987" w14:textId="77777777" w:rsidR="00F31F9F" w:rsidRPr="00586C19" w:rsidRDefault="00F31F9F" w:rsidP="00586C1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Adults with relapsed NHL</w:t>
            </w:r>
          </w:p>
        </w:tc>
        <w:tc>
          <w:tcPr>
            <w:tcW w:w="1271" w:type="dxa"/>
          </w:tcPr>
          <w:p w14:paraId="379B2A98" w14:textId="77777777" w:rsidR="00F31F9F" w:rsidRPr="00586C19" w:rsidRDefault="00F31F9F" w:rsidP="00586C1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76</w:t>
            </w:r>
          </w:p>
        </w:tc>
        <w:tc>
          <w:tcPr>
            <w:tcW w:w="1087" w:type="dxa"/>
          </w:tcPr>
          <w:p w14:paraId="56BDC815" w14:textId="77777777" w:rsidR="00F31F9F" w:rsidRPr="00586C19" w:rsidRDefault="00F31F9F" w:rsidP="00586C1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Intensive (76)</w:t>
            </w:r>
          </w:p>
        </w:tc>
        <w:tc>
          <w:tcPr>
            <w:tcW w:w="1467" w:type="dxa"/>
          </w:tcPr>
          <w:p w14:paraId="49B1B6AE" w14:textId="33174674" w:rsidR="00F31F9F" w:rsidRPr="00586C19" w:rsidRDefault="00F31F9F" w:rsidP="00586C1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roofErr w:type="gramStart"/>
            <w:r w:rsidRPr="00586C19">
              <w:rPr>
                <w:sz w:val="20"/>
                <w:szCs w:val="20"/>
                <w:lang w:eastAsia="ja-JP"/>
              </w:rPr>
              <w:t>60</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/m²/day</w:t>
            </w:r>
            <w:proofErr w:type="gramEnd"/>
            <w:r w:rsidRPr="00586C19">
              <w:rPr>
                <w:sz w:val="20"/>
                <w:szCs w:val="20"/>
                <w:lang w:eastAsia="ja-JP"/>
              </w:rPr>
              <w:t xml:space="preserve"> was identified as the maximal tolerable blinatumomab dose based on efficac</w:t>
            </w:r>
            <w:r w:rsidR="00D50F7E" w:rsidRPr="00586C19">
              <w:rPr>
                <w:sz w:val="20"/>
                <w:szCs w:val="20"/>
                <w:lang w:eastAsia="ja-JP"/>
              </w:rPr>
              <w:t>y (69% objective response rate (ORR)</w:t>
            </w:r>
            <w:r w:rsidRPr="00586C19">
              <w:rPr>
                <w:sz w:val="20"/>
                <w:szCs w:val="20"/>
                <w:lang w:eastAsia="ja-JP"/>
              </w:rPr>
              <w:t xml:space="preserve">) and safety/ tolerability profiles. PK was linear with cIV infusion </w:t>
            </w:r>
            <w:proofErr w:type="gramStart"/>
            <w:r w:rsidRPr="00586C19">
              <w:rPr>
                <w:sz w:val="20"/>
                <w:szCs w:val="20"/>
                <w:lang w:eastAsia="ja-JP"/>
              </w:rPr>
              <w:t>up to 90</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w:t>
            </w:r>
            <w:r w:rsidRPr="00586C19">
              <w:rPr>
                <w:sz w:val="20"/>
                <w:szCs w:val="20"/>
                <w:vertAlign w:val="superscript"/>
                <w:lang w:eastAsia="ja-JP"/>
              </w:rPr>
              <w:t>2</w:t>
            </w:r>
            <w:r w:rsidRPr="00586C19">
              <w:rPr>
                <w:sz w:val="20"/>
                <w:szCs w:val="20"/>
                <w:lang w:eastAsia="ja-JP"/>
              </w:rPr>
              <w:t>/day</w:t>
            </w:r>
            <w:proofErr w:type="gramEnd"/>
            <w:r w:rsidRPr="00586C19">
              <w:rPr>
                <w:sz w:val="20"/>
                <w:szCs w:val="20"/>
                <w:lang w:eastAsia="ja-JP"/>
              </w:rPr>
              <w:t xml:space="preserve">. Drug exposure was stable over the duration of infusion and systemic clearance was fast with limited renal excretion at the clinical viable doses. </w:t>
            </w:r>
            <w:r w:rsidR="00586C19">
              <w:rPr>
                <w:sz w:val="20"/>
                <w:szCs w:val="20"/>
                <w:lang w:eastAsia="ja-JP"/>
              </w:rPr>
              <w:t>T cell</w:t>
            </w:r>
            <w:r w:rsidRPr="00586C19">
              <w:rPr>
                <w:sz w:val="20"/>
                <w:szCs w:val="20"/>
                <w:lang w:eastAsia="ja-JP"/>
              </w:rPr>
              <w:t>, B-cell and cytokine profiles were character</w:t>
            </w:r>
            <w:r w:rsidR="00D50F7E" w:rsidRPr="00586C19">
              <w:rPr>
                <w:sz w:val="20"/>
                <w:szCs w:val="20"/>
                <w:lang w:eastAsia="ja-JP"/>
              </w:rPr>
              <w:t>ised</w:t>
            </w:r>
            <w:r w:rsidRPr="00586C19">
              <w:rPr>
                <w:sz w:val="20"/>
                <w:szCs w:val="20"/>
                <w:lang w:eastAsia="ja-JP"/>
              </w:rPr>
              <w:t>.</w:t>
            </w:r>
          </w:p>
        </w:tc>
      </w:tr>
      <w:tr w:rsidR="00000368" w:rsidRPr="00586C19" w14:paraId="1C0BCEFC" w14:textId="77777777" w:rsidTr="007B270B">
        <w:trPr>
          <w:cantSplit/>
          <w:trHeight w:val="140"/>
        </w:trPr>
        <w:tc>
          <w:tcPr>
            <w:cnfStyle w:val="001000000000" w:firstRow="0" w:lastRow="0" w:firstColumn="1" w:lastColumn="0" w:oddVBand="0" w:evenVBand="0" w:oddHBand="0" w:evenHBand="0" w:firstRowFirstColumn="0" w:firstRowLastColumn="0" w:lastRowFirstColumn="0" w:lastRowLastColumn="0"/>
            <w:tcW w:w="708" w:type="dxa"/>
          </w:tcPr>
          <w:p w14:paraId="175299E6" w14:textId="77777777" w:rsidR="00F31F9F" w:rsidRPr="00586C19" w:rsidRDefault="00F31F9F" w:rsidP="00586C19">
            <w:pPr>
              <w:ind w:left="0" w:right="0"/>
              <w:rPr>
                <w:sz w:val="20"/>
                <w:szCs w:val="20"/>
                <w:lang w:eastAsia="ja-JP"/>
              </w:rPr>
            </w:pPr>
            <w:r w:rsidRPr="00586C19">
              <w:rPr>
                <w:sz w:val="20"/>
                <w:szCs w:val="20"/>
                <w:lang w:eastAsia="ja-JP"/>
              </w:rPr>
              <w:t>MT 103-202</w:t>
            </w:r>
          </w:p>
        </w:tc>
        <w:tc>
          <w:tcPr>
            <w:tcW w:w="1543" w:type="dxa"/>
          </w:tcPr>
          <w:p w14:paraId="56E6DA1B" w14:textId="53E1262C" w:rsidR="00F31F9F" w:rsidRPr="00586C19" w:rsidRDefault="00A972DD"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II, non randomised, non controlled, open label study to investigate the efficacy (MRD response rate), safety, tolerability, PK, and PD</w:t>
            </w:r>
          </w:p>
        </w:tc>
        <w:tc>
          <w:tcPr>
            <w:tcW w:w="1533" w:type="dxa"/>
          </w:tcPr>
          <w:p w14:paraId="714A1792" w14:textId="42CA8D05"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CTM4, 15 / 30</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/m²/day</w:t>
            </w:r>
            <w:r w:rsidRPr="00586C19">
              <w:rPr>
                <w:sz w:val="20"/>
                <w:szCs w:val="20"/>
                <w:vertAlign w:val="superscript"/>
                <w:lang w:eastAsia="ja-JP"/>
              </w:rPr>
              <w:t>a</w:t>
            </w:r>
            <w:r w:rsidRPr="00586C19">
              <w:rPr>
                <w:sz w:val="20"/>
                <w:szCs w:val="20"/>
                <w:lang w:eastAsia="ja-JP"/>
              </w:rPr>
              <w:t>, cIV for 4 weeks followed by 2 weeks off drug per cycle</w:t>
            </w:r>
          </w:p>
        </w:tc>
        <w:tc>
          <w:tcPr>
            <w:tcW w:w="1450" w:type="dxa"/>
          </w:tcPr>
          <w:p w14:paraId="42772D1B"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Adults with B-precursor ALL in complete haematological remission with MRD</w:t>
            </w:r>
          </w:p>
        </w:tc>
        <w:tc>
          <w:tcPr>
            <w:tcW w:w="1271" w:type="dxa"/>
          </w:tcPr>
          <w:p w14:paraId="710A4264"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21</w:t>
            </w:r>
          </w:p>
        </w:tc>
        <w:tc>
          <w:tcPr>
            <w:tcW w:w="1087" w:type="dxa"/>
          </w:tcPr>
          <w:p w14:paraId="31A1F183"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Intensive (21)</w:t>
            </w:r>
          </w:p>
        </w:tc>
        <w:tc>
          <w:tcPr>
            <w:tcW w:w="1467" w:type="dxa"/>
          </w:tcPr>
          <w:p w14:paraId="2CBAF9BF" w14:textId="18F2345D"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Blinatumomab showed a high </w:t>
            </w:r>
            <w:r w:rsidR="00803B89" w:rsidRPr="00586C19">
              <w:rPr>
                <w:sz w:val="20"/>
                <w:szCs w:val="20"/>
                <w:lang w:eastAsia="ja-JP"/>
              </w:rPr>
              <w:t xml:space="preserve">MRD </w:t>
            </w:r>
            <w:r w:rsidRPr="00586C19">
              <w:rPr>
                <w:sz w:val="20"/>
                <w:szCs w:val="20"/>
                <w:lang w:eastAsia="ja-JP"/>
              </w:rPr>
              <w:t xml:space="preserve">response rate (88%) and a favourable safety profile </w:t>
            </w:r>
            <w:proofErr w:type="gramStart"/>
            <w:r w:rsidRPr="00586C19">
              <w:rPr>
                <w:sz w:val="20"/>
                <w:szCs w:val="20"/>
                <w:lang w:eastAsia="ja-JP"/>
              </w:rPr>
              <w:t>at 15</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/m²/day</w:t>
            </w:r>
            <w:proofErr w:type="gramEnd"/>
            <w:r w:rsidRPr="00586C19">
              <w:rPr>
                <w:sz w:val="20"/>
                <w:szCs w:val="20"/>
                <w:lang w:eastAsia="ja-JP"/>
              </w:rPr>
              <w:t xml:space="preserve">. </w:t>
            </w:r>
            <w:r w:rsidR="005E5C58" w:rsidRPr="00586C19">
              <w:rPr>
                <w:sz w:val="20"/>
                <w:szCs w:val="20"/>
                <w:lang w:eastAsia="ja-JP"/>
              </w:rPr>
              <w:t>C</w:t>
            </w:r>
            <w:r w:rsidR="005E5C58" w:rsidRPr="00586C19">
              <w:rPr>
                <w:sz w:val="20"/>
                <w:szCs w:val="20"/>
                <w:vertAlign w:val="subscript"/>
                <w:lang w:eastAsia="ja-JP"/>
              </w:rPr>
              <w:t>ss</w:t>
            </w:r>
            <w:r w:rsidRPr="00586C19">
              <w:rPr>
                <w:sz w:val="20"/>
                <w:szCs w:val="20"/>
                <w:lang w:eastAsia="ja-JP"/>
              </w:rPr>
              <w:t xml:space="preserve"> increased dose-dependently and remained stable over time. Risk</w:t>
            </w:r>
            <w:proofErr w:type="gramStart"/>
            <w:r w:rsidRPr="00586C19">
              <w:rPr>
                <w:sz w:val="20"/>
                <w:szCs w:val="20"/>
                <w:lang w:eastAsia="ja-JP"/>
              </w:rPr>
              <w:t>:benefit</w:t>
            </w:r>
            <w:proofErr w:type="gramEnd"/>
            <w:r w:rsidRPr="00586C19">
              <w:rPr>
                <w:sz w:val="20"/>
                <w:szCs w:val="20"/>
                <w:lang w:eastAsia="ja-JP"/>
              </w:rPr>
              <w:t xml:space="preserve"> profiles were similar at doses of 15 and 30</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/m²/day.</w:t>
            </w:r>
          </w:p>
        </w:tc>
      </w:tr>
      <w:tr w:rsidR="00000368" w:rsidRPr="00586C19" w14:paraId="4B643535" w14:textId="77777777" w:rsidTr="007B270B">
        <w:trPr>
          <w:cantSplit/>
          <w:trHeight w:val="140"/>
        </w:trPr>
        <w:tc>
          <w:tcPr>
            <w:cnfStyle w:val="001000000000" w:firstRow="0" w:lastRow="0" w:firstColumn="1" w:lastColumn="0" w:oddVBand="0" w:evenVBand="0" w:oddHBand="0" w:evenHBand="0" w:firstRowFirstColumn="0" w:firstRowLastColumn="0" w:lastRowFirstColumn="0" w:lastRowLastColumn="0"/>
            <w:tcW w:w="708" w:type="dxa"/>
          </w:tcPr>
          <w:p w14:paraId="0C104EAD" w14:textId="77777777" w:rsidR="00F31F9F" w:rsidRPr="00586C19" w:rsidRDefault="00F31F9F" w:rsidP="00586C19">
            <w:pPr>
              <w:ind w:left="0" w:right="0"/>
              <w:rPr>
                <w:sz w:val="20"/>
                <w:szCs w:val="20"/>
                <w:lang w:eastAsia="ja-JP"/>
              </w:rPr>
            </w:pPr>
            <w:r w:rsidRPr="00586C19">
              <w:rPr>
                <w:sz w:val="20"/>
                <w:szCs w:val="20"/>
                <w:lang w:eastAsia="ja-JP"/>
              </w:rPr>
              <w:t>MT 103-206</w:t>
            </w:r>
          </w:p>
        </w:tc>
        <w:tc>
          <w:tcPr>
            <w:tcW w:w="1543" w:type="dxa"/>
          </w:tcPr>
          <w:p w14:paraId="68A6EE01" w14:textId="1D217382"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II</w:t>
            </w:r>
            <w:r w:rsidR="00F31F9F" w:rsidRPr="00586C19">
              <w:rPr>
                <w:sz w:val="20"/>
                <w:szCs w:val="20"/>
                <w:lang w:eastAsia="ja-JP"/>
              </w:rPr>
              <w:t xml:space="preserve">, </w:t>
            </w:r>
            <w:r w:rsidR="00070E8B" w:rsidRPr="00586C19">
              <w:rPr>
                <w:sz w:val="20"/>
                <w:szCs w:val="20"/>
                <w:lang w:eastAsia="ja-JP"/>
              </w:rPr>
              <w:t>open label</w:t>
            </w:r>
            <w:r w:rsidR="00F31F9F" w:rsidRPr="00586C19">
              <w:rPr>
                <w:sz w:val="20"/>
                <w:szCs w:val="20"/>
                <w:lang w:eastAsia="ja-JP"/>
              </w:rPr>
              <w:t>, multicentre, exploratory study to evaluate the efficacy, safety, tolerability, PK, and PD</w:t>
            </w:r>
          </w:p>
        </w:tc>
        <w:tc>
          <w:tcPr>
            <w:tcW w:w="1533" w:type="dxa"/>
          </w:tcPr>
          <w:p w14:paraId="67058E2D" w14:textId="4111FAB5"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CTM4, 5/15/30</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/m²/day</w:t>
            </w:r>
            <w:r w:rsidRPr="00586C19">
              <w:rPr>
                <w:sz w:val="20"/>
                <w:szCs w:val="20"/>
                <w:vertAlign w:val="superscript"/>
                <w:lang w:eastAsia="ja-JP"/>
              </w:rPr>
              <w:t>b</w:t>
            </w:r>
            <w:r w:rsidRPr="00586C19">
              <w:rPr>
                <w:sz w:val="20"/>
                <w:szCs w:val="20"/>
                <w:lang w:eastAsia="ja-JP"/>
              </w:rPr>
              <w:t xml:space="preserve"> cIV for 4 weeks followed by 2 weeks off drug per cycle</w:t>
            </w:r>
          </w:p>
        </w:tc>
        <w:tc>
          <w:tcPr>
            <w:tcW w:w="1450" w:type="dxa"/>
          </w:tcPr>
          <w:p w14:paraId="5B2C512D"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Adults with R/R ALL</w:t>
            </w:r>
          </w:p>
        </w:tc>
        <w:tc>
          <w:tcPr>
            <w:tcW w:w="1271" w:type="dxa"/>
          </w:tcPr>
          <w:p w14:paraId="4E331CB7"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36</w:t>
            </w:r>
          </w:p>
        </w:tc>
        <w:tc>
          <w:tcPr>
            <w:tcW w:w="1087" w:type="dxa"/>
          </w:tcPr>
          <w:p w14:paraId="19E16B81"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Less Intensive (36)</w:t>
            </w:r>
          </w:p>
        </w:tc>
        <w:tc>
          <w:tcPr>
            <w:tcW w:w="1467" w:type="dxa"/>
          </w:tcPr>
          <w:p w14:paraId="77E5F13A" w14:textId="49EF0022"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Blinatumomab showed single-agent activity with a CR/CRh* rate of 69.4% and a clinically manageable toxicity profile. With cIV over 4 weeks, mean </w:t>
            </w:r>
            <w:r w:rsidR="005E5C58" w:rsidRPr="00586C19">
              <w:rPr>
                <w:sz w:val="20"/>
                <w:szCs w:val="20"/>
                <w:lang w:eastAsia="ja-JP"/>
              </w:rPr>
              <w:t>C</w:t>
            </w:r>
            <w:r w:rsidR="005E5C58" w:rsidRPr="00586C19">
              <w:rPr>
                <w:sz w:val="20"/>
                <w:szCs w:val="20"/>
                <w:vertAlign w:val="subscript"/>
                <w:lang w:eastAsia="ja-JP"/>
              </w:rPr>
              <w:t>ss</w:t>
            </w:r>
            <w:r w:rsidRPr="00586C19">
              <w:rPr>
                <w:sz w:val="20"/>
                <w:szCs w:val="20"/>
                <w:lang w:eastAsia="ja-JP"/>
              </w:rPr>
              <w:t xml:space="preserve"> values increased approximately dose proportionally. Efficacy and tolerability profiles support a dosing regimen of 5-15</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w:t>
            </w:r>
            <w:r w:rsidRPr="00586C19">
              <w:rPr>
                <w:sz w:val="20"/>
                <w:szCs w:val="20"/>
                <w:vertAlign w:val="superscript"/>
                <w:lang w:eastAsia="ja-JP"/>
              </w:rPr>
              <w:t>2</w:t>
            </w:r>
            <w:r w:rsidRPr="00586C19">
              <w:rPr>
                <w:sz w:val="20"/>
                <w:szCs w:val="20"/>
                <w:lang w:eastAsia="ja-JP"/>
              </w:rPr>
              <w:t>/day.</w:t>
            </w:r>
          </w:p>
        </w:tc>
      </w:tr>
      <w:tr w:rsidR="00000368" w:rsidRPr="00586C19" w14:paraId="1F2DBAC3" w14:textId="77777777" w:rsidTr="007B270B">
        <w:trPr>
          <w:cantSplit/>
          <w:trHeight w:val="140"/>
        </w:trPr>
        <w:tc>
          <w:tcPr>
            <w:cnfStyle w:val="001000000000" w:firstRow="0" w:lastRow="0" w:firstColumn="1" w:lastColumn="0" w:oddVBand="0" w:evenVBand="0" w:oddHBand="0" w:evenHBand="0" w:firstRowFirstColumn="0" w:firstRowLastColumn="0" w:lastRowFirstColumn="0" w:lastRowLastColumn="0"/>
            <w:tcW w:w="708" w:type="dxa"/>
          </w:tcPr>
          <w:p w14:paraId="5E5A04E6" w14:textId="77777777" w:rsidR="00F31F9F" w:rsidRPr="00586C19" w:rsidRDefault="00F31F9F" w:rsidP="00586C19">
            <w:pPr>
              <w:ind w:left="0" w:right="0"/>
              <w:rPr>
                <w:sz w:val="20"/>
                <w:szCs w:val="20"/>
                <w:lang w:eastAsia="ja-JP"/>
              </w:rPr>
            </w:pPr>
            <w:r w:rsidRPr="00586C19">
              <w:rPr>
                <w:sz w:val="20"/>
                <w:szCs w:val="20"/>
                <w:lang w:eastAsia="ja-JP"/>
              </w:rPr>
              <w:t>MT 103-211</w:t>
            </w:r>
          </w:p>
        </w:tc>
        <w:tc>
          <w:tcPr>
            <w:tcW w:w="1543" w:type="dxa"/>
          </w:tcPr>
          <w:p w14:paraId="3E7AD2CE" w14:textId="1F6187C1"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II</w:t>
            </w:r>
            <w:r w:rsidR="00F31F9F" w:rsidRPr="00586C19">
              <w:rPr>
                <w:sz w:val="20"/>
                <w:szCs w:val="20"/>
                <w:lang w:eastAsia="ja-JP"/>
              </w:rPr>
              <w:t xml:space="preserve">, </w:t>
            </w:r>
            <w:r w:rsidR="00070E8B" w:rsidRPr="00586C19">
              <w:rPr>
                <w:sz w:val="20"/>
                <w:szCs w:val="20"/>
                <w:lang w:eastAsia="ja-JP"/>
              </w:rPr>
              <w:t>open label</w:t>
            </w:r>
            <w:r w:rsidR="00F31F9F" w:rsidRPr="00586C19">
              <w:rPr>
                <w:sz w:val="20"/>
                <w:szCs w:val="20"/>
                <w:lang w:eastAsia="ja-JP"/>
              </w:rPr>
              <w:t>, multicentre, single arm study to evaluate the efficacy, safety, tolerability, PK, and PD</w:t>
            </w:r>
          </w:p>
        </w:tc>
        <w:tc>
          <w:tcPr>
            <w:tcW w:w="1533" w:type="dxa"/>
          </w:tcPr>
          <w:p w14:paraId="08F60E38" w14:textId="5CD95C74"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CTM4 &amp; CTM5, 9/28</w:t>
            </w:r>
            <w:r w:rsidR="00D50F7E" w:rsidRPr="00586C19">
              <w:rPr>
                <w:sz w:val="20"/>
                <w:szCs w:val="20"/>
                <w:lang w:eastAsia="ja-JP"/>
              </w:rPr>
              <w:t> </w:t>
            </w:r>
            <w:r w:rsidR="0018721C" w:rsidRPr="00586C19">
              <w:rPr>
                <w:sz w:val="20"/>
                <w:szCs w:val="20"/>
                <w:lang w:eastAsia="ja-JP"/>
              </w:rPr>
              <w:t>µg</w:t>
            </w:r>
            <w:r w:rsidRPr="00586C19">
              <w:rPr>
                <w:sz w:val="20"/>
                <w:szCs w:val="20"/>
                <w:lang w:eastAsia="ja-JP"/>
              </w:rPr>
              <w:t>/day</w:t>
            </w:r>
            <w:r w:rsidRPr="00586C19">
              <w:rPr>
                <w:sz w:val="20"/>
                <w:szCs w:val="20"/>
                <w:vertAlign w:val="superscript"/>
                <w:lang w:eastAsia="ja-JP"/>
              </w:rPr>
              <w:t>c</w:t>
            </w:r>
            <w:r w:rsidRPr="00586C19">
              <w:rPr>
                <w:sz w:val="20"/>
                <w:szCs w:val="20"/>
                <w:lang w:eastAsia="ja-JP"/>
              </w:rPr>
              <w:t xml:space="preserve"> cIV for 4 weeks followed by 2 weeks off drug per cycle</w:t>
            </w:r>
          </w:p>
        </w:tc>
        <w:tc>
          <w:tcPr>
            <w:tcW w:w="1450" w:type="dxa"/>
          </w:tcPr>
          <w:p w14:paraId="628C249A"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Adults with R/R ALL</w:t>
            </w:r>
          </w:p>
        </w:tc>
        <w:tc>
          <w:tcPr>
            <w:tcW w:w="1271" w:type="dxa"/>
          </w:tcPr>
          <w:p w14:paraId="356512DE"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189</w:t>
            </w:r>
          </w:p>
        </w:tc>
        <w:tc>
          <w:tcPr>
            <w:tcW w:w="1087" w:type="dxa"/>
          </w:tcPr>
          <w:p w14:paraId="0191B036"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Less intensive (189)</w:t>
            </w:r>
          </w:p>
        </w:tc>
        <w:tc>
          <w:tcPr>
            <w:tcW w:w="1467" w:type="dxa"/>
          </w:tcPr>
          <w:p w14:paraId="4D21A7C3" w14:textId="5579E530"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Blinatumomab demonstrated clinical meaningful therapeutic benefits to ALL patients with a CR/CRh* rate of 42.9% within 2 cycles. Efficacy and tolerability profiles support a dosing regimen of 9/28</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 xml:space="preserve">/day cIV. The results showed similar </w:t>
            </w:r>
            <w:r w:rsidR="005E5C58" w:rsidRPr="00586C19">
              <w:rPr>
                <w:sz w:val="20"/>
                <w:szCs w:val="20"/>
                <w:lang w:eastAsia="ja-JP"/>
              </w:rPr>
              <w:t>C</w:t>
            </w:r>
            <w:r w:rsidR="005E5C58" w:rsidRPr="00586C19">
              <w:rPr>
                <w:sz w:val="20"/>
                <w:szCs w:val="20"/>
                <w:vertAlign w:val="subscript"/>
                <w:lang w:eastAsia="ja-JP"/>
              </w:rPr>
              <w:t>ss</w:t>
            </w:r>
            <w:r w:rsidRPr="00586C19">
              <w:rPr>
                <w:sz w:val="20"/>
                <w:szCs w:val="20"/>
                <w:lang w:eastAsia="ja-JP"/>
              </w:rPr>
              <w:t xml:space="preserve"> values for CTM4 and CTM5 after cIV and therefore support the conclusion of PK comparability between CTM5 and CTM4.</w:t>
            </w:r>
          </w:p>
        </w:tc>
      </w:tr>
      <w:tr w:rsidR="00000368" w:rsidRPr="00586C19" w14:paraId="084CE6B5" w14:textId="77777777" w:rsidTr="007B270B">
        <w:trPr>
          <w:cantSplit/>
          <w:trHeight w:val="140"/>
        </w:trPr>
        <w:tc>
          <w:tcPr>
            <w:cnfStyle w:val="001000000000" w:firstRow="0" w:lastRow="0" w:firstColumn="1" w:lastColumn="0" w:oddVBand="0" w:evenVBand="0" w:oddHBand="0" w:evenHBand="0" w:firstRowFirstColumn="0" w:firstRowLastColumn="0" w:lastRowFirstColumn="0" w:lastRowLastColumn="0"/>
            <w:tcW w:w="708" w:type="dxa"/>
          </w:tcPr>
          <w:p w14:paraId="38627E64" w14:textId="77777777" w:rsidR="00F31F9F" w:rsidRPr="00586C19" w:rsidRDefault="00F31F9F" w:rsidP="00586C19">
            <w:pPr>
              <w:ind w:left="0" w:right="0"/>
              <w:rPr>
                <w:sz w:val="20"/>
                <w:szCs w:val="20"/>
                <w:lang w:eastAsia="ja-JP"/>
              </w:rPr>
            </w:pPr>
            <w:r w:rsidRPr="00586C19">
              <w:rPr>
                <w:sz w:val="20"/>
                <w:szCs w:val="20"/>
                <w:lang w:eastAsia="ja-JP"/>
              </w:rPr>
              <w:t>MT 103-205</w:t>
            </w:r>
          </w:p>
        </w:tc>
        <w:tc>
          <w:tcPr>
            <w:tcW w:w="1543" w:type="dxa"/>
          </w:tcPr>
          <w:p w14:paraId="35979AF8" w14:textId="7A7BA0B1"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II</w:t>
            </w:r>
            <w:r w:rsidR="00D50F7E" w:rsidRPr="00586C19">
              <w:rPr>
                <w:sz w:val="20"/>
                <w:szCs w:val="20"/>
                <w:lang w:eastAsia="ja-JP"/>
              </w:rPr>
              <w:t xml:space="preserve">, multicentre, single </w:t>
            </w:r>
            <w:r w:rsidR="00F31F9F" w:rsidRPr="00586C19">
              <w:rPr>
                <w:sz w:val="20"/>
                <w:szCs w:val="20"/>
                <w:lang w:eastAsia="ja-JP"/>
              </w:rPr>
              <w:t>arm study preceded by dose evaluation to investigate the efficacy, safety, and tolerability of blinatumomab in paediatric and adolescent subjects with R/R ALL</w:t>
            </w:r>
          </w:p>
        </w:tc>
        <w:tc>
          <w:tcPr>
            <w:tcW w:w="1533" w:type="dxa"/>
          </w:tcPr>
          <w:p w14:paraId="1420F15D" w14:textId="41D371AF"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w:t>
            </w:r>
            <w:r w:rsidR="00F31F9F" w:rsidRPr="00586C19">
              <w:rPr>
                <w:sz w:val="20"/>
                <w:szCs w:val="20"/>
                <w:lang w:eastAsia="ja-JP"/>
              </w:rPr>
              <w:t>: 3.75 to 60</w:t>
            </w:r>
            <w:r w:rsidR="00D50F7E" w:rsidRPr="00586C19">
              <w:rPr>
                <w:sz w:val="20"/>
                <w:szCs w:val="20"/>
                <w:lang w:eastAsia="ja-JP"/>
              </w:rPr>
              <w:t> </w:t>
            </w:r>
            <w:r w:rsidRPr="00586C19">
              <w:rPr>
                <w:sz w:val="20"/>
                <w:szCs w:val="20"/>
                <w:lang w:eastAsia="ja-JP"/>
              </w:rPr>
              <w:t>µg</w:t>
            </w:r>
            <w:r w:rsidR="00F31F9F" w:rsidRPr="00586C19">
              <w:rPr>
                <w:sz w:val="20"/>
                <w:szCs w:val="20"/>
                <w:lang w:eastAsia="ja-JP"/>
              </w:rPr>
              <w:t>/m</w:t>
            </w:r>
            <w:r w:rsidR="00F31F9F" w:rsidRPr="00586C19">
              <w:rPr>
                <w:sz w:val="20"/>
                <w:szCs w:val="20"/>
                <w:vertAlign w:val="superscript"/>
                <w:lang w:eastAsia="ja-JP"/>
              </w:rPr>
              <w:t>2</w:t>
            </w:r>
            <w:r w:rsidR="00F31F9F" w:rsidRPr="00586C19">
              <w:rPr>
                <w:sz w:val="20"/>
                <w:szCs w:val="20"/>
                <w:lang w:eastAsia="ja-JP"/>
              </w:rPr>
              <w:t>/day cIV, 4 weeks on followed by 2 weeks off</w:t>
            </w:r>
          </w:p>
          <w:p w14:paraId="4ED84B62" w14:textId="68CDAB3A"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II</w:t>
            </w:r>
            <w:r w:rsidR="00F31F9F" w:rsidRPr="00586C19">
              <w:rPr>
                <w:sz w:val="20"/>
                <w:szCs w:val="20"/>
                <w:lang w:eastAsia="ja-JP"/>
              </w:rPr>
              <w:t xml:space="preserve">: Up to 5 cycles with dose of blinatumomab established in </w:t>
            </w:r>
            <w:r w:rsidRPr="00586C19">
              <w:rPr>
                <w:sz w:val="20"/>
                <w:szCs w:val="20"/>
                <w:lang w:eastAsia="ja-JP"/>
              </w:rPr>
              <w:t>Phase I</w:t>
            </w:r>
          </w:p>
        </w:tc>
        <w:tc>
          <w:tcPr>
            <w:tcW w:w="1450" w:type="dxa"/>
          </w:tcPr>
          <w:p w14:paraId="5AD0DD32" w14:textId="1239A71A"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Paediatric subjects</w:t>
            </w:r>
            <w:r w:rsidR="00375CAE" w:rsidRPr="00586C19">
              <w:rPr>
                <w:sz w:val="20"/>
                <w:szCs w:val="20"/>
                <w:lang w:eastAsia="ja-JP"/>
              </w:rPr>
              <w:t xml:space="preserve"> </w:t>
            </w:r>
            <w:r w:rsidR="00423768" w:rsidRPr="00586C19">
              <w:rPr>
                <w:sz w:val="20"/>
                <w:szCs w:val="20"/>
                <w:lang w:eastAsia="ja-JP"/>
              </w:rPr>
              <w:t>&lt;</w:t>
            </w:r>
            <w:r w:rsidR="00375CAE" w:rsidRPr="00586C19">
              <w:rPr>
                <w:sz w:val="20"/>
                <w:szCs w:val="20"/>
                <w:lang w:eastAsia="ja-JP"/>
              </w:rPr>
              <w:t xml:space="preserve"> </w:t>
            </w:r>
            <w:r w:rsidRPr="00586C19">
              <w:rPr>
                <w:sz w:val="20"/>
                <w:szCs w:val="20"/>
                <w:lang w:eastAsia="ja-JP"/>
              </w:rPr>
              <w:t>18 years with ALL</w:t>
            </w:r>
          </w:p>
        </w:tc>
        <w:tc>
          <w:tcPr>
            <w:tcW w:w="1271" w:type="dxa"/>
          </w:tcPr>
          <w:p w14:paraId="19C2A4E7" w14:textId="43940F92"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w:t>
            </w:r>
            <w:r w:rsidR="00F31F9F" w:rsidRPr="00586C19">
              <w:rPr>
                <w:sz w:val="20"/>
                <w:szCs w:val="20"/>
                <w:lang w:eastAsia="ja-JP"/>
              </w:rPr>
              <w:t>: up to 48 planned</w:t>
            </w:r>
          </w:p>
          <w:p w14:paraId="5B3CEE4F" w14:textId="5B89722F" w:rsidR="00F31F9F" w:rsidRPr="00586C19" w:rsidRDefault="0018721C"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Phase II</w:t>
            </w:r>
            <w:r w:rsidR="00F31F9F" w:rsidRPr="00586C19">
              <w:rPr>
                <w:sz w:val="20"/>
                <w:szCs w:val="20"/>
                <w:lang w:eastAsia="ja-JP"/>
              </w:rPr>
              <w:t>: up to 40 evaluable subjects</w:t>
            </w:r>
          </w:p>
        </w:tc>
        <w:tc>
          <w:tcPr>
            <w:tcW w:w="1087" w:type="dxa"/>
          </w:tcPr>
          <w:p w14:paraId="4B8F35F9" w14:textId="77777777" w:rsidR="00F31F9F" w:rsidRPr="00586C19" w:rsidRDefault="00F31F9F"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Intensive (41)</w:t>
            </w:r>
          </w:p>
        </w:tc>
        <w:tc>
          <w:tcPr>
            <w:tcW w:w="1467" w:type="dxa"/>
          </w:tcPr>
          <w:p w14:paraId="5016732A" w14:textId="50A67F2A" w:rsidR="00F31F9F" w:rsidRPr="00586C19" w:rsidRDefault="005E5C58" w:rsidP="00586C19">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C</w:t>
            </w:r>
            <w:r w:rsidRPr="00586C19">
              <w:rPr>
                <w:sz w:val="20"/>
                <w:szCs w:val="20"/>
                <w:vertAlign w:val="subscript"/>
                <w:lang w:eastAsia="ja-JP"/>
              </w:rPr>
              <w:t>ss</w:t>
            </w:r>
            <w:r w:rsidR="00F31F9F" w:rsidRPr="00586C19">
              <w:rPr>
                <w:sz w:val="20"/>
                <w:szCs w:val="20"/>
                <w:lang w:eastAsia="ja-JP"/>
              </w:rPr>
              <w:t xml:space="preserve"> was achieved within a day and remained stable over time. Mean </w:t>
            </w:r>
            <w:r w:rsidRPr="00586C19">
              <w:rPr>
                <w:sz w:val="20"/>
                <w:szCs w:val="20"/>
                <w:lang w:eastAsia="ja-JP"/>
              </w:rPr>
              <w:t>C</w:t>
            </w:r>
            <w:r w:rsidRPr="00586C19">
              <w:rPr>
                <w:sz w:val="20"/>
                <w:szCs w:val="20"/>
                <w:vertAlign w:val="subscript"/>
                <w:lang w:eastAsia="ja-JP"/>
              </w:rPr>
              <w:t>ss</w:t>
            </w:r>
            <w:r w:rsidR="00F31F9F" w:rsidRPr="00586C19">
              <w:rPr>
                <w:sz w:val="20"/>
                <w:szCs w:val="20"/>
                <w:lang w:eastAsia="ja-JP"/>
              </w:rPr>
              <w:t xml:space="preserve"> values increased approximately dose proportionally over the dose range </w:t>
            </w:r>
            <w:proofErr w:type="gramStart"/>
            <w:r w:rsidR="00F31F9F" w:rsidRPr="00586C19">
              <w:rPr>
                <w:sz w:val="20"/>
                <w:szCs w:val="20"/>
                <w:lang w:eastAsia="ja-JP"/>
              </w:rPr>
              <w:t>from 5</w:t>
            </w:r>
            <w:r w:rsidR="00375CAE" w:rsidRPr="00586C19">
              <w:rPr>
                <w:sz w:val="20"/>
                <w:szCs w:val="20"/>
                <w:lang w:eastAsia="ja-JP"/>
              </w:rPr>
              <w:t xml:space="preserve"> </w:t>
            </w:r>
            <w:r w:rsidR="0018721C" w:rsidRPr="00586C19">
              <w:rPr>
                <w:sz w:val="20"/>
                <w:szCs w:val="20"/>
                <w:lang w:eastAsia="ja-JP"/>
              </w:rPr>
              <w:t>µg</w:t>
            </w:r>
            <w:r w:rsidR="00F31F9F" w:rsidRPr="00586C19">
              <w:rPr>
                <w:sz w:val="20"/>
                <w:szCs w:val="20"/>
                <w:lang w:eastAsia="ja-JP"/>
              </w:rPr>
              <w:t>/m</w:t>
            </w:r>
            <w:r w:rsidR="00F31F9F" w:rsidRPr="00586C19">
              <w:rPr>
                <w:sz w:val="20"/>
                <w:szCs w:val="20"/>
                <w:vertAlign w:val="superscript"/>
                <w:lang w:eastAsia="ja-JP"/>
              </w:rPr>
              <w:t>2</w:t>
            </w:r>
            <w:r w:rsidR="00F31F9F" w:rsidRPr="00586C19">
              <w:rPr>
                <w:sz w:val="20"/>
                <w:szCs w:val="20"/>
                <w:lang w:eastAsia="ja-JP"/>
              </w:rPr>
              <w:t>/day</w:t>
            </w:r>
            <w:proofErr w:type="gramEnd"/>
            <w:r w:rsidR="00F31F9F" w:rsidRPr="00586C19">
              <w:rPr>
                <w:sz w:val="20"/>
                <w:szCs w:val="20"/>
                <w:lang w:eastAsia="ja-JP"/>
              </w:rPr>
              <w:t xml:space="preserve"> to 30</w:t>
            </w:r>
            <w:r w:rsidR="00375CAE" w:rsidRPr="00586C19">
              <w:rPr>
                <w:sz w:val="20"/>
                <w:szCs w:val="20"/>
                <w:lang w:eastAsia="ja-JP"/>
              </w:rPr>
              <w:t xml:space="preserve"> </w:t>
            </w:r>
            <w:r w:rsidR="0018721C" w:rsidRPr="00586C19">
              <w:rPr>
                <w:sz w:val="20"/>
                <w:szCs w:val="20"/>
                <w:lang w:eastAsia="ja-JP"/>
              </w:rPr>
              <w:t>µg</w:t>
            </w:r>
            <w:r w:rsidR="00F31F9F" w:rsidRPr="00586C19">
              <w:rPr>
                <w:sz w:val="20"/>
                <w:szCs w:val="20"/>
                <w:lang w:eastAsia="ja-JP"/>
              </w:rPr>
              <w:t>/m</w:t>
            </w:r>
            <w:r w:rsidR="00F31F9F" w:rsidRPr="00586C19">
              <w:rPr>
                <w:sz w:val="20"/>
                <w:szCs w:val="20"/>
                <w:vertAlign w:val="superscript"/>
                <w:lang w:eastAsia="ja-JP"/>
              </w:rPr>
              <w:t>2</w:t>
            </w:r>
            <w:r w:rsidR="00F31F9F" w:rsidRPr="00586C19">
              <w:rPr>
                <w:sz w:val="20"/>
                <w:szCs w:val="20"/>
                <w:lang w:eastAsia="ja-JP"/>
              </w:rPr>
              <w:t xml:space="preserve">/day. The selected dose regimen for </w:t>
            </w:r>
            <w:r w:rsidR="0018721C" w:rsidRPr="00586C19">
              <w:rPr>
                <w:sz w:val="20"/>
                <w:szCs w:val="20"/>
                <w:lang w:eastAsia="ja-JP"/>
              </w:rPr>
              <w:t>Phase II</w:t>
            </w:r>
            <w:r w:rsidR="00F31F9F" w:rsidRPr="00586C19">
              <w:rPr>
                <w:sz w:val="20"/>
                <w:szCs w:val="20"/>
                <w:lang w:eastAsia="ja-JP"/>
              </w:rPr>
              <w:t xml:space="preserve"> was </w:t>
            </w:r>
            <w:proofErr w:type="gramStart"/>
            <w:r w:rsidR="00F31F9F" w:rsidRPr="00586C19">
              <w:rPr>
                <w:sz w:val="20"/>
                <w:szCs w:val="20"/>
                <w:lang w:eastAsia="ja-JP"/>
              </w:rPr>
              <w:t>5</w:t>
            </w:r>
            <w:r w:rsidR="00375CAE" w:rsidRPr="00586C19">
              <w:rPr>
                <w:sz w:val="20"/>
                <w:szCs w:val="20"/>
                <w:lang w:eastAsia="ja-JP"/>
              </w:rPr>
              <w:t xml:space="preserve"> </w:t>
            </w:r>
            <w:r w:rsidR="0018721C" w:rsidRPr="00586C19">
              <w:rPr>
                <w:sz w:val="20"/>
                <w:szCs w:val="20"/>
                <w:lang w:eastAsia="ja-JP"/>
              </w:rPr>
              <w:t>µg</w:t>
            </w:r>
            <w:r w:rsidR="00F31F9F" w:rsidRPr="00586C19">
              <w:rPr>
                <w:sz w:val="20"/>
                <w:szCs w:val="20"/>
                <w:lang w:eastAsia="ja-JP"/>
              </w:rPr>
              <w:t>/m</w:t>
            </w:r>
            <w:r w:rsidR="00F31F9F" w:rsidRPr="00586C19">
              <w:rPr>
                <w:sz w:val="20"/>
                <w:szCs w:val="20"/>
                <w:vertAlign w:val="superscript"/>
                <w:lang w:eastAsia="ja-JP"/>
              </w:rPr>
              <w:t>2</w:t>
            </w:r>
            <w:r w:rsidR="00F31F9F" w:rsidRPr="00586C19">
              <w:rPr>
                <w:sz w:val="20"/>
                <w:szCs w:val="20"/>
                <w:lang w:eastAsia="ja-JP"/>
              </w:rPr>
              <w:t>/day</w:t>
            </w:r>
            <w:proofErr w:type="gramEnd"/>
            <w:r w:rsidR="00F31F9F" w:rsidRPr="00586C19">
              <w:rPr>
                <w:sz w:val="20"/>
                <w:szCs w:val="20"/>
                <w:lang w:eastAsia="ja-JP"/>
              </w:rPr>
              <w:t xml:space="preserve"> for </w:t>
            </w:r>
            <w:r w:rsidR="007D46D6" w:rsidRPr="00586C19">
              <w:rPr>
                <w:sz w:val="20"/>
                <w:szCs w:val="20"/>
                <w:lang w:eastAsia="ja-JP"/>
              </w:rPr>
              <w:t>Week 1</w:t>
            </w:r>
            <w:r w:rsidR="00F31F9F" w:rsidRPr="00586C19">
              <w:rPr>
                <w:sz w:val="20"/>
                <w:szCs w:val="20"/>
                <w:lang w:eastAsia="ja-JP"/>
              </w:rPr>
              <w:t xml:space="preserve"> and 15</w:t>
            </w:r>
            <w:r w:rsidR="00375CAE" w:rsidRPr="00586C19">
              <w:rPr>
                <w:sz w:val="20"/>
                <w:szCs w:val="20"/>
                <w:lang w:eastAsia="ja-JP"/>
              </w:rPr>
              <w:t xml:space="preserve"> </w:t>
            </w:r>
            <w:r w:rsidR="0018721C" w:rsidRPr="00586C19">
              <w:rPr>
                <w:sz w:val="20"/>
                <w:szCs w:val="20"/>
                <w:lang w:eastAsia="ja-JP"/>
              </w:rPr>
              <w:t>µg</w:t>
            </w:r>
            <w:r w:rsidR="00F31F9F" w:rsidRPr="00586C19">
              <w:rPr>
                <w:sz w:val="20"/>
                <w:szCs w:val="20"/>
                <w:lang w:eastAsia="ja-JP"/>
              </w:rPr>
              <w:t>/m</w:t>
            </w:r>
            <w:r w:rsidR="00F31F9F" w:rsidRPr="00586C19">
              <w:rPr>
                <w:sz w:val="20"/>
                <w:szCs w:val="20"/>
                <w:vertAlign w:val="superscript"/>
                <w:lang w:eastAsia="ja-JP"/>
              </w:rPr>
              <w:t>2</w:t>
            </w:r>
            <w:r w:rsidR="00F31F9F" w:rsidRPr="00586C19">
              <w:rPr>
                <w:sz w:val="20"/>
                <w:szCs w:val="20"/>
                <w:lang w:eastAsia="ja-JP"/>
              </w:rPr>
              <w:t xml:space="preserve">/day for weeks 2 through 4 of </w:t>
            </w:r>
            <w:r w:rsidR="007D46D6" w:rsidRPr="00586C19">
              <w:rPr>
                <w:sz w:val="20"/>
                <w:szCs w:val="20"/>
                <w:lang w:eastAsia="ja-JP"/>
              </w:rPr>
              <w:t>Cycle 1</w:t>
            </w:r>
            <w:r w:rsidR="00F31F9F" w:rsidRPr="00586C19">
              <w:rPr>
                <w:sz w:val="20"/>
                <w:szCs w:val="20"/>
                <w:lang w:eastAsia="ja-JP"/>
              </w:rPr>
              <w:t>; and 15</w:t>
            </w:r>
            <w:r w:rsidR="00375CAE" w:rsidRPr="00586C19">
              <w:rPr>
                <w:sz w:val="20"/>
                <w:szCs w:val="20"/>
                <w:lang w:eastAsia="ja-JP"/>
              </w:rPr>
              <w:t xml:space="preserve"> </w:t>
            </w:r>
            <w:r w:rsidR="0018721C" w:rsidRPr="00586C19">
              <w:rPr>
                <w:sz w:val="20"/>
                <w:szCs w:val="20"/>
                <w:lang w:eastAsia="ja-JP"/>
              </w:rPr>
              <w:t>µg</w:t>
            </w:r>
            <w:r w:rsidR="00F31F9F" w:rsidRPr="00586C19">
              <w:rPr>
                <w:sz w:val="20"/>
                <w:szCs w:val="20"/>
                <w:lang w:eastAsia="ja-JP"/>
              </w:rPr>
              <w:t>/m</w:t>
            </w:r>
            <w:r w:rsidR="00F31F9F" w:rsidRPr="00586C19">
              <w:rPr>
                <w:sz w:val="20"/>
                <w:szCs w:val="20"/>
                <w:vertAlign w:val="superscript"/>
                <w:lang w:eastAsia="ja-JP"/>
              </w:rPr>
              <w:t>2</w:t>
            </w:r>
            <w:r w:rsidR="00F31F9F" w:rsidRPr="00586C19">
              <w:rPr>
                <w:sz w:val="20"/>
                <w:szCs w:val="20"/>
                <w:lang w:eastAsia="ja-JP"/>
              </w:rPr>
              <w:t>/day in subsequent cycles.</w:t>
            </w:r>
          </w:p>
        </w:tc>
      </w:tr>
    </w:tbl>
    <w:p w14:paraId="4BEC76DD" w14:textId="7D434A64" w:rsidR="00D50F7E" w:rsidRDefault="00F31F9F" w:rsidP="00D50F7E">
      <w:pPr>
        <w:pStyle w:val="TableDescription"/>
        <w:rPr>
          <w:lang w:eastAsia="ja-JP"/>
        </w:rPr>
      </w:pPr>
      <w:r w:rsidRPr="00F31F9F">
        <w:rPr>
          <w:lang w:eastAsia="ja-JP"/>
        </w:rPr>
        <w:t>ALL</w:t>
      </w:r>
      <w:r w:rsidR="00375CAE">
        <w:rPr>
          <w:lang w:eastAsia="ja-JP"/>
        </w:rPr>
        <w:t xml:space="preserve"> </w:t>
      </w:r>
      <w:r w:rsidR="00423768">
        <w:rPr>
          <w:lang w:eastAsia="ja-JP"/>
        </w:rPr>
        <w:t>=</w:t>
      </w:r>
      <w:r w:rsidR="00375CAE">
        <w:rPr>
          <w:lang w:eastAsia="ja-JP"/>
        </w:rPr>
        <w:t xml:space="preserve"> </w:t>
      </w:r>
      <w:r w:rsidRPr="00F31F9F">
        <w:rPr>
          <w:lang w:eastAsia="ja-JP"/>
        </w:rPr>
        <w:t>acute lymphoblastic leukaemia; cIV</w:t>
      </w:r>
      <w:r w:rsidR="00375CAE">
        <w:rPr>
          <w:lang w:eastAsia="ja-JP"/>
        </w:rPr>
        <w:t xml:space="preserve"> </w:t>
      </w:r>
      <w:r w:rsidR="00423768">
        <w:rPr>
          <w:lang w:eastAsia="ja-JP"/>
        </w:rPr>
        <w:t>=</w:t>
      </w:r>
      <w:r w:rsidR="00375CAE">
        <w:rPr>
          <w:lang w:eastAsia="ja-JP"/>
        </w:rPr>
        <w:t xml:space="preserve"> </w:t>
      </w:r>
      <w:r w:rsidRPr="00F31F9F">
        <w:rPr>
          <w:lang w:eastAsia="ja-JP"/>
        </w:rPr>
        <w:t>continuous intravenous infusion; CTM4</w:t>
      </w:r>
      <w:r w:rsidR="00375CAE">
        <w:rPr>
          <w:lang w:eastAsia="ja-JP"/>
        </w:rPr>
        <w:t xml:space="preserve"> </w:t>
      </w:r>
      <w:r w:rsidR="00423768">
        <w:rPr>
          <w:lang w:eastAsia="ja-JP"/>
        </w:rPr>
        <w:t>=</w:t>
      </w:r>
      <w:r w:rsidR="00375CAE">
        <w:rPr>
          <w:lang w:eastAsia="ja-JP"/>
        </w:rPr>
        <w:t xml:space="preserve"> </w:t>
      </w:r>
      <w:r w:rsidRPr="00F31F9F">
        <w:rPr>
          <w:lang w:eastAsia="ja-JP"/>
        </w:rPr>
        <w:t>process 4 clinical material; CTM5</w:t>
      </w:r>
      <w:r w:rsidR="00375CAE">
        <w:rPr>
          <w:lang w:eastAsia="ja-JP"/>
        </w:rPr>
        <w:t xml:space="preserve"> </w:t>
      </w:r>
      <w:r w:rsidR="00423768">
        <w:rPr>
          <w:lang w:eastAsia="ja-JP"/>
        </w:rPr>
        <w:t>=</w:t>
      </w:r>
      <w:r w:rsidR="00375CAE">
        <w:rPr>
          <w:lang w:eastAsia="ja-JP"/>
        </w:rPr>
        <w:t xml:space="preserve"> </w:t>
      </w:r>
      <w:r w:rsidRPr="00F31F9F">
        <w:rPr>
          <w:lang w:eastAsia="ja-JP"/>
        </w:rPr>
        <w:t>process 5 clinical material; CR</w:t>
      </w:r>
      <w:r w:rsidR="00375CAE">
        <w:rPr>
          <w:lang w:eastAsia="ja-JP"/>
        </w:rPr>
        <w:t xml:space="preserve"> </w:t>
      </w:r>
      <w:r w:rsidR="00423768">
        <w:rPr>
          <w:lang w:eastAsia="ja-JP"/>
        </w:rPr>
        <w:t>=</w:t>
      </w:r>
      <w:r w:rsidR="00375CAE">
        <w:rPr>
          <w:lang w:eastAsia="ja-JP"/>
        </w:rPr>
        <w:t xml:space="preserve"> </w:t>
      </w:r>
      <w:r w:rsidRPr="00F31F9F">
        <w:rPr>
          <w:lang w:eastAsia="ja-JP"/>
        </w:rPr>
        <w:t>complete remission; CRh*</w:t>
      </w:r>
      <w:r w:rsidR="00375CAE">
        <w:rPr>
          <w:lang w:eastAsia="ja-JP"/>
        </w:rPr>
        <w:t xml:space="preserve"> </w:t>
      </w:r>
      <w:r w:rsidR="00423768">
        <w:rPr>
          <w:lang w:eastAsia="ja-JP"/>
        </w:rPr>
        <w:t>=</w:t>
      </w:r>
      <w:r w:rsidR="00375CAE">
        <w:rPr>
          <w:lang w:eastAsia="ja-JP"/>
        </w:rPr>
        <w:t xml:space="preserve"> </w:t>
      </w:r>
      <w:r w:rsidRPr="00F31F9F">
        <w:rPr>
          <w:lang w:eastAsia="ja-JP"/>
        </w:rPr>
        <w:t xml:space="preserve">complete remission with partial haematological recovery; </w:t>
      </w:r>
      <w:r w:rsidR="005E5C58">
        <w:rPr>
          <w:lang w:eastAsia="ja-JP"/>
        </w:rPr>
        <w:t>C</w:t>
      </w:r>
      <w:r w:rsidR="005E5C58">
        <w:rPr>
          <w:vertAlign w:val="subscript"/>
          <w:lang w:eastAsia="ja-JP"/>
        </w:rPr>
        <w:t>ss</w:t>
      </w:r>
      <w:r w:rsidR="00375CAE">
        <w:rPr>
          <w:lang w:eastAsia="ja-JP"/>
        </w:rPr>
        <w:t xml:space="preserve"> </w:t>
      </w:r>
      <w:r w:rsidR="00423768">
        <w:rPr>
          <w:lang w:eastAsia="ja-JP"/>
        </w:rPr>
        <w:t>=</w:t>
      </w:r>
      <w:r w:rsidR="00375CAE">
        <w:rPr>
          <w:lang w:eastAsia="ja-JP"/>
        </w:rPr>
        <w:t xml:space="preserve"> </w:t>
      </w:r>
      <w:r w:rsidRPr="00F31F9F">
        <w:rPr>
          <w:lang w:eastAsia="ja-JP"/>
        </w:rPr>
        <w:t>steady state concentration; MRD</w:t>
      </w:r>
      <w:r w:rsidR="00375CAE">
        <w:rPr>
          <w:lang w:eastAsia="ja-JP"/>
        </w:rPr>
        <w:t xml:space="preserve"> </w:t>
      </w:r>
      <w:r w:rsidR="00423768">
        <w:rPr>
          <w:lang w:eastAsia="ja-JP"/>
        </w:rPr>
        <w:t>=</w:t>
      </w:r>
      <w:r w:rsidR="00375CAE">
        <w:rPr>
          <w:lang w:eastAsia="ja-JP"/>
        </w:rPr>
        <w:t xml:space="preserve"> </w:t>
      </w:r>
      <w:r w:rsidRPr="00F31F9F">
        <w:rPr>
          <w:lang w:eastAsia="ja-JP"/>
        </w:rPr>
        <w:t>minimal residual disease; NHL</w:t>
      </w:r>
      <w:r w:rsidR="00375CAE">
        <w:rPr>
          <w:lang w:eastAsia="ja-JP"/>
        </w:rPr>
        <w:t xml:space="preserve"> </w:t>
      </w:r>
      <w:r w:rsidR="00423768">
        <w:rPr>
          <w:lang w:eastAsia="ja-JP"/>
        </w:rPr>
        <w:t>=</w:t>
      </w:r>
      <w:r w:rsidR="00375CAE">
        <w:rPr>
          <w:lang w:eastAsia="ja-JP"/>
        </w:rPr>
        <w:t xml:space="preserve"> </w:t>
      </w:r>
      <w:r w:rsidRPr="00F31F9F">
        <w:rPr>
          <w:lang w:eastAsia="ja-JP"/>
        </w:rPr>
        <w:t>non-Hodgkin’s lymphoma; PD</w:t>
      </w:r>
      <w:r w:rsidR="00375CAE">
        <w:rPr>
          <w:lang w:eastAsia="ja-JP"/>
        </w:rPr>
        <w:t xml:space="preserve"> </w:t>
      </w:r>
      <w:r w:rsidR="00423768">
        <w:rPr>
          <w:lang w:eastAsia="ja-JP"/>
        </w:rPr>
        <w:t>=</w:t>
      </w:r>
      <w:r w:rsidR="00375CAE">
        <w:rPr>
          <w:lang w:eastAsia="ja-JP"/>
        </w:rPr>
        <w:t xml:space="preserve"> </w:t>
      </w:r>
      <w:r w:rsidRPr="00F31F9F">
        <w:rPr>
          <w:lang w:eastAsia="ja-JP"/>
        </w:rPr>
        <w:t>pharmacodynamic; PK</w:t>
      </w:r>
      <w:r w:rsidR="00375CAE">
        <w:rPr>
          <w:lang w:eastAsia="ja-JP"/>
        </w:rPr>
        <w:t xml:space="preserve"> </w:t>
      </w:r>
      <w:r w:rsidR="00423768">
        <w:rPr>
          <w:lang w:eastAsia="ja-JP"/>
        </w:rPr>
        <w:t>=</w:t>
      </w:r>
      <w:r w:rsidR="00375CAE">
        <w:rPr>
          <w:lang w:eastAsia="ja-JP"/>
        </w:rPr>
        <w:t xml:space="preserve"> </w:t>
      </w:r>
      <w:r w:rsidRPr="00F31F9F">
        <w:rPr>
          <w:lang w:eastAsia="ja-JP"/>
        </w:rPr>
        <w:t>pharmacokinetic; R/R</w:t>
      </w:r>
      <w:r w:rsidR="00375CAE">
        <w:rPr>
          <w:lang w:eastAsia="ja-JP"/>
        </w:rPr>
        <w:t xml:space="preserve"> </w:t>
      </w:r>
      <w:r w:rsidR="00423768">
        <w:rPr>
          <w:lang w:eastAsia="ja-JP"/>
        </w:rPr>
        <w:t>=</w:t>
      </w:r>
      <w:r w:rsidR="00375CAE">
        <w:rPr>
          <w:lang w:eastAsia="ja-JP"/>
        </w:rPr>
        <w:t xml:space="preserve"> </w:t>
      </w:r>
      <w:r w:rsidR="00D50F7E">
        <w:rPr>
          <w:lang w:eastAsia="ja-JP"/>
        </w:rPr>
        <w:t xml:space="preserve">relapsed/refractory. a) </w:t>
      </w:r>
      <w:r w:rsidRPr="00F31F9F">
        <w:rPr>
          <w:lang w:eastAsia="ja-JP"/>
        </w:rPr>
        <w:t>In Study MT 103-202, the dose regimen was 15</w:t>
      </w:r>
      <w:r w:rsidR="00375CAE">
        <w:rPr>
          <w:lang w:eastAsia="ja-JP"/>
        </w:rPr>
        <w:t xml:space="preserve"> </w:t>
      </w:r>
      <w:r w:rsidR="0018721C">
        <w:rPr>
          <w:lang w:eastAsia="ja-JP"/>
        </w:rPr>
        <w:t>µg</w:t>
      </w:r>
      <w:r w:rsidRPr="00F31F9F">
        <w:rPr>
          <w:lang w:eastAsia="ja-JP"/>
        </w:rPr>
        <w:t>/m²/day; intrapatient dose escalation to 30</w:t>
      </w:r>
      <w:r w:rsidR="00375CAE">
        <w:rPr>
          <w:lang w:eastAsia="ja-JP"/>
        </w:rPr>
        <w:t xml:space="preserve"> </w:t>
      </w:r>
      <w:r w:rsidR="0018721C">
        <w:rPr>
          <w:lang w:eastAsia="ja-JP"/>
        </w:rPr>
        <w:t>µg</w:t>
      </w:r>
      <w:r w:rsidRPr="00F31F9F">
        <w:rPr>
          <w:lang w:eastAsia="ja-JP"/>
        </w:rPr>
        <w:t>/m²/day was permitted for patients with stable disease who had not responded after 1 cycle at the 15</w:t>
      </w:r>
      <w:r w:rsidR="00375CAE">
        <w:rPr>
          <w:lang w:eastAsia="ja-JP"/>
        </w:rPr>
        <w:t xml:space="preserve"> </w:t>
      </w:r>
      <w:r w:rsidR="0018721C">
        <w:rPr>
          <w:lang w:eastAsia="ja-JP"/>
        </w:rPr>
        <w:t>µg</w:t>
      </w:r>
      <w:r w:rsidR="00D50F7E">
        <w:rPr>
          <w:lang w:eastAsia="ja-JP"/>
        </w:rPr>
        <w:t xml:space="preserve">/m²/day dose; b) </w:t>
      </w:r>
      <w:r w:rsidRPr="00F31F9F">
        <w:rPr>
          <w:lang w:eastAsia="ja-JP"/>
        </w:rPr>
        <w:t>Study MT 103-206 had 3 dosing schedules: (1) a 15</w:t>
      </w:r>
      <w:r w:rsidR="00375CAE">
        <w:rPr>
          <w:lang w:eastAsia="ja-JP"/>
        </w:rPr>
        <w:t xml:space="preserve"> </w:t>
      </w:r>
      <w:r w:rsidR="0018721C">
        <w:rPr>
          <w:lang w:eastAsia="ja-JP"/>
        </w:rPr>
        <w:t>µg</w:t>
      </w:r>
      <w:r w:rsidRPr="00F31F9F">
        <w:rPr>
          <w:lang w:eastAsia="ja-JP"/>
        </w:rPr>
        <w:t>/m²/day flat dose, (2) a 5</w:t>
      </w:r>
      <w:r w:rsidR="00375CAE">
        <w:rPr>
          <w:lang w:eastAsia="ja-JP"/>
        </w:rPr>
        <w:t xml:space="preserve"> </w:t>
      </w:r>
      <w:r w:rsidR="0018721C">
        <w:rPr>
          <w:lang w:eastAsia="ja-JP"/>
        </w:rPr>
        <w:t>µg</w:t>
      </w:r>
      <w:r w:rsidRPr="00F31F9F">
        <w:rPr>
          <w:lang w:eastAsia="ja-JP"/>
        </w:rPr>
        <w:t>/m²/day starting dose with intrapatient dose escalation to 15</w:t>
      </w:r>
      <w:r w:rsidR="00375CAE">
        <w:rPr>
          <w:lang w:eastAsia="ja-JP"/>
        </w:rPr>
        <w:t xml:space="preserve"> </w:t>
      </w:r>
      <w:r w:rsidR="0018721C">
        <w:rPr>
          <w:lang w:eastAsia="ja-JP"/>
        </w:rPr>
        <w:t>µg</w:t>
      </w:r>
      <w:r w:rsidRPr="00F31F9F">
        <w:rPr>
          <w:lang w:eastAsia="ja-JP"/>
        </w:rPr>
        <w:t>/m²/day, (3) a 5</w:t>
      </w:r>
      <w:r w:rsidR="00375CAE">
        <w:rPr>
          <w:lang w:eastAsia="ja-JP"/>
        </w:rPr>
        <w:t xml:space="preserve"> </w:t>
      </w:r>
      <w:r w:rsidR="0018721C">
        <w:rPr>
          <w:lang w:eastAsia="ja-JP"/>
        </w:rPr>
        <w:t>µg</w:t>
      </w:r>
      <w:r w:rsidRPr="00F31F9F">
        <w:rPr>
          <w:lang w:eastAsia="ja-JP"/>
        </w:rPr>
        <w:t>/m²/day starting dose with intrapatient dose escalation to 15</w:t>
      </w:r>
      <w:r w:rsidR="00375CAE">
        <w:rPr>
          <w:lang w:eastAsia="ja-JP"/>
        </w:rPr>
        <w:t xml:space="preserve"> </w:t>
      </w:r>
      <w:r w:rsidR="0018721C">
        <w:rPr>
          <w:lang w:eastAsia="ja-JP"/>
        </w:rPr>
        <w:t>µg</w:t>
      </w:r>
      <w:r w:rsidRPr="00F31F9F">
        <w:rPr>
          <w:lang w:eastAsia="ja-JP"/>
        </w:rPr>
        <w:t>/m²/day and then to 30</w:t>
      </w:r>
      <w:r w:rsidR="00375CAE">
        <w:rPr>
          <w:lang w:eastAsia="ja-JP"/>
        </w:rPr>
        <w:t xml:space="preserve"> </w:t>
      </w:r>
      <w:r w:rsidR="0018721C">
        <w:rPr>
          <w:lang w:eastAsia="ja-JP"/>
        </w:rPr>
        <w:t>µg</w:t>
      </w:r>
      <w:r w:rsidR="00D50F7E">
        <w:rPr>
          <w:lang w:eastAsia="ja-JP"/>
        </w:rPr>
        <w:t>/m²/day; c) In S</w:t>
      </w:r>
      <w:r w:rsidRPr="00F31F9F">
        <w:rPr>
          <w:lang w:eastAsia="ja-JP"/>
        </w:rPr>
        <w:t>tudy MT 103-211, the starting dose was 9</w:t>
      </w:r>
      <w:r w:rsidR="00375CAE">
        <w:rPr>
          <w:lang w:eastAsia="ja-JP"/>
        </w:rPr>
        <w:t xml:space="preserve"> </w:t>
      </w:r>
      <w:r w:rsidR="0018721C">
        <w:rPr>
          <w:lang w:eastAsia="ja-JP"/>
        </w:rPr>
        <w:t>µg</w:t>
      </w:r>
      <w:r w:rsidRPr="00F31F9F">
        <w:rPr>
          <w:lang w:eastAsia="ja-JP"/>
        </w:rPr>
        <w:t>/day with intrapatient dose escalation to 28</w:t>
      </w:r>
      <w:r w:rsidR="00375CAE">
        <w:rPr>
          <w:lang w:eastAsia="ja-JP"/>
        </w:rPr>
        <w:t xml:space="preserve"> </w:t>
      </w:r>
      <w:r w:rsidR="0018721C">
        <w:rPr>
          <w:lang w:eastAsia="ja-JP"/>
        </w:rPr>
        <w:t>µg</w:t>
      </w:r>
      <w:r w:rsidRPr="00F31F9F">
        <w:rPr>
          <w:lang w:eastAsia="ja-JP"/>
        </w:rPr>
        <w:t>/day. Fixed dosing was used in this study versus BSA dosing used in the other 3 cIV infusion studies.</w:t>
      </w:r>
    </w:p>
    <w:p w14:paraId="24790A09" w14:textId="2E983874" w:rsidR="00F31F9F" w:rsidRPr="00F31F9F" w:rsidRDefault="00F31F9F" w:rsidP="00BA262E">
      <w:pPr>
        <w:pStyle w:val="Heading4"/>
      </w:pPr>
      <w:bookmarkStart w:id="64" w:name="_Ref291767585"/>
      <w:r w:rsidRPr="00F31F9F">
        <w:t xml:space="preserve">Study MT103-104 </w:t>
      </w:r>
      <w:r w:rsidR="0018721C">
        <w:t>Phase I</w:t>
      </w:r>
      <w:r w:rsidRPr="00F31F9F">
        <w:t xml:space="preserve"> Study in Subjects with NHL</w:t>
      </w:r>
      <w:bookmarkEnd w:id="64"/>
      <w:r w:rsidRPr="00F31F9F">
        <w:t>s</w:t>
      </w:r>
    </w:p>
    <w:p w14:paraId="5282C6B9" w14:textId="3BEF2789" w:rsidR="00F31F9F" w:rsidRPr="00F31F9F" w:rsidRDefault="00BA262E" w:rsidP="00BA262E">
      <w:pPr>
        <w:pStyle w:val="Heading5"/>
        <w:rPr>
          <w:lang w:eastAsia="ja-JP"/>
        </w:rPr>
      </w:pPr>
      <w:r>
        <w:rPr>
          <w:lang w:eastAsia="ja-JP"/>
        </w:rPr>
        <w:t>Study objectives and d</w:t>
      </w:r>
      <w:r w:rsidR="00586C19">
        <w:rPr>
          <w:lang w:eastAsia="ja-JP"/>
        </w:rPr>
        <w:t>esign</w:t>
      </w:r>
    </w:p>
    <w:p w14:paraId="7E0E7DAC" w14:textId="6E421970" w:rsidR="00F31F9F" w:rsidRPr="00F31F9F" w:rsidRDefault="00F31F9F" w:rsidP="00F31F9F">
      <w:pPr>
        <w:rPr>
          <w:lang w:eastAsia="ja-JP"/>
        </w:rPr>
      </w:pPr>
      <w:r w:rsidRPr="00F31F9F">
        <w:rPr>
          <w:lang w:eastAsia="ja-JP"/>
        </w:rPr>
        <w:t xml:space="preserve">This trial was a </w:t>
      </w:r>
      <w:r w:rsidR="0018721C">
        <w:rPr>
          <w:lang w:eastAsia="ja-JP"/>
        </w:rPr>
        <w:t>Phase I</w:t>
      </w:r>
      <w:r w:rsidR="00000368">
        <w:rPr>
          <w:lang w:eastAsia="ja-JP"/>
        </w:rPr>
        <w:t xml:space="preserve"> non-</w:t>
      </w:r>
      <w:r w:rsidR="00070E8B">
        <w:rPr>
          <w:lang w:eastAsia="ja-JP"/>
        </w:rPr>
        <w:t>randomised</w:t>
      </w:r>
      <w:r w:rsidRPr="00F31F9F">
        <w:rPr>
          <w:lang w:eastAsia="ja-JP"/>
        </w:rPr>
        <w:t>, non</w:t>
      </w:r>
      <w:r w:rsidR="00BA262E">
        <w:rPr>
          <w:lang w:eastAsia="ja-JP"/>
        </w:rPr>
        <w:t>-</w:t>
      </w:r>
      <w:r w:rsidR="00070E8B">
        <w:rPr>
          <w:lang w:eastAsia="ja-JP"/>
        </w:rPr>
        <w:t>control</w:t>
      </w:r>
      <w:r w:rsidRPr="00F31F9F">
        <w:rPr>
          <w:lang w:eastAsia="ja-JP"/>
        </w:rPr>
        <w:t xml:space="preserve">led, </w:t>
      </w:r>
      <w:r w:rsidR="00070E8B">
        <w:rPr>
          <w:lang w:eastAsia="ja-JP"/>
        </w:rPr>
        <w:t>open label</w:t>
      </w:r>
      <w:r w:rsidR="00BA262E">
        <w:rPr>
          <w:lang w:eastAsia="ja-JP"/>
        </w:rPr>
        <w:t xml:space="preserve">, </w:t>
      </w:r>
      <w:proofErr w:type="gramStart"/>
      <w:r w:rsidR="00BA262E">
        <w:rPr>
          <w:lang w:eastAsia="ja-JP"/>
        </w:rPr>
        <w:t>inter</w:t>
      </w:r>
      <w:r w:rsidRPr="00F31F9F">
        <w:rPr>
          <w:lang w:eastAsia="ja-JP"/>
        </w:rPr>
        <w:t>patient</w:t>
      </w:r>
      <w:proofErr w:type="gramEnd"/>
      <w:r w:rsidRPr="00F31F9F">
        <w:rPr>
          <w:lang w:eastAsia="ja-JP"/>
        </w:rPr>
        <w:t xml:space="preserve"> dose escalation study in 76 adult subjects with relapsed B-lineage NHL. The primary objective was to determine the safety and tolerability of cIV infusions of blinatumomab at different dose levels in order to determine the maximal tolerable dose. The secondary objectives were to determine the pharmacokinetic, phar</w:t>
      </w:r>
      <w:r w:rsidR="00000368">
        <w:rPr>
          <w:lang w:eastAsia="ja-JP"/>
        </w:rPr>
        <w:t>macodynamic (cytokine levels, T-</w:t>
      </w:r>
      <w:r w:rsidRPr="00F31F9F">
        <w:rPr>
          <w:lang w:eastAsia="ja-JP"/>
        </w:rPr>
        <w:t xml:space="preserve"> and B-cell count), and anti</w:t>
      </w:r>
      <w:r w:rsidR="00000368">
        <w:rPr>
          <w:lang w:eastAsia="ja-JP"/>
        </w:rPr>
        <w:t>-</w:t>
      </w:r>
      <w:r w:rsidRPr="00F31F9F">
        <w:rPr>
          <w:lang w:eastAsia="ja-JP"/>
        </w:rPr>
        <w:t>tumour activity of blinatumomab.</w:t>
      </w:r>
    </w:p>
    <w:p w14:paraId="0CF820DB" w14:textId="61AAD969" w:rsidR="00F31F9F" w:rsidRPr="00F31F9F" w:rsidRDefault="00F31F9F" w:rsidP="00F31F9F">
      <w:pPr>
        <w:rPr>
          <w:lang w:eastAsia="ja-JP"/>
        </w:rPr>
      </w:pPr>
      <w:r w:rsidRPr="00F31F9F">
        <w:rPr>
          <w:lang w:eastAsia="ja-JP"/>
        </w:rPr>
        <w:t>Bli</w:t>
      </w:r>
      <w:r w:rsidR="00BA262E">
        <w:rPr>
          <w:lang w:eastAsia="ja-JP"/>
        </w:rPr>
        <w:t>natumomab was administered as 4</w:t>
      </w:r>
      <w:r w:rsidRPr="00F31F9F">
        <w:rPr>
          <w:lang w:eastAsia="ja-JP"/>
        </w:rPr>
        <w:t xml:space="preserve"> or 8-week cIV infusion at 7 dose levels ranging from 0.5 </w:t>
      </w:r>
      <w:proofErr w:type="gramStart"/>
      <w:r w:rsidRPr="00F31F9F">
        <w:rPr>
          <w:lang w:eastAsia="ja-JP"/>
        </w:rPr>
        <w:t>to 90</w:t>
      </w:r>
      <w:r w:rsidR="00BA262E">
        <w:rPr>
          <w:lang w:eastAsia="ja-JP"/>
        </w:rPr>
        <w:t> </w:t>
      </w:r>
      <w:r w:rsidR="0018721C">
        <w:rPr>
          <w:lang w:eastAsia="ja-JP"/>
        </w:rPr>
        <w:t>µg</w:t>
      </w:r>
      <w:r w:rsidRPr="00F31F9F">
        <w:rPr>
          <w:lang w:eastAsia="ja-JP"/>
        </w:rPr>
        <w:t>/m²/day</w:t>
      </w:r>
      <w:proofErr w:type="gramEnd"/>
      <w:r w:rsidRPr="00F31F9F">
        <w:rPr>
          <w:lang w:eastAsia="ja-JP"/>
        </w:rPr>
        <w:t xml:space="preserve">. Subjects were treated with either a consistent dose throughout the treatment period or intra-individual dose escalations, </w:t>
      </w:r>
      <w:r w:rsidR="00BA262E">
        <w:rPr>
          <w:lang w:eastAsia="ja-JP"/>
        </w:rPr>
        <w:t>for example,</w:t>
      </w:r>
      <w:r w:rsidRPr="00F31F9F">
        <w:rPr>
          <w:lang w:eastAsia="ja-JP"/>
        </w:rPr>
        <w:t xml:space="preserve"> 5/60 or 5/15/60</w:t>
      </w:r>
      <w:r w:rsidR="00375CAE">
        <w:rPr>
          <w:lang w:eastAsia="ja-JP"/>
        </w:rPr>
        <w:t xml:space="preserve"> </w:t>
      </w:r>
      <w:r w:rsidR="0018721C">
        <w:rPr>
          <w:lang w:eastAsia="ja-JP"/>
        </w:rPr>
        <w:t>µg</w:t>
      </w:r>
      <w:r w:rsidRPr="00F31F9F">
        <w:rPr>
          <w:lang w:eastAsia="ja-JP"/>
        </w:rPr>
        <w:t>/</w:t>
      </w:r>
      <w:r w:rsidR="00586C19" w:rsidRPr="00F31F9F">
        <w:rPr>
          <w:lang w:eastAsia="ja-JP"/>
        </w:rPr>
        <w:t>m</w:t>
      </w:r>
      <w:r w:rsidR="00586C19" w:rsidRPr="00586C19">
        <w:rPr>
          <w:vertAlign w:val="superscript"/>
          <w:lang w:eastAsia="ja-JP"/>
        </w:rPr>
        <w:t>2</w:t>
      </w:r>
      <w:r w:rsidRPr="00F31F9F">
        <w:rPr>
          <w:lang w:eastAsia="ja-JP"/>
        </w:rPr>
        <w:t>/day. All subjects were to be treated for at least 4 weeks unless dose</w:t>
      </w:r>
      <w:r w:rsidR="00000368">
        <w:rPr>
          <w:lang w:eastAsia="ja-JP"/>
        </w:rPr>
        <w:t xml:space="preserve"> </w:t>
      </w:r>
      <w:r w:rsidRPr="00F31F9F">
        <w:rPr>
          <w:lang w:eastAsia="ja-JP"/>
        </w:rPr>
        <w:t>limiting toxicities or disease progression occurred. Intense pharmacokinetic and pharmacodynamic samples were collected over the treatment period.</w:t>
      </w:r>
    </w:p>
    <w:p w14:paraId="26111E4B" w14:textId="6C176B30" w:rsidR="00F31F9F" w:rsidRPr="00F31F9F" w:rsidRDefault="00F31F9F" w:rsidP="00F31F9F">
      <w:pPr>
        <w:rPr>
          <w:lang w:eastAsia="ja-JP"/>
        </w:rPr>
      </w:pPr>
      <w:r w:rsidRPr="00F31F9F">
        <w:rPr>
          <w:lang w:eastAsia="ja-JP"/>
        </w:rPr>
        <w:t>Blinatumomab serum concentrations at doses of 0.5 and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were below the lower limit of quantification (LLOQ</w:t>
      </w:r>
      <w:r w:rsidR="00375CAE">
        <w:rPr>
          <w:lang w:eastAsia="ja-JP"/>
        </w:rPr>
        <w:t xml:space="preserve"> </w:t>
      </w:r>
      <w:r w:rsidR="00423768">
        <w:rPr>
          <w:lang w:eastAsia="ja-JP"/>
        </w:rPr>
        <w:t>=</w:t>
      </w:r>
      <w:r w:rsidR="00375CAE">
        <w:rPr>
          <w:lang w:eastAsia="ja-JP"/>
        </w:rPr>
        <w:t xml:space="preserve"> </w:t>
      </w:r>
      <w:r w:rsidRPr="00F31F9F">
        <w:rPr>
          <w:lang w:eastAsia="ja-JP"/>
        </w:rPr>
        <w:t xml:space="preserve">100 pg/mL) of the bioanalytical assay and therefore the pharmacokinetic parameters were not able to be estimated. The summary statistics of </w:t>
      </w:r>
      <w:r w:rsidR="005E5C58">
        <w:rPr>
          <w:lang w:eastAsia="ja-JP"/>
        </w:rPr>
        <w:t>C</w:t>
      </w:r>
      <w:r w:rsidR="005E5C58">
        <w:rPr>
          <w:vertAlign w:val="subscript"/>
          <w:lang w:eastAsia="ja-JP"/>
        </w:rPr>
        <w:t>ss</w:t>
      </w:r>
      <w:r w:rsidRPr="00F31F9F">
        <w:rPr>
          <w:lang w:eastAsia="ja-JP"/>
        </w:rPr>
        <w:t xml:space="preserve"> during cIV infusion from 5 to 90</w:t>
      </w:r>
      <w:r w:rsidR="00375CAE">
        <w:rPr>
          <w:lang w:eastAsia="ja-JP"/>
        </w:rPr>
        <w:t xml:space="preserve"> </w:t>
      </w:r>
      <w:r w:rsidR="0018721C">
        <w:rPr>
          <w:lang w:eastAsia="ja-JP"/>
        </w:rPr>
        <w:t>µg</w:t>
      </w:r>
      <w:r w:rsidRPr="00F31F9F">
        <w:rPr>
          <w:lang w:eastAsia="ja-JP"/>
        </w:rPr>
        <w:t>/</w:t>
      </w:r>
      <w:r w:rsidR="00586C19" w:rsidRPr="00F31F9F">
        <w:rPr>
          <w:lang w:eastAsia="ja-JP"/>
        </w:rPr>
        <w:t>m</w:t>
      </w:r>
      <w:r w:rsidR="00586C19" w:rsidRPr="00586C19">
        <w:rPr>
          <w:vertAlign w:val="superscript"/>
          <w:lang w:eastAsia="ja-JP"/>
        </w:rPr>
        <w:t>2</w:t>
      </w:r>
      <w:r w:rsidRPr="00F31F9F">
        <w:rPr>
          <w:lang w:eastAsia="ja-JP"/>
        </w:rPr>
        <w:t xml:space="preserve">/day and blinatumomab pharmacokinetic parameter estimates are presented </w:t>
      </w:r>
      <w:r w:rsidR="00BA262E">
        <w:rPr>
          <w:lang w:eastAsia="ja-JP"/>
        </w:rPr>
        <w:t xml:space="preserve">below </w:t>
      </w:r>
      <w:r w:rsidRPr="00F31F9F">
        <w:rPr>
          <w:lang w:eastAsia="ja-JP"/>
        </w:rPr>
        <w:t xml:space="preserve">in Table </w:t>
      </w:r>
      <w:r w:rsidR="00BA262E">
        <w:rPr>
          <w:lang w:eastAsia="ja-JP"/>
        </w:rPr>
        <w:t>3</w:t>
      </w:r>
      <w:r w:rsidR="00000368">
        <w:rPr>
          <w:lang w:eastAsia="ja-JP"/>
        </w:rPr>
        <w:t>.</w:t>
      </w:r>
    </w:p>
    <w:p w14:paraId="79C3E794" w14:textId="3C4E17D0" w:rsidR="00F31F9F" w:rsidRPr="00F31F9F" w:rsidRDefault="00F31F9F" w:rsidP="00F31F9F">
      <w:pPr>
        <w:rPr>
          <w:lang w:eastAsia="ja-JP"/>
        </w:rPr>
      </w:pPr>
      <w:r w:rsidRPr="00F31F9F">
        <w:rPr>
          <w:lang w:eastAsia="ja-JP"/>
        </w:rPr>
        <w:t xml:space="preserve">In the statistical analysis of dose proportionality, individual </w:t>
      </w:r>
      <w:r w:rsidR="005E5C58">
        <w:rPr>
          <w:lang w:eastAsia="ja-JP"/>
        </w:rPr>
        <w:t>C</w:t>
      </w:r>
      <w:r w:rsidR="005E5C58">
        <w:rPr>
          <w:vertAlign w:val="subscript"/>
          <w:lang w:eastAsia="ja-JP"/>
        </w:rPr>
        <w:t>ss</w:t>
      </w:r>
      <w:r w:rsidRPr="00F31F9F">
        <w:rPr>
          <w:lang w:eastAsia="ja-JP"/>
        </w:rPr>
        <w:t xml:space="preserve"> values were used and repeated measures from the same subject were taken into account via a random subject effect. Based on the available data in this study, the blinatumomab exposure levels increased approximately linearly with dose (slope</w:t>
      </w:r>
      <w:r w:rsidR="00375CAE">
        <w:rPr>
          <w:lang w:eastAsia="ja-JP"/>
        </w:rPr>
        <w:t xml:space="preserve"> </w:t>
      </w:r>
      <w:r w:rsidR="00423768">
        <w:rPr>
          <w:lang w:eastAsia="ja-JP"/>
        </w:rPr>
        <w:t>=</w:t>
      </w:r>
      <w:r w:rsidR="00375CAE">
        <w:rPr>
          <w:lang w:eastAsia="ja-JP"/>
        </w:rPr>
        <w:t xml:space="preserve"> </w:t>
      </w:r>
      <w:r w:rsidRPr="00F31F9F">
        <w:rPr>
          <w:lang w:eastAsia="ja-JP"/>
        </w:rPr>
        <w:t>1.07, 95% CI: 1.028, 1.114) (</w:t>
      </w:r>
      <w:r w:rsidR="0058382E">
        <w:rPr>
          <w:lang w:eastAsia="ja-JP"/>
        </w:rPr>
        <w:t>see Figure 1, below.</w:t>
      </w:r>
      <w:r w:rsidRPr="00F31F9F">
        <w:rPr>
          <w:lang w:eastAsia="ja-JP"/>
        </w:rPr>
        <w:t>)</w:t>
      </w:r>
    </w:p>
    <w:p w14:paraId="6B980BC7" w14:textId="41A94A03" w:rsidR="00F31F9F" w:rsidRPr="00F31F9F" w:rsidRDefault="00F31F9F" w:rsidP="00950181">
      <w:pPr>
        <w:pStyle w:val="FigureTitle"/>
        <w:rPr>
          <w:lang w:eastAsia="ja-JP"/>
        </w:rPr>
      </w:pPr>
      <w:bookmarkStart w:id="65" w:name="_Toc292015781"/>
      <w:r w:rsidRPr="00F31F9F">
        <w:rPr>
          <w:lang w:eastAsia="ja-JP"/>
        </w:rPr>
        <w:t>Figure</w:t>
      </w:r>
      <w:r w:rsidR="006B3B14">
        <w:rPr>
          <w:lang w:eastAsia="ja-JP"/>
        </w:rPr>
        <w:t xml:space="preserve"> 1</w:t>
      </w:r>
      <w:r w:rsidR="00586C19">
        <w:rPr>
          <w:lang w:eastAsia="ja-JP"/>
        </w:rPr>
        <w:t>:</w:t>
      </w:r>
      <w:r w:rsidRPr="00F31F9F">
        <w:rPr>
          <w:lang w:eastAsia="ja-JP"/>
        </w:rPr>
        <w:t xml:space="preserve"> Mean </w:t>
      </w:r>
      <w:r w:rsidR="0058382E" w:rsidRPr="00F31F9F">
        <w:rPr>
          <w:lang w:eastAsia="ja-JP"/>
        </w:rPr>
        <w:t xml:space="preserve">serum blinatumomab </w:t>
      </w:r>
      <w:r w:rsidR="0058382E">
        <w:rPr>
          <w:lang w:eastAsia="ja-JP"/>
        </w:rPr>
        <w:t>concentration at steady state (</w:t>
      </w:r>
      <w:r w:rsidR="005E5C58">
        <w:rPr>
          <w:lang w:eastAsia="ja-JP"/>
        </w:rPr>
        <w:t>C</w:t>
      </w:r>
      <w:r w:rsidR="005E5C58">
        <w:rPr>
          <w:vertAlign w:val="subscript"/>
          <w:lang w:eastAsia="ja-JP"/>
        </w:rPr>
        <w:t>ss</w:t>
      </w:r>
      <w:r w:rsidR="0058382E" w:rsidRPr="00F31F9F">
        <w:rPr>
          <w:lang w:eastAsia="ja-JP"/>
        </w:rPr>
        <w:t>) versus dose</w:t>
      </w:r>
      <w:bookmarkEnd w:id="65"/>
    </w:p>
    <w:p w14:paraId="4308CA9A" w14:textId="77777777" w:rsidR="00F31F9F" w:rsidRPr="00F31F9F" w:rsidRDefault="00F31F9F" w:rsidP="00F31F9F">
      <w:pPr>
        <w:rPr>
          <w:lang w:eastAsia="ja-JP"/>
        </w:rPr>
      </w:pPr>
      <w:r w:rsidRPr="00F31F9F">
        <w:rPr>
          <w:noProof/>
          <w:lang w:eastAsia="en-AU"/>
        </w:rPr>
        <w:drawing>
          <wp:inline distT="0" distB="0" distL="0" distR="0" wp14:anchorId="70724109" wp14:editId="7E036063">
            <wp:extent cx="5066390" cy="3584448"/>
            <wp:effectExtent l="0" t="0" r="1270" b="0"/>
            <wp:docPr id="3" name="Picture 3" descr="Figure 1: Mean serum blinatumomab concentration at steady state (Css) versus dose" title="Mean serum blinatumomab concentration at steady state (Css) versus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151" r="1795" b="11314"/>
                    <a:stretch/>
                  </pic:blipFill>
                  <pic:spPr bwMode="auto">
                    <a:xfrm>
                      <a:off x="0" y="0"/>
                      <a:ext cx="5099927" cy="3608175"/>
                    </a:xfrm>
                    <a:prstGeom prst="rect">
                      <a:avLst/>
                    </a:prstGeom>
                    <a:noFill/>
                    <a:ln>
                      <a:noFill/>
                    </a:ln>
                    <a:extLst>
                      <a:ext uri="{53640926-AAD7-44D8-BBD7-CCE9431645EC}">
                        <a14:shadowObscured xmlns:a14="http://schemas.microsoft.com/office/drawing/2010/main"/>
                      </a:ext>
                    </a:extLst>
                  </pic:spPr>
                </pic:pic>
              </a:graphicData>
            </a:graphic>
          </wp:inline>
        </w:drawing>
      </w:r>
    </w:p>
    <w:p w14:paraId="5FB05AA3" w14:textId="25E608A3" w:rsidR="00F31F9F" w:rsidRPr="00F31F9F" w:rsidRDefault="00F31F9F" w:rsidP="00950181">
      <w:pPr>
        <w:pStyle w:val="Tabletitle"/>
        <w:rPr>
          <w:lang w:eastAsia="ja-JP"/>
        </w:rPr>
      </w:pPr>
      <w:bookmarkStart w:id="66" w:name="_Toc292015686"/>
      <w:r w:rsidRPr="00F31F9F">
        <w:rPr>
          <w:lang w:eastAsia="ja-JP"/>
        </w:rPr>
        <w:t>Table</w:t>
      </w:r>
      <w:r w:rsidR="006B3B14">
        <w:rPr>
          <w:lang w:eastAsia="ja-JP"/>
        </w:rPr>
        <w:t xml:space="preserve"> 3</w:t>
      </w:r>
      <w:r w:rsidR="00586C19">
        <w:rPr>
          <w:lang w:eastAsia="ja-JP"/>
        </w:rPr>
        <w:t>:</w:t>
      </w:r>
      <w:r w:rsidR="000D3BE7">
        <w:rPr>
          <w:lang w:eastAsia="ja-JP"/>
        </w:rPr>
        <w:t xml:space="preserve"> Descriptive statistics of blinatumomab pharmacokinetic parameter e</w:t>
      </w:r>
      <w:r w:rsidR="00425923">
        <w:rPr>
          <w:lang w:eastAsia="ja-JP"/>
        </w:rPr>
        <w:t>stimates following continuous IV infusion over 4 or 8 weeks in subjects with r</w:t>
      </w:r>
      <w:r w:rsidRPr="00F31F9F">
        <w:rPr>
          <w:lang w:eastAsia="ja-JP"/>
        </w:rPr>
        <w:t>elapse</w:t>
      </w:r>
      <w:r w:rsidR="00425923">
        <w:rPr>
          <w:lang w:eastAsia="ja-JP"/>
        </w:rPr>
        <w:t>d non-Hodgkin's l</w:t>
      </w:r>
      <w:r w:rsidRPr="00F31F9F">
        <w:rPr>
          <w:lang w:eastAsia="ja-JP"/>
        </w:rPr>
        <w:t>ymphoma</w:t>
      </w:r>
      <w:bookmarkEnd w:id="66"/>
    </w:p>
    <w:tbl>
      <w:tblPr>
        <w:tblStyle w:val="TableTGAblue"/>
        <w:tblW w:w="4830" w:type="pct"/>
        <w:tblLook w:val="04A0" w:firstRow="1" w:lastRow="0" w:firstColumn="1" w:lastColumn="0" w:noHBand="0" w:noVBand="1"/>
        <w:tblDescription w:val="Table 3: Descriptive statistics of blinatumomab pharmacokinetic parameter estimates following continuous IV infusion over 4 or 8 weeks in subjects with relapsed non-Hodgkin's lymphoma"/>
      </w:tblPr>
      <w:tblGrid>
        <w:gridCol w:w="1404"/>
        <w:gridCol w:w="831"/>
        <w:gridCol w:w="831"/>
        <w:gridCol w:w="830"/>
        <w:gridCol w:w="830"/>
        <w:gridCol w:w="1061"/>
        <w:gridCol w:w="895"/>
        <w:gridCol w:w="1250"/>
        <w:gridCol w:w="996"/>
      </w:tblGrid>
      <w:tr w:rsidR="00950181" w:rsidRPr="00F31F9F" w14:paraId="4A480728" w14:textId="77777777" w:rsidTr="007B7D09">
        <w:trPr>
          <w:cnfStyle w:val="100000000000" w:firstRow="1" w:lastRow="0" w:firstColumn="0" w:lastColumn="0" w:oddVBand="0" w:evenVBand="0" w:oddHBand="0" w:evenHBand="0" w:firstRowFirstColumn="0" w:firstRowLastColumn="0" w:lastRowFirstColumn="0" w:lastRowLastColumn="0"/>
          <w:trHeight w:val="943"/>
          <w:tblHeader/>
        </w:trPr>
        <w:tc>
          <w:tcPr>
            <w:cnfStyle w:val="001000000000" w:firstRow="0" w:lastRow="0" w:firstColumn="1" w:lastColumn="0" w:oddVBand="0" w:evenVBand="0" w:oddHBand="0" w:evenHBand="0" w:firstRowFirstColumn="0" w:firstRowLastColumn="0" w:lastRowFirstColumn="0" w:lastRowLastColumn="0"/>
            <w:tcW w:w="786" w:type="pct"/>
          </w:tcPr>
          <w:p w14:paraId="0B91F78F" w14:textId="240E5BE3" w:rsidR="00647714" w:rsidRPr="009A7E56" w:rsidRDefault="00647714" w:rsidP="009A7E56">
            <w:pPr>
              <w:keepNext/>
              <w:ind w:left="0" w:right="0"/>
              <w:rPr>
                <w:sz w:val="20"/>
                <w:szCs w:val="20"/>
                <w:lang w:eastAsia="ja-JP"/>
              </w:rPr>
            </w:pPr>
            <w:r w:rsidRPr="009A7E56">
              <w:rPr>
                <w:sz w:val="20"/>
                <w:szCs w:val="20"/>
                <w:lang w:eastAsia="ja-JP"/>
              </w:rPr>
              <w:t>Dose (µg/m</w:t>
            </w:r>
            <w:r w:rsidRPr="009A7E56">
              <w:rPr>
                <w:sz w:val="20"/>
                <w:szCs w:val="20"/>
                <w:vertAlign w:val="superscript"/>
                <w:lang w:eastAsia="ja-JP"/>
              </w:rPr>
              <w:t>2</w:t>
            </w:r>
            <w:r w:rsidRPr="009A7E56">
              <w:rPr>
                <w:sz w:val="20"/>
                <w:szCs w:val="20"/>
                <w:lang w:eastAsia="ja-JP"/>
              </w:rPr>
              <w:t>/day)</w:t>
            </w:r>
          </w:p>
        </w:tc>
        <w:tc>
          <w:tcPr>
            <w:tcW w:w="465" w:type="pct"/>
          </w:tcPr>
          <w:p w14:paraId="79D2E257" w14:textId="6F3BB07D"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 pg/mL</w:t>
            </w:r>
          </w:p>
        </w:tc>
        <w:tc>
          <w:tcPr>
            <w:tcW w:w="465" w:type="pct"/>
          </w:tcPr>
          <w:p w14:paraId="2A42290E" w14:textId="28422E48"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15 pg/mL</w:t>
            </w:r>
          </w:p>
        </w:tc>
        <w:tc>
          <w:tcPr>
            <w:tcW w:w="465" w:type="pct"/>
          </w:tcPr>
          <w:p w14:paraId="472DC4E5" w14:textId="799EC7C5"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30 pg/mL</w:t>
            </w:r>
          </w:p>
        </w:tc>
        <w:tc>
          <w:tcPr>
            <w:tcW w:w="465" w:type="pct"/>
          </w:tcPr>
          <w:p w14:paraId="41E7519E" w14:textId="1C176DA6"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60 pg/mL</w:t>
            </w:r>
          </w:p>
        </w:tc>
        <w:tc>
          <w:tcPr>
            <w:tcW w:w="594" w:type="pct"/>
          </w:tcPr>
          <w:p w14:paraId="6232FEBA" w14:textId="4724BD82"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90 pg/mL</w:t>
            </w:r>
          </w:p>
        </w:tc>
        <w:tc>
          <w:tcPr>
            <w:tcW w:w="501" w:type="pct"/>
          </w:tcPr>
          <w:p w14:paraId="596307BA" w14:textId="07FA9E7B"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t</w:t>
            </w:r>
            <w:r w:rsidRPr="009A7E56">
              <w:rPr>
                <w:sz w:val="20"/>
                <w:szCs w:val="20"/>
                <w:vertAlign w:val="subscript"/>
                <w:lang w:eastAsia="ja-JP"/>
              </w:rPr>
              <w:t>1/2,z</w:t>
            </w:r>
            <w:r w:rsidR="00950181">
              <w:rPr>
                <w:sz w:val="20"/>
                <w:szCs w:val="20"/>
                <w:lang w:eastAsia="ja-JP"/>
              </w:rPr>
              <w:t xml:space="preserve"> </w:t>
            </w:r>
            <w:r w:rsidRPr="009A7E56">
              <w:rPr>
                <w:sz w:val="20"/>
                <w:szCs w:val="20"/>
                <w:lang w:eastAsia="ja-JP"/>
              </w:rPr>
              <w:t>(hr)</w:t>
            </w:r>
          </w:p>
        </w:tc>
        <w:tc>
          <w:tcPr>
            <w:tcW w:w="700" w:type="pct"/>
          </w:tcPr>
          <w:p w14:paraId="472C4276" w14:textId="165BC7C5"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CL</w:t>
            </w:r>
            <w:r w:rsidR="00950181">
              <w:rPr>
                <w:sz w:val="20"/>
                <w:szCs w:val="20"/>
                <w:lang w:eastAsia="ja-JP"/>
              </w:rPr>
              <w:t xml:space="preserve"> </w:t>
            </w:r>
            <w:r w:rsidRPr="009A7E56">
              <w:rPr>
                <w:sz w:val="20"/>
                <w:szCs w:val="20"/>
                <w:lang w:eastAsia="ja-JP"/>
              </w:rPr>
              <w:t>(L/hr/m</w:t>
            </w:r>
            <w:r w:rsidRPr="009A7E56">
              <w:rPr>
                <w:sz w:val="20"/>
                <w:szCs w:val="20"/>
                <w:vertAlign w:val="superscript"/>
                <w:lang w:eastAsia="ja-JP"/>
              </w:rPr>
              <w:t>2</w:t>
            </w:r>
            <w:r w:rsidRPr="009A7E56">
              <w:rPr>
                <w:sz w:val="20"/>
                <w:szCs w:val="20"/>
                <w:lang w:eastAsia="ja-JP"/>
              </w:rPr>
              <w:t>)</w:t>
            </w:r>
          </w:p>
        </w:tc>
        <w:tc>
          <w:tcPr>
            <w:tcW w:w="558" w:type="pct"/>
          </w:tcPr>
          <w:p w14:paraId="07FE852F" w14:textId="5D4E0976" w:rsidR="00647714" w:rsidRPr="009A7E56" w:rsidRDefault="00647714" w:rsidP="009A7E56">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Vz</w:t>
            </w:r>
            <w:r w:rsidR="00950181">
              <w:rPr>
                <w:sz w:val="20"/>
                <w:szCs w:val="20"/>
                <w:lang w:eastAsia="ja-JP"/>
              </w:rPr>
              <w:t xml:space="preserve"> </w:t>
            </w:r>
            <w:r w:rsidRPr="009A7E56">
              <w:rPr>
                <w:sz w:val="20"/>
                <w:szCs w:val="20"/>
                <w:lang w:eastAsia="ja-JP"/>
              </w:rPr>
              <w:t>(L/m</w:t>
            </w:r>
            <w:r w:rsidRPr="009A7E56">
              <w:rPr>
                <w:sz w:val="20"/>
                <w:szCs w:val="20"/>
                <w:vertAlign w:val="superscript"/>
                <w:lang w:eastAsia="ja-JP"/>
              </w:rPr>
              <w:t>2</w:t>
            </w:r>
            <w:r w:rsidRPr="009A7E56">
              <w:rPr>
                <w:sz w:val="20"/>
                <w:szCs w:val="20"/>
                <w:lang w:eastAsia="ja-JP"/>
              </w:rPr>
              <w:t>)</w:t>
            </w:r>
          </w:p>
        </w:tc>
      </w:tr>
      <w:tr w:rsidR="00950181" w:rsidRPr="00F31F9F" w14:paraId="0D0F3F50"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70D29577" w14:textId="77777777" w:rsidR="00F31F9F" w:rsidRPr="009A7E56" w:rsidRDefault="00F31F9F" w:rsidP="009A7E56">
            <w:pPr>
              <w:keepNext/>
              <w:ind w:left="0" w:right="0"/>
              <w:rPr>
                <w:sz w:val="20"/>
                <w:szCs w:val="20"/>
                <w:lang w:eastAsia="ja-JP"/>
              </w:rPr>
            </w:pPr>
            <w:r w:rsidRPr="009A7E56">
              <w:rPr>
                <w:sz w:val="20"/>
                <w:szCs w:val="20"/>
                <w:lang w:eastAsia="ja-JP"/>
              </w:rPr>
              <w:t>N</w:t>
            </w:r>
          </w:p>
        </w:tc>
        <w:tc>
          <w:tcPr>
            <w:tcW w:w="465" w:type="pct"/>
          </w:tcPr>
          <w:p w14:paraId="59BCF130"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32</w:t>
            </w:r>
          </w:p>
        </w:tc>
        <w:tc>
          <w:tcPr>
            <w:tcW w:w="465" w:type="pct"/>
          </w:tcPr>
          <w:p w14:paraId="407D9B20"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36</w:t>
            </w:r>
          </w:p>
        </w:tc>
        <w:tc>
          <w:tcPr>
            <w:tcW w:w="465" w:type="pct"/>
          </w:tcPr>
          <w:p w14:paraId="2DB4E88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w:t>
            </w:r>
          </w:p>
        </w:tc>
        <w:tc>
          <w:tcPr>
            <w:tcW w:w="465" w:type="pct"/>
          </w:tcPr>
          <w:p w14:paraId="104A3F78"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34</w:t>
            </w:r>
          </w:p>
        </w:tc>
        <w:tc>
          <w:tcPr>
            <w:tcW w:w="594" w:type="pct"/>
          </w:tcPr>
          <w:p w14:paraId="0B7194B2"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w:t>
            </w:r>
          </w:p>
        </w:tc>
        <w:tc>
          <w:tcPr>
            <w:tcW w:w="501" w:type="pct"/>
          </w:tcPr>
          <w:p w14:paraId="1F6229B0"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33</w:t>
            </w:r>
          </w:p>
        </w:tc>
        <w:tc>
          <w:tcPr>
            <w:tcW w:w="700" w:type="pct"/>
          </w:tcPr>
          <w:p w14:paraId="13E6012F"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66</w:t>
            </w:r>
          </w:p>
        </w:tc>
        <w:tc>
          <w:tcPr>
            <w:tcW w:w="558" w:type="pct"/>
          </w:tcPr>
          <w:p w14:paraId="79C81D0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33</w:t>
            </w:r>
          </w:p>
        </w:tc>
      </w:tr>
      <w:tr w:rsidR="00950181" w:rsidRPr="00F31F9F" w14:paraId="5763096E"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1CFC8D8C" w14:textId="77777777" w:rsidR="00F31F9F" w:rsidRPr="009A7E56" w:rsidRDefault="00F31F9F" w:rsidP="009A7E56">
            <w:pPr>
              <w:keepNext/>
              <w:ind w:left="0" w:right="0"/>
              <w:rPr>
                <w:sz w:val="20"/>
                <w:szCs w:val="20"/>
                <w:lang w:eastAsia="ja-JP"/>
              </w:rPr>
            </w:pPr>
            <w:r w:rsidRPr="009A7E56">
              <w:rPr>
                <w:sz w:val="20"/>
                <w:szCs w:val="20"/>
                <w:lang w:eastAsia="ja-JP"/>
              </w:rPr>
              <w:t>Mean</w:t>
            </w:r>
          </w:p>
        </w:tc>
        <w:tc>
          <w:tcPr>
            <w:tcW w:w="465" w:type="pct"/>
          </w:tcPr>
          <w:p w14:paraId="1FCEF127"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210</w:t>
            </w:r>
          </w:p>
        </w:tc>
        <w:tc>
          <w:tcPr>
            <w:tcW w:w="465" w:type="pct"/>
          </w:tcPr>
          <w:p w14:paraId="61062EF8"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651</w:t>
            </w:r>
          </w:p>
        </w:tc>
        <w:tc>
          <w:tcPr>
            <w:tcW w:w="465" w:type="pct"/>
          </w:tcPr>
          <w:p w14:paraId="4544DD13"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1210</w:t>
            </w:r>
          </w:p>
        </w:tc>
        <w:tc>
          <w:tcPr>
            <w:tcW w:w="465" w:type="pct"/>
          </w:tcPr>
          <w:p w14:paraId="7DE1FAD7"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2730</w:t>
            </w:r>
          </w:p>
        </w:tc>
        <w:tc>
          <w:tcPr>
            <w:tcW w:w="594" w:type="pct"/>
          </w:tcPr>
          <w:p w14:paraId="6160FB3F"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3490</w:t>
            </w:r>
          </w:p>
        </w:tc>
        <w:tc>
          <w:tcPr>
            <w:tcW w:w="501" w:type="pct"/>
          </w:tcPr>
          <w:p w14:paraId="60938484"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2.44</w:t>
            </w:r>
          </w:p>
        </w:tc>
        <w:tc>
          <w:tcPr>
            <w:tcW w:w="700" w:type="pct"/>
          </w:tcPr>
          <w:p w14:paraId="164F939F"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1.16</w:t>
            </w:r>
          </w:p>
        </w:tc>
        <w:tc>
          <w:tcPr>
            <w:tcW w:w="558" w:type="pct"/>
          </w:tcPr>
          <w:p w14:paraId="05DF022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2.30</w:t>
            </w:r>
          </w:p>
        </w:tc>
      </w:tr>
      <w:tr w:rsidR="00950181" w:rsidRPr="00F31F9F" w14:paraId="6B936FDB"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0D6DAAB0" w14:textId="77777777" w:rsidR="00F31F9F" w:rsidRPr="009A7E56" w:rsidRDefault="00F31F9F" w:rsidP="009A7E56">
            <w:pPr>
              <w:keepNext/>
              <w:ind w:left="0" w:right="0"/>
              <w:rPr>
                <w:sz w:val="20"/>
                <w:szCs w:val="20"/>
                <w:lang w:eastAsia="ja-JP"/>
              </w:rPr>
            </w:pPr>
            <w:r w:rsidRPr="009A7E56">
              <w:rPr>
                <w:sz w:val="20"/>
                <w:szCs w:val="20"/>
                <w:lang w:eastAsia="ja-JP"/>
              </w:rPr>
              <w:t>SD</w:t>
            </w:r>
          </w:p>
        </w:tc>
        <w:tc>
          <w:tcPr>
            <w:tcW w:w="465" w:type="pct"/>
          </w:tcPr>
          <w:p w14:paraId="4339E0BA"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84.9</w:t>
            </w:r>
          </w:p>
        </w:tc>
        <w:tc>
          <w:tcPr>
            <w:tcW w:w="465" w:type="pct"/>
          </w:tcPr>
          <w:p w14:paraId="1E6F21A7"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307</w:t>
            </w:r>
          </w:p>
        </w:tc>
        <w:tc>
          <w:tcPr>
            <w:tcW w:w="465" w:type="pct"/>
          </w:tcPr>
          <w:p w14:paraId="286AD498"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476</w:t>
            </w:r>
          </w:p>
        </w:tc>
        <w:tc>
          <w:tcPr>
            <w:tcW w:w="465" w:type="pct"/>
          </w:tcPr>
          <w:p w14:paraId="256A854A"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985</w:t>
            </w:r>
          </w:p>
        </w:tc>
        <w:tc>
          <w:tcPr>
            <w:tcW w:w="594" w:type="pct"/>
          </w:tcPr>
          <w:p w14:paraId="028838F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904</w:t>
            </w:r>
          </w:p>
        </w:tc>
        <w:tc>
          <w:tcPr>
            <w:tcW w:w="501" w:type="pct"/>
          </w:tcPr>
          <w:p w14:paraId="3EFDD703"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1.62</w:t>
            </w:r>
          </w:p>
        </w:tc>
        <w:tc>
          <w:tcPr>
            <w:tcW w:w="700" w:type="pct"/>
          </w:tcPr>
          <w:p w14:paraId="2B2E56E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0.585</w:t>
            </w:r>
          </w:p>
        </w:tc>
        <w:tc>
          <w:tcPr>
            <w:tcW w:w="558" w:type="pct"/>
          </w:tcPr>
          <w:p w14:paraId="2BC97B7F"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1.27</w:t>
            </w:r>
          </w:p>
        </w:tc>
      </w:tr>
      <w:tr w:rsidR="00950181" w:rsidRPr="00F31F9F" w14:paraId="2A8F62AA"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123711A8" w14:textId="77777777" w:rsidR="00F31F9F" w:rsidRPr="009A7E56" w:rsidRDefault="00F31F9F" w:rsidP="009A7E56">
            <w:pPr>
              <w:keepNext/>
              <w:ind w:left="0" w:right="0"/>
              <w:rPr>
                <w:sz w:val="20"/>
                <w:szCs w:val="20"/>
                <w:lang w:eastAsia="ja-JP"/>
              </w:rPr>
            </w:pPr>
            <w:r w:rsidRPr="009A7E56">
              <w:rPr>
                <w:sz w:val="20"/>
                <w:szCs w:val="20"/>
                <w:lang w:eastAsia="ja-JP"/>
              </w:rPr>
              <w:t>CV%</w:t>
            </w:r>
          </w:p>
        </w:tc>
        <w:tc>
          <w:tcPr>
            <w:tcW w:w="465" w:type="pct"/>
          </w:tcPr>
          <w:p w14:paraId="65AD1F7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40.5</w:t>
            </w:r>
          </w:p>
        </w:tc>
        <w:tc>
          <w:tcPr>
            <w:tcW w:w="465" w:type="pct"/>
          </w:tcPr>
          <w:p w14:paraId="3D9DE6D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47.2</w:t>
            </w:r>
          </w:p>
        </w:tc>
        <w:tc>
          <w:tcPr>
            <w:tcW w:w="465" w:type="pct"/>
          </w:tcPr>
          <w:p w14:paraId="6DAE67B3"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39.4</w:t>
            </w:r>
          </w:p>
        </w:tc>
        <w:tc>
          <w:tcPr>
            <w:tcW w:w="465" w:type="pct"/>
          </w:tcPr>
          <w:p w14:paraId="56CD3FC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36.0</w:t>
            </w:r>
          </w:p>
        </w:tc>
        <w:tc>
          <w:tcPr>
            <w:tcW w:w="594" w:type="pct"/>
          </w:tcPr>
          <w:p w14:paraId="1B158C64"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25.9</w:t>
            </w:r>
          </w:p>
        </w:tc>
        <w:tc>
          <w:tcPr>
            <w:tcW w:w="501" w:type="pct"/>
          </w:tcPr>
          <w:p w14:paraId="24B7A7E7"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66.3</w:t>
            </w:r>
          </w:p>
        </w:tc>
        <w:tc>
          <w:tcPr>
            <w:tcW w:w="700" w:type="pct"/>
          </w:tcPr>
          <w:p w14:paraId="34B11F03"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50.5</w:t>
            </w:r>
          </w:p>
        </w:tc>
        <w:tc>
          <w:tcPr>
            <w:tcW w:w="558" w:type="pct"/>
          </w:tcPr>
          <w:p w14:paraId="09FF849E"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55.2</w:t>
            </w:r>
          </w:p>
        </w:tc>
      </w:tr>
      <w:tr w:rsidR="00950181" w:rsidRPr="00F31F9F" w14:paraId="594BF6BF"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59C8CF40" w14:textId="77777777" w:rsidR="00F31F9F" w:rsidRPr="009A7E56" w:rsidRDefault="00F31F9F" w:rsidP="009A7E56">
            <w:pPr>
              <w:keepNext/>
              <w:ind w:left="0" w:right="0"/>
              <w:rPr>
                <w:sz w:val="20"/>
                <w:szCs w:val="20"/>
                <w:lang w:eastAsia="ja-JP"/>
              </w:rPr>
            </w:pPr>
            <w:r w:rsidRPr="009A7E56">
              <w:rPr>
                <w:sz w:val="20"/>
                <w:szCs w:val="20"/>
                <w:lang w:eastAsia="ja-JP"/>
              </w:rPr>
              <w:t>Min</w:t>
            </w:r>
          </w:p>
        </w:tc>
        <w:tc>
          <w:tcPr>
            <w:tcW w:w="465" w:type="pct"/>
          </w:tcPr>
          <w:p w14:paraId="07C3ACA2"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100</w:t>
            </w:r>
          </w:p>
        </w:tc>
        <w:tc>
          <w:tcPr>
            <w:tcW w:w="465" w:type="pct"/>
          </w:tcPr>
          <w:p w14:paraId="78C28948"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154</w:t>
            </w:r>
          </w:p>
        </w:tc>
        <w:tc>
          <w:tcPr>
            <w:tcW w:w="465" w:type="pct"/>
          </w:tcPr>
          <w:p w14:paraId="5A198577"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493</w:t>
            </w:r>
          </w:p>
        </w:tc>
        <w:tc>
          <w:tcPr>
            <w:tcW w:w="465" w:type="pct"/>
          </w:tcPr>
          <w:p w14:paraId="20221F3E"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1070</w:t>
            </w:r>
          </w:p>
        </w:tc>
        <w:tc>
          <w:tcPr>
            <w:tcW w:w="594" w:type="pct"/>
          </w:tcPr>
          <w:p w14:paraId="58154E69"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2490</w:t>
            </w:r>
          </w:p>
        </w:tc>
        <w:tc>
          <w:tcPr>
            <w:tcW w:w="501" w:type="pct"/>
          </w:tcPr>
          <w:p w14:paraId="446DF78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0.906</w:t>
            </w:r>
          </w:p>
        </w:tc>
        <w:tc>
          <w:tcPr>
            <w:tcW w:w="700" w:type="pct"/>
          </w:tcPr>
          <w:p w14:paraId="49BDA04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0.402</w:t>
            </w:r>
          </w:p>
        </w:tc>
        <w:tc>
          <w:tcPr>
            <w:tcW w:w="558" w:type="pct"/>
          </w:tcPr>
          <w:p w14:paraId="0ABB94E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0.960</w:t>
            </w:r>
          </w:p>
        </w:tc>
      </w:tr>
      <w:tr w:rsidR="00950181" w:rsidRPr="00F31F9F" w14:paraId="7B15BCBF"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5245EA42" w14:textId="77777777" w:rsidR="00F31F9F" w:rsidRPr="009A7E56" w:rsidRDefault="00F31F9F" w:rsidP="009A7E56">
            <w:pPr>
              <w:keepNext/>
              <w:ind w:left="0" w:right="0"/>
              <w:rPr>
                <w:sz w:val="20"/>
                <w:szCs w:val="20"/>
                <w:lang w:eastAsia="ja-JP"/>
              </w:rPr>
            </w:pPr>
            <w:r w:rsidRPr="009A7E56">
              <w:rPr>
                <w:sz w:val="20"/>
                <w:szCs w:val="20"/>
                <w:lang w:eastAsia="ja-JP"/>
              </w:rPr>
              <w:t>Median</w:t>
            </w:r>
          </w:p>
        </w:tc>
        <w:tc>
          <w:tcPr>
            <w:tcW w:w="465" w:type="pct"/>
          </w:tcPr>
          <w:p w14:paraId="5F38BCE4"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195</w:t>
            </w:r>
          </w:p>
        </w:tc>
        <w:tc>
          <w:tcPr>
            <w:tcW w:w="465" w:type="pct"/>
          </w:tcPr>
          <w:p w14:paraId="1EB36BA5"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618</w:t>
            </w:r>
          </w:p>
        </w:tc>
        <w:tc>
          <w:tcPr>
            <w:tcW w:w="465" w:type="pct"/>
          </w:tcPr>
          <w:p w14:paraId="6435533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1180</w:t>
            </w:r>
          </w:p>
        </w:tc>
        <w:tc>
          <w:tcPr>
            <w:tcW w:w="465" w:type="pct"/>
          </w:tcPr>
          <w:p w14:paraId="6CC70AC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2820</w:t>
            </w:r>
          </w:p>
        </w:tc>
        <w:tc>
          <w:tcPr>
            <w:tcW w:w="594" w:type="pct"/>
          </w:tcPr>
          <w:p w14:paraId="2AF52FF0"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3460</w:t>
            </w:r>
          </w:p>
        </w:tc>
        <w:tc>
          <w:tcPr>
            <w:tcW w:w="501" w:type="pct"/>
          </w:tcPr>
          <w:p w14:paraId="1B3CD425"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1.93</w:t>
            </w:r>
          </w:p>
        </w:tc>
        <w:tc>
          <w:tcPr>
            <w:tcW w:w="700" w:type="pct"/>
          </w:tcPr>
          <w:p w14:paraId="07A34DA3"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0.990</w:t>
            </w:r>
          </w:p>
        </w:tc>
        <w:tc>
          <w:tcPr>
            <w:tcW w:w="558" w:type="pct"/>
          </w:tcPr>
          <w:p w14:paraId="1EE6108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2.07</w:t>
            </w:r>
          </w:p>
        </w:tc>
      </w:tr>
      <w:tr w:rsidR="00950181" w:rsidRPr="00F31F9F" w14:paraId="2B4D44AC" w14:textId="77777777" w:rsidTr="00950181">
        <w:trPr>
          <w:trHeight w:val="208"/>
        </w:trPr>
        <w:tc>
          <w:tcPr>
            <w:cnfStyle w:val="001000000000" w:firstRow="0" w:lastRow="0" w:firstColumn="1" w:lastColumn="0" w:oddVBand="0" w:evenVBand="0" w:oddHBand="0" w:evenHBand="0" w:firstRowFirstColumn="0" w:firstRowLastColumn="0" w:lastRowFirstColumn="0" w:lastRowLastColumn="0"/>
            <w:tcW w:w="786" w:type="pct"/>
          </w:tcPr>
          <w:p w14:paraId="0BF6EF30" w14:textId="77777777" w:rsidR="00F31F9F" w:rsidRPr="009A7E56" w:rsidRDefault="00F31F9F" w:rsidP="009A7E56">
            <w:pPr>
              <w:keepNext/>
              <w:ind w:left="0" w:right="0"/>
              <w:rPr>
                <w:sz w:val="20"/>
                <w:szCs w:val="20"/>
                <w:lang w:eastAsia="ja-JP"/>
              </w:rPr>
            </w:pPr>
            <w:r w:rsidRPr="009A7E56">
              <w:rPr>
                <w:sz w:val="20"/>
                <w:szCs w:val="20"/>
                <w:lang w:eastAsia="ja-JP"/>
              </w:rPr>
              <w:t>Max</w:t>
            </w:r>
          </w:p>
        </w:tc>
        <w:tc>
          <w:tcPr>
            <w:tcW w:w="465" w:type="pct"/>
          </w:tcPr>
          <w:p w14:paraId="1B42CB6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431</w:t>
            </w:r>
          </w:p>
        </w:tc>
        <w:tc>
          <w:tcPr>
            <w:tcW w:w="465" w:type="pct"/>
          </w:tcPr>
          <w:p w14:paraId="6C81BC0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1550</w:t>
            </w:r>
          </w:p>
        </w:tc>
        <w:tc>
          <w:tcPr>
            <w:tcW w:w="465" w:type="pct"/>
          </w:tcPr>
          <w:p w14:paraId="4818412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1920</w:t>
            </w:r>
          </w:p>
        </w:tc>
        <w:tc>
          <w:tcPr>
            <w:tcW w:w="465" w:type="pct"/>
          </w:tcPr>
          <w:p w14:paraId="658917F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5640</w:t>
            </w:r>
          </w:p>
        </w:tc>
        <w:tc>
          <w:tcPr>
            <w:tcW w:w="594" w:type="pct"/>
          </w:tcPr>
          <w:p w14:paraId="5769368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4540</w:t>
            </w:r>
          </w:p>
        </w:tc>
        <w:tc>
          <w:tcPr>
            <w:tcW w:w="501" w:type="pct"/>
          </w:tcPr>
          <w:p w14:paraId="7A5E6E33"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8.31</w:t>
            </w:r>
          </w:p>
        </w:tc>
        <w:tc>
          <w:tcPr>
            <w:tcW w:w="700" w:type="pct"/>
          </w:tcPr>
          <w:p w14:paraId="13B6967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3.27</w:t>
            </w:r>
          </w:p>
        </w:tc>
        <w:tc>
          <w:tcPr>
            <w:tcW w:w="558" w:type="pct"/>
          </w:tcPr>
          <w:p w14:paraId="5EB6F120"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6.37</w:t>
            </w:r>
          </w:p>
        </w:tc>
      </w:tr>
      <w:tr w:rsidR="00950181" w:rsidRPr="00F31F9F" w14:paraId="1EAE2F4B" w14:textId="77777777" w:rsidTr="00950181">
        <w:trPr>
          <w:trHeight w:val="433"/>
        </w:trPr>
        <w:tc>
          <w:tcPr>
            <w:cnfStyle w:val="001000000000" w:firstRow="0" w:lastRow="0" w:firstColumn="1" w:lastColumn="0" w:oddVBand="0" w:evenVBand="0" w:oddHBand="0" w:evenHBand="0" w:firstRowFirstColumn="0" w:firstRowLastColumn="0" w:lastRowFirstColumn="0" w:lastRowLastColumn="0"/>
            <w:tcW w:w="786" w:type="pct"/>
          </w:tcPr>
          <w:p w14:paraId="4E50517A" w14:textId="77777777" w:rsidR="00F31F9F" w:rsidRPr="009A7E56" w:rsidRDefault="00F31F9F" w:rsidP="009A7E56">
            <w:pPr>
              <w:keepNext/>
              <w:ind w:left="0" w:right="0"/>
              <w:rPr>
                <w:sz w:val="20"/>
                <w:szCs w:val="20"/>
                <w:lang w:eastAsia="ja-JP"/>
              </w:rPr>
            </w:pPr>
            <w:r w:rsidRPr="009A7E56">
              <w:rPr>
                <w:sz w:val="20"/>
                <w:szCs w:val="20"/>
                <w:lang w:eastAsia="ja-JP"/>
              </w:rPr>
              <w:t>Geometric Mean</w:t>
            </w:r>
          </w:p>
        </w:tc>
        <w:tc>
          <w:tcPr>
            <w:tcW w:w="465" w:type="pct"/>
          </w:tcPr>
          <w:p w14:paraId="7A528AB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194</w:t>
            </w:r>
          </w:p>
        </w:tc>
        <w:tc>
          <w:tcPr>
            <w:tcW w:w="465" w:type="pct"/>
          </w:tcPr>
          <w:p w14:paraId="4BA15132"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574</w:t>
            </w:r>
          </w:p>
        </w:tc>
        <w:tc>
          <w:tcPr>
            <w:tcW w:w="465" w:type="pct"/>
          </w:tcPr>
          <w:p w14:paraId="06B4D198"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1120</w:t>
            </w:r>
          </w:p>
        </w:tc>
        <w:tc>
          <w:tcPr>
            <w:tcW w:w="465" w:type="pct"/>
          </w:tcPr>
          <w:p w14:paraId="61D9734E"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2550</w:t>
            </w:r>
          </w:p>
        </w:tc>
        <w:tc>
          <w:tcPr>
            <w:tcW w:w="594" w:type="pct"/>
          </w:tcPr>
          <w:p w14:paraId="6E29754A"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3400</w:t>
            </w:r>
          </w:p>
        </w:tc>
        <w:tc>
          <w:tcPr>
            <w:tcW w:w="501" w:type="pct"/>
          </w:tcPr>
          <w:p w14:paraId="47857EAF"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2.07</w:t>
            </w:r>
          </w:p>
        </w:tc>
        <w:tc>
          <w:tcPr>
            <w:tcW w:w="700" w:type="pct"/>
          </w:tcPr>
          <w:p w14:paraId="6759E181"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1.05</w:t>
            </w:r>
          </w:p>
        </w:tc>
        <w:tc>
          <w:tcPr>
            <w:tcW w:w="558" w:type="pct"/>
          </w:tcPr>
          <w:p w14:paraId="7E2CFB3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2.04</w:t>
            </w:r>
          </w:p>
        </w:tc>
      </w:tr>
      <w:tr w:rsidR="00950181" w:rsidRPr="00F31F9F" w14:paraId="18E84D85" w14:textId="77777777" w:rsidTr="00950181">
        <w:trPr>
          <w:trHeight w:val="640"/>
        </w:trPr>
        <w:tc>
          <w:tcPr>
            <w:cnfStyle w:val="001000000000" w:firstRow="0" w:lastRow="0" w:firstColumn="1" w:lastColumn="0" w:oddVBand="0" w:evenVBand="0" w:oddHBand="0" w:evenHBand="0" w:firstRowFirstColumn="0" w:firstRowLastColumn="0" w:lastRowFirstColumn="0" w:lastRowLastColumn="0"/>
            <w:tcW w:w="786" w:type="pct"/>
          </w:tcPr>
          <w:p w14:paraId="1B5920A6" w14:textId="77777777" w:rsidR="00F31F9F" w:rsidRPr="009A7E56" w:rsidRDefault="00F31F9F" w:rsidP="009A7E56">
            <w:pPr>
              <w:keepNext/>
              <w:ind w:left="0" w:right="0"/>
              <w:rPr>
                <w:sz w:val="20"/>
                <w:szCs w:val="20"/>
                <w:lang w:eastAsia="ja-JP"/>
              </w:rPr>
            </w:pPr>
            <w:r w:rsidRPr="009A7E56">
              <w:rPr>
                <w:sz w:val="20"/>
                <w:szCs w:val="20"/>
                <w:lang w:eastAsia="ja-JP"/>
              </w:rPr>
              <w:t>CV% Geometric Mean</w:t>
            </w:r>
          </w:p>
        </w:tc>
        <w:tc>
          <w:tcPr>
            <w:tcW w:w="465" w:type="pct"/>
          </w:tcPr>
          <w:p w14:paraId="45462FF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41.4</w:t>
            </w:r>
          </w:p>
        </w:tc>
        <w:tc>
          <w:tcPr>
            <w:tcW w:w="465" w:type="pct"/>
          </w:tcPr>
          <w:p w14:paraId="30AAB7ED"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58.5</w:t>
            </w:r>
          </w:p>
        </w:tc>
        <w:tc>
          <w:tcPr>
            <w:tcW w:w="465" w:type="pct"/>
          </w:tcPr>
          <w:p w14:paraId="205EC47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48.6</w:t>
            </w:r>
          </w:p>
        </w:tc>
        <w:tc>
          <w:tcPr>
            <w:tcW w:w="465" w:type="pct"/>
          </w:tcPr>
          <w:p w14:paraId="6EA4842A"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4.04</w:t>
            </w:r>
          </w:p>
        </w:tc>
        <w:tc>
          <w:tcPr>
            <w:tcW w:w="594" w:type="pct"/>
          </w:tcPr>
          <w:p w14:paraId="386F2529"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26.9</w:t>
            </w:r>
          </w:p>
        </w:tc>
        <w:tc>
          <w:tcPr>
            <w:tcW w:w="501" w:type="pct"/>
          </w:tcPr>
          <w:p w14:paraId="1AF170EF"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59.4</w:t>
            </w:r>
          </w:p>
        </w:tc>
        <w:tc>
          <w:tcPr>
            <w:tcW w:w="700" w:type="pct"/>
          </w:tcPr>
          <w:p w14:paraId="3B864EE6"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45.4</w:t>
            </w:r>
          </w:p>
        </w:tc>
        <w:tc>
          <w:tcPr>
            <w:tcW w:w="558" w:type="pct"/>
          </w:tcPr>
          <w:p w14:paraId="2A8DB1BC" w14:textId="77777777" w:rsidR="00F31F9F" w:rsidRPr="009A7E56" w:rsidRDefault="00F31F9F" w:rsidP="009A7E56">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9A7E56">
              <w:rPr>
                <w:sz w:val="20"/>
                <w:szCs w:val="20"/>
                <w:lang w:eastAsia="ja-JP"/>
              </w:rPr>
              <w:t>51.8</w:t>
            </w:r>
          </w:p>
        </w:tc>
      </w:tr>
    </w:tbl>
    <w:p w14:paraId="22F2A117" w14:textId="6F52A308" w:rsidR="00F31F9F" w:rsidRPr="00F31F9F" w:rsidRDefault="005E5C58" w:rsidP="009A7E56">
      <w:pPr>
        <w:pStyle w:val="TableDescription"/>
        <w:rPr>
          <w:lang w:eastAsia="ja-JP"/>
        </w:rPr>
      </w:pPr>
      <w:r>
        <w:rPr>
          <w:lang w:eastAsia="ja-JP"/>
        </w:rPr>
        <w:t>C</w:t>
      </w:r>
      <w:r>
        <w:rPr>
          <w:vertAlign w:val="subscript"/>
          <w:lang w:eastAsia="ja-JP"/>
        </w:rPr>
        <w:t>ss</w:t>
      </w:r>
      <w:r w:rsidR="00375CAE">
        <w:rPr>
          <w:lang w:eastAsia="ja-JP"/>
        </w:rPr>
        <w:t xml:space="preserve"> </w:t>
      </w:r>
      <w:r w:rsidR="00423768">
        <w:rPr>
          <w:lang w:eastAsia="ja-JP"/>
        </w:rPr>
        <w:t>=</w:t>
      </w:r>
      <w:r w:rsidR="00375CAE">
        <w:rPr>
          <w:lang w:eastAsia="ja-JP"/>
        </w:rPr>
        <w:t xml:space="preserve"> </w:t>
      </w:r>
      <w:r w:rsidR="00F31F9F" w:rsidRPr="00F31F9F">
        <w:rPr>
          <w:lang w:eastAsia="ja-JP"/>
        </w:rPr>
        <w:t>concentration at steady state; CL</w:t>
      </w:r>
      <w:r w:rsidR="00375CAE">
        <w:rPr>
          <w:lang w:eastAsia="ja-JP"/>
        </w:rPr>
        <w:t xml:space="preserve"> </w:t>
      </w:r>
      <w:r w:rsidR="00423768">
        <w:rPr>
          <w:lang w:eastAsia="ja-JP"/>
        </w:rPr>
        <w:t>=</w:t>
      </w:r>
      <w:r w:rsidR="00375CAE">
        <w:rPr>
          <w:lang w:eastAsia="ja-JP"/>
        </w:rPr>
        <w:t xml:space="preserve"> </w:t>
      </w:r>
      <w:r w:rsidR="00F31F9F" w:rsidRPr="00F31F9F">
        <w:rPr>
          <w:lang w:eastAsia="ja-JP"/>
        </w:rPr>
        <w:t>clearance; CV%</w:t>
      </w:r>
      <w:r w:rsidR="00375CAE">
        <w:rPr>
          <w:lang w:eastAsia="ja-JP"/>
        </w:rPr>
        <w:t xml:space="preserve"> </w:t>
      </w:r>
      <w:r w:rsidR="00423768">
        <w:rPr>
          <w:lang w:eastAsia="ja-JP"/>
        </w:rPr>
        <w:t>=</w:t>
      </w:r>
      <w:r w:rsidR="00375CAE">
        <w:rPr>
          <w:lang w:eastAsia="ja-JP"/>
        </w:rPr>
        <w:t xml:space="preserve"> </w:t>
      </w:r>
      <w:r w:rsidR="00F31F9F" w:rsidRPr="00F31F9F">
        <w:rPr>
          <w:lang w:eastAsia="ja-JP"/>
        </w:rPr>
        <w:t>coefficient of variance; min</w:t>
      </w:r>
      <w:r w:rsidR="00375CAE">
        <w:rPr>
          <w:lang w:eastAsia="ja-JP"/>
        </w:rPr>
        <w:t xml:space="preserve"> </w:t>
      </w:r>
      <w:r w:rsidR="00423768">
        <w:rPr>
          <w:lang w:eastAsia="ja-JP"/>
        </w:rPr>
        <w:t>=</w:t>
      </w:r>
      <w:r w:rsidR="00375CAE">
        <w:rPr>
          <w:lang w:eastAsia="ja-JP"/>
        </w:rPr>
        <w:t xml:space="preserve"> </w:t>
      </w:r>
      <w:r w:rsidR="00F31F9F" w:rsidRPr="00F31F9F">
        <w:rPr>
          <w:lang w:eastAsia="ja-JP"/>
        </w:rPr>
        <w:t>minimum; max</w:t>
      </w:r>
      <w:r w:rsidR="00375CAE">
        <w:rPr>
          <w:lang w:eastAsia="ja-JP"/>
        </w:rPr>
        <w:t xml:space="preserve"> </w:t>
      </w:r>
      <w:r w:rsidR="00423768">
        <w:rPr>
          <w:lang w:eastAsia="ja-JP"/>
        </w:rPr>
        <w:t>=</w:t>
      </w:r>
      <w:r w:rsidR="00375CAE">
        <w:rPr>
          <w:lang w:eastAsia="ja-JP"/>
        </w:rPr>
        <w:t xml:space="preserve"> </w:t>
      </w:r>
      <w:r w:rsidR="00F31F9F" w:rsidRPr="00F31F9F">
        <w:rPr>
          <w:lang w:eastAsia="ja-JP"/>
        </w:rPr>
        <w:t>maximum; SD</w:t>
      </w:r>
      <w:r w:rsidR="00375CAE">
        <w:rPr>
          <w:lang w:eastAsia="ja-JP"/>
        </w:rPr>
        <w:t xml:space="preserve"> </w:t>
      </w:r>
      <w:r w:rsidR="00423768">
        <w:rPr>
          <w:lang w:eastAsia="ja-JP"/>
        </w:rPr>
        <w:t>=</w:t>
      </w:r>
      <w:r w:rsidR="00375CAE">
        <w:rPr>
          <w:lang w:eastAsia="ja-JP"/>
        </w:rPr>
        <w:t xml:space="preserve"> </w:t>
      </w:r>
      <w:r w:rsidR="00F31F9F" w:rsidRPr="00F31F9F">
        <w:rPr>
          <w:lang w:eastAsia="ja-JP"/>
        </w:rPr>
        <w:t>standard deviation; N</w:t>
      </w:r>
      <w:r w:rsidR="00375CAE">
        <w:rPr>
          <w:lang w:eastAsia="ja-JP"/>
        </w:rPr>
        <w:t xml:space="preserve"> </w:t>
      </w:r>
      <w:r w:rsidR="00423768">
        <w:rPr>
          <w:lang w:eastAsia="ja-JP"/>
        </w:rPr>
        <w:t>=</w:t>
      </w:r>
      <w:r w:rsidR="00375CAE">
        <w:rPr>
          <w:lang w:eastAsia="ja-JP"/>
        </w:rPr>
        <w:t xml:space="preserve"> </w:t>
      </w:r>
      <w:r w:rsidR="00F31F9F" w:rsidRPr="00F31F9F">
        <w:rPr>
          <w:lang w:eastAsia="ja-JP"/>
        </w:rPr>
        <w:t>number of subjects; t</w:t>
      </w:r>
      <w:r w:rsidR="00F31F9F" w:rsidRPr="00F31F9F">
        <w:rPr>
          <w:vertAlign w:val="subscript"/>
          <w:lang w:eastAsia="ja-JP"/>
        </w:rPr>
        <w:t>1/2</w:t>
      </w:r>
      <w:proofErr w:type="gramStart"/>
      <w:r w:rsidR="00F31F9F" w:rsidRPr="00F31F9F">
        <w:rPr>
          <w:vertAlign w:val="subscript"/>
          <w:lang w:eastAsia="ja-JP"/>
        </w:rPr>
        <w:t>,z</w:t>
      </w:r>
      <w:proofErr w:type="gramEnd"/>
      <w:r w:rsidR="00375CAE">
        <w:rPr>
          <w:lang w:eastAsia="ja-JP"/>
        </w:rPr>
        <w:t xml:space="preserve"> </w:t>
      </w:r>
      <w:r w:rsidR="00423768">
        <w:rPr>
          <w:lang w:eastAsia="ja-JP"/>
        </w:rPr>
        <w:t>=</w:t>
      </w:r>
      <w:r w:rsidR="00375CAE">
        <w:rPr>
          <w:lang w:eastAsia="ja-JP"/>
        </w:rPr>
        <w:t xml:space="preserve"> </w:t>
      </w:r>
      <w:r w:rsidR="00F31F9F" w:rsidRPr="00F31F9F">
        <w:rPr>
          <w:lang w:eastAsia="ja-JP"/>
        </w:rPr>
        <w:t>terminal half-life; Vz</w:t>
      </w:r>
      <w:r w:rsidR="00375CAE">
        <w:rPr>
          <w:lang w:eastAsia="ja-JP"/>
        </w:rPr>
        <w:t xml:space="preserve"> </w:t>
      </w:r>
      <w:r w:rsidR="00423768">
        <w:rPr>
          <w:lang w:eastAsia="ja-JP"/>
        </w:rPr>
        <w:t>=</w:t>
      </w:r>
      <w:r w:rsidR="00375CAE">
        <w:rPr>
          <w:lang w:eastAsia="ja-JP"/>
        </w:rPr>
        <w:t xml:space="preserve"> </w:t>
      </w:r>
      <w:r w:rsidR="00F31F9F" w:rsidRPr="00F31F9F">
        <w:rPr>
          <w:lang w:eastAsia="ja-JP"/>
        </w:rPr>
        <w:t xml:space="preserve">terminal </w:t>
      </w:r>
      <w:r w:rsidR="0018721C">
        <w:rPr>
          <w:lang w:eastAsia="ja-JP"/>
        </w:rPr>
        <w:t>Phase</w:t>
      </w:r>
      <w:r w:rsidR="00F31F9F" w:rsidRPr="00F31F9F">
        <w:rPr>
          <w:lang w:eastAsia="ja-JP"/>
        </w:rPr>
        <w:t xml:space="preserve"> volume of distribution</w:t>
      </w:r>
      <w:r w:rsidR="009A7E56">
        <w:rPr>
          <w:lang w:eastAsia="ja-JP"/>
        </w:rPr>
        <w:t>.</w:t>
      </w:r>
    </w:p>
    <w:p w14:paraId="3C342A99" w14:textId="2B139A5E" w:rsidR="00F31F9F" w:rsidRPr="00F31F9F" w:rsidRDefault="00F31F9F" w:rsidP="00F31F9F">
      <w:pPr>
        <w:rPr>
          <w:lang w:eastAsia="ja-JP"/>
        </w:rPr>
      </w:pPr>
      <w:r w:rsidRPr="00F31F9F">
        <w:rPr>
          <w:lang w:eastAsia="ja-JP"/>
        </w:rPr>
        <w:t xml:space="preserve">Data obtained with cIV infusion </w:t>
      </w:r>
      <w:proofErr w:type="gramStart"/>
      <w:r w:rsidRPr="00F31F9F">
        <w:rPr>
          <w:lang w:eastAsia="ja-JP"/>
        </w:rPr>
        <w:t>of 60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w:t>
      </w:r>
      <w:proofErr w:type="gramEnd"/>
      <w:r w:rsidRPr="00F31F9F">
        <w:rPr>
          <w:lang w:eastAsia="ja-JP"/>
        </w:rPr>
        <w:t xml:space="preserve"> over 8 weeks indicate that blinatumomab concentrations were stable over the treatment period. Urine samp</w:t>
      </w:r>
      <w:r w:rsidR="00444CDE">
        <w:rPr>
          <w:lang w:eastAsia="ja-JP"/>
        </w:rPr>
        <w:t>les collected at steady state (D</w:t>
      </w:r>
      <w:r w:rsidRPr="00F31F9F">
        <w:rPr>
          <w:lang w:eastAsia="ja-JP"/>
        </w:rPr>
        <w:t>ay 16) from subjects that received the 60</w:t>
      </w:r>
      <w:r w:rsidR="00375CAE">
        <w:rPr>
          <w:lang w:eastAsia="ja-JP"/>
        </w:rPr>
        <w:t xml:space="preserve"> </w:t>
      </w:r>
      <w:r w:rsidR="0018721C">
        <w:rPr>
          <w:lang w:eastAsia="ja-JP"/>
        </w:rPr>
        <w:t>µg</w:t>
      </w:r>
      <w:r w:rsidRPr="00F31F9F">
        <w:rPr>
          <w:lang w:eastAsia="ja-JP"/>
        </w:rPr>
        <w:t>/m²/day dose were analysed; negligible amounts of blinatumomab were detected in urine.</w:t>
      </w:r>
    </w:p>
    <w:p w14:paraId="3853066D" w14:textId="2D69F02E" w:rsidR="00F31F9F" w:rsidRPr="00F31F9F" w:rsidRDefault="00F31F9F" w:rsidP="00F31F9F">
      <w:pPr>
        <w:rPr>
          <w:lang w:eastAsia="ja-JP"/>
        </w:rPr>
      </w:pPr>
      <w:r w:rsidRPr="00F31F9F">
        <w:rPr>
          <w:lang w:eastAsia="ja-JP"/>
        </w:rPr>
        <w:t xml:space="preserve">This study established the maximum tolerated dose for blinatumomab </w:t>
      </w:r>
      <w:proofErr w:type="gramStart"/>
      <w:r w:rsidRPr="00F31F9F">
        <w:rPr>
          <w:lang w:eastAsia="ja-JP"/>
        </w:rPr>
        <w:t>at 60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in subjects with relapsed/refractory NHL</w:t>
      </w:r>
      <w:proofErr w:type="gramEnd"/>
      <w:r w:rsidRPr="00F31F9F">
        <w:rPr>
          <w:lang w:eastAsia="ja-JP"/>
        </w:rPr>
        <w:t>. A dose-dependent clinical efficacy of single-agent blinatumomab was evident in subjects with relapsed NHL and the highest response rate was 69% achieved at the 60</w:t>
      </w:r>
      <w:r w:rsidR="00375CAE">
        <w:rPr>
          <w:lang w:eastAsia="ja-JP"/>
        </w:rPr>
        <w:t xml:space="preserve"> </w:t>
      </w:r>
      <w:r w:rsidR="0018721C">
        <w:rPr>
          <w:lang w:eastAsia="ja-JP"/>
        </w:rPr>
        <w:t>µg</w:t>
      </w:r>
      <w:r w:rsidRPr="00F31F9F">
        <w:rPr>
          <w:lang w:eastAsia="ja-JP"/>
        </w:rPr>
        <w:t>/m²/day dose. Blinatumomab showed linear pharmacokinetic behaviours up to a dose of 90</w:t>
      </w:r>
      <w:r w:rsidR="00444CDE">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/day and the serum concentrations were stable over treatment period under cIV infusion. Blinatumomab showed a r</w:t>
      </w:r>
      <w:r w:rsidR="00215AEF">
        <w:rPr>
          <w:lang w:eastAsia="ja-JP"/>
        </w:rPr>
        <w:t xml:space="preserve">apid clearance and a short </w:t>
      </w:r>
      <w:r w:rsidR="006B652D">
        <w:rPr>
          <w:lang w:eastAsia="ja-JP"/>
        </w:rPr>
        <w:t>half</w:t>
      </w:r>
      <w:r w:rsidR="006B652D">
        <w:rPr>
          <w:lang w:eastAsia="ja-JP"/>
        </w:rPr>
        <w:noBreakHyphen/>
      </w:r>
      <w:r w:rsidR="006B652D" w:rsidRPr="00F31F9F">
        <w:rPr>
          <w:lang w:eastAsia="ja-JP"/>
        </w:rPr>
        <w:t>life</w:t>
      </w:r>
      <w:r w:rsidRPr="00F31F9F">
        <w:rPr>
          <w:lang w:eastAsia="ja-JP"/>
        </w:rPr>
        <w:t xml:space="preserve"> (around 2 hours), indicating the necessity of maintaining a sustainable effective concentration range via cIV.</w:t>
      </w:r>
    </w:p>
    <w:p w14:paraId="642A4B14" w14:textId="1A70F1C5" w:rsidR="00F31F9F" w:rsidRPr="00F31F9F" w:rsidRDefault="00F31F9F" w:rsidP="00444CDE">
      <w:pPr>
        <w:pStyle w:val="Heading4"/>
      </w:pPr>
      <w:bookmarkStart w:id="67" w:name="_Ref291767630"/>
      <w:r w:rsidRPr="00F31F9F">
        <w:t xml:space="preserve">Study MT103-202 </w:t>
      </w:r>
      <w:r w:rsidR="0018721C">
        <w:t>Phase II</w:t>
      </w:r>
      <w:r w:rsidRPr="00F31F9F">
        <w:t xml:space="preserve"> study in Subjects with MRD</w:t>
      </w:r>
      <w:r w:rsidRPr="00F31F9F">
        <w:rPr>
          <w:vertAlign w:val="superscript"/>
        </w:rPr>
        <w:t>+</w:t>
      </w:r>
      <w:r w:rsidRPr="00F31F9F">
        <w:t xml:space="preserve"> ALL</w:t>
      </w:r>
      <w:bookmarkEnd w:id="67"/>
    </w:p>
    <w:p w14:paraId="458F230B" w14:textId="77777777" w:rsidR="00F31F9F" w:rsidRPr="00F31F9F" w:rsidRDefault="00F31F9F" w:rsidP="00444CDE">
      <w:pPr>
        <w:pStyle w:val="Heading5"/>
        <w:rPr>
          <w:lang w:eastAsia="ja-JP"/>
        </w:rPr>
      </w:pPr>
      <w:r w:rsidRPr="00F31F9F">
        <w:rPr>
          <w:lang w:eastAsia="ja-JP"/>
        </w:rPr>
        <w:t>Study Objectives and Design</w:t>
      </w:r>
    </w:p>
    <w:p w14:paraId="1F40429A" w14:textId="40A9C60B" w:rsidR="00F31F9F" w:rsidRPr="00F31F9F" w:rsidRDefault="00F31F9F" w:rsidP="00F31F9F">
      <w:pPr>
        <w:rPr>
          <w:lang w:eastAsia="ja-JP"/>
        </w:rPr>
      </w:pPr>
      <w:r w:rsidRPr="00F31F9F">
        <w:rPr>
          <w:lang w:eastAsia="ja-JP"/>
        </w:rPr>
        <w:t xml:space="preserve">Study MT 103-202 was a </w:t>
      </w:r>
      <w:r w:rsidR="0018721C">
        <w:rPr>
          <w:lang w:eastAsia="ja-JP"/>
        </w:rPr>
        <w:t>Phase II</w:t>
      </w:r>
      <w:r w:rsidRPr="00F31F9F">
        <w:rPr>
          <w:lang w:eastAsia="ja-JP"/>
        </w:rPr>
        <w:t>, open label, multicentre, single arm study designed to investigate the efficacy, safety, and tolerability of blinatumomab in adult subjects with MRD following established standard induction/consolidation therapy of B-precursor ALL. The study included a Simon’s 2</w:t>
      </w:r>
      <w:r w:rsidR="00444CDE">
        <w:rPr>
          <w:lang w:eastAsia="ja-JP"/>
        </w:rPr>
        <w:t xml:space="preserve"> </w:t>
      </w:r>
      <w:r w:rsidR="007D46D6">
        <w:rPr>
          <w:lang w:eastAsia="ja-JP"/>
        </w:rPr>
        <w:t xml:space="preserve">stage design and a run in dose </w:t>
      </w:r>
      <w:r w:rsidRPr="00F31F9F">
        <w:rPr>
          <w:lang w:eastAsia="ja-JP"/>
        </w:rPr>
        <w:t>finding part. The primary endpoint was MRD response rate defined by the incidence of MRD negativity within 4 cycles of treatment with blinatumomab. Key secondary endpoints included MRD response rate after any treatment cycle, pharmacokinetics, pharmacodynamics, and overall incidence and severity of adverse events.</w:t>
      </w:r>
    </w:p>
    <w:p w14:paraId="7F47CD1B" w14:textId="6A9307E3" w:rsidR="00F31F9F" w:rsidRPr="00F31F9F" w:rsidRDefault="007D46D6" w:rsidP="00F31F9F">
      <w:pPr>
        <w:rPr>
          <w:lang w:eastAsia="ja-JP"/>
        </w:rPr>
      </w:pPr>
      <w:r>
        <w:rPr>
          <w:lang w:eastAsia="ja-JP"/>
        </w:rPr>
        <w:t>During the run-</w:t>
      </w:r>
      <w:r w:rsidR="00F31F9F" w:rsidRPr="00F31F9F">
        <w:rPr>
          <w:lang w:eastAsia="ja-JP"/>
        </w:rPr>
        <w:t>in dose finding part of the study, subjects (n</w:t>
      </w:r>
      <w:r w:rsidR="00375CAE">
        <w:rPr>
          <w:lang w:eastAsia="ja-JP"/>
        </w:rPr>
        <w:t xml:space="preserve"> </w:t>
      </w:r>
      <w:r w:rsidR="00423768">
        <w:rPr>
          <w:lang w:eastAsia="ja-JP"/>
        </w:rPr>
        <w:t>=</w:t>
      </w:r>
      <w:r w:rsidR="00375CAE">
        <w:rPr>
          <w:lang w:eastAsia="ja-JP"/>
        </w:rPr>
        <w:t xml:space="preserve"> </w:t>
      </w:r>
      <w:r w:rsidR="00F31F9F" w:rsidRPr="00F31F9F">
        <w:rPr>
          <w:lang w:eastAsia="ja-JP"/>
        </w:rPr>
        <w:t>21) received blinatumomab at a dose of 15</w:t>
      </w:r>
      <w:r w:rsidR="00375CAE">
        <w:rPr>
          <w:lang w:eastAsia="ja-JP"/>
        </w:rPr>
        <w:t xml:space="preserve"> </w:t>
      </w:r>
      <w:r w:rsidR="0018721C">
        <w:rPr>
          <w:lang w:eastAsia="ja-JP"/>
        </w:rPr>
        <w:t>µg</w:t>
      </w:r>
      <w:r w:rsidR="00F31F9F" w:rsidRPr="00F31F9F">
        <w:rPr>
          <w:lang w:eastAsia="ja-JP"/>
        </w:rPr>
        <w:t>/m²/day cIV for 4 weeks followed by 2 weeks treatment</w:t>
      </w:r>
      <w:r w:rsidR="006A3B04">
        <w:rPr>
          <w:lang w:eastAsia="ja-JP"/>
        </w:rPr>
        <w:t xml:space="preserve"> free</w:t>
      </w:r>
      <w:r w:rsidR="00F31F9F" w:rsidRPr="00F31F9F">
        <w:rPr>
          <w:lang w:eastAsia="ja-JP"/>
        </w:rPr>
        <w:t xml:space="preserve"> (1 cycle was 6 weeks). The blinatumomab dose was increased to 30</w:t>
      </w:r>
      <w:r w:rsidR="00375CAE">
        <w:rPr>
          <w:lang w:eastAsia="ja-JP"/>
        </w:rPr>
        <w:t xml:space="preserve"> </w:t>
      </w:r>
      <w:r w:rsidR="0018721C">
        <w:rPr>
          <w:lang w:eastAsia="ja-JP"/>
        </w:rPr>
        <w:t>µg</w:t>
      </w:r>
      <w:r w:rsidR="00F31F9F" w:rsidRPr="00F31F9F">
        <w:rPr>
          <w:lang w:eastAsia="ja-JP"/>
        </w:rPr>
        <w:t>/m²/day cIV for subjects who did not achieve a reduction in MRD level by</w:t>
      </w:r>
      <w:r w:rsidR="00375CAE">
        <w:rPr>
          <w:lang w:eastAsia="ja-JP"/>
        </w:rPr>
        <w:t xml:space="preserve"> </w:t>
      </w:r>
      <w:r w:rsidR="00423768">
        <w:rPr>
          <w:lang w:eastAsia="ja-JP"/>
        </w:rPr>
        <w:t xml:space="preserve">≥ </w:t>
      </w:r>
      <w:r w:rsidR="00F31F9F" w:rsidRPr="00F31F9F">
        <w:rPr>
          <w:lang w:eastAsia="ja-JP"/>
        </w:rPr>
        <w:t>1 log unit. Subjects achieving MRD response were permitted to receive 3 additional consolidation cycles of treatment with blinatumomab. Subjects who showed neither MRD progression nor response were allowed to receive up to 7 cycles of blinatumomab (up to a maximum of 10 cycles). Following the last treatment cycle, subjects were assessed at every 6 weeks until disease progression but not longer than 5 years after the end of the last cycle.</w:t>
      </w:r>
    </w:p>
    <w:p w14:paraId="009489BC" w14:textId="3A5C31EA" w:rsidR="00F31F9F" w:rsidRPr="00F31F9F" w:rsidRDefault="00F31F9F" w:rsidP="00F31F9F">
      <w:pPr>
        <w:rPr>
          <w:lang w:eastAsia="ja-JP"/>
        </w:rPr>
      </w:pPr>
      <w:r w:rsidRPr="00F31F9F">
        <w:rPr>
          <w:lang w:eastAsia="ja-JP"/>
        </w:rPr>
        <w:t>With cIV infusion of 15</w:t>
      </w:r>
      <w:r w:rsidR="00375CAE">
        <w:rPr>
          <w:lang w:eastAsia="ja-JP"/>
        </w:rPr>
        <w:t xml:space="preserve"> </w:t>
      </w:r>
      <w:r w:rsidR="0018721C">
        <w:rPr>
          <w:lang w:eastAsia="ja-JP"/>
        </w:rPr>
        <w:t>µg</w:t>
      </w:r>
      <w:r w:rsidRPr="00F31F9F">
        <w:rPr>
          <w:lang w:eastAsia="ja-JP"/>
        </w:rPr>
        <w:t xml:space="preserve">/m²/day of blinatumomab over 4 weeks, </w:t>
      </w:r>
      <w:r w:rsidR="005E5C58">
        <w:rPr>
          <w:lang w:eastAsia="ja-JP"/>
        </w:rPr>
        <w:t>C</w:t>
      </w:r>
      <w:r w:rsidR="005E5C58">
        <w:rPr>
          <w:vertAlign w:val="subscript"/>
          <w:lang w:eastAsia="ja-JP"/>
        </w:rPr>
        <w:t>ss</w:t>
      </w:r>
      <w:r w:rsidRPr="00F31F9F">
        <w:rPr>
          <w:lang w:eastAsia="ja-JP"/>
        </w:rPr>
        <w:t xml:space="preserve"> remained stable during the infusion period. During </w:t>
      </w:r>
      <w:r w:rsidR="007D46D6">
        <w:rPr>
          <w:lang w:eastAsia="ja-JP"/>
        </w:rPr>
        <w:t>Cycle 1</w:t>
      </w:r>
      <w:r w:rsidRPr="00F31F9F">
        <w:rPr>
          <w:lang w:eastAsia="ja-JP"/>
        </w:rPr>
        <w:t xml:space="preserve"> with a 15</w:t>
      </w:r>
      <w:r w:rsidR="00375CAE">
        <w:rPr>
          <w:lang w:eastAsia="ja-JP"/>
        </w:rPr>
        <w:t xml:space="preserve"> </w:t>
      </w:r>
      <w:r w:rsidR="0018721C">
        <w:rPr>
          <w:lang w:eastAsia="ja-JP"/>
        </w:rPr>
        <w:t>µg</w:t>
      </w:r>
      <w:r w:rsidRPr="00F31F9F">
        <w:rPr>
          <w:lang w:eastAsia="ja-JP"/>
        </w:rPr>
        <w:t xml:space="preserve">/m²/day blinatumomab dose, the mean (SD) </w:t>
      </w:r>
      <w:r w:rsidR="005E5C58">
        <w:rPr>
          <w:lang w:eastAsia="ja-JP"/>
        </w:rPr>
        <w:t>C</w:t>
      </w:r>
      <w:r w:rsidR="005E5C58">
        <w:rPr>
          <w:vertAlign w:val="subscript"/>
          <w:lang w:eastAsia="ja-JP"/>
        </w:rPr>
        <w:t>ss</w:t>
      </w:r>
      <w:r w:rsidRPr="00F31F9F">
        <w:rPr>
          <w:lang w:eastAsia="ja-JP"/>
        </w:rPr>
        <w:t xml:space="preserve"> was 696 (147) pg/mL (</w:t>
      </w:r>
      <w:r w:rsidR="00444CDE">
        <w:rPr>
          <w:lang w:eastAsia="ja-JP"/>
        </w:rPr>
        <w:t>see Table 4, below</w:t>
      </w:r>
      <w:r w:rsidRPr="00F31F9F">
        <w:rPr>
          <w:lang w:eastAsia="ja-JP"/>
        </w:rPr>
        <w:t xml:space="preserve">). The mean </w:t>
      </w:r>
      <w:r w:rsidR="005E5C58">
        <w:rPr>
          <w:lang w:eastAsia="ja-JP"/>
        </w:rPr>
        <w:t>C</w:t>
      </w:r>
      <w:r w:rsidR="005E5C58">
        <w:rPr>
          <w:vertAlign w:val="subscript"/>
          <w:lang w:eastAsia="ja-JP"/>
        </w:rPr>
        <w:t>ss</w:t>
      </w:r>
      <w:r w:rsidRPr="00F31F9F">
        <w:rPr>
          <w:lang w:eastAsia="ja-JP"/>
        </w:rPr>
        <w:t xml:space="preserve"> in </w:t>
      </w:r>
      <w:r w:rsidR="007D46D6">
        <w:rPr>
          <w:lang w:eastAsia="ja-JP"/>
        </w:rPr>
        <w:t>Cycle 1</w:t>
      </w:r>
      <w:r w:rsidRPr="00F31F9F">
        <w:rPr>
          <w:lang w:eastAsia="ja-JP"/>
        </w:rPr>
        <w:t xml:space="preserve"> and in subsequent cycles were comparable. </w:t>
      </w:r>
      <w:r w:rsidR="00423768">
        <w:rPr>
          <w:lang w:eastAsia="ja-JP"/>
        </w:rPr>
        <w:t>3</w:t>
      </w:r>
      <w:r w:rsidRPr="00F31F9F">
        <w:rPr>
          <w:lang w:eastAsia="ja-JP"/>
        </w:rPr>
        <w:t xml:space="preserve"> subjects received blinatumomab at the 30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dose. A dose-dependent increase in drug exposure was observed.</w:t>
      </w:r>
    </w:p>
    <w:p w14:paraId="52CBC8AD" w14:textId="60F4C744" w:rsidR="00F31F9F" w:rsidRPr="00F31F9F" w:rsidRDefault="00F31F9F" w:rsidP="007D46D6">
      <w:pPr>
        <w:pStyle w:val="Tabletitle"/>
        <w:rPr>
          <w:lang w:eastAsia="ja-JP"/>
        </w:rPr>
      </w:pPr>
      <w:bookmarkStart w:id="68" w:name="_Toc292015687"/>
      <w:r w:rsidRPr="00F31F9F">
        <w:rPr>
          <w:lang w:eastAsia="ja-JP"/>
        </w:rPr>
        <w:t>Table</w:t>
      </w:r>
      <w:r w:rsidR="00586C19">
        <w:rPr>
          <w:lang w:eastAsia="ja-JP"/>
        </w:rPr>
        <w:t xml:space="preserve"> 4: </w:t>
      </w:r>
      <w:r w:rsidRPr="00F31F9F">
        <w:rPr>
          <w:lang w:eastAsia="ja-JP"/>
        </w:rPr>
        <w:t xml:space="preserve">Descriptive </w:t>
      </w:r>
      <w:r w:rsidR="007D46D6" w:rsidRPr="00F31F9F">
        <w:rPr>
          <w:lang w:eastAsia="ja-JP"/>
        </w:rPr>
        <w:t xml:space="preserve">statistics of blinatumomab </w:t>
      </w:r>
      <w:r w:rsidR="005E5C58">
        <w:rPr>
          <w:lang w:eastAsia="ja-JP"/>
        </w:rPr>
        <w:t>C</w:t>
      </w:r>
      <w:r w:rsidR="005E5C58">
        <w:rPr>
          <w:vertAlign w:val="subscript"/>
          <w:lang w:eastAsia="ja-JP"/>
        </w:rPr>
        <w:t>ss</w:t>
      </w:r>
      <w:r w:rsidR="007D46D6" w:rsidRPr="00F31F9F">
        <w:rPr>
          <w:lang w:eastAsia="ja-JP"/>
        </w:rPr>
        <w:t xml:space="preserve"> </w:t>
      </w:r>
      <w:r w:rsidR="00E34B14">
        <w:rPr>
          <w:lang w:eastAsia="ja-JP"/>
        </w:rPr>
        <w:t xml:space="preserve">(pg/mL) </w:t>
      </w:r>
      <w:r w:rsidR="007D46D6" w:rsidRPr="00F31F9F">
        <w:rPr>
          <w:lang w:eastAsia="ja-JP"/>
        </w:rPr>
        <w:t xml:space="preserve">and pharmacokinetic parameter estimates following continuous </w:t>
      </w:r>
      <w:r w:rsidR="007D46D6">
        <w:rPr>
          <w:lang w:eastAsia="ja-JP"/>
        </w:rPr>
        <w:t>IV</w:t>
      </w:r>
      <w:r w:rsidR="007D46D6" w:rsidRPr="00F31F9F">
        <w:rPr>
          <w:lang w:eastAsia="ja-JP"/>
        </w:rPr>
        <w:t xml:space="preserve"> infusion of blinatumomab </w:t>
      </w:r>
      <w:r w:rsidRPr="00F31F9F">
        <w:rPr>
          <w:lang w:eastAsia="ja-JP"/>
        </w:rPr>
        <w:t>at 15</w:t>
      </w:r>
      <w:r w:rsidR="00375CAE">
        <w:rPr>
          <w:lang w:eastAsia="ja-JP"/>
        </w:rPr>
        <w:t xml:space="preserve"> </w:t>
      </w:r>
      <w:r w:rsidR="0018721C">
        <w:rPr>
          <w:lang w:eastAsia="ja-JP"/>
        </w:rPr>
        <w:t>µg</w:t>
      </w:r>
      <w:r w:rsidRPr="00F31F9F">
        <w:rPr>
          <w:lang w:eastAsia="ja-JP"/>
        </w:rPr>
        <w:t>/m</w:t>
      </w:r>
      <w:r w:rsidRPr="00586C19">
        <w:rPr>
          <w:vertAlign w:val="superscript"/>
          <w:lang w:eastAsia="ja-JP"/>
        </w:rPr>
        <w:t>2</w:t>
      </w:r>
      <w:r w:rsidRPr="00F31F9F">
        <w:rPr>
          <w:lang w:eastAsia="ja-JP"/>
        </w:rPr>
        <w:t xml:space="preserve">/day </w:t>
      </w:r>
      <w:r w:rsidR="007D46D6">
        <w:rPr>
          <w:lang w:eastAsia="ja-JP"/>
        </w:rPr>
        <w:t>over 4 w</w:t>
      </w:r>
      <w:r w:rsidRPr="00F31F9F">
        <w:rPr>
          <w:lang w:eastAsia="ja-JP"/>
        </w:rPr>
        <w:t xml:space="preserve">eeks in </w:t>
      </w:r>
      <w:r w:rsidR="007D46D6">
        <w:rPr>
          <w:lang w:eastAsia="ja-JP"/>
        </w:rPr>
        <w:t xml:space="preserve">Cycle 1 to patients with positive MRD </w:t>
      </w:r>
      <w:r w:rsidR="00E34B14">
        <w:rPr>
          <w:lang w:eastAsia="ja-JP"/>
        </w:rPr>
        <w:t>B-p</w:t>
      </w:r>
      <w:r w:rsidRPr="00F31F9F">
        <w:rPr>
          <w:lang w:eastAsia="ja-JP"/>
        </w:rPr>
        <w:t xml:space="preserve">recursor </w:t>
      </w:r>
      <w:bookmarkEnd w:id="68"/>
      <w:r w:rsidR="00E34B14">
        <w:rPr>
          <w:lang w:eastAsia="ja-JP"/>
        </w:rPr>
        <w:t>ALL</w:t>
      </w:r>
    </w:p>
    <w:tbl>
      <w:tblPr>
        <w:tblStyle w:val="TableTGAblue"/>
        <w:tblW w:w="9103" w:type="dxa"/>
        <w:tblLook w:val="04A0" w:firstRow="1" w:lastRow="0" w:firstColumn="1" w:lastColumn="0" w:noHBand="0" w:noVBand="1"/>
        <w:tblDescription w:val="Table 4: Descriptive statistics of blinatumomab Css (pg/mL) and pharmacokinetic parameter estimates following continuous IV infusion of blinatumomab at 15 µg/m2/day over 4 weeks in Cycle 1 to patients with positive MRD B-precursor ALL"/>
      </w:tblPr>
      <w:tblGrid>
        <w:gridCol w:w="853"/>
        <w:gridCol w:w="659"/>
        <w:gridCol w:w="659"/>
        <w:gridCol w:w="659"/>
        <w:gridCol w:w="659"/>
        <w:gridCol w:w="659"/>
        <w:gridCol w:w="1149"/>
        <w:gridCol w:w="1152"/>
        <w:gridCol w:w="846"/>
        <w:gridCol w:w="1108"/>
        <w:gridCol w:w="700"/>
      </w:tblGrid>
      <w:tr w:rsidR="00C976DB" w:rsidRPr="00E34B14" w14:paraId="5A6F606E" w14:textId="77777777" w:rsidTr="007B7D09">
        <w:trPr>
          <w:cnfStyle w:val="100000000000" w:firstRow="1" w:lastRow="0" w:firstColumn="0" w:lastColumn="0" w:oddVBand="0" w:evenVBand="0" w:oddHBand="0" w:evenHBand="0" w:firstRowFirstColumn="0" w:firstRowLastColumn="0" w:lastRowFirstColumn="0" w:lastRowLastColumn="0"/>
          <w:trHeight w:val="1129"/>
          <w:tblHeader/>
        </w:trPr>
        <w:tc>
          <w:tcPr>
            <w:cnfStyle w:val="001000000000" w:firstRow="0" w:lastRow="0" w:firstColumn="1" w:lastColumn="0" w:oddVBand="0" w:evenVBand="0" w:oddHBand="0" w:evenHBand="0" w:firstRowFirstColumn="0" w:firstRowLastColumn="0" w:lastRowFirstColumn="0" w:lastRowLastColumn="0"/>
            <w:tcW w:w="0" w:type="auto"/>
          </w:tcPr>
          <w:p w14:paraId="6EDE8803" w14:textId="77777777" w:rsidR="00E34B14" w:rsidRPr="00E34B14" w:rsidRDefault="00E34B14" w:rsidP="00E34B14">
            <w:pPr>
              <w:ind w:left="0" w:right="0"/>
              <w:rPr>
                <w:sz w:val="20"/>
                <w:lang w:eastAsia="ja-JP"/>
              </w:rPr>
            </w:pPr>
          </w:p>
        </w:tc>
        <w:tc>
          <w:tcPr>
            <w:tcW w:w="0" w:type="auto"/>
          </w:tcPr>
          <w:p w14:paraId="6A14BBE5" w14:textId="45C97130"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12 h</w:t>
            </w:r>
          </w:p>
        </w:tc>
        <w:tc>
          <w:tcPr>
            <w:tcW w:w="0" w:type="auto"/>
          </w:tcPr>
          <w:p w14:paraId="3879341B" w14:textId="155C1C09"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D7</w:t>
            </w:r>
          </w:p>
        </w:tc>
        <w:tc>
          <w:tcPr>
            <w:tcW w:w="0" w:type="auto"/>
          </w:tcPr>
          <w:p w14:paraId="1CD0C993" w14:textId="768A79A0"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D14</w:t>
            </w:r>
          </w:p>
        </w:tc>
        <w:tc>
          <w:tcPr>
            <w:tcW w:w="0" w:type="auto"/>
          </w:tcPr>
          <w:p w14:paraId="10D1D71C" w14:textId="1329FAEE"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D21</w:t>
            </w:r>
          </w:p>
        </w:tc>
        <w:tc>
          <w:tcPr>
            <w:tcW w:w="0" w:type="auto"/>
          </w:tcPr>
          <w:p w14:paraId="5D360451" w14:textId="6BBE29A2"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D28</w:t>
            </w:r>
          </w:p>
        </w:tc>
        <w:tc>
          <w:tcPr>
            <w:tcW w:w="0" w:type="auto"/>
          </w:tcPr>
          <w:p w14:paraId="7C508BA3" w14:textId="343458F9"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Cycle 1</w:t>
            </w:r>
            <w:r w:rsidR="00C976DB">
              <w:rPr>
                <w:sz w:val="20"/>
                <w:lang w:eastAsia="ja-JP"/>
              </w:rPr>
              <w:t xml:space="preserve"> m</w:t>
            </w:r>
            <w:r w:rsidRPr="00E34B14">
              <w:rPr>
                <w:sz w:val="20"/>
                <w:lang w:eastAsia="ja-JP"/>
              </w:rPr>
              <w:t>ean</w:t>
            </w:r>
          </w:p>
        </w:tc>
        <w:tc>
          <w:tcPr>
            <w:tcW w:w="0" w:type="auto"/>
          </w:tcPr>
          <w:p w14:paraId="37681D40" w14:textId="77777777" w:rsidR="00C976DB"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AUC</w:t>
            </w:r>
            <w:r w:rsidRPr="00C976DB">
              <w:rPr>
                <w:sz w:val="20"/>
                <w:vertAlign w:val="subscript"/>
                <w:lang w:eastAsia="ja-JP"/>
              </w:rPr>
              <w:t>inf</w:t>
            </w:r>
          </w:p>
          <w:p w14:paraId="3909E1DA" w14:textId="6D43F070" w:rsidR="00E34B14" w:rsidRPr="00E34B14" w:rsidRDefault="00C976DB"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Pr>
                <w:sz w:val="20"/>
                <w:lang w:eastAsia="ja-JP"/>
              </w:rPr>
              <w:t>(h</w:t>
            </w:r>
            <w:r w:rsidR="00E34B14" w:rsidRPr="00E34B14">
              <w:rPr>
                <w:sz w:val="20"/>
                <w:lang w:eastAsia="ja-JP"/>
              </w:rPr>
              <w:t xml:space="preserve"> x ng/mL)</w:t>
            </w:r>
          </w:p>
        </w:tc>
        <w:tc>
          <w:tcPr>
            <w:tcW w:w="0" w:type="auto"/>
          </w:tcPr>
          <w:p w14:paraId="252EDF99" w14:textId="77777777"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Vz</w:t>
            </w:r>
          </w:p>
          <w:p w14:paraId="4B2A48ED" w14:textId="1244B718"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(L/m</w:t>
            </w:r>
            <w:r w:rsidRPr="00E34B14">
              <w:rPr>
                <w:sz w:val="20"/>
                <w:vertAlign w:val="superscript"/>
                <w:lang w:eastAsia="ja-JP"/>
              </w:rPr>
              <w:t>2</w:t>
            </w:r>
            <w:r w:rsidRPr="00E34B14">
              <w:rPr>
                <w:sz w:val="20"/>
                <w:lang w:eastAsia="ja-JP"/>
              </w:rPr>
              <w:t>)</w:t>
            </w:r>
          </w:p>
        </w:tc>
        <w:tc>
          <w:tcPr>
            <w:tcW w:w="0" w:type="auto"/>
          </w:tcPr>
          <w:p w14:paraId="1235EFA6" w14:textId="77777777" w:rsidR="00950181" w:rsidRDefault="00950181"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Pr>
                <w:sz w:val="20"/>
                <w:lang w:eastAsia="ja-JP"/>
              </w:rPr>
              <w:t>CL</w:t>
            </w:r>
          </w:p>
          <w:p w14:paraId="303C990B" w14:textId="78D15850" w:rsidR="00E34B14" w:rsidRPr="00E34B14" w:rsidRDefault="00C976DB"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Pr>
                <w:sz w:val="20"/>
                <w:lang w:eastAsia="ja-JP"/>
              </w:rPr>
              <w:t>(L/h</w:t>
            </w:r>
            <w:r w:rsidR="00E34B14" w:rsidRPr="00E34B14">
              <w:rPr>
                <w:sz w:val="20"/>
                <w:lang w:eastAsia="ja-JP"/>
              </w:rPr>
              <w:t>/m2)</w:t>
            </w:r>
          </w:p>
        </w:tc>
        <w:tc>
          <w:tcPr>
            <w:tcW w:w="0" w:type="auto"/>
          </w:tcPr>
          <w:p w14:paraId="3888A6B9" w14:textId="77777777" w:rsidR="00950181"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vertAlign w:val="subscript"/>
                <w:lang w:eastAsia="ja-JP"/>
              </w:rPr>
            </w:pPr>
            <w:r w:rsidRPr="00E34B14">
              <w:rPr>
                <w:sz w:val="20"/>
                <w:lang w:eastAsia="ja-JP"/>
              </w:rPr>
              <w:t>t</w:t>
            </w:r>
            <w:r w:rsidRPr="00C976DB">
              <w:rPr>
                <w:sz w:val="20"/>
                <w:vertAlign w:val="subscript"/>
                <w:lang w:eastAsia="ja-JP"/>
              </w:rPr>
              <w:t>1/2,z</w:t>
            </w:r>
          </w:p>
          <w:p w14:paraId="1FC818E2" w14:textId="6D70CE9C" w:rsidR="00E34B14" w:rsidRPr="00E34B14" w:rsidRDefault="00E34B14" w:rsidP="00E34B1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34B14">
              <w:rPr>
                <w:sz w:val="20"/>
                <w:lang w:eastAsia="ja-JP"/>
              </w:rPr>
              <w:t>(h)</w:t>
            </w:r>
          </w:p>
        </w:tc>
      </w:tr>
      <w:tr w:rsidR="00E34B14" w:rsidRPr="00E34B14" w14:paraId="79A3F24C" w14:textId="77777777" w:rsidTr="007B270B">
        <w:trPr>
          <w:trHeight w:val="259"/>
        </w:trPr>
        <w:tc>
          <w:tcPr>
            <w:cnfStyle w:val="001000000000" w:firstRow="0" w:lastRow="0" w:firstColumn="1" w:lastColumn="0" w:oddVBand="0" w:evenVBand="0" w:oddHBand="0" w:evenHBand="0" w:firstRowFirstColumn="0" w:firstRowLastColumn="0" w:lastRowFirstColumn="0" w:lastRowLastColumn="0"/>
            <w:tcW w:w="0" w:type="auto"/>
          </w:tcPr>
          <w:p w14:paraId="199128BD" w14:textId="3A376D13" w:rsidR="00F31F9F" w:rsidRPr="00E34B14" w:rsidRDefault="00F31F9F" w:rsidP="00E34B14">
            <w:pPr>
              <w:ind w:left="0" w:right="0"/>
              <w:rPr>
                <w:sz w:val="20"/>
                <w:lang w:eastAsia="ja-JP"/>
              </w:rPr>
            </w:pPr>
            <w:r w:rsidRPr="00E34B14">
              <w:rPr>
                <w:sz w:val="20"/>
                <w:lang w:eastAsia="ja-JP"/>
              </w:rPr>
              <w:t>N</w:t>
            </w:r>
          </w:p>
        </w:tc>
        <w:tc>
          <w:tcPr>
            <w:tcW w:w="0" w:type="auto"/>
          </w:tcPr>
          <w:p w14:paraId="70D4875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24581228"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61BD596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381AB7B4"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74064995"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3041C720"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6680E2FA"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18</w:t>
            </w:r>
          </w:p>
        </w:tc>
        <w:tc>
          <w:tcPr>
            <w:tcW w:w="0" w:type="auto"/>
          </w:tcPr>
          <w:p w14:paraId="79906E2E"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18</w:t>
            </w:r>
          </w:p>
        </w:tc>
        <w:tc>
          <w:tcPr>
            <w:tcW w:w="0" w:type="auto"/>
          </w:tcPr>
          <w:p w14:paraId="34DFC0FD"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w:t>
            </w:r>
          </w:p>
        </w:tc>
        <w:tc>
          <w:tcPr>
            <w:tcW w:w="0" w:type="auto"/>
          </w:tcPr>
          <w:p w14:paraId="06FB818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18</w:t>
            </w:r>
          </w:p>
        </w:tc>
      </w:tr>
      <w:tr w:rsidR="00E34B14" w:rsidRPr="00E34B14" w14:paraId="62FB29AF" w14:textId="77777777" w:rsidTr="007B270B">
        <w:trPr>
          <w:trHeight w:val="259"/>
        </w:trPr>
        <w:tc>
          <w:tcPr>
            <w:cnfStyle w:val="001000000000" w:firstRow="0" w:lastRow="0" w:firstColumn="1" w:lastColumn="0" w:oddVBand="0" w:evenVBand="0" w:oddHBand="0" w:evenHBand="0" w:firstRowFirstColumn="0" w:firstRowLastColumn="0" w:lastRowFirstColumn="0" w:lastRowLastColumn="0"/>
            <w:tcW w:w="0" w:type="auto"/>
          </w:tcPr>
          <w:p w14:paraId="219355E8" w14:textId="77777777" w:rsidR="00F31F9F" w:rsidRPr="00E34B14" w:rsidRDefault="00F31F9F" w:rsidP="00E34B14">
            <w:pPr>
              <w:ind w:left="0" w:right="0"/>
              <w:rPr>
                <w:sz w:val="20"/>
                <w:lang w:eastAsia="ja-JP"/>
              </w:rPr>
            </w:pPr>
            <w:r w:rsidRPr="00E34B14">
              <w:rPr>
                <w:sz w:val="20"/>
                <w:lang w:eastAsia="ja-JP"/>
              </w:rPr>
              <w:t>Mean</w:t>
            </w:r>
          </w:p>
        </w:tc>
        <w:tc>
          <w:tcPr>
            <w:tcW w:w="0" w:type="auto"/>
          </w:tcPr>
          <w:p w14:paraId="2C536858"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584</w:t>
            </w:r>
          </w:p>
        </w:tc>
        <w:tc>
          <w:tcPr>
            <w:tcW w:w="0" w:type="auto"/>
          </w:tcPr>
          <w:p w14:paraId="16D6C140"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777</w:t>
            </w:r>
          </w:p>
        </w:tc>
        <w:tc>
          <w:tcPr>
            <w:tcW w:w="0" w:type="auto"/>
          </w:tcPr>
          <w:p w14:paraId="47C08074"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703</w:t>
            </w:r>
          </w:p>
        </w:tc>
        <w:tc>
          <w:tcPr>
            <w:tcW w:w="0" w:type="auto"/>
          </w:tcPr>
          <w:p w14:paraId="3F0CB19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725</w:t>
            </w:r>
          </w:p>
        </w:tc>
        <w:tc>
          <w:tcPr>
            <w:tcW w:w="0" w:type="auto"/>
          </w:tcPr>
          <w:p w14:paraId="6504CFD4"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690</w:t>
            </w:r>
          </w:p>
        </w:tc>
        <w:tc>
          <w:tcPr>
            <w:tcW w:w="0" w:type="auto"/>
          </w:tcPr>
          <w:p w14:paraId="04A5F526"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696</w:t>
            </w:r>
          </w:p>
        </w:tc>
        <w:tc>
          <w:tcPr>
            <w:tcW w:w="0" w:type="auto"/>
          </w:tcPr>
          <w:p w14:paraId="6DBA735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481</w:t>
            </w:r>
          </w:p>
        </w:tc>
        <w:tc>
          <w:tcPr>
            <w:tcW w:w="0" w:type="auto"/>
          </w:tcPr>
          <w:p w14:paraId="24E6D354"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2.00</w:t>
            </w:r>
          </w:p>
        </w:tc>
        <w:tc>
          <w:tcPr>
            <w:tcW w:w="0" w:type="auto"/>
          </w:tcPr>
          <w:p w14:paraId="4645FC6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0.939</w:t>
            </w:r>
          </w:p>
        </w:tc>
        <w:tc>
          <w:tcPr>
            <w:tcW w:w="0" w:type="auto"/>
          </w:tcPr>
          <w:p w14:paraId="05EFFE4B"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1.47</w:t>
            </w:r>
          </w:p>
        </w:tc>
      </w:tr>
      <w:tr w:rsidR="00E34B14" w:rsidRPr="00E34B14" w14:paraId="1ADB62BD" w14:textId="77777777" w:rsidTr="007B270B">
        <w:trPr>
          <w:trHeight w:val="259"/>
        </w:trPr>
        <w:tc>
          <w:tcPr>
            <w:cnfStyle w:val="001000000000" w:firstRow="0" w:lastRow="0" w:firstColumn="1" w:lastColumn="0" w:oddVBand="0" w:evenVBand="0" w:oddHBand="0" w:evenHBand="0" w:firstRowFirstColumn="0" w:firstRowLastColumn="0" w:lastRowFirstColumn="0" w:lastRowLastColumn="0"/>
            <w:tcW w:w="0" w:type="auto"/>
          </w:tcPr>
          <w:p w14:paraId="587AFF61" w14:textId="77777777" w:rsidR="00F31F9F" w:rsidRPr="00E34B14" w:rsidRDefault="00F31F9F" w:rsidP="00E34B14">
            <w:pPr>
              <w:ind w:left="0" w:right="0"/>
              <w:rPr>
                <w:sz w:val="20"/>
                <w:lang w:eastAsia="ja-JP"/>
              </w:rPr>
            </w:pPr>
            <w:r w:rsidRPr="00E34B14">
              <w:rPr>
                <w:sz w:val="20"/>
                <w:lang w:eastAsia="ja-JP"/>
              </w:rPr>
              <w:t>SD</w:t>
            </w:r>
          </w:p>
        </w:tc>
        <w:tc>
          <w:tcPr>
            <w:tcW w:w="0" w:type="auto"/>
          </w:tcPr>
          <w:p w14:paraId="01A42028"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192</w:t>
            </w:r>
          </w:p>
        </w:tc>
        <w:tc>
          <w:tcPr>
            <w:tcW w:w="0" w:type="auto"/>
          </w:tcPr>
          <w:p w14:paraId="107251E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281</w:t>
            </w:r>
          </w:p>
        </w:tc>
        <w:tc>
          <w:tcPr>
            <w:tcW w:w="0" w:type="auto"/>
          </w:tcPr>
          <w:p w14:paraId="0CBE0888"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219</w:t>
            </w:r>
          </w:p>
        </w:tc>
        <w:tc>
          <w:tcPr>
            <w:tcW w:w="0" w:type="auto"/>
          </w:tcPr>
          <w:p w14:paraId="715A0C0D"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226</w:t>
            </w:r>
          </w:p>
        </w:tc>
        <w:tc>
          <w:tcPr>
            <w:tcW w:w="0" w:type="auto"/>
          </w:tcPr>
          <w:p w14:paraId="268D5196"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189</w:t>
            </w:r>
          </w:p>
        </w:tc>
        <w:tc>
          <w:tcPr>
            <w:tcW w:w="0" w:type="auto"/>
          </w:tcPr>
          <w:p w14:paraId="167FB74B"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147</w:t>
            </w:r>
          </w:p>
        </w:tc>
        <w:tc>
          <w:tcPr>
            <w:tcW w:w="0" w:type="auto"/>
          </w:tcPr>
          <w:p w14:paraId="3CA77CE2"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106</w:t>
            </w:r>
          </w:p>
        </w:tc>
        <w:tc>
          <w:tcPr>
            <w:tcW w:w="0" w:type="auto"/>
          </w:tcPr>
          <w:p w14:paraId="006EAC44"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0.95</w:t>
            </w:r>
          </w:p>
        </w:tc>
        <w:tc>
          <w:tcPr>
            <w:tcW w:w="0" w:type="auto"/>
          </w:tcPr>
          <w:p w14:paraId="30D36F17"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0.199</w:t>
            </w:r>
          </w:p>
        </w:tc>
        <w:tc>
          <w:tcPr>
            <w:tcW w:w="0" w:type="auto"/>
          </w:tcPr>
          <w:p w14:paraId="3A599CA6"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0.53</w:t>
            </w:r>
          </w:p>
        </w:tc>
      </w:tr>
      <w:tr w:rsidR="00E34B14" w:rsidRPr="00E34B14" w14:paraId="6052D643" w14:textId="77777777" w:rsidTr="007B270B">
        <w:trPr>
          <w:trHeight w:val="259"/>
        </w:trPr>
        <w:tc>
          <w:tcPr>
            <w:cnfStyle w:val="001000000000" w:firstRow="0" w:lastRow="0" w:firstColumn="1" w:lastColumn="0" w:oddVBand="0" w:evenVBand="0" w:oddHBand="0" w:evenHBand="0" w:firstRowFirstColumn="0" w:firstRowLastColumn="0" w:lastRowFirstColumn="0" w:lastRowLastColumn="0"/>
            <w:tcW w:w="0" w:type="auto"/>
          </w:tcPr>
          <w:p w14:paraId="6D67A0F5" w14:textId="77777777" w:rsidR="00F31F9F" w:rsidRPr="00E34B14" w:rsidRDefault="00F31F9F" w:rsidP="00E34B14">
            <w:pPr>
              <w:ind w:left="0" w:right="0"/>
              <w:rPr>
                <w:sz w:val="20"/>
                <w:lang w:eastAsia="ja-JP"/>
              </w:rPr>
            </w:pPr>
            <w:r w:rsidRPr="00E34B14">
              <w:rPr>
                <w:sz w:val="20"/>
                <w:lang w:eastAsia="ja-JP"/>
              </w:rPr>
              <w:t>Min</w:t>
            </w:r>
          </w:p>
        </w:tc>
        <w:tc>
          <w:tcPr>
            <w:tcW w:w="0" w:type="auto"/>
          </w:tcPr>
          <w:p w14:paraId="3B96CEF7"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261</w:t>
            </w:r>
          </w:p>
        </w:tc>
        <w:tc>
          <w:tcPr>
            <w:tcW w:w="0" w:type="auto"/>
          </w:tcPr>
          <w:p w14:paraId="238EAC3B"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543</w:t>
            </w:r>
          </w:p>
        </w:tc>
        <w:tc>
          <w:tcPr>
            <w:tcW w:w="0" w:type="auto"/>
          </w:tcPr>
          <w:p w14:paraId="33720663"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346</w:t>
            </w:r>
          </w:p>
        </w:tc>
        <w:tc>
          <w:tcPr>
            <w:tcW w:w="0" w:type="auto"/>
          </w:tcPr>
          <w:p w14:paraId="386BCB39"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411</w:t>
            </w:r>
          </w:p>
        </w:tc>
        <w:tc>
          <w:tcPr>
            <w:tcW w:w="0" w:type="auto"/>
          </w:tcPr>
          <w:p w14:paraId="1A601995"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250</w:t>
            </w:r>
          </w:p>
        </w:tc>
        <w:tc>
          <w:tcPr>
            <w:tcW w:w="0" w:type="auto"/>
          </w:tcPr>
          <w:p w14:paraId="73C234BB"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446</w:t>
            </w:r>
          </w:p>
        </w:tc>
        <w:tc>
          <w:tcPr>
            <w:tcW w:w="0" w:type="auto"/>
          </w:tcPr>
          <w:p w14:paraId="7C6DCE56"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344</w:t>
            </w:r>
          </w:p>
        </w:tc>
        <w:tc>
          <w:tcPr>
            <w:tcW w:w="0" w:type="auto"/>
          </w:tcPr>
          <w:p w14:paraId="1B91A25E"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0.943</w:t>
            </w:r>
          </w:p>
        </w:tc>
        <w:tc>
          <w:tcPr>
            <w:tcW w:w="0" w:type="auto"/>
          </w:tcPr>
          <w:p w14:paraId="3D0EC3FE"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0.627</w:t>
            </w:r>
          </w:p>
        </w:tc>
        <w:tc>
          <w:tcPr>
            <w:tcW w:w="0" w:type="auto"/>
          </w:tcPr>
          <w:p w14:paraId="7A81CAED"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0.660</w:t>
            </w:r>
          </w:p>
        </w:tc>
      </w:tr>
      <w:tr w:rsidR="00E34B14" w:rsidRPr="00E34B14" w14:paraId="7819DF8B" w14:textId="77777777" w:rsidTr="007B270B">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4F2C565" w14:textId="77777777" w:rsidR="00F31F9F" w:rsidRPr="00E34B14" w:rsidRDefault="00F31F9F" w:rsidP="00E34B14">
            <w:pPr>
              <w:ind w:left="0" w:right="0"/>
              <w:rPr>
                <w:sz w:val="20"/>
                <w:lang w:eastAsia="ja-JP"/>
              </w:rPr>
            </w:pPr>
            <w:r w:rsidRPr="00E34B14">
              <w:rPr>
                <w:sz w:val="20"/>
                <w:lang w:eastAsia="ja-JP"/>
              </w:rPr>
              <w:t>Median</w:t>
            </w:r>
          </w:p>
        </w:tc>
        <w:tc>
          <w:tcPr>
            <w:tcW w:w="0" w:type="auto"/>
          </w:tcPr>
          <w:p w14:paraId="508B9399"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558</w:t>
            </w:r>
          </w:p>
        </w:tc>
        <w:tc>
          <w:tcPr>
            <w:tcW w:w="0" w:type="auto"/>
          </w:tcPr>
          <w:p w14:paraId="15AA419B"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625</w:t>
            </w:r>
          </w:p>
        </w:tc>
        <w:tc>
          <w:tcPr>
            <w:tcW w:w="0" w:type="auto"/>
          </w:tcPr>
          <w:p w14:paraId="3FA395CD"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662</w:t>
            </w:r>
          </w:p>
        </w:tc>
        <w:tc>
          <w:tcPr>
            <w:tcW w:w="0" w:type="auto"/>
          </w:tcPr>
          <w:p w14:paraId="01B69FA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670</w:t>
            </w:r>
          </w:p>
        </w:tc>
        <w:tc>
          <w:tcPr>
            <w:tcW w:w="0" w:type="auto"/>
          </w:tcPr>
          <w:p w14:paraId="5618B79E"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668</w:t>
            </w:r>
          </w:p>
        </w:tc>
        <w:tc>
          <w:tcPr>
            <w:tcW w:w="0" w:type="auto"/>
          </w:tcPr>
          <w:p w14:paraId="0D490757"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656</w:t>
            </w:r>
          </w:p>
        </w:tc>
        <w:tc>
          <w:tcPr>
            <w:tcW w:w="0" w:type="auto"/>
          </w:tcPr>
          <w:p w14:paraId="45AB3E0A"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466</w:t>
            </w:r>
          </w:p>
        </w:tc>
        <w:tc>
          <w:tcPr>
            <w:tcW w:w="0" w:type="auto"/>
          </w:tcPr>
          <w:p w14:paraId="5577F0A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1.81</w:t>
            </w:r>
          </w:p>
        </w:tc>
        <w:tc>
          <w:tcPr>
            <w:tcW w:w="0" w:type="auto"/>
          </w:tcPr>
          <w:p w14:paraId="75573903"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0.953</w:t>
            </w:r>
          </w:p>
        </w:tc>
        <w:tc>
          <w:tcPr>
            <w:tcW w:w="0" w:type="auto"/>
          </w:tcPr>
          <w:p w14:paraId="2E3310D7"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1.42</w:t>
            </w:r>
          </w:p>
        </w:tc>
      </w:tr>
      <w:tr w:rsidR="00E34B14" w:rsidRPr="00E34B14" w14:paraId="1F026A1D" w14:textId="77777777" w:rsidTr="007B270B">
        <w:trPr>
          <w:trHeight w:val="259"/>
        </w:trPr>
        <w:tc>
          <w:tcPr>
            <w:cnfStyle w:val="001000000000" w:firstRow="0" w:lastRow="0" w:firstColumn="1" w:lastColumn="0" w:oddVBand="0" w:evenVBand="0" w:oddHBand="0" w:evenHBand="0" w:firstRowFirstColumn="0" w:firstRowLastColumn="0" w:lastRowFirstColumn="0" w:lastRowLastColumn="0"/>
            <w:tcW w:w="0" w:type="auto"/>
          </w:tcPr>
          <w:p w14:paraId="13A1D6BA" w14:textId="77777777" w:rsidR="00F31F9F" w:rsidRPr="00E34B14" w:rsidRDefault="00F31F9F" w:rsidP="00E34B14">
            <w:pPr>
              <w:ind w:left="0" w:right="0"/>
              <w:rPr>
                <w:sz w:val="20"/>
                <w:lang w:eastAsia="ja-JP"/>
              </w:rPr>
            </w:pPr>
            <w:r w:rsidRPr="00E34B14">
              <w:rPr>
                <w:sz w:val="20"/>
                <w:lang w:eastAsia="ja-JP"/>
              </w:rPr>
              <w:t>Max</w:t>
            </w:r>
          </w:p>
        </w:tc>
        <w:tc>
          <w:tcPr>
            <w:tcW w:w="0" w:type="auto"/>
          </w:tcPr>
          <w:p w14:paraId="42B76188"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1210</w:t>
            </w:r>
          </w:p>
        </w:tc>
        <w:tc>
          <w:tcPr>
            <w:tcW w:w="0" w:type="auto"/>
          </w:tcPr>
          <w:p w14:paraId="10256E95"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1730</w:t>
            </w:r>
          </w:p>
        </w:tc>
        <w:tc>
          <w:tcPr>
            <w:tcW w:w="0" w:type="auto"/>
          </w:tcPr>
          <w:p w14:paraId="07100B3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1210</w:t>
            </w:r>
          </w:p>
        </w:tc>
        <w:tc>
          <w:tcPr>
            <w:tcW w:w="0" w:type="auto"/>
          </w:tcPr>
          <w:p w14:paraId="0D8C1D72"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1290</w:t>
            </w:r>
          </w:p>
        </w:tc>
        <w:tc>
          <w:tcPr>
            <w:tcW w:w="0" w:type="auto"/>
          </w:tcPr>
          <w:p w14:paraId="535262AC"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1000</w:t>
            </w:r>
          </w:p>
        </w:tc>
        <w:tc>
          <w:tcPr>
            <w:tcW w:w="0" w:type="auto"/>
          </w:tcPr>
          <w:p w14:paraId="1AA04C89"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984</w:t>
            </w:r>
          </w:p>
        </w:tc>
        <w:tc>
          <w:tcPr>
            <w:tcW w:w="0" w:type="auto"/>
          </w:tcPr>
          <w:p w14:paraId="12A4D467"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678</w:t>
            </w:r>
          </w:p>
        </w:tc>
        <w:tc>
          <w:tcPr>
            <w:tcW w:w="0" w:type="auto"/>
          </w:tcPr>
          <w:p w14:paraId="58752279"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4.31</w:t>
            </w:r>
          </w:p>
        </w:tc>
        <w:tc>
          <w:tcPr>
            <w:tcW w:w="0" w:type="auto"/>
          </w:tcPr>
          <w:p w14:paraId="20B8587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1.40</w:t>
            </w:r>
          </w:p>
        </w:tc>
        <w:tc>
          <w:tcPr>
            <w:tcW w:w="0" w:type="auto"/>
          </w:tcPr>
          <w:p w14:paraId="5B27C020"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2.54</w:t>
            </w:r>
          </w:p>
        </w:tc>
      </w:tr>
      <w:tr w:rsidR="00E34B14" w:rsidRPr="00E34B14" w14:paraId="12354275" w14:textId="77777777" w:rsidTr="007B270B">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3AAD8FE2" w14:textId="77777777" w:rsidR="00F31F9F" w:rsidRPr="00E34B14" w:rsidRDefault="00F31F9F" w:rsidP="00E34B14">
            <w:pPr>
              <w:ind w:left="0" w:right="0"/>
              <w:rPr>
                <w:sz w:val="20"/>
                <w:lang w:eastAsia="ja-JP"/>
              </w:rPr>
            </w:pPr>
            <w:r w:rsidRPr="00E34B14">
              <w:rPr>
                <w:sz w:val="20"/>
                <w:lang w:eastAsia="ja-JP"/>
              </w:rPr>
              <w:t xml:space="preserve">CV% </w:t>
            </w:r>
          </w:p>
        </w:tc>
        <w:tc>
          <w:tcPr>
            <w:tcW w:w="0" w:type="auto"/>
          </w:tcPr>
          <w:p w14:paraId="2F75B788"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32.8</w:t>
            </w:r>
          </w:p>
        </w:tc>
        <w:tc>
          <w:tcPr>
            <w:tcW w:w="0" w:type="auto"/>
          </w:tcPr>
          <w:p w14:paraId="520E9B7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36.2</w:t>
            </w:r>
          </w:p>
        </w:tc>
        <w:tc>
          <w:tcPr>
            <w:tcW w:w="0" w:type="auto"/>
          </w:tcPr>
          <w:p w14:paraId="15702EBB"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31.2</w:t>
            </w:r>
          </w:p>
        </w:tc>
        <w:tc>
          <w:tcPr>
            <w:tcW w:w="0" w:type="auto"/>
          </w:tcPr>
          <w:p w14:paraId="0BBD7C60"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31.1</w:t>
            </w:r>
          </w:p>
        </w:tc>
        <w:tc>
          <w:tcPr>
            <w:tcW w:w="0" w:type="auto"/>
          </w:tcPr>
          <w:p w14:paraId="7F592A71"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27.5</w:t>
            </w:r>
          </w:p>
        </w:tc>
        <w:tc>
          <w:tcPr>
            <w:tcW w:w="0" w:type="auto"/>
          </w:tcPr>
          <w:p w14:paraId="1ABE1A67"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21.1</w:t>
            </w:r>
          </w:p>
        </w:tc>
        <w:tc>
          <w:tcPr>
            <w:tcW w:w="0" w:type="auto"/>
          </w:tcPr>
          <w:p w14:paraId="0A07A3E2"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22.1</w:t>
            </w:r>
          </w:p>
        </w:tc>
        <w:tc>
          <w:tcPr>
            <w:tcW w:w="0" w:type="auto"/>
          </w:tcPr>
          <w:p w14:paraId="6226CCF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47.6</w:t>
            </w:r>
          </w:p>
        </w:tc>
        <w:tc>
          <w:tcPr>
            <w:tcW w:w="0" w:type="auto"/>
          </w:tcPr>
          <w:p w14:paraId="05933FD0"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21.2</w:t>
            </w:r>
          </w:p>
        </w:tc>
        <w:tc>
          <w:tcPr>
            <w:tcW w:w="0" w:type="auto"/>
          </w:tcPr>
          <w:p w14:paraId="7D03B49F" w14:textId="77777777" w:rsidR="00F31F9F" w:rsidRPr="00E34B14" w:rsidRDefault="00F31F9F" w:rsidP="00E34B14">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E34B14">
              <w:rPr>
                <w:sz w:val="20"/>
                <w:lang w:eastAsia="ja-JP"/>
              </w:rPr>
              <w:t>36.1</w:t>
            </w:r>
          </w:p>
        </w:tc>
      </w:tr>
    </w:tbl>
    <w:p w14:paraId="2CED7837" w14:textId="48960575" w:rsidR="00F31F9F" w:rsidRPr="00F31F9F" w:rsidRDefault="00F31F9F" w:rsidP="00C976DB">
      <w:pPr>
        <w:pStyle w:val="TableDescription"/>
        <w:rPr>
          <w:lang w:eastAsia="ja-JP"/>
        </w:rPr>
      </w:pPr>
      <w:r w:rsidRPr="00F31F9F">
        <w:rPr>
          <w:lang w:eastAsia="ja-JP"/>
        </w:rPr>
        <w:t>AUC</w:t>
      </w:r>
      <w:r w:rsidRPr="00C976DB">
        <w:rPr>
          <w:vertAlign w:val="subscript"/>
          <w:lang w:eastAsia="ja-JP"/>
        </w:rPr>
        <w:t>inf</w:t>
      </w:r>
      <w:r w:rsidR="00375CAE">
        <w:rPr>
          <w:lang w:eastAsia="ja-JP"/>
        </w:rPr>
        <w:t xml:space="preserve"> </w:t>
      </w:r>
      <w:r w:rsidR="00423768">
        <w:rPr>
          <w:lang w:eastAsia="ja-JP"/>
        </w:rPr>
        <w:t>=</w:t>
      </w:r>
      <w:r w:rsidR="00375CAE">
        <w:rPr>
          <w:lang w:eastAsia="ja-JP"/>
        </w:rPr>
        <w:t xml:space="preserve"> </w:t>
      </w:r>
      <w:r w:rsidRPr="00F31F9F">
        <w:rPr>
          <w:lang w:eastAsia="ja-JP"/>
        </w:rPr>
        <w:t>area under the drug concentration-time curve from time zero to infinity; CL</w:t>
      </w:r>
      <w:r w:rsidR="00375CAE">
        <w:rPr>
          <w:lang w:eastAsia="ja-JP"/>
        </w:rPr>
        <w:t xml:space="preserve"> </w:t>
      </w:r>
      <w:r w:rsidR="00423768">
        <w:rPr>
          <w:lang w:eastAsia="ja-JP"/>
        </w:rPr>
        <w:t>=</w:t>
      </w:r>
      <w:r w:rsidR="00375CAE">
        <w:rPr>
          <w:lang w:eastAsia="ja-JP"/>
        </w:rPr>
        <w:t xml:space="preserve"> </w:t>
      </w:r>
      <w:r w:rsidRPr="00F31F9F">
        <w:rPr>
          <w:lang w:eastAsia="ja-JP"/>
        </w:rPr>
        <w:t>drug clearance after IV administration calculated by CL</w:t>
      </w:r>
      <w:r w:rsidR="00423768">
        <w:rPr>
          <w:lang w:eastAsia="ja-JP"/>
        </w:rPr>
        <w:t xml:space="preserve"> = </w:t>
      </w:r>
      <w:r w:rsidRPr="00F31F9F">
        <w:rPr>
          <w:lang w:eastAsia="ja-JP"/>
        </w:rPr>
        <w:t>R0/</w:t>
      </w:r>
      <w:r w:rsidR="005E5C58">
        <w:rPr>
          <w:lang w:eastAsia="ja-JP"/>
        </w:rPr>
        <w:t>C</w:t>
      </w:r>
      <w:r w:rsidR="005E5C58">
        <w:rPr>
          <w:vertAlign w:val="subscript"/>
          <w:lang w:eastAsia="ja-JP"/>
        </w:rPr>
        <w:t>ss</w:t>
      </w:r>
      <w:r w:rsidRPr="00F31F9F">
        <w:rPr>
          <w:lang w:eastAsia="ja-JP"/>
        </w:rPr>
        <w:t xml:space="preserve">; </w:t>
      </w:r>
      <w:r w:rsidR="005E5C58">
        <w:rPr>
          <w:lang w:eastAsia="ja-JP"/>
        </w:rPr>
        <w:t>C</w:t>
      </w:r>
      <w:r w:rsidR="005E5C58">
        <w:rPr>
          <w:vertAlign w:val="subscript"/>
          <w:lang w:eastAsia="ja-JP"/>
        </w:rPr>
        <w:t>ss</w:t>
      </w:r>
      <w:r w:rsidR="00423768">
        <w:rPr>
          <w:lang w:eastAsia="ja-JP"/>
        </w:rPr>
        <w:t xml:space="preserve"> =</w:t>
      </w:r>
      <w:r w:rsidR="00375CAE">
        <w:rPr>
          <w:lang w:eastAsia="ja-JP"/>
        </w:rPr>
        <w:t xml:space="preserve"> </w:t>
      </w:r>
      <w:r w:rsidRPr="00F31F9F">
        <w:rPr>
          <w:lang w:eastAsia="ja-JP"/>
        </w:rPr>
        <w:t>drug concentration at steady state; %CV</w:t>
      </w:r>
      <w:r w:rsidR="00375CAE">
        <w:rPr>
          <w:lang w:eastAsia="ja-JP"/>
        </w:rPr>
        <w:t xml:space="preserve"> </w:t>
      </w:r>
      <w:r w:rsidR="00423768">
        <w:rPr>
          <w:lang w:eastAsia="ja-JP"/>
        </w:rPr>
        <w:t>=</w:t>
      </w:r>
      <w:r w:rsidR="00375CAE">
        <w:rPr>
          <w:lang w:eastAsia="ja-JP"/>
        </w:rPr>
        <w:t xml:space="preserve"> </w:t>
      </w:r>
      <w:r w:rsidRPr="00F31F9F">
        <w:rPr>
          <w:lang w:eastAsia="ja-JP"/>
        </w:rPr>
        <w:t>coefficient of variation D</w:t>
      </w:r>
      <w:r w:rsidR="00C976DB">
        <w:rPr>
          <w:lang w:eastAsia="ja-JP"/>
        </w:rPr>
        <w:t> </w:t>
      </w:r>
      <w:r w:rsidR="00423768">
        <w:rPr>
          <w:lang w:eastAsia="ja-JP"/>
        </w:rPr>
        <w:t>=</w:t>
      </w:r>
      <w:r w:rsidR="00375CAE">
        <w:rPr>
          <w:lang w:eastAsia="ja-JP"/>
        </w:rPr>
        <w:t xml:space="preserve"> </w:t>
      </w:r>
      <w:r w:rsidR="00C976DB">
        <w:rPr>
          <w:lang w:eastAsia="ja-JP"/>
        </w:rPr>
        <w:t>day; h</w:t>
      </w:r>
      <w:r w:rsidR="00375CAE">
        <w:rPr>
          <w:lang w:eastAsia="ja-JP"/>
        </w:rPr>
        <w:t xml:space="preserve"> </w:t>
      </w:r>
      <w:r w:rsidR="00423768">
        <w:rPr>
          <w:lang w:eastAsia="ja-JP"/>
        </w:rPr>
        <w:t>=</w:t>
      </w:r>
      <w:r w:rsidR="00375CAE">
        <w:rPr>
          <w:lang w:eastAsia="ja-JP"/>
        </w:rPr>
        <w:t xml:space="preserve"> </w:t>
      </w:r>
      <w:r w:rsidRPr="00F31F9F">
        <w:rPr>
          <w:lang w:eastAsia="ja-JP"/>
        </w:rPr>
        <w:t>hour; IV</w:t>
      </w:r>
      <w:r w:rsidR="00375CAE">
        <w:rPr>
          <w:lang w:eastAsia="ja-JP"/>
        </w:rPr>
        <w:t xml:space="preserve"> </w:t>
      </w:r>
      <w:r w:rsidR="00423768">
        <w:rPr>
          <w:lang w:eastAsia="ja-JP"/>
        </w:rPr>
        <w:t>=</w:t>
      </w:r>
      <w:r w:rsidR="00375CAE">
        <w:rPr>
          <w:lang w:eastAsia="ja-JP"/>
        </w:rPr>
        <w:t xml:space="preserve"> </w:t>
      </w:r>
      <w:r w:rsidRPr="00F31F9F">
        <w:rPr>
          <w:lang w:eastAsia="ja-JP"/>
        </w:rPr>
        <w:t>intravenous; LLOQ</w:t>
      </w:r>
      <w:r w:rsidR="00375CAE">
        <w:rPr>
          <w:lang w:eastAsia="ja-JP"/>
        </w:rPr>
        <w:t xml:space="preserve"> </w:t>
      </w:r>
      <w:r w:rsidR="00423768">
        <w:rPr>
          <w:lang w:eastAsia="ja-JP"/>
        </w:rPr>
        <w:t>=</w:t>
      </w:r>
      <w:r w:rsidR="00375CAE">
        <w:rPr>
          <w:lang w:eastAsia="ja-JP"/>
        </w:rPr>
        <w:t xml:space="preserve"> </w:t>
      </w:r>
      <w:r w:rsidRPr="00F31F9F">
        <w:rPr>
          <w:lang w:eastAsia="ja-JP"/>
        </w:rPr>
        <w:t>lower limit of quantification; max</w:t>
      </w:r>
      <w:r w:rsidR="00375CAE">
        <w:rPr>
          <w:lang w:eastAsia="ja-JP"/>
        </w:rPr>
        <w:t xml:space="preserve"> </w:t>
      </w:r>
      <w:r w:rsidR="00423768">
        <w:rPr>
          <w:lang w:eastAsia="ja-JP"/>
        </w:rPr>
        <w:t>=</w:t>
      </w:r>
      <w:r w:rsidR="00375CAE">
        <w:rPr>
          <w:lang w:eastAsia="ja-JP"/>
        </w:rPr>
        <w:t xml:space="preserve"> </w:t>
      </w:r>
      <w:r w:rsidRPr="00F31F9F">
        <w:rPr>
          <w:lang w:eastAsia="ja-JP"/>
        </w:rPr>
        <w:t>maximum; min</w:t>
      </w:r>
      <w:r w:rsidR="00375CAE">
        <w:rPr>
          <w:lang w:eastAsia="ja-JP"/>
        </w:rPr>
        <w:t xml:space="preserve"> </w:t>
      </w:r>
      <w:r w:rsidR="00423768">
        <w:rPr>
          <w:lang w:eastAsia="ja-JP"/>
        </w:rPr>
        <w:t>=</w:t>
      </w:r>
      <w:r w:rsidR="00375CAE">
        <w:rPr>
          <w:lang w:eastAsia="ja-JP"/>
        </w:rPr>
        <w:t xml:space="preserve"> </w:t>
      </w:r>
      <w:r w:rsidRPr="00F31F9F">
        <w:rPr>
          <w:lang w:eastAsia="ja-JP"/>
        </w:rPr>
        <w:t>minimum; SD</w:t>
      </w:r>
      <w:r w:rsidR="00375CAE">
        <w:rPr>
          <w:lang w:eastAsia="ja-JP"/>
        </w:rPr>
        <w:t xml:space="preserve"> </w:t>
      </w:r>
      <w:r w:rsidR="00423768">
        <w:rPr>
          <w:lang w:eastAsia="ja-JP"/>
        </w:rPr>
        <w:t>=</w:t>
      </w:r>
      <w:r w:rsidR="00375CAE">
        <w:rPr>
          <w:lang w:eastAsia="ja-JP"/>
        </w:rPr>
        <w:t xml:space="preserve"> </w:t>
      </w:r>
      <w:r w:rsidRPr="00F31F9F">
        <w:rPr>
          <w:lang w:eastAsia="ja-JP"/>
        </w:rPr>
        <w:t>standard deviation; t</w:t>
      </w:r>
      <w:r w:rsidRPr="00C976DB">
        <w:rPr>
          <w:vertAlign w:val="subscript"/>
          <w:lang w:eastAsia="ja-JP"/>
        </w:rPr>
        <w:t>1/2</w:t>
      </w:r>
      <w:proofErr w:type="gramStart"/>
      <w:r w:rsidRPr="00C976DB">
        <w:rPr>
          <w:vertAlign w:val="subscript"/>
          <w:lang w:eastAsia="ja-JP"/>
        </w:rPr>
        <w:t>,z</w:t>
      </w:r>
      <w:proofErr w:type="gramEnd"/>
      <w:r w:rsidR="00375CAE">
        <w:rPr>
          <w:lang w:eastAsia="ja-JP"/>
        </w:rPr>
        <w:t xml:space="preserve"> </w:t>
      </w:r>
      <w:r w:rsidR="00423768">
        <w:rPr>
          <w:lang w:eastAsia="ja-JP"/>
        </w:rPr>
        <w:t>=</w:t>
      </w:r>
      <w:r w:rsidR="00375CAE">
        <w:rPr>
          <w:lang w:eastAsia="ja-JP"/>
        </w:rPr>
        <w:t xml:space="preserve"> </w:t>
      </w:r>
      <w:r w:rsidRPr="00F31F9F">
        <w:rPr>
          <w:lang w:eastAsia="ja-JP"/>
        </w:rPr>
        <w:t>terminal half-life; Vz</w:t>
      </w:r>
      <w:r w:rsidR="00375CAE">
        <w:rPr>
          <w:lang w:eastAsia="ja-JP"/>
        </w:rPr>
        <w:t xml:space="preserve"> </w:t>
      </w:r>
      <w:r w:rsidR="00423768">
        <w:rPr>
          <w:lang w:eastAsia="ja-JP"/>
        </w:rPr>
        <w:t>=</w:t>
      </w:r>
      <w:r w:rsidR="00375CAE">
        <w:rPr>
          <w:lang w:eastAsia="ja-JP"/>
        </w:rPr>
        <w:t xml:space="preserve"> </w:t>
      </w:r>
      <w:r w:rsidRPr="00F31F9F">
        <w:rPr>
          <w:lang w:eastAsia="ja-JP"/>
        </w:rPr>
        <w:t xml:space="preserve">volume of distribution based on the terminal </w:t>
      </w:r>
      <w:r w:rsidR="00C976DB">
        <w:rPr>
          <w:lang w:eastAsia="ja-JP"/>
        </w:rPr>
        <w:t>p</w:t>
      </w:r>
      <w:r w:rsidR="0018721C">
        <w:rPr>
          <w:lang w:eastAsia="ja-JP"/>
        </w:rPr>
        <w:t>hase</w:t>
      </w:r>
      <w:r w:rsidRPr="00F31F9F">
        <w:rPr>
          <w:lang w:eastAsia="ja-JP"/>
        </w:rPr>
        <w:t>.</w:t>
      </w:r>
      <w:r w:rsidR="00C976DB">
        <w:rPr>
          <w:lang w:eastAsia="ja-JP"/>
        </w:rPr>
        <w:t xml:space="preserve"> </w:t>
      </w:r>
      <w:r w:rsidRPr="00F31F9F">
        <w:rPr>
          <w:lang w:eastAsia="ja-JP"/>
        </w:rPr>
        <w:t>Note: LLOQ</w:t>
      </w:r>
      <w:r w:rsidR="00375CAE">
        <w:rPr>
          <w:lang w:eastAsia="ja-JP"/>
        </w:rPr>
        <w:t xml:space="preserve"> </w:t>
      </w:r>
      <w:r w:rsidR="00423768">
        <w:rPr>
          <w:lang w:eastAsia="ja-JP"/>
        </w:rPr>
        <w:t>=</w:t>
      </w:r>
      <w:r w:rsidR="00375CAE">
        <w:rPr>
          <w:lang w:eastAsia="ja-JP"/>
        </w:rPr>
        <w:t xml:space="preserve"> </w:t>
      </w:r>
      <w:r w:rsidR="00C976DB">
        <w:rPr>
          <w:lang w:eastAsia="ja-JP"/>
        </w:rPr>
        <w:t>100 pg/mL.</w:t>
      </w:r>
      <w:r w:rsidR="00C976DB" w:rsidRPr="00F31F9F">
        <w:rPr>
          <w:lang w:eastAsia="ja-JP"/>
        </w:rPr>
        <w:t xml:space="preserve"> </w:t>
      </w:r>
    </w:p>
    <w:p w14:paraId="2F9087E6" w14:textId="5C8BE29E" w:rsidR="00F31F9F" w:rsidRPr="00F31F9F" w:rsidRDefault="00C976DB" w:rsidP="00C976DB">
      <w:pPr>
        <w:pStyle w:val="Heading4"/>
      </w:pPr>
      <w:bookmarkStart w:id="69" w:name="_Ref291767667"/>
      <w:r>
        <w:t xml:space="preserve">Study </w:t>
      </w:r>
      <w:r w:rsidR="00F31F9F" w:rsidRPr="00F31F9F">
        <w:t xml:space="preserve">MT103-206 </w:t>
      </w:r>
      <w:r w:rsidR="0018721C">
        <w:t>Phase II</w:t>
      </w:r>
      <w:r w:rsidR="00F31F9F" w:rsidRPr="00F31F9F">
        <w:t xml:space="preserve"> study in Subjects with R/R ALL</w:t>
      </w:r>
      <w:bookmarkEnd w:id="69"/>
    </w:p>
    <w:p w14:paraId="56BA4F0E" w14:textId="790544FE" w:rsidR="00F31F9F" w:rsidRPr="00F31F9F" w:rsidRDefault="0028034A" w:rsidP="00C976DB">
      <w:pPr>
        <w:pStyle w:val="Heading5"/>
        <w:rPr>
          <w:lang w:eastAsia="ja-JP"/>
        </w:rPr>
      </w:pPr>
      <w:r>
        <w:rPr>
          <w:lang w:eastAsia="ja-JP"/>
        </w:rPr>
        <w:t>Study objectives and d</w:t>
      </w:r>
      <w:r w:rsidR="00F31F9F" w:rsidRPr="00F31F9F">
        <w:rPr>
          <w:lang w:eastAsia="ja-JP"/>
        </w:rPr>
        <w:t>esign</w:t>
      </w:r>
    </w:p>
    <w:p w14:paraId="4477B762" w14:textId="5A34B617" w:rsidR="00F31F9F" w:rsidRPr="00F31F9F" w:rsidRDefault="00F31F9F" w:rsidP="00F31F9F">
      <w:pPr>
        <w:rPr>
          <w:lang w:eastAsia="ja-JP"/>
        </w:rPr>
      </w:pPr>
      <w:r w:rsidRPr="00F31F9F">
        <w:rPr>
          <w:lang w:eastAsia="ja-JP"/>
        </w:rPr>
        <w:t xml:space="preserve">Study MT 103-206 was a </w:t>
      </w:r>
      <w:r w:rsidR="0018721C">
        <w:rPr>
          <w:lang w:eastAsia="ja-JP"/>
        </w:rPr>
        <w:t>Phase II</w:t>
      </w:r>
      <w:r w:rsidRPr="00F31F9F">
        <w:rPr>
          <w:lang w:eastAsia="ja-JP"/>
        </w:rPr>
        <w:t xml:space="preserve">, </w:t>
      </w:r>
      <w:r w:rsidR="00070E8B">
        <w:rPr>
          <w:lang w:eastAsia="ja-JP"/>
        </w:rPr>
        <w:t>open label</w:t>
      </w:r>
      <w:r w:rsidRPr="00F31F9F">
        <w:rPr>
          <w:lang w:eastAsia="ja-JP"/>
        </w:rPr>
        <w:t>, multicentre, exploratory study to evaluate the efficacy, safety, and tolerability of blinatumomab in 36 adult subjects with relapsed and/or refractory B-precursor ALL (R/R ALL). The primary study endpoint was the rate of CR/CRh within 2 cycles of blinatumomab treatment. Other measures of efficacy such as individual response rates, measures of survival, time to haematological relapse, proportion of patients eligible for allogeneic h</w:t>
      </w:r>
      <w:r w:rsidR="0028034A">
        <w:rPr>
          <w:lang w:eastAsia="ja-JP"/>
        </w:rPr>
        <w:t>a</w:t>
      </w:r>
      <w:r w:rsidRPr="00F31F9F">
        <w:rPr>
          <w:lang w:eastAsia="ja-JP"/>
        </w:rPr>
        <w:t>ematopoietic stem cell transplantation (HSCT), and the rate of MRD response were also evaluated. Other secondary objectives were to evaluate the safety, tolerability, pharmacokinetics, and pharmacodynamics of blinatumomab in subjects with R/R ALL.</w:t>
      </w:r>
    </w:p>
    <w:p w14:paraId="3FC308A3" w14:textId="45E55A31" w:rsidR="00F31F9F" w:rsidRPr="00F31F9F" w:rsidRDefault="00F31F9F" w:rsidP="00F31F9F">
      <w:pPr>
        <w:rPr>
          <w:lang w:eastAsia="ja-JP"/>
        </w:rPr>
      </w:pPr>
      <w:r w:rsidRPr="00F31F9F">
        <w:rPr>
          <w:lang w:eastAsia="ja-JP"/>
        </w:rPr>
        <w:t>Th</w:t>
      </w:r>
      <w:r w:rsidR="002B779F">
        <w:rPr>
          <w:lang w:eastAsia="ja-JP"/>
        </w:rPr>
        <w:t xml:space="preserve">is single arm study used a dose </w:t>
      </w:r>
      <w:r w:rsidRPr="00F31F9F">
        <w:rPr>
          <w:lang w:eastAsia="ja-JP"/>
        </w:rPr>
        <w:t xml:space="preserve">finding </w:t>
      </w:r>
      <w:r w:rsidR="00950181">
        <w:rPr>
          <w:lang w:eastAsia="ja-JP"/>
        </w:rPr>
        <w:t xml:space="preserve">run-in and a modified Simon’s 2 </w:t>
      </w:r>
      <w:r w:rsidRPr="00F31F9F">
        <w:rPr>
          <w:lang w:eastAsia="ja-JP"/>
        </w:rPr>
        <w:t>stage design. In this study, subjects were initially enrolled at a dose of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however, to reduce first dose effects on safety, the next cohort was enrolled at 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for the first 7 days and 15</w:t>
      </w:r>
      <w:r w:rsidR="00905A7F">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for the remaining 3 weeks of </w:t>
      </w:r>
      <w:r w:rsidR="007D46D6">
        <w:rPr>
          <w:lang w:eastAsia="ja-JP"/>
        </w:rPr>
        <w:t>Cycle 1</w:t>
      </w:r>
      <w:r w:rsidRPr="00F31F9F">
        <w:rPr>
          <w:lang w:eastAsia="ja-JP"/>
        </w:rPr>
        <w:t xml:space="preserve"> (a cycle was 4 weeks on treatment, 2 weeks off) and received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for the whole duration of subsequent cycles. As this dosing was tolerated, a third cohort was enrolled at 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for the first 7 days,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for the subsequent 7 days and 30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for the remaining 2 weeks of </w:t>
      </w:r>
      <w:r w:rsidR="007D46D6">
        <w:rPr>
          <w:lang w:eastAsia="ja-JP"/>
        </w:rPr>
        <w:t>Cycle 1</w:t>
      </w:r>
      <w:r w:rsidRPr="00F31F9F">
        <w:rPr>
          <w:lang w:eastAsia="ja-JP"/>
        </w:rPr>
        <w:t xml:space="preserve"> and the whole duration of subsequent cycles</w:t>
      </w:r>
      <w:r w:rsidR="00905A7F">
        <w:rPr>
          <w:lang w:eastAsia="ja-JP"/>
        </w:rPr>
        <w:t xml:space="preserve"> (5 to 15 to </w:t>
      </w:r>
      <w:r w:rsidRPr="00F31F9F">
        <w:rPr>
          <w:lang w:eastAsia="ja-JP"/>
        </w:rPr>
        <w:t>30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w:t>
      </w:r>
    </w:p>
    <w:p w14:paraId="382F2D7B" w14:textId="2A39E91D" w:rsidR="00F31F9F" w:rsidRPr="00F31F9F" w:rsidRDefault="00F31F9F" w:rsidP="00F31F9F">
      <w:pPr>
        <w:rPr>
          <w:lang w:eastAsia="ja-JP"/>
        </w:rPr>
      </w:pPr>
      <w:r w:rsidRPr="00F31F9F">
        <w:rPr>
          <w:lang w:eastAsia="ja-JP"/>
        </w:rPr>
        <w:t xml:space="preserve">With cIV infusion of blinatumomab over 4 weeks, </w:t>
      </w:r>
      <w:r w:rsidR="005E5C58">
        <w:rPr>
          <w:lang w:eastAsia="ja-JP"/>
        </w:rPr>
        <w:t>C</w:t>
      </w:r>
      <w:r w:rsidR="005E5C58">
        <w:rPr>
          <w:vertAlign w:val="subscript"/>
          <w:lang w:eastAsia="ja-JP"/>
        </w:rPr>
        <w:t>ss</w:t>
      </w:r>
      <w:r w:rsidRPr="00F31F9F">
        <w:rPr>
          <w:lang w:eastAsia="ja-JP"/>
        </w:rPr>
        <w:t xml:space="preserve"> remained stable over </w:t>
      </w:r>
      <w:r w:rsidR="00905A7F">
        <w:rPr>
          <w:lang w:eastAsia="ja-JP"/>
        </w:rPr>
        <w:t>time. Mean (standard deviation (SD)</w:t>
      </w:r>
      <w:r w:rsidRPr="00F31F9F">
        <w:rPr>
          <w:lang w:eastAsia="ja-JP"/>
        </w:rPr>
        <w:t xml:space="preserve">) </w:t>
      </w:r>
      <w:r w:rsidR="005E5C58">
        <w:rPr>
          <w:lang w:eastAsia="ja-JP"/>
        </w:rPr>
        <w:t>C</w:t>
      </w:r>
      <w:r w:rsidR="005E5C58">
        <w:rPr>
          <w:vertAlign w:val="subscript"/>
          <w:lang w:eastAsia="ja-JP"/>
        </w:rPr>
        <w:t>ss</w:t>
      </w:r>
      <w:r w:rsidRPr="00F31F9F">
        <w:rPr>
          <w:lang w:eastAsia="ja-JP"/>
        </w:rPr>
        <w:t xml:space="preserve"> values for blinatumomab at 5, 15, and 30</w:t>
      </w:r>
      <w:r w:rsidR="00375CAE">
        <w:rPr>
          <w:lang w:eastAsia="ja-JP"/>
        </w:rPr>
        <w:t xml:space="preserve"> </w:t>
      </w:r>
      <w:r w:rsidR="0018721C">
        <w:rPr>
          <w:lang w:eastAsia="ja-JP"/>
        </w:rPr>
        <w:t>µg</w:t>
      </w:r>
      <w:r w:rsidRPr="00F31F9F">
        <w:rPr>
          <w:lang w:eastAsia="ja-JP"/>
        </w:rPr>
        <w:t>/m</w:t>
      </w:r>
      <w:r w:rsidRPr="00905A7F">
        <w:rPr>
          <w:vertAlign w:val="superscript"/>
          <w:lang w:eastAsia="ja-JP"/>
        </w:rPr>
        <w:t>2</w:t>
      </w:r>
      <w:r w:rsidRPr="00F31F9F">
        <w:rPr>
          <w:lang w:eastAsia="ja-JP"/>
        </w:rPr>
        <w:t xml:space="preserve">/day were 167 (66), 553 (238), 1180 (820) pg/mL, respectively. Mean </w:t>
      </w:r>
      <w:r w:rsidR="005E5C58">
        <w:rPr>
          <w:lang w:eastAsia="ja-JP"/>
        </w:rPr>
        <w:t>C</w:t>
      </w:r>
      <w:r w:rsidR="005E5C58">
        <w:rPr>
          <w:vertAlign w:val="subscript"/>
          <w:lang w:eastAsia="ja-JP"/>
        </w:rPr>
        <w:t>ss</w:t>
      </w:r>
      <w:r w:rsidRPr="00F31F9F">
        <w:rPr>
          <w:lang w:eastAsia="ja-JP"/>
        </w:rPr>
        <w:t xml:space="preserve"> increased approximately dose proportionally. The calculated mean (SD) CL estimate was 1.34 (0.61) L/hr/m</w:t>
      </w:r>
      <w:r w:rsidRPr="00F31F9F">
        <w:rPr>
          <w:vertAlign w:val="superscript"/>
          <w:lang w:eastAsia="ja-JP"/>
        </w:rPr>
        <w:t>2</w:t>
      </w:r>
      <w:r w:rsidRPr="00F31F9F">
        <w:rPr>
          <w:lang w:eastAsia="ja-JP"/>
        </w:rPr>
        <w:t>.</w:t>
      </w:r>
    </w:p>
    <w:p w14:paraId="04F0A07A" w14:textId="2B45435A" w:rsidR="00F31F9F" w:rsidRPr="00F31F9F" w:rsidRDefault="00F31F9F" w:rsidP="00905A7F">
      <w:pPr>
        <w:pStyle w:val="Heading4"/>
      </w:pPr>
      <w:bookmarkStart w:id="70" w:name="_Ref291767719"/>
      <w:r w:rsidRPr="00F31F9F">
        <w:t>Study MT103-211</w:t>
      </w:r>
      <w:r w:rsidR="00905A7F">
        <w:t>:</w:t>
      </w:r>
      <w:r w:rsidRPr="00F31F9F">
        <w:t xml:space="preserve"> Pivotal </w:t>
      </w:r>
      <w:r w:rsidR="0018721C">
        <w:t>Phase II</w:t>
      </w:r>
      <w:r w:rsidR="00905A7F">
        <w:t xml:space="preserve"> study in s</w:t>
      </w:r>
      <w:r w:rsidRPr="00F31F9F">
        <w:t>ubjects with R/R ALL</w:t>
      </w:r>
      <w:bookmarkEnd w:id="70"/>
    </w:p>
    <w:p w14:paraId="1E49252A" w14:textId="77777777" w:rsidR="00F31F9F" w:rsidRPr="00F31F9F" w:rsidRDefault="00F31F9F" w:rsidP="00905A7F">
      <w:pPr>
        <w:pStyle w:val="Heading5"/>
        <w:rPr>
          <w:lang w:eastAsia="ja-JP"/>
        </w:rPr>
      </w:pPr>
      <w:r w:rsidRPr="00F31F9F">
        <w:rPr>
          <w:lang w:eastAsia="ja-JP"/>
        </w:rPr>
        <w:t>Study Design and Objectives</w:t>
      </w:r>
    </w:p>
    <w:p w14:paraId="7723829D" w14:textId="6101737B" w:rsidR="00F31F9F" w:rsidRPr="00F31F9F" w:rsidRDefault="00F31F9F" w:rsidP="00F31F9F">
      <w:pPr>
        <w:rPr>
          <w:lang w:eastAsia="ja-JP"/>
        </w:rPr>
      </w:pPr>
      <w:r w:rsidRPr="00F31F9F">
        <w:rPr>
          <w:lang w:eastAsia="ja-JP"/>
        </w:rPr>
        <w:t xml:space="preserve">Study MT 103-211 is an ongoing </w:t>
      </w:r>
      <w:r w:rsidR="0018721C">
        <w:rPr>
          <w:lang w:eastAsia="ja-JP"/>
        </w:rPr>
        <w:t>Phase II</w:t>
      </w:r>
      <w:r w:rsidRPr="00F31F9F">
        <w:rPr>
          <w:lang w:eastAsia="ja-JP"/>
        </w:rPr>
        <w:t xml:space="preserve">, </w:t>
      </w:r>
      <w:r w:rsidR="00070E8B">
        <w:rPr>
          <w:lang w:eastAsia="ja-JP"/>
        </w:rPr>
        <w:t>open label</w:t>
      </w:r>
      <w:r w:rsidRPr="00F31F9F">
        <w:rPr>
          <w:lang w:eastAsia="ja-JP"/>
        </w:rPr>
        <w:t xml:space="preserve">, multicentre, global, </w:t>
      </w:r>
      <w:r w:rsidR="002B779F">
        <w:rPr>
          <w:lang w:eastAsia="ja-JP"/>
        </w:rPr>
        <w:t>single arm</w:t>
      </w:r>
      <w:r w:rsidRPr="00F31F9F">
        <w:rPr>
          <w:lang w:eastAsia="ja-JP"/>
        </w:rPr>
        <w:t xml:space="preserve"> study designed to evaluate the efficacy and safety of blinatu</w:t>
      </w:r>
      <w:r w:rsidR="00905A7F">
        <w:rPr>
          <w:lang w:eastAsia="ja-JP"/>
        </w:rPr>
        <w:t xml:space="preserve">momab in adult subjects with Ph </w:t>
      </w:r>
      <w:r w:rsidRPr="00F31F9F">
        <w:rPr>
          <w:lang w:eastAsia="ja-JP"/>
        </w:rPr>
        <w:t>negative, relapsed/refractory B-precursor ALL. The primary study endpoint was the rate of CR/CRh within 2 cycles of blinatumomab treatment. Other measures of efficacy were also evaluated. The overall incidence and severity of adverse events were also assessed. In addition, the pharmacokinetic profiles of blinatumomab manufactured with 2 different processes were assessed (Process 4 and Process 5, resultin</w:t>
      </w:r>
      <w:r w:rsidR="00905A7F">
        <w:rPr>
          <w:lang w:eastAsia="ja-JP"/>
        </w:rPr>
        <w:t>g in clinical trial material 4 (CTM4)</w:t>
      </w:r>
      <w:r w:rsidRPr="00F31F9F">
        <w:rPr>
          <w:lang w:eastAsia="ja-JP"/>
        </w:rPr>
        <w:t xml:space="preserve"> and CTM5, respectively).</w:t>
      </w:r>
    </w:p>
    <w:p w14:paraId="2856B061" w14:textId="4CF8E8B9" w:rsidR="00F31F9F" w:rsidRPr="00F31F9F" w:rsidRDefault="00F31F9F" w:rsidP="00F31F9F">
      <w:pPr>
        <w:rPr>
          <w:lang w:eastAsia="ja-JP"/>
        </w:rPr>
      </w:pPr>
      <w:r w:rsidRPr="00F31F9F">
        <w:rPr>
          <w:lang w:eastAsia="ja-JP"/>
        </w:rPr>
        <w:t xml:space="preserve">A fixed dose regimen of cIV was tested in this study. An initial dose </w:t>
      </w:r>
      <w:proofErr w:type="gramStart"/>
      <w:r w:rsidRPr="00F31F9F">
        <w:rPr>
          <w:lang w:eastAsia="ja-JP"/>
        </w:rPr>
        <w:t>of 9</w:t>
      </w:r>
      <w:r w:rsidR="00375CAE">
        <w:rPr>
          <w:lang w:eastAsia="ja-JP"/>
        </w:rPr>
        <w:t xml:space="preserve"> </w:t>
      </w:r>
      <w:r w:rsidR="0018721C">
        <w:rPr>
          <w:lang w:eastAsia="ja-JP"/>
        </w:rPr>
        <w:t>µg</w:t>
      </w:r>
      <w:r w:rsidRPr="00F31F9F">
        <w:rPr>
          <w:lang w:eastAsia="ja-JP"/>
        </w:rPr>
        <w:t>/day</w:t>
      </w:r>
      <w:proofErr w:type="gramEnd"/>
      <w:r w:rsidRPr="00F31F9F">
        <w:rPr>
          <w:lang w:eastAsia="ja-JP"/>
        </w:rPr>
        <w:t xml:space="preserve"> was administered for the first 7 days, followed by a 28</w:t>
      </w:r>
      <w:r w:rsidR="00375CAE">
        <w:rPr>
          <w:lang w:eastAsia="ja-JP"/>
        </w:rPr>
        <w:t xml:space="preserve"> </w:t>
      </w:r>
      <w:r w:rsidR="0018721C">
        <w:rPr>
          <w:lang w:eastAsia="ja-JP"/>
        </w:rPr>
        <w:t>µg</w:t>
      </w:r>
      <w:r w:rsidRPr="00F31F9F">
        <w:rPr>
          <w:lang w:eastAsia="ja-JP"/>
        </w:rPr>
        <w:t xml:space="preserve">/day dose starting at </w:t>
      </w:r>
      <w:r w:rsidR="007D46D6">
        <w:rPr>
          <w:lang w:eastAsia="ja-JP"/>
        </w:rPr>
        <w:t>Week 2</w:t>
      </w:r>
      <w:r w:rsidRPr="00F31F9F">
        <w:rPr>
          <w:lang w:eastAsia="ja-JP"/>
        </w:rPr>
        <w:t xml:space="preserve"> and continuing for the remaining 3 weeks of the first cycle. There was a 2</w:t>
      </w:r>
      <w:r w:rsidR="00905A7F">
        <w:rPr>
          <w:lang w:eastAsia="ja-JP"/>
        </w:rPr>
        <w:t xml:space="preserve"> </w:t>
      </w:r>
      <w:r w:rsidRPr="00F31F9F">
        <w:rPr>
          <w:lang w:eastAsia="ja-JP"/>
        </w:rPr>
        <w:t>week drug free period between cycles. In subsequent cycles, the 28</w:t>
      </w:r>
      <w:r w:rsidR="00375CAE">
        <w:rPr>
          <w:lang w:eastAsia="ja-JP"/>
        </w:rPr>
        <w:t xml:space="preserve"> </w:t>
      </w:r>
      <w:r w:rsidR="0018721C">
        <w:rPr>
          <w:lang w:eastAsia="ja-JP"/>
        </w:rPr>
        <w:t>µg</w:t>
      </w:r>
      <w:r w:rsidRPr="00F31F9F">
        <w:rPr>
          <w:lang w:eastAsia="ja-JP"/>
        </w:rPr>
        <w:t>/day dose was administered over the 4 weeks of each cycle. Subjects who achieved CR or CRh within 2 cycles could receive up to 3 additional cycles of treatment. The 9</w:t>
      </w:r>
      <w:r w:rsidR="00905A7F">
        <w:rPr>
          <w:lang w:eastAsia="ja-JP"/>
        </w:rPr>
        <w:t> </w:t>
      </w:r>
      <w:r w:rsidR="0018721C">
        <w:rPr>
          <w:lang w:eastAsia="ja-JP"/>
        </w:rPr>
        <w:t>µg</w:t>
      </w:r>
      <w:r w:rsidRPr="00F31F9F">
        <w:rPr>
          <w:lang w:eastAsia="ja-JP"/>
        </w:rPr>
        <w:t>/day and 28</w:t>
      </w:r>
      <w:r w:rsidR="00375CAE">
        <w:rPr>
          <w:lang w:eastAsia="ja-JP"/>
        </w:rPr>
        <w:t xml:space="preserve"> </w:t>
      </w:r>
      <w:r w:rsidR="0018721C">
        <w:rPr>
          <w:lang w:eastAsia="ja-JP"/>
        </w:rPr>
        <w:t>µg</w:t>
      </w:r>
      <w:r w:rsidRPr="00F31F9F">
        <w:rPr>
          <w:lang w:eastAsia="ja-JP"/>
        </w:rPr>
        <w:t>/day doses corresponds to the 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and 15</w:t>
      </w:r>
      <w:r w:rsidR="00950181">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/day doses, respectively, that were used in prior studies.</w:t>
      </w:r>
    </w:p>
    <w:p w14:paraId="20B95015" w14:textId="77B8FF91" w:rsidR="00F31F9F" w:rsidRPr="00F31F9F" w:rsidRDefault="00F31F9F" w:rsidP="00F31F9F">
      <w:pPr>
        <w:rPr>
          <w:lang w:eastAsia="ja-JP"/>
        </w:rPr>
      </w:pPr>
      <w:r w:rsidRPr="00F31F9F">
        <w:rPr>
          <w:lang w:eastAsia="ja-JP"/>
        </w:rPr>
        <w:t xml:space="preserve">Blinatumomab serum concentrations of CTM4 and CTM5 were assessed following continuous IV infusion over 4 weeks. Mean (SD) </w:t>
      </w:r>
      <w:r w:rsidR="005E5C58">
        <w:rPr>
          <w:lang w:eastAsia="ja-JP"/>
        </w:rPr>
        <w:t>C</w:t>
      </w:r>
      <w:r w:rsidR="005E5C58">
        <w:rPr>
          <w:vertAlign w:val="subscript"/>
          <w:lang w:eastAsia="ja-JP"/>
        </w:rPr>
        <w:t>ss</w:t>
      </w:r>
      <w:r w:rsidRPr="00F31F9F">
        <w:rPr>
          <w:lang w:eastAsia="ja-JP"/>
        </w:rPr>
        <w:t xml:space="preserve"> were similar between the 2 materials in both the first and second treatment cycles (</w:t>
      </w:r>
      <w:r w:rsidR="00905A7F">
        <w:rPr>
          <w:lang w:eastAsia="ja-JP"/>
        </w:rPr>
        <w:t xml:space="preserve">see </w:t>
      </w:r>
      <w:r w:rsidRPr="00F31F9F">
        <w:rPr>
          <w:lang w:eastAsia="ja-JP"/>
        </w:rPr>
        <w:t xml:space="preserve">Table </w:t>
      </w:r>
      <w:r w:rsidR="00905A7F">
        <w:rPr>
          <w:lang w:eastAsia="ja-JP"/>
        </w:rPr>
        <w:t>5, shown below</w:t>
      </w:r>
      <w:r w:rsidRPr="00F31F9F">
        <w:rPr>
          <w:lang w:eastAsia="ja-JP"/>
        </w:rPr>
        <w:t xml:space="preserve">). Moreover, in a statistical comparison of </w:t>
      </w:r>
      <w:r w:rsidR="005E5C58">
        <w:rPr>
          <w:lang w:eastAsia="ja-JP"/>
        </w:rPr>
        <w:t>C</w:t>
      </w:r>
      <w:r w:rsidR="005E5C58">
        <w:rPr>
          <w:vertAlign w:val="subscript"/>
          <w:lang w:eastAsia="ja-JP"/>
        </w:rPr>
        <w:t>ss</w:t>
      </w:r>
      <w:r w:rsidRPr="00F31F9F">
        <w:rPr>
          <w:lang w:eastAsia="ja-JP"/>
        </w:rPr>
        <w:t xml:space="preserve"> values for CTM4 (reference) and CTM5 (test material), the ratio (test/reference) of least squares geometric mean of </w:t>
      </w:r>
      <w:r w:rsidR="005E5C58">
        <w:rPr>
          <w:lang w:eastAsia="ja-JP"/>
        </w:rPr>
        <w:t>C</w:t>
      </w:r>
      <w:r w:rsidR="005E5C58">
        <w:rPr>
          <w:vertAlign w:val="subscript"/>
          <w:lang w:eastAsia="ja-JP"/>
        </w:rPr>
        <w:t>ss</w:t>
      </w:r>
      <w:r w:rsidRPr="00F31F9F">
        <w:rPr>
          <w:lang w:eastAsia="ja-JP"/>
        </w:rPr>
        <w:t xml:space="preserve"> between CTM5 and CTM4 was 0.91 (90% CI: 0.72, 1.15) for </w:t>
      </w:r>
      <w:r w:rsidR="007D46D6">
        <w:rPr>
          <w:lang w:eastAsia="ja-JP"/>
        </w:rPr>
        <w:t>Cycle 1</w:t>
      </w:r>
      <w:r w:rsidRPr="00F31F9F">
        <w:rPr>
          <w:lang w:eastAsia="ja-JP"/>
        </w:rPr>
        <w:t xml:space="preserve"> and 1.13 (0.89, 1.42) for </w:t>
      </w:r>
      <w:r w:rsidR="007D46D6">
        <w:rPr>
          <w:lang w:eastAsia="ja-JP"/>
        </w:rPr>
        <w:t>Cycle 2</w:t>
      </w:r>
      <w:r w:rsidRPr="00F31F9F">
        <w:rPr>
          <w:lang w:eastAsia="ja-JP"/>
        </w:rPr>
        <w:t xml:space="preserve">. Body size (baseline </w:t>
      </w:r>
      <w:r w:rsidR="00905A7F">
        <w:rPr>
          <w:lang w:eastAsia="ja-JP"/>
        </w:rPr>
        <w:t>body weight, body surface area (BSA)</w:t>
      </w:r>
      <w:r w:rsidRPr="00F31F9F">
        <w:rPr>
          <w:lang w:eastAsia="ja-JP"/>
        </w:rPr>
        <w:t>) did not affect blinatumomab clearance (CL), providing further support for a fixed dose regimen.</w:t>
      </w:r>
    </w:p>
    <w:p w14:paraId="7E97FFF2" w14:textId="13F5342B" w:rsidR="00F31F9F" w:rsidRPr="00F31F9F" w:rsidRDefault="00F31F9F" w:rsidP="00905A7F">
      <w:pPr>
        <w:pStyle w:val="Tabletitle"/>
        <w:rPr>
          <w:lang w:eastAsia="ja-JP"/>
        </w:rPr>
      </w:pPr>
      <w:bookmarkStart w:id="71" w:name="_Toc292015688"/>
      <w:r w:rsidRPr="00F31F9F">
        <w:rPr>
          <w:lang w:eastAsia="ja-JP"/>
        </w:rPr>
        <w:t xml:space="preserve">Table </w:t>
      </w:r>
      <w:r w:rsidR="00586C19">
        <w:rPr>
          <w:lang w:eastAsia="ja-JP"/>
        </w:rPr>
        <w:t>5:</w:t>
      </w:r>
      <w:r w:rsidRPr="00F31F9F">
        <w:rPr>
          <w:lang w:eastAsia="ja-JP"/>
        </w:rPr>
        <w:t xml:space="preserve"> Descriptive </w:t>
      </w:r>
      <w:r w:rsidR="00905A7F" w:rsidRPr="00F31F9F">
        <w:rPr>
          <w:lang w:eastAsia="ja-JP"/>
        </w:rPr>
        <w:t>statistics of blinatumoma</w:t>
      </w:r>
      <w:r w:rsidR="00905A7F">
        <w:rPr>
          <w:lang w:eastAsia="ja-JP"/>
        </w:rPr>
        <w:t>b steady-state concentrations (</w:t>
      </w:r>
      <w:r w:rsidR="005E5C58">
        <w:rPr>
          <w:lang w:eastAsia="ja-JP"/>
        </w:rPr>
        <w:t>C</w:t>
      </w:r>
      <w:r w:rsidR="005E5C58">
        <w:rPr>
          <w:vertAlign w:val="subscript"/>
          <w:lang w:eastAsia="ja-JP"/>
        </w:rPr>
        <w:t>ss</w:t>
      </w:r>
      <w:r w:rsidR="00905A7F" w:rsidRPr="00F31F9F">
        <w:rPr>
          <w:lang w:eastAsia="ja-JP"/>
        </w:rPr>
        <w:t>) and clearance (</w:t>
      </w:r>
      <w:r w:rsidR="00905A7F">
        <w:rPr>
          <w:lang w:eastAsia="ja-JP"/>
        </w:rPr>
        <w:t>CL</w:t>
      </w:r>
      <w:r w:rsidR="00905A7F" w:rsidRPr="00F31F9F">
        <w:rPr>
          <w:lang w:eastAsia="ja-JP"/>
        </w:rPr>
        <w:t xml:space="preserve">) values following continuous </w:t>
      </w:r>
      <w:r w:rsidR="00905A7F">
        <w:rPr>
          <w:lang w:eastAsia="ja-JP"/>
        </w:rPr>
        <w:t>IV</w:t>
      </w:r>
      <w:r w:rsidR="00905A7F" w:rsidRPr="00F31F9F">
        <w:rPr>
          <w:lang w:eastAsia="ja-JP"/>
        </w:rPr>
        <w:t xml:space="preserve"> infusion of blinatumomab over 4 weeks</w:t>
      </w:r>
      <w:bookmarkEnd w:id="71"/>
    </w:p>
    <w:tbl>
      <w:tblPr>
        <w:tblStyle w:val="TableTGAblue"/>
        <w:tblW w:w="0" w:type="auto"/>
        <w:tblLook w:val="04A0" w:firstRow="1" w:lastRow="0" w:firstColumn="1" w:lastColumn="0" w:noHBand="0" w:noVBand="1"/>
        <w:tblDescription w:val="Table 5: Descriptive statistics of blinatumomab steady-state concentrations (Css) and clearance (CL) values following continuous IV infusion of blinatumomab over 4 weeks"/>
      </w:tblPr>
      <w:tblGrid>
        <w:gridCol w:w="2216"/>
        <w:gridCol w:w="2196"/>
        <w:gridCol w:w="2196"/>
        <w:gridCol w:w="2197"/>
      </w:tblGrid>
      <w:tr w:rsidR="00F31F9F" w:rsidRPr="00F31F9F" w14:paraId="0461CA08" w14:textId="77777777" w:rsidTr="00586C19">
        <w:trPr>
          <w:cnfStyle w:val="100000000000" w:firstRow="1" w:lastRow="0" w:firstColumn="0" w:lastColumn="0" w:oddVBand="0" w:evenVBand="0" w:oddHBand="0" w:evenHBand="0" w:firstRowFirstColumn="0" w:firstRowLastColumn="0" w:lastRowFirstColumn="0" w:lastRowLastColumn="0"/>
          <w:trHeight w:val="494"/>
          <w:tblHeader/>
        </w:trPr>
        <w:tc>
          <w:tcPr>
            <w:cnfStyle w:val="001000000000" w:firstRow="0" w:lastRow="0" w:firstColumn="1" w:lastColumn="0" w:oddVBand="0" w:evenVBand="0" w:oddHBand="0" w:evenHBand="0" w:firstRowFirstColumn="0" w:firstRowLastColumn="0" w:lastRowFirstColumn="0" w:lastRowLastColumn="0"/>
            <w:tcW w:w="2216" w:type="dxa"/>
          </w:tcPr>
          <w:p w14:paraId="2842F2E2" w14:textId="77777777" w:rsidR="00F31F9F" w:rsidRPr="00F31F9F" w:rsidRDefault="00F31F9F" w:rsidP="00586C19">
            <w:pPr>
              <w:ind w:left="0" w:right="0"/>
              <w:rPr>
                <w:lang w:eastAsia="ja-JP"/>
              </w:rPr>
            </w:pPr>
          </w:p>
        </w:tc>
        <w:tc>
          <w:tcPr>
            <w:tcW w:w="4392" w:type="dxa"/>
            <w:gridSpan w:val="2"/>
          </w:tcPr>
          <w:p w14:paraId="2B6C95A7" w14:textId="2670AD3D" w:rsidR="00F31F9F" w:rsidRPr="00F31F9F" w:rsidRDefault="007D46D6" w:rsidP="00586C19">
            <w:pPr>
              <w:ind w:left="0" w:right="0"/>
              <w:jc w:val="center"/>
              <w:cnfStyle w:val="100000000000" w:firstRow="1" w:lastRow="0" w:firstColumn="0" w:lastColumn="0" w:oddVBand="0" w:evenVBand="0" w:oddHBand="0" w:evenHBand="0" w:firstRowFirstColumn="0" w:firstRowLastColumn="0" w:lastRowFirstColumn="0" w:lastRowLastColumn="0"/>
              <w:rPr>
                <w:lang w:eastAsia="ja-JP"/>
              </w:rPr>
            </w:pPr>
            <w:r>
              <w:rPr>
                <w:lang w:eastAsia="ja-JP"/>
              </w:rPr>
              <w:t>Cycle 1</w:t>
            </w:r>
            <w:r w:rsidR="00F31F9F" w:rsidRPr="00F31F9F">
              <w:rPr>
                <w:lang w:eastAsia="ja-JP"/>
              </w:rPr>
              <w:t xml:space="preserve"> </w:t>
            </w:r>
            <w:r w:rsidR="005E5C58">
              <w:rPr>
                <w:lang w:eastAsia="ja-JP"/>
              </w:rPr>
              <w:t>C</w:t>
            </w:r>
            <w:r w:rsidR="005E5C58">
              <w:rPr>
                <w:vertAlign w:val="subscript"/>
                <w:lang w:eastAsia="ja-JP"/>
              </w:rPr>
              <w:t>ss</w:t>
            </w:r>
            <w:r w:rsidR="00F31F9F" w:rsidRPr="00F31F9F">
              <w:rPr>
                <w:lang w:eastAsia="ja-JP"/>
              </w:rPr>
              <w:t xml:space="preserve"> (pg/mL)</w:t>
            </w:r>
          </w:p>
        </w:tc>
        <w:tc>
          <w:tcPr>
            <w:tcW w:w="2197" w:type="dxa"/>
          </w:tcPr>
          <w:p w14:paraId="7FB6016E" w14:textId="21235F35" w:rsidR="00F31F9F" w:rsidRPr="00F31F9F" w:rsidRDefault="007D46D6" w:rsidP="00586C19">
            <w:pPr>
              <w:ind w:left="0" w:right="0"/>
              <w:cnfStyle w:val="100000000000" w:firstRow="1" w:lastRow="0" w:firstColumn="0" w:lastColumn="0" w:oddVBand="0" w:evenVBand="0" w:oddHBand="0" w:evenHBand="0" w:firstRowFirstColumn="0" w:firstRowLastColumn="0" w:lastRowFirstColumn="0" w:lastRowLastColumn="0"/>
              <w:rPr>
                <w:lang w:eastAsia="ja-JP"/>
              </w:rPr>
            </w:pPr>
            <w:r>
              <w:rPr>
                <w:lang w:eastAsia="ja-JP"/>
              </w:rPr>
              <w:t>Cycle 2</w:t>
            </w:r>
            <w:r w:rsidR="00905A7F">
              <w:rPr>
                <w:lang w:eastAsia="ja-JP"/>
              </w:rPr>
              <w:t xml:space="preserve"> </w:t>
            </w:r>
            <w:r w:rsidR="005E5C58">
              <w:rPr>
                <w:lang w:eastAsia="ja-JP"/>
              </w:rPr>
              <w:t>C</w:t>
            </w:r>
            <w:r w:rsidR="005E5C58">
              <w:rPr>
                <w:vertAlign w:val="subscript"/>
                <w:lang w:eastAsia="ja-JP"/>
              </w:rPr>
              <w:t>ss</w:t>
            </w:r>
            <w:r w:rsidR="00905A7F">
              <w:rPr>
                <w:lang w:eastAsia="ja-JP"/>
              </w:rPr>
              <w:t xml:space="preserve"> </w:t>
            </w:r>
            <w:r w:rsidR="00F31F9F" w:rsidRPr="00F31F9F">
              <w:rPr>
                <w:lang w:eastAsia="ja-JP"/>
              </w:rPr>
              <w:t>(pg/mL)</w:t>
            </w:r>
          </w:p>
        </w:tc>
      </w:tr>
      <w:tr w:rsidR="00F31F9F" w:rsidRPr="00F31F9F" w14:paraId="71E8E527"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36904C21" w14:textId="77777777" w:rsidR="00F31F9F" w:rsidRPr="00F31F9F" w:rsidRDefault="00F31F9F" w:rsidP="00586C19">
            <w:pPr>
              <w:ind w:left="0" w:right="0"/>
              <w:rPr>
                <w:lang w:eastAsia="ja-JP"/>
              </w:rPr>
            </w:pPr>
            <w:r w:rsidRPr="00F31F9F">
              <w:rPr>
                <w:lang w:eastAsia="ja-JP"/>
              </w:rPr>
              <w:t>Dose</w:t>
            </w:r>
          </w:p>
        </w:tc>
        <w:tc>
          <w:tcPr>
            <w:tcW w:w="2196" w:type="dxa"/>
          </w:tcPr>
          <w:p w14:paraId="58C562CE" w14:textId="5C318300"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9</w:t>
            </w:r>
            <w:r w:rsidR="00375CAE">
              <w:rPr>
                <w:lang w:eastAsia="ja-JP"/>
              </w:rPr>
              <w:t xml:space="preserve"> </w:t>
            </w:r>
            <w:r w:rsidR="0018721C">
              <w:rPr>
                <w:lang w:eastAsia="ja-JP"/>
              </w:rPr>
              <w:t>µg</w:t>
            </w:r>
            <w:r w:rsidRPr="00F31F9F">
              <w:rPr>
                <w:lang w:eastAsia="ja-JP"/>
              </w:rPr>
              <w:t>/day</w:t>
            </w:r>
          </w:p>
        </w:tc>
        <w:tc>
          <w:tcPr>
            <w:tcW w:w="2196" w:type="dxa"/>
          </w:tcPr>
          <w:p w14:paraId="276C6A5B" w14:textId="0642A729"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28</w:t>
            </w:r>
            <w:r w:rsidR="00375CAE">
              <w:rPr>
                <w:lang w:eastAsia="ja-JP"/>
              </w:rPr>
              <w:t xml:space="preserve"> </w:t>
            </w:r>
            <w:r w:rsidR="0018721C">
              <w:rPr>
                <w:lang w:eastAsia="ja-JP"/>
              </w:rPr>
              <w:t>µg</w:t>
            </w:r>
            <w:r w:rsidRPr="00F31F9F">
              <w:rPr>
                <w:lang w:eastAsia="ja-JP"/>
              </w:rPr>
              <w:t>/day</w:t>
            </w:r>
          </w:p>
        </w:tc>
        <w:tc>
          <w:tcPr>
            <w:tcW w:w="2197" w:type="dxa"/>
          </w:tcPr>
          <w:p w14:paraId="0538DFA8" w14:textId="72E644BC"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28</w:t>
            </w:r>
            <w:r w:rsidR="00375CAE">
              <w:rPr>
                <w:lang w:eastAsia="ja-JP"/>
              </w:rPr>
              <w:t xml:space="preserve"> </w:t>
            </w:r>
            <w:r w:rsidR="0018721C">
              <w:rPr>
                <w:lang w:eastAsia="ja-JP"/>
              </w:rPr>
              <w:t>µg</w:t>
            </w:r>
            <w:r w:rsidRPr="00F31F9F">
              <w:rPr>
                <w:lang w:eastAsia="ja-JP"/>
              </w:rPr>
              <w:t>/day</w:t>
            </w:r>
          </w:p>
        </w:tc>
      </w:tr>
      <w:tr w:rsidR="00586C19" w:rsidRPr="00F31F9F" w14:paraId="36358C0A" w14:textId="77777777" w:rsidTr="007D6F35">
        <w:trPr>
          <w:trHeight w:val="494"/>
        </w:trPr>
        <w:tc>
          <w:tcPr>
            <w:cnfStyle w:val="001000000000" w:firstRow="0" w:lastRow="0" w:firstColumn="1" w:lastColumn="0" w:oddVBand="0" w:evenVBand="0" w:oddHBand="0" w:evenHBand="0" w:firstRowFirstColumn="0" w:firstRowLastColumn="0" w:lastRowFirstColumn="0" w:lastRowLastColumn="0"/>
            <w:tcW w:w="8805" w:type="dxa"/>
            <w:gridSpan w:val="4"/>
          </w:tcPr>
          <w:p w14:paraId="4611DC19" w14:textId="6D342A87" w:rsidR="00586C19" w:rsidRPr="00586C19" w:rsidRDefault="00586C19" w:rsidP="00586C19">
            <w:pPr>
              <w:ind w:left="0" w:right="0"/>
              <w:rPr>
                <w:b/>
                <w:lang w:eastAsia="ja-JP"/>
              </w:rPr>
            </w:pPr>
            <w:r w:rsidRPr="00586C19">
              <w:rPr>
                <w:b/>
                <w:lang w:eastAsia="ja-JP"/>
              </w:rPr>
              <w:t>CTM4</w:t>
            </w:r>
          </w:p>
        </w:tc>
      </w:tr>
      <w:tr w:rsidR="00F31F9F" w:rsidRPr="00F31F9F" w14:paraId="7CE02799"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3F4A371F" w14:textId="77777777" w:rsidR="00F31F9F" w:rsidRPr="00F31F9F" w:rsidRDefault="00F31F9F" w:rsidP="00586C19">
            <w:pPr>
              <w:ind w:left="0" w:right="0"/>
              <w:rPr>
                <w:lang w:eastAsia="ja-JP"/>
              </w:rPr>
            </w:pPr>
            <w:r w:rsidRPr="00F31F9F">
              <w:rPr>
                <w:lang w:eastAsia="ja-JP"/>
              </w:rPr>
              <w:t>N</w:t>
            </w:r>
          </w:p>
        </w:tc>
        <w:tc>
          <w:tcPr>
            <w:tcW w:w="2196" w:type="dxa"/>
          </w:tcPr>
          <w:p w14:paraId="1D3171C9"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89</w:t>
            </w:r>
          </w:p>
        </w:tc>
        <w:tc>
          <w:tcPr>
            <w:tcW w:w="2196" w:type="dxa"/>
          </w:tcPr>
          <w:p w14:paraId="0CE6F77A"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113</w:t>
            </w:r>
          </w:p>
        </w:tc>
        <w:tc>
          <w:tcPr>
            <w:tcW w:w="2197" w:type="dxa"/>
          </w:tcPr>
          <w:p w14:paraId="13B0B36D"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56</w:t>
            </w:r>
          </w:p>
        </w:tc>
      </w:tr>
      <w:tr w:rsidR="00F31F9F" w:rsidRPr="00F31F9F" w14:paraId="11F69AF7"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3E5C11F7" w14:textId="77777777" w:rsidR="00F31F9F" w:rsidRPr="00F31F9F" w:rsidRDefault="00F31F9F" w:rsidP="00586C19">
            <w:pPr>
              <w:ind w:left="0" w:right="0"/>
              <w:rPr>
                <w:lang w:eastAsia="ja-JP"/>
              </w:rPr>
            </w:pPr>
            <w:r w:rsidRPr="00F31F9F">
              <w:rPr>
                <w:lang w:eastAsia="ja-JP"/>
              </w:rPr>
              <w:t>Mean</w:t>
            </w:r>
          </w:p>
        </w:tc>
        <w:tc>
          <w:tcPr>
            <w:tcW w:w="2196" w:type="dxa"/>
          </w:tcPr>
          <w:p w14:paraId="6D2A1475"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198</w:t>
            </w:r>
          </w:p>
        </w:tc>
        <w:tc>
          <w:tcPr>
            <w:tcW w:w="2196" w:type="dxa"/>
          </w:tcPr>
          <w:p w14:paraId="025FC3A5"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640</w:t>
            </w:r>
          </w:p>
        </w:tc>
        <w:tc>
          <w:tcPr>
            <w:tcW w:w="2197" w:type="dxa"/>
          </w:tcPr>
          <w:p w14:paraId="2EE13D3A"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709</w:t>
            </w:r>
          </w:p>
        </w:tc>
      </w:tr>
      <w:tr w:rsidR="00F31F9F" w:rsidRPr="00F31F9F" w14:paraId="62209DE3"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3CA3A563" w14:textId="77777777" w:rsidR="00F31F9F" w:rsidRPr="00F31F9F" w:rsidRDefault="00F31F9F" w:rsidP="00586C19">
            <w:pPr>
              <w:ind w:left="0" w:right="0"/>
              <w:rPr>
                <w:lang w:eastAsia="ja-JP"/>
              </w:rPr>
            </w:pPr>
            <w:r w:rsidRPr="00F31F9F">
              <w:rPr>
                <w:lang w:eastAsia="ja-JP"/>
              </w:rPr>
              <w:t>SD</w:t>
            </w:r>
          </w:p>
        </w:tc>
        <w:tc>
          <w:tcPr>
            <w:tcW w:w="2196" w:type="dxa"/>
          </w:tcPr>
          <w:p w14:paraId="6D0C8E85"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202</w:t>
            </w:r>
          </w:p>
        </w:tc>
        <w:tc>
          <w:tcPr>
            <w:tcW w:w="2196" w:type="dxa"/>
          </w:tcPr>
          <w:p w14:paraId="15C47011"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535</w:t>
            </w:r>
          </w:p>
        </w:tc>
        <w:tc>
          <w:tcPr>
            <w:tcW w:w="2197" w:type="dxa"/>
          </w:tcPr>
          <w:p w14:paraId="2C0BF772"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458</w:t>
            </w:r>
          </w:p>
        </w:tc>
      </w:tr>
      <w:tr w:rsidR="00F31F9F" w:rsidRPr="00F31F9F" w14:paraId="41E62F9E" w14:textId="77777777" w:rsidTr="00586C19">
        <w:trPr>
          <w:trHeight w:val="483"/>
        </w:trPr>
        <w:tc>
          <w:tcPr>
            <w:cnfStyle w:val="001000000000" w:firstRow="0" w:lastRow="0" w:firstColumn="1" w:lastColumn="0" w:oddVBand="0" w:evenVBand="0" w:oddHBand="0" w:evenHBand="0" w:firstRowFirstColumn="0" w:firstRowLastColumn="0" w:lastRowFirstColumn="0" w:lastRowLastColumn="0"/>
            <w:tcW w:w="2216" w:type="dxa"/>
          </w:tcPr>
          <w:p w14:paraId="185606A0" w14:textId="77777777" w:rsidR="00F31F9F" w:rsidRPr="00F31F9F" w:rsidRDefault="00F31F9F" w:rsidP="00586C19">
            <w:pPr>
              <w:ind w:left="0" w:right="0"/>
              <w:rPr>
                <w:lang w:eastAsia="ja-JP"/>
              </w:rPr>
            </w:pPr>
            <w:r w:rsidRPr="00F31F9F">
              <w:rPr>
                <w:lang w:eastAsia="ja-JP"/>
              </w:rPr>
              <w:t>Min</w:t>
            </w:r>
          </w:p>
        </w:tc>
        <w:tc>
          <w:tcPr>
            <w:tcW w:w="2196" w:type="dxa"/>
          </w:tcPr>
          <w:p w14:paraId="3748F6F3"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51.0</w:t>
            </w:r>
          </w:p>
        </w:tc>
        <w:tc>
          <w:tcPr>
            <w:tcW w:w="2196" w:type="dxa"/>
          </w:tcPr>
          <w:p w14:paraId="0536A56B"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66.0</w:t>
            </w:r>
          </w:p>
        </w:tc>
        <w:tc>
          <w:tcPr>
            <w:tcW w:w="2197" w:type="dxa"/>
          </w:tcPr>
          <w:p w14:paraId="1C74A4E2"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79.0</w:t>
            </w:r>
          </w:p>
        </w:tc>
      </w:tr>
      <w:tr w:rsidR="00F31F9F" w:rsidRPr="00F31F9F" w14:paraId="6724747B"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36BD9F1C" w14:textId="77777777" w:rsidR="00F31F9F" w:rsidRPr="00F31F9F" w:rsidRDefault="00F31F9F" w:rsidP="00586C19">
            <w:pPr>
              <w:ind w:left="0" w:right="0"/>
              <w:rPr>
                <w:lang w:eastAsia="ja-JP"/>
              </w:rPr>
            </w:pPr>
            <w:r w:rsidRPr="00F31F9F">
              <w:rPr>
                <w:lang w:eastAsia="ja-JP"/>
              </w:rPr>
              <w:t>Median</w:t>
            </w:r>
          </w:p>
        </w:tc>
        <w:tc>
          <w:tcPr>
            <w:tcW w:w="2196" w:type="dxa"/>
          </w:tcPr>
          <w:p w14:paraId="238DBF6E"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124</w:t>
            </w:r>
          </w:p>
        </w:tc>
        <w:tc>
          <w:tcPr>
            <w:tcW w:w="2196" w:type="dxa"/>
          </w:tcPr>
          <w:p w14:paraId="0FF592AA"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503</w:t>
            </w:r>
          </w:p>
        </w:tc>
        <w:tc>
          <w:tcPr>
            <w:tcW w:w="2197" w:type="dxa"/>
          </w:tcPr>
          <w:p w14:paraId="5B0843F8"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634</w:t>
            </w:r>
          </w:p>
        </w:tc>
      </w:tr>
      <w:tr w:rsidR="00F31F9F" w:rsidRPr="00F31F9F" w14:paraId="57019B25"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7C958864" w14:textId="77777777" w:rsidR="00F31F9F" w:rsidRPr="00F31F9F" w:rsidRDefault="00F31F9F" w:rsidP="00586C19">
            <w:pPr>
              <w:ind w:left="0" w:right="0"/>
              <w:rPr>
                <w:lang w:eastAsia="ja-JP"/>
              </w:rPr>
            </w:pPr>
            <w:r w:rsidRPr="00F31F9F">
              <w:rPr>
                <w:lang w:eastAsia="ja-JP"/>
              </w:rPr>
              <w:t>Max</w:t>
            </w:r>
          </w:p>
        </w:tc>
        <w:tc>
          <w:tcPr>
            <w:tcW w:w="2196" w:type="dxa"/>
          </w:tcPr>
          <w:p w14:paraId="0F9E723F"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991</w:t>
            </w:r>
          </w:p>
        </w:tc>
        <w:tc>
          <w:tcPr>
            <w:tcW w:w="2196" w:type="dxa"/>
          </w:tcPr>
          <w:p w14:paraId="4C918F90"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2850</w:t>
            </w:r>
          </w:p>
        </w:tc>
        <w:tc>
          <w:tcPr>
            <w:tcW w:w="2197" w:type="dxa"/>
          </w:tcPr>
          <w:p w14:paraId="073D5564"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2760</w:t>
            </w:r>
          </w:p>
        </w:tc>
      </w:tr>
      <w:tr w:rsidR="00F31F9F" w:rsidRPr="00F31F9F" w14:paraId="3F90C6B2"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73A9AEA8" w14:textId="77777777" w:rsidR="00F31F9F" w:rsidRPr="00F31F9F" w:rsidRDefault="00F31F9F" w:rsidP="00586C19">
            <w:pPr>
              <w:ind w:left="0" w:right="0"/>
              <w:rPr>
                <w:lang w:eastAsia="ja-JP"/>
              </w:rPr>
            </w:pPr>
            <w:r w:rsidRPr="00F31F9F">
              <w:rPr>
                <w:lang w:eastAsia="ja-JP"/>
              </w:rPr>
              <w:t>Geometric Mean</w:t>
            </w:r>
          </w:p>
        </w:tc>
        <w:tc>
          <w:tcPr>
            <w:tcW w:w="2196" w:type="dxa"/>
          </w:tcPr>
          <w:p w14:paraId="4F9E6987"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143</w:t>
            </w:r>
          </w:p>
        </w:tc>
        <w:tc>
          <w:tcPr>
            <w:tcW w:w="2196" w:type="dxa"/>
          </w:tcPr>
          <w:p w14:paraId="0B433BAF"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476</w:t>
            </w:r>
          </w:p>
        </w:tc>
        <w:tc>
          <w:tcPr>
            <w:tcW w:w="2197" w:type="dxa"/>
          </w:tcPr>
          <w:p w14:paraId="2D5561AC"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585</w:t>
            </w:r>
          </w:p>
        </w:tc>
      </w:tr>
      <w:tr w:rsidR="00F31F9F" w:rsidRPr="00F31F9F" w14:paraId="31C8E11A" w14:textId="77777777" w:rsidTr="00586C19">
        <w:trPr>
          <w:trHeight w:val="759"/>
        </w:trPr>
        <w:tc>
          <w:tcPr>
            <w:cnfStyle w:val="001000000000" w:firstRow="0" w:lastRow="0" w:firstColumn="1" w:lastColumn="0" w:oddVBand="0" w:evenVBand="0" w:oddHBand="0" w:evenHBand="0" w:firstRowFirstColumn="0" w:firstRowLastColumn="0" w:lastRowFirstColumn="0" w:lastRowLastColumn="0"/>
            <w:tcW w:w="2216" w:type="dxa"/>
          </w:tcPr>
          <w:p w14:paraId="302371E2" w14:textId="77777777" w:rsidR="00F31F9F" w:rsidRPr="00F31F9F" w:rsidRDefault="00F31F9F" w:rsidP="00586C19">
            <w:pPr>
              <w:ind w:left="0" w:right="0"/>
              <w:rPr>
                <w:lang w:eastAsia="ja-JP"/>
              </w:rPr>
            </w:pPr>
            <w:r w:rsidRPr="00F31F9F">
              <w:rPr>
                <w:lang w:eastAsia="ja-JP"/>
              </w:rPr>
              <w:t>Geometric Mean CV%</w:t>
            </w:r>
          </w:p>
        </w:tc>
        <w:tc>
          <w:tcPr>
            <w:tcW w:w="2196" w:type="dxa"/>
          </w:tcPr>
          <w:p w14:paraId="5AD4AF0F"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84.4</w:t>
            </w:r>
          </w:p>
        </w:tc>
        <w:tc>
          <w:tcPr>
            <w:tcW w:w="2196" w:type="dxa"/>
          </w:tcPr>
          <w:p w14:paraId="2C4CC8FD"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95.8</w:t>
            </w:r>
          </w:p>
        </w:tc>
        <w:tc>
          <w:tcPr>
            <w:tcW w:w="2197" w:type="dxa"/>
          </w:tcPr>
          <w:p w14:paraId="18C75307"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73.4</w:t>
            </w:r>
          </w:p>
        </w:tc>
      </w:tr>
      <w:tr w:rsidR="00586C19" w:rsidRPr="00F31F9F" w14:paraId="744B5352" w14:textId="77777777" w:rsidTr="007D6F35">
        <w:trPr>
          <w:trHeight w:val="494"/>
        </w:trPr>
        <w:tc>
          <w:tcPr>
            <w:cnfStyle w:val="001000000000" w:firstRow="0" w:lastRow="0" w:firstColumn="1" w:lastColumn="0" w:oddVBand="0" w:evenVBand="0" w:oddHBand="0" w:evenHBand="0" w:firstRowFirstColumn="0" w:firstRowLastColumn="0" w:lastRowFirstColumn="0" w:lastRowLastColumn="0"/>
            <w:tcW w:w="8805" w:type="dxa"/>
            <w:gridSpan w:val="4"/>
          </w:tcPr>
          <w:p w14:paraId="69C98DA1" w14:textId="1CEE9876" w:rsidR="00586C19" w:rsidRPr="00586C19" w:rsidRDefault="00586C19" w:rsidP="00586C19">
            <w:pPr>
              <w:ind w:left="0" w:right="0"/>
              <w:rPr>
                <w:b/>
                <w:lang w:eastAsia="ja-JP"/>
              </w:rPr>
            </w:pPr>
            <w:r w:rsidRPr="00586C19">
              <w:rPr>
                <w:b/>
                <w:lang w:eastAsia="ja-JP"/>
              </w:rPr>
              <w:t>CTM5</w:t>
            </w:r>
          </w:p>
        </w:tc>
      </w:tr>
      <w:tr w:rsidR="00F31F9F" w:rsidRPr="00F31F9F" w14:paraId="3DA21306"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08C857F8" w14:textId="77777777" w:rsidR="00F31F9F" w:rsidRPr="00F31F9F" w:rsidRDefault="00F31F9F" w:rsidP="00586C19">
            <w:pPr>
              <w:ind w:left="0" w:right="0"/>
              <w:rPr>
                <w:lang w:eastAsia="ja-JP"/>
              </w:rPr>
            </w:pPr>
            <w:r w:rsidRPr="00F31F9F">
              <w:rPr>
                <w:lang w:eastAsia="ja-JP"/>
              </w:rPr>
              <w:t>N</w:t>
            </w:r>
          </w:p>
        </w:tc>
        <w:tc>
          <w:tcPr>
            <w:tcW w:w="2196" w:type="dxa"/>
          </w:tcPr>
          <w:p w14:paraId="08E37D38"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43</w:t>
            </w:r>
          </w:p>
        </w:tc>
        <w:tc>
          <w:tcPr>
            <w:tcW w:w="2196" w:type="dxa"/>
          </w:tcPr>
          <w:p w14:paraId="1A4782B2"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47</w:t>
            </w:r>
          </w:p>
        </w:tc>
        <w:tc>
          <w:tcPr>
            <w:tcW w:w="2197" w:type="dxa"/>
          </w:tcPr>
          <w:p w14:paraId="446DA6BA"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32</w:t>
            </w:r>
          </w:p>
        </w:tc>
      </w:tr>
      <w:tr w:rsidR="00F31F9F" w:rsidRPr="00F31F9F" w14:paraId="72166FB5"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0DC0A4C6" w14:textId="77777777" w:rsidR="00F31F9F" w:rsidRPr="00F31F9F" w:rsidRDefault="00F31F9F" w:rsidP="00586C19">
            <w:pPr>
              <w:ind w:left="0" w:right="0"/>
              <w:rPr>
                <w:lang w:eastAsia="ja-JP"/>
              </w:rPr>
            </w:pPr>
            <w:r w:rsidRPr="00F31F9F">
              <w:rPr>
                <w:lang w:eastAsia="ja-JP"/>
              </w:rPr>
              <w:t>Mean</w:t>
            </w:r>
          </w:p>
        </w:tc>
        <w:tc>
          <w:tcPr>
            <w:tcW w:w="2196" w:type="dxa"/>
          </w:tcPr>
          <w:p w14:paraId="327E005F"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238</w:t>
            </w:r>
          </w:p>
        </w:tc>
        <w:tc>
          <w:tcPr>
            <w:tcW w:w="2196" w:type="dxa"/>
          </w:tcPr>
          <w:p w14:paraId="26E0F815"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575</w:t>
            </w:r>
          </w:p>
        </w:tc>
        <w:tc>
          <w:tcPr>
            <w:tcW w:w="2197" w:type="dxa"/>
          </w:tcPr>
          <w:p w14:paraId="1F9A009E"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771</w:t>
            </w:r>
          </w:p>
        </w:tc>
      </w:tr>
      <w:tr w:rsidR="00F31F9F" w:rsidRPr="00F31F9F" w14:paraId="228FE3EF"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61C86970" w14:textId="77777777" w:rsidR="00F31F9F" w:rsidRPr="00F31F9F" w:rsidRDefault="00F31F9F" w:rsidP="00586C19">
            <w:pPr>
              <w:ind w:left="0" w:right="0"/>
              <w:rPr>
                <w:lang w:eastAsia="ja-JP"/>
              </w:rPr>
            </w:pPr>
            <w:r w:rsidRPr="00F31F9F">
              <w:rPr>
                <w:lang w:eastAsia="ja-JP"/>
              </w:rPr>
              <w:t>SD</w:t>
            </w:r>
          </w:p>
        </w:tc>
        <w:tc>
          <w:tcPr>
            <w:tcW w:w="2196" w:type="dxa"/>
          </w:tcPr>
          <w:p w14:paraId="6081E319"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346</w:t>
            </w:r>
          </w:p>
        </w:tc>
        <w:tc>
          <w:tcPr>
            <w:tcW w:w="2196" w:type="dxa"/>
          </w:tcPr>
          <w:p w14:paraId="71F2281F"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414</w:t>
            </w:r>
          </w:p>
        </w:tc>
        <w:tc>
          <w:tcPr>
            <w:tcW w:w="2197" w:type="dxa"/>
          </w:tcPr>
          <w:p w14:paraId="71FA18A2"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423</w:t>
            </w:r>
          </w:p>
        </w:tc>
      </w:tr>
      <w:tr w:rsidR="00F31F9F" w:rsidRPr="00F31F9F" w14:paraId="2B839834" w14:textId="77777777" w:rsidTr="00586C19">
        <w:trPr>
          <w:trHeight w:val="483"/>
        </w:trPr>
        <w:tc>
          <w:tcPr>
            <w:cnfStyle w:val="001000000000" w:firstRow="0" w:lastRow="0" w:firstColumn="1" w:lastColumn="0" w:oddVBand="0" w:evenVBand="0" w:oddHBand="0" w:evenHBand="0" w:firstRowFirstColumn="0" w:firstRowLastColumn="0" w:lastRowFirstColumn="0" w:lastRowLastColumn="0"/>
            <w:tcW w:w="2216" w:type="dxa"/>
          </w:tcPr>
          <w:p w14:paraId="0527FCA7" w14:textId="77777777" w:rsidR="00F31F9F" w:rsidRPr="00F31F9F" w:rsidRDefault="00F31F9F" w:rsidP="00586C19">
            <w:pPr>
              <w:ind w:left="0" w:right="0"/>
              <w:rPr>
                <w:lang w:eastAsia="ja-JP"/>
              </w:rPr>
            </w:pPr>
            <w:r w:rsidRPr="00F31F9F">
              <w:rPr>
                <w:lang w:eastAsia="ja-JP"/>
              </w:rPr>
              <w:t>Min</w:t>
            </w:r>
          </w:p>
        </w:tc>
        <w:tc>
          <w:tcPr>
            <w:tcW w:w="2196" w:type="dxa"/>
          </w:tcPr>
          <w:p w14:paraId="6A144850"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54.0</w:t>
            </w:r>
          </w:p>
        </w:tc>
        <w:tc>
          <w:tcPr>
            <w:tcW w:w="2196" w:type="dxa"/>
          </w:tcPr>
          <w:p w14:paraId="2727275D"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57.0</w:t>
            </w:r>
          </w:p>
        </w:tc>
        <w:tc>
          <w:tcPr>
            <w:tcW w:w="2197" w:type="dxa"/>
          </w:tcPr>
          <w:p w14:paraId="241DEFC2"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159</w:t>
            </w:r>
          </w:p>
        </w:tc>
      </w:tr>
      <w:tr w:rsidR="00F31F9F" w:rsidRPr="00F31F9F" w14:paraId="4EA38BB9"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7272DB9A" w14:textId="77777777" w:rsidR="00F31F9F" w:rsidRPr="00F31F9F" w:rsidRDefault="00F31F9F" w:rsidP="00586C19">
            <w:pPr>
              <w:ind w:left="0" w:right="0"/>
              <w:rPr>
                <w:lang w:eastAsia="ja-JP"/>
              </w:rPr>
            </w:pPr>
            <w:r w:rsidRPr="00F31F9F">
              <w:rPr>
                <w:lang w:eastAsia="ja-JP"/>
              </w:rPr>
              <w:t>Median</w:t>
            </w:r>
          </w:p>
        </w:tc>
        <w:tc>
          <w:tcPr>
            <w:tcW w:w="2196" w:type="dxa"/>
          </w:tcPr>
          <w:p w14:paraId="3B5FA58C"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137</w:t>
            </w:r>
          </w:p>
        </w:tc>
        <w:tc>
          <w:tcPr>
            <w:tcW w:w="2196" w:type="dxa"/>
          </w:tcPr>
          <w:p w14:paraId="5F5EB669"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475</w:t>
            </w:r>
          </w:p>
        </w:tc>
        <w:tc>
          <w:tcPr>
            <w:tcW w:w="2197" w:type="dxa"/>
          </w:tcPr>
          <w:p w14:paraId="4F88D015"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648</w:t>
            </w:r>
          </w:p>
        </w:tc>
      </w:tr>
      <w:tr w:rsidR="00F31F9F" w:rsidRPr="00F31F9F" w14:paraId="0E013FAC"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733406BB" w14:textId="77777777" w:rsidR="00F31F9F" w:rsidRPr="00F31F9F" w:rsidRDefault="00F31F9F" w:rsidP="00586C19">
            <w:pPr>
              <w:ind w:left="0" w:right="0"/>
              <w:rPr>
                <w:lang w:eastAsia="ja-JP"/>
              </w:rPr>
            </w:pPr>
            <w:r w:rsidRPr="00F31F9F">
              <w:rPr>
                <w:lang w:eastAsia="ja-JP"/>
              </w:rPr>
              <w:t>Max</w:t>
            </w:r>
          </w:p>
        </w:tc>
        <w:tc>
          <w:tcPr>
            <w:tcW w:w="2196" w:type="dxa"/>
          </w:tcPr>
          <w:p w14:paraId="2DF31B90"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1780</w:t>
            </w:r>
          </w:p>
        </w:tc>
        <w:tc>
          <w:tcPr>
            <w:tcW w:w="2196" w:type="dxa"/>
          </w:tcPr>
          <w:p w14:paraId="62751EE1"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2130</w:t>
            </w:r>
          </w:p>
        </w:tc>
        <w:tc>
          <w:tcPr>
            <w:tcW w:w="2197" w:type="dxa"/>
          </w:tcPr>
          <w:p w14:paraId="422E8716"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1670</w:t>
            </w:r>
          </w:p>
        </w:tc>
      </w:tr>
      <w:tr w:rsidR="00F31F9F" w:rsidRPr="00F31F9F" w14:paraId="793055AB" w14:textId="77777777" w:rsidTr="00586C19">
        <w:trPr>
          <w:trHeight w:val="494"/>
        </w:trPr>
        <w:tc>
          <w:tcPr>
            <w:cnfStyle w:val="001000000000" w:firstRow="0" w:lastRow="0" w:firstColumn="1" w:lastColumn="0" w:oddVBand="0" w:evenVBand="0" w:oddHBand="0" w:evenHBand="0" w:firstRowFirstColumn="0" w:firstRowLastColumn="0" w:lastRowFirstColumn="0" w:lastRowLastColumn="0"/>
            <w:tcW w:w="2216" w:type="dxa"/>
          </w:tcPr>
          <w:p w14:paraId="60F45371" w14:textId="77777777" w:rsidR="00F31F9F" w:rsidRPr="00F31F9F" w:rsidRDefault="00F31F9F" w:rsidP="00586C19">
            <w:pPr>
              <w:ind w:left="0" w:right="0"/>
              <w:rPr>
                <w:lang w:eastAsia="ja-JP"/>
              </w:rPr>
            </w:pPr>
            <w:r w:rsidRPr="00F31F9F">
              <w:rPr>
                <w:lang w:eastAsia="ja-JP"/>
              </w:rPr>
              <w:t>Geometric Mean</w:t>
            </w:r>
          </w:p>
        </w:tc>
        <w:tc>
          <w:tcPr>
            <w:tcW w:w="2196" w:type="dxa"/>
          </w:tcPr>
          <w:p w14:paraId="18320B77"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154</w:t>
            </w:r>
          </w:p>
        </w:tc>
        <w:tc>
          <w:tcPr>
            <w:tcW w:w="2196" w:type="dxa"/>
          </w:tcPr>
          <w:p w14:paraId="52EE9FE8"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431</w:t>
            </w:r>
          </w:p>
        </w:tc>
        <w:tc>
          <w:tcPr>
            <w:tcW w:w="2197" w:type="dxa"/>
          </w:tcPr>
          <w:p w14:paraId="277972A8"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659</w:t>
            </w:r>
          </w:p>
        </w:tc>
      </w:tr>
      <w:tr w:rsidR="00F31F9F" w:rsidRPr="00F31F9F" w14:paraId="52FB685C" w14:textId="77777777" w:rsidTr="00586C19">
        <w:trPr>
          <w:trHeight w:val="759"/>
        </w:trPr>
        <w:tc>
          <w:tcPr>
            <w:cnfStyle w:val="001000000000" w:firstRow="0" w:lastRow="0" w:firstColumn="1" w:lastColumn="0" w:oddVBand="0" w:evenVBand="0" w:oddHBand="0" w:evenHBand="0" w:firstRowFirstColumn="0" w:firstRowLastColumn="0" w:lastRowFirstColumn="0" w:lastRowLastColumn="0"/>
            <w:tcW w:w="2216" w:type="dxa"/>
          </w:tcPr>
          <w:p w14:paraId="4E537BA1" w14:textId="77777777" w:rsidR="00F31F9F" w:rsidRPr="00F31F9F" w:rsidRDefault="00F31F9F" w:rsidP="00586C19">
            <w:pPr>
              <w:ind w:left="0" w:right="0"/>
              <w:rPr>
                <w:lang w:eastAsia="ja-JP"/>
              </w:rPr>
            </w:pPr>
            <w:r w:rsidRPr="00F31F9F">
              <w:rPr>
                <w:lang w:eastAsia="ja-JP"/>
              </w:rPr>
              <w:t>Geometric Mean CV%</w:t>
            </w:r>
          </w:p>
        </w:tc>
        <w:tc>
          <w:tcPr>
            <w:tcW w:w="2196" w:type="dxa"/>
          </w:tcPr>
          <w:p w14:paraId="73BAA8BA"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92.5</w:t>
            </w:r>
          </w:p>
        </w:tc>
        <w:tc>
          <w:tcPr>
            <w:tcW w:w="2196" w:type="dxa"/>
          </w:tcPr>
          <w:p w14:paraId="5AE7CE39"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101.7</w:t>
            </w:r>
          </w:p>
        </w:tc>
        <w:tc>
          <w:tcPr>
            <w:tcW w:w="2197" w:type="dxa"/>
          </w:tcPr>
          <w:p w14:paraId="09DF34DB" w14:textId="77777777" w:rsidR="00F31F9F" w:rsidRPr="00F31F9F" w:rsidRDefault="00F31F9F" w:rsidP="00586C1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65.4</w:t>
            </w:r>
          </w:p>
        </w:tc>
      </w:tr>
    </w:tbl>
    <w:p w14:paraId="11DF711C" w14:textId="2E007C23" w:rsidR="00F31F9F" w:rsidRPr="00F31F9F" w:rsidRDefault="005E5C58" w:rsidP="00117AA2">
      <w:pPr>
        <w:pStyle w:val="TableDescription"/>
        <w:rPr>
          <w:lang w:eastAsia="ja-JP"/>
        </w:rPr>
      </w:pPr>
      <w:r>
        <w:rPr>
          <w:lang w:eastAsia="ja-JP"/>
        </w:rPr>
        <w:t>C</w:t>
      </w:r>
      <w:r>
        <w:rPr>
          <w:vertAlign w:val="subscript"/>
          <w:lang w:eastAsia="ja-JP"/>
        </w:rPr>
        <w:t>ss</w:t>
      </w:r>
      <w:r w:rsidR="00375CAE">
        <w:rPr>
          <w:lang w:eastAsia="ja-JP"/>
        </w:rPr>
        <w:t xml:space="preserve"> </w:t>
      </w:r>
      <w:r w:rsidR="00423768">
        <w:rPr>
          <w:lang w:eastAsia="ja-JP"/>
        </w:rPr>
        <w:t>=</w:t>
      </w:r>
      <w:r w:rsidR="00375CAE">
        <w:rPr>
          <w:lang w:eastAsia="ja-JP"/>
        </w:rPr>
        <w:t xml:space="preserve"> </w:t>
      </w:r>
      <w:r w:rsidR="00F31F9F" w:rsidRPr="00F31F9F">
        <w:rPr>
          <w:lang w:eastAsia="ja-JP"/>
        </w:rPr>
        <w:t>steady state concentration; CTM4</w:t>
      </w:r>
      <w:r w:rsidR="00375CAE">
        <w:rPr>
          <w:lang w:eastAsia="ja-JP"/>
        </w:rPr>
        <w:t xml:space="preserve"> </w:t>
      </w:r>
      <w:r w:rsidR="00423768">
        <w:rPr>
          <w:lang w:eastAsia="ja-JP"/>
        </w:rPr>
        <w:t>=</w:t>
      </w:r>
      <w:r w:rsidR="00375CAE">
        <w:rPr>
          <w:lang w:eastAsia="ja-JP"/>
        </w:rPr>
        <w:t xml:space="preserve"> </w:t>
      </w:r>
      <w:r w:rsidR="00F31F9F" w:rsidRPr="00F31F9F">
        <w:rPr>
          <w:lang w:eastAsia="ja-JP"/>
        </w:rPr>
        <w:t>Clinical Trial Material 4; CTM5</w:t>
      </w:r>
      <w:r w:rsidR="00375CAE">
        <w:rPr>
          <w:lang w:eastAsia="ja-JP"/>
        </w:rPr>
        <w:t xml:space="preserve"> </w:t>
      </w:r>
      <w:r w:rsidR="00423768">
        <w:rPr>
          <w:lang w:eastAsia="ja-JP"/>
        </w:rPr>
        <w:t>=</w:t>
      </w:r>
      <w:r w:rsidR="00375CAE">
        <w:rPr>
          <w:lang w:eastAsia="ja-JP"/>
        </w:rPr>
        <w:t xml:space="preserve"> </w:t>
      </w:r>
      <w:r w:rsidR="00F31F9F" w:rsidRPr="00F31F9F">
        <w:rPr>
          <w:lang w:eastAsia="ja-JP"/>
        </w:rPr>
        <w:t>Clinical Trial Material 5; CV%</w:t>
      </w:r>
      <w:r w:rsidR="00375CAE">
        <w:rPr>
          <w:lang w:eastAsia="ja-JP"/>
        </w:rPr>
        <w:t xml:space="preserve"> </w:t>
      </w:r>
      <w:r w:rsidR="00423768">
        <w:rPr>
          <w:lang w:eastAsia="ja-JP"/>
        </w:rPr>
        <w:t>=</w:t>
      </w:r>
      <w:r w:rsidR="00375CAE">
        <w:rPr>
          <w:lang w:eastAsia="ja-JP"/>
        </w:rPr>
        <w:t xml:space="preserve"> </w:t>
      </w:r>
      <w:r w:rsidR="00F31F9F" w:rsidRPr="00F31F9F">
        <w:rPr>
          <w:lang w:eastAsia="ja-JP"/>
        </w:rPr>
        <w:t>coefficient of variance; SD</w:t>
      </w:r>
      <w:r w:rsidR="00375CAE">
        <w:rPr>
          <w:lang w:eastAsia="ja-JP"/>
        </w:rPr>
        <w:t xml:space="preserve"> </w:t>
      </w:r>
      <w:r w:rsidR="00423768">
        <w:rPr>
          <w:lang w:eastAsia="ja-JP"/>
        </w:rPr>
        <w:t>=</w:t>
      </w:r>
      <w:r w:rsidR="00375CAE">
        <w:rPr>
          <w:lang w:eastAsia="ja-JP"/>
        </w:rPr>
        <w:t xml:space="preserve"> </w:t>
      </w:r>
      <w:r w:rsidR="00F31F9F" w:rsidRPr="00F31F9F">
        <w:rPr>
          <w:lang w:eastAsia="ja-JP"/>
        </w:rPr>
        <w:t>standard deviation</w:t>
      </w:r>
      <w:r w:rsidR="00117AA2">
        <w:rPr>
          <w:lang w:eastAsia="ja-JP"/>
        </w:rPr>
        <w:t>.</w:t>
      </w:r>
    </w:p>
    <w:p w14:paraId="4402F0ED" w14:textId="77777777" w:rsidR="00F31F9F" w:rsidRPr="00F31F9F" w:rsidRDefault="00F31F9F" w:rsidP="00F31F9F">
      <w:pPr>
        <w:rPr>
          <w:lang w:eastAsia="ja-JP"/>
        </w:rPr>
      </w:pPr>
      <w:r w:rsidRPr="00F31F9F">
        <w:rPr>
          <w:lang w:eastAsia="ja-JP"/>
        </w:rPr>
        <w:t>Pharmacokinetic assessment demonstrated that the blinatumomab PK is predictable and PK, efficacy and safety profiles across treatment cycles for CTM4 and CTM5 blinatumomab generated from 2 manufacturing processes were similar, thereby supporting the clinical pharmacological comparability of the materials used in many of the earlier clinical studies (CTM4) and the recent studies (CTM5).</w:t>
      </w:r>
    </w:p>
    <w:p w14:paraId="3FE17EF4" w14:textId="1451E152" w:rsidR="00F31F9F" w:rsidRPr="00F31F9F" w:rsidRDefault="00F31F9F" w:rsidP="00117AA2">
      <w:pPr>
        <w:pStyle w:val="Heading4"/>
      </w:pPr>
      <w:r w:rsidRPr="00F31F9F">
        <w:t>Study MT103-205</w:t>
      </w:r>
      <w:r w:rsidR="00117AA2">
        <w:t>:</w:t>
      </w:r>
      <w:r w:rsidRPr="00F31F9F">
        <w:t xml:space="preserve"> </w:t>
      </w:r>
      <w:r w:rsidR="0018721C">
        <w:t>Phase II</w:t>
      </w:r>
      <w:r w:rsidR="00117AA2">
        <w:t xml:space="preserve"> study in pa</w:t>
      </w:r>
      <w:r w:rsidRPr="00F31F9F">
        <w:t>ediatric Subjects with R/R ALL</w:t>
      </w:r>
    </w:p>
    <w:p w14:paraId="48D01BB9" w14:textId="73812F31" w:rsidR="00F31F9F" w:rsidRPr="00F31F9F" w:rsidRDefault="00117AA2" w:rsidP="00117AA2">
      <w:pPr>
        <w:pStyle w:val="Heading5"/>
        <w:rPr>
          <w:lang w:eastAsia="ja-JP"/>
        </w:rPr>
      </w:pPr>
      <w:r>
        <w:rPr>
          <w:lang w:eastAsia="ja-JP"/>
        </w:rPr>
        <w:t>Study d</w:t>
      </w:r>
      <w:r w:rsidR="00F31F9F" w:rsidRPr="00F31F9F">
        <w:rPr>
          <w:lang w:eastAsia="ja-JP"/>
        </w:rPr>
        <w:t xml:space="preserve">esign and </w:t>
      </w:r>
      <w:r>
        <w:rPr>
          <w:lang w:eastAsia="ja-JP"/>
        </w:rPr>
        <w:t>o</w:t>
      </w:r>
      <w:r w:rsidR="00F31F9F" w:rsidRPr="00F31F9F">
        <w:rPr>
          <w:lang w:eastAsia="ja-JP"/>
        </w:rPr>
        <w:t>bjectives</w:t>
      </w:r>
    </w:p>
    <w:p w14:paraId="72C4742D" w14:textId="186DEE01" w:rsidR="00F31F9F" w:rsidRPr="00F31F9F" w:rsidRDefault="00117AA2" w:rsidP="00F31F9F">
      <w:pPr>
        <w:rPr>
          <w:lang w:eastAsia="ja-JP"/>
        </w:rPr>
      </w:pPr>
      <w:r>
        <w:rPr>
          <w:lang w:eastAsia="ja-JP"/>
        </w:rPr>
        <w:t>Study MT</w:t>
      </w:r>
      <w:r w:rsidR="00F31F9F" w:rsidRPr="00F31F9F">
        <w:rPr>
          <w:lang w:eastAsia="ja-JP"/>
        </w:rPr>
        <w:t xml:space="preserve">103-205 is an ongoing, </w:t>
      </w:r>
      <w:r w:rsidR="00070E8B">
        <w:rPr>
          <w:lang w:eastAsia="ja-JP"/>
        </w:rPr>
        <w:t>open label</w:t>
      </w:r>
      <w:r w:rsidR="00F31F9F" w:rsidRPr="00F31F9F">
        <w:rPr>
          <w:lang w:eastAsia="ja-JP"/>
        </w:rPr>
        <w:t xml:space="preserve">, </w:t>
      </w:r>
      <w:r w:rsidR="002B779F">
        <w:rPr>
          <w:lang w:eastAsia="ja-JP"/>
        </w:rPr>
        <w:t>single arm</w:t>
      </w:r>
      <w:r w:rsidR="00F31F9F" w:rsidRPr="00F31F9F">
        <w:rPr>
          <w:lang w:eastAsia="ja-JP"/>
        </w:rPr>
        <w:t xml:space="preserve">, multicentre </w:t>
      </w:r>
      <w:r w:rsidR="0018721C">
        <w:rPr>
          <w:lang w:eastAsia="ja-JP"/>
        </w:rPr>
        <w:t>Phase II</w:t>
      </w:r>
      <w:r w:rsidR="00F31F9F" w:rsidRPr="00F31F9F">
        <w:rPr>
          <w:lang w:eastAsia="ja-JP"/>
        </w:rPr>
        <w:t xml:space="preserve"> study, preceded by a </w:t>
      </w:r>
      <w:r w:rsidR="0018721C">
        <w:rPr>
          <w:lang w:eastAsia="ja-JP"/>
        </w:rPr>
        <w:t>Phase I</w:t>
      </w:r>
      <w:r w:rsidR="00F31F9F" w:rsidRPr="00F31F9F">
        <w:rPr>
          <w:lang w:eastAsia="ja-JP"/>
        </w:rPr>
        <w:t xml:space="preserve"> dose evaluation part, designed to investigate the efficacy, safety, and tolerability of blinatumomab in paediatric and adolescent subjects </w:t>
      </w:r>
      <w:r w:rsidR="00423768">
        <w:rPr>
          <w:lang w:eastAsia="ja-JP"/>
        </w:rPr>
        <w:t>(&lt;</w:t>
      </w:r>
      <w:r w:rsidR="00375CAE">
        <w:rPr>
          <w:lang w:eastAsia="ja-JP"/>
        </w:rPr>
        <w:t xml:space="preserve"> </w:t>
      </w:r>
      <w:r w:rsidR="00F31F9F" w:rsidRPr="00F31F9F">
        <w:rPr>
          <w:lang w:eastAsia="ja-JP"/>
        </w:rPr>
        <w:t xml:space="preserve">18 years) with relapsed/refractory B-precursor ALL. The primary endpoint of the </w:t>
      </w:r>
      <w:r w:rsidR="0018721C">
        <w:rPr>
          <w:lang w:eastAsia="ja-JP"/>
        </w:rPr>
        <w:t>Phase I</w:t>
      </w:r>
      <w:r w:rsidR="00F31F9F" w:rsidRPr="00F31F9F">
        <w:rPr>
          <w:lang w:eastAsia="ja-JP"/>
        </w:rPr>
        <w:t xml:space="preserve"> part of the study was to determine the recommended </w:t>
      </w:r>
      <w:r w:rsidR="0018721C">
        <w:rPr>
          <w:lang w:eastAsia="ja-JP"/>
        </w:rPr>
        <w:t>Phase II</w:t>
      </w:r>
      <w:r w:rsidR="00F31F9F" w:rsidRPr="00F31F9F">
        <w:rPr>
          <w:lang w:eastAsia="ja-JP"/>
        </w:rPr>
        <w:t xml:space="preserve"> dose of blinatumomab by assessing the maximal tolerated dose of blinatumomab. Other objectives were to assess the safety, pharmacokinetics, pharmacodynamics, and efficacy of blinatumomab. The primary endpoint of the </w:t>
      </w:r>
      <w:r w:rsidR="0018721C">
        <w:rPr>
          <w:lang w:eastAsia="ja-JP"/>
        </w:rPr>
        <w:t>Phase II</w:t>
      </w:r>
      <w:r w:rsidR="00F31F9F" w:rsidRPr="00F31F9F">
        <w:rPr>
          <w:lang w:eastAsia="ja-JP"/>
        </w:rPr>
        <w:t xml:space="preserve"> part of the study (ongoing) is the rate of CR within the first 2 cycles of blinatumomab treatment.</w:t>
      </w:r>
    </w:p>
    <w:p w14:paraId="75A9D8BB" w14:textId="443E2CCC" w:rsidR="00F31F9F" w:rsidRPr="00F31F9F" w:rsidRDefault="00F31F9F" w:rsidP="00F31F9F">
      <w:pPr>
        <w:rPr>
          <w:lang w:eastAsia="ja-JP"/>
        </w:rPr>
      </w:pPr>
      <w:r w:rsidRPr="00F31F9F">
        <w:rPr>
          <w:lang w:eastAsia="ja-JP"/>
        </w:rPr>
        <w:t xml:space="preserve">The </w:t>
      </w:r>
      <w:r w:rsidR="0018721C">
        <w:rPr>
          <w:lang w:eastAsia="ja-JP"/>
        </w:rPr>
        <w:t>Phase I</w:t>
      </w:r>
      <w:r w:rsidRPr="00F31F9F">
        <w:rPr>
          <w:lang w:eastAsia="ja-JP"/>
        </w:rPr>
        <w:t xml:space="preserve"> part of the study (up to 48 subjects) was designed to evaluate different dose levels and different dosing regimens of blinatumomab in different age groups </w:t>
      </w:r>
      <w:r w:rsidR="00423768">
        <w:rPr>
          <w:lang w:eastAsia="ja-JP"/>
        </w:rPr>
        <w:t>(&lt;</w:t>
      </w:r>
      <w:r w:rsidR="00375CAE">
        <w:rPr>
          <w:lang w:eastAsia="ja-JP"/>
        </w:rPr>
        <w:t xml:space="preserve"> </w:t>
      </w:r>
      <w:r w:rsidRPr="00F31F9F">
        <w:rPr>
          <w:lang w:eastAsia="ja-JP"/>
        </w:rPr>
        <w:t>2 years, 2 to 6 years, and 7 to 17 years). Doses from 3.75 to 60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cIV were proposed for testing. Based on data from the first </w:t>
      </w:r>
      <w:r w:rsidR="00117AA2">
        <w:rPr>
          <w:lang w:eastAsia="ja-JP"/>
        </w:rPr>
        <w:t>p</w:t>
      </w:r>
      <w:r w:rsidR="0018721C">
        <w:rPr>
          <w:lang w:eastAsia="ja-JP"/>
        </w:rPr>
        <w:t>hase</w:t>
      </w:r>
      <w:r w:rsidRPr="00F31F9F">
        <w:rPr>
          <w:lang w:eastAsia="ja-JP"/>
        </w:rPr>
        <w:t xml:space="preserve">, the Data Review Committee and Data Safety Monitoring Board defined a recommended dose for the </w:t>
      </w:r>
      <w:r w:rsidR="0018721C">
        <w:rPr>
          <w:lang w:eastAsia="ja-JP"/>
        </w:rPr>
        <w:t>Phase II</w:t>
      </w:r>
      <w:r w:rsidRPr="00F31F9F">
        <w:rPr>
          <w:lang w:eastAsia="ja-JP"/>
        </w:rPr>
        <w:t xml:space="preserve"> part of the study. After a </w:t>
      </w:r>
      <w:r w:rsidR="0018721C">
        <w:rPr>
          <w:lang w:eastAsia="ja-JP"/>
        </w:rPr>
        <w:t>Phase II</w:t>
      </w:r>
      <w:r w:rsidRPr="00F31F9F">
        <w:rPr>
          <w:lang w:eastAsia="ja-JP"/>
        </w:rPr>
        <w:t xml:space="preserve"> dose was selected, a pharmacokinetic expansion of </w:t>
      </w:r>
      <w:r w:rsidR="0018721C">
        <w:rPr>
          <w:lang w:eastAsia="ja-JP"/>
        </w:rPr>
        <w:t>Phase I</w:t>
      </w:r>
      <w:r w:rsidRPr="00F31F9F">
        <w:rPr>
          <w:lang w:eastAsia="ja-JP"/>
        </w:rPr>
        <w:t xml:space="preserve"> enrolled an additional 6 subjects in each of the 2 older age groups (2 to 6 and 7 to 17 years) for comprehensive PK/PD assessments. Enrolment of an additional 6 subjects into the younger age group </w:t>
      </w:r>
      <w:r w:rsidR="00423768">
        <w:rPr>
          <w:lang w:eastAsia="ja-JP"/>
        </w:rPr>
        <w:t>(&lt;</w:t>
      </w:r>
      <w:r w:rsidR="00375CAE">
        <w:rPr>
          <w:lang w:eastAsia="ja-JP"/>
        </w:rPr>
        <w:t xml:space="preserve"> </w:t>
      </w:r>
      <w:r w:rsidRPr="00F31F9F">
        <w:rPr>
          <w:lang w:eastAsia="ja-JP"/>
        </w:rPr>
        <w:t xml:space="preserve">2 years) is ongoing and enrolment of subjects in this age group into the </w:t>
      </w:r>
      <w:r w:rsidR="0018721C">
        <w:rPr>
          <w:lang w:eastAsia="ja-JP"/>
        </w:rPr>
        <w:t>Phase II</w:t>
      </w:r>
      <w:r w:rsidRPr="00F31F9F">
        <w:rPr>
          <w:lang w:eastAsia="ja-JP"/>
        </w:rPr>
        <w:t xml:space="preserve"> part of the study will begin after the 6 subjects in the pharmacokinetic expansion have been treated at the recommended dose.</w:t>
      </w:r>
    </w:p>
    <w:p w14:paraId="0FEC7DD7" w14:textId="248E918F" w:rsidR="00F31F9F" w:rsidRPr="00F31F9F" w:rsidRDefault="00F31F9F" w:rsidP="00F31F9F">
      <w:pPr>
        <w:rPr>
          <w:lang w:eastAsia="ja-JP"/>
        </w:rPr>
      </w:pPr>
      <w:r w:rsidRPr="00F31F9F">
        <w:rPr>
          <w:lang w:eastAsia="ja-JP"/>
        </w:rPr>
        <w:t xml:space="preserve">In the </w:t>
      </w:r>
      <w:r w:rsidR="0018721C">
        <w:rPr>
          <w:lang w:eastAsia="ja-JP"/>
        </w:rPr>
        <w:t>Phase II</w:t>
      </w:r>
      <w:r w:rsidRPr="00F31F9F">
        <w:rPr>
          <w:lang w:eastAsia="ja-JP"/>
        </w:rPr>
        <w:t xml:space="preserve"> part of the study (efficacy </w:t>
      </w:r>
      <w:r w:rsidR="0018721C">
        <w:rPr>
          <w:lang w:eastAsia="ja-JP"/>
        </w:rPr>
        <w:t>Phase</w:t>
      </w:r>
      <w:r w:rsidRPr="00F31F9F">
        <w:rPr>
          <w:lang w:eastAsia="ja-JP"/>
        </w:rPr>
        <w:t>), subjects</w:t>
      </w:r>
      <w:r w:rsidR="00375CAE">
        <w:rPr>
          <w:lang w:eastAsia="ja-JP"/>
        </w:rPr>
        <w:t xml:space="preserve"> </w:t>
      </w:r>
      <w:r w:rsidR="00423768">
        <w:rPr>
          <w:lang w:eastAsia="ja-JP"/>
        </w:rPr>
        <w:t>&lt;</w:t>
      </w:r>
      <w:r w:rsidR="00375CAE">
        <w:rPr>
          <w:lang w:eastAsia="ja-JP"/>
        </w:rPr>
        <w:t xml:space="preserve"> </w:t>
      </w:r>
      <w:r w:rsidRPr="00F31F9F">
        <w:rPr>
          <w:lang w:eastAsia="ja-JP"/>
        </w:rPr>
        <w:t xml:space="preserve">18 years of age will be enrolled according to a </w:t>
      </w:r>
      <w:r w:rsidR="00423768">
        <w:rPr>
          <w:lang w:eastAsia="ja-JP"/>
        </w:rPr>
        <w:t>2</w:t>
      </w:r>
      <w:r w:rsidRPr="00F31F9F">
        <w:rPr>
          <w:lang w:eastAsia="ja-JP"/>
        </w:rPr>
        <w:t>-stage design. In the first stage, 21 subjects will be</w:t>
      </w:r>
      <w:r w:rsidR="00117AA2">
        <w:rPr>
          <w:lang w:eastAsia="ja-JP"/>
        </w:rPr>
        <w:t xml:space="preserve"> enrolled. If more than 2 of 21 </w:t>
      </w:r>
      <w:r w:rsidRPr="00F31F9F">
        <w:rPr>
          <w:lang w:eastAsia="ja-JP"/>
        </w:rPr>
        <w:t xml:space="preserve">subjects are observed with a response, an additional 19 subjects will be enrolled in the second stage. Eligible subjects will receive blinatumomab at the recommended </w:t>
      </w:r>
      <w:r w:rsidR="0018721C">
        <w:rPr>
          <w:lang w:eastAsia="ja-JP"/>
        </w:rPr>
        <w:t>Phase II</w:t>
      </w:r>
      <w:r w:rsidRPr="00F31F9F">
        <w:rPr>
          <w:lang w:eastAsia="ja-JP"/>
        </w:rPr>
        <w:t xml:space="preserve"> regimen (</w:t>
      </w:r>
      <w:r w:rsidR="00117AA2">
        <w:rPr>
          <w:lang w:eastAsia="ja-JP"/>
        </w:rPr>
        <w:t xml:space="preserve">that is, </w:t>
      </w:r>
      <w:proofErr w:type="gramStart"/>
      <w:r w:rsidRPr="00F31F9F">
        <w:rPr>
          <w:lang w:eastAsia="ja-JP"/>
        </w:rPr>
        <w:t>5</w:t>
      </w:r>
      <w:r w:rsidR="00117AA2">
        <w:rPr>
          <w:lang w:eastAsia="ja-JP"/>
        </w:rPr>
        <w:t> </w:t>
      </w:r>
      <w:r w:rsidR="0018721C">
        <w:rPr>
          <w:lang w:eastAsia="ja-JP"/>
        </w:rPr>
        <w:t>µg</w:t>
      </w:r>
      <w:r w:rsidRPr="00F31F9F">
        <w:rPr>
          <w:lang w:eastAsia="ja-JP"/>
        </w:rPr>
        <w:t xml:space="preserve">/m²/day in </w:t>
      </w:r>
      <w:r w:rsidR="007D46D6">
        <w:rPr>
          <w:lang w:eastAsia="ja-JP"/>
        </w:rPr>
        <w:t>Week 1</w:t>
      </w:r>
      <w:proofErr w:type="gramEnd"/>
      <w:r w:rsidRPr="00F31F9F">
        <w:rPr>
          <w:lang w:eastAsia="ja-JP"/>
        </w:rPr>
        <w:t xml:space="preserve"> and 15</w:t>
      </w:r>
      <w:r w:rsidR="00375CAE">
        <w:rPr>
          <w:lang w:eastAsia="ja-JP"/>
        </w:rPr>
        <w:t xml:space="preserve"> </w:t>
      </w:r>
      <w:r w:rsidR="0018721C">
        <w:rPr>
          <w:lang w:eastAsia="ja-JP"/>
        </w:rPr>
        <w:t>µg</w:t>
      </w:r>
      <w:r w:rsidRPr="00F31F9F">
        <w:rPr>
          <w:lang w:eastAsia="ja-JP"/>
        </w:rPr>
        <w:t xml:space="preserve">/m²/day in weeks 2-4 in </w:t>
      </w:r>
      <w:r w:rsidR="007D46D6">
        <w:rPr>
          <w:lang w:eastAsia="ja-JP"/>
        </w:rPr>
        <w:t>Cycle 1</w:t>
      </w:r>
      <w:r w:rsidRPr="00F31F9F">
        <w:rPr>
          <w:lang w:eastAsia="ja-JP"/>
        </w:rPr>
        <w:t>, and then 15</w:t>
      </w:r>
      <w:r w:rsidR="00076799">
        <w:rPr>
          <w:lang w:eastAsia="ja-JP"/>
        </w:rPr>
        <w:t> </w:t>
      </w:r>
      <w:r w:rsidR="0018721C">
        <w:rPr>
          <w:lang w:eastAsia="ja-JP"/>
        </w:rPr>
        <w:t>µg</w:t>
      </w:r>
      <w:r w:rsidRPr="00F31F9F">
        <w:rPr>
          <w:lang w:eastAsia="ja-JP"/>
        </w:rPr>
        <w:t>/m²/day in remaining cycles). In total, up to 40 subject</w:t>
      </w:r>
      <w:r w:rsidR="00076799">
        <w:rPr>
          <w:lang w:eastAsia="ja-JP"/>
        </w:rPr>
        <w:t xml:space="preserve">s will be recruited into this 2 </w:t>
      </w:r>
      <w:r w:rsidRPr="00F31F9F">
        <w:rPr>
          <w:lang w:eastAsia="ja-JP"/>
        </w:rPr>
        <w:t>stage efficacy part of the trial.</w:t>
      </w:r>
    </w:p>
    <w:p w14:paraId="7EA456FA" w14:textId="25CD5810" w:rsidR="00F31F9F" w:rsidRPr="00F31F9F" w:rsidRDefault="00F31F9F" w:rsidP="00F31F9F">
      <w:pPr>
        <w:rPr>
          <w:lang w:eastAsia="ja-JP"/>
        </w:rPr>
      </w:pPr>
      <w:r w:rsidRPr="00F31F9F">
        <w:rPr>
          <w:lang w:eastAsia="ja-JP"/>
        </w:rPr>
        <w:t>Following continuous IV infusion, the steady state serum concentration (</w:t>
      </w:r>
      <w:r w:rsidR="005E5C58">
        <w:rPr>
          <w:lang w:eastAsia="ja-JP"/>
        </w:rPr>
        <w:t>C</w:t>
      </w:r>
      <w:r w:rsidR="005E5C58">
        <w:rPr>
          <w:vertAlign w:val="subscript"/>
          <w:lang w:eastAsia="ja-JP"/>
        </w:rPr>
        <w:t>ss</w:t>
      </w:r>
      <w:r w:rsidRPr="00F31F9F">
        <w:rPr>
          <w:lang w:eastAsia="ja-JP"/>
        </w:rPr>
        <w:t xml:space="preserve">) was achieved within a day and remained stable over time. Mean </w:t>
      </w:r>
      <w:r w:rsidR="005E5C58">
        <w:rPr>
          <w:lang w:eastAsia="ja-JP"/>
        </w:rPr>
        <w:t>C</w:t>
      </w:r>
      <w:r w:rsidR="005E5C58">
        <w:rPr>
          <w:vertAlign w:val="subscript"/>
          <w:lang w:eastAsia="ja-JP"/>
        </w:rPr>
        <w:t>ss</w:t>
      </w:r>
      <w:r w:rsidRPr="00F31F9F">
        <w:rPr>
          <w:lang w:eastAsia="ja-JP"/>
        </w:rPr>
        <w:t xml:space="preserve"> increased approximately dose proportionally over the dose range from 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to 30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Under the selected </w:t>
      </w:r>
      <w:r w:rsidR="0018721C">
        <w:rPr>
          <w:lang w:eastAsia="ja-JP"/>
        </w:rPr>
        <w:t>Phase II</w:t>
      </w:r>
      <w:r w:rsidRPr="00F31F9F">
        <w:rPr>
          <w:lang w:eastAsia="ja-JP"/>
        </w:rPr>
        <w:t xml:space="preserve"> regimen (</w:t>
      </w:r>
      <w:r w:rsidR="005E5C58">
        <w:rPr>
          <w:lang w:eastAsia="ja-JP"/>
        </w:rPr>
        <w:t>that is,</w:t>
      </w:r>
      <w:r w:rsidRPr="00F31F9F">
        <w:rPr>
          <w:lang w:eastAsia="ja-JP"/>
        </w:rPr>
        <w:t xml:space="preserve"> 5</w:t>
      </w:r>
      <w:r w:rsidR="005E5C58">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for </w:t>
      </w:r>
      <w:r w:rsidR="007D46D6">
        <w:rPr>
          <w:lang w:eastAsia="ja-JP"/>
        </w:rPr>
        <w:t>Week 1</w:t>
      </w:r>
      <w:r w:rsidRPr="00F31F9F">
        <w:rPr>
          <w:lang w:eastAsia="ja-JP"/>
        </w:rPr>
        <w:t xml:space="preserve"> and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for </w:t>
      </w:r>
      <w:r w:rsidR="005E5C58">
        <w:rPr>
          <w:lang w:eastAsia="ja-JP"/>
        </w:rPr>
        <w:t>W</w:t>
      </w:r>
      <w:r w:rsidRPr="00F31F9F">
        <w:rPr>
          <w:lang w:eastAsia="ja-JP"/>
        </w:rPr>
        <w:t xml:space="preserve">eeks 2 through 4 of </w:t>
      </w:r>
      <w:r w:rsidR="007D46D6">
        <w:rPr>
          <w:lang w:eastAsia="ja-JP"/>
        </w:rPr>
        <w:t>Cycle 1</w:t>
      </w:r>
      <w:r w:rsidRPr="00F31F9F">
        <w:rPr>
          <w:lang w:eastAsia="ja-JP"/>
        </w:rPr>
        <w:t>; and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in subsequent cycles), mean (SD) </w:t>
      </w:r>
      <w:r w:rsidR="005E5C58">
        <w:rPr>
          <w:lang w:eastAsia="ja-JP"/>
        </w:rPr>
        <w:t>C</w:t>
      </w:r>
      <w:r w:rsidR="005E5C58">
        <w:rPr>
          <w:vertAlign w:val="subscript"/>
          <w:lang w:eastAsia="ja-JP"/>
        </w:rPr>
        <w:t>ss</w:t>
      </w:r>
      <w:r w:rsidRPr="00F31F9F">
        <w:rPr>
          <w:lang w:eastAsia="ja-JP"/>
        </w:rPr>
        <w:t xml:space="preserve"> at 5 and 15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doses were 17</w:t>
      </w:r>
      <w:r w:rsidR="005E5C58">
        <w:rPr>
          <w:lang w:eastAsia="ja-JP"/>
        </w:rPr>
        <w:t>8 (175) and 390 (286) </w:t>
      </w:r>
      <w:r w:rsidRPr="00F31F9F">
        <w:rPr>
          <w:lang w:eastAsia="ja-JP"/>
        </w:rPr>
        <w:t xml:space="preserve">pg/mL in the 2 to 6 years </w:t>
      </w:r>
      <w:r w:rsidR="00076799">
        <w:rPr>
          <w:lang w:eastAsia="ja-JP"/>
        </w:rPr>
        <w:t>age group and 154 (103) and 620 </w:t>
      </w:r>
      <w:r w:rsidRPr="00F31F9F">
        <w:rPr>
          <w:lang w:eastAsia="ja-JP"/>
        </w:rPr>
        <w:t xml:space="preserve">(305) pg/mL in the 7 to 17 years age group, respectively. The mean (SD) terminal elimination </w:t>
      </w:r>
      <w:r w:rsidR="00586C19" w:rsidRPr="00F31F9F">
        <w:rPr>
          <w:lang w:eastAsia="ja-JP"/>
        </w:rPr>
        <w:t>half</w:t>
      </w:r>
      <w:r w:rsidR="00586C19">
        <w:rPr>
          <w:lang w:eastAsia="ja-JP"/>
        </w:rPr>
        <w:t>-</w:t>
      </w:r>
      <w:r w:rsidR="00586C19" w:rsidRPr="00F31F9F">
        <w:rPr>
          <w:lang w:eastAsia="ja-JP"/>
        </w:rPr>
        <w:t>life</w:t>
      </w:r>
      <w:r w:rsidRPr="00F31F9F">
        <w:rPr>
          <w:lang w:eastAsia="ja-JP"/>
        </w:rPr>
        <w:t xml:space="preserve"> (t</w:t>
      </w:r>
      <w:r w:rsidRPr="00586C19">
        <w:rPr>
          <w:vertAlign w:val="subscript"/>
          <w:lang w:eastAsia="ja-JP"/>
        </w:rPr>
        <w:t>1/2</w:t>
      </w:r>
      <w:r w:rsidRPr="00F31F9F">
        <w:rPr>
          <w:lang w:eastAsia="ja-JP"/>
        </w:rPr>
        <w:t>) was 2.19 (1.53) hours, clearance (CL) was 2.01 (2.08) L/hr/m</w:t>
      </w:r>
      <w:r w:rsidRPr="00F31F9F">
        <w:rPr>
          <w:vertAlign w:val="superscript"/>
          <w:lang w:eastAsia="ja-JP"/>
        </w:rPr>
        <w:t>2</w:t>
      </w:r>
      <w:r w:rsidRPr="00F31F9F">
        <w:rPr>
          <w:lang w:eastAsia="ja-JP"/>
        </w:rPr>
        <w:t xml:space="preserve"> and volume of distribution based on terminal </w:t>
      </w:r>
      <w:r w:rsidR="00076799">
        <w:rPr>
          <w:lang w:eastAsia="ja-JP"/>
        </w:rPr>
        <w:t>p</w:t>
      </w:r>
      <w:r w:rsidR="0018721C">
        <w:rPr>
          <w:lang w:eastAsia="ja-JP"/>
        </w:rPr>
        <w:t>hase</w:t>
      </w:r>
      <w:r w:rsidRPr="00F31F9F">
        <w:rPr>
          <w:lang w:eastAsia="ja-JP"/>
        </w:rPr>
        <w:t xml:space="preserve"> (Vz) was 3.99 (3.31) L/m</w:t>
      </w:r>
      <w:r w:rsidRPr="00F31F9F">
        <w:rPr>
          <w:vertAlign w:val="superscript"/>
          <w:lang w:eastAsia="ja-JP"/>
        </w:rPr>
        <w:t>2</w:t>
      </w:r>
      <w:r w:rsidRPr="00F31F9F">
        <w:rPr>
          <w:lang w:eastAsia="ja-JP"/>
        </w:rPr>
        <w:t xml:space="preserve"> across both age groups. Data from the younger age group </w:t>
      </w:r>
      <w:r w:rsidR="00423768">
        <w:rPr>
          <w:lang w:eastAsia="ja-JP"/>
        </w:rPr>
        <w:t>(&lt;</w:t>
      </w:r>
      <w:r w:rsidR="00375CAE">
        <w:rPr>
          <w:lang w:eastAsia="ja-JP"/>
        </w:rPr>
        <w:t xml:space="preserve"> </w:t>
      </w:r>
      <w:r w:rsidRPr="00F31F9F">
        <w:rPr>
          <w:lang w:eastAsia="ja-JP"/>
        </w:rPr>
        <w:t>2 years) was not available for the interim analysis and was therefore not presented.</w:t>
      </w:r>
    </w:p>
    <w:p w14:paraId="01A9A5AB" w14:textId="77777777" w:rsidR="00F31F9F" w:rsidRPr="00F31F9F" w:rsidRDefault="00F31F9F" w:rsidP="005E5C58">
      <w:pPr>
        <w:pStyle w:val="Heading4"/>
      </w:pPr>
      <w:r w:rsidRPr="00F31F9F">
        <w:t>Conclusions</w:t>
      </w:r>
    </w:p>
    <w:p w14:paraId="64453383" w14:textId="351C8606" w:rsidR="00F31F9F" w:rsidRPr="00F31F9F" w:rsidRDefault="005E5C58" w:rsidP="00F31F9F">
      <w:pPr>
        <w:rPr>
          <w:lang w:eastAsia="ja-JP"/>
        </w:rPr>
      </w:pPr>
      <w:r>
        <w:rPr>
          <w:lang w:eastAsia="ja-JP"/>
        </w:rPr>
        <w:t xml:space="preserve">Based on BSA </w:t>
      </w:r>
      <w:r w:rsidR="00F31F9F" w:rsidRPr="00F31F9F">
        <w:rPr>
          <w:lang w:eastAsia="ja-JP"/>
        </w:rPr>
        <w:t>based doses, blinatumomab exhibited linear pharmacokinetics, and pharmacokinetic parameters were similar in the 2 to 6 years and 7 to 17 years age groups. The 15</w:t>
      </w:r>
      <w:r w:rsidR="00375CAE">
        <w:rPr>
          <w:lang w:eastAsia="ja-JP"/>
        </w:rPr>
        <w:t xml:space="preserve"> </w:t>
      </w:r>
      <w:r w:rsidR="0018721C">
        <w:rPr>
          <w:lang w:eastAsia="ja-JP"/>
        </w:rPr>
        <w:t>µg</w:t>
      </w:r>
      <w:r>
        <w:rPr>
          <w:lang w:eastAsia="ja-JP"/>
        </w:rPr>
        <w:t>/m²/day (BSA </w:t>
      </w:r>
      <w:r w:rsidR="00F31F9F" w:rsidRPr="00F31F9F">
        <w:rPr>
          <w:lang w:eastAsia="ja-JP"/>
        </w:rPr>
        <w:t xml:space="preserve">based) dose was identified as the maximal tolerated dose. The regimen selected for the pharmacokinetic expansion cohort and for the </w:t>
      </w:r>
      <w:r w:rsidR="0018721C">
        <w:rPr>
          <w:lang w:eastAsia="ja-JP"/>
        </w:rPr>
        <w:t>Phase II</w:t>
      </w:r>
      <w:r w:rsidR="00F31F9F" w:rsidRPr="00F31F9F">
        <w:rPr>
          <w:lang w:eastAsia="ja-JP"/>
        </w:rPr>
        <w:t xml:space="preserve"> portion of the study </w:t>
      </w:r>
      <w:proofErr w:type="gramStart"/>
      <w:r w:rsidR="00F31F9F" w:rsidRPr="00F31F9F">
        <w:rPr>
          <w:lang w:eastAsia="ja-JP"/>
        </w:rPr>
        <w:t>was</w:t>
      </w:r>
      <w:proofErr w:type="gramEnd"/>
      <w:r w:rsidR="00F31F9F" w:rsidRPr="00F31F9F">
        <w:rPr>
          <w:lang w:eastAsia="ja-JP"/>
        </w:rPr>
        <w:t xml:space="preserve"> 5</w:t>
      </w:r>
      <w:r w:rsidR="00375CAE">
        <w:rPr>
          <w:lang w:eastAsia="ja-JP"/>
        </w:rPr>
        <w:t xml:space="preserve"> </w:t>
      </w:r>
      <w:r w:rsidR="0018721C">
        <w:rPr>
          <w:lang w:eastAsia="ja-JP"/>
        </w:rPr>
        <w:t>µg</w:t>
      </w:r>
      <w:r w:rsidR="00F31F9F" w:rsidRPr="00F31F9F">
        <w:rPr>
          <w:lang w:eastAsia="ja-JP"/>
        </w:rPr>
        <w:t xml:space="preserve">/m²/day in </w:t>
      </w:r>
      <w:r w:rsidR="007D46D6">
        <w:rPr>
          <w:lang w:eastAsia="ja-JP"/>
        </w:rPr>
        <w:t>Week 1</w:t>
      </w:r>
      <w:r w:rsidR="00F31F9F" w:rsidRPr="00F31F9F">
        <w:rPr>
          <w:lang w:eastAsia="ja-JP"/>
        </w:rPr>
        <w:t xml:space="preserve"> and 15</w:t>
      </w:r>
      <w:r w:rsidR="00375CAE">
        <w:rPr>
          <w:lang w:eastAsia="ja-JP"/>
        </w:rPr>
        <w:t xml:space="preserve"> </w:t>
      </w:r>
      <w:r w:rsidR="0018721C">
        <w:rPr>
          <w:lang w:eastAsia="ja-JP"/>
        </w:rPr>
        <w:t>µg</w:t>
      </w:r>
      <w:r w:rsidR="00F31F9F" w:rsidRPr="00F31F9F">
        <w:rPr>
          <w:lang w:eastAsia="ja-JP"/>
        </w:rPr>
        <w:t xml:space="preserve">/m²/day in weeks 2 to 4 in </w:t>
      </w:r>
      <w:r w:rsidR="007D46D6">
        <w:rPr>
          <w:lang w:eastAsia="ja-JP"/>
        </w:rPr>
        <w:t>Cycle 1</w:t>
      </w:r>
      <w:r w:rsidR="00F31F9F" w:rsidRPr="00F31F9F">
        <w:rPr>
          <w:lang w:eastAsia="ja-JP"/>
        </w:rPr>
        <w:t>, and then 15</w:t>
      </w:r>
      <w:r w:rsidR="00375CAE">
        <w:rPr>
          <w:lang w:eastAsia="ja-JP"/>
        </w:rPr>
        <w:t xml:space="preserve"> </w:t>
      </w:r>
      <w:r w:rsidR="0018721C">
        <w:rPr>
          <w:lang w:eastAsia="ja-JP"/>
        </w:rPr>
        <w:t>µg</w:t>
      </w:r>
      <w:r w:rsidR="00F31F9F" w:rsidRPr="00F31F9F">
        <w:rPr>
          <w:lang w:eastAsia="ja-JP"/>
        </w:rPr>
        <w:t>/m²/day in remaining cycles.</w:t>
      </w:r>
    </w:p>
    <w:p w14:paraId="4DD610BE" w14:textId="61BAB98B" w:rsidR="00F31F9F" w:rsidRPr="00F31F9F" w:rsidRDefault="005E5C58" w:rsidP="005E5C58">
      <w:pPr>
        <w:pStyle w:val="Heading3"/>
      </w:pPr>
      <w:bookmarkStart w:id="72" w:name="_Toc292015571"/>
      <w:bookmarkStart w:id="73" w:name="_Toc505762972"/>
      <w:r>
        <w:t>General d</w:t>
      </w:r>
      <w:r w:rsidR="00F31F9F" w:rsidRPr="00F31F9F">
        <w:t xml:space="preserve">escription of </w:t>
      </w:r>
      <w:r>
        <w:t>b</w:t>
      </w:r>
      <w:r w:rsidR="00F31F9F" w:rsidRPr="00F31F9F">
        <w:t xml:space="preserve">linatumomab </w:t>
      </w:r>
      <w:r>
        <w:t>p</w:t>
      </w:r>
      <w:r w:rsidR="00F31F9F" w:rsidRPr="00F31F9F">
        <w:t>harmacokinetics</w:t>
      </w:r>
      <w:bookmarkEnd w:id="72"/>
      <w:bookmarkEnd w:id="73"/>
    </w:p>
    <w:p w14:paraId="284D1A66" w14:textId="24EF26D1" w:rsidR="00F31F9F" w:rsidRPr="00F31F9F" w:rsidRDefault="00F31F9F" w:rsidP="00F31F9F">
      <w:pPr>
        <w:rPr>
          <w:lang w:eastAsia="ja-JP"/>
        </w:rPr>
      </w:pPr>
      <w:r w:rsidRPr="00F31F9F">
        <w:rPr>
          <w:lang w:eastAsia="ja-JP"/>
        </w:rPr>
        <w:t xml:space="preserve">The pharmacokinetics of blinatumomab </w:t>
      </w:r>
      <w:proofErr w:type="gramStart"/>
      <w:r w:rsidRPr="00F31F9F">
        <w:rPr>
          <w:lang w:eastAsia="ja-JP"/>
        </w:rPr>
        <w:t>were</w:t>
      </w:r>
      <w:proofErr w:type="gramEnd"/>
      <w:r w:rsidRPr="00F31F9F">
        <w:rPr>
          <w:lang w:eastAsia="ja-JP"/>
        </w:rPr>
        <w:t xml:space="preserve"> assessed over a range of doses (5 to 90</w:t>
      </w:r>
      <w:r w:rsidR="00076799">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/day that were approximately equivalent to fixed doses of 9 to 162</w:t>
      </w:r>
      <w:r w:rsidR="00375CAE">
        <w:rPr>
          <w:lang w:eastAsia="ja-JP"/>
        </w:rPr>
        <w:t xml:space="preserve"> </w:t>
      </w:r>
      <w:r w:rsidR="0018721C">
        <w:rPr>
          <w:lang w:eastAsia="ja-JP"/>
        </w:rPr>
        <w:t>µg</w:t>
      </w:r>
      <w:r w:rsidRPr="00F31F9F">
        <w:rPr>
          <w:lang w:eastAsia="ja-JP"/>
        </w:rPr>
        <w:t>/day) in adult subjects with ALL and NHL. With continuous intravenous infusion (cIV), steady state serum concentrations (</w:t>
      </w:r>
      <w:r w:rsidR="005E5C58">
        <w:rPr>
          <w:lang w:eastAsia="ja-JP"/>
        </w:rPr>
        <w:t>C</w:t>
      </w:r>
      <w:r w:rsidR="005E5C58">
        <w:rPr>
          <w:vertAlign w:val="subscript"/>
          <w:lang w:eastAsia="ja-JP"/>
        </w:rPr>
        <w:t>ss</w:t>
      </w:r>
      <w:r w:rsidRPr="00F31F9F">
        <w:rPr>
          <w:lang w:eastAsia="ja-JP"/>
        </w:rPr>
        <w:t>) remained stable across the infusion period (</w:t>
      </w:r>
      <w:r w:rsidR="005E5C58">
        <w:rPr>
          <w:lang w:eastAsia="ja-JP"/>
        </w:rPr>
        <w:t xml:space="preserve">see </w:t>
      </w:r>
      <w:r w:rsidRPr="00F31F9F">
        <w:rPr>
          <w:lang w:eastAsia="ja-JP"/>
        </w:rPr>
        <w:t>Figure 2</w:t>
      </w:r>
      <w:r w:rsidR="005E5C58">
        <w:rPr>
          <w:lang w:eastAsia="ja-JP"/>
        </w:rPr>
        <w:t>, below</w:t>
      </w:r>
      <w:r w:rsidRPr="00F31F9F">
        <w:rPr>
          <w:lang w:eastAsia="ja-JP"/>
        </w:rPr>
        <w:t xml:space="preserve">). Mean </w:t>
      </w:r>
      <w:r w:rsidR="005E5C58">
        <w:rPr>
          <w:lang w:eastAsia="ja-JP"/>
        </w:rPr>
        <w:t>C</w:t>
      </w:r>
      <w:r w:rsidR="005E5C58">
        <w:rPr>
          <w:vertAlign w:val="subscript"/>
          <w:lang w:eastAsia="ja-JP"/>
        </w:rPr>
        <w:t>ss</w:t>
      </w:r>
      <w:r w:rsidRPr="00F31F9F">
        <w:rPr>
          <w:lang w:eastAsia="ja-JP"/>
        </w:rPr>
        <w:t xml:space="preserve"> values increased approximately dose proportionally over the dose range tested (</w:t>
      </w:r>
      <w:r w:rsidR="005E5C58">
        <w:rPr>
          <w:lang w:eastAsia="ja-JP"/>
        </w:rPr>
        <w:t xml:space="preserve">see </w:t>
      </w:r>
      <w:r w:rsidRPr="00F31F9F">
        <w:rPr>
          <w:lang w:eastAsia="ja-JP"/>
        </w:rPr>
        <w:t xml:space="preserve">Table </w:t>
      </w:r>
      <w:r w:rsidR="005E5C58">
        <w:rPr>
          <w:lang w:eastAsia="ja-JP"/>
        </w:rPr>
        <w:t>6, below</w:t>
      </w:r>
      <w:r w:rsidRPr="00F31F9F">
        <w:rPr>
          <w:lang w:eastAsia="ja-JP"/>
        </w:rPr>
        <w:t>).</w:t>
      </w:r>
    </w:p>
    <w:p w14:paraId="30FA7892" w14:textId="6E233553" w:rsidR="00F31F9F" w:rsidRPr="00F31F9F" w:rsidRDefault="00F31F9F" w:rsidP="005E5C58">
      <w:pPr>
        <w:pStyle w:val="FigureTitle"/>
        <w:rPr>
          <w:lang w:eastAsia="ja-JP"/>
        </w:rPr>
      </w:pPr>
      <w:bookmarkStart w:id="74" w:name="_Toc292015782"/>
      <w:r w:rsidRPr="00F31F9F">
        <w:rPr>
          <w:lang w:eastAsia="ja-JP"/>
        </w:rPr>
        <w:t>Figure</w:t>
      </w:r>
      <w:r w:rsidR="00586C19">
        <w:rPr>
          <w:lang w:eastAsia="ja-JP"/>
        </w:rPr>
        <w:t xml:space="preserve"> 2:</w:t>
      </w:r>
      <w:r w:rsidRPr="00F31F9F">
        <w:rPr>
          <w:lang w:eastAsia="ja-JP"/>
        </w:rPr>
        <w:t xml:space="preserve"> </w:t>
      </w:r>
      <w:r w:rsidR="005E5C58">
        <w:rPr>
          <w:lang w:eastAsia="ja-JP"/>
        </w:rPr>
        <w:t>Mean (SD) s</w:t>
      </w:r>
      <w:r w:rsidRPr="00F31F9F">
        <w:rPr>
          <w:lang w:eastAsia="ja-JP"/>
        </w:rPr>
        <w:t xml:space="preserve">erum </w:t>
      </w:r>
      <w:r w:rsidR="005E5C58">
        <w:rPr>
          <w:lang w:eastAsia="ja-JP"/>
        </w:rPr>
        <w:t>c</w:t>
      </w:r>
      <w:r w:rsidRPr="00F31F9F">
        <w:rPr>
          <w:lang w:eastAsia="ja-JP"/>
        </w:rPr>
        <w:t>oncentration-</w:t>
      </w:r>
      <w:r w:rsidR="005E5C58">
        <w:rPr>
          <w:lang w:eastAsia="ja-JP"/>
        </w:rPr>
        <w:t>t</w:t>
      </w:r>
      <w:r w:rsidRPr="00F31F9F">
        <w:rPr>
          <w:lang w:eastAsia="ja-JP"/>
        </w:rPr>
        <w:t xml:space="preserve">ime </w:t>
      </w:r>
      <w:r w:rsidR="005E5C58">
        <w:rPr>
          <w:lang w:eastAsia="ja-JP"/>
        </w:rPr>
        <w:t>profiles of blinatumomab under continuous IV i</w:t>
      </w:r>
      <w:r w:rsidRPr="00F31F9F">
        <w:rPr>
          <w:lang w:eastAsia="ja-JP"/>
        </w:rPr>
        <w:t xml:space="preserve">nfusion </w:t>
      </w:r>
      <w:proofErr w:type="gramStart"/>
      <w:r w:rsidRPr="00F31F9F">
        <w:rPr>
          <w:lang w:eastAsia="ja-JP"/>
        </w:rPr>
        <w:t>at 15</w:t>
      </w:r>
      <w:r w:rsidR="00375CAE">
        <w:rPr>
          <w:lang w:eastAsia="ja-JP"/>
        </w:rPr>
        <w:t xml:space="preserve"> </w:t>
      </w:r>
      <w:r w:rsidR="0018721C">
        <w:rPr>
          <w:lang w:eastAsia="ja-JP"/>
        </w:rPr>
        <w:t>µg</w:t>
      </w:r>
      <w:r w:rsidR="005E5C58">
        <w:rPr>
          <w:lang w:eastAsia="ja-JP"/>
        </w:rPr>
        <w:t>/</w:t>
      </w:r>
      <w:r w:rsidR="00586C19" w:rsidRPr="00F31F9F">
        <w:rPr>
          <w:lang w:eastAsia="ja-JP"/>
        </w:rPr>
        <w:t>m</w:t>
      </w:r>
      <w:r w:rsidR="00586C19" w:rsidRPr="00586C19">
        <w:rPr>
          <w:vertAlign w:val="superscript"/>
          <w:lang w:eastAsia="ja-JP"/>
        </w:rPr>
        <w:t>2</w:t>
      </w:r>
      <w:r w:rsidR="005E5C58">
        <w:rPr>
          <w:lang w:eastAsia="ja-JP"/>
        </w:rPr>
        <w:t>/day</w:t>
      </w:r>
      <w:proofErr w:type="gramEnd"/>
      <w:r w:rsidR="005E5C58">
        <w:rPr>
          <w:lang w:eastAsia="ja-JP"/>
        </w:rPr>
        <w:t xml:space="preserve"> o</w:t>
      </w:r>
      <w:r w:rsidRPr="00F31F9F">
        <w:rPr>
          <w:lang w:eastAsia="ja-JP"/>
        </w:rPr>
        <w:t>ver 4 Weeks in Cycles 1 and 2</w:t>
      </w:r>
      <w:bookmarkEnd w:id="74"/>
    </w:p>
    <w:p w14:paraId="13F057C0" w14:textId="77777777" w:rsidR="00F31F9F" w:rsidRPr="00F31F9F" w:rsidRDefault="00F31F9F" w:rsidP="00F31F9F">
      <w:pPr>
        <w:rPr>
          <w:lang w:eastAsia="ja-JP"/>
        </w:rPr>
      </w:pPr>
      <w:r w:rsidRPr="00F31F9F">
        <w:rPr>
          <w:noProof/>
          <w:lang w:eastAsia="en-AU"/>
        </w:rPr>
        <w:drawing>
          <wp:inline distT="0" distB="0" distL="0" distR="0" wp14:anchorId="316E869A" wp14:editId="5A06EA7A">
            <wp:extent cx="5264785" cy="2496572"/>
            <wp:effectExtent l="0" t="0" r="0" b="0"/>
            <wp:docPr id="73" name="Picture 73" descr="Figure 2: Mean (SD) serum concentration-time profiles of blinatumomab under continuous IV infusion at 15 µg/m2/day over 4 Weeks in Cycles 1 and 2&#10;" title="Mean (SD) serum concentration-time profiles of blinatumomab under continuous IV infusion at 15 µg/m2/day over 4 Weeks in Cycles 1 an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0186" cy="2503875"/>
                    </a:xfrm>
                    <a:prstGeom prst="rect">
                      <a:avLst/>
                    </a:prstGeom>
                    <a:noFill/>
                    <a:ln>
                      <a:noFill/>
                    </a:ln>
                  </pic:spPr>
                </pic:pic>
              </a:graphicData>
            </a:graphic>
          </wp:inline>
        </w:drawing>
      </w:r>
    </w:p>
    <w:p w14:paraId="06632B02" w14:textId="29BC0401" w:rsidR="00F31F9F" w:rsidRPr="00F31F9F" w:rsidRDefault="00F31F9F" w:rsidP="005E5C58">
      <w:pPr>
        <w:pStyle w:val="FigureDescription"/>
        <w:rPr>
          <w:lang w:eastAsia="ja-JP"/>
        </w:rPr>
      </w:pPr>
      <w:r w:rsidRPr="00F31F9F">
        <w:rPr>
          <w:lang w:eastAsia="ja-JP"/>
        </w:rPr>
        <w:t>IV</w:t>
      </w:r>
      <w:r w:rsidR="00375CAE">
        <w:rPr>
          <w:lang w:eastAsia="ja-JP"/>
        </w:rPr>
        <w:t xml:space="preserve"> </w:t>
      </w:r>
      <w:r w:rsidR="00423768">
        <w:rPr>
          <w:lang w:eastAsia="ja-JP"/>
        </w:rPr>
        <w:t>=</w:t>
      </w:r>
      <w:r w:rsidR="00375CAE">
        <w:rPr>
          <w:lang w:eastAsia="ja-JP"/>
        </w:rPr>
        <w:t xml:space="preserve"> </w:t>
      </w:r>
      <w:r w:rsidRPr="00F31F9F">
        <w:rPr>
          <w:lang w:eastAsia="ja-JP"/>
        </w:rPr>
        <w:t>intravenous; SD</w:t>
      </w:r>
      <w:r w:rsidR="00375CAE">
        <w:rPr>
          <w:lang w:eastAsia="ja-JP"/>
        </w:rPr>
        <w:t xml:space="preserve"> </w:t>
      </w:r>
      <w:r w:rsidR="00423768">
        <w:rPr>
          <w:lang w:eastAsia="ja-JP"/>
        </w:rPr>
        <w:t>=</w:t>
      </w:r>
      <w:r w:rsidR="00375CAE">
        <w:rPr>
          <w:lang w:eastAsia="ja-JP"/>
        </w:rPr>
        <w:t xml:space="preserve"> </w:t>
      </w:r>
      <w:r w:rsidRPr="00F31F9F">
        <w:rPr>
          <w:lang w:eastAsia="ja-JP"/>
        </w:rPr>
        <w:t>standard deviation. Note: Dashed line indicated the effective concentration needed for 90% suppression of B-cells (EC</w:t>
      </w:r>
      <w:r w:rsidRPr="00FD7CF2">
        <w:rPr>
          <w:vertAlign w:val="subscript"/>
          <w:lang w:eastAsia="ja-JP"/>
        </w:rPr>
        <w:t>90</w:t>
      </w:r>
      <w:r w:rsidRPr="00F31F9F">
        <w:rPr>
          <w:lang w:eastAsia="ja-JP"/>
        </w:rPr>
        <w:t>) in in vitro studies conducted with leukaemia cell lines.</w:t>
      </w:r>
    </w:p>
    <w:p w14:paraId="25759F6E" w14:textId="034A7065" w:rsidR="00F31F9F" w:rsidRPr="00F31F9F" w:rsidRDefault="00F31F9F" w:rsidP="00F31F9F">
      <w:pPr>
        <w:rPr>
          <w:lang w:eastAsia="ja-JP"/>
        </w:rPr>
      </w:pPr>
      <w:r w:rsidRPr="00F31F9F">
        <w:rPr>
          <w:lang w:eastAsia="ja-JP"/>
        </w:rPr>
        <w:t>The estimated overall mean (</w:t>
      </w:r>
      <w:proofErr w:type="gramStart"/>
      <w:r w:rsidRPr="00F31F9F">
        <w:rPr>
          <w:lang w:eastAsia="ja-JP"/>
        </w:rPr>
        <w:t>CV%</w:t>
      </w:r>
      <w:proofErr w:type="gramEnd"/>
      <w:r w:rsidRPr="00F31F9F">
        <w:rPr>
          <w:lang w:eastAsia="ja-JP"/>
        </w:rPr>
        <w:t xml:space="preserve">) volume of distribution based on terminal </w:t>
      </w:r>
      <w:r w:rsidR="00076799">
        <w:rPr>
          <w:lang w:eastAsia="ja-JP"/>
        </w:rPr>
        <w:t>p</w:t>
      </w:r>
      <w:r w:rsidR="0018721C">
        <w:rPr>
          <w:lang w:eastAsia="ja-JP"/>
        </w:rPr>
        <w:t>hase</w:t>
      </w:r>
      <w:r w:rsidRPr="00F31F9F">
        <w:rPr>
          <w:lang w:eastAsia="ja-JP"/>
        </w:rPr>
        <w:t xml:space="preserve"> (Vz) was 4.52 L (64%), indicating that blinatumomab is mainly distributed in the vascular space. As a therapeutic protein, blinatumomab is likely cleared mainly via the normal catabolic degradation to small peptides and individual amino acids. Results from </w:t>
      </w:r>
      <w:r w:rsidRPr="005E5C58">
        <w:rPr>
          <w:iCs/>
          <w:lang w:eastAsia="ja-JP"/>
        </w:rPr>
        <w:t>in vitro</w:t>
      </w:r>
      <w:r w:rsidRPr="00F31F9F">
        <w:rPr>
          <w:lang w:eastAsia="ja-JP"/>
        </w:rPr>
        <w:t xml:space="preserve"> testing with human hepatocytes suggested that blinatumomab did not affect C</w:t>
      </w:r>
      <w:r w:rsidR="00076799">
        <w:rPr>
          <w:lang w:eastAsia="ja-JP"/>
        </w:rPr>
        <w:t>YP450 enzyme activities (</w:t>
      </w:r>
      <w:r w:rsidR="006D2941">
        <w:rPr>
          <w:lang w:eastAsia="ja-JP"/>
        </w:rPr>
        <w:t xml:space="preserve">details given in </w:t>
      </w:r>
      <w:r w:rsidR="00076799">
        <w:rPr>
          <w:lang w:eastAsia="ja-JP"/>
        </w:rPr>
        <w:t>Report </w:t>
      </w:r>
      <w:r w:rsidRPr="00F31F9F">
        <w:rPr>
          <w:lang w:eastAsia="ja-JP"/>
        </w:rPr>
        <w:t>NSX0011</w:t>
      </w:r>
      <w:r w:rsidR="006D2941">
        <w:rPr>
          <w:lang w:eastAsia="ja-JP"/>
        </w:rPr>
        <w:t xml:space="preserve"> [not reproduced here]) </w:t>
      </w:r>
      <w:r w:rsidRPr="00F31F9F">
        <w:rPr>
          <w:lang w:eastAsia="ja-JP"/>
        </w:rPr>
        <w:t>thus a pharmacokinetic interaction between blinatumomab and drugs metabol</w:t>
      </w:r>
      <w:r w:rsidR="00D50F7E">
        <w:rPr>
          <w:lang w:eastAsia="ja-JP"/>
        </w:rPr>
        <w:t>ised</w:t>
      </w:r>
      <w:r w:rsidRPr="00F31F9F">
        <w:rPr>
          <w:lang w:eastAsia="ja-JP"/>
        </w:rPr>
        <w:t xml:space="preserve"> by </w:t>
      </w:r>
      <w:r w:rsidR="00706344">
        <w:rPr>
          <w:lang w:eastAsia="ja-JP"/>
        </w:rPr>
        <w:t>CYP450 enzymes is not expected.</w:t>
      </w:r>
    </w:p>
    <w:p w14:paraId="2C71FF2D" w14:textId="1EC0303D" w:rsidR="00F31F9F" w:rsidRDefault="00F31F9F" w:rsidP="00F31F9F">
      <w:pPr>
        <w:rPr>
          <w:lang w:eastAsia="ja-JP"/>
        </w:rPr>
      </w:pPr>
      <w:r w:rsidRPr="00F31F9F">
        <w:rPr>
          <w:lang w:eastAsia="ja-JP"/>
        </w:rPr>
        <w:t>Body size (bod</w:t>
      </w:r>
      <w:r w:rsidR="005E5C58">
        <w:rPr>
          <w:lang w:eastAsia="ja-JP"/>
        </w:rPr>
        <w:t>y weight and body surface area (BSA)</w:t>
      </w:r>
      <w:r w:rsidRPr="00F31F9F">
        <w:rPr>
          <w:lang w:eastAsia="ja-JP"/>
        </w:rPr>
        <w:t xml:space="preserve">) did not affect drug clearance in adult patients. Mean </w:t>
      </w:r>
      <w:r w:rsidR="005E5C58">
        <w:rPr>
          <w:lang w:eastAsia="ja-JP"/>
        </w:rPr>
        <w:t>C</w:t>
      </w:r>
      <w:r w:rsidR="005E5C58">
        <w:rPr>
          <w:vertAlign w:val="subscript"/>
          <w:lang w:eastAsia="ja-JP"/>
        </w:rPr>
        <w:t>ss</w:t>
      </w:r>
      <w:r w:rsidR="006D2941">
        <w:rPr>
          <w:lang w:eastAsia="ja-JP"/>
        </w:rPr>
        <w:t xml:space="preserve"> values under the BSA </w:t>
      </w:r>
      <w:r w:rsidRPr="00F31F9F">
        <w:rPr>
          <w:lang w:eastAsia="ja-JP"/>
        </w:rPr>
        <w:t>based (initiate at 5</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 xml:space="preserve">/day and step </w:t>
      </w:r>
      <w:proofErr w:type="gramStart"/>
      <w:r w:rsidRPr="00F31F9F">
        <w:rPr>
          <w:lang w:eastAsia="ja-JP"/>
        </w:rPr>
        <w:t>to 15</w:t>
      </w:r>
      <w:r w:rsidR="006D2941">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/day</w:t>
      </w:r>
      <w:proofErr w:type="gramEnd"/>
      <w:r w:rsidRPr="00F31F9F">
        <w:rPr>
          <w:lang w:eastAsia="ja-JP"/>
        </w:rPr>
        <w:t>) and fixed dosing (initiate at 9</w:t>
      </w:r>
      <w:r w:rsidR="00375CAE">
        <w:rPr>
          <w:lang w:eastAsia="ja-JP"/>
        </w:rPr>
        <w:t xml:space="preserve"> </w:t>
      </w:r>
      <w:r w:rsidR="0018721C">
        <w:rPr>
          <w:lang w:eastAsia="ja-JP"/>
        </w:rPr>
        <w:t>µg</w:t>
      </w:r>
      <w:r w:rsidRPr="00F31F9F">
        <w:rPr>
          <w:lang w:eastAsia="ja-JP"/>
        </w:rPr>
        <w:t>/day and step to 28</w:t>
      </w:r>
      <w:r w:rsidR="00375CAE">
        <w:rPr>
          <w:lang w:eastAsia="ja-JP"/>
        </w:rPr>
        <w:t xml:space="preserve"> </w:t>
      </w:r>
      <w:r w:rsidR="0018721C">
        <w:rPr>
          <w:lang w:eastAsia="ja-JP"/>
        </w:rPr>
        <w:t>µg</w:t>
      </w:r>
      <w:r w:rsidR="00BA7711">
        <w:rPr>
          <w:lang w:eastAsia="ja-JP"/>
        </w:rPr>
        <w:t xml:space="preserve">/day) were similar, </w:t>
      </w:r>
      <w:r w:rsidRPr="00F31F9F">
        <w:rPr>
          <w:lang w:eastAsia="ja-JP"/>
        </w:rPr>
        <w:t xml:space="preserve">supporting the use of a fixed dosing regimen. </w:t>
      </w:r>
      <w:r w:rsidR="005E5C58">
        <w:rPr>
          <w:lang w:eastAsia="ja-JP"/>
        </w:rPr>
        <w:t>C</w:t>
      </w:r>
      <w:r w:rsidR="005E5C58">
        <w:rPr>
          <w:vertAlign w:val="subscript"/>
          <w:lang w:eastAsia="ja-JP"/>
        </w:rPr>
        <w:t>ss</w:t>
      </w:r>
      <w:r w:rsidRPr="00F31F9F">
        <w:rPr>
          <w:lang w:eastAsia="ja-JP"/>
        </w:rPr>
        <w:t xml:space="preserve"> values were similar in adult and paediatric patients at the equi</w:t>
      </w:r>
      <w:r w:rsidR="006D2941">
        <w:rPr>
          <w:lang w:eastAsia="ja-JP"/>
        </w:rPr>
        <w:t xml:space="preserve">valent dose levels based on BSA </w:t>
      </w:r>
      <w:r w:rsidRPr="00F31F9F">
        <w:rPr>
          <w:lang w:eastAsia="ja-JP"/>
        </w:rPr>
        <w:t xml:space="preserve">based dosing regimens. Pharmacokinetic parameters in subjects with different disease states (ALL </w:t>
      </w:r>
      <w:r w:rsidR="00BA7711">
        <w:rPr>
          <w:lang w:eastAsia="ja-JP"/>
        </w:rPr>
        <w:t>and NHL) were similar. The frequency of neutralis</w:t>
      </w:r>
      <w:r w:rsidRPr="00F31F9F">
        <w:rPr>
          <w:lang w:eastAsia="ja-JP"/>
        </w:rPr>
        <w:t>ing anti-blinatumomab antibodies was less than 1% (3 out of 325 subjects) in the 4 clinical studies.</w:t>
      </w:r>
    </w:p>
    <w:p w14:paraId="0A00B982" w14:textId="2368722A" w:rsidR="006D2941" w:rsidRPr="006D2941" w:rsidRDefault="006D2941" w:rsidP="00F31F9F">
      <w:pPr>
        <w:rPr>
          <w:lang w:eastAsia="ja-JP"/>
        </w:rPr>
      </w:pPr>
      <w:r>
        <w:rPr>
          <w:lang w:eastAsia="ja-JP"/>
        </w:rPr>
        <w:t>The mean blinatumomab C</w:t>
      </w:r>
      <w:r>
        <w:rPr>
          <w:vertAlign w:val="subscript"/>
          <w:lang w:eastAsia="ja-JP"/>
        </w:rPr>
        <w:t>ss</w:t>
      </w:r>
      <w:r>
        <w:rPr>
          <w:lang w:eastAsia="ja-JP"/>
        </w:rPr>
        <w:t xml:space="preserve"> by dose across diseases and studies is given in Table 6, shown below.</w:t>
      </w:r>
    </w:p>
    <w:p w14:paraId="2C572E60" w14:textId="1C77893A" w:rsidR="00F31F9F" w:rsidRPr="00F31F9F" w:rsidRDefault="00F31F9F" w:rsidP="006D2941">
      <w:pPr>
        <w:pStyle w:val="Tabletitle"/>
        <w:rPr>
          <w:lang w:eastAsia="ja-JP"/>
        </w:rPr>
      </w:pPr>
      <w:bookmarkStart w:id="75" w:name="_Toc292015689"/>
      <w:r w:rsidRPr="00F31F9F">
        <w:rPr>
          <w:lang w:eastAsia="ja-JP"/>
        </w:rPr>
        <w:t xml:space="preserve">Table </w:t>
      </w:r>
      <w:r w:rsidR="00586C19">
        <w:rPr>
          <w:lang w:eastAsia="ja-JP"/>
        </w:rPr>
        <w:t>6:</w:t>
      </w:r>
      <w:r w:rsidR="006D2941">
        <w:rPr>
          <w:lang w:eastAsia="ja-JP"/>
        </w:rPr>
        <w:t xml:space="preserve"> Mean (SD) blinatumomab steady state c</w:t>
      </w:r>
      <w:r w:rsidRPr="00F31F9F">
        <w:rPr>
          <w:lang w:eastAsia="ja-JP"/>
        </w:rPr>
        <w:t>oncentration (</w:t>
      </w:r>
      <w:r w:rsidR="005E5C58">
        <w:rPr>
          <w:lang w:eastAsia="ja-JP"/>
        </w:rPr>
        <w:t>C</w:t>
      </w:r>
      <w:r w:rsidR="005E5C58">
        <w:rPr>
          <w:vertAlign w:val="subscript"/>
          <w:lang w:eastAsia="ja-JP"/>
        </w:rPr>
        <w:t>ss</w:t>
      </w:r>
      <w:r w:rsidR="006D2941">
        <w:rPr>
          <w:lang w:eastAsia="ja-JP"/>
        </w:rPr>
        <w:t>) by dose in s</w:t>
      </w:r>
      <w:r w:rsidRPr="00F31F9F">
        <w:rPr>
          <w:lang w:eastAsia="ja-JP"/>
        </w:rPr>
        <w:t>ubjects with NHL, MRD+ ALL and R/R ALL</w:t>
      </w:r>
      <w:bookmarkEnd w:id="75"/>
    </w:p>
    <w:tbl>
      <w:tblPr>
        <w:tblStyle w:val="TableTGAblue"/>
        <w:tblW w:w="0" w:type="auto"/>
        <w:tblLook w:val="04A0" w:firstRow="1" w:lastRow="0" w:firstColumn="1" w:lastColumn="0" w:noHBand="0" w:noVBand="1"/>
        <w:tblDescription w:val="Table 6: Mean (SD) blinatumomab steady state concentration (Css) by dose in subjects with NHL, MRD+ ALL and R/R ALL"/>
      </w:tblPr>
      <w:tblGrid>
        <w:gridCol w:w="1509"/>
        <w:gridCol w:w="1682"/>
        <w:gridCol w:w="1898"/>
        <w:gridCol w:w="1256"/>
        <w:gridCol w:w="1256"/>
        <w:gridCol w:w="1248"/>
      </w:tblGrid>
      <w:tr w:rsidR="00F31F9F" w:rsidRPr="00F31F9F" w14:paraId="2EB550DE" w14:textId="77777777" w:rsidTr="007B7D09">
        <w:trPr>
          <w:cnfStyle w:val="100000000000" w:firstRow="1" w:lastRow="0" w:firstColumn="0" w:lastColumn="0" w:oddVBand="0" w:evenVBand="0" w:oddHBand="0" w:evenHBand="0" w:firstRowFirstColumn="0" w:firstRowLastColumn="0" w:lastRowFirstColumn="0" w:lastRowLastColumn="0"/>
          <w:trHeight w:val="506"/>
          <w:tblHeader/>
        </w:trPr>
        <w:tc>
          <w:tcPr>
            <w:cnfStyle w:val="001000000000" w:firstRow="0" w:lastRow="0" w:firstColumn="1" w:lastColumn="0" w:oddVBand="0" w:evenVBand="0" w:oddHBand="0" w:evenHBand="0" w:firstRowFirstColumn="0" w:firstRowLastColumn="0" w:lastRowFirstColumn="0" w:lastRowLastColumn="0"/>
            <w:tcW w:w="1509" w:type="dxa"/>
          </w:tcPr>
          <w:p w14:paraId="279AE83A" w14:textId="77777777" w:rsidR="00F31F9F" w:rsidRPr="00F31F9F" w:rsidRDefault="00F31F9F" w:rsidP="006D2941">
            <w:pPr>
              <w:keepNext/>
              <w:rPr>
                <w:lang w:eastAsia="ja-JP"/>
              </w:rPr>
            </w:pPr>
          </w:p>
        </w:tc>
        <w:tc>
          <w:tcPr>
            <w:tcW w:w="7340" w:type="dxa"/>
            <w:gridSpan w:val="5"/>
          </w:tcPr>
          <w:p w14:paraId="7CCBBA41" w14:textId="4677C11E" w:rsidR="00F31F9F" w:rsidRPr="00F31F9F" w:rsidRDefault="00F31F9F" w:rsidP="006D2941">
            <w:pPr>
              <w:keepNext/>
              <w:cnfStyle w:val="100000000000" w:firstRow="1" w:lastRow="0" w:firstColumn="0" w:lastColumn="0" w:oddVBand="0" w:evenVBand="0" w:oddHBand="0" w:evenHBand="0" w:firstRowFirstColumn="0" w:firstRowLastColumn="0" w:lastRowFirstColumn="0" w:lastRowLastColumn="0"/>
              <w:rPr>
                <w:lang w:eastAsia="ja-JP"/>
              </w:rPr>
            </w:pPr>
            <w:r w:rsidRPr="00F31F9F">
              <w:rPr>
                <w:lang w:eastAsia="ja-JP"/>
              </w:rPr>
              <w:t xml:space="preserve">Mean ± SD </w:t>
            </w:r>
            <w:r w:rsidR="005E5C58">
              <w:rPr>
                <w:lang w:eastAsia="ja-JP"/>
              </w:rPr>
              <w:t>C</w:t>
            </w:r>
            <w:r w:rsidR="005E5C58">
              <w:rPr>
                <w:vertAlign w:val="subscript"/>
                <w:lang w:eastAsia="ja-JP"/>
              </w:rPr>
              <w:t>ss</w:t>
            </w:r>
            <w:r w:rsidRPr="00F31F9F">
              <w:rPr>
                <w:lang w:eastAsia="ja-JP"/>
              </w:rPr>
              <w:t xml:space="preserve"> (pg/mL) (N)</w:t>
            </w:r>
          </w:p>
        </w:tc>
      </w:tr>
      <w:tr w:rsidR="00FB23F1" w:rsidRPr="00F31F9F" w14:paraId="17C8DF6A" w14:textId="77777777" w:rsidTr="007B270B">
        <w:trPr>
          <w:trHeight w:val="417"/>
        </w:trPr>
        <w:tc>
          <w:tcPr>
            <w:cnfStyle w:val="001000000000" w:firstRow="0" w:lastRow="0" w:firstColumn="1" w:lastColumn="0" w:oddVBand="0" w:evenVBand="0" w:oddHBand="0" w:evenHBand="0" w:firstRowFirstColumn="0" w:firstRowLastColumn="0" w:lastRowFirstColumn="0" w:lastRowLastColumn="0"/>
            <w:tcW w:w="1509" w:type="dxa"/>
          </w:tcPr>
          <w:p w14:paraId="7CEC14DC" w14:textId="77777777" w:rsidR="000F42DB" w:rsidRPr="00D92B1E" w:rsidRDefault="000F42DB" w:rsidP="006D2941">
            <w:pPr>
              <w:keepNext/>
              <w:ind w:left="0" w:right="0"/>
              <w:rPr>
                <w:sz w:val="20"/>
                <w:lang w:eastAsia="ja-JP"/>
              </w:rPr>
            </w:pPr>
            <w:r w:rsidRPr="00D92B1E">
              <w:rPr>
                <w:sz w:val="20"/>
                <w:lang w:eastAsia="ja-JP"/>
              </w:rPr>
              <w:t>Disease Study (dosing)</w:t>
            </w:r>
          </w:p>
        </w:tc>
        <w:tc>
          <w:tcPr>
            <w:tcW w:w="1682" w:type="dxa"/>
          </w:tcPr>
          <w:p w14:paraId="6D8307CD" w14:textId="2457C073" w:rsidR="000F42DB" w:rsidRPr="006D2941" w:rsidRDefault="000F42DB" w:rsidP="006D2941">
            <w:pPr>
              <w:keepNext/>
              <w:ind w:left="0" w:right="0"/>
              <w:cnfStyle w:val="000000000000" w:firstRow="0" w:lastRow="0" w:firstColumn="0" w:lastColumn="0" w:oddVBand="0" w:evenVBand="0" w:oddHBand="0" w:evenHBand="0" w:firstRowFirstColumn="0" w:firstRowLastColumn="0" w:lastRowFirstColumn="0" w:lastRowLastColumn="0"/>
              <w:rPr>
                <w:b/>
                <w:sz w:val="20"/>
                <w:lang w:eastAsia="ja-JP"/>
              </w:rPr>
            </w:pPr>
            <w:r w:rsidRPr="006D2941">
              <w:rPr>
                <w:b/>
                <w:sz w:val="20"/>
                <w:lang w:eastAsia="ja-JP"/>
              </w:rPr>
              <w:t>5 µg/m</w:t>
            </w:r>
            <w:r w:rsidRPr="006D2941">
              <w:rPr>
                <w:b/>
                <w:sz w:val="20"/>
                <w:vertAlign w:val="superscript"/>
                <w:lang w:eastAsia="ja-JP"/>
              </w:rPr>
              <w:t>2</w:t>
            </w:r>
            <w:r w:rsidRPr="006D2941">
              <w:rPr>
                <w:b/>
                <w:sz w:val="20"/>
                <w:lang w:eastAsia="ja-JP"/>
              </w:rPr>
              <w:t xml:space="preserve"> or 9 µg</w:t>
            </w:r>
          </w:p>
        </w:tc>
        <w:tc>
          <w:tcPr>
            <w:tcW w:w="1898" w:type="dxa"/>
          </w:tcPr>
          <w:p w14:paraId="56CF4001" w14:textId="1D7CDE99" w:rsidR="000F42DB" w:rsidRPr="006D2941" w:rsidRDefault="000F42DB" w:rsidP="006D2941">
            <w:pPr>
              <w:keepNext/>
              <w:ind w:left="0" w:right="0"/>
              <w:cnfStyle w:val="000000000000" w:firstRow="0" w:lastRow="0" w:firstColumn="0" w:lastColumn="0" w:oddVBand="0" w:evenVBand="0" w:oddHBand="0" w:evenHBand="0" w:firstRowFirstColumn="0" w:firstRowLastColumn="0" w:lastRowFirstColumn="0" w:lastRowLastColumn="0"/>
              <w:rPr>
                <w:b/>
                <w:sz w:val="20"/>
                <w:lang w:eastAsia="ja-JP"/>
              </w:rPr>
            </w:pPr>
            <w:r w:rsidRPr="006D2941">
              <w:rPr>
                <w:b/>
                <w:sz w:val="20"/>
                <w:lang w:eastAsia="ja-JP"/>
              </w:rPr>
              <w:t>15 µg/m</w:t>
            </w:r>
            <w:r w:rsidRPr="006D2941">
              <w:rPr>
                <w:b/>
                <w:sz w:val="20"/>
                <w:vertAlign w:val="superscript"/>
                <w:lang w:eastAsia="ja-JP"/>
              </w:rPr>
              <w:t>2</w:t>
            </w:r>
            <w:r w:rsidRPr="006D2941">
              <w:rPr>
                <w:b/>
                <w:sz w:val="20"/>
                <w:lang w:eastAsia="ja-JP"/>
              </w:rPr>
              <w:t xml:space="preserve"> or 28 µg</w:t>
            </w:r>
          </w:p>
        </w:tc>
        <w:tc>
          <w:tcPr>
            <w:tcW w:w="1256" w:type="dxa"/>
          </w:tcPr>
          <w:p w14:paraId="67D73C01" w14:textId="67177343" w:rsidR="000F42DB" w:rsidRPr="006D2941" w:rsidRDefault="000F42DB" w:rsidP="006D2941">
            <w:pPr>
              <w:keepNext/>
              <w:ind w:left="0" w:right="0"/>
              <w:cnfStyle w:val="000000000000" w:firstRow="0" w:lastRow="0" w:firstColumn="0" w:lastColumn="0" w:oddVBand="0" w:evenVBand="0" w:oddHBand="0" w:evenHBand="0" w:firstRowFirstColumn="0" w:firstRowLastColumn="0" w:lastRowFirstColumn="0" w:lastRowLastColumn="0"/>
              <w:rPr>
                <w:b/>
                <w:sz w:val="20"/>
                <w:lang w:eastAsia="ja-JP"/>
              </w:rPr>
            </w:pPr>
            <w:r w:rsidRPr="006D2941">
              <w:rPr>
                <w:b/>
                <w:sz w:val="20"/>
                <w:lang w:eastAsia="ja-JP"/>
              </w:rPr>
              <w:t>30 µg/m</w:t>
            </w:r>
            <w:r w:rsidRPr="006D2941">
              <w:rPr>
                <w:b/>
                <w:sz w:val="20"/>
                <w:vertAlign w:val="superscript"/>
                <w:lang w:eastAsia="ja-JP"/>
              </w:rPr>
              <w:t>2</w:t>
            </w:r>
          </w:p>
        </w:tc>
        <w:tc>
          <w:tcPr>
            <w:tcW w:w="1256" w:type="dxa"/>
          </w:tcPr>
          <w:p w14:paraId="4725E3CE" w14:textId="2621DD42" w:rsidR="000F42DB" w:rsidRPr="006D2941" w:rsidRDefault="000F42DB" w:rsidP="006D2941">
            <w:pPr>
              <w:keepNext/>
              <w:ind w:left="0" w:right="0"/>
              <w:cnfStyle w:val="000000000000" w:firstRow="0" w:lastRow="0" w:firstColumn="0" w:lastColumn="0" w:oddVBand="0" w:evenVBand="0" w:oddHBand="0" w:evenHBand="0" w:firstRowFirstColumn="0" w:firstRowLastColumn="0" w:lastRowFirstColumn="0" w:lastRowLastColumn="0"/>
              <w:rPr>
                <w:b/>
                <w:sz w:val="20"/>
                <w:lang w:eastAsia="ja-JP"/>
              </w:rPr>
            </w:pPr>
            <w:r w:rsidRPr="006D2941">
              <w:rPr>
                <w:b/>
                <w:sz w:val="20"/>
                <w:lang w:eastAsia="ja-JP"/>
              </w:rPr>
              <w:t>60 µg/m</w:t>
            </w:r>
            <w:r w:rsidRPr="006D2941">
              <w:rPr>
                <w:b/>
                <w:sz w:val="20"/>
                <w:vertAlign w:val="superscript"/>
                <w:lang w:eastAsia="ja-JP"/>
              </w:rPr>
              <w:t>2</w:t>
            </w:r>
          </w:p>
        </w:tc>
        <w:tc>
          <w:tcPr>
            <w:tcW w:w="1248" w:type="dxa"/>
          </w:tcPr>
          <w:p w14:paraId="07E92F51" w14:textId="093B5C9C" w:rsidR="000F42DB" w:rsidRPr="006D2941" w:rsidRDefault="000F42DB" w:rsidP="006D2941">
            <w:pPr>
              <w:keepNext/>
              <w:ind w:left="0" w:right="0"/>
              <w:cnfStyle w:val="000000000000" w:firstRow="0" w:lastRow="0" w:firstColumn="0" w:lastColumn="0" w:oddVBand="0" w:evenVBand="0" w:oddHBand="0" w:evenHBand="0" w:firstRowFirstColumn="0" w:firstRowLastColumn="0" w:lastRowFirstColumn="0" w:lastRowLastColumn="0"/>
              <w:rPr>
                <w:b/>
                <w:sz w:val="20"/>
                <w:lang w:eastAsia="ja-JP"/>
              </w:rPr>
            </w:pPr>
            <w:r w:rsidRPr="006D2941">
              <w:rPr>
                <w:b/>
                <w:sz w:val="20"/>
                <w:lang w:eastAsia="ja-JP"/>
              </w:rPr>
              <w:t>90 µg/m</w:t>
            </w:r>
            <w:r w:rsidRPr="006D2941">
              <w:rPr>
                <w:b/>
                <w:sz w:val="20"/>
                <w:vertAlign w:val="superscript"/>
                <w:lang w:eastAsia="ja-JP"/>
              </w:rPr>
              <w:t>2</w:t>
            </w:r>
          </w:p>
        </w:tc>
      </w:tr>
      <w:tr w:rsidR="00F31F9F" w:rsidRPr="00F31F9F" w14:paraId="515949CD" w14:textId="77777777" w:rsidTr="007B270B">
        <w:trPr>
          <w:trHeight w:val="328"/>
        </w:trPr>
        <w:tc>
          <w:tcPr>
            <w:cnfStyle w:val="001000000000" w:firstRow="0" w:lastRow="0" w:firstColumn="1" w:lastColumn="0" w:oddVBand="0" w:evenVBand="0" w:oddHBand="0" w:evenHBand="0" w:firstRowFirstColumn="0" w:firstRowLastColumn="0" w:lastRowFirstColumn="0" w:lastRowLastColumn="0"/>
            <w:tcW w:w="8849" w:type="dxa"/>
            <w:gridSpan w:val="6"/>
          </w:tcPr>
          <w:p w14:paraId="6044FAE0" w14:textId="77777777" w:rsidR="00F31F9F" w:rsidRPr="00D92B1E" w:rsidRDefault="00F31F9F" w:rsidP="006D2941">
            <w:pPr>
              <w:keepNext/>
              <w:ind w:left="0" w:right="0"/>
              <w:rPr>
                <w:b/>
                <w:bCs/>
                <w:sz w:val="20"/>
                <w:lang w:eastAsia="ja-JP"/>
              </w:rPr>
            </w:pPr>
            <w:r w:rsidRPr="00D92B1E">
              <w:rPr>
                <w:b/>
                <w:bCs/>
                <w:sz w:val="20"/>
                <w:lang w:eastAsia="ja-JP"/>
              </w:rPr>
              <w:t>Adult Subjects</w:t>
            </w:r>
          </w:p>
        </w:tc>
      </w:tr>
      <w:tr w:rsidR="00FB23F1" w:rsidRPr="00F31F9F" w14:paraId="3CEFA700" w14:textId="77777777" w:rsidTr="007B270B">
        <w:trPr>
          <w:trHeight w:val="479"/>
        </w:trPr>
        <w:tc>
          <w:tcPr>
            <w:cnfStyle w:val="001000000000" w:firstRow="0" w:lastRow="0" w:firstColumn="1" w:lastColumn="0" w:oddVBand="0" w:evenVBand="0" w:oddHBand="0" w:evenHBand="0" w:firstRowFirstColumn="0" w:firstRowLastColumn="0" w:lastRowFirstColumn="0" w:lastRowLastColumn="0"/>
            <w:tcW w:w="8849" w:type="dxa"/>
            <w:gridSpan w:val="6"/>
          </w:tcPr>
          <w:p w14:paraId="0677CC92" w14:textId="663F42BE" w:rsidR="00FB23F1" w:rsidRPr="00D92B1E" w:rsidRDefault="00FB23F1" w:rsidP="006D2941">
            <w:pPr>
              <w:keepNext/>
              <w:ind w:left="0" w:right="0"/>
              <w:rPr>
                <w:sz w:val="20"/>
                <w:lang w:eastAsia="ja-JP"/>
              </w:rPr>
            </w:pPr>
            <w:r w:rsidRPr="00D92B1E">
              <w:rPr>
                <w:b/>
                <w:bCs/>
                <w:sz w:val="20"/>
                <w:lang w:eastAsia="ja-JP"/>
              </w:rPr>
              <w:t>NHL</w:t>
            </w:r>
          </w:p>
        </w:tc>
      </w:tr>
      <w:tr w:rsidR="00FB23F1" w:rsidRPr="00F31F9F" w14:paraId="7A4B9AFF" w14:textId="77777777" w:rsidTr="007B270B">
        <w:trPr>
          <w:trHeight w:val="845"/>
        </w:trPr>
        <w:tc>
          <w:tcPr>
            <w:cnfStyle w:val="001000000000" w:firstRow="0" w:lastRow="0" w:firstColumn="1" w:lastColumn="0" w:oddVBand="0" w:evenVBand="0" w:oddHBand="0" w:evenHBand="0" w:firstRowFirstColumn="0" w:firstRowLastColumn="0" w:lastRowFirstColumn="0" w:lastRowLastColumn="0"/>
            <w:tcW w:w="1509" w:type="dxa"/>
          </w:tcPr>
          <w:p w14:paraId="50E67A0C" w14:textId="29CA3504" w:rsidR="00F31F9F" w:rsidRPr="00D92B1E" w:rsidRDefault="00F31F9F" w:rsidP="006D2941">
            <w:pPr>
              <w:keepNext/>
              <w:ind w:left="0" w:right="0"/>
              <w:rPr>
                <w:sz w:val="20"/>
                <w:lang w:eastAsia="ja-JP"/>
              </w:rPr>
            </w:pPr>
            <w:r w:rsidRPr="00D92B1E">
              <w:rPr>
                <w:sz w:val="20"/>
                <w:lang w:eastAsia="ja-JP"/>
              </w:rPr>
              <w:t>MT103-104 (</w:t>
            </w:r>
            <w:r w:rsidR="0018721C" w:rsidRPr="00D92B1E">
              <w:rPr>
                <w:sz w:val="20"/>
                <w:lang w:eastAsia="ja-JP"/>
              </w:rPr>
              <w:t>µg</w:t>
            </w:r>
            <w:r w:rsidRPr="00D92B1E">
              <w:rPr>
                <w:sz w:val="20"/>
                <w:lang w:eastAsia="ja-JP"/>
              </w:rPr>
              <w:t>/m</w:t>
            </w:r>
            <w:r w:rsidRPr="00D92B1E">
              <w:rPr>
                <w:sz w:val="20"/>
                <w:vertAlign w:val="superscript"/>
                <w:lang w:eastAsia="ja-JP"/>
              </w:rPr>
              <w:t>2</w:t>
            </w:r>
            <w:r w:rsidRPr="00D92B1E">
              <w:rPr>
                <w:sz w:val="20"/>
                <w:lang w:eastAsia="ja-JP"/>
              </w:rPr>
              <w:t>/d)</w:t>
            </w:r>
          </w:p>
        </w:tc>
        <w:tc>
          <w:tcPr>
            <w:tcW w:w="1682" w:type="dxa"/>
          </w:tcPr>
          <w:p w14:paraId="48C2F108"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210 ± 85</w:t>
            </w:r>
          </w:p>
          <w:p w14:paraId="34E51067" w14:textId="2C80156E"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32)</w:t>
            </w:r>
          </w:p>
        </w:tc>
        <w:tc>
          <w:tcPr>
            <w:tcW w:w="1898" w:type="dxa"/>
          </w:tcPr>
          <w:p w14:paraId="1BCF15FE"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651 ± 307</w:t>
            </w:r>
          </w:p>
          <w:p w14:paraId="52B3046D" w14:textId="5FE2D340"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36)</w:t>
            </w:r>
          </w:p>
        </w:tc>
        <w:tc>
          <w:tcPr>
            <w:tcW w:w="1256" w:type="dxa"/>
          </w:tcPr>
          <w:p w14:paraId="3EA6E672"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1210 ± 476</w:t>
            </w:r>
          </w:p>
          <w:p w14:paraId="38BDAE9A" w14:textId="6CACDCFE"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6)</w:t>
            </w:r>
          </w:p>
        </w:tc>
        <w:tc>
          <w:tcPr>
            <w:tcW w:w="1256" w:type="dxa"/>
          </w:tcPr>
          <w:p w14:paraId="79DFC842"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2730 ± 985</w:t>
            </w:r>
          </w:p>
          <w:p w14:paraId="5FE01E17" w14:textId="6B821EAD"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34)</w:t>
            </w:r>
          </w:p>
        </w:tc>
        <w:tc>
          <w:tcPr>
            <w:tcW w:w="1248" w:type="dxa"/>
          </w:tcPr>
          <w:p w14:paraId="3781AF6B"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3490 ± 904</w:t>
            </w:r>
          </w:p>
          <w:p w14:paraId="33EF3185" w14:textId="757C2AC5"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4)</w:t>
            </w:r>
          </w:p>
        </w:tc>
      </w:tr>
      <w:tr w:rsidR="00FB23F1" w:rsidRPr="00F31F9F" w14:paraId="0FF171B1" w14:textId="77777777" w:rsidTr="007B270B">
        <w:trPr>
          <w:cantSplit/>
          <w:trHeight w:val="467"/>
        </w:trPr>
        <w:tc>
          <w:tcPr>
            <w:cnfStyle w:val="001000000000" w:firstRow="0" w:lastRow="0" w:firstColumn="1" w:lastColumn="0" w:oddVBand="0" w:evenVBand="0" w:oddHBand="0" w:evenHBand="0" w:firstRowFirstColumn="0" w:firstRowLastColumn="0" w:lastRowFirstColumn="0" w:lastRowLastColumn="0"/>
            <w:tcW w:w="8849" w:type="dxa"/>
            <w:gridSpan w:val="6"/>
          </w:tcPr>
          <w:p w14:paraId="647FA533" w14:textId="05336C6C" w:rsidR="00FB23F1" w:rsidRPr="00D92B1E" w:rsidRDefault="00FB23F1" w:rsidP="006D2941">
            <w:pPr>
              <w:keepNext/>
              <w:ind w:left="0" w:right="0"/>
              <w:rPr>
                <w:sz w:val="20"/>
                <w:lang w:eastAsia="ja-JP"/>
              </w:rPr>
            </w:pPr>
            <w:r w:rsidRPr="00D92B1E">
              <w:rPr>
                <w:b/>
                <w:bCs/>
                <w:sz w:val="20"/>
                <w:lang w:eastAsia="ja-JP"/>
              </w:rPr>
              <w:t>MRD + ALL</w:t>
            </w:r>
          </w:p>
        </w:tc>
      </w:tr>
      <w:tr w:rsidR="00FB23F1" w:rsidRPr="00F31F9F" w14:paraId="7E024E32" w14:textId="77777777" w:rsidTr="007B270B">
        <w:trPr>
          <w:cantSplit/>
          <w:trHeight w:val="833"/>
        </w:trPr>
        <w:tc>
          <w:tcPr>
            <w:cnfStyle w:val="001000000000" w:firstRow="0" w:lastRow="0" w:firstColumn="1" w:lastColumn="0" w:oddVBand="0" w:evenVBand="0" w:oddHBand="0" w:evenHBand="0" w:firstRowFirstColumn="0" w:firstRowLastColumn="0" w:lastRowFirstColumn="0" w:lastRowLastColumn="0"/>
            <w:tcW w:w="1509" w:type="dxa"/>
          </w:tcPr>
          <w:p w14:paraId="3CA356D0" w14:textId="382158C7" w:rsidR="00F31F9F" w:rsidRPr="00D92B1E" w:rsidRDefault="00F31F9F" w:rsidP="006D2941">
            <w:pPr>
              <w:keepNext/>
              <w:ind w:left="0" w:right="0"/>
              <w:rPr>
                <w:sz w:val="20"/>
                <w:lang w:eastAsia="ja-JP"/>
              </w:rPr>
            </w:pPr>
            <w:r w:rsidRPr="00D92B1E">
              <w:rPr>
                <w:sz w:val="20"/>
                <w:lang w:eastAsia="ja-JP"/>
              </w:rPr>
              <w:t>MT103-202 (</w:t>
            </w:r>
            <w:r w:rsidR="0018721C" w:rsidRPr="00D92B1E">
              <w:rPr>
                <w:sz w:val="20"/>
                <w:lang w:eastAsia="ja-JP"/>
              </w:rPr>
              <w:t>µg</w:t>
            </w:r>
            <w:r w:rsidRPr="00D92B1E">
              <w:rPr>
                <w:sz w:val="20"/>
                <w:lang w:eastAsia="ja-JP"/>
              </w:rPr>
              <w:t>/m</w:t>
            </w:r>
            <w:r w:rsidRPr="00D92B1E">
              <w:rPr>
                <w:sz w:val="20"/>
                <w:vertAlign w:val="superscript"/>
                <w:lang w:eastAsia="ja-JP"/>
              </w:rPr>
              <w:t>2</w:t>
            </w:r>
            <w:r w:rsidRPr="00D92B1E">
              <w:rPr>
                <w:sz w:val="20"/>
                <w:lang w:eastAsia="ja-JP"/>
              </w:rPr>
              <w:t>/d)</w:t>
            </w:r>
          </w:p>
        </w:tc>
        <w:tc>
          <w:tcPr>
            <w:tcW w:w="1682" w:type="dxa"/>
          </w:tcPr>
          <w:p w14:paraId="6146364A"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898" w:type="dxa"/>
          </w:tcPr>
          <w:p w14:paraId="111F2327"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696 ± 147</w:t>
            </w:r>
          </w:p>
          <w:p w14:paraId="5D9D8EB8" w14:textId="74663C2B"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19)</w:t>
            </w:r>
          </w:p>
        </w:tc>
        <w:tc>
          <w:tcPr>
            <w:tcW w:w="1256" w:type="dxa"/>
          </w:tcPr>
          <w:p w14:paraId="007920E2"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56" w:type="dxa"/>
          </w:tcPr>
          <w:p w14:paraId="41EF3121"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48" w:type="dxa"/>
          </w:tcPr>
          <w:p w14:paraId="103C8D38"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r>
      <w:tr w:rsidR="00FB23F1" w:rsidRPr="00F31F9F" w14:paraId="77533B3A" w14:textId="77777777" w:rsidTr="007B270B">
        <w:trPr>
          <w:trHeight w:val="467"/>
        </w:trPr>
        <w:tc>
          <w:tcPr>
            <w:cnfStyle w:val="001000000000" w:firstRow="0" w:lastRow="0" w:firstColumn="1" w:lastColumn="0" w:oddVBand="0" w:evenVBand="0" w:oddHBand="0" w:evenHBand="0" w:firstRowFirstColumn="0" w:firstRowLastColumn="0" w:lastRowFirstColumn="0" w:lastRowLastColumn="0"/>
            <w:tcW w:w="8849" w:type="dxa"/>
            <w:gridSpan w:val="6"/>
          </w:tcPr>
          <w:p w14:paraId="639C1EB7" w14:textId="72944770" w:rsidR="00FB23F1" w:rsidRPr="00D92B1E" w:rsidRDefault="00FB23F1" w:rsidP="006D2941">
            <w:pPr>
              <w:keepNext/>
              <w:ind w:left="0" w:right="0"/>
              <w:rPr>
                <w:sz w:val="20"/>
                <w:lang w:eastAsia="ja-JP"/>
              </w:rPr>
            </w:pPr>
            <w:r w:rsidRPr="00D92B1E">
              <w:rPr>
                <w:b/>
                <w:bCs/>
                <w:sz w:val="20"/>
                <w:lang w:eastAsia="ja-JP"/>
              </w:rPr>
              <w:t>R/R ALL</w:t>
            </w:r>
          </w:p>
        </w:tc>
      </w:tr>
      <w:tr w:rsidR="00FB23F1" w:rsidRPr="00F31F9F" w14:paraId="3B0B8C7A" w14:textId="77777777" w:rsidTr="007B270B">
        <w:trPr>
          <w:trHeight w:val="833"/>
        </w:trPr>
        <w:tc>
          <w:tcPr>
            <w:cnfStyle w:val="001000000000" w:firstRow="0" w:lastRow="0" w:firstColumn="1" w:lastColumn="0" w:oddVBand="0" w:evenVBand="0" w:oddHBand="0" w:evenHBand="0" w:firstRowFirstColumn="0" w:firstRowLastColumn="0" w:lastRowFirstColumn="0" w:lastRowLastColumn="0"/>
            <w:tcW w:w="1509" w:type="dxa"/>
          </w:tcPr>
          <w:p w14:paraId="4F141DB9" w14:textId="619F5233" w:rsidR="00F31F9F" w:rsidRPr="00D92B1E" w:rsidRDefault="00F31F9F" w:rsidP="006D2941">
            <w:pPr>
              <w:keepNext/>
              <w:ind w:left="0" w:right="0"/>
              <w:rPr>
                <w:sz w:val="20"/>
                <w:lang w:eastAsia="ja-JP"/>
              </w:rPr>
            </w:pPr>
            <w:r w:rsidRPr="00D92B1E">
              <w:rPr>
                <w:sz w:val="20"/>
                <w:lang w:eastAsia="ja-JP"/>
              </w:rPr>
              <w:t>MT103-206 (</w:t>
            </w:r>
            <w:r w:rsidR="0018721C" w:rsidRPr="00D92B1E">
              <w:rPr>
                <w:sz w:val="20"/>
                <w:lang w:eastAsia="ja-JP"/>
              </w:rPr>
              <w:t>µg</w:t>
            </w:r>
            <w:r w:rsidRPr="00D92B1E">
              <w:rPr>
                <w:sz w:val="20"/>
                <w:lang w:eastAsia="ja-JP"/>
              </w:rPr>
              <w:t>/m</w:t>
            </w:r>
            <w:r w:rsidRPr="00D92B1E">
              <w:rPr>
                <w:sz w:val="20"/>
                <w:vertAlign w:val="superscript"/>
                <w:lang w:eastAsia="ja-JP"/>
              </w:rPr>
              <w:t>2</w:t>
            </w:r>
            <w:r w:rsidRPr="00D92B1E">
              <w:rPr>
                <w:sz w:val="20"/>
                <w:lang w:eastAsia="ja-JP"/>
              </w:rPr>
              <w:t>/d)</w:t>
            </w:r>
          </w:p>
        </w:tc>
        <w:tc>
          <w:tcPr>
            <w:tcW w:w="1682" w:type="dxa"/>
          </w:tcPr>
          <w:p w14:paraId="5FD20C54"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167 ± 66</w:t>
            </w:r>
          </w:p>
          <w:p w14:paraId="51C53393" w14:textId="20D328D4"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31)</w:t>
            </w:r>
          </w:p>
        </w:tc>
        <w:tc>
          <w:tcPr>
            <w:tcW w:w="1898" w:type="dxa"/>
          </w:tcPr>
          <w:p w14:paraId="1E9D2E1A"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552 ± 237</w:t>
            </w:r>
          </w:p>
          <w:p w14:paraId="1558616D" w14:textId="7F8B5086"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34)</w:t>
            </w:r>
          </w:p>
        </w:tc>
        <w:tc>
          <w:tcPr>
            <w:tcW w:w="1256" w:type="dxa"/>
          </w:tcPr>
          <w:p w14:paraId="248CE0BD"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1180 ± 820</w:t>
            </w:r>
          </w:p>
          <w:p w14:paraId="7A9E4FF6" w14:textId="4DE9FC9D"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5)</w:t>
            </w:r>
          </w:p>
        </w:tc>
        <w:tc>
          <w:tcPr>
            <w:tcW w:w="1256" w:type="dxa"/>
          </w:tcPr>
          <w:p w14:paraId="266E8781"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48" w:type="dxa"/>
          </w:tcPr>
          <w:p w14:paraId="79513282"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r>
      <w:tr w:rsidR="00FB23F1" w:rsidRPr="00F31F9F" w14:paraId="7503928B" w14:textId="77777777" w:rsidTr="007B270B">
        <w:trPr>
          <w:trHeight w:val="821"/>
        </w:trPr>
        <w:tc>
          <w:tcPr>
            <w:cnfStyle w:val="001000000000" w:firstRow="0" w:lastRow="0" w:firstColumn="1" w:lastColumn="0" w:oddVBand="0" w:evenVBand="0" w:oddHBand="0" w:evenHBand="0" w:firstRowFirstColumn="0" w:firstRowLastColumn="0" w:lastRowFirstColumn="0" w:lastRowLastColumn="0"/>
            <w:tcW w:w="1509" w:type="dxa"/>
          </w:tcPr>
          <w:p w14:paraId="451909D9" w14:textId="7257937F" w:rsidR="00F31F9F" w:rsidRPr="00D92B1E" w:rsidRDefault="00F31F9F" w:rsidP="006D2941">
            <w:pPr>
              <w:keepNext/>
              <w:ind w:left="0" w:right="0"/>
              <w:rPr>
                <w:sz w:val="20"/>
                <w:lang w:eastAsia="ja-JP"/>
              </w:rPr>
            </w:pPr>
            <w:r w:rsidRPr="00D92B1E">
              <w:rPr>
                <w:sz w:val="20"/>
                <w:lang w:eastAsia="ja-JP"/>
              </w:rPr>
              <w:t>MT103-211 (</w:t>
            </w:r>
            <w:r w:rsidR="0018721C" w:rsidRPr="00D92B1E">
              <w:rPr>
                <w:sz w:val="20"/>
                <w:lang w:eastAsia="ja-JP"/>
              </w:rPr>
              <w:t>µg</w:t>
            </w:r>
            <w:r w:rsidRPr="00D92B1E">
              <w:rPr>
                <w:sz w:val="20"/>
                <w:lang w:eastAsia="ja-JP"/>
              </w:rPr>
              <w:t>/d)</w:t>
            </w:r>
          </w:p>
        </w:tc>
        <w:tc>
          <w:tcPr>
            <w:tcW w:w="1682" w:type="dxa"/>
          </w:tcPr>
          <w:p w14:paraId="4C521B20" w14:textId="77777777" w:rsidR="00FB23F1"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211 ± 258</w:t>
            </w:r>
            <w:r w:rsidRPr="00D92B1E">
              <w:rPr>
                <w:sz w:val="20"/>
                <w:vertAlign w:val="superscript"/>
                <w:lang w:eastAsia="ja-JP"/>
              </w:rPr>
              <w:t>a</w:t>
            </w:r>
          </w:p>
          <w:p w14:paraId="6C9BA864" w14:textId="04E787CD"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132)</w:t>
            </w:r>
          </w:p>
        </w:tc>
        <w:tc>
          <w:tcPr>
            <w:tcW w:w="1898" w:type="dxa"/>
          </w:tcPr>
          <w:p w14:paraId="6B4A9119" w14:textId="77777777" w:rsidR="00FB23F1"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621 ± 502</w:t>
            </w:r>
            <w:r w:rsidRPr="00D92B1E">
              <w:rPr>
                <w:sz w:val="20"/>
                <w:vertAlign w:val="superscript"/>
                <w:lang w:eastAsia="ja-JP"/>
              </w:rPr>
              <w:t>a</w:t>
            </w:r>
          </w:p>
          <w:p w14:paraId="2A97E703" w14:textId="26AD4E3D"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160)</w:t>
            </w:r>
          </w:p>
        </w:tc>
        <w:tc>
          <w:tcPr>
            <w:tcW w:w="1256" w:type="dxa"/>
          </w:tcPr>
          <w:p w14:paraId="20861A1C"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56" w:type="dxa"/>
          </w:tcPr>
          <w:p w14:paraId="53A46A9B"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48" w:type="dxa"/>
          </w:tcPr>
          <w:p w14:paraId="659A8C41"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r>
      <w:tr w:rsidR="00F31F9F" w:rsidRPr="00F31F9F" w14:paraId="6D787FA6" w14:textId="77777777" w:rsidTr="007B270B">
        <w:trPr>
          <w:trHeight w:val="479"/>
        </w:trPr>
        <w:tc>
          <w:tcPr>
            <w:cnfStyle w:val="001000000000" w:firstRow="0" w:lastRow="0" w:firstColumn="1" w:lastColumn="0" w:oddVBand="0" w:evenVBand="0" w:oddHBand="0" w:evenHBand="0" w:firstRowFirstColumn="0" w:firstRowLastColumn="0" w:lastRowFirstColumn="0" w:lastRowLastColumn="0"/>
            <w:tcW w:w="8849" w:type="dxa"/>
            <w:gridSpan w:val="6"/>
          </w:tcPr>
          <w:p w14:paraId="2519E525" w14:textId="4F1FB1D7" w:rsidR="00F31F9F" w:rsidRPr="00D92B1E" w:rsidRDefault="00FB23F1" w:rsidP="006D2941">
            <w:pPr>
              <w:keepNext/>
              <w:ind w:left="0" w:right="0"/>
              <w:rPr>
                <w:b/>
                <w:bCs/>
                <w:sz w:val="20"/>
                <w:lang w:eastAsia="ja-JP"/>
              </w:rPr>
            </w:pPr>
            <w:r w:rsidRPr="00D92B1E">
              <w:rPr>
                <w:b/>
                <w:bCs/>
                <w:sz w:val="20"/>
                <w:lang w:eastAsia="ja-JP"/>
              </w:rPr>
              <w:t>Paediatric Subjects (2 to</w:t>
            </w:r>
            <w:r w:rsidR="00F31F9F" w:rsidRPr="00D92B1E">
              <w:rPr>
                <w:b/>
                <w:bCs/>
                <w:sz w:val="20"/>
                <w:lang w:eastAsia="ja-JP"/>
              </w:rPr>
              <w:t xml:space="preserve"> 17 years of age)</w:t>
            </w:r>
          </w:p>
        </w:tc>
      </w:tr>
      <w:tr w:rsidR="00FB23F1" w:rsidRPr="00F31F9F" w14:paraId="3F1EF0C3" w14:textId="77777777" w:rsidTr="007B270B">
        <w:trPr>
          <w:trHeight w:val="821"/>
        </w:trPr>
        <w:tc>
          <w:tcPr>
            <w:cnfStyle w:val="001000000000" w:firstRow="0" w:lastRow="0" w:firstColumn="1" w:lastColumn="0" w:oddVBand="0" w:evenVBand="0" w:oddHBand="0" w:evenHBand="0" w:firstRowFirstColumn="0" w:firstRowLastColumn="0" w:lastRowFirstColumn="0" w:lastRowLastColumn="0"/>
            <w:tcW w:w="1509" w:type="dxa"/>
          </w:tcPr>
          <w:p w14:paraId="42C600E2" w14:textId="42B0388A" w:rsidR="00F31F9F" w:rsidRPr="00D92B1E" w:rsidRDefault="00FB23F1" w:rsidP="006D2941">
            <w:pPr>
              <w:keepNext/>
              <w:ind w:left="0" w:right="0"/>
              <w:rPr>
                <w:sz w:val="20"/>
                <w:lang w:eastAsia="ja-JP"/>
              </w:rPr>
            </w:pPr>
            <w:r w:rsidRPr="00D92B1E">
              <w:rPr>
                <w:sz w:val="20"/>
                <w:lang w:eastAsia="ja-JP"/>
              </w:rPr>
              <w:t>R/R ALL</w:t>
            </w:r>
          </w:p>
          <w:p w14:paraId="411CC86D" w14:textId="77777777" w:rsidR="00F31F9F" w:rsidRPr="00D92B1E" w:rsidRDefault="00F31F9F" w:rsidP="006D2941">
            <w:pPr>
              <w:keepNext/>
              <w:ind w:left="0" w:right="0"/>
              <w:rPr>
                <w:sz w:val="20"/>
                <w:lang w:eastAsia="ja-JP"/>
              </w:rPr>
            </w:pPr>
            <w:r w:rsidRPr="00D92B1E">
              <w:rPr>
                <w:sz w:val="20"/>
                <w:lang w:eastAsia="ja-JP"/>
              </w:rPr>
              <w:t>MT103-205</w:t>
            </w:r>
          </w:p>
        </w:tc>
        <w:tc>
          <w:tcPr>
            <w:tcW w:w="1682" w:type="dxa"/>
          </w:tcPr>
          <w:p w14:paraId="0841CDC6"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898" w:type="dxa"/>
          </w:tcPr>
          <w:p w14:paraId="5F7FE60A"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256" w:type="dxa"/>
          </w:tcPr>
          <w:p w14:paraId="48A907EA"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256" w:type="dxa"/>
          </w:tcPr>
          <w:p w14:paraId="17A186A2"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248" w:type="dxa"/>
          </w:tcPr>
          <w:p w14:paraId="2AB6BA89"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FB23F1" w:rsidRPr="00F31F9F" w14:paraId="3A53B921" w14:textId="77777777" w:rsidTr="007B270B">
        <w:trPr>
          <w:trHeight w:val="833"/>
        </w:trPr>
        <w:tc>
          <w:tcPr>
            <w:cnfStyle w:val="001000000000" w:firstRow="0" w:lastRow="0" w:firstColumn="1" w:lastColumn="0" w:oddVBand="0" w:evenVBand="0" w:oddHBand="0" w:evenHBand="0" w:firstRowFirstColumn="0" w:firstRowLastColumn="0" w:lastRowFirstColumn="0" w:lastRowLastColumn="0"/>
            <w:tcW w:w="1509" w:type="dxa"/>
          </w:tcPr>
          <w:p w14:paraId="21073E43" w14:textId="7E57292C" w:rsidR="00F31F9F" w:rsidRPr="00D92B1E" w:rsidRDefault="00FB23F1" w:rsidP="006D2941">
            <w:pPr>
              <w:keepNext/>
              <w:ind w:left="0" w:right="0"/>
              <w:rPr>
                <w:sz w:val="20"/>
                <w:lang w:eastAsia="ja-JP"/>
              </w:rPr>
            </w:pPr>
            <w:r w:rsidRPr="00D92B1E">
              <w:rPr>
                <w:sz w:val="20"/>
                <w:lang w:eastAsia="ja-JP"/>
              </w:rPr>
              <w:t xml:space="preserve">(2 to </w:t>
            </w:r>
            <w:r w:rsidR="00F31F9F" w:rsidRPr="00D92B1E">
              <w:rPr>
                <w:sz w:val="20"/>
                <w:lang w:eastAsia="ja-JP"/>
              </w:rPr>
              <w:t>6 years) (</w:t>
            </w:r>
            <w:r w:rsidR="0018721C" w:rsidRPr="00D92B1E">
              <w:rPr>
                <w:sz w:val="20"/>
                <w:lang w:eastAsia="ja-JP"/>
              </w:rPr>
              <w:t>µg</w:t>
            </w:r>
            <w:r w:rsidR="00F31F9F" w:rsidRPr="00D92B1E">
              <w:rPr>
                <w:sz w:val="20"/>
                <w:lang w:eastAsia="ja-JP"/>
              </w:rPr>
              <w:t>/m</w:t>
            </w:r>
            <w:r w:rsidR="00F31F9F" w:rsidRPr="00D92B1E">
              <w:rPr>
                <w:sz w:val="20"/>
                <w:vertAlign w:val="superscript"/>
                <w:lang w:eastAsia="ja-JP"/>
              </w:rPr>
              <w:t>2</w:t>
            </w:r>
            <w:r w:rsidR="00F31F9F" w:rsidRPr="00D92B1E">
              <w:rPr>
                <w:sz w:val="20"/>
                <w:lang w:eastAsia="ja-JP"/>
              </w:rPr>
              <w:t>/d)</w:t>
            </w:r>
          </w:p>
        </w:tc>
        <w:tc>
          <w:tcPr>
            <w:tcW w:w="1682" w:type="dxa"/>
          </w:tcPr>
          <w:p w14:paraId="3A57039F" w14:textId="77777777" w:rsidR="00FB23F1"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178 ± 17</w:t>
            </w:r>
            <w:r w:rsidR="00FB23F1" w:rsidRPr="00D92B1E">
              <w:rPr>
                <w:sz w:val="20"/>
                <w:lang w:eastAsia="ja-JP"/>
              </w:rPr>
              <w:t>5</w:t>
            </w:r>
          </w:p>
          <w:p w14:paraId="2DEC4684" w14:textId="1AFEC1A1"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FB23F1" w:rsidRPr="00D92B1E">
              <w:rPr>
                <w:sz w:val="20"/>
                <w:lang w:eastAsia="ja-JP"/>
              </w:rPr>
              <w:t> </w:t>
            </w:r>
            <w:r w:rsidR="00423768" w:rsidRPr="00D92B1E">
              <w:rPr>
                <w:sz w:val="20"/>
                <w:lang w:eastAsia="ja-JP"/>
              </w:rPr>
              <w:t xml:space="preserve">= </w:t>
            </w:r>
            <w:r w:rsidRPr="00D92B1E">
              <w:rPr>
                <w:sz w:val="20"/>
                <w:lang w:eastAsia="ja-JP"/>
              </w:rPr>
              <w:t>9)</w:t>
            </w:r>
          </w:p>
        </w:tc>
        <w:tc>
          <w:tcPr>
            <w:tcW w:w="1898" w:type="dxa"/>
          </w:tcPr>
          <w:p w14:paraId="4AEFEAEA"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390 ± 286</w:t>
            </w:r>
          </w:p>
          <w:p w14:paraId="5C59F5F1" w14:textId="31C41895"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FB23F1" w:rsidRPr="00D92B1E">
              <w:rPr>
                <w:sz w:val="20"/>
                <w:lang w:eastAsia="ja-JP"/>
              </w:rPr>
              <w:t> </w:t>
            </w:r>
            <w:r w:rsidR="00423768" w:rsidRPr="00D92B1E">
              <w:rPr>
                <w:sz w:val="20"/>
                <w:lang w:eastAsia="ja-JP"/>
              </w:rPr>
              <w:t xml:space="preserve">= </w:t>
            </w:r>
            <w:r w:rsidRPr="00D92B1E">
              <w:rPr>
                <w:sz w:val="20"/>
                <w:lang w:eastAsia="ja-JP"/>
              </w:rPr>
              <w:t>14)</w:t>
            </w:r>
          </w:p>
        </w:tc>
        <w:tc>
          <w:tcPr>
            <w:tcW w:w="1256" w:type="dxa"/>
          </w:tcPr>
          <w:p w14:paraId="3D9B26E7"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1090</w:t>
            </w:r>
          </w:p>
          <w:p w14:paraId="023CFD0A" w14:textId="23278161"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w:t>
            </w:r>
          </w:p>
        </w:tc>
        <w:tc>
          <w:tcPr>
            <w:tcW w:w="1256" w:type="dxa"/>
          </w:tcPr>
          <w:p w14:paraId="78C41DFB"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48" w:type="dxa"/>
          </w:tcPr>
          <w:p w14:paraId="16BF0C9E"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r>
      <w:tr w:rsidR="00FB23F1" w:rsidRPr="00F31F9F" w14:paraId="0F4E6F85" w14:textId="77777777" w:rsidTr="007B270B">
        <w:trPr>
          <w:trHeight w:val="833"/>
        </w:trPr>
        <w:tc>
          <w:tcPr>
            <w:cnfStyle w:val="001000000000" w:firstRow="0" w:lastRow="0" w:firstColumn="1" w:lastColumn="0" w:oddVBand="0" w:evenVBand="0" w:oddHBand="0" w:evenHBand="0" w:firstRowFirstColumn="0" w:firstRowLastColumn="0" w:lastRowFirstColumn="0" w:lastRowLastColumn="0"/>
            <w:tcW w:w="1509" w:type="dxa"/>
          </w:tcPr>
          <w:p w14:paraId="38F1F584" w14:textId="09DFA4E3" w:rsidR="00F31F9F" w:rsidRPr="00D92B1E" w:rsidRDefault="00FB23F1" w:rsidP="006D2941">
            <w:pPr>
              <w:keepNext/>
              <w:ind w:left="0" w:right="0"/>
              <w:rPr>
                <w:sz w:val="20"/>
                <w:lang w:eastAsia="ja-JP"/>
              </w:rPr>
            </w:pPr>
            <w:r w:rsidRPr="00D92B1E">
              <w:rPr>
                <w:sz w:val="20"/>
                <w:lang w:eastAsia="ja-JP"/>
              </w:rPr>
              <w:t xml:space="preserve">(7 to </w:t>
            </w:r>
            <w:r w:rsidR="00F31F9F" w:rsidRPr="00D92B1E">
              <w:rPr>
                <w:sz w:val="20"/>
                <w:lang w:eastAsia="ja-JP"/>
              </w:rPr>
              <w:t>17 years) (</w:t>
            </w:r>
            <w:r w:rsidR="0018721C" w:rsidRPr="00D92B1E">
              <w:rPr>
                <w:sz w:val="20"/>
                <w:lang w:eastAsia="ja-JP"/>
              </w:rPr>
              <w:t>µg</w:t>
            </w:r>
            <w:r w:rsidR="00F31F9F" w:rsidRPr="00D92B1E">
              <w:rPr>
                <w:sz w:val="20"/>
                <w:lang w:eastAsia="ja-JP"/>
              </w:rPr>
              <w:t>/m</w:t>
            </w:r>
            <w:r w:rsidR="00F31F9F" w:rsidRPr="00D92B1E">
              <w:rPr>
                <w:sz w:val="20"/>
                <w:vertAlign w:val="superscript"/>
                <w:lang w:eastAsia="ja-JP"/>
              </w:rPr>
              <w:t>2</w:t>
            </w:r>
            <w:r w:rsidR="00F31F9F" w:rsidRPr="00D92B1E">
              <w:rPr>
                <w:sz w:val="20"/>
                <w:lang w:eastAsia="ja-JP"/>
              </w:rPr>
              <w:t>/d)</w:t>
            </w:r>
          </w:p>
        </w:tc>
        <w:tc>
          <w:tcPr>
            <w:tcW w:w="1682" w:type="dxa"/>
          </w:tcPr>
          <w:p w14:paraId="4097D7DD"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154 ± 103</w:t>
            </w:r>
          </w:p>
          <w:p w14:paraId="35648A37" w14:textId="4989A550"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10)</w:t>
            </w:r>
          </w:p>
        </w:tc>
        <w:tc>
          <w:tcPr>
            <w:tcW w:w="1898" w:type="dxa"/>
          </w:tcPr>
          <w:p w14:paraId="4B3CBE2A"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620 ± 305</w:t>
            </w:r>
          </w:p>
          <w:p w14:paraId="6D1741D6" w14:textId="55056691"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12)</w:t>
            </w:r>
          </w:p>
        </w:tc>
        <w:tc>
          <w:tcPr>
            <w:tcW w:w="1256" w:type="dxa"/>
          </w:tcPr>
          <w:p w14:paraId="45859EAD"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1210 ± 635</w:t>
            </w:r>
          </w:p>
          <w:p w14:paraId="30459120" w14:textId="3FD41064"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5)</w:t>
            </w:r>
          </w:p>
        </w:tc>
        <w:tc>
          <w:tcPr>
            <w:tcW w:w="1256" w:type="dxa"/>
          </w:tcPr>
          <w:p w14:paraId="77DD3F21"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48" w:type="dxa"/>
          </w:tcPr>
          <w:p w14:paraId="7DCBD244"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r>
      <w:tr w:rsidR="00FB23F1" w:rsidRPr="00F31F9F" w14:paraId="5913EE47" w14:textId="77777777" w:rsidTr="007B270B">
        <w:trPr>
          <w:trHeight w:val="833"/>
        </w:trPr>
        <w:tc>
          <w:tcPr>
            <w:cnfStyle w:val="001000000000" w:firstRow="0" w:lastRow="0" w:firstColumn="1" w:lastColumn="0" w:oddVBand="0" w:evenVBand="0" w:oddHBand="0" w:evenHBand="0" w:firstRowFirstColumn="0" w:firstRowLastColumn="0" w:lastRowFirstColumn="0" w:lastRowLastColumn="0"/>
            <w:tcW w:w="1509" w:type="dxa"/>
          </w:tcPr>
          <w:p w14:paraId="4F18FBAF" w14:textId="745823E7" w:rsidR="00F31F9F" w:rsidRPr="00D92B1E" w:rsidRDefault="00FB23F1" w:rsidP="006D2941">
            <w:pPr>
              <w:keepNext/>
              <w:ind w:left="0" w:right="0"/>
              <w:rPr>
                <w:sz w:val="20"/>
                <w:lang w:eastAsia="ja-JP"/>
              </w:rPr>
            </w:pPr>
            <w:r w:rsidRPr="00D92B1E">
              <w:rPr>
                <w:sz w:val="20"/>
                <w:lang w:eastAsia="ja-JP"/>
              </w:rPr>
              <w:t xml:space="preserve">(2 to </w:t>
            </w:r>
            <w:r w:rsidR="00F31F9F" w:rsidRPr="00D92B1E">
              <w:rPr>
                <w:sz w:val="20"/>
                <w:lang w:eastAsia="ja-JP"/>
              </w:rPr>
              <w:t>17 years) (</w:t>
            </w:r>
            <w:r w:rsidR="0018721C" w:rsidRPr="00D92B1E">
              <w:rPr>
                <w:sz w:val="20"/>
                <w:lang w:eastAsia="ja-JP"/>
              </w:rPr>
              <w:t>µg</w:t>
            </w:r>
            <w:r w:rsidR="00F31F9F" w:rsidRPr="00D92B1E">
              <w:rPr>
                <w:sz w:val="20"/>
                <w:lang w:eastAsia="ja-JP"/>
              </w:rPr>
              <w:t>/m</w:t>
            </w:r>
            <w:r w:rsidR="00F31F9F" w:rsidRPr="00D92B1E">
              <w:rPr>
                <w:sz w:val="20"/>
                <w:vertAlign w:val="superscript"/>
                <w:lang w:eastAsia="ja-JP"/>
              </w:rPr>
              <w:t>2</w:t>
            </w:r>
            <w:r w:rsidR="00F31F9F" w:rsidRPr="00D92B1E">
              <w:rPr>
                <w:sz w:val="20"/>
                <w:lang w:eastAsia="ja-JP"/>
              </w:rPr>
              <w:t>/d)</w:t>
            </w:r>
          </w:p>
        </w:tc>
        <w:tc>
          <w:tcPr>
            <w:tcW w:w="1682" w:type="dxa"/>
          </w:tcPr>
          <w:p w14:paraId="7BC15441"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165 ± 138</w:t>
            </w:r>
          </w:p>
          <w:p w14:paraId="0C7C5586" w14:textId="70D378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19)</w:t>
            </w:r>
          </w:p>
        </w:tc>
        <w:tc>
          <w:tcPr>
            <w:tcW w:w="1898" w:type="dxa"/>
          </w:tcPr>
          <w:p w14:paraId="5F101C66"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496 ± 312</w:t>
            </w:r>
          </w:p>
          <w:p w14:paraId="18E9AD34" w14:textId="62E750B5"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26)</w:t>
            </w:r>
          </w:p>
        </w:tc>
        <w:tc>
          <w:tcPr>
            <w:tcW w:w="1256" w:type="dxa"/>
          </w:tcPr>
          <w:p w14:paraId="7D16CE76" w14:textId="77777777" w:rsidR="00FB23F1" w:rsidRPr="00D92B1E" w:rsidRDefault="00FB23F1"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1190 ± 570</w:t>
            </w:r>
          </w:p>
          <w:p w14:paraId="57A66E38" w14:textId="0FF31FC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w:t>
            </w:r>
            <w:r w:rsidR="00423768" w:rsidRPr="00D92B1E">
              <w:rPr>
                <w:sz w:val="20"/>
                <w:lang w:eastAsia="ja-JP"/>
              </w:rPr>
              <w:t xml:space="preserve"> = </w:t>
            </w:r>
            <w:r w:rsidRPr="00D92B1E">
              <w:rPr>
                <w:sz w:val="20"/>
                <w:lang w:eastAsia="ja-JP"/>
              </w:rPr>
              <w:t>6)</w:t>
            </w:r>
          </w:p>
        </w:tc>
        <w:tc>
          <w:tcPr>
            <w:tcW w:w="1256" w:type="dxa"/>
          </w:tcPr>
          <w:p w14:paraId="26DF3B61"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c>
          <w:tcPr>
            <w:tcW w:w="1248" w:type="dxa"/>
          </w:tcPr>
          <w:p w14:paraId="5CF5B454" w14:textId="77777777" w:rsidR="00F31F9F" w:rsidRPr="00D92B1E" w:rsidRDefault="00F31F9F" w:rsidP="006D2941">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D92B1E">
              <w:rPr>
                <w:sz w:val="20"/>
                <w:lang w:eastAsia="ja-JP"/>
              </w:rPr>
              <w:t>NA</w:t>
            </w:r>
          </w:p>
        </w:tc>
      </w:tr>
    </w:tbl>
    <w:p w14:paraId="6CA90BFB" w14:textId="7CEB38D8" w:rsidR="00F31F9F" w:rsidRPr="00F31F9F" w:rsidRDefault="005E5C58" w:rsidP="006D2941">
      <w:pPr>
        <w:pStyle w:val="TableDescription"/>
        <w:keepNext/>
        <w:rPr>
          <w:lang w:eastAsia="ja-JP"/>
        </w:rPr>
      </w:pPr>
      <w:r>
        <w:rPr>
          <w:lang w:eastAsia="ja-JP"/>
        </w:rPr>
        <w:t>C</w:t>
      </w:r>
      <w:r>
        <w:rPr>
          <w:vertAlign w:val="subscript"/>
          <w:lang w:eastAsia="ja-JP"/>
        </w:rPr>
        <w:t>ss</w:t>
      </w:r>
      <w:r w:rsidR="00423768">
        <w:rPr>
          <w:lang w:eastAsia="ja-JP"/>
        </w:rPr>
        <w:t xml:space="preserve"> = </w:t>
      </w:r>
      <w:r w:rsidR="00F31F9F" w:rsidRPr="00F31F9F">
        <w:rPr>
          <w:lang w:eastAsia="ja-JP"/>
        </w:rPr>
        <w:t xml:space="preserve">steady state concentration, </w:t>
      </w:r>
      <w:r>
        <w:rPr>
          <w:lang w:eastAsia="ja-JP"/>
        </w:rPr>
        <w:t>C</w:t>
      </w:r>
      <w:r>
        <w:rPr>
          <w:vertAlign w:val="subscript"/>
          <w:lang w:eastAsia="ja-JP"/>
        </w:rPr>
        <w:t>ss</w:t>
      </w:r>
      <w:r w:rsidR="00F31F9F" w:rsidRPr="00F31F9F">
        <w:rPr>
          <w:lang w:eastAsia="ja-JP"/>
        </w:rPr>
        <w:t xml:space="preserve"> in </w:t>
      </w:r>
      <w:r w:rsidR="007D46D6">
        <w:rPr>
          <w:lang w:eastAsia="ja-JP"/>
        </w:rPr>
        <w:t>Cycle 1</w:t>
      </w:r>
      <w:r w:rsidR="00F31F9F" w:rsidRPr="00F31F9F">
        <w:rPr>
          <w:lang w:eastAsia="ja-JP"/>
        </w:rPr>
        <w:t xml:space="preserve"> of each studies are included as it contained the most subjects; d</w:t>
      </w:r>
      <w:r w:rsidR="00375CAE">
        <w:rPr>
          <w:lang w:eastAsia="ja-JP"/>
        </w:rPr>
        <w:t xml:space="preserve"> </w:t>
      </w:r>
      <w:r w:rsidR="00423768">
        <w:rPr>
          <w:lang w:eastAsia="ja-JP"/>
        </w:rPr>
        <w:t>=</w:t>
      </w:r>
      <w:r w:rsidR="00375CAE">
        <w:rPr>
          <w:lang w:eastAsia="ja-JP"/>
        </w:rPr>
        <w:t xml:space="preserve"> </w:t>
      </w:r>
      <w:r w:rsidR="00F31F9F" w:rsidRPr="00F31F9F">
        <w:rPr>
          <w:lang w:eastAsia="ja-JP"/>
        </w:rPr>
        <w:t>day; MRD+</w:t>
      </w:r>
      <w:r w:rsidR="00375CAE">
        <w:rPr>
          <w:lang w:eastAsia="ja-JP"/>
        </w:rPr>
        <w:t xml:space="preserve"> </w:t>
      </w:r>
      <w:r w:rsidR="00423768">
        <w:rPr>
          <w:lang w:eastAsia="ja-JP"/>
        </w:rPr>
        <w:t>=</w:t>
      </w:r>
      <w:r w:rsidR="00375CAE">
        <w:rPr>
          <w:lang w:eastAsia="ja-JP"/>
        </w:rPr>
        <w:t xml:space="preserve"> </w:t>
      </w:r>
      <w:r w:rsidR="00F31F9F" w:rsidRPr="00F31F9F">
        <w:rPr>
          <w:lang w:eastAsia="ja-JP"/>
        </w:rPr>
        <w:t>minimal residual disease positive; N</w:t>
      </w:r>
      <w:r w:rsidR="00375CAE">
        <w:rPr>
          <w:lang w:eastAsia="ja-JP"/>
        </w:rPr>
        <w:t xml:space="preserve"> </w:t>
      </w:r>
      <w:r w:rsidR="00423768">
        <w:rPr>
          <w:lang w:eastAsia="ja-JP"/>
        </w:rPr>
        <w:t>=</w:t>
      </w:r>
      <w:r w:rsidR="00375CAE">
        <w:rPr>
          <w:lang w:eastAsia="ja-JP"/>
        </w:rPr>
        <w:t xml:space="preserve"> </w:t>
      </w:r>
      <w:r w:rsidR="00F31F9F" w:rsidRPr="00F31F9F">
        <w:rPr>
          <w:lang w:eastAsia="ja-JP"/>
        </w:rPr>
        <w:t>number of patients; NA</w:t>
      </w:r>
      <w:r w:rsidR="00375CAE">
        <w:rPr>
          <w:lang w:eastAsia="ja-JP"/>
        </w:rPr>
        <w:t xml:space="preserve"> </w:t>
      </w:r>
      <w:r w:rsidR="00423768">
        <w:rPr>
          <w:lang w:eastAsia="ja-JP"/>
        </w:rPr>
        <w:t>=</w:t>
      </w:r>
      <w:r w:rsidR="00375CAE">
        <w:rPr>
          <w:lang w:eastAsia="ja-JP"/>
        </w:rPr>
        <w:t xml:space="preserve"> </w:t>
      </w:r>
      <w:r w:rsidR="00F31F9F" w:rsidRPr="00F31F9F">
        <w:rPr>
          <w:lang w:eastAsia="ja-JP"/>
        </w:rPr>
        <w:t>not available; NHL</w:t>
      </w:r>
      <w:r w:rsidR="00375CAE">
        <w:rPr>
          <w:lang w:eastAsia="ja-JP"/>
        </w:rPr>
        <w:t xml:space="preserve"> </w:t>
      </w:r>
      <w:r w:rsidR="00423768">
        <w:rPr>
          <w:lang w:eastAsia="ja-JP"/>
        </w:rPr>
        <w:t>=</w:t>
      </w:r>
      <w:r w:rsidR="00375CAE">
        <w:rPr>
          <w:lang w:eastAsia="ja-JP"/>
        </w:rPr>
        <w:t xml:space="preserve"> </w:t>
      </w:r>
      <w:r w:rsidR="00F31F9F" w:rsidRPr="00F31F9F">
        <w:rPr>
          <w:lang w:eastAsia="ja-JP"/>
        </w:rPr>
        <w:t>non-Hodgkin’s lymphoma; R/R</w:t>
      </w:r>
      <w:r w:rsidR="00375CAE">
        <w:rPr>
          <w:lang w:eastAsia="ja-JP"/>
        </w:rPr>
        <w:t xml:space="preserve"> </w:t>
      </w:r>
      <w:r w:rsidR="00423768">
        <w:rPr>
          <w:lang w:eastAsia="ja-JP"/>
        </w:rPr>
        <w:t>=</w:t>
      </w:r>
      <w:r w:rsidR="00375CAE">
        <w:rPr>
          <w:lang w:eastAsia="ja-JP"/>
        </w:rPr>
        <w:t xml:space="preserve"> </w:t>
      </w:r>
      <w:r w:rsidR="00F31F9F" w:rsidRPr="00F31F9F">
        <w:rPr>
          <w:lang w:eastAsia="ja-JP"/>
        </w:rPr>
        <w:t>relapsed/refractory; SD</w:t>
      </w:r>
      <w:r w:rsidR="00375CAE">
        <w:rPr>
          <w:lang w:eastAsia="ja-JP"/>
        </w:rPr>
        <w:t xml:space="preserve"> </w:t>
      </w:r>
      <w:r w:rsidR="00423768">
        <w:rPr>
          <w:lang w:eastAsia="ja-JP"/>
        </w:rPr>
        <w:t>=</w:t>
      </w:r>
      <w:r w:rsidR="00375CAE">
        <w:rPr>
          <w:lang w:eastAsia="ja-JP"/>
        </w:rPr>
        <w:t xml:space="preserve"> </w:t>
      </w:r>
      <w:r w:rsidR="00F31F9F" w:rsidRPr="00F31F9F">
        <w:rPr>
          <w:lang w:eastAsia="ja-JP"/>
        </w:rPr>
        <w:t>standard deviatio</w:t>
      </w:r>
      <w:r w:rsidR="00D92B1E">
        <w:rPr>
          <w:lang w:eastAsia="ja-JP"/>
        </w:rPr>
        <w:t>n; a)</w:t>
      </w:r>
      <w:r w:rsidR="00F31F9F" w:rsidRPr="00F31F9F">
        <w:rPr>
          <w:lang w:eastAsia="ja-JP"/>
        </w:rPr>
        <w:t xml:space="preserve"> Fixed dosing (9</w:t>
      </w:r>
      <w:r w:rsidR="00375CAE">
        <w:rPr>
          <w:lang w:eastAsia="ja-JP"/>
        </w:rPr>
        <w:t xml:space="preserve"> </w:t>
      </w:r>
      <w:r w:rsidR="0018721C">
        <w:rPr>
          <w:lang w:eastAsia="ja-JP"/>
        </w:rPr>
        <w:t>µg</w:t>
      </w:r>
      <w:r w:rsidR="00F31F9F" w:rsidRPr="00F31F9F">
        <w:rPr>
          <w:lang w:eastAsia="ja-JP"/>
        </w:rPr>
        <w:t>/day and 28</w:t>
      </w:r>
      <w:r w:rsidR="00375CAE">
        <w:rPr>
          <w:lang w:eastAsia="ja-JP"/>
        </w:rPr>
        <w:t xml:space="preserve"> </w:t>
      </w:r>
      <w:r w:rsidR="0018721C">
        <w:rPr>
          <w:lang w:eastAsia="ja-JP"/>
        </w:rPr>
        <w:t>µg</w:t>
      </w:r>
      <w:r w:rsidR="00F31F9F" w:rsidRPr="00F31F9F">
        <w:rPr>
          <w:lang w:eastAsia="ja-JP"/>
        </w:rPr>
        <w:t>/day) was administered in the MT 103-211 study.</w:t>
      </w:r>
    </w:p>
    <w:p w14:paraId="2C3D957E" w14:textId="36A8EF5F" w:rsidR="00F31F9F" w:rsidRPr="00F31F9F" w:rsidRDefault="00F31F9F" w:rsidP="00F31F9F">
      <w:pPr>
        <w:rPr>
          <w:lang w:eastAsia="ja-JP"/>
        </w:rPr>
      </w:pPr>
      <w:r w:rsidRPr="00F31F9F">
        <w:rPr>
          <w:lang w:eastAsia="ja-JP"/>
        </w:rPr>
        <w:t>The estimated mean (</w:t>
      </w:r>
      <w:proofErr w:type="gramStart"/>
      <w:r w:rsidRPr="00F31F9F">
        <w:rPr>
          <w:lang w:eastAsia="ja-JP"/>
        </w:rPr>
        <w:t>CV%</w:t>
      </w:r>
      <w:proofErr w:type="gramEnd"/>
      <w:r w:rsidRPr="00F31F9F">
        <w:rPr>
          <w:lang w:eastAsia="ja-JP"/>
        </w:rPr>
        <w:t xml:space="preserve">) clearance was 2.92 (97%) L/hr, and the mean terminal elimination </w:t>
      </w:r>
      <w:r w:rsidR="00586C19" w:rsidRPr="00F31F9F">
        <w:rPr>
          <w:lang w:eastAsia="ja-JP"/>
        </w:rPr>
        <w:t>half</w:t>
      </w:r>
      <w:r w:rsidR="00586C19">
        <w:rPr>
          <w:lang w:eastAsia="ja-JP"/>
        </w:rPr>
        <w:t>-l</w:t>
      </w:r>
      <w:r w:rsidR="00586C19" w:rsidRPr="00F31F9F">
        <w:rPr>
          <w:lang w:eastAsia="ja-JP"/>
        </w:rPr>
        <w:t>ife</w:t>
      </w:r>
      <w:r w:rsidRPr="00F31F9F">
        <w:rPr>
          <w:lang w:eastAsia="ja-JP"/>
        </w:rPr>
        <w:t xml:space="preserve"> was 2.1 (68%) hours</w:t>
      </w:r>
      <w:r w:rsidR="006D2941">
        <w:rPr>
          <w:lang w:eastAsia="ja-JP"/>
        </w:rPr>
        <w:t xml:space="preserve">, as shown </w:t>
      </w:r>
      <w:r w:rsidR="00C1020E">
        <w:rPr>
          <w:lang w:eastAsia="ja-JP"/>
        </w:rPr>
        <w:t xml:space="preserve">below </w:t>
      </w:r>
      <w:r w:rsidR="006D2941">
        <w:rPr>
          <w:lang w:eastAsia="ja-JP"/>
        </w:rPr>
        <w:t>in Table 7</w:t>
      </w:r>
      <w:r w:rsidRPr="00F31F9F">
        <w:rPr>
          <w:lang w:eastAsia="ja-JP"/>
        </w:rPr>
        <w:t>, showing that blinatumomab is rapidly eliminated from the body upon administration. Continuous IV infusion is thus required to maintain therapeutic concentrations of blinatumomab in the circulation. The estimated mean fraction of excreted unchanged blinatumomab in urine was approximately 0.2% at the 60</w:t>
      </w:r>
      <w:r w:rsidR="00C1020E">
        <w:rPr>
          <w:lang w:eastAsia="ja-JP"/>
        </w:rPr>
        <w:t> </w:t>
      </w:r>
      <w:r w:rsidR="0018721C">
        <w:rPr>
          <w:lang w:eastAsia="ja-JP"/>
        </w:rPr>
        <w:t>µg</w:t>
      </w:r>
      <w:r w:rsidRPr="00F31F9F">
        <w:rPr>
          <w:lang w:eastAsia="ja-JP"/>
        </w:rPr>
        <w:t>/m</w:t>
      </w:r>
      <w:r w:rsidRPr="00F31F9F">
        <w:rPr>
          <w:vertAlign w:val="superscript"/>
          <w:lang w:eastAsia="ja-JP"/>
        </w:rPr>
        <w:t>2</w:t>
      </w:r>
      <w:r w:rsidRPr="00F31F9F">
        <w:rPr>
          <w:lang w:eastAsia="ja-JP"/>
        </w:rPr>
        <w:t>/day dose under continuous IV infusion, indicating limited r</w:t>
      </w:r>
      <w:r w:rsidR="00D92B1E">
        <w:rPr>
          <w:lang w:eastAsia="ja-JP"/>
        </w:rPr>
        <w:t>enal excretion of blinatumomab.</w:t>
      </w:r>
    </w:p>
    <w:p w14:paraId="2FEBBAC7" w14:textId="5AA48DCE" w:rsidR="00F31F9F" w:rsidRDefault="00F31F9F" w:rsidP="004E54A1">
      <w:pPr>
        <w:pStyle w:val="Tabletitle"/>
        <w:rPr>
          <w:lang w:eastAsia="ja-JP"/>
        </w:rPr>
      </w:pPr>
      <w:bookmarkStart w:id="76" w:name="_Toc292015690"/>
      <w:r w:rsidRPr="00F31F9F">
        <w:rPr>
          <w:lang w:eastAsia="ja-JP"/>
        </w:rPr>
        <w:t xml:space="preserve">Table </w:t>
      </w:r>
      <w:r w:rsidR="00586C19">
        <w:rPr>
          <w:lang w:eastAsia="ja-JP"/>
        </w:rPr>
        <w:t>7:</w:t>
      </w:r>
      <w:r w:rsidRPr="00F31F9F">
        <w:rPr>
          <w:lang w:eastAsia="ja-JP"/>
        </w:rPr>
        <w:t xml:space="preserve"> Blinatumomab </w:t>
      </w:r>
      <w:r w:rsidR="00D92B1E" w:rsidRPr="00F31F9F">
        <w:rPr>
          <w:lang w:eastAsia="ja-JP"/>
        </w:rPr>
        <w:t>pharmacokinetic parameter estimates following continuous</w:t>
      </w:r>
      <w:r w:rsidRPr="00F31F9F">
        <w:rPr>
          <w:lang w:eastAsia="ja-JP"/>
        </w:rPr>
        <w:t xml:space="preserve"> IV </w:t>
      </w:r>
      <w:r w:rsidR="00D92B1E" w:rsidRPr="00F31F9F">
        <w:rPr>
          <w:lang w:eastAsia="ja-JP"/>
        </w:rPr>
        <w:t>infusion in adult subjects with</w:t>
      </w:r>
      <w:r w:rsidRPr="00F31F9F">
        <w:rPr>
          <w:lang w:eastAsia="ja-JP"/>
        </w:rPr>
        <w:t xml:space="preserve"> NHL, MRD+ ALL, and R/R ALL</w:t>
      </w:r>
      <w:bookmarkEnd w:id="76"/>
    </w:p>
    <w:p w14:paraId="7C779F3B" w14:textId="5AD2E975" w:rsidR="004E54A1" w:rsidRPr="00F31F9F" w:rsidRDefault="004E54A1" w:rsidP="00F31F9F">
      <w:pPr>
        <w:rPr>
          <w:b/>
          <w:bCs/>
          <w:lang w:eastAsia="ja-JP"/>
        </w:rPr>
      </w:pPr>
      <w:r w:rsidRPr="004E54A1">
        <w:rPr>
          <w:b/>
          <w:bCs/>
          <w:noProof/>
          <w:lang w:eastAsia="en-AU"/>
        </w:rPr>
        <w:drawing>
          <wp:inline distT="0" distB="0" distL="0" distR="0" wp14:anchorId="685313C7" wp14:editId="5CF8D7A0">
            <wp:extent cx="5547837" cy="2999232"/>
            <wp:effectExtent l="0" t="0" r="0" b="0"/>
            <wp:docPr id="6" name="Picture 6" descr="Table 7: Blinatumomab pharmacokinetic parameter estimates following continuous IV infusion in adult subjects with NHL, MRD+ ALL, and R/R ALL&#10;" title="Blinatumomab pharmacokinetic parameter estimates following continuous IV infusion in adult subjects with NHL, MRD+ ALL, and R/R 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8313" cy="2999489"/>
                    </a:xfrm>
                    <a:prstGeom prst="rect">
                      <a:avLst/>
                    </a:prstGeom>
                  </pic:spPr>
                </pic:pic>
              </a:graphicData>
            </a:graphic>
          </wp:inline>
        </w:drawing>
      </w:r>
    </w:p>
    <w:p w14:paraId="0BFCF06B" w14:textId="37F818B2" w:rsidR="00F31F9F" w:rsidRPr="00F31F9F" w:rsidRDefault="00F31F9F" w:rsidP="004E54A1">
      <w:pPr>
        <w:pStyle w:val="TableDescription"/>
        <w:rPr>
          <w:lang w:eastAsia="ja-JP"/>
        </w:rPr>
      </w:pPr>
      <w:r w:rsidRPr="00F31F9F">
        <w:rPr>
          <w:lang w:eastAsia="ja-JP"/>
        </w:rPr>
        <w:t>ALL</w:t>
      </w:r>
      <w:r w:rsidR="00375CAE">
        <w:rPr>
          <w:lang w:eastAsia="ja-JP"/>
        </w:rPr>
        <w:t xml:space="preserve"> </w:t>
      </w:r>
      <w:r w:rsidR="00423768">
        <w:rPr>
          <w:lang w:eastAsia="ja-JP"/>
        </w:rPr>
        <w:t>=</w:t>
      </w:r>
      <w:r w:rsidR="00375CAE">
        <w:rPr>
          <w:lang w:eastAsia="ja-JP"/>
        </w:rPr>
        <w:t xml:space="preserve"> </w:t>
      </w:r>
      <w:r w:rsidRPr="00F31F9F">
        <w:rPr>
          <w:lang w:eastAsia="ja-JP"/>
        </w:rPr>
        <w:t>acute lymphoblastic leuk</w:t>
      </w:r>
      <w:r w:rsidR="004E54A1">
        <w:rPr>
          <w:lang w:eastAsia="ja-JP"/>
        </w:rPr>
        <w:t>a</w:t>
      </w:r>
      <w:r w:rsidRPr="00F31F9F">
        <w:rPr>
          <w:lang w:eastAsia="ja-JP"/>
        </w:rPr>
        <w:t>emia; CL</w:t>
      </w:r>
      <w:r w:rsidR="00375CAE">
        <w:rPr>
          <w:lang w:eastAsia="ja-JP"/>
        </w:rPr>
        <w:t xml:space="preserve"> </w:t>
      </w:r>
      <w:r w:rsidR="00423768">
        <w:rPr>
          <w:lang w:eastAsia="ja-JP"/>
        </w:rPr>
        <w:t>=</w:t>
      </w:r>
      <w:r w:rsidR="00375CAE">
        <w:rPr>
          <w:lang w:eastAsia="ja-JP"/>
        </w:rPr>
        <w:t xml:space="preserve"> </w:t>
      </w:r>
      <w:r w:rsidRPr="00F31F9F">
        <w:rPr>
          <w:lang w:eastAsia="ja-JP"/>
        </w:rPr>
        <w:t>clearance; CV%</w:t>
      </w:r>
      <w:r w:rsidR="00375CAE">
        <w:rPr>
          <w:lang w:eastAsia="ja-JP"/>
        </w:rPr>
        <w:t xml:space="preserve"> </w:t>
      </w:r>
      <w:r w:rsidR="00423768">
        <w:rPr>
          <w:lang w:eastAsia="ja-JP"/>
        </w:rPr>
        <w:t>=</w:t>
      </w:r>
      <w:r w:rsidR="00375CAE">
        <w:rPr>
          <w:lang w:eastAsia="ja-JP"/>
        </w:rPr>
        <w:t xml:space="preserve"> </w:t>
      </w:r>
      <w:r w:rsidRPr="00F31F9F">
        <w:rPr>
          <w:lang w:eastAsia="ja-JP"/>
        </w:rPr>
        <w:t>coefficient of variance; Geo mean</w:t>
      </w:r>
      <w:r w:rsidR="00375CAE">
        <w:rPr>
          <w:lang w:eastAsia="ja-JP"/>
        </w:rPr>
        <w:t xml:space="preserve"> </w:t>
      </w:r>
      <w:r w:rsidR="00423768">
        <w:rPr>
          <w:lang w:eastAsia="ja-JP"/>
        </w:rPr>
        <w:t>=</w:t>
      </w:r>
      <w:r w:rsidR="00375CAE">
        <w:rPr>
          <w:lang w:eastAsia="ja-JP"/>
        </w:rPr>
        <w:t xml:space="preserve"> </w:t>
      </w:r>
      <w:r w:rsidRPr="00F31F9F">
        <w:rPr>
          <w:lang w:eastAsia="ja-JP"/>
        </w:rPr>
        <w:t>geometric mean; hr</w:t>
      </w:r>
      <w:r w:rsidR="00375CAE">
        <w:rPr>
          <w:lang w:eastAsia="ja-JP"/>
        </w:rPr>
        <w:t xml:space="preserve"> </w:t>
      </w:r>
      <w:r w:rsidR="00423768">
        <w:rPr>
          <w:lang w:eastAsia="ja-JP"/>
        </w:rPr>
        <w:t>=</w:t>
      </w:r>
      <w:r w:rsidR="00375CAE">
        <w:rPr>
          <w:lang w:eastAsia="ja-JP"/>
        </w:rPr>
        <w:t xml:space="preserve"> </w:t>
      </w:r>
      <w:r w:rsidRPr="00F31F9F">
        <w:rPr>
          <w:lang w:eastAsia="ja-JP"/>
        </w:rPr>
        <w:t>hour; L</w:t>
      </w:r>
      <w:r w:rsidR="00375CAE">
        <w:rPr>
          <w:lang w:eastAsia="ja-JP"/>
        </w:rPr>
        <w:t xml:space="preserve"> </w:t>
      </w:r>
      <w:r w:rsidR="00423768">
        <w:rPr>
          <w:lang w:eastAsia="ja-JP"/>
        </w:rPr>
        <w:t>=</w:t>
      </w:r>
      <w:r w:rsidR="00375CAE">
        <w:rPr>
          <w:lang w:eastAsia="ja-JP"/>
        </w:rPr>
        <w:t xml:space="preserve"> </w:t>
      </w:r>
      <w:r w:rsidR="004E54A1">
        <w:rPr>
          <w:lang w:eastAsia="ja-JP"/>
        </w:rPr>
        <w:t>lit</w:t>
      </w:r>
      <w:r w:rsidRPr="00F31F9F">
        <w:rPr>
          <w:lang w:eastAsia="ja-JP"/>
        </w:rPr>
        <w:t>r</w:t>
      </w:r>
      <w:r w:rsidR="004E54A1">
        <w:rPr>
          <w:lang w:eastAsia="ja-JP"/>
        </w:rPr>
        <w:t>e</w:t>
      </w:r>
      <w:r w:rsidRPr="00F31F9F">
        <w:rPr>
          <w:lang w:eastAsia="ja-JP"/>
        </w:rPr>
        <w:t>; MRD+</w:t>
      </w:r>
      <w:r w:rsidR="00375CAE">
        <w:rPr>
          <w:lang w:eastAsia="ja-JP"/>
        </w:rPr>
        <w:t xml:space="preserve"> </w:t>
      </w:r>
      <w:r w:rsidR="00423768">
        <w:rPr>
          <w:lang w:eastAsia="ja-JP"/>
        </w:rPr>
        <w:t>=</w:t>
      </w:r>
      <w:r w:rsidR="00375CAE">
        <w:rPr>
          <w:lang w:eastAsia="ja-JP"/>
        </w:rPr>
        <w:t xml:space="preserve"> </w:t>
      </w:r>
      <w:r w:rsidRPr="00F31F9F">
        <w:rPr>
          <w:lang w:eastAsia="ja-JP"/>
        </w:rPr>
        <w:t>minimal residual disease positive; NA</w:t>
      </w:r>
      <w:r w:rsidR="00423768">
        <w:rPr>
          <w:lang w:eastAsia="ja-JP"/>
        </w:rPr>
        <w:t xml:space="preserve"> = </w:t>
      </w:r>
      <w:r w:rsidRPr="00F31F9F">
        <w:rPr>
          <w:lang w:eastAsia="ja-JP"/>
        </w:rPr>
        <w:t>not available; NHL</w:t>
      </w:r>
      <w:r w:rsidR="00375CAE">
        <w:rPr>
          <w:lang w:eastAsia="ja-JP"/>
        </w:rPr>
        <w:t xml:space="preserve"> </w:t>
      </w:r>
      <w:r w:rsidR="00423768">
        <w:rPr>
          <w:lang w:eastAsia="ja-JP"/>
        </w:rPr>
        <w:t>=</w:t>
      </w:r>
      <w:r w:rsidR="00375CAE">
        <w:rPr>
          <w:lang w:eastAsia="ja-JP"/>
        </w:rPr>
        <w:t xml:space="preserve"> </w:t>
      </w:r>
      <w:r w:rsidRPr="00F31F9F">
        <w:rPr>
          <w:lang w:eastAsia="ja-JP"/>
        </w:rPr>
        <w:t>non-Hodgkin’s lymphoma; R/R</w:t>
      </w:r>
      <w:r w:rsidR="00375CAE">
        <w:rPr>
          <w:lang w:eastAsia="ja-JP"/>
        </w:rPr>
        <w:t xml:space="preserve"> </w:t>
      </w:r>
      <w:r w:rsidR="00423768">
        <w:rPr>
          <w:lang w:eastAsia="ja-JP"/>
        </w:rPr>
        <w:t>=</w:t>
      </w:r>
      <w:r w:rsidR="00375CAE">
        <w:rPr>
          <w:lang w:eastAsia="ja-JP"/>
        </w:rPr>
        <w:t xml:space="preserve"> </w:t>
      </w:r>
      <w:r w:rsidRPr="00F31F9F">
        <w:rPr>
          <w:lang w:eastAsia="ja-JP"/>
        </w:rPr>
        <w:t>relapsed/refractory; SD</w:t>
      </w:r>
      <w:r w:rsidR="00375CAE">
        <w:rPr>
          <w:lang w:eastAsia="ja-JP"/>
        </w:rPr>
        <w:t xml:space="preserve"> </w:t>
      </w:r>
      <w:r w:rsidR="00423768">
        <w:rPr>
          <w:lang w:eastAsia="ja-JP"/>
        </w:rPr>
        <w:t>=</w:t>
      </w:r>
      <w:r w:rsidR="00375CAE">
        <w:rPr>
          <w:lang w:eastAsia="ja-JP"/>
        </w:rPr>
        <w:t xml:space="preserve"> </w:t>
      </w:r>
      <w:r w:rsidRPr="00F31F9F">
        <w:rPr>
          <w:lang w:eastAsia="ja-JP"/>
        </w:rPr>
        <w:t>standard deviation; t1/2,Z</w:t>
      </w:r>
      <w:r w:rsidR="00375CAE">
        <w:rPr>
          <w:lang w:eastAsia="ja-JP"/>
        </w:rPr>
        <w:t xml:space="preserve"> </w:t>
      </w:r>
      <w:r w:rsidR="00423768">
        <w:rPr>
          <w:lang w:eastAsia="ja-JP"/>
        </w:rPr>
        <w:t>=</w:t>
      </w:r>
      <w:r w:rsidR="00375CAE">
        <w:rPr>
          <w:lang w:eastAsia="ja-JP"/>
        </w:rPr>
        <w:t xml:space="preserve"> </w:t>
      </w:r>
      <w:r w:rsidRPr="00F31F9F">
        <w:rPr>
          <w:lang w:eastAsia="ja-JP"/>
        </w:rPr>
        <w:t>terminal half-life; Vz</w:t>
      </w:r>
      <w:r w:rsidR="00375CAE">
        <w:rPr>
          <w:lang w:eastAsia="ja-JP"/>
        </w:rPr>
        <w:t xml:space="preserve"> </w:t>
      </w:r>
      <w:r w:rsidR="00423768">
        <w:rPr>
          <w:lang w:eastAsia="ja-JP"/>
        </w:rPr>
        <w:t>=</w:t>
      </w:r>
      <w:r w:rsidR="00375CAE">
        <w:rPr>
          <w:lang w:eastAsia="ja-JP"/>
        </w:rPr>
        <w:t xml:space="preserve"> </w:t>
      </w:r>
      <w:r w:rsidRPr="00F31F9F">
        <w:rPr>
          <w:lang w:eastAsia="ja-JP"/>
        </w:rPr>
        <w:t xml:space="preserve">volume of distribution based on terminal </w:t>
      </w:r>
      <w:r w:rsidR="004E54A1">
        <w:rPr>
          <w:lang w:eastAsia="ja-JP"/>
        </w:rPr>
        <w:t>p</w:t>
      </w:r>
      <w:r w:rsidR="0018721C">
        <w:rPr>
          <w:lang w:eastAsia="ja-JP"/>
        </w:rPr>
        <w:t>hase</w:t>
      </w:r>
      <w:r w:rsidR="004E54A1">
        <w:rPr>
          <w:lang w:eastAsia="ja-JP"/>
        </w:rPr>
        <w:t>; a) t</w:t>
      </w:r>
      <w:r w:rsidRPr="00F31F9F">
        <w:rPr>
          <w:lang w:eastAsia="ja-JP"/>
        </w:rPr>
        <w:t xml:space="preserve">he mean body surface area in patients between 2 and 17 years of age was 0.96 </w:t>
      </w:r>
      <w:r w:rsidR="00586C19" w:rsidRPr="00F31F9F">
        <w:rPr>
          <w:lang w:eastAsia="ja-JP"/>
        </w:rPr>
        <w:t>m</w:t>
      </w:r>
      <w:r w:rsidR="00586C19" w:rsidRPr="00586C19">
        <w:rPr>
          <w:vertAlign w:val="superscript"/>
          <w:lang w:eastAsia="ja-JP"/>
        </w:rPr>
        <w:t>2</w:t>
      </w:r>
      <w:r w:rsidRPr="00F31F9F">
        <w:rPr>
          <w:lang w:eastAsia="ja-JP"/>
        </w:rPr>
        <w:t>. PK data for subjects</w:t>
      </w:r>
      <w:r w:rsidR="00375CAE">
        <w:rPr>
          <w:lang w:eastAsia="ja-JP"/>
        </w:rPr>
        <w:t xml:space="preserve"> </w:t>
      </w:r>
      <w:r w:rsidR="00423768">
        <w:rPr>
          <w:lang w:eastAsia="ja-JP"/>
        </w:rPr>
        <w:t>&lt;</w:t>
      </w:r>
      <w:r w:rsidR="00375CAE">
        <w:rPr>
          <w:lang w:eastAsia="ja-JP"/>
        </w:rPr>
        <w:t xml:space="preserve"> </w:t>
      </w:r>
      <w:r w:rsidRPr="00F31F9F">
        <w:rPr>
          <w:lang w:eastAsia="ja-JP"/>
        </w:rPr>
        <w:t>2 years in Study MT 103-205 is not yet available</w:t>
      </w:r>
    </w:p>
    <w:p w14:paraId="706E762A" w14:textId="2296C3C8" w:rsidR="00F31F9F" w:rsidRPr="00F31F9F" w:rsidRDefault="00F31F9F" w:rsidP="004E54A1">
      <w:pPr>
        <w:pStyle w:val="Heading4"/>
      </w:pPr>
      <w:bookmarkStart w:id="77" w:name="_Toc292015572"/>
      <w:bookmarkEnd w:id="59"/>
      <w:r w:rsidRPr="00F31F9F">
        <w:t xml:space="preserve">Intrinsic </w:t>
      </w:r>
      <w:r w:rsidR="004E54A1" w:rsidRPr="00F31F9F">
        <w:t>factors, extrinsic factors, and special populations</w:t>
      </w:r>
      <w:bookmarkEnd w:id="77"/>
    </w:p>
    <w:p w14:paraId="58B8160E" w14:textId="4CC988CE" w:rsidR="00F31F9F" w:rsidRPr="00F31F9F" w:rsidRDefault="00F31F9F" w:rsidP="004E54A1">
      <w:pPr>
        <w:pStyle w:val="Heading5"/>
      </w:pPr>
      <w:bookmarkStart w:id="78" w:name="_Toc292015573"/>
      <w:r w:rsidRPr="00F31F9F">
        <w:t xml:space="preserve">Effect of </w:t>
      </w:r>
      <w:r w:rsidR="004E54A1" w:rsidRPr="00F31F9F">
        <w:t>demographics and baseline factors on pharmacokinetics</w:t>
      </w:r>
      <w:bookmarkEnd w:id="78"/>
    </w:p>
    <w:p w14:paraId="2932F293" w14:textId="514E0F66" w:rsidR="00F31F9F" w:rsidRPr="00F31F9F" w:rsidRDefault="00F31F9F" w:rsidP="00F31F9F">
      <w:pPr>
        <w:rPr>
          <w:lang w:eastAsia="ja-JP"/>
        </w:rPr>
      </w:pPr>
      <w:r w:rsidRPr="00F31F9F">
        <w:rPr>
          <w:lang w:eastAsia="ja-JP"/>
        </w:rPr>
        <w:t>The demographic factors evaluated included body weight, body surface area (BSA), age and sex. Demographic data from the 4 adult studies were used for the analysis. The body weight ranged from 44 to 134 kg, BSA ranged from 1.4 to 2.6 m</w:t>
      </w:r>
      <w:r w:rsidRPr="00F31F9F">
        <w:rPr>
          <w:vertAlign w:val="superscript"/>
          <w:lang w:eastAsia="ja-JP"/>
        </w:rPr>
        <w:t>2</w:t>
      </w:r>
      <w:r w:rsidRPr="00F31F9F">
        <w:rPr>
          <w:lang w:eastAsia="ja-JP"/>
        </w:rPr>
        <w:t>, age ranged from 18 to 80 years, and there were</w:t>
      </w:r>
      <w:r w:rsidR="004E54A1">
        <w:rPr>
          <w:lang w:eastAsia="ja-JP"/>
        </w:rPr>
        <w:t xml:space="preserve"> 192 males versus</w:t>
      </w:r>
      <w:r w:rsidRPr="00F31F9F">
        <w:rPr>
          <w:lang w:eastAsia="ja-JP"/>
        </w:rPr>
        <w:t xml:space="preserve"> 108 females. An assessment of the effect of race could not be conducted as the majority </w:t>
      </w:r>
      <w:r w:rsidR="00423768">
        <w:rPr>
          <w:lang w:eastAsia="ja-JP"/>
        </w:rPr>
        <w:t>(&gt;</w:t>
      </w:r>
      <w:r w:rsidR="00375CAE">
        <w:rPr>
          <w:lang w:eastAsia="ja-JP"/>
        </w:rPr>
        <w:t xml:space="preserve"> </w:t>
      </w:r>
      <w:r w:rsidRPr="00F31F9F">
        <w:rPr>
          <w:lang w:eastAsia="ja-JP"/>
        </w:rPr>
        <w:t>90%) of subjects were Caucasian. Relationships between blinatumomab clearance and these factors are shown graphically in Figure 3. No impact on blinatumomab clearance was evident f</w:t>
      </w:r>
      <w:r w:rsidR="00586C19">
        <w:rPr>
          <w:lang w:eastAsia="ja-JP"/>
        </w:rPr>
        <w:t>or any of the factors examined.</w:t>
      </w:r>
    </w:p>
    <w:p w14:paraId="2290C2ED" w14:textId="0324089B" w:rsidR="00F31F9F" w:rsidRPr="00F31F9F" w:rsidRDefault="00F31F9F" w:rsidP="00F31F9F">
      <w:pPr>
        <w:rPr>
          <w:lang w:eastAsia="ja-JP"/>
        </w:rPr>
      </w:pPr>
      <w:r w:rsidRPr="00F31F9F">
        <w:rPr>
          <w:lang w:eastAsia="ja-JP"/>
        </w:rPr>
        <w:t>Blinatumomab was studied using a BSA-based dosing in Studies</w:t>
      </w:r>
      <w:r w:rsidR="004E54A1">
        <w:rPr>
          <w:lang w:eastAsia="ja-JP"/>
        </w:rPr>
        <w:t xml:space="preserve"> MT103-104, MT103-202, and MT</w:t>
      </w:r>
      <w:r w:rsidRPr="00F31F9F">
        <w:rPr>
          <w:lang w:eastAsia="ja-JP"/>
        </w:rPr>
        <w:t>103-206 and a fixed dosing in Study MT 103-211.</w:t>
      </w:r>
      <w:r w:rsidR="006F0580">
        <w:rPr>
          <w:lang w:eastAsia="ja-JP"/>
        </w:rPr>
        <w:t xml:space="preserve"> M</w:t>
      </w:r>
      <w:r w:rsidRPr="00F31F9F">
        <w:rPr>
          <w:lang w:eastAsia="ja-JP"/>
        </w:rPr>
        <w:t>ean blinatumomab exposures were comparable at a given dose regardless of the dosing regimen. Lack of demographic effect on drug clearance (</w:t>
      </w:r>
      <w:r w:rsidR="004322BB">
        <w:rPr>
          <w:lang w:eastAsia="ja-JP"/>
        </w:rPr>
        <w:t xml:space="preserve">see </w:t>
      </w:r>
      <w:r w:rsidRPr="00F31F9F">
        <w:rPr>
          <w:lang w:eastAsia="ja-JP"/>
        </w:rPr>
        <w:t>Figure 3</w:t>
      </w:r>
      <w:r w:rsidR="004322BB">
        <w:rPr>
          <w:lang w:eastAsia="ja-JP"/>
        </w:rPr>
        <w:t>, below</w:t>
      </w:r>
      <w:r w:rsidRPr="00F31F9F">
        <w:rPr>
          <w:lang w:eastAsia="ja-JP"/>
        </w:rPr>
        <w:t>) further supports the more convenient fixed dosing regimen in adult patients without regard to age (young versus elderly), sex (male or female), and body size (body weight or body surface area).</w:t>
      </w:r>
    </w:p>
    <w:p w14:paraId="2692C98D" w14:textId="5B7CFADD" w:rsidR="00F31F9F" w:rsidRPr="00F31F9F" w:rsidRDefault="00F31F9F" w:rsidP="004E54A1">
      <w:pPr>
        <w:pStyle w:val="FigureTitle"/>
        <w:keepNext/>
        <w:rPr>
          <w:lang w:eastAsia="ja-JP"/>
        </w:rPr>
      </w:pPr>
      <w:bookmarkStart w:id="79" w:name="_Toc292015783"/>
      <w:r w:rsidRPr="00F31F9F">
        <w:rPr>
          <w:lang w:eastAsia="ja-JP"/>
        </w:rPr>
        <w:t xml:space="preserve">Figure </w:t>
      </w:r>
      <w:r w:rsidR="00586C19">
        <w:rPr>
          <w:lang w:eastAsia="ja-JP"/>
        </w:rPr>
        <w:t>3:</w:t>
      </w:r>
      <w:r w:rsidRPr="00F31F9F">
        <w:rPr>
          <w:lang w:eastAsia="ja-JP"/>
        </w:rPr>
        <w:t xml:space="preserve"> Effect </w:t>
      </w:r>
      <w:r w:rsidR="004E54A1" w:rsidRPr="00F31F9F">
        <w:rPr>
          <w:lang w:eastAsia="ja-JP"/>
        </w:rPr>
        <w:t xml:space="preserve">of demographics on blinatumomab clearance in subjects with </w:t>
      </w:r>
      <w:r w:rsidRPr="00F31F9F">
        <w:rPr>
          <w:lang w:eastAsia="ja-JP"/>
        </w:rPr>
        <w:t>ALL and NHL</w:t>
      </w:r>
      <w:bookmarkEnd w:id="79"/>
    </w:p>
    <w:p w14:paraId="684AFCB0" w14:textId="77777777" w:rsidR="00F31F9F" w:rsidRPr="00F31F9F" w:rsidRDefault="00F31F9F" w:rsidP="004E54A1">
      <w:pPr>
        <w:keepNext/>
        <w:rPr>
          <w:bCs/>
          <w:lang w:eastAsia="ja-JP"/>
        </w:rPr>
      </w:pPr>
      <w:r w:rsidRPr="00F31F9F">
        <w:rPr>
          <w:bCs/>
          <w:noProof/>
          <w:lang w:eastAsia="en-AU"/>
        </w:rPr>
        <w:drawing>
          <wp:inline distT="0" distB="0" distL="0" distR="0" wp14:anchorId="2D12F71A" wp14:editId="61DFB8E8">
            <wp:extent cx="4678045" cy="3529965"/>
            <wp:effectExtent l="0" t="0" r="8255" b="0"/>
            <wp:docPr id="74" name="Picture 74" descr="Figure 3: Effect of demographics on blinatumomab clearance in subjects with ALL and NHL" title="Effect of demographics on blinatumomab clearance in subjects with ALL and 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045" cy="3529965"/>
                    </a:xfrm>
                    <a:prstGeom prst="rect">
                      <a:avLst/>
                    </a:prstGeom>
                    <a:noFill/>
                    <a:ln>
                      <a:noFill/>
                    </a:ln>
                  </pic:spPr>
                </pic:pic>
              </a:graphicData>
            </a:graphic>
          </wp:inline>
        </w:drawing>
      </w:r>
    </w:p>
    <w:p w14:paraId="1152CC5C" w14:textId="02099F92" w:rsidR="00F31F9F" w:rsidRPr="00F31F9F" w:rsidRDefault="00F31F9F" w:rsidP="00902F99">
      <w:pPr>
        <w:pStyle w:val="FigureDescription"/>
        <w:rPr>
          <w:lang w:eastAsia="ja-JP"/>
        </w:rPr>
      </w:pPr>
      <w:r w:rsidRPr="00F31F9F">
        <w:rPr>
          <w:lang w:eastAsia="ja-JP"/>
        </w:rPr>
        <w:t>ALL</w:t>
      </w:r>
      <w:r w:rsidR="00375CAE">
        <w:rPr>
          <w:lang w:eastAsia="ja-JP"/>
        </w:rPr>
        <w:t xml:space="preserve"> </w:t>
      </w:r>
      <w:r w:rsidR="00423768">
        <w:rPr>
          <w:lang w:eastAsia="ja-JP"/>
        </w:rPr>
        <w:t>=</w:t>
      </w:r>
      <w:r w:rsidR="00375CAE">
        <w:rPr>
          <w:lang w:eastAsia="ja-JP"/>
        </w:rPr>
        <w:t xml:space="preserve"> </w:t>
      </w:r>
      <w:r w:rsidRPr="00F31F9F">
        <w:rPr>
          <w:lang w:eastAsia="ja-JP"/>
        </w:rPr>
        <w:t>acute lymphoblastic leuk</w:t>
      </w:r>
      <w:r w:rsidR="00495D8F">
        <w:rPr>
          <w:lang w:eastAsia="ja-JP"/>
        </w:rPr>
        <w:t>a</w:t>
      </w:r>
      <w:r w:rsidRPr="00F31F9F">
        <w:rPr>
          <w:lang w:eastAsia="ja-JP"/>
        </w:rPr>
        <w:t>emia; CL</w:t>
      </w:r>
      <w:r w:rsidR="00375CAE">
        <w:rPr>
          <w:lang w:eastAsia="ja-JP"/>
        </w:rPr>
        <w:t xml:space="preserve"> </w:t>
      </w:r>
      <w:r w:rsidR="00423768">
        <w:rPr>
          <w:lang w:eastAsia="ja-JP"/>
        </w:rPr>
        <w:t>=</w:t>
      </w:r>
      <w:r w:rsidR="00375CAE">
        <w:rPr>
          <w:lang w:eastAsia="ja-JP"/>
        </w:rPr>
        <w:t xml:space="preserve"> </w:t>
      </w:r>
      <w:r w:rsidRPr="00F31F9F">
        <w:rPr>
          <w:lang w:eastAsia="ja-JP"/>
        </w:rPr>
        <w:t>clearance; NHL</w:t>
      </w:r>
      <w:r w:rsidR="00375CAE">
        <w:rPr>
          <w:lang w:eastAsia="ja-JP"/>
        </w:rPr>
        <w:t xml:space="preserve"> </w:t>
      </w:r>
      <w:r w:rsidR="00423768">
        <w:rPr>
          <w:lang w:eastAsia="ja-JP"/>
        </w:rPr>
        <w:t>=</w:t>
      </w:r>
      <w:r w:rsidR="00375CAE">
        <w:rPr>
          <w:lang w:eastAsia="ja-JP"/>
        </w:rPr>
        <w:t xml:space="preserve"> </w:t>
      </w:r>
      <w:r w:rsidRPr="00F31F9F">
        <w:rPr>
          <w:lang w:eastAsia="ja-JP"/>
        </w:rPr>
        <w:t>non-Hodgkin’s lymphoma.</w:t>
      </w:r>
    </w:p>
    <w:p w14:paraId="3076A2CA" w14:textId="3A037A47" w:rsidR="00F31F9F" w:rsidRPr="00F31F9F" w:rsidRDefault="00F31F9F" w:rsidP="00902F99">
      <w:pPr>
        <w:pStyle w:val="Heading5"/>
      </w:pPr>
      <w:bookmarkStart w:id="80" w:name="_Toc272414628"/>
      <w:bookmarkStart w:id="81" w:name="_Toc290846251"/>
      <w:bookmarkStart w:id="82" w:name="_Toc292015574"/>
      <w:r w:rsidRPr="00F31F9F">
        <w:t>Ef</w:t>
      </w:r>
      <w:r w:rsidR="00902F99">
        <w:t>fect of disease type on p</w:t>
      </w:r>
      <w:r w:rsidRPr="00F31F9F">
        <w:t>harmacokinetics</w:t>
      </w:r>
      <w:bookmarkEnd w:id="80"/>
      <w:bookmarkEnd w:id="81"/>
      <w:bookmarkEnd w:id="82"/>
    </w:p>
    <w:p w14:paraId="524FF028" w14:textId="1DE90AE4" w:rsidR="00F31F9F" w:rsidRPr="00F31F9F" w:rsidRDefault="00F31F9F" w:rsidP="00F31F9F">
      <w:pPr>
        <w:rPr>
          <w:lang w:eastAsia="ja-JP"/>
        </w:rPr>
      </w:pPr>
      <w:r w:rsidRPr="00F31F9F">
        <w:rPr>
          <w:lang w:eastAsia="ja-JP"/>
        </w:rPr>
        <w:t>Blinatumomab pharmacokinetics across patient populations of NHL and ALL were compared. Similar CL values were observed across disease types, ranging from 1.82 to 3.36 L/hr with an average (SD) of 2.92 (2.83) L/hr across the 4 clinical trials of adult patients with NHL and ALL (</w:t>
      </w:r>
      <w:r w:rsidR="00495D8F">
        <w:rPr>
          <w:lang w:eastAsia="ja-JP"/>
        </w:rPr>
        <w:t xml:space="preserve">see </w:t>
      </w:r>
      <w:r w:rsidRPr="006F0580">
        <w:rPr>
          <w:lang w:eastAsia="ja-JP"/>
        </w:rPr>
        <w:t xml:space="preserve">Table </w:t>
      </w:r>
      <w:r w:rsidR="006F0580" w:rsidRPr="006F0580">
        <w:rPr>
          <w:lang w:eastAsia="ja-JP"/>
        </w:rPr>
        <w:t>7 above</w:t>
      </w:r>
      <w:r w:rsidRPr="006F0580">
        <w:rPr>
          <w:lang w:eastAsia="ja-JP"/>
        </w:rPr>
        <w:t xml:space="preserve"> and Figure 4</w:t>
      </w:r>
      <w:r w:rsidR="00495D8F" w:rsidRPr="006F0580">
        <w:rPr>
          <w:lang w:eastAsia="ja-JP"/>
        </w:rPr>
        <w:t>,</w:t>
      </w:r>
      <w:r w:rsidR="00495D8F">
        <w:rPr>
          <w:lang w:eastAsia="ja-JP"/>
        </w:rPr>
        <w:t xml:space="preserve"> below</w:t>
      </w:r>
      <w:r w:rsidRPr="00F31F9F">
        <w:rPr>
          <w:lang w:eastAsia="ja-JP"/>
        </w:rPr>
        <w:t xml:space="preserve">). With non-compartmental analysis, the volume of distribution based on terminal </w:t>
      </w:r>
      <w:r w:rsidR="0018721C">
        <w:rPr>
          <w:lang w:eastAsia="ja-JP"/>
        </w:rPr>
        <w:t>Phase</w:t>
      </w:r>
      <w:r w:rsidRPr="00F31F9F">
        <w:rPr>
          <w:lang w:eastAsia="ja-JP"/>
        </w:rPr>
        <w:t xml:space="preserve"> and the elimination half-lives were also similar among these patients.</w:t>
      </w:r>
    </w:p>
    <w:p w14:paraId="70DD42DB" w14:textId="2FA21FE8" w:rsidR="00F31F9F" w:rsidRPr="00F31F9F" w:rsidRDefault="00F31F9F" w:rsidP="00495D8F">
      <w:pPr>
        <w:pStyle w:val="FigureTitle"/>
        <w:rPr>
          <w:lang w:eastAsia="ja-JP"/>
        </w:rPr>
      </w:pPr>
      <w:bookmarkStart w:id="83" w:name="_Toc292015784"/>
      <w:r w:rsidRPr="00F31F9F">
        <w:rPr>
          <w:lang w:eastAsia="ja-JP"/>
        </w:rPr>
        <w:t xml:space="preserve">Figure </w:t>
      </w:r>
      <w:r w:rsidR="00586C19">
        <w:rPr>
          <w:lang w:eastAsia="ja-JP"/>
        </w:rPr>
        <w:t>4:</w:t>
      </w:r>
      <w:r w:rsidRPr="00F31F9F">
        <w:rPr>
          <w:lang w:eastAsia="ja-JP"/>
        </w:rPr>
        <w:t xml:space="preserve"> Blinatumomab </w:t>
      </w:r>
      <w:r w:rsidR="000A024E" w:rsidRPr="00F31F9F">
        <w:rPr>
          <w:lang w:eastAsia="ja-JP"/>
        </w:rPr>
        <w:t xml:space="preserve">clearance in subjects with </w:t>
      </w:r>
      <w:r w:rsidRPr="00F31F9F">
        <w:rPr>
          <w:lang w:eastAsia="ja-JP"/>
        </w:rPr>
        <w:t>NHL and ALL</w:t>
      </w:r>
      <w:bookmarkEnd w:id="83"/>
    </w:p>
    <w:p w14:paraId="735AB92D" w14:textId="77777777" w:rsidR="00F31F9F" w:rsidRPr="00F31F9F" w:rsidRDefault="00F31F9F" w:rsidP="00F31F9F">
      <w:pPr>
        <w:rPr>
          <w:lang w:eastAsia="ja-JP"/>
        </w:rPr>
      </w:pPr>
      <w:r w:rsidRPr="00F31F9F">
        <w:rPr>
          <w:noProof/>
          <w:lang w:eastAsia="en-AU"/>
        </w:rPr>
        <w:drawing>
          <wp:inline distT="0" distB="0" distL="0" distR="0" wp14:anchorId="168479B3" wp14:editId="759EDA72">
            <wp:extent cx="4050722" cy="2462916"/>
            <wp:effectExtent l="0" t="0" r="6985" b="0"/>
            <wp:docPr id="75" name="Picture 75" descr="Figure 4: Blinatumomab clearance in subjects with NHL and ALL" title="Blinatumomab clearance in subjects with NHL and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0962" cy="2463062"/>
                    </a:xfrm>
                    <a:prstGeom prst="rect">
                      <a:avLst/>
                    </a:prstGeom>
                    <a:noFill/>
                    <a:ln>
                      <a:noFill/>
                    </a:ln>
                  </pic:spPr>
                </pic:pic>
              </a:graphicData>
            </a:graphic>
          </wp:inline>
        </w:drawing>
      </w:r>
    </w:p>
    <w:p w14:paraId="7A7EE9A8" w14:textId="147ED89F" w:rsidR="00F31F9F" w:rsidRPr="00F31F9F" w:rsidRDefault="00F31F9F" w:rsidP="00495D8F">
      <w:pPr>
        <w:pStyle w:val="FigureDescription"/>
        <w:rPr>
          <w:lang w:eastAsia="ja-JP"/>
        </w:rPr>
      </w:pPr>
      <w:r w:rsidRPr="00F31F9F">
        <w:rPr>
          <w:lang w:eastAsia="ja-JP"/>
        </w:rPr>
        <w:t>ALL</w:t>
      </w:r>
      <w:r w:rsidR="00375CAE">
        <w:rPr>
          <w:lang w:eastAsia="ja-JP"/>
        </w:rPr>
        <w:t xml:space="preserve"> </w:t>
      </w:r>
      <w:r w:rsidR="00423768">
        <w:rPr>
          <w:lang w:eastAsia="ja-JP"/>
        </w:rPr>
        <w:t>=</w:t>
      </w:r>
      <w:r w:rsidR="00375CAE">
        <w:rPr>
          <w:lang w:eastAsia="ja-JP"/>
        </w:rPr>
        <w:t xml:space="preserve"> </w:t>
      </w:r>
      <w:r w:rsidRPr="00F31F9F">
        <w:rPr>
          <w:lang w:eastAsia="ja-JP"/>
        </w:rPr>
        <w:t>acute lymphoblastic leuk</w:t>
      </w:r>
      <w:r w:rsidR="00495D8F">
        <w:rPr>
          <w:lang w:eastAsia="ja-JP"/>
        </w:rPr>
        <w:t>a</w:t>
      </w:r>
      <w:r w:rsidRPr="00F31F9F">
        <w:rPr>
          <w:lang w:eastAsia="ja-JP"/>
        </w:rPr>
        <w:t>emia; CL</w:t>
      </w:r>
      <w:r w:rsidR="00375CAE">
        <w:rPr>
          <w:lang w:eastAsia="ja-JP"/>
        </w:rPr>
        <w:t xml:space="preserve"> </w:t>
      </w:r>
      <w:r w:rsidR="00423768">
        <w:rPr>
          <w:lang w:eastAsia="ja-JP"/>
        </w:rPr>
        <w:t>=</w:t>
      </w:r>
      <w:r w:rsidR="00375CAE">
        <w:rPr>
          <w:lang w:eastAsia="ja-JP"/>
        </w:rPr>
        <w:t xml:space="preserve"> </w:t>
      </w:r>
      <w:r w:rsidRPr="00F31F9F">
        <w:rPr>
          <w:lang w:eastAsia="ja-JP"/>
        </w:rPr>
        <w:t>clearance; NHL</w:t>
      </w:r>
      <w:r w:rsidR="00375CAE">
        <w:rPr>
          <w:lang w:eastAsia="ja-JP"/>
        </w:rPr>
        <w:t xml:space="preserve"> </w:t>
      </w:r>
      <w:r w:rsidR="00423768">
        <w:rPr>
          <w:lang w:eastAsia="ja-JP"/>
        </w:rPr>
        <w:t>=</w:t>
      </w:r>
      <w:r w:rsidR="00375CAE">
        <w:rPr>
          <w:lang w:eastAsia="ja-JP"/>
        </w:rPr>
        <w:t xml:space="preserve"> </w:t>
      </w:r>
      <w:r w:rsidRPr="00F31F9F">
        <w:rPr>
          <w:lang w:eastAsia="ja-JP"/>
        </w:rPr>
        <w:t>non-Hodgkin’s lymphoma.</w:t>
      </w:r>
    </w:p>
    <w:p w14:paraId="71D6CB0A" w14:textId="616D862A" w:rsidR="00F31F9F" w:rsidRPr="00F31F9F" w:rsidRDefault="00F31F9F" w:rsidP="00495D8F">
      <w:pPr>
        <w:pStyle w:val="Heading5"/>
      </w:pPr>
      <w:bookmarkStart w:id="84" w:name="_Toc272414629"/>
      <w:bookmarkStart w:id="85" w:name="_Toc290846252"/>
      <w:bookmarkStart w:id="86" w:name="_Toc292015575"/>
      <w:r w:rsidRPr="00F31F9F">
        <w:t xml:space="preserve">Effect </w:t>
      </w:r>
      <w:r w:rsidR="00495D8F" w:rsidRPr="00F31F9F">
        <w:t>of renal function on pharmacokinetics</w:t>
      </w:r>
      <w:bookmarkEnd w:id="84"/>
      <w:bookmarkEnd w:id="85"/>
      <w:bookmarkEnd w:id="86"/>
    </w:p>
    <w:p w14:paraId="6F28811D" w14:textId="3A186E72" w:rsidR="00495D8F" w:rsidRPr="006F0580" w:rsidRDefault="00F31F9F" w:rsidP="00F31F9F">
      <w:pPr>
        <w:rPr>
          <w:lang w:eastAsia="ja-JP"/>
        </w:rPr>
      </w:pPr>
      <w:r w:rsidRPr="00F31F9F">
        <w:rPr>
          <w:lang w:eastAsia="ja-JP"/>
        </w:rPr>
        <w:t>The results of a retrospective analysis of the effects of renal function (repre</w:t>
      </w:r>
      <w:r w:rsidR="00495D8F">
        <w:rPr>
          <w:lang w:eastAsia="ja-JP"/>
        </w:rPr>
        <w:t>sented by creatinine clearance (CrCL)</w:t>
      </w:r>
      <w:r w:rsidRPr="00F31F9F">
        <w:rPr>
          <w:lang w:eastAsia="ja-JP"/>
        </w:rPr>
        <w:t>) on blinatumomab clearance, as estimated by non-compartmental analysis, are shown in Figure 5</w:t>
      </w:r>
      <w:r w:rsidR="00495D8F">
        <w:rPr>
          <w:lang w:eastAsia="ja-JP"/>
        </w:rPr>
        <w:t>, below</w:t>
      </w:r>
      <w:r w:rsidRPr="00F31F9F">
        <w:rPr>
          <w:lang w:eastAsia="ja-JP"/>
        </w:rPr>
        <w:t xml:space="preserve">. A summary of clearance values by renal function groups (normal, mild, or moderate renal impairment) is provided </w:t>
      </w:r>
      <w:r w:rsidRPr="006F0580">
        <w:rPr>
          <w:lang w:eastAsia="ja-JP"/>
        </w:rPr>
        <w:t xml:space="preserve">in Table </w:t>
      </w:r>
      <w:r w:rsidR="006F0580" w:rsidRPr="006F0580">
        <w:rPr>
          <w:lang w:eastAsia="ja-JP"/>
        </w:rPr>
        <w:t>8</w:t>
      </w:r>
      <w:r w:rsidR="00495D8F" w:rsidRPr="006F0580">
        <w:rPr>
          <w:lang w:eastAsia="ja-JP"/>
        </w:rPr>
        <w:t>.</w:t>
      </w:r>
    </w:p>
    <w:p w14:paraId="583825F5" w14:textId="6612C202" w:rsidR="00F31F9F" w:rsidRPr="006F0580" w:rsidRDefault="00F31F9F" w:rsidP="00F31F9F">
      <w:pPr>
        <w:rPr>
          <w:lang w:eastAsia="ja-JP"/>
        </w:rPr>
      </w:pPr>
      <w:r w:rsidRPr="006F0580">
        <w:rPr>
          <w:lang w:eastAsia="ja-JP"/>
        </w:rPr>
        <w:t>The CrCL values were calculated by Cockcroft-Gault formula and were provided in the clinical datasets of Studies MT103-104, MT103-202, MT103-206, and MT103-211. With the available clearance data from the 4 clinical trials, 215 subjects exhibited normal renal function (CrCL</w:t>
      </w:r>
      <w:r w:rsidR="00495D8F" w:rsidRPr="006F0580">
        <w:rPr>
          <w:lang w:eastAsia="ja-JP"/>
        </w:rPr>
        <w:t> </w:t>
      </w:r>
      <w:r w:rsidR="00423768" w:rsidRPr="006F0580">
        <w:rPr>
          <w:lang w:eastAsia="ja-JP"/>
        </w:rPr>
        <w:t>≥</w:t>
      </w:r>
      <w:r w:rsidR="00495D8F" w:rsidRPr="006F0580">
        <w:rPr>
          <w:lang w:eastAsia="ja-JP"/>
        </w:rPr>
        <w:t> 90 </w:t>
      </w:r>
      <w:r w:rsidRPr="006F0580">
        <w:rPr>
          <w:lang w:eastAsia="ja-JP"/>
        </w:rPr>
        <w:t>mL/min), 62 subjects exhibited mild renal dysfunct</w:t>
      </w:r>
      <w:r w:rsidR="00495D8F" w:rsidRPr="006F0580">
        <w:rPr>
          <w:lang w:eastAsia="ja-JP"/>
        </w:rPr>
        <w:t>ion (CrCL ranging from 60 to 89 </w:t>
      </w:r>
      <w:r w:rsidRPr="006F0580">
        <w:rPr>
          <w:lang w:eastAsia="ja-JP"/>
        </w:rPr>
        <w:t>mL/min) and 21 subjects exhibited moderate renal dysfunct</w:t>
      </w:r>
      <w:r w:rsidR="00495D8F" w:rsidRPr="006F0580">
        <w:rPr>
          <w:lang w:eastAsia="ja-JP"/>
        </w:rPr>
        <w:t>ion (CrCL ranging from 30 to 59 </w:t>
      </w:r>
      <w:r w:rsidRPr="006F0580">
        <w:rPr>
          <w:lang w:eastAsia="ja-JP"/>
        </w:rPr>
        <w:t>mL/min). No patients with severe renal impairment (CrCL</w:t>
      </w:r>
      <w:r w:rsidR="00375CAE" w:rsidRPr="006F0580">
        <w:rPr>
          <w:lang w:eastAsia="ja-JP"/>
        </w:rPr>
        <w:t xml:space="preserve"> </w:t>
      </w:r>
      <w:r w:rsidR="00423768" w:rsidRPr="006F0580">
        <w:rPr>
          <w:lang w:eastAsia="ja-JP"/>
        </w:rPr>
        <w:t>&lt;</w:t>
      </w:r>
      <w:r w:rsidR="00375CAE" w:rsidRPr="006F0580">
        <w:rPr>
          <w:lang w:eastAsia="ja-JP"/>
        </w:rPr>
        <w:t xml:space="preserve"> </w:t>
      </w:r>
      <w:r w:rsidRPr="006F0580">
        <w:rPr>
          <w:lang w:eastAsia="ja-JP"/>
        </w:rPr>
        <w:t>30 mL/min) were enrolled in these trials.</w:t>
      </w:r>
    </w:p>
    <w:p w14:paraId="7D15146C" w14:textId="4D88A382" w:rsidR="00F31F9F" w:rsidRPr="00F31F9F" w:rsidRDefault="00F31F9F" w:rsidP="00F31F9F">
      <w:pPr>
        <w:rPr>
          <w:lang w:eastAsia="ja-JP"/>
        </w:rPr>
      </w:pPr>
      <w:r w:rsidRPr="006F0580">
        <w:rPr>
          <w:lang w:eastAsia="ja-JP"/>
        </w:rPr>
        <w:t>Non-compartmental analyses indicated th</w:t>
      </w:r>
      <w:r w:rsidR="00495D8F" w:rsidRPr="006F0580">
        <w:rPr>
          <w:lang w:eastAsia="ja-JP"/>
        </w:rPr>
        <w:t xml:space="preserve">at there was an approximately 2 </w:t>
      </w:r>
      <w:r w:rsidRPr="006F0580">
        <w:rPr>
          <w:lang w:eastAsia="ja-JP"/>
        </w:rPr>
        <w:t xml:space="preserve">fold difference in mean blinatumomab clearance in subjects with moderate renal dysfunction compared to those with normal renal function (Table </w:t>
      </w:r>
      <w:r w:rsidR="006F0580" w:rsidRPr="006F0580">
        <w:rPr>
          <w:lang w:eastAsia="ja-JP"/>
        </w:rPr>
        <w:t>8</w:t>
      </w:r>
      <w:r w:rsidRPr="00F31F9F">
        <w:rPr>
          <w:lang w:eastAsia="ja-JP"/>
        </w:rPr>
        <w:t>). However, high int</w:t>
      </w:r>
      <w:r w:rsidR="00495D8F">
        <w:rPr>
          <w:lang w:eastAsia="ja-JP"/>
        </w:rPr>
        <w:t>er</w:t>
      </w:r>
      <w:r w:rsidRPr="00F31F9F">
        <w:rPr>
          <w:lang w:eastAsia="ja-JP"/>
        </w:rPr>
        <w:t>subject variability was discerned in all groups (CV% ranged from 61.6 to 95.6%), and the clearance ranges estimated in subjects with mild and moderate renal impairment were essentially within the range estimated in subjects with normal renal function. In addition, urine samples were collected at steady state (</w:t>
      </w:r>
      <w:r w:rsidR="00495D8F">
        <w:rPr>
          <w:lang w:eastAsia="ja-JP"/>
        </w:rPr>
        <w:t>Day 16) from 10 </w:t>
      </w:r>
      <w:r w:rsidRPr="00F31F9F">
        <w:rPr>
          <w:lang w:eastAsia="ja-JP"/>
        </w:rPr>
        <w:t>subjects receiving 60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continuous IV infus</w:t>
      </w:r>
      <w:r w:rsidR="006F0580">
        <w:rPr>
          <w:lang w:eastAsia="ja-JP"/>
        </w:rPr>
        <w:t>ions over 4 to 8 weeks in Study </w:t>
      </w:r>
      <w:r w:rsidRPr="00F31F9F">
        <w:rPr>
          <w:lang w:eastAsia="ja-JP"/>
        </w:rPr>
        <w:t>MT103-104 to estimate pharmacokinetic parameters. The estimated mean fraction of blinatumomab excreted unchanged in urine was approximately 0.2% of the administered dose, indicating renal is a limited pathway for blinatumomab excretion. Since no clinically meaningful impact on efficacy and safety in these patient populations is expected, dose adjustment for patients with mild and moderate renal impairment does not appear to be necessary.</w:t>
      </w:r>
    </w:p>
    <w:p w14:paraId="2CBD6D12" w14:textId="4D01339C" w:rsidR="00F31F9F" w:rsidRPr="00F31F9F" w:rsidRDefault="00F31F9F" w:rsidP="00495D8F">
      <w:pPr>
        <w:pStyle w:val="Tabletitle"/>
        <w:rPr>
          <w:lang w:eastAsia="ja-JP"/>
        </w:rPr>
      </w:pPr>
      <w:bookmarkStart w:id="87" w:name="_Toc292015691"/>
      <w:r w:rsidRPr="00F31F9F">
        <w:rPr>
          <w:lang w:eastAsia="ja-JP"/>
        </w:rPr>
        <w:t xml:space="preserve">Table </w:t>
      </w:r>
      <w:r w:rsidR="00586C19">
        <w:rPr>
          <w:lang w:eastAsia="ja-JP"/>
        </w:rPr>
        <w:t>8:</w:t>
      </w:r>
      <w:r w:rsidRPr="00F31F9F">
        <w:rPr>
          <w:lang w:eastAsia="ja-JP"/>
        </w:rPr>
        <w:t xml:space="preserve"> Summary of </w:t>
      </w:r>
      <w:r w:rsidR="00495D8F">
        <w:rPr>
          <w:lang w:eastAsia="ja-JP"/>
        </w:rPr>
        <w:t>b</w:t>
      </w:r>
      <w:r w:rsidRPr="00F31F9F">
        <w:rPr>
          <w:lang w:eastAsia="ja-JP"/>
        </w:rPr>
        <w:t xml:space="preserve">linatumomab </w:t>
      </w:r>
      <w:r w:rsidR="00495D8F" w:rsidRPr="00F31F9F">
        <w:rPr>
          <w:lang w:eastAsia="ja-JP"/>
        </w:rPr>
        <w:t>clearance by renal function groups</w:t>
      </w:r>
      <w:bookmarkEnd w:id="87"/>
    </w:p>
    <w:tbl>
      <w:tblPr>
        <w:tblStyle w:val="TableTGAblue"/>
        <w:tblW w:w="4782" w:type="pct"/>
        <w:tblLook w:val="04A0" w:firstRow="1" w:lastRow="0" w:firstColumn="1" w:lastColumn="0" w:noHBand="0" w:noVBand="1"/>
        <w:tblDescription w:val="Table 8: Summary of blinatumomab clearance by renal function groups"/>
      </w:tblPr>
      <w:tblGrid>
        <w:gridCol w:w="3147"/>
        <w:gridCol w:w="922"/>
        <w:gridCol w:w="1656"/>
        <w:gridCol w:w="1110"/>
        <w:gridCol w:w="967"/>
        <w:gridCol w:w="1037"/>
      </w:tblGrid>
      <w:tr w:rsidR="00F31F9F" w:rsidRPr="00F31F9F" w14:paraId="61962F7B" w14:textId="77777777" w:rsidTr="007B270B">
        <w:trPr>
          <w:cnfStyle w:val="100000000000" w:firstRow="1" w:lastRow="0" w:firstColumn="0" w:lastColumn="0" w:oddVBand="0" w:evenVBand="0" w:oddHBand="0" w:evenHBand="0" w:firstRowFirstColumn="0" w:firstRowLastColumn="0" w:lastRowFirstColumn="0" w:lastRowLastColumn="0"/>
          <w:trHeight w:val="479"/>
          <w:tblHeader/>
        </w:trPr>
        <w:tc>
          <w:tcPr>
            <w:cnfStyle w:val="001000000000" w:firstRow="0" w:lastRow="0" w:firstColumn="1" w:lastColumn="0" w:oddVBand="0" w:evenVBand="0" w:oddHBand="0" w:evenHBand="0" w:firstRowFirstColumn="0" w:firstRowLastColumn="0" w:lastRowFirstColumn="0" w:lastRowLastColumn="0"/>
            <w:tcW w:w="1830" w:type="pct"/>
            <w:vMerge w:val="restart"/>
            <w:tcBorders>
              <w:top w:val="single" w:sz="4" w:space="0" w:color="auto"/>
              <w:left w:val="single" w:sz="4" w:space="0" w:color="auto"/>
              <w:bottom w:val="single" w:sz="4" w:space="0" w:color="auto"/>
              <w:right w:val="single" w:sz="4" w:space="0" w:color="auto"/>
            </w:tcBorders>
          </w:tcPr>
          <w:p w14:paraId="7A0E0C80" w14:textId="77777777" w:rsidR="00F31F9F" w:rsidRPr="00F31F9F" w:rsidRDefault="00F31F9F" w:rsidP="00F31F9F">
            <w:pPr>
              <w:rPr>
                <w:bCs/>
                <w:lang w:eastAsia="ja-JP"/>
              </w:rPr>
            </w:pPr>
            <w:r w:rsidRPr="00F31F9F">
              <w:rPr>
                <w:bCs/>
                <w:lang w:eastAsia="ja-JP"/>
              </w:rPr>
              <w:t>CrCL</w:t>
            </w:r>
          </w:p>
        </w:tc>
        <w:tc>
          <w:tcPr>
            <w:tcW w:w="3169" w:type="pct"/>
            <w:gridSpan w:val="5"/>
            <w:tcBorders>
              <w:top w:val="single" w:sz="4" w:space="0" w:color="auto"/>
              <w:left w:val="single" w:sz="4" w:space="0" w:color="auto"/>
              <w:bottom w:val="single" w:sz="4" w:space="0" w:color="auto"/>
              <w:right w:val="single" w:sz="4" w:space="0" w:color="auto"/>
            </w:tcBorders>
          </w:tcPr>
          <w:p w14:paraId="080276DA"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Cs/>
                <w:lang w:eastAsia="ja-JP"/>
              </w:rPr>
            </w:pPr>
            <w:r w:rsidRPr="00F31F9F">
              <w:rPr>
                <w:bCs/>
                <w:lang w:eastAsia="ja-JP"/>
              </w:rPr>
              <w:t>Blinatumomab Clearance(L/hr)</w:t>
            </w:r>
          </w:p>
        </w:tc>
      </w:tr>
      <w:tr w:rsidR="00F31F9F" w:rsidRPr="00F31F9F" w14:paraId="6D7BC2F0" w14:textId="77777777" w:rsidTr="007B270B">
        <w:trPr>
          <w:cnfStyle w:val="100000000000" w:firstRow="1" w:lastRow="0" w:firstColumn="0" w:lastColumn="0" w:oddVBand="0" w:evenVBand="0" w:oddHBand="0" w:evenHBand="0" w:firstRowFirstColumn="0" w:firstRowLastColumn="0" w:lastRowFirstColumn="0" w:lastRowLastColumn="0"/>
          <w:trHeight w:val="139"/>
          <w:tblHeader/>
        </w:trPr>
        <w:tc>
          <w:tcPr>
            <w:cnfStyle w:val="001000000000" w:firstRow="0" w:lastRow="0" w:firstColumn="1" w:lastColumn="0" w:oddVBand="0" w:evenVBand="0" w:oddHBand="0" w:evenHBand="0" w:firstRowFirstColumn="0" w:firstRowLastColumn="0" w:lastRowFirstColumn="0" w:lastRowLastColumn="0"/>
            <w:tcW w:w="1830" w:type="pct"/>
            <w:vMerge/>
            <w:tcBorders>
              <w:top w:val="single" w:sz="4" w:space="0" w:color="auto"/>
              <w:left w:val="single" w:sz="4" w:space="0" w:color="auto"/>
              <w:bottom w:val="single" w:sz="4" w:space="0" w:color="auto"/>
              <w:right w:val="single" w:sz="4" w:space="0" w:color="auto"/>
            </w:tcBorders>
          </w:tcPr>
          <w:p w14:paraId="59A87AEB" w14:textId="77777777" w:rsidR="00F31F9F" w:rsidRPr="00F31F9F" w:rsidRDefault="00F31F9F" w:rsidP="00F31F9F">
            <w:pPr>
              <w:rPr>
                <w:bCs/>
                <w:lang w:eastAsia="ja-JP"/>
              </w:rPr>
            </w:pPr>
          </w:p>
        </w:tc>
        <w:tc>
          <w:tcPr>
            <w:tcW w:w="499" w:type="pct"/>
            <w:tcBorders>
              <w:top w:val="single" w:sz="4" w:space="0" w:color="auto"/>
              <w:left w:val="single" w:sz="4" w:space="0" w:color="auto"/>
              <w:bottom w:val="single" w:sz="4" w:space="0" w:color="auto"/>
              <w:right w:val="single" w:sz="4" w:space="0" w:color="auto"/>
            </w:tcBorders>
          </w:tcPr>
          <w:p w14:paraId="2F805F2A"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Cs/>
                <w:lang w:eastAsia="ja-JP"/>
              </w:rPr>
            </w:pPr>
            <w:r w:rsidRPr="00F31F9F">
              <w:rPr>
                <w:bCs/>
                <w:lang w:eastAsia="ja-JP"/>
              </w:rPr>
              <w:t>N</w:t>
            </w:r>
          </w:p>
        </w:tc>
        <w:tc>
          <w:tcPr>
            <w:tcW w:w="986" w:type="pct"/>
            <w:tcBorders>
              <w:top w:val="single" w:sz="4" w:space="0" w:color="auto"/>
              <w:left w:val="single" w:sz="4" w:space="0" w:color="auto"/>
              <w:bottom w:val="single" w:sz="4" w:space="0" w:color="auto"/>
              <w:right w:val="single" w:sz="4" w:space="0" w:color="auto"/>
            </w:tcBorders>
          </w:tcPr>
          <w:p w14:paraId="6ACFA745"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Cs/>
                <w:lang w:eastAsia="ja-JP"/>
              </w:rPr>
            </w:pPr>
            <w:r w:rsidRPr="00F31F9F">
              <w:rPr>
                <w:bCs/>
                <w:lang w:eastAsia="ja-JP"/>
              </w:rPr>
              <w:t>Median (Range)</w:t>
            </w:r>
          </w:p>
        </w:tc>
        <w:tc>
          <w:tcPr>
            <w:tcW w:w="601" w:type="pct"/>
            <w:tcBorders>
              <w:top w:val="single" w:sz="4" w:space="0" w:color="auto"/>
              <w:left w:val="single" w:sz="4" w:space="0" w:color="auto"/>
              <w:bottom w:val="single" w:sz="4" w:space="0" w:color="auto"/>
              <w:right w:val="single" w:sz="4" w:space="0" w:color="auto"/>
            </w:tcBorders>
          </w:tcPr>
          <w:p w14:paraId="3B50FA2D"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Cs/>
                <w:lang w:eastAsia="ja-JP"/>
              </w:rPr>
            </w:pPr>
            <w:r w:rsidRPr="00F31F9F">
              <w:rPr>
                <w:bCs/>
                <w:lang w:eastAsia="ja-JP"/>
              </w:rPr>
              <w:t>Mean</w:t>
            </w:r>
          </w:p>
        </w:tc>
        <w:tc>
          <w:tcPr>
            <w:tcW w:w="523" w:type="pct"/>
            <w:tcBorders>
              <w:top w:val="single" w:sz="4" w:space="0" w:color="auto"/>
              <w:left w:val="single" w:sz="4" w:space="0" w:color="auto"/>
              <w:bottom w:val="single" w:sz="4" w:space="0" w:color="auto"/>
              <w:right w:val="single" w:sz="4" w:space="0" w:color="auto"/>
            </w:tcBorders>
          </w:tcPr>
          <w:p w14:paraId="2C9A70C8"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Cs/>
                <w:lang w:eastAsia="ja-JP"/>
              </w:rPr>
            </w:pPr>
            <w:r w:rsidRPr="00F31F9F">
              <w:rPr>
                <w:bCs/>
                <w:lang w:eastAsia="ja-JP"/>
              </w:rPr>
              <w:t>SD</w:t>
            </w:r>
          </w:p>
        </w:tc>
        <w:tc>
          <w:tcPr>
            <w:tcW w:w="561" w:type="pct"/>
            <w:tcBorders>
              <w:top w:val="single" w:sz="4" w:space="0" w:color="auto"/>
              <w:left w:val="single" w:sz="4" w:space="0" w:color="auto"/>
              <w:bottom w:val="single" w:sz="4" w:space="0" w:color="auto"/>
              <w:right w:val="single" w:sz="4" w:space="0" w:color="auto"/>
            </w:tcBorders>
          </w:tcPr>
          <w:p w14:paraId="3BE579BB"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Cs/>
                <w:lang w:eastAsia="ja-JP"/>
              </w:rPr>
            </w:pPr>
            <w:r w:rsidRPr="00F31F9F">
              <w:rPr>
                <w:bCs/>
                <w:lang w:eastAsia="ja-JP"/>
              </w:rPr>
              <w:t>%CV</w:t>
            </w:r>
          </w:p>
        </w:tc>
      </w:tr>
      <w:tr w:rsidR="00F31F9F" w:rsidRPr="00F31F9F" w14:paraId="5C2EF7F3" w14:textId="77777777" w:rsidTr="007B270B">
        <w:trPr>
          <w:trHeight w:val="725"/>
        </w:trPr>
        <w:tc>
          <w:tcPr>
            <w:cnfStyle w:val="001000000000" w:firstRow="0" w:lastRow="0" w:firstColumn="1" w:lastColumn="0" w:oddVBand="0" w:evenVBand="0" w:oddHBand="0" w:evenHBand="0" w:firstRowFirstColumn="0" w:firstRowLastColumn="0" w:lastRowFirstColumn="0" w:lastRowLastColumn="0"/>
            <w:tcW w:w="1830" w:type="pct"/>
            <w:tcBorders>
              <w:top w:val="single" w:sz="4" w:space="0" w:color="auto"/>
            </w:tcBorders>
          </w:tcPr>
          <w:p w14:paraId="3FF26062" w14:textId="1E398ECD" w:rsidR="00F31F9F" w:rsidRPr="00F31F9F" w:rsidRDefault="006F0580" w:rsidP="00F31F9F">
            <w:pPr>
              <w:rPr>
                <w:bCs/>
                <w:lang w:eastAsia="ja-JP"/>
              </w:rPr>
            </w:pPr>
            <w:r>
              <w:rPr>
                <w:bCs/>
                <w:lang w:eastAsia="ja-JP"/>
              </w:rPr>
              <w:t>Normal (CrCL</w:t>
            </w:r>
            <w:r w:rsidR="00375CAE">
              <w:rPr>
                <w:bCs/>
                <w:lang w:eastAsia="ja-JP"/>
              </w:rPr>
              <w:t xml:space="preserve"> </w:t>
            </w:r>
            <w:r w:rsidR="00423768">
              <w:rPr>
                <w:bCs/>
                <w:lang w:eastAsia="ja-JP"/>
              </w:rPr>
              <w:t>≥</w:t>
            </w:r>
            <w:r w:rsidR="00375CAE">
              <w:rPr>
                <w:bCs/>
                <w:lang w:eastAsia="ja-JP"/>
              </w:rPr>
              <w:t xml:space="preserve"> </w:t>
            </w:r>
            <w:r w:rsidR="00F31F9F" w:rsidRPr="00F31F9F">
              <w:rPr>
                <w:bCs/>
                <w:lang w:eastAsia="ja-JP"/>
              </w:rPr>
              <w:t>90 mL/min)</w:t>
            </w:r>
          </w:p>
        </w:tc>
        <w:tc>
          <w:tcPr>
            <w:tcW w:w="499" w:type="pct"/>
            <w:tcBorders>
              <w:top w:val="single" w:sz="4" w:space="0" w:color="auto"/>
            </w:tcBorders>
          </w:tcPr>
          <w:p w14:paraId="5068585B"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215</w:t>
            </w:r>
          </w:p>
        </w:tc>
        <w:tc>
          <w:tcPr>
            <w:tcW w:w="986" w:type="pct"/>
            <w:tcBorders>
              <w:top w:val="single" w:sz="4" w:space="0" w:color="auto"/>
            </w:tcBorders>
          </w:tcPr>
          <w:p w14:paraId="4E128335" w14:textId="4938C042"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2.21 (0.501</w:t>
            </w:r>
            <w:r w:rsidR="00BA3485">
              <w:rPr>
                <w:bCs/>
                <w:lang w:eastAsia="ja-JP"/>
              </w:rPr>
              <w:t xml:space="preserve"> to </w:t>
            </w:r>
            <w:r w:rsidRPr="00F31F9F">
              <w:rPr>
                <w:bCs/>
                <w:lang w:eastAsia="ja-JP"/>
              </w:rPr>
              <w:t>20.5)</w:t>
            </w:r>
          </w:p>
        </w:tc>
        <w:tc>
          <w:tcPr>
            <w:tcW w:w="601" w:type="pct"/>
            <w:tcBorders>
              <w:top w:val="single" w:sz="4" w:space="0" w:color="auto"/>
            </w:tcBorders>
          </w:tcPr>
          <w:p w14:paraId="37407487"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3.26</w:t>
            </w:r>
          </w:p>
        </w:tc>
        <w:tc>
          <w:tcPr>
            <w:tcW w:w="523" w:type="pct"/>
            <w:tcBorders>
              <w:top w:val="single" w:sz="4" w:space="0" w:color="auto"/>
            </w:tcBorders>
          </w:tcPr>
          <w:p w14:paraId="3EC32494"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3.11</w:t>
            </w:r>
          </w:p>
        </w:tc>
        <w:tc>
          <w:tcPr>
            <w:tcW w:w="561" w:type="pct"/>
            <w:tcBorders>
              <w:top w:val="single" w:sz="4" w:space="0" w:color="auto"/>
            </w:tcBorders>
          </w:tcPr>
          <w:p w14:paraId="5F5F0AD2"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95.6</w:t>
            </w:r>
          </w:p>
        </w:tc>
      </w:tr>
      <w:tr w:rsidR="00F31F9F" w:rsidRPr="00F31F9F" w14:paraId="34BFD631" w14:textId="77777777" w:rsidTr="007B270B">
        <w:trPr>
          <w:trHeight w:val="736"/>
        </w:trPr>
        <w:tc>
          <w:tcPr>
            <w:cnfStyle w:val="001000000000" w:firstRow="0" w:lastRow="0" w:firstColumn="1" w:lastColumn="0" w:oddVBand="0" w:evenVBand="0" w:oddHBand="0" w:evenHBand="0" w:firstRowFirstColumn="0" w:firstRowLastColumn="0" w:lastRowFirstColumn="0" w:lastRowLastColumn="0"/>
            <w:tcW w:w="1830" w:type="pct"/>
          </w:tcPr>
          <w:p w14:paraId="10EB0111" w14:textId="06086983" w:rsidR="00F31F9F" w:rsidRPr="00F31F9F" w:rsidRDefault="006F0580" w:rsidP="00F31F9F">
            <w:pPr>
              <w:rPr>
                <w:bCs/>
                <w:lang w:eastAsia="ja-JP"/>
              </w:rPr>
            </w:pPr>
            <w:r>
              <w:rPr>
                <w:bCs/>
                <w:lang w:eastAsia="ja-JP"/>
              </w:rPr>
              <w:t>Mild (CrCL = 60 to 89 </w:t>
            </w:r>
            <w:r w:rsidR="00F31F9F" w:rsidRPr="00F31F9F">
              <w:rPr>
                <w:bCs/>
                <w:lang w:eastAsia="ja-JP"/>
              </w:rPr>
              <w:t>mL/min)</w:t>
            </w:r>
          </w:p>
        </w:tc>
        <w:tc>
          <w:tcPr>
            <w:tcW w:w="499" w:type="pct"/>
          </w:tcPr>
          <w:p w14:paraId="2294B036"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62</w:t>
            </w:r>
          </w:p>
        </w:tc>
        <w:tc>
          <w:tcPr>
            <w:tcW w:w="986" w:type="pct"/>
          </w:tcPr>
          <w:p w14:paraId="3D38C296" w14:textId="76BA21DC"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1.87 (0.445</w:t>
            </w:r>
            <w:r w:rsidR="00BA3485">
              <w:rPr>
                <w:bCs/>
                <w:lang w:eastAsia="ja-JP"/>
              </w:rPr>
              <w:t xml:space="preserve"> to </w:t>
            </w:r>
            <w:r w:rsidRPr="00F31F9F">
              <w:rPr>
                <w:bCs/>
                <w:lang w:eastAsia="ja-JP"/>
              </w:rPr>
              <w:t>12.5)</w:t>
            </w:r>
          </w:p>
        </w:tc>
        <w:tc>
          <w:tcPr>
            <w:tcW w:w="601" w:type="pct"/>
          </w:tcPr>
          <w:p w14:paraId="458DCC75"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2.22</w:t>
            </w:r>
          </w:p>
        </w:tc>
        <w:tc>
          <w:tcPr>
            <w:tcW w:w="523" w:type="pct"/>
          </w:tcPr>
          <w:p w14:paraId="6BE987C8"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1.76</w:t>
            </w:r>
          </w:p>
        </w:tc>
        <w:tc>
          <w:tcPr>
            <w:tcW w:w="561" w:type="pct"/>
          </w:tcPr>
          <w:p w14:paraId="790AF758"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78.9</w:t>
            </w:r>
          </w:p>
        </w:tc>
      </w:tr>
      <w:tr w:rsidR="00F31F9F" w:rsidRPr="00F31F9F" w14:paraId="6B30A9D9" w14:textId="77777777" w:rsidTr="007B270B">
        <w:trPr>
          <w:trHeight w:val="736"/>
        </w:trPr>
        <w:tc>
          <w:tcPr>
            <w:cnfStyle w:val="001000000000" w:firstRow="0" w:lastRow="0" w:firstColumn="1" w:lastColumn="0" w:oddVBand="0" w:evenVBand="0" w:oddHBand="0" w:evenHBand="0" w:firstRowFirstColumn="0" w:firstRowLastColumn="0" w:lastRowFirstColumn="0" w:lastRowLastColumn="0"/>
            <w:tcW w:w="1830" w:type="pct"/>
          </w:tcPr>
          <w:p w14:paraId="3E88ECF1" w14:textId="0C5A0A64" w:rsidR="00F31F9F" w:rsidRPr="00F31F9F" w:rsidRDefault="006F0580" w:rsidP="00F31F9F">
            <w:pPr>
              <w:rPr>
                <w:bCs/>
                <w:lang w:eastAsia="ja-JP"/>
              </w:rPr>
            </w:pPr>
            <w:r>
              <w:rPr>
                <w:bCs/>
                <w:lang w:eastAsia="ja-JP"/>
              </w:rPr>
              <w:t>Moderate (CrCL = 30 to 59 </w:t>
            </w:r>
            <w:r w:rsidR="00F31F9F" w:rsidRPr="00F31F9F">
              <w:rPr>
                <w:bCs/>
                <w:lang w:eastAsia="ja-JP"/>
              </w:rPr>
              <w:t>mL/min)</w:t>
            </w:r>
          </w:p>
        </w:tc>
        <w:tc>
          <w:tcPr>
            <w:tcW w:w="499" w:type="pct"/>
          </w:tcPr>
          <w:p w14:paraId="25F6BCE8"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21</w:t>
            </w:r>
          </w:p>
        </w:tc>
        <w:tc>
          <w:tcPr>
            <w:tcW w:w="986" w:type="pct"/>
          </w:tcPr>
          <w:p w14:paraId="05B9E494" w14:textId="0F7FF984"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1.32 (0.422</w:t>
            </w:r>
            <w:r w:rsidR="00BA3485">
              <w:rPr>
                <w:bCs/>
                <w:lang w:eastAsia="ja-JP"/>
              </w:rPr>
              <w:t xml:space="preserve"> to </w:t>
            </w:r>
            <w:r w:rsidRPr="00F31F9F">
              <w:rPr>
                <w:bCs/>
                <w:lang w:eastAsia="ja-JP"/>
              </w:rPr>
              <w:t>4.84)</w:t>
            </w:r>
          </w:p>
        </w:tc>
        <w:tc>
          <w:tcPr>
            <w:tcW w:w="601" w:type="pct"/>
          </w:tcPr>
          <w:p w14:paraId="4782C281"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1.58</w:t>
            </w:r>
          </w:p>
        </w:tc>
        <w:tc>
          <w:tcPr>
            <w:tcW w:w="523" w:type="pct"/>
          </w:tcPr>
          <w:p w14:paraId="7E6CA64D"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0.98</w:t>
            </w:r>
          </w:p>
        </w:tc>
        <w:tc>
          <w:tcPr>
            <w:tcW w:w="561" w:type="pct"/>
          </w:tcPr>
          <w:p w14:paraId="2934D734"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bCs/>
                <w:lang w:eastAsia="ja-JP"/>
              </w:rPr>
            </w:pPr>
            <w:r w:rsidRPr="00F31F9F">
              <w:rPr>
                <w:bCs/>
                <w:lang w:eastAsia="ja-JP"/>
              </w:rPr>
              <w:t>61.6</w:t>
            </w:r>
          </w:p>
        </w:tc>
      </w:tr>
    </w:tbl>
    <w:p w14:paraId="44F0E05E" w14:textId="637DDBA0" w:rsidR="00F31F9F" w:rsidRPr="00F31F9F" w:rsidRDefault="00F31F9F" w:rsidP="00F31F9F">
      <w:pPr>
        <w:rPr>
          <w:bCs/>
          <w:lang w:eastAsia="ja-JP"/>
        </w:rPr>
      </w:pPr>
      <w:r w:rsidRPr="00F31F9F">
        <w:rPr>
          <w:bCs/>
          <w:lang w:eastAsia="ja-JP"/>
        </w:rPr>
        <w:t>CrCL</w:t>
      </w:r>
      <w:r w:rsidR="00375CAE">
        <w:rPr>
          <w:bCs/>
          <w:lang w:eastAsia="ja-JP"/>
        </w:rPr>
        <w:t xml:space="preserve"> </w:t>
      </w:r>
      <w:r w:rsidR="00423768">
        <w:rPr>
          <w:bCs/>
          <w:lang w:eastAsia="ja-JP"/>
        </w:rPr>
        <w:t>=</w:t>
      </w:r>
      <w:r w:rsidR="00375CAE">
        <w:rPr>
          <w:bCs/>
          <w:lang w:eastAsia="ja-JP"/>
        </w:rPr>
        <w:t xml:space="preserve"> </w:t>
      </w:r>
      <w:r w:rsidRPr="00F31F9F">
        <w:rPr>
          <w:bCs/>
          <w:lang w:eastAsia="ja-JP"/>
        </w:rPr>
        <w:t>creatinine clearance; CV</w:t>
      </w:r>
      <w:r w:rsidR="00375CAE">
        <w:rPr>
          <w:bCs/>
          <w:lang w:eastAsia="ja-JP"/>
        </w:rPr>
        <w:t xml:space="preserve"> </w:t>
      </w:r>
      <w:r w:rsidR="00423768">
        <w:rPr>
          <w:bCs/>
          <w:lang w:eastAsia="ja-JP"/>
        </w:rPr>
        <w:t>=</w:t>
      </w:r>
      <w:r w:rsidR="00375CAE">
        <w:rPr>
          <w:bCs/>
          <w:lang w:eastAsia="ja-JP"/>
        </w:rPr>
        <w:t xml:space="preserve"> </w:t>
      </w:r>
      <w:r w:rsidRPr="00F31F9F">
        <w:rPr>
          <w:bCs/>
          <w:lang w:eastAsia="ja-JP"/>
        </w:rPr>
        <w:t>coefficient of variance; SD</w:t>
      </w:r>
      <w:r w:rsidR="00375CAE">
        <w:rPr>
          <w:bCs/>
          <w:lang w:eastAsia="ja-JP"/>
        </w:rPr>
        <w:t xml:space="preserve"> </w:t>
      </w:r>
      <w:r w:rsidR="00423768">
        <w:rPr>
          <w:bCs/>
          <w:lang w:eastAsia="ja-JP"/>
        </w:rPr>
        <w:t>=</w:t>
      </w:r>
      <w:r w:rsidR="00375CAE">
        <w:rPr>
          <w:bCs/>
          <w:lang w:eastAsia="ja-JP"/>
        </w:rPr>
        <w:t xml:space="preserve"> </w:t>
      </w:r>
      <w:r w:rsidRPr="00F31F9F">
        <w:rPr>
          <w:bCs/>
          <w:lang w:eastAsia="ja-JP"/>
        </w:rPr>
        <w:t>standard deviation. Note: Clearance values estimated from non-compartmental analysis are summar</w:t>
      </w:r>
      <w:r w:rsidR="00D50F7E">
        <w:rPr>
          <w:bCs/>
          <w:lang w:eastAsia="ja-JP"/>
        </w:rPr>
        <w:t>ised</w:t>
      </w:r>
      <w:r w:rsidRPr="00F31F9F">
        <w:rPr>
          <w:bCs/>
          <w:lang w:eastAsia="ja-JP"/>
        </w:rPr>
        <w:t xml:space="preserve"> in this table.</w:t>
      </w:r>
    </w:p>
    <w:p w14:paraId="0C0656CA" w14:textId="596CB462" w:rsidR="00F31F9F" w:rsidRPr="00F31F9F" w:rsidRDefault="00F31F9F" w:rsidP="002C4366">
      <w:pPr>
        <w:pStyle w:val="FigureTitle"/>
        <w:keepNext/>
        <w:rPr>
          <w:lang w:eastAsia="ja-JP"/>
        </w:rPr>
      </w:pPr>
      <w:bookmarkStart w:id="88" w:name="_Toc292015785"/>
      <w:r w:rsidRPr="00F31F9F">
        <w:rPr>
          <w:lang w:eastAsia="ja-JP"/>
        </w:rPr>
        <w:t xml:space="preserve">Figure </w:t>
      </w:r>
      <w:r w:rsidR="00586C19">
        <w:rPr>
          <w:lang w:eastAsia="ja-JP"/>
        </w:rPr>
        <w:t>5:</w:t>
      </w:r>
      <w:r w:rsidRPr="00F31F9F">
        <w:rPr>
          <w:lang w:eastAsia="ja-JP"/>
        </w:rPr>
        <w:t xml:space="preserve"> Effect of </w:t>
      </w:r>
      <w:r w:rsidR="00495D8F" w:rsidRPr="00F31F9F">
        <w:rPr>
          <w:lang w:eastAsia="ja-JP"/>
        </w:rPr>
        <w:t>creatinine clearance</w:t>
      </w:r>
      <w:r w:rsidRPr="00F31F9F">
        <w:rPr>
          <w:lang w:eastAsia="ja-JP"/>
        </w:rPr>
        <w:t xml:space="preserve"> (CrCL) on </w:t>
      </w:r>
      <w:r w:rsidR="00495D8F" w:rsidRPr="00F31F9F">
        <w:rPr>
          <w:lang w:eastAsia="ja-JP"/>
        </w:rPr>
        <w:t xml:space="preserve">blinatumomab clearance in subjects </w:t>
      </w:r>
      <w:r w:rsidRPr="00F31F9F">
        <w:rPr>
          <w:lang w:eastAsia="ja-JP"/>
        </w:rPr>
        <w:t>with NHL and ALL</w:t>
      </w:r>
      <w:bookmarkEnd w:id="88"/>
    </w:p>
    <w:p w14:paraId="6A3C3F66" w14:textId="77777777" w:rsidR="00F31F9F" w:rsidRPr="00F31F9F" w:rsidRDefault="00F31F9F" w:rsidP="002C4366">
      <w:pPr>
        <w:keepNext/>
        <w:rPr>
          <w:lang w:eastAsia="ja-JP"/>
        </w:rPr>
      </w:pPr>
      <w:r w:rsidRPr="00F31F9F">
        <w:rPr>
          <w:noProof/>
          <w:lang w:eastAsia="en-AU"/>
        </w:rPr>
        <w:drawing>
          <wp:inline distT="0" distB="0" distL="0" distR="0" wp14:anchorId="1986CC3A" wp14:editId="2D762BAA">
            <wp:extent cx="3455670" cy="1988185"/>
            <wp:effectExtent l="0" t="0" r="0" b="0"/>
            <wp:docPr id="76" name="Picture 76" descr="Figure 5: Effect of creatinine clearance (CrCL) on blinatumomab clearance in subjects with NHL and ALL" title="Effect of creatinine clearance (CrCL) on blinatumomab clearance in subjects with NHL and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670" cy="1988185"/>
                    </a:xfrm>
                    <a:prstGeom prst="rect">
                      <a:avLst/>
                    </a:prstGeom>
                    <a:noFill/>
                    <a:ln>
                      <a:noFill/>
                    </a:ln>
                  </pic:spPr>
                </pic:pic>
              </a:graphicData>
            </a:graphic>
          </wp:inline>
        </w:drawing>
      </w:r>
    </w:p>
    <w:p w14:paraId="245918DA" w14:textId="4FA9D0E7" w:rsidR="00F31F9F" w:rsidRPr="00F31F9F" w:rsidRDefault="00F31F9F" w:rsidP="00495D8F">
      <w:pPr>
        <w:pStyle w:val="FigureDescription"/>
        <w:rPr>
          <w:lang w:eastAsia="ja-JP"/>
        </w:rPr>
      </w:pPr>
      <w:r w:rsidRPr="00F31F9F">
        <w:rPr>
          <w:lang w:eastAsia="ja-JP"/>
        </w:rPr>
        <w:t>ALL</w:t>
      </w:r>
      <w:r w:rsidR="00375CAE">
        <w:rPr>
          <w:lang w:eastAsia="ja-JP"/>
        </w:rPr>
        <w:t xml:space="preserve"> </w:t>
      </w:r>
      <w:r w:rsidR="00423768">
        <w:rPr>
          <w:lang w:eastAsia="ja-JP"/>
        </w:rPr>
        <w:t>=</w:t>
      </w:r>
      <w:r w:rsidR="00375CAE">
        <w:rPr>
          <w:lang w:eastAsia="ja-JP"/>
        </w:rPr>
        <w:t xml:space="preserve"> </w:t>
      </w:r>
      <w:r w:rsidRPr="00F31F9F">
        <w:rPr>
          <w:lang w:eastAsia="ja-JP"/>
        </w:rPr>
        <w:t>acute lymphoblastic leuk</w:t>
      </w:r>
      <w:r w:rsidR="002C4366">
        <w:rPr>
          <w:lang w:eastAsia="ja-JP"/>
        </w:rPr>
        <w:t>a</w:t>
      </w:r>
      <w:r w:rsidRPr="00F31F9F">
        <w:rPr>
          <w:lang w:eastAsia="ja-JP"/>
        </w:rPr>
        <w:t>emia; CL</w:t>
      </w:r>
      <w:r w:rsidR="00375CAE">
        <w:rPr>
          <w:lang w:eastAsia="ja-JP"/>
        </w:rPr>
        <w:t xml:space="preserve"> </w:t>
      </w:r>
      <w:r w:rsidR="00423768">
        <w:rPr>
          <w:lang w:eastAsia="ja-JP"/>
        </w:rPr>
        <w:t>=</w:t>
      </w:r>
      <w:r w:rsidR="00375CAE">
        <w:rPr>
          <w:lang w:eastAsia="ja-JP"/>
        </w:rPr>
        <w:t xml:space="preserve"> </w:t>
      </w:r>
      <w:r w:rsidRPr="00F31F9F">
        <w:rPr>
          <w:lang w:eastAsia="ja-JP"/>
        </w:rPr>
        <w:t>clearance; NHL</w:t>
      </w:r>
      <w:r w:rsidR="00375CAE">
        <w:rPr>
          <w:lang w:eastAsia="ja-JP"/>
        </w:rPr>
        <w:t xml:space="preserve"> </w:t>
      </w:r>
      <w:r w:rsidR="00423768">
        <w:rPr>
          <w:lang w:eastAsia="ja-JP"/>
        </w:rPr>
        <w:t>=</w:t>
      </w:r>
      <w:r w:rsidR="00375CAE">
        <w:rPr>
          <w:lang w:eastAsia="ja-JP"/>
        </w:rPr>
        <w:t xml:space="preserve"> </w:t>
      </w:r>
      <w:r w:rsidRPr="00F31F9F">
        <w:rPr>
          <w:lang w:eastAsia="ja-JP"/>
        </w:rPr>
        <w:t>non-Hodgkin’s lymphoma. Note: Clearance values estimated from non-compartmental analyses were used in the plot; creatinine clearance values</w:t>
      </w:r>
      <w:r w:rsidR="00375CAE">
        <w:rPr>
          <w:lang w:eastAsia="ja-JP"/>
        </w:rPr>
        <w:t xml:space="preserve"> </w:t>
      </w:r>
      <w:r w:rsidR="00423768">
        <w:rPr>
          <w:lang w:eastAsia="ja-JP"/>
        </w:rPr>
        <w:t>&gt;</w:t>
      </w:r>
      <w:r w:rsidR="00375CAE">
        <w:rPr>
          <w:lang w:eastAsia="ja-JP"/>
        </w:rPr>
        <w:t xml:space="preserve"> </w:t>
      </w:r>
      <w:r w:rsidRPr="00F31F9F">
        <w:rPr>
          <w:lang w:eastAsia="ja-JP"/>
        </w:rPr>
        <w:t>150 mL/min were set to 150 mL/min.</w:t>
      </w:r>
    </w:p>
    <w:p w14:paraId="091B3326" w14:textId="12566379" w:rsidR="00F31F9F" w:rsidRPr="00F31F9F" w:rsidRDefault="00F31F9F" w:rsidP="00495D8F">
      <w:pPr>
        <w:pStyle w:val="Heading5"/>
      </w:pPr>
      <w:bookmarkStart w:id="89" w:name="_Toc292015576"/>
      <w:r w:rsidRPr="00F31F9F">
        <w:t xml:space="preserve">Effect of </w:t>
      </w:r>
      <w:r w:rsidR="00495D8F" w:rsidRPr="00F31F9F">
        <w:t>hepatic function on pharmacokinetics</w:t>
      </w:r>
      <w:bookmarkEnd w:id="89"/>
    </w:p>
    <w:p w14:paraId="7385E502" w14:textId="18D898B2" w:rsidR="00F31F9F" w:rsidRPr="00F31F9F" w:rsidRDefault="00F31F9F" w:rsidP="00F31F9F">
      <w:pPr>
        <w:rPr>
          <w:lang w:eastAsia="ja-JP"/>
        </w:rPr>
      </w:pPr>
      <w:r w:rsidRPr="00F31F9F">
        <w:rPr>
          <w:lang w:eastAsia="ja-JP"/>
        </w:rPr>
        <w:t>Blinatumomab is a therapeutic protein and an effect of hepatic function on clearance of the drug is not expected. Bas</w:t>
      </w:r>
      <w:r w:rsidR="00495D8F">
        <w:rPr>
          <w:lang w:eastAsia="ja-JP"/>
        </w:rPr>
        <w:t>eline alanine aminotransferase (ALT)</w:t>
      </w:r>
      <w:r w:rsidRPr="00F31F9F">
        <w:rPr>
          <w:lang w:eastAsia="ja-JP"/>
        </w:rPr>
        <w:t xml:space="preserve"> </w:t>
      </w:r>
      <w:r w:rsidR="00495D8F">
        <w:rPr>
          <w:lang w:eastAsia="ja-JP"/>
        </w:rPr>
        <w:t>and aspartate aminotransferase (AST)</w:t>
      </w:r>
      <w:r w:rsidRPr="00F31F9F">
        <w:rPr>
          <w:lang w:eastAsia="ja-JP"/>
        </w:rPr>
        <w:t xml:space="preserve"> levels were used to assess the effect of hepatic function on the clearance of blinatumomab. As shown</w:t>
      </w:r>
      <w:r w:rsidR="00495D8F">
        <w:rPr>
          <w:lang w:eastAsia="ja-JP"/>
        </w:rPr>
        <w:t xml:space="preserve"> below</w:t>
      </w:r>
      <w:r w:rsidRPr="00F31F9F">
        <w:rPr>
          <w:lang w:eastAsia="ja-JP"/>
        </w:rPr>
        <w:t xml:space="preserve"> in Figure 6, there is no apparent association between ALT or AST levels and the clearance of blinatumomab.</w:t>
      </w:r>
    </w:p>
    <w:p w14:paraId="72AF845F" w14:textId="7F201038" w:rsidR="00F31F9F" w:rsidRPr="00F31F9F" w:rsidRDefault="00F31F9F" w:rsidP="00F31F9F">
      <w:pPr>
        <w:rPr>
          <w:b/>
          <w:bCs/>
          <w:lang w:eastAsia="ja-JP"/>
        </w:rPr>
      </w:pPr>
      <w:bookmarkStart w:id="90" w:name="_Toc292015786"/>
      <w:r w:rsidRPr="00F31F9F">
        <w:rPr>
          <w:b/>
          <w:lang w:eastAsia="ja-JP"/>
        </w:rPr>
        <w:t xml:space="preserve">Figure </w:t>
      </w:r>
      <w:r w:rsidR="00586C19">
        <w:rPr>
          <w:b/>
          <w:lang w:eastAsia="ja-JP"/>
        </w:rPr>
        <w:t>6:</w:t>
      </w:r>
      <w:r w:rsidRPr="00F31F9F">
        <w:rPr>
          <w:lang w:eastAsia="ja-JP"/>
        </w:rPr>
        <w:t xml:space="preserve"> </w:t>
      </w:r>
      <w:r w:rsidRPr="00F31F9F">
        <w:rPr>
          <w:b/>
          <w:bCs/>
          <w:lang w:eastAsia="ja-JP"/>
        </w:rPr>
        <w:t xml:space="preserve">Effect of </w:t>
      </w:r>
      <w:r w:rsidR="00495D8F" w:rsidRPr="00F31F9F">
        <w:rPr>
          <w:b/>
          <w:bCs/>
          <w:lang w:eastAsia="ja-JP"/>
        </w:rPr>
        <w:t>hepatic function on pharmacokinetics</w:t>
      </w:r>
      <w:bookmarkEnd w:id="90"/>
    </w:p>
    <w:p w14:paraId="52761A16" w14:textId="77777777" w:rsidR="00F31F9F" w:rsidRPr="00F31F9F" w:rsidRDefault="00F31F9F" w:rsidP="00F31F9F">
      <w:pPr>
        <w:rPr>
          <w:lang w:eastAsia="ja-JP"/>
        </w:rPr>
      </w:pPr>
      <w:r w:rsidRPr="00F31F9F">
        <w:rPr>
          <w:noProof/>
          <w:lang w:eastAsia="en-AU"/>
        </w:rPr>
        <w:drawing>
          <wp:inline distT="0" distB="0" distL="0" distR="0" wp14:anchorId="63ACBB75" wp14:editId="17687E39">
            <wp:extent cx="4678045" cy="1573530"/>
            <wp:effectExtent l="0" t="0" r="8255" b="7620"/>
            <wp:docPr id="77" name="Picture 77" descr="Figure 6: Effect of hepatic function on pharmacokinetics" title="Effect of hepatic function on pharmacoki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045" cy="1573530"/>
                    </a:xfrm>
                    <a:prstGeom prst="rect">
                      <a:avLst/>
                    </a:prstGeom>
                    <a:noFill/>
                    <a:ln>
                      <a:noFill/>
                    </a:ln>
                  </pic:spPr>
                </pic:pic>
              </a:graphicData>
            </a:graphic>
          </wp:inline>
        </w:drawing>
      </w:r>
    </w:p>
    <w:p w14:paraId="2B12DC73" w14:textId="27E81F06" w:rsidR="00F31F9F" w:rsidRPr="00F31F9F" w:rsidRDefault="00F31F9F" w:rsidP="00495D8F">
      <w:pPr>
        <w:pStyle w:val="FigureDescription"/>
        <w:rPr>
          <w:lang w:eastAsia="ja-JP"/>
        </w:rPr>
      </w:pPr>
      <w:r w:rsidRPr="00F31F9F">
        <w:rPr>
          <w:lang w:eastAsia="ja-JP"/>
        </w:rPr>
        <w:t>ALL</w:t>
      </w:r>
      <w:r w:rsidR="00375CAE">
        <w:rPr>
          <w:lang w:eastAsia="ja-JP"/>
        </w:rPr>
        <w:t xml:space="preserve"> </w:t>
      </w:r>
      <w:r w:rsidR="00423768">
        <w:rPr>
          <w:lang w:eastAsia="ja-JP"/>
        </w:rPr>
        <w:t>=</w:t>
      </w:r>
      <w:r w:rsidR="00375CAE">
        <w:rPr>
          <w:lang w:eastAsia="ja-JP"/>
        </w:rPr>
        <w:t xml:space="preserve"> </w:t>
      </w:r>
      <w:r w:rsidRPr="00F31F9F">
        <w:rPr>
          <w:lang w:eastAsia="ja-JP"/>
        </w:rPr>
        <w:t xml:space="preserve">acute lymphoblastic </w:t>
      </w:r>
      <w:r w:rsidR="00A972DD" w:rsidRPr="00F31F9F">
        <w:rPr>
          <w:lang w:eastAsia="ja-JP"/>
        </w:rPr>
        <w:t>leukaemia</w:t>
      </w:r>
      <w:r w:rsidRPr="00F31F9F">
        <w:rPr>
          <w:lang w:eastAsia="ja-JP"/>
        </w:rPr>
        <w:t>; ALT</w:t>
      </w:r>
      <w:r w:rsidR="00375CAE">
        <w:rPr>
          <w:lang w:eastAsia="ja-JP"/>
        </w:rPr>
        <w:t xml:space="preserve"> </w:t>
      </w:r>
      <w:r w:rsidR="00423768">
        <w:rPr>
          <w:lang w:eastAsia="ja-JP"/>
        </w:rPr>
        <w:t>=</w:t>
      </w:r>
      <w:r w:rsidR="00375CAE">
        <w:rPr>
          <w:lang w:eastAsia="ja-JP"/>
        </w:rPr>
        <w:t xml:space="preserve"> </w:t>
      </w:r>
      <w:r w:rsidRPr="00F31F9F">
        <w:rPr>
          <w:lang w:eastAsia="ja-JP"/>
        </w:rPr>
        <w:t>alanine aminotransferase; AST</w:t>
      </w:r>
      <w:r w:rsidR="00375CAE">
        <w:rPr>
          <w:lang w:eastAsia="ja-JP"/>
        </w:rPr>
        <w:t xml:space="preserve"> </w:t>
      </w:r>
      <w:r w:rsidR="00423768">
        <w:rPr>
          <w:lang w:eastAsia="ja-JP"/>
        </w:rPr>
        <w:t>=</w:t>
      </w:r>
      <w:r w:rsidR="00375CAE">
        <w:rPr>
          <w:lang w:eastAsia="ja-JP"/>
        </w:rPr>
        <w:t xml:space="preserve"> </w:t>
      </w:r>
      <w:r w:rsidRPr="00F31F9F">
        <w:rPr>
          <w:lang w:eastAsia="ja-JP"/>
        </w:rPr>
        <w:t>aspartate aminotransferase; CL</w:t>
      </w:r>
      <w:r w:rsidR="00375CAE">
        <w:rPr>
          <w:lang w:eastAsia="ja-JP"/>
        </w:rPr>
        <w:t xml:space="preserve"> </w:t>
      </w:r>
      <w:r w:rsidR="00423768">
        <w:rPr>
          <w:lang w:eastAsia="ja-JP"/>
        </w:rPr>
        <w:t>=</w:t>
      </w:r>
      <w:r w:rsidR="00375CAE">
        <w:rPr>
          <w:lang w:eastAsia="ja-JP"/>
        </w:rPr>
        <w:t xml:space="preserve"> </w:t>
      </w:r>
      <w:r w:rsidRPr="00F31F9F">
        <w:rPr>
          <w:lang w:eastAsia="ja-JP"/>
        </w:rPr>
        <w:t>clearance; NHL</w:t>
      </w:r>
      <w:r w:rsidR="00375CAE">
        <w:rPr>
          <w:lang w:eastAsia="ja-JP"/>
        </w:rPr>
        <w:t xml:space="preserve"> </w:t>
      </w:r>
      <w:r w:rsidR="00423768">
        <w:rPr>
          <w:lang w:eastAsia="ja-JP"/>
        </w:rPr>
        <w:t>=</w:t>
      </w:r>
      <w:r w:rsidR="00375CAE">
        <w:rPr>
          <w:lang w:eastAsia="ja-JP"/>
        </w:rPr>
        <w:t xml:space="preserve"> </w:t>
      </w:r>
      <w:r w:rsidRPr="00F31F9F">
        <w:rPr>
          <w:lang w:eastAsia="ja-JP"/>
        </w:rPr>
        <w:t>non-Hodgkin’s lymphoma.</w:t>
      </w:r>
    </w:p>
    <w:p w14:paraId="0D9FF3D5" w14:textId="270BCBED" w:rsidR="00F31F9F" w:rsidRPr="00495D8F" w:rsidRDefault="00F31F9F" w:rsidP="00495D8F">
      <w:pPr>
        <w:pStyle w:val="Heading5"/>
        <w:rPr>
          <w:rFonts w:eastAsia="Cambria"/>
        </w:rPr>
      </w:pPr>
      <w:bookmarkStart w:id="91" w:name="_Toc292015577"/>
      <w:r w:rsidRPr="00F31F9F">
        <w:t xml:space="preserve">Effect </w:t>
      </w:r>
      <w:r w:rsidR="00495D8F" w:rsidRPr="00495D8F">
        <w:rPr>
          <w:rFonts w:eastAsia="Cambria"/>
        </w:rPr>
        <w:t>of immunogenicity on pharmacokinetics</w:t>
      </w:r>
      <w:bookmarkEnd w:id="91"/>
    </w:p>
    <w:p w14:paraId="4C59F3DE" w14:textId="4D24CC3B" w:rsidR="00F31F9F" w:rsidRPr="00F31F9F" w:rsidRDefault="00F31F9F" w:rsidP="00F31F9F">
      <w:pPr>
        <w:rPr>
          <w:lang w:eastAsia="ja-JP"/>
        </w:rPr>
      </w:pPr>
      <w:r w:rsidRPr="00F31F9F">
        <w:rPr>
          <w:lang w:eastAsia="ja-JP"/>
        </w:rPr>
        <w:t xml:space="preserve">As the formation of anti-drug antibodies (ADA) requires B cells, and the primary mechanism of blinatumomab is to deplete the B-cell population, a low rate of ADA is anticipated. Consistent with this assumption, a low incidence of immunogenicity </w:t>
      </w:r>
      <w:r w:rsidR="00423768">
        <w:rPr>
          <w:lang w:eastAsia="ja-JP"/>
        </w:rPr>
        <w:t>(&lt;</w:t>
      </w:r>
      <w:r w:rsidR="00375CAE">
        <w:rPr>
          <w:lang w:eastAsia="ja-JP"/>
        </w:rPr>
        <w:t xml:space="preserve"> </w:t>
      </w:r>
      <w:r w:rsidRPr="00F31F9F">
        <w:rPr>
          <w:lang w:eastAsia="ja-JP"/>
        </w:rPr>
        <w:t xml:space="preserve">1%, 3 out of 325 subjects, </w:t>
      </w:r>
      <w:r w:rsidR="00836E5E">
        <w:rPr>
          <w:lang w:eastAsia="ja-JP"/>
        </w:rPr>
        <w:t>neutralising</w:t>
      </w:r>
      <w:r w:rsidRPr="00F31F9F">
        <w:rPr>
          <w:lang w:eastAsia="ja-JP"/>
        </w:rPr>
        <w:t xml:space="preserve"> ADA showed in all 3 cases) was found in the 4 reported adult studies. </w:t>
      </w:r>
      <w:r w:rsidR="00423768">
        <w:rPr>
          <w:lang w:eastAsia="ja-JP"/>
        </w:rPr>
        <w:t>2</w:t>
      </w:r>
      <w:r w:rsidRPr="00F31F9F">
        <w:rPr>
          <w:lang w:eastAsia="ja-JP"/>
        </w:rPr>
        <w:t xml:space="preserve"> out of the 3 subjects who showed positive </w:t>
      </w:r>
      <w:r w:rsidR="00836E5E">
        <w:rPr>
          <w:lang w:eastAsia="ja-JP"/>
        </w:rPr>
        <w:t>neutralising</w:t>
      </w:r>
      <w:r w:rsidRPr="00F31F9F">
        <w:rPr>
          <w:lang w:eastAsia="ja-JP"/>
        </w:rPr>
        <w:t xml:space="preserve"> ADA had reduced blinatumomab exposure based on the drug concentrations-time profiles. Descriptions of the 3 cases of </w:t>
      </w:r>
      <w:r w:rsidR="00836E5E">
        <w:rPr>
          <w:lang w:eastAsia="ja-JP"/>
        </w:rPr>
        <w:t>neutralising</w:t>
      </w:r>
      <w:r w:rsidRPr="00F31F9F">
        <w:rPr>
          <w:lang w:eastAsia="ja-JP"/>
        </w:rPr>
        <w:t xml:space="preserve"> ADA formation are provided below and the associated pharmacokinetic profiles are depicted in Figure 7</w:t>
      </w:r>
      <w:r w:rsidR="00836E5E">
        <w:rPr>
          <w:lang w:eastAsia="ja-JP"/>
        </w:rPr>
        <w:t>, below</w:t>
      </w:r>
      <w:r w:rsidRPr="00F31F9F">
        <w:rPr>
          <w:lang w:eastAsia="ja-JP"/>
        </w:rPr>
        <w:t>.</w:t>
      </w:r>
    </w:p>
    <w:p w14:paraId="31ED5C0C" w14:textId="746010CF" w:rsidR="00F31F9F" w:rsidRPr="00F31F9F" w:rsidRDefault="00836E5E" w:rsidP="00F31F9F">
      <w:pPr>
        <w:rPr>
          <w:lang w:eastAsia="ja-JP"/>
        </w:rPr>
      </w:pPr>
      <w:r>
        <w:rPr>
          <w:lang w:eastAsia="ja-JP"/>
        </w:rPr>
        <w:t xml:space="preserve">Case 1, </w:t>
      </w:r>
      <w:r w:rsidR="00F31F9F" w:rsidRPr="00F31F9F">
        <w:rPr>
          <w:lang w:eastAsia="ja-JP"/>
        </w:rPr>
        <w:t>Study MT103-202</w:t>
      </w:r>
      <w:r>
        <w:rPr>
          <w:lang w:eastAsia="ja-JP"/>
        </w:rPr>
        <w:t xml:space="preserve">: The </w:t>
      </w:r>
      <w:r w:rsidR="00652C04">
        <w:rPr>
          <w:lang w:eastAsia="ja-JP"/>
        </w:rPr>
        <w:t>subject</w:t>
      </w:r>
      <w:r w:rsidR="00F31F9F" w:rsidRPr="00F31F9F">
        <w:rPr>
          <w:lang w:eastAsia="ja-JP"/>
        </w:rPr>
        <w:t xml:space="preserve"> received 15</w:t>
      </w:r>
      <w:r w:rsidR="00375CAE">
        <w:rPr>
          <w:lang w:eastAsia="ja-JP"/>
        </w:rPr>
        <w:t xml:space="preserve"> </w:t>
      </w:r>
      <w:r w:rsidR="0018721C">
        <w:rPr>
          <w:lang w:eastAsia="ja-JP"/>
        </w:rPr>
        <w:t>µg</w:t>
      </w:r>
      <w:r w:rsidR="00F31F9F" w:rsidRPr="00F31F9F">
        <w:rPr>
          <w:lang w:eastAsia="ja-JP"/>
        </w:rPr>
        <w:t>/m</w:t>
      </w:r>
      <w:r w:rsidR="00F31F9F" w:rsidRPr="00F31F9F">
        <w:rPr>
          <w:vertAlign w:val="superscript"/>
          <w:lang w:eastAsia="ja-JP"/>
        </w:rPr>
        <w:t>2</w:t>
      </w:r>
      <w:r w:rsidR="00F31F9F" w:rsidRPr="00F31F9F">
        <w:rPr>
          <w:lang w:eastAsia="ja-JP"/>
        </w:rPr>
        <w:t xml:space="preserve">/day blinatumomab for 4 cycles. Pharmacokinetic samples were collected through the 4 cycles, and drug concentrations were normal in </w:t>
      </w:r>
      <w:r w:rsidR="007D46D6">
        <w:rPr>
          <w:lang w:eastAsia="ja-JP"/>
        </w:rPr>
        <w:t>Cycle 1</w:t>
      </w:r>
      <w:r w:rsidR="00F31F9F" w:rsidRPr="00F31F9F">
        <w:rPr>
          <w:lang w:eastAsia="ja-JP"/>
        </w:rPr>
        <w:t xml:space="preserve"> but fell below LLOQ in the rest of cycles, possibly due to onset of ADA. However, no samples were collected for immunogenicity testing at the end of </w:t>
      </w:r>
      <w:r w:rsidR="007D46D6">
        <w:rPr>
          <w:lang w:eastAsia="ja-JP"/>
        </w:rPr>
        <w:t>Cycle 1</w:t>
      </w:r>
      <w:r>
        <w:rPr>
          <w:lang w:eastAsia="ja-JP"/>
        </w:rPr>
        <w:t xml:space="preserve"> but only at the end of study (that is, </w:t>
      </w:r>
      <w:r w:rsidR="007D46D6">
        <w:rPr>
          <w:lang w:eastAsia="ja-JP"/>
        </w:rPr>
        <w:t>Cycle 4</w:t>
      </w:r>
      <w:r w:rsidR="00F31F9F" w:rsidRPr="00F31F9F">
        <w:rPr>
          <w:lang w:eastAsia="ja-JP"/>
        </w:rPr>
        <w:t xml:space="preserve">). Positive ADA were detected in a sample collected at the end of the study after 4 treatment cycles and </w:t>
      </w:r>
      <w:r>
        <w:rPr>
          <w:lang w:eastAsia="ja-JP"/>
        </w:rPr>
        <w:t>neutralising</w:t>
      </w:r>
      <w:r w:rsidR="00F31F9F" w:rsidRPr="00F31F9F">
        <w:rPr>
          <w:lang w:eastAsia="ja-JP"/>
        </w:rPr>
        <w:t xml:space="preserve"> effects on the bioactivity of blinatumomab </w:t>
      </w:r>
      <w:r>
        <w:rPr>
          <w:lang w:eastAsia="ja-JP"/>
        </w:rPr>
        <w:t>were detected with the neutralis</w:t>
      </w:r>
      <w:r w:rsidR="00F31F9F" w:rsidRPr="00F31F9F">
        <w:rPr>
          <w:lang w:eastAsia="ja-JP"/>
        </w:rPr>
        <w:t>ation assay. The subject was a responder based on criteria defined in the protocol (</w:t>
      </w:r>
      <w:r>
        <w:rPr>
          <w:lang w:eastAsia="ja-JP"/>
        </w:rPr>
        <w:t xml:space="preserve">that is, </w:t>
      </w:r>
      <w:r w:rsidR="00F31F9F" w:rsidRPr="00F31F9F">
        <w:rPr>
          <w:lang w:eastAsia="ja-JP"/>
        </w:rPr>
        <w:t>achieving MRD negativity within 4 cycles of treatment), thus there was no evidence that the ADA affected clinical efficacy.</w:t>
      </w:r>
    </w:p>
    <w:p w14:paraId="79F10E60" w14:textId="1A867090" w:rsidR="00F31F9F" w:rsidRPr="00F31F9F" w:rsidRDefault="00836E5E" w:rsidP="00F31F9F">
      <w:pPr>
        <w:rPr>
          <w:lang w:eastAsia="ja-JP"/>
        </w:rPr>
      </w:pPr>
      <w:r>
        <w:rPr>
          <w:lang w:eastAsia="ja-JP"/>
        </w:rPr>
        <w:t xml:space="preserve">Case 2, Study MT103-211: The </w:t>
      </w:r>
      <w:r w:rsidR="00652C04">
        <w:rPr>
          <w:lang w:eastAsia="ja-JP"/>
        </w:rPr>
        <w:t>subject</w:t>
      </w:r>
      <w:r>
        <w:rPr>
          <w:lang w:eastAsia="ja-JP"/>
        </w:rPr>
        <w:t xml:space="preserve"> </w:t>
      </w:r>
      <w:r w:rsidR="00F31F9F" w:rsidRPr="00F31F9F">
        <w:rPr>
          <w:lang w:eastAsia="ja-JP"/>
        </w:rPr>
        <w:t>received scheduled treatment (</w:t>
      </w:r>
      <w:r>
        <w:rPr>
          <w:lang w:eastAsia="ja-JP"/>
        </w:rPr>
        <w:t xml:space="preserve">that is, </w:t>
      </w:r>
      <w:r w:rsidR="00F31F9F" w:rsidRPr="00F31F9F">
        <w:rPr>
          <w:lang w:eastAsia="ja-JP"/>
        </w:rPr>
        <w:t>9</w:t>
      </w:r>
      <w:r w:rsidR="00375CAE">
        <w:rPr>
          <w:lang w:eastAsia="ja-JP"/>
        </w:rPr>
        <w:t xml:space="preserve"> </w:t>
      </w:r>
      <w:r w:rsidR="0018721C">
        <w:rPr>
          <w:lang w:eastAsia="ja-JP"/>
        </w:rPr>
        <w:t>µg</w:t>
      </w:r>
      <w:r w:rsidR="002C4366">
        <w:rPr>
          <w:lang w:eastAsia="ja-JP"/>
        </w:rPr>
        <w:t>/day for 7 </w:t>
      </w:r>
      <w:r w:rsidR="00F31F9F" w:rsidRPr="00F31F9F">
        <w:rPr>
          <w:lang w:eastAsia="ja-JP"/>
        </w:rPr>
        <w:t xml:space="preserve">days and </w:t>
      </w:r>
      <w:proofErr w:type="gramStart"/>
      <w:r w:rsidR="00F31F9F" w:rsidRPr="00F31F9F">
        <w:rPr>
          <w:lang w:eastAsia="ja-JP"/>
        </w:rPr>
        <w:t>28</w:t>
      </w:r>
      <w:r w:rsidR="00375CAE">
        <w:rPr>
          <w:lang w:eastAsia="ja-JP"/>
        </w:rPr>
        <w:t xml:space="preserve"> </w:t>
      </w:r>
      <w:r w:rsidR="0018721C">
        <w:rPr>
          <w:lang w:eastAsia="ja-JP"/>
        </w:rPr>
        <w:t>µg</w:t>
      </w:r>
      <w:r w:rsidR="00F31F9F" w:rsidRPr="00F31F9F">
        <w:rPr>
          <w:lang w:eastAsia="ja-JP"/>
        </w:rPr>
        <w:t xml:space="preserve">/day for 21 days in </w:t>
      </w:r>
      <w:r w:rsidR="007D46D6">
        <w:rPr>
          <w:lang w:eastAsia="ja-JP"/>
        </w:rPr>
        <w:t>Cycle 1</w:t>
      </w:r>
      <w:r w:rsidR="00F31F9F" w:rsidRPr="00F31F9F">
        <w:rPr>
          <w:lang w:eastAsia="ja-JP"/>
        </w:rPr>
        <w:t>,</w:t>
      </w:r>
      <w:proofErr w:type="gramEnd"/>
      <w:r w:rsidR="00F31F9F" w:rsidRPr="00F31F9F">
        <w:rPr>
          <w:lang w:eastAsia="ja-JP"/>
        </w:rPr>
        <w:t xml:space="preserve"> and 28</w:t>
      </w:r>
      <w:r w:rsidR="00375CAE">
        <w:rPr>
          <w:lang w:eastAsia="ja-JP"/>
        </w:rPr>
        <w:t xml:space="preserve"> </w:t>
      </w:r>
      <w:r w:rsidR="0018721C">
        <w:rPr>
          <w:lang w:eastAsia="ja-JP"/>
        </w:rPr>
        <w:t>µg</w:t>
      </w:r>
      <w:r w:rsidR="00F31F9F" w:rsidRPr="00F31F9F">
        <w:rPr>
          <w:lang w:eastAsia="ja-JP"/>
        </w:rPr>
        <w:t xml:space="preserve">/day for 28 days in the remaining cycles). Pharmacokinetic samples were collected in the first 2 cycles and drug concentrations for this subject were normal in both cycles. Positive ADA </w:t>
      </w:r>
      <w:proofErr w:type="gramStart"/>
      <w:r w:rsidR="00F31F9F" w:rsidRPr="00F31F9F">
        <w:rPr>
          <w:lang w:eastAsia="ja-JP"/>
        </w:rPr>
        <w:t>were</w:t>
      </w:r>
      <w:proofErr w:type="gramEnd"/>
      <w:r w:rsidR="00F31F9F" w:rsidRPr="00F31F9F">
        <w:rPr>
          <w:lang w:eastAsia="ja-JP"/>
        </w:rPr>
        <w:t xml:space="preserve"> detected in samples collected in </w:t>
      </w:r>
      <w:r w:rsidR="007D46D6">
        <w:rPr>
          <w:lang w:eastAsia="ja-JP"/>
        </w:rPr>
        <w:t>Cycle 3</w:t>
      </w:r>
      <w:r w:rsidR="00F31F9F" w:rsidRPr="00F31F9F">
        <w:rPr>
          <w:lang w:eastAsia="ja-JP"/>
        </w:rPr>
        <w:t xml:space="preserve"> and at the end of the study. Since drug concentrations were only measured up to </w:t>
      </w:r>
      <w:r w:rsidR="007D46D6">
        <w:rPr>
          <w:lang w:eastAsia="ja-JP"/>
        </w:rPr>
        <w:t>Cycle 2</w:t>
      </w:r>
      <w:r w:rsidR="00F31F9F" w:rsidRPr="00F31F9F">
        <w:rPr>
          <w:lang w:eastAsia="ja-JP"/>
        </w:rPr>
        <w:t>, the effect of ADA on blinatumomab exposure could not be assessed. The subject responded well to treatment and was a responder as defined by the study protocol (</w:t>
      </w:r>
      <w:r w:rsidR="002C4366">
        <w:rPr>
          <w:lang w:eastAsia="ja-JP"/>
        </w:rPr>
        <w:t>that is</w:t>
      </w:r>
      <w:r w:rsidR="00F31F9F" w:rsidRPr="00F31F9F">
        <w:rPr>
          <w:lang w:eastAsia="ja-JP"/>
        </w:rPr>
        <w:t>, achieving CR/CRh* within 2 cycles of treatment).</w:t>
      </w:r>
    </w:p>
    <w:p w14:paraId="2FC166CC" w14:textId="0E236F7D" w:rsidR="00F31F9F" w:rsidRPr="00F31F9F" w:rsidRDefault="00F31F9F" w:rsidP="00F31F9F">
      <w:pPr>
        <w:rPr>
          <w:lang w:eastAsia="ja-JP"/>
        </w:rPr>
      </w:pPr>
      <w:r w:rsidRPr="00F31F9F">
        <w:rPr>
          <w:lang w:eastAsia="ja-JP"/>
        </w:rPr>
        <w:t>Case 3</w:t>
      </w:r>
      <w:r w:rsidR="006B25EA">
        <w:rPr>
          <w:lang w:eastAsia="ja-JP"/>
        </w:rPr>
        <w:t xml:space="preserve">, </w:t>
      </w:r>
      <w:r w:rsidRPr="00F31F9F">
        <w:rPr>
          <w:lang w:eastAsia="ja-JP"/>
        </w:rPr>
        <w:t>Study MT103-211</w:t>
      </w:r>
      <w:r w:rsidR="006B25EA">
        <w:rPr>
          <w:lang w:eastAsia="ja-JP"/>
        </w:rPr>
        <w:t xml:space="preserve">: The </w:t>
      </w:r>
      <w:r w:rsidR="00652C04">
        <w:rPr>
          <w:lang w:eastAsia="ja-JP"/>
        </w:rPr>
        <w:t>subject</w:t>
      </w:r>
      <w:r w:rsidRPr="00F31F9F">
        <w:rPr>
          <w:lang w:eastAsia="ja-JP"/>
        </w:rPr>
        <w:t xml:space="preserve"> received scheduled treatments (</w:t>
      </w:r>
      <w:r w:rsidR="006B25EA">
        <w:rPr>
          <w:lang w:eastAsia="ja-JP"/>
        </w:rPr>
        <w:t>that is,</w:t>
      </w:r>
      <w:r w:rsidRPr="00F31F9F">
        <w:rPr>
          <w:lang w:eastAsia="ja-JP"/>
        </w:rPr>
        <w:t xml:space="preserve"> </w:t>
      </w:r>
      <w:proofErr w:type="gramStart"/>
      <w:r w:rsidRPr="00F31F9F">
        <w:rPr>
          <w:lang w:eastAsia="ja-JP"/>
        </w:rPr>
        <w:t>9</w:t>
      </w:r>
      <w:r w:rsidR="00375CAE">
        <w:rPr>
          <w:lang w:eastAsia="ja-JP"/>
        </w:rPr>
        <w:t xml:space="preserve"> </w:t>
      </w:r>
      <w:r w:rsidR="0018721C">
        <w:rPr>
          <w:lang w:eastAsia="ja-JP"/>
        </w:rPr>
        <w:t>µg</w:t>
      </w:r>
      <w:r w:rsidR="002C4366">
        <w:rPr>
          <w:lang w:eastAsia="ja-JP"/>
        </w:rPr>
        <w:t>/day for 7 </w:t>
      </w:r>
      <w:r w:rsidRPr="00F31F9F">
        <w:rPr>
          <w:lang w:eastAsia="ja-JP"/>
        </w:rPr>
        <w:t>days</w:t>
      </w:r>
      <w:proofErr w:type="gramEnd"/>
      <w:r w:rsidRPr="00F31F9F">
        <w:rPr>
          <w:lang w:eastAsia="ja-JP"/>
        </w:rPr>
        <w:t xml:space="preserve"> and 28</w:t>
      </w:r>
      <w:r w:rsidR="00375CAE">
        <w:rPr>
          <w:lang w:eastAsia="ja-JP"/>
        </w:rPr>
        <w:t xml:space="preserve"> </w:t>
      </w:r>
      <w:r w:rsidR="0018721C">
        <w:rPr>
          <w:lang w:eastAsia="ja-JP"/>
        </w:rPr>
        <w:t>µg</w:t>
      </w:r>
      <w:r w:rsidRPr="00F31F9F">
        <w:rPr>
          <w:lang w:eastAsia="ja-JP"/>
        </w:rPr>
        <w:t xml:space="preserve">/day for 21 days in </w:t>
      </w:r>
      <w:r w:rsidR="007D46D6">
        <w:rPr>
          <w:lang w:eastAsia="ja-JP"/>
        </w:rPr>
        <w:t>Cycle 1</w:t>
      </w:r>
      <w:r w:rsidRPr="00F31F9F">
        <w:rPr>
          <w:lang w:eastAsia="ja-JP"/>
        </w:rPr>
        <w:t xml:space="preserve">) but ended treatment after </w:t>
      </w:r>
      <w:r w:rsidR="007D46D6">
        <w:rPr>
          <w:lang w:eastAsia="ja-JP"/>
        </w:rPr>
        <w:t>Cycle 1</w:t>
      </w:r>
      <w:r w:rsidRPr="00F31F9F">
        <w:rPr>
          <w:lang w:eastAsia="ja-JP"/>
        </w:rPr>
        <w:t xml:space="preserve"> due to disease progression. Pharmacokinetic samples were collected in the first cycle and drug concentrations were in the expected range in the first week, but declined rapidly thereafter to an undetectable level while the cIV infusion was ongoing. Positive ADA </w:t>
      </w:r>
      <w:proofErr w:type="gramStart"/>
      <w:r w:rsidRPr="00F31F9F">
        <w:rPr>
          <w:lang w:eastAsia="ja-JP"/>
        </w:rPr>
        <w:t>were</w:t>
      </w:r>
      <w:proofErr w:type="gramEnd"/>
      <w:r w:rsidRPr="00F31F9F">
        <w:rPr>
          <w:lang w:eastAsia="ja-JP"/>
        </w:rPr>
        <w:t xml:space="preserve"> detected in a sample collected at the end of study (</w:t>
      </w:r>
      <w:r w:rsidR="007D46D6">
        <w:rPr>
          <w:lang w:eastAsia="ja-JP"/>
        </w:rPr>
        <w:t>Cycle 1</w:t>
      </w:r>
      <w:r w:rsidRPr="00F31F9F">
        <w:rPr>
          <w:lang w:eastAsia="ja-JP"/>
        </w:rPr>
        <w:t>). The subject was a non-responder to treatment (</w:t>
      </w:r>
      <w:r w:rsidR="00652C04">
        <w:rPr>
          <w:lang w:eastAsia="ja-JP"/>
        </w:rPr>
        <w:t xml:space="preserve">that is, </w:t>
      </w:r>
      <w:r w:rsidRPr="00F31F9F">
        <w:rPr>
          <w:lang w:eastAsia="ja-JP"/>
        </w:rPr>
        <w:t>did not achieve CR/CRh* within 2 cycles of treatment). Due to multiple factors that could contribute to disease progression, it is unknown if the onset of ADA was the only factor leading to non-response to the treatment.</w:t>
      </w:r>
    </w:p>
    <w:p w14:paraId="29916592" w14:textId="3A3E18AA" w:rsidR="00F31F9F" w:rsidRPr="00F31F9F" w:rsidRDefault="00F31F9F" w:rsidP="002C4366">
      <w:pPr>
        <w:pStyle w:val="FigureTitle"/>
        <w:rPr>
          <w:lang w:eastAsia="ja-JP"/>
        </w:rPr>
      </w:pPr>
      <w:bookmarkStart w:id="92" w:name="_Toc292015787"/>
      <w:r w:rsidRPr="00F31F9F">
        <w:rPr>
          <w:lang w:eastAsia="ja-JP"/>
        </w:rPr>
        <w:t xml:space="preserve">Figure </w:t>
      </w:r>
      <w:r w:rsidR="00586C19">
        <w:rPr>
          <w:lang w:eastAsia="ja-JP"/>
        </w:rPr>
        <w:t>7:</w:t>
      </w:r>
      <w:r w:rsidRPr="00F31F9F">
        <w:rPr>
          <w:lang w:eastAsia="ja-JP"/>
        </w:rPr>
        <w:t xml:space="preserve"> Blinatumomab </w:t>
      </w:r>
      <w:r w:rsidR="00652C04" w:rsidRPr="00F31F9F">
        <w:rPr>
          <w:lang w:eastAsia="ja-JP"/>
        </w:rPr>
        <w:t xml:space="preserve">pharmacokinetic profiles in subjects with positive </w:t>
      </w:r>
      <w:bookmarkEnd w:id="92"/>
      <w:r w:rsidR="00652C04">
        <w:rPr>
          <w:lang w:eastAsia="ja-JP"/>
        </w:rPr>
        <w:t>ADA</w:t>
      </w:r>
    </w:p>
    <w:p w14:paraId="49F25420" w14:textId="77777777" w:rsidR="00F31F9F" w:rsidRPr="00F31F9F" w:rsidRDefault="00F31F9F" w:rsidP="00F31F9F">
      <w:pPr>
        <w:rPr>
          <w:lang w:eastAsia="ja-JP"/>
        </w:rPr>
      </w:pPr>
      <w:r w:rsidRPr="00F31F9F">
        <w:rPr>
          <w:noProof/>
          <w:lang w:eastAsia="en-AU"/>
        </w:rPr>
        <w:drawing>
          <wp:inline distT="0" distB="0" distL="0" distR="0" wp14:anchorId="4A037919" wp14:editId="456521E3">
            <wp:extent cx="5055235" cy="3335531"/>
            <wp:effectExtent l="0" t="0" r="0" b="0"/>
            <wp:docPr id="78" name="Picture 78" descr="Figure 7: Blinatumomab pharmacokinetic profiles in subjects with positive ADA&#10;" title="Blinatumomab pharmacokinetic profiles in subjects with positive A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18628"/>
                    <a:stretch/>
                  </pic:blipFill>
                  <pic:spPr bwMode="auto">
                    <a:xfrm>
                      <a:off x="0" y="0"/>
                      <a:ext cx="5061612" cy="3339739"/>
                    </a:xfrm>
                    <a:prstGeom prst="rect">
                      <a:avLst/>
                    </a:prstGeom>
                    <a:noFill/>
                    <a:ln>
                      <a:noFill/>
                    </a:ln>
                    <a:extLst>
                      <a:ext uri="{53640926-AAD7-44D8-BBD7-CCE9431645EC}">
                        <a14:shadowObscured xmlns:a14="http://schemas.microsoft.com/office/drawing/2010/main"/>
                      </a:ext>
                    </a:extLst>
                  </pic:spPr>
                </pic:pic>
              </a:graphicData>
            </a:graphic>
          </wp:inline>
        </w:drawing>
      </w:r>
    </w:p>
    <w:p w14:paraId="70923167" w14:textId="4F00E703" w:rsidR="00F31F9F" w:rsidRPr="00586C19" w:rsidRDefault="00F31F9F" w:rsidP="00586C19">
      <w:pPr>
        <w:pStyle w:val="TableDescription"/>
      </w:pPr>
      <w:r w:rsidRPr="00586C19">
        <w:t>ADA</w:t>
      </w:r>
      <w:r w:rsidR="00375CAE" w:rsidRPr="00586C19">
        <w:t xml:space="preserve"> </w:t>
      </w:r>
      <w:r w:rsidR="00423768" w:rsidRPr="00586C19">
        <w:t>=</w:t>
      </w:r>
      <w:r w:rsidR="00375CAE" w:rsidRPr="00586C19">
        <w:t xml:space="preserve"> </w:t>
      </w:r>
      <w:r w:rsidRPr="00586C19">
        <w:t>anti-drug antibody; EOS</w:t>
      </w:r>
      <w:r w:rsidR="00375CAE" w:rsidRPr="00586C19">
        <w:t xml:space="preserve"> </w:t>
      </w:r>
      <w:r w:rsidR="00423768" w:rsidRPr="00586C19">
        <w:t>=</w:t>
      </w:r>
      <w:r w:rsidR="00375CAE" w:rsidRPr="00586C19">
        <w:t xml:space="preserve"> </w:t>
      </w:r>
      <w:r w:rsidRPr="00586C19">
        <w:t xml:space="preserve">end of study. Note: </w:t>
      </w:r>
      <w:r w:rsidR="00652C04" w:rsidRPr="00586C19">
        <w:t>The square plots denote the s</w:t>
      </w:r>
      <w:r w:rsidRPr="00586C19">
        <w:t xml:space="preserve">ubject </w:t>
      </w:r>
      <w:r w:rsidR="00652C04" w:rsidRPr="00586C19">
        <w:t>from S</w:t>
      </w:r>
      <w:r w:rsidRPr="00586C19">
        <w:t xml:space="preserve">tudy MT103-202 </w:t>
      </w:r>
      <w:r w:rsidR="00652C04" w:rsidRPr="00586C19">
        <w:t>(</w:t>
      </w:r>
      <w:proofErr w:type="gramStart"/>
      <w:r w:rsidR="00652C04" w:rsidRPr="00586C19">
        <w:t>15 µg/</w:t>
      </w:r>
      <w:r w:rsidR="00586C19" w:rsidRPr="00F31F9F">
        <w:rPr>
          <w:lang w:eastAsia="ja-JP"/>
        </w:rPr>
        <w:t>m</w:t>
      </w:r>
      <w:r w:rsidR="00586C19" w:rsidRPr="00586C19">
        <w:rPr>
          <w:vertAlign w:val="superscript"/>
          <w:lang w:eastAsia="ja-JP"/>
        </w:rPr>
        <w:t>2</w:t>
      </w:r>
      <w:r w:rsidR="00652C04" w:rsidRPr="00586C19">
        <w:t>/day (tested for ADA at Day 169 (EOS))</w:t>
      </w:r>
      <w:proofErr w:type="gramEnd"/>
      <w:r w:rsidR="00652C04" w:rsidRPr="00586C19">
        <w:t>; the triangular</w:t>
      </w:r>
      <w:r w:rsidR="007254C4" w:rsidRPr="00586C19">
        <w:t xml:space="preserve"> </w:t>
      </w:r>
      <w:r w:rsidR="00DE5C4C" w:rsidRPr="00586C19">
        <w:t xml:space="preserve">plots denote one subject from Study MT103-211 </w:t>
      </w:r>
      <w:r w:rsidR="007254C4" w:rsidRPr="00586C19">
        <w:t xml:space="preserve">(tested for ADA </w:t>
      </w:r>
      <w:r w:rsidR="00DE5C4C" w:rsidRPr="00586C19">
        <w:t>at Day 43 (Cycle 2))</w:t>
      </w:r>
      <w:r w:rsidR="00652C04" w:rsidRPr="00586C19">
        <w:t xml:space="preserve"> and circular plots denote</w:t>
      </w:r>
      <w:r w:rsidR="00DE5C4C" w:rsidRPr="00586C19">
        <w:t xml:space="preserve"> another subject from Study MT103-211 (tested for ADA at Day 31 (EOS). Both subjects were dosed </w:t>
      </w:r>
      <w:proofErr w:type="gramStart"/>
      <w:r w:rsidR="00DE5C4C" w:rsidRPr="00586C19">
        <w:t xml:space="preserve">at </w:t>
      </w:r>
      <w:r w:rsidR="00652C04" w:rsidRPr="00586C19">
        <w:t>9 to 28 µg/</w:t>
      </w:r>
      <w:r w:rsidR="00586C19" w:rsidRPr="00F31F9F">
        <w:rPr>
          <w:lang w:eastAsia="ja-JP"/>
        </w:rPr>
        <w:t>m</w:t>
      </w:r>
      <w:r w:rsidR="00586C19" w:rsidRPr="00586C19">
        <w:rPr>
          <w:vertAlign w:val="superscript"/>
          <w:lang w:eastAsia="ja-JP"/>
        </w:rPr>
        <w:t>2</w:t>
      </w:r>
      <w:r w:rsidR="00652C04" w:rsidRPr="00586C19">
        <w:t>/day</w:t>
      </w:r>
      <w:proofErr w:type="gramEnd"/>
      <w:r w:rsidR="00DE5C4C" w:rsidRPr="00586C19">
        <w:t>.</w:t>
      </w:r>
    </w:p>
    <w:p w14:paraId="337E3E32" w14:textId="77777777" w:rsidR="00F31F9F" w:rsidRPr="00F31F9F" w:rsidRDefault="00F31F9F" w:rsidP="00DE5C4C">
      <w:pPr>
        <w:pStyle w:val="Heading5"/>
      </w:pPr>
      <w:bookmarkStart w:id="93" w:name="_Toc292015578"/>
      <w:r w:rsidRPr="00F31F9F">
        <w:t>Effect of Blinatumomab Exposure on CYP450</w:t>
      </w:r>
      <w:bookmarkEnd w:id="93"/>
    </w:p>
    <w:p w14:paraId="0D24CEB9" w14:textId="77777777" w:rsidR="00F31F9F" w:rsidRPr="00F31F9F" w:rsidRDefault="00F31F9F" w:rsidP="00DE5C4C">
      <w:pPr>
        <w:pStyle w:val="Heading6"/>
        <w:rPr>
          <w:lang w:eastAsia="ja-JP"/>
        </w:rPr>
      </w:pPr>
      <w:r w:rsidRPr="00F31F9F">
        <w:rPr>
          <w:lang w:eastAsia="ja-JP"/>
        </w:rPr>
        <w:t>Direct Effect of Blinatumomab Exposure on CYP450</w:t>
      </w:r>
    </w:p>
    <w:p w14:paraId="581B386B" w14:textId="02BEF483" w:rsidR="00F31F9F" w:rsidRPr="00F31F9F" w:rsidRDefault="00F31F9F" w:rsidP="00F31F9F">
      <w:pPr>
        <w:rPr>
          <w:lang w:eastAsia="ja-JP"/>
        </w:rPr>
      </w:pPr>
      <w:r w:rsidRPr="00F31F9F">
        <w:rPr>
          <w:lang w:eastAsia="ja-JP"/>
        </w:rPr>
        <w:t>Blinatumomab is a protein therapeutic, cleared mainly via non-specific fluid-</w:t>
      </w:r>
      <w:r w:rsidR="0018721C">
        <w:rPr>
          <w:lang w:eastAsia="ja-JP"/>
        </w:rPr>
        <w:t>Phase</w:t>
      </w:r>
      <w:r w:rsidRPr="00F31F9F">
        <w:rPr>
          <w:lang w:eastAsia="ja-JP"/>
        </w:rPr>
        <w:t xml:space="preserve"> endocytosis and proteolysis. Results of an </w:t>
      </w:r>
      <w:r w:rsidRPr="00DE5C4C">
        <w:rPr>
          <w:iCs/>
          <w:lang w:eastAsia="ja-JP"/>
        </w:rPr>
        <w:t>in vitro</w:t>
      </w:r>
      <w:r w:rsidRPr="00F31F9F">
        <w:rPr>
          <w:lang w:eastAsia="ja-JP"/>
        </w:rPr>
        <w:t xml:space="preserve"> test with human hepatocytes to assess the direct effects of blinatumomab on CYP450 suggested that blinatumomab did not affect CYP450 enzyme activities (</w:t>
      </w:r>
      <w:r w:rsidR="00DE5C4C">
        <w:rPr>
          <w:lang w:eastAsia="ja-JP"/>
        </w:rPr>
        <w:t xml:space="preserve">taken from </w:t>
      </w:r>
      <w:r w:rsidRPr="00F31F9F">
        <w:rPr>
          <w:lang w:eastAsia="ja-JP"/>
        </w:rPr>
        <w:t>Report NSX0011), thus it is not anticipated to have a direct effect on the pharmacokinetics of drugs metabol</w:t>
      </w:r>
      <w:r w:rsidR="00D50F7E">
        <w:rPr>
          <w:lang w:eastAsia="ja-JP"/>
        </w:rPr>
        <w:t>ised</w:t>
      </w:r>
      <w:r w:rsidRPr="00F31F9F">
        <w:rPr>
          <w:lang w:eastAsia="ja-JP"/>
        </w:rPr>
        <w:t xml:space="preserve"> by CYP450 enzymes.</w:t>
      </w:r>
    </w:p>
    <w:p w14:paraId="275036F7" w14:textId="77777777" w:rsidR="00F31F9F" w:rsidRPr="00F31F9F" w:rsidRDefault="00F31F9F" w:rsidP="00DE5C4C">
      <w:pPr>
        <w:pStyle w:val="Heading6"/>
        <w:rPr>
          <w:lang w:eastAsia="ja-JP"/>
        </w:rPr>
      </w:pPr>
      <w:r w:rsidRPr="00F31F9F">
        <w:rPr>
          <w:lang w:eastAsia="ja-JP"/>
        </w:rPr>
        <w:t>Indirect Effect of Blinatumomab Exposure on CYP450</w:t>
      </w:r>
    </w:p>
    <w:p w14:paraId="4B597041" w14:textId="7301B5E1" w:rsidR="00F31F9F" w:rsidRPr="00F31F9F" w:rsidRDefault="00F31F9F" w:rsidP="00F31F9F">
      <w:pPr>
        <w:rPr>
          <w:lang w:eastAsia="ja-JP"/>
        </w:rPr>
      </w:pPr>
      <w:r w:rsidRPr="00F31F9F">
        <w:rPr>
          <w:lang w:eastAsia="ja-JP"/>
        </w:rPr>
        <w:t>An indirect effect of blinatumomab administration on CYP450 may occur via the transient cytokine elevation observed in some patients 1 to 2 days after the start of blinatumomab infusion in the first cycle. The potential effect of cytokines on CYP450 activities was evaluated via a physiological-based pharmacokinetic (PBPK) model. Results indicated that the potential of pharmacokinetic drug interaction secondary to the transient blinatumomab-medi</w:t>
      </w:r>
      <w:r w:rsidR="00DE5C4C">
        <w:rPr>
          <w:lang w:eastAsia="ja-JP"/>
        </w:rPr>
        <w:t>ated cytokine elevation is low.</w:t>
      </w:r>
    </w:p>
    <w:p w14:paraId="4134553D" w14:textId="77777777" w:rsidR="00F31F9F" w:rsidRPr="00F31F9F" w:rsidRDefault="00F31F9F" w:rsidP="00DE5C4C">
      <w:pPr>
        <w:pStyle w:val="Heading5"/>
      </w:pPr>
      <w:bookmarkStart w:id="94" w:name="_Toc292015579"/>
      <w:r w:rsidRPr="00F31F9F">
        <w:t>Effect of Blinatumomab Exposure on QT Prolongation</w:t>
      </w:r>
      <w:bookmarkEnd w:id="94"/>
    </w:p>
    <w:p w14:paraId="0FB6E705" w14:textId="0193E699" w:rsidR="00F31F9F" w:rsidRPr="00F31F9F" w:rsidRDefault="00F31F9F" w:rsidP="00F31F9F">
      <w:pPr>
        <w:rPr>
          <w:lang w:eastAsia="ja-JP"/>
        </w:rPr>
      </w:pPr>
      <w:r w:rsidRPr="00F31F9F">
        <w:rPr>
          <w:lang w:eastAsia="ja-JP"/>
        </w:rPr>
        <w:t xml:space="preserve">A through QTc study was not conducted. Clinical evaluations included electrocardiogram (ECG) monitoring and evaluation results were provided in </w:t>
      </w:r>
      <w:r w:rsidR="00DE5C4C">
        <w:rPr>
          <w:lang w:eastAsia="ja-JP"/>
        </w:rPr>
        <w:t>the submission</w:t>
      </w:r>
    </w:p>
    <w:p w14:paraId="76C966D5" w14:textId="15EC67EF" w:rsidR="00F31F9F" w:rsidRPr="00F31F9F" w:rsidRDefault="00DE5C4C" w:rsidP="00F31F9F">
      <w:pPr>
        <w:rPr>
          <w:lang w:eastAsia="ja-JP"/>
        </w:rPr>
      </w:pPr>
      <w:r>
        <w:rPr>
          <w:lang w:eastAsia="ja-JP"/>
        </w:rPr>
        <w:t xml:space="preserve">A linear mixed </w:t>
      </w:r>
      <w:r w:rsidR="00F31F9F" w:rsidRPr="00F31F9F">
        <w:rPr>
          <w:lang w:eastAsia="ja-JP"/>
        </w:rPr>
        <w:t>effects model</w:t>
      </w:r>
      <w:r>
        <w:rPr>
          <w:lang w:eastAsia="ja-JP"/>
        </w:rPr>
        <w:t>l</w:t>
      </w:r>
      <w:r w:rsidR="00F31F9F" w:rsidRPr="00F31F9F">
        <w:rPr>
          <w:lang w:eastAsia="ja-JP"/>
        </w:rPr>
        <w:t>ing approach was used to examine the re</w:t>
      </w:r>
      <w:r>
        <w:rPr>
          <w:lang w:eastAsia="ja-JP"/>
        </w:rPr>
        <w:t xml:space="preserve">lationship between the </w:t>
      </w:r>
      <w:proofErr w:type="gramStart"/>
      <w:r>
        <w:rPr>
          <w:lang w:eastAsia="ja-JP"/>
        </w:rPr>
        <w:t>baseline</w:t>
      </w:r>
      <w:proofErr w:type="gramEnd"/>
      <w:r>
        <w:rPr>
          <w:lang w:eastAsia="ja-JP"/>
        </w:rPr>
        <w:t xml:space="preserve"> </w:t>
      </w:r>
      <w:r w:rsidR="00F31F9F" w:rsidRPr="00F31F9F">
        <w:rPr>
          <w:lang w:eastAsia="ja-JP"/>
        </w:rPr>
        <w:t>adjusted/corrected change in QTc intervals and serum concentrations of blinatumomab. Results indicated that there was no evidence of linear association between blinatumomab concentrations and QTcF (p</w:t>
      </w:r>
      <w:r w:rsidR="00375CAE">
        <w:rPr>
          <w:lang w:eastAsia="ja-JP"/>
        </w:rPr>
        <w:t xml:space="preserve"> </w:t>
      </w:r>
      <w:r w:rsidR="00423768">
        <w:rPr>
          <w:lang w:eastAsia="ja-JP"/>
        </w:rPr>
        <w:t>=</w:t>
      </w:r>
      <w:r w:rsidR="00375CAE">
        <w:rPr>
          <w:lang w:eastAsia="ja-JP"/>
        </w:rPr>
        <w:t xml:space="preserve"> </w:t>
      </w:r>
      <w:r w:rsidR="00F31F9F" w:rsidRPr="00F31F9F">
        <w:rPr>
          <w:lang w:eastAsia="ja-JP"/>
        </w:rPr>
        <w:t>0.75) or QTcB (p</w:t>
      </w:r>
      <w:r w:rsidR="00375CAE">
        <w:rPr>
          <w:lang w:eastAsia="ja-JP"/>
        </w:rPr>
        <w:t xml:space="preserve"> </w:t>
      </w:r>
      <w:r w:rsidR="00423768">
        <w:rPr>
          <w:lang w:eastAsia="ja-JP"/>
        </w:rPr>
        <w:t>=</w:t>
      </w:r>
      <w:r w:rsidR="00375CAE">
        <w:rPr>
          <w:lang w:eastAsia="ja-JP"/>
        </w:rPr>
        <w:t xml:space="preserve"> </w:t>
      </w:r>
      <w:r w:rsidR="00F31F9F" w:rsidRPr="00F31F9F">
        <w:rPr>
          <w:lang w:eastAsia="ja-JP"/>
        </w:rPr>
        <w:t>0.73). A plot was generated using blinatumomab concentration data from individual subjects and time-matched QTc data (</w:t>
      </w:r>
      <w:r>
        <w:rPr>
          <w:lang w:eastAsia="ja-JP"/>
        </w:rPr>
        <w:t xml:space="preserve">see </w:t>
      </w:r>
      <w:r w:rsidR="00F31F9F" w:rsidRPr="00F31F9F">
        <w:rPr>
          <w:lang w:eastAsia="ja-JP"/>
        </w:rPr>
        <w:t>Figure 8</w:t>
      </w:r>
      <w:r>
        <w:rPr>
          <w:lang w:eastAsia="ja-JP"/>
        </w:rPr>
        <w:t>, below</w:t>
      </w:r>
      <w:r w:rsidR="00F31F9F" w:rsidRPr="00F31F9F">
        <w:rPr>
          <w:lang w:eastAsia="ja-JP"/>
        </w:rPr>
        <w:t>). No significant effect of blinatumomab</w:t>
      </w:r>
      <w:r>
        <w:rPr>
          <w:lang w:eastAsia="ja-JP"/>
        </w:rPr>
        <w:t xml:space="preserve"> exposure on cardiac repolaris</w:t>
      </w:r>
      <w:r w:rsidR="00F31F9F" w:rsidRPr="00F31F9F">
        <w:rPr>
          <w:lang w:eastAsia="ja-JP"/>
        </w:rPr>
        <w:t>ation was observed as measured by the flat to slightly positive slope.</w:t>
      </w:r>
    </w:p>
    <w:p w14:paraId="30DD1C4C" w14:textId="23C9CDF6" w:rsidR="00F31F9F" w:rsidRPr="00DE5C4C" w:rsidRDefault="00F31F9F" w:rsidP="002C4366">
      <w:pPr>
        <w:pStyle w:val="FigureTitle"/>
        <w:rPr>
          <w:lang w:eastAsia="ja-JP"/>
        </w:rPr>
      </w:pPr>
      <w:bookmarkStart w:id="95" w:name="_Toc292015788"/>
      <w:r w:rsidRPr="00F31F9F">
        <w:rPr>
          <w:lang w:eastAsia="ja-JP"/>
        </w:rPr>
        <w:t xml:space="preserve">Figure </w:t>
      </w:r>
      <w:r w:rsidR="00586C19">
        <w:rPr>
          <w:lang w:eastAsia="ja-JP"/>
        </w:rPr>
        <w:t>8:</w:t>
      </w:r>
      <w:r w:rsidRPr="00F31F9F">
        <w:rPr>
          <w:lang w:eastAsia="ja-JP"/>
        </w:rPr>
        <w:t xml:space="preserve"> QTcF Changes </w:t>
      </w:r>
      <w:r w:rsidR="00DE5C4C">
        <w:rPr>
          <w:lang w:eastAsia="ja-JP"/>
        </w:rPr>
        <w:t>from B</w:t>
      </w:r>
      <w:r w:rsidR="00DE5C4C" w:rsidRPr="00F31F9F">
        <w:rPr>
          <w:lang w:eastAsia="ja-JP"/>
        </w:rPr>
        <w:t>aseline versus serum blinatumomab concentrations collected at the corresponding time point</w:t>
      </w:r>
      <w:bookmarkEnd w:id="95"/>
    </w:p>
    <w:p w14:paraId="2D93622F" w14:textId="77777777" w:rsidR="00F31F9F" w:rsidRPr="00F31F9F" w:rsidRDefault="00F31F9F" w:rsidP="00F31F9F">
      <w:pPr>
        <w:rPr>
          <w:lang w:eastAsia="ja-JP"/>
        </w:rPr>
      </w:pPr>
      <w:r w:rsidRPr="00F31F9F">
        <w:rPr>
          <w:noProof/>
          <w:lang w:eastAsia="en-AU"/>
        </w:rPr>
        <w:drawing>
          <wp:inline distT="0" distB="0" distL="0" distR="0" wp14:anchorId="5DCD4643" wp14:editId="3942EC50">
            <wp:extent cx="4444365" cy="2466975"/>
            <wp:effectExtent l="0" t="0" r="0" b="9525"/>
            <wp:docPr id="79" name="Picture 79" descr="Figure 8: QTcF Changes from Baseline versus serum blinatumomab concentrations collected at the corresponding time point" title="QTcF Changes from Baseline versus serum blinatumomab concentrations collected at the corresponding tim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2466975"/>
                    </a:xfrm>
                    <a:prstGeom prst="rect">
                      <a:avLst/>
                    </a:prstGeom>
                    <a:noFill/>
                    <a:ln>
                      <a:noFill/>
                    </a:ln>
                  </pic:spPr>
                </pic:pic>
              </a:graphicData>
            </a:graphic>
          </wp:inline>
        </w:drawing>
      </w:r>
    </w:p>
    <w:p w14:paraId="0A2A5EFF" w14:textId="6A2DEC86" w:rsidR="00F31F9F" w:rsidRPr="00F31F9F" w:rsidRDefault="00F273C2" w:rsidP="00F273C2">
      <w:pPr>
        <w:pStyle w:val="Heading3"/>
      </w:pPr>
      <w:bookmarkStart w:id="96" w:name="_Toc292015580"/>
      <w:bookmarkStart w:id="97" w:name="_Toc505762973"/>
      <w:r>
        <w:t xml:space="preserve">Study 119137 </w:t>
      </w:r>
      <w:r w:rsidR="00F31F9F" w:rsidRPr="00F31F9F">
        <w:t xml:space="preserve">Population </w:t>
      </w:r>
      <w:r>
        <w:t>pharmacokinetic a</w:t>
      </w:r>
      <w:r w:rsidR="00F31F9F" w:rsidRPr="00F31F9F">
        <w:t>nalysis</w:t>
      </w:r>
      <w:bookmarkEnd w:id="96"/>
      <w:bookmarkEnd w:id="97"/>
    </w:p>
    <w:p w14:paraId="168B1FC6" w14:textId="7B02004C" w:rsidR="00F31F9F" w:rsidRPr="00F31F9F" w:rsidRDefault="00F31F9F" w:rsidP="00F31F9F">
      <w:pPr>
        <w:rPr>
          <w:lang w:eastAsia="ja-JP"/>
        </w:rPr>
      </w:pPr>
      <w:r w:rsidRPr="00F31F9F">
        <w:rPr>
          <w:lang w:eastAsia="ja-JP"/>
        </w:rPr>
        <w:t>A summary of the objectives, methods and key findings of the population pharmacokinetic analysis (</w:t>
      </w:r>
      <w:r w:rsidR="00F273C2">
        <w:rPr>
          <w:lang w:val="en-US" w:eastAsia="ja-JP"/>
        </w:rPr>
        <w:t>PopPK report</w:t>
      </w:r>
      <w:r w:rsidRPr="00F31F9F">
        <w:rPr>
          <w:lang w:val="en-US" w:eastAsia="ja-JP"/>
        </w:rPr>
        <w:t xml:space="preserve">) </w:t>
      </w:r>
      <w:r w:rsidRPr="00F31F9F">
        <w:rPr>
          <w:lang w:eastAsia="ja-JP"/>
        </w:rPr>
        <w:t>are provided below.</w:t>
      </w:r>
    </w:p>
    <w:p w14:paraId="724EBF2D" w14:textId="307B6035" w:rsidR="00F31F9F" w:rsidRPr="00F31F9F" w:rsidRDefault="00F31F9F" w:rsidP="00F273C2">
      <w:pPr>
        <w:pStyle w:val="Heading4"/>
      </w:pPr>
      <w:bookmarkStart w:id="98" w:name="_Toc292015581"/>
      <w:r w:rsidRPr="00F31F9F">
        <w:t>Objectives</w:t>
      </w:r>
      <w:bookmarkEnd w:id="98"/>
    </w:p>
    <w:p w14:paraId="52090FCB" w14:textId="219C451B" w:rsidR="00F31F9F" w:rsidRPr="00F31F9F" w:rsidRDefault="00F31F9F" w:rsidP="00F31F9F">
      <w:pPr>
        <w:rPr>
          <w:lang w:eastAsia="ja-JP"/>
        </w:rPr>
      </w:pPr>
      <w:r w:rsidRPr="00F31F9F">
        <w:rPr>
          <w:lang w:eastAsia="ja-JP"/>
        </w:rPr>
        <w:t>The primary objectives of the blinatumomab population pharmacokinetic analysis in adult subjects with h</w:t>
      </w:r>
      <w:r w:rsidR="00F273C2">
        <w:rPr>
          <w:lang w:eastAsia="ja-JP"/>
        </w:rPr>
        <w:t>a</w:t>
      </w:r>
      <w:r w:rsidRPr="00F31F9F">
        <w:rPr>
          <w:lang w:eastAsia="ja-JP"/>
        </w:rPr>
        <w:t>ematological malignancies, including subjects with R/R ALL were</w:t>
      </w:r>
      <w:r w:rsidR="00F273C2">
        <w:rPr>
          <w:lang w:eastAsia="ja-JP"/>
        </w:rPr>
        <w:t>:</w:t>
      </w:r>
      <w:r w:rsidRPr="00F31F9F">
        <w:rPr>
          <w:lang w:eastAsia="ja-JP"/>
        </w:rPr>
        <w:t xml:space="preserve"> 1) to quantitatively characterize blinatumomab pharmacokinetics after continuous intravenous (cIV) administration and to quantify its inter-individual variability and 2) to evaluate effects of patients' demographic characteristics and other covariates on the pharmacokinetic parameters of blinatumomab.</w:t>
      </w:r>
    </w:p>
    <w:p w14:paraId="40AFAEB2" w14:textId="77777777" w:rsidR="00F31F9F" w:rsidRPr="00F31F9F" w:rsidRDefault="00F31F9F" w:rsidP="00F273C2">
      <w:pPr>
        <w:pStyle w:val="Heading4"/>
      </w:pPr>
      <w:bookmarkStart w:id="99" w:name="_Toc292015582"/>
      <w:r w:rsidRPr="00F31F9F">
        <w:t>Data Included in the Population Analysis</w:t>
      </w:r>
      <w:bookmarkEnd w:id="99"/>
    </w:p>
    <w:p w14:paraId="2ECDB53D" w14:textId="367611ED" w:rsidR="00F31F9F" w:rsidRPr="00F31F9F" w:rsidRDefault="00F31F9F" w:rsidP="00F31F9F">
      <w:pPr>
        <w:rPr>
          <w:lang w:eastAsia="ja-JP"/>
        </w:rPr>
      </w:pPr>
      <w:r w:rsidRPr="00F31F9F">
        <w:rPr>
          <w:lang w:eastAsia="ja-JP"/>
        </w:rPr>
        <w:t xml:space="preserve">Data from 4 clinical studies, including one </w:t>
      </w:r>
      <w:r w:rsidR="0018721C">
        <w:rPr>
          <w:lang w:eastAsia="ja-JP"/>
        </w:rPr>
        <w:t>Phase I</w:t>
      </w:r>
      <w:r w:rsidRPr="00F31F9F">
        <w:rPr>
          <w:lang w:eastAsia="ja-JP"/>
        </w:rPr>
        <w:t xml:space="preserve"> study in adult patients with relapsed NHL (</w:t>
      </w:r>
      <w:r w:rsidR="00F273C2">
        <w:rPr>
          <w:lang w:eastAsia="ja-JP"/>
        </w:rPr>
        <w:t>Study </w:t>
      </w:r>
      <w:r w:rsidRPr="00F31F9F">
        <w:rPr>
          <w:lang w:eastAsia="ja-JP"/>
        </w:rPr>
        <w:t xml:space="preserve">MT103-104), and 3 </w:t>
      </w:r>
      <w:r w:rsidR="0018721C">
        <w:rPr>
          <w:lang w:eastAsia="ja-JP"/>
        </w:rPr>
        <w:t>Phase II</w:t>
      </w:r>
      <w:r w:rsidRPr="00F31F9F">
        <w:rPr>
          <w:lang w:eastAsia="ja-JP"/>
        </w:rPr>
        <w:t xml:space="preserve"> studies in adult patients with ALL in complete h</w:t>
      </w:r>
      <w:r w:rsidR="00F273C2">
        <w:rPr>
          <w:lang w:eastAsia="ja-JP"/>
        </w:rPr>
        <w:t>a</w:t>
      </w:r>
      <w:r w:rsidRPr="00F31F9F">
        <w:rPr>
          <w:lang w:eastAsia="ja-JP"/>
        </w:rPr>
        <w:t>ematological remission and MRD (</w:t>
      </w:r>
      <w:r w:rsidR="00F273C2">
        <w:rPr>
          <w:lang w:eastAsia="ja-JP"/>
        </w:rPr>
        <w:t xml:space="preserve">Study </w:t>
      </w:r>
      <w:r w:rsidRPr="00F31F9F">
        <w:rPr>
          <w:lang w:eastAsia="ja-JP"/>
        </w:rPr>
        <w:t>MT103-202) or with R/R ALL (</w:t>
      </w:r>
      <w:r w:rsidR="00F273C2">
        <w:rPr>
          <w:lang w:eastAsia="ja-JP"/>
        </w:rPr>
        <w:t xml:space="preserve">Studies </w:t>
      </w:r>
      <w:r w:rsidRPr="00F31F9F">
        <w:rPr>
          <w:lang w:eastAsia="ja-JP"/>
        </w:rPr>
        <w:t>MT103-206 and MT103-211) were used in the blinatumomab population pharmacokinetic analysis.</w:t>
      </w:r>
    </w:p>
    <w:p w14:paraId="24AE9F15" w14:textId="2D46B669" w:rsidR="00F31F9F" w:rsidRPr="00F31F9F" w:rsidRDefault="00F31F9F" w:rsidP="00F31F9F">
      <w:pPr>
        <w:rPr>
          <w:lang w:eastAsia="ja-JP"/>
        </w:rPr>
      </w:pPr>
      <w:r w:rsidRPr="00F31F9F">
        <w:rPr>
          <w:lang w:eastAsia="ja-JP"/>
        </w:rPr>
        <w:t xml:space="preserve">Intensive pharmacokinetic sampling following administration of blinatumomab was available in the </w:t>
      </w:r>
      <w:r w:rsidR="0018721C">
        <w:rPr>
          <w:lang w:eastAsia="ja-JP"/>
        </w:rPr>
        <w:t>Phase I</w:t>
      </w:r>
      <w:r w:rsidRPr="00F31F9F">
        <w:rPr>
          <w:lang w:eastAsia="ja-JP"/>
        </w:rPr>
        <w:t xml:space="preserve"> (</w:t>
      </w:r>
      <w:r w:rsidR="00F273C2">
        <w:rPr>
          <w:lang w:eastAsia="ja-JP"/>
        </w:rPr>
        <w:t xml:space="preserve">Study </w:t>
      </w:r>
      <w:r w:rsidRPr="00F31F9F">
        <w:rPr>
          <w:lang w:eastAsia="ja-JP"/>
        </w:rPr>
        <w:t xml:space="preserve">MT103-104) and one of the </w:t>
      </w:r>
      <w:r w:rsidR="0018721C">
        <w:rPr>
          <w:lang w:eastAsia="ja-JP"/>
        </w:rPr>
        <w:t>Phase II</w:t>
      </w:r>
      <w:r w:rsidRPr="00F31F9F">
        <w:rPr>
          <w:lang w:eastAsia="ja-JP"/>
        </w:rPr>
        <w:t xml:space="preserve"> (</w:t>
      </w:r>
      <w:r w:rsidR="00F273C2">
        <w:rPr>
          <w:lang w:eastAsia="ja-JP"/>
        </w:rPr>
        <w:t xml:space="preserve">Study </w:t>
      </w:r>
      <w:r w:rsidRPr="00F31F9F">
        <w:rPr>
          <w:lang w:eastAsia="ja-JP"/>
        </w:rPr>
        <w:t xml:space="preserve">MT103-202) studies, while the same sparse sampling scheme was implemented in the remaining </w:t>
      </w:r>
      <w:r w:rsidR="00423768">
        <w:rPr>
          <w:lang w:eastAsia="ja-JP"/>
        </w:rPr>
        <w:t>2</w:t>
      </w:r>
      <w:r w:rsidRPr="00F31F9F">
        <w:rPr>
          <w:lang w:eastAsia="ja-JP"/>
        </w:rPr>
        <w:t xml:space="preserve"> clinical studies (</w:t>
      </w:r>
      <w:r w:rsidR="002C4366">
        <w:rPr>
          <w:lang w:eastAsia="ja-JP"/>
        </w:rPr>
        <w:t>Studies </w:t>
      </w:r>
      <w:r w:rsidRPr="00F31F9F">
        <w:rPr>
          <w:lang w:eastAsia="ja-JP"/>
        </w:rPr>
        <w:t>MT103-206 and MT103-211). The dataset consisted of a total of 2587 serum samples from 322 subjects receiving blinatumomab intravenously as a continuous infusion over 4 weeks, at doses ranging from 0.5 to 90</w:t>
      </w:r>
      <w:r w:rsidR="00375CAE">
        <w:rPr>
          <w:lang w:eastAsia="ja-JP"/>
        </w:rPr>
        <w:t xml:space="preserve"> </w:t>
      </w:r>
      <w:r w:rsidR="0018721C">
        <w:rPr>
          <w:lang w:eastAsia="ja-JP"/>
        </w:rPr>
        <w:t>µg</w:t>
      </w:r>
      <w:r w:rsidRPr="00F31F9F">
        <w:rPr>
          <w:lang w:eastAsia="ja-JP"/>
        </w:rPr>
        <w:t>/m</w:t>
      </w:r>
      <w:r w:rsidRPr="00F31F9F">
        <w:rPr>
          <w:vertAlign w:val="superscript"/>
          <w:lang w:eastAsia="ja-JP"/>
        </w:rPr>
        <w:t>2</w:t>
      </w:r>
      <w:r w:rsidRPr="00F31F9F">
        <w:rPr>
          <w:lang w:eastAsia="ja-JP"/>
        </w:rPr>
        <w:t>/day or a 9 to 28</w:t>
      </w:r>
      <w:r w:rsidR="00375CAE">
        <w:rPr>
          <w:lang w:eastAsia="ja-JP"/>
        </w:rPr>
        <w:t xml:space="preserve"> </w:t>
      </w:r>
      <w:r w:rsidR="0018721C">
        <w:rPr>
          <w:lang w:eastAsia="ja-JP"/>
        </w:rPr>
        <w:t>µg</w:t>
      </w:r>
      <w:r w:rsidRPr="00F31F9F">
        <w:rPr>
          <w:lang w:eastAsia="ja-JP"/>
        </w:rPr>
        <w:t>/day fixed dosing regimen.</w:t>
      </w:r>
    </w:p>
    <w:p w14:paraId="5A19ABC3" w14:textId="7606A362" w:rsidR="00F31F9F" w:rsidRPr="00F31F9F" w:rsidRDefault="00F31F9F" w:rsidP="00F31F9F">
      <w:pPr>
        <w:rPr>
          <w:lang w:eastAsia="ja-JP"/>
        </w:rPr>
      </w:pPr>
      <w:r w:rsidRPr="00F31F9F">
        <w:rPr>
          <w:lang w:eastAsia="ja-JP"/>
        </w:rPr>
        <w:t>The median age of patients was 45 years (range: 18 to 80 years)</w:t>
      </w:r>
      <w:r w:rsidR="00F273C2">
        <w:rPr>
          <w:lang w:eastAsia="ja-JP"/>
        </w:rPr>
        <w:t>. The median body weight was 74 </w:t>
      </w:r>
      <w:r w:rsidRPr="00F31F9F">
        <w:rPr>
          <w:lang w:eastAsia="ja-JP"/>
        </w:rPr>
        <w:t xml:space="preserve">kg (range: 44 to 134 kg). In total, 207 men and 115 women were included in the analysis; 91.7% were </w:t>
      </w:r>
      <w:r w:rsidR="00F273C2">
        <w:rPr>
          <w:lang w:eastAsia="ja-JP"/>
        </w:rPr>
        <w:t>W</w:t>
      </w:r>
      <w:r w:rsidRPr="00F31F9F">
        <w:rPr>
          <w:lang w:eastAsia="ja-JP"/>
        </w:rPr>
        <w:t xml:space="preserve">hite, 2.65% </w:t>
      </w:r>
      <w:r w:rsidR="00F273C2">
        <w:rPr>
          <w:lang w:eastAsia="ja-JP"/>
        </w:rPr>
        <w:t>B</w:t>
      </w:r>
      <w:r w:rsidRPr="00F31F9F">
        <w:rPr>
          <w:lang w:eastAsia="ja-JP"/>
        </w:rPr>
        <w:t xml:space="preserve">lack, 1.99% Asian, </w:t>
      </w:r>
      <w:r w:rsidR="00F273C2">
        <w:rPr>
          <w:lang w:eastAsia="ja-JP"/>
        </w:rPr>
        <w:t xml:space="preserve">and 3.66% </w:t>
      </w:r>
      <w:proofErr w:type="gramStart"/>
      <w:r w:rsidR="00F273C2">
        <w:rPr>
          <w:lang w:eastAsia="ja-JP"/>
        </w:rPr>
        <w:t>O</w:t>
      </w:r>
      <w:r w:rsidRPr="00F31F9F">
        <w:rPr>
          <w:lang w:eastAsia="ja-JP"/>
        </w:rPr>
        <w:t>ther</w:t>
      </w:r>
      <w:proofErr w:type="gramEnd"/>
      <w:r w:rsidRPr="00F31F9F">
        <w:rPr>
          <w:lang w:eastAsia="ja-JP"/>
        </w:rPr>
        <w:t>. The median CrCL was 111 mL/min and ranged from 38 to 150 mL/min. The liver function of a typical patient was character</w:t>
      </w:r>
      <w:r w:rsidR="00D50F7E">
        <w:rPr>
          <w:lang w:eastAsia="ja-JP"/>
        </w:rPr>
        <w:t>ised</w:t>
      </w:r>
      <w:r w:rsidRPr="00F31F9F">
        <w:rPr>
          <w:lang w:eastAsia="ja-JP"/>
        </w:rPr>
        <w:t xml:space="preserve"> by mean values of 34.4 IU/L for AST, 29.3 IU/L for ALT, 38 g/L for albumin, and 0.0086 mmol/L for total bilirubin. Within the dataset, 34.6% and 54.8% of patients presented with an Eastern Cooperative Oncology Group performance status (ECOG) performance status evaluated as 0 or 1, respectively; only 10.6% of patients had an ECOG performance status of 2. The mean value of lactate dehydrogenase (LDH) and h</w:t>
      </w:r>
      <w:r w:rsidR="00F273C2">
        <w:rPr>
          <w:lang w:eastAsia="ja-JP"/>
        </w:rPr>
        <w:t>a</w:t>
      </w:r>
      <w:r w:rsidRPr="00F31F9F">
        <w:rPr>
          <w:lang w:eastAsia="ja-JP"/>
        </w:rPr>
        <w:t xml:space="preserve">emoglobin was 807 IU/L and 10 g/dL, respectively. The median CD19+ B cell count was 0.297 x </w:t>
      </w:r>
      <w:r w:rsidR="00586C19" w:rsidRPr="00F31F9F">
        <w:rPr>
          <w:lang w:eastAsia="ja-JP"/>
        </w:rPr>
        <w:t>10</w:t>
      </w:r>
      <w:r w:rsidR="00586C19" w:rsidRPr="00586C19">
        <w:rPr>
          <w:vertAlign w:val="superscript"/>
          <w:lang w:eastAsia="ja-JP"/>
        </w:rPr>
        <w:t>9</w:t>
      </w:r>
      <w:r w:rsidRPr="00F31F9F">
        <w:rPr>
          <w:lang w:eastAsia="ja-JP"/>
        </w:rPr>
        <w:t xml:space="preserve">/L while the median CD3+ T cell count was 0.343 x </w:t>
      </w:r>
      <w:r w:rsidR="00586C19" w:rsidRPr="00F31F9F">
        <w:rPr>
          <w:lang w:eastAsia="ja-JP"/>
        </w:rPr>
        <w:t>10</w:t>
      </w:r>
      <w:r w:rsidR="00586C19" w:rsidRPr="00586C19">
        <w:rPr>
          <w:vertAlign w:val="superscript"/>
          <w:lang w:eastAsia="ja-JP"/>
        </w:rPr>
        <w:t>9</w:t>
      </w:r>
      <w:r w:rsidRPr="00F31F9F">
        <w:rPr>
          <w:lang w:eastAsia="ja-JP"/>
        </w:rPr>
        <w:t>/L, and the median CD19+ B to CD3+ T cell ratio (BTCR) was 0.962.</w:t>
      </w:r>
    </w:p>
    <w:p w14:paraId="25DF4E74" w14:textId="39FB7047" w:rsidR="00F31F9F" w:rsidRPr="00F31F9F" w:rsidRDefault="00F31F9F" w:rsidP="00F273C2">
      <w:pPr>
        <w:pStyle w:val="Heading4"/>
      </w:pPr>
      <w:bookmarkStart w:id="100" w:name="_Toc292015583"/>
      <w:r w:rsidRPr="00F31F9F">
        <w:t>Populat</w:t>
      </w:r>
      <w:r w:rsidR="00F273C2">
        <w:t>ion pharmacokinetic model d</w:t>
      </w:r>
      <w:r w:rsidRPr="00F31F9F">
        <w:t>evelopment</w:t>
      </w:r>
      <w:bookmarkEnd w:id="100"/>
    </w:p>
    <w:p w14:paraId="02D1803A" w14:textId="790413B8" w:rsidR="00F31F9F" w:rsidRPr="00F31F9F" w:rsidRDefault="00F273C2" w:rsidP="00F31F9F">
      <w:pPr>
        <w:rPr>
          <w:lang w:eastAsia="ja-JP"/>
        </w:rPr>
      </w:pPr>
      <w:r>
        <w:rPr>
          <w:lang w:eastAsia="ja-JP"/>
        </w:rPr>
        <w:t xml:space="preserve">A one </w:t>
      </w:r>
      <w:r w:rsidR="00F31F9F" w:rsidRPr="00F31F9F">
        <w:rPr>
          <w:lang w:eastAsia="ja-JP"/>
        </w:rPr>
        <w:t>compartment linear pharmacokinetic model was selected to characteri</w:t>
      </w:r>
      <w:r>
        <w:rPr>
          <w:lang w:eastAsia="ja-JP"/>
        </w:rPr>
        <w:t>s</w:t>
      </w:r>
      <w:r w:rsidR="00F31F9F" w:rsidRPr="00F31F9F">
        <w:rPr>
          <w:lang w:eastAsia="ja-JP"/>
        </w:rPr>
        <w:t>e blinatumomab pharmacokinetics. The model was parameter</w:t>
      </w:r>
      <w:r w:rsidR="00D50F7E">
        <w:rPr>
          <w:lang w:eastAsia="ja-JP"/>
        </w:rPr>
        <w:t>ised</w:t>
      </w:r>
      <w:r w:rsidR="00F31F9F" w:rsidRPr="00F31F9F">
        <w:rPr>
          <w:lang w:eastAsia="ja-JP"/>
        </w:rPr>
        <w:t xml:space="preserve"> in terms of systemic clearance (CL) and volume of distribution for the central compartment (V). Pharmacokinetic parameters were assumed to be log-normally distributed and an exponential inter-individual variability term was estimated for CL. Residual variability was model</w:t>
      </w:r>
      <w:r>
        <w:rPr>
          <w:lang w:eastAsia="ja-JP"/>
        </w:rPr>
        <w:t>l</w:t>
      </w:r>
      <w:r w:rsidR="00F31F9F" w:rsidRPr="00F31F9F">
        <w:rPr>
          <w:lang w:eastAsia="ja-JP"/>
        </w:rPr>
        <w:t>ed using an additive error model in the log</w:t>
      </w:r>
      <w:r>
        <w:rPr>
          <w:lang w:eastAsia="ja-JP"/>
        </w:rPr>
        <w:t xml:space="preserve"> </w:t>
      </w:r>
      <w:r w:rsidR="00F31F9F" w:rsidRPr="00F31F9F">
        <w:rPr>
          <w:lang w:eastAsia="ja-JP"/>
        </w:rPr>
        <w:t>domain.</w:t>
      </w:r>
    </w:p>
    <w:p w14:paraId="3A30DA82" w14:textId="2C75600C" w:rsidR="00F31F9F" w:rsidRPr="00F31F9F" w:rsidRDefault="00F31F9F" w:rsidP="00F31F9F">
      <w:pPr>
        <w:rPr>
          <w:lang w:eastAsia="ja-JP"/>
        </w:rPr>
      </w:pPr>
      <w:r w:rsidRPr="00F31F9F">
        <w:rPr>
          <w:lang w:eastAsia="ja-JP"/>
        </w:rPr>
        <w:t>The base model described above was used to evaluate the effect of the covariates on the pharmacokinetic parameters of blinatumomab. The selected covariates included demographic factors (age, body weight, body surface area, sex), estimates of renal function (CrCL, calculated by the Cockcroft and Gault equation) and liver function (AST, ALT, total bilirubin, albumin), and disease status (ECOG, LDH, h</w:t>
      </w:r>
      <w:r w:rsidR="00F273C2">
        <w:rPr>
          <w:lang w:eastAsia="ja-JP"/>
        </w:rPr>
        <w:t>a</w:t>
      </w:r>
      <w:r w:rsidRPr="00F31F9F">
        <w:rPr>
          <w:lang w:eastAsia="ja-JP"/>
        </w:rPr>
        <w:t>emoglobin, CD19+ B and CD3+ T cell counts, and BTCR). A forward inclusion (p</w:t>
      </w:r>
      <w:r w:rsidR="00375CAE">
        <w:rPr>
          <w:lang w:eastAsia="ja-JP"/>
        </w:rPr>
        <w:t xml:space="preserve"> </w:t>
      </w:r>
      <w:r w:rsidR="00423768">
        <w:rPr>
          <w:lang w:eastAsia="ja-JP"/>
        </w:rPr>
        <w:t>&lt;</w:t>
      </w:r>
      <w:r w:rsidR="00375CAE">
        <w:rPr>
          <w:lang w:eastAsia="ja-JP"/>
        </w:rPr>
        <w:t xml:space="preserve"> </w:t>
      </w:r>
      <w:r w:rsidRPr="00F31F9F">
        <w:rPr>
          <w:lang w:eastAsia="ja-JP"/>
        </w:rPr>
        <w:t>0.005) and backward elimination (p</w:t>
      </w:r>
      <w:r w:rsidR="00375CAE">
        <w:rPr>
          <w:lang w:eastAsia="ja-JP"/>
        </w:rPr>
        <w:t xml:space="preserve"> </w:t>
      </w:r>
      <w:r w:rsidR="00423768">
        <w:rPr>
          <w:lang w:eastAsia="ja-JP"/>
        </w:rPr>
        <w:t>&lt;</w:t>
      </w:r>
      <w:r w:rsidR="00375CAE">
        <w:rPr>
          <w:lang w:eastAsia="ja-JP"/>
        </w:rPr>
        <w:t xml:space="preserve"> </w:t>
      </w:r>
      <w:r w:rsidRPr="00F31F9F">
        <w:rPr>
          <w:lang w:eastAsia="ja-JP"/>
        </w:rPr>
        <w:t>0.001) process was used for covariate selection. Inferences about the clinical relevance of parameters were based on the resulting parameter estimates and measures of estimation precision (asymptotic standard errors).</w:t>
      </w:r>
    </w:p>
    <w:p w14:paraId="7F3B71DC" w14:textId="4F36811D" w:rsidR="00F31F9F" w:rsidRPr="00F31F9F" w:rsidRDefault="00F31F9F" w:rsidP="00F273C2">
      <w:pPr>
        <w:pStyle w:val="Heading4"/>
      </w:pPr>
      <w:bookmarkStart w:id="101" w:name="_Toc292015584"/>
      <w:r w:rsidRPr="00F31F9F">
        <w:t xml:space="preserve">Key </w:t>
      </w:r>
      <w:r w:rsidR="00F273C2">
        <w:t>r</w:t>
      </w:r>
      <w:r w:rsidRPr="00F31F9F">
        <w:t>esults</w:t>
      </w:r>
      <w:bookmarkEnd w:id="101"/>
    </w:p>
    <w:p w14:paraId="268C0474" w14:textId="5329330F" w:rsidR="00F31F9F" w:rsidRPr="00F31F9F" w:rsidRDefault="00F31F9F" w:rsidP="00F31F9F">
      <w:pPr>
        <w:rPr>
          <w:lang w:eastAsia="ja-JP"/>
        </w:rPr>
      </w:pPr>
      <w:r w:rsidRPr="00F31F9F">
        <w:rPr>
          <w:lang w:eastAsia="ja-JP"/>
        </w:rPr>
        <w:t xml:space="preserve">An open one-compartment linear pharmacokinetic model, comprising a mixture model to identify </w:t>
      </w:r>
      <w:r w:rsidR="00423768">
        <w:rPr>
          <w:lang w:eastAsia="ja-JP"/>
        </w:rPr>
        <w:t>2</w:t>
      </w:r>
      <w:r w:rsidRPr="00F31F9F">
        <w:rPr>
          <w:lang w:eastAsia="ja-JP"/>
        </w:rPr>
        <w:t xml:space="preserve"> subpopulations with different CL and separate estimates of residual variability for single v</w:t>
      </w:r>
      <w:r w:rsidR="00F273C2">
        <w:rPr>
          <w:lang w:eastAsia="ja-JP"/>
        </w:rPr>
        <w:t>ersu</w:t>
      </w:r>
      <w:r w:rsidRPr="00F31F9F">
        <w:rPr>
          <w:lang w:eastAsia="ja-JP"/>
        </w:rPr>
        <w:t xml:space="preserve">s multicentre studies was suitable to describe the time course of blinatumomab concentrations after cIV administrations of different doses in patients with haematological malignancies, including patients with NHL, MRD+ ALL, and R/R ALL. Population pharmacokinetic parameters estimates of blinatumomab are presented </w:t>
      </w:r>
      <w:r w:rsidR="002C4366">
        <w:rPr>
          <w:lang w:eastAsia="ja-JP"/>
        </w:rPr>
        <w:t xml:space="preserve">below </w:t>
      </w:r>
      <w:r w:rsidRPr="00F31F9F">
        <w:rPr>
          <w:lang w:eastAsia="ja-JP"/>
        </w:rPr>
        <w:t xml:space="preserve">in </w:t>
      </w:r>
      <w:r w:rsidR="002C4366" w:rsidRPr="002C4366">
        <w:rPr>
          <w:lang w:eastAsia="ja-JP"/>
        </w:rPr>
        <w:t>Table 9</w:t>
      </w:r>
      <w:r w:rsidRPr="002C4366">
        <w:rPr>
          <w:lang w:eastAsia="ja-JP"/>
        </w:rPr>
        <w:t>.</w:t>
      </w:r>
    </w:p>
    <w:p w14:paraId="64938F9C" w14:textId="3C3B986C" w:rsidR="00F31F9F" w:rsidRPr="00F31F9F" w:rsidRDefault="00F31F9F" w:rsidP="002C4366">
      <w:pPr>
        <w:pStyle w:val="Tabletitle"/>
        <w:rPr>
          <w:lang w:eastAsia="ja-JP"/>
        </w:rPr>
      </w:pPr>
      <w:bookmarkStart w:id="102" w:name="_Toc292015692"/>
      <w:r w:rsidRPr="00F31F9F">
        <w:rPr>
          <w:lang w:eastAsia="ja-JP"/>
        </w:rPr>
        <w:t xml:space="preserve">Table </w:t>
      </w:r>
      <w:r w:rsidR="007B270B">
        <w:rPr>
          <w:lang w:eastAsia="ja-JP"/>
        </w:rPr>
        <w:t>9:</w:t>
      </w:r>
      <w:r w:rsidRPr="00F31F9F">
        <w:rPr>
          <w:lang w:eastAsia="ja-JP"/>
        </w:rPr>
        <w:t xml:space="preserve"> Population </w:t>
      </w:r>
      <w:r w:rsidR="00F273C2" w:rsidRPr="00F31F9F">
        <w:rPr>
          <w:lang w:eastAsia="ja-JP"/>
        </w:rPr>
        <w:t>pharmacokinetic parameters of blinatumomab</w:t>
      </w:r>
      <w:bookmarkEnd w:id="102"/>
    </w:p>
    <w:tbl>
      <w:tblPr>
        <w:tblStyle w:val="TableTGAblue"/>
        <w:tblW w:w="0" w:type="auto"/>
        <w:tblLook w:val="04A0" w:firstRow="1" w:lastRow="0" w:firstColumn="1" w:lastColumn="0" w:noHBand="0" w:noVBand="1"/>
        <w:tblDescription w:val="Table 9: Population pharmacokinetic parameters of blinatumomab"/>
      </w:tblPr>
      <w:tblGrid>
        <w:gridCol w:w="3989"/>
        <w:gridCol w:w="1823"/>
        <w:gridCol w:w="1666"/>
      </w:tblGrid>
      <w:tr w:rsidR="00F31F9F" w:rsidRPr="00F31F9F" w14:paraId="7E298835" w14:textId="77777777" w:rsidTr="007B7D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BF939BA" w14:textId="77777777" w:rsidR="00F31F9F" w:rsidRPr="00F31F9F" w:rsidRDefault="00F31F9F" w:rsidP="00F31F9F">
            <w:pPr>
              <w:rPr>
                <w:b w:val="0"/>
                <w:bCs/>
                <w:lang w:eastAsia="ja-JP"/>
              </w:rPr>
            </w:pPr>
            <w:r w:rsidRPr="00F31F9F">
              <w:rPr>
                <w:b w:val="0"/>
                <w:bCs/>
                <w:lang w:eastAsia="ja-JP"/>
              </w:rPr>
              <w:t>Parameter (Units)</w:t>
            </w:r>
          </w:p>
        </w:tc>
        <w:tc>
          <w:tcPr>
            <w:tcW w:w="0" w:type="auto"/>
          </w:tcPr>
          <w:p w14:paraId="7328572E"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 w:val="0"/>
                <w:bCs/>
                <w:lang w:eastAsia="ja-JP"/>
              </w:rPr>
            </w:pPr>
            <w:r w:rsidRPr="00F31F9F">
              <w:rPr>
                <w:b w:val="0"/>
                <w:bCs/>
                <w:lang w:eastAsia="ja-JP"/>
              </w:rPr>
              <w:t>Typical Value</w:t>
            </w:r>
          </w:p>
        </w:tc>
        <w:tc>
          <w:tcPr>
            <w:tcW w:w="0" w:type="auto"/>
          </w:tcPr>
          <w:p w14:paraId="6DA56BE8" w14:textId="77777777" w:rsidR="00F31F9F" w:rsidRPr="00F31F9F" w:rsidRDefault="00F31F9F" w:rsidP="00F31F9F">
            <w:pPr>
              <w:cnfStyle w:val="100000000000" w:firstRow="1" w:lastRow="0" w:firstColumn="0" w:lastColumn="0" w:oddVBand="0" w:evenVBand="0" w:oddHBand="0" w:evenHBand="0" w:firstRowFirstColumn="0" w:firstRowLastColumn="0" w:lastRowFirstColumn="0" w:lastRowLastColumn="0"/>
              <w:rPr>
                <w:b w:val="0"/>
                <w:bCs/>
                <w:lang w:eastAsia="ja-JP"/>
              </w:rPr>
            </w:pPr>
            <w:r w:rsidRPr="00F31F9F">
              <w:rPr>
                <w:b w:val="0"/>
                <w:bCs/>
                <w:lang w:eastAsia="ja-JP"/>
              </w:rPr>
              <w:t>95% CI</w:t>
            </w:r>
          </w:p>
        </w:tc>
      </w:tr>
      <w:tr w:rsidR="00F31F9F" w:rsidRPr="00F31F9F" w14:paraId="337A2AB6"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1A5B4CDF" w14:textId="77777777" w:rsidR="00F31F9F" w:rsidRPr="00F31F9F" w:rsidRDefault="00F31F9F" w:rsidP="00F31F9F">
            <w:pPr>
              <w:rPr>
                <w:b/>
                <w:bCs/>
                <w:lang w:eastAsia="ja-JP"/>
              </w:rPr>
            </w:pPr>
            <w:r w:rsidRPr="00F31F9F">
              <w:rPr>
                <w:b/>
                <w:bCs/>
                <w:lang w:eastAsia="ja-JP"/>
              </w:rPr>
              <w:t>Volume (V, L)</w:t>
            </w:r>
          </w:p>
        </w:tc>
        <w:tc>
          <w:tcPr>
            <w:tcW w:w="0" w:type="auto"/>
          </w:tcPr>
          <w:p w14:paraId="3BA0C4FA"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3.40</w:t>
            </w:r>
          </w:p>
        </w:tc>
        <w:tc>
          <w:tcPr>
            <w:tcW w:w="0" w:type="auto"/>
          </w:tcPr>
          <w:p w14:paraId="21B18CFB" w14:textId="0382531B"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2.82 to</w:t>
            </w:r>
            <w:r w:rsidR="00F31F9F" w:rsidRPr="00F31F9F">
              <w:rPr>
                <w:lang w:eastAsia="ja-JP"/>
              </w:rPr>
              <w:t xml:space="preserve"> 3.94</w:t>
            </w:r>
          </w:p>
        </w:tc>
      </w:tr>
      <w:tr w:rsidR="00F31F9F" w:rsidRPr="00F31F9F" w14:paraId="6457C3F2"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70C5646D" w14:textId="77777777" w:rsidR="00F31F9F" w:rsidRPr="00F31F9F" w:rsidRDefault="00F31F9F" w:rsidP="00F31F9F">
            <w:pPr>
              <w:rPr>
                <w:b/>
                <w:bCs/>
                <w:lang w:eastAsia="ja-JP"/>
              </w:rPr>
            </w:pPr>
            <w:r w:rsidRPr="00F31F9F">
              <w:rPr>
                <w:b/>
                <w:bCs/>
                <w:lang w:eastAsia="ja-JP"/>
              </w:rPr>
              <w:t>Clearance (CL)</w:t>
            </w:r>
            <w:r w:rsidRPr="00F31F9F">
              <w:rPr>
                <w:b/>
                <w:bCs/>
                <w:vertAlign w:val="superscript"/>
                <w:lang w:eastAsia="ja-JP"/>
              </w:rPr>
              <w:t>a</w:t>
            </w:r>
          </w:p>
        </w:tc>
        <w:tc>
          <w:tcPr>
            <w:tcW w:w="0" w:type="auto"/>
          </w:tcPr>
          <w:p w14:paraId="5FAAA168"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p>
        </w:tc>
        <w:tc>
          <w:tcPr>
            <w:tcW w:w="0" w:type="auto"/>
          </w:tcPr>
          <w:p w14:paraId="2FFEFDB5"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p>
        </w:tc>
      </w:tr>
      <w:tr w:rsidR="00F31F9F" w:rsidRPr="00F31F9F" w14:paraId="30475EE0"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160507CA" w14:textId="6E98A1EF" w:rsidR="00F31F9F" w:rsidRPr="00F31F9F" w:rsidRDefault="00F31F9F" w:rsidP="00F31F9F">
            <w:pPr>
              <w:rPr>
                <w:lang w:eastAsia="ja-JP"/>
              </w:rPr>
            </w:pPr>
            <w:r w:rsidRPr="00F31F9F">
              <w:rPr>
                <w:lang w:eastAsia="ja-JP"/>
              </w:rPr>
              <w:t>Subpopulation 1 (L/h/90mL/min)</w:t>
            </w:r>
          </w:p>
        </w:tc>
        <w:tc>
          <w:tcPr>
            <w:tcW w:w="0" w:type="auto"/>
          </w:tcPr>
          <w:p w14:paraId="5A0880EF"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1.36</w:t>
            </w:r>
          </w:p>
        </w:tc>
        <w:tc>
          <w:tcPr>
            <w:tcW w:w="0" w:type="auto"/>
          </w:tcPr>
          <w:p w14:paraId="134745A4" w14:textId="507DA313"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1.24 to </w:t>
            </w:r>
            <w:r w:rsidR="00F31F9F" w:rsidRPr="00F31F9F">
              <w:rPr>
                <w:lang w:eastAsia="ja-JP"/>
              </w:rPr>
              <w:t>1.50</w:t>
            </w:r>
          </w:p>
        </w:tc>
      </w:tr>
      <w:tr w:rsidR="00F31F9F" w:rsidRPr="00F31F9F" w14:paraId="72ED62B4"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3D0F76FD" w14:textId="708945B5" w:rsidR="00F31F9F" w:rsidRPr="00F31F9F" w:rsidRDefault="00F31F9F" w:rsidP="00F31F9F">
            <w:pPr>
              <w:rPr>
                <w:lang w:eastAsia="ja-JP"/>
              </w:rPr>
            </w:pPr>
            <w:r w:rsidRPr="00F31F9F">
              <w:rPr>
                <w:lang w:eastAsia="ja-JP"/>
              </w:rPr>
              <w:t>Subpopulation 2 (L/h/90mL/min)</w:t>
            </w:r>
          </w:p>
        </w:tc>
        <w:tc>
          <w:tcPr>
            <w:tcW w:w="0" w:type="auto"/>
          </w:tcPr>
          <w:p w14:paraId="1554A9EB"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5.49</w:t>
            </w:r>
          </w:p>
        </w:tc>
        <w:tc>
          <w:tcPr>
            <w:tcW w:w="0" w:type="auto"/>
          </w:tcPr>
          <w:p w14:paraId="6C076653" w14:textId="5362056C"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2.94 to </w:t>
            </w:r>
            <w:r w:rsidR="00F31F9F" w:rsidRPr="00F31F9F">
              <w:rPr>
                <w:lang w:eastAsia="ja-JP"/>
              </w:rPr>
              <w:t>7.81</w:t>
            </w:r>
          </w:p>
        </w:tc>
      </w:tr>
      <w:tr w:rsidR="00F31F9F" w:rsidRPr="00F31F9F" w14:paraId="69F7AF21"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17F08A9B" w14:textId="5D442292" w:rsidR="00F31F9F" w:rsidRPr="00F31F9F" w:rsidRDefault="00F31F9F" w:rsidP="00F31F9F">
            <w:pPr>
              <w:rPr>
                <w:lang w:eastAsia="ja-JP"/>
              </w:rPr>
            </w:pPr>
            <w:r w:rsidRPr="00F31F9F">
              <w:rPr>
                <w:lang w:eastAsia="ja-JP"/>
              </w:rPr>
              <w:t>Proportion in Subpopulation 1</w:t>
            </w:r>
          </w:p>
        </w:tc>
        <w:tc>
          <w:tcPr>
            <w:tcW w:w="0" w:type="auto"/>
          </w:tcPr>
          <w:p w14:paraId="02020F7D"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0.90</w:t>
            </w:r>
          </w:p>
        </w:tc>
        <w:tc>
          <w:tcPr>
            <w:tcW w:w="0" w:type="auto"/>
          </w:tcPr>
          <w:p w14:paraId="2418E436" w14:textId="54D259FD"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0.74 to </w:t>
            </w:r>
            <w:r w:rsidR="00F31F9F" w:rsidRPr="00F31F9F">
              <w:rPr>
                <w:lang w:eastAsia="ja-JP"/>
              </w:rPr>
              <w:t>0.95</w:t>
            </w:r>
          </w:p>
        </w:tc>
      </w:tr>
      <w:tr w:rsidR="00F31F9F" w:rsidRPr="00F31F9F" w14:paraId="72781081"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5E0668B7" w14:textId="77777777" w:rsidR="00F31F9F" w:rsidRPr="002C4366" w:rsidRDefault="00F31F9F" w:rsidP="00F31F9F">
            <w:pPr>
              <w:rPr>
                <w:bCs/>
                <w:lang w:eastAsia="ja-JP"/>
              </w:rPr>
            </w:pPr>
            <w:r w:rsidRPr="002C4366">
              <w:rPr>
                <w:bCs/>
                <w:lang w:eastAsia="ja-JP"/>
              </w:rPr>
              <w:t>Effect of CrCL on CL (θ)</w:t>
            </w:r>
          </w:p>
        </w:tc>
        <w:tc>
          <w:tcPr>
            <w:tcW w:w="0" w:type="auto"/>
          </w:tcPr>
          <w:p w14:paraId="36EC2B9E"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0.58</w:t>
            </w:r>
          </w:p>
        </w:tc>
        <w:tc>
          <w:tcPr>
            <w:tcW w:w="0" w:type="auto"/>
          </w:tcPr>
          <w:p w14:paraId="1D521EE6" w14:textId="508359C4"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0.41 to </w:t>
            </w:r>
            <w:r w:rsidR="00F31F9F" w:rsidRPr="00F31F9F">
              <w:rPr>
                <w:lang w:eastAsia="ja-JP"/>
              </w:rPr>
              <w:t>0.75</w:t>
            </w:r>
          </w:p>
        </w:tc>
      </w:tr>
      <w:tr w:rsidR="00F31F9F" w:rsidRPr="00F31F9F" w14:paraId="08150B8B"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031E127D" w14:textId="57709D3E" w:rsidR="00F31F9F" w:rsidRPr="002C4366" w:rsidRDefault="00F31F9F" w:rsidP="00F31F9F">
            <w:pPr>
              <w:rPr>
                <w:b/>
                <w:bCs/>
                <w:iCs/>
                <w:lang w:eastAsia="ja-JP"/>
              </w:rPr>
            </w:pPr>
            <w:r w:rsidRPr="002C4366">
              <w:rPr>
                <w:b/>
                <w:bCs/>
                <w:iCs/>
                <w:lang w:eastAsia="ja-JP"/>
              </w:rPr>
              <w:t>Inter</w:t>
            </w:r>
            <w:r w:rsidR="006B652D">
              <w:rPr>
                <w:b/>
                <w:bCs/>
                <w:iCs/>
                <w:lang w:eastAsia="ja-JP"/>
              </w:rPr>
              <w:t>-</w:t>
            </w:r>
            <w:r w:rsidRPr="002C4366">
              <w:rPr>
                <w:b/>
                <w:bCs/>
                <w:iCs/>
                <w:lang w:eastAsia="ja-JP"/>
              </w:rPr>
              <w:t>individual variability (</w:t>
            </w:r>
            <w:proofErr w:type="gramStart"/>
            <w:r w:rsidRPr="002C4366">
              <w:rPr>
                <w:b/>
                <w:bCs/>
                <w:iCs/>
                <w:lang w:eastAsia="ja-JP"/>
              </w:rPr>
              <w:t>CV%</w:t>
            </w:r>
            <w:proofErr w:type="gramEnd"/>
            <w:r w:rsidRPr="002C4366">
              <w:rPr>
                <w:b/>
                <w:bCs/>
                <w:iCs/>
                <w:lang w:eastAsia="ja-JP"/>
              </w:rPr>
              <w:t>)</w:t>
            </w:r>
          </w:p>
        </w:tc>
        <w:tc>
          <w:tcPr>
            <w:tcW w:w="0" w:type="auto"/>
          </w:tcPr>
          <w:p w14:paraId="33B7EEFF"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p>
        </w:tc>
        <w:tc>
          <w:tcPr>
            <w:tcW w:w="0" w:type="auto"/>
          </w:tcPr>
          <w:p w14:paraId="32587F36"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p>
        </w:tc>
      </w:tr>
      <w:tr w:rsidR="00F31F9F" w:rsidRPr="00F31F9F" w14:paraId="6120F84E"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2A688D91" w14:textId="77777777" w:rsidR="00F31F9F" w:rsidRPr="00F31F9F" w:rsidRDefault="00F31F9F" w:rsidP="00F31F9F">
            <w:pPr>
              <w:rPr>
                <w:lang w:eastAsia="ja-JP"/>
              </w:rPr>
            </w:pPr>
            <w:r w:rsidRPr="00F31F9F">
              <w:rPr>
                <w:vertAlign w:val="superscript"/>
                <w:lang w:eastAsia="ja-JP"/>
              </w:rPr>
              <w:t>ω</w:t>
            </w:r>
            <w:r w:rsidRPr="00F31F9F">
              <w:rPr>
                <w:lang w:eastAsia="ja-JP"/>
              </w:rPr>
              <w:t>CL</w:t>
            </w:r>
          </w:p>
        </w:tc>
        <w:tc>
          <w:tcPr>
            <w:tcW w:w="0" w:type="auto"/>
          </w:tcPr>
          <w:p w14:paraId="080BC4C0"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41.9</w:t>
            </w:r>
          </w:p>
        </w:tc>
        <w:tc>
          <w:tcPr>
            <w:tcW w:w="0" w:type="auto"/>
          </w:tcPr>
          <w:p w14:paraId="4687C1C2" w14:textId="5809A721"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35.6 to </w:t>
            </w:r>
            <w:r w:rsidR="00F31F9F" w:rsidRPr="00F31F9F">
              <w:rPr>
                <w:lang w:eastAsia="ja-JP"/>
              </w:rPr>
              <w:t>46.5</w:t>
            </w:r>
          </w:p>
        </w:tc>
      </w:tr>
      <w:tr w:rsidR="00F31F9F" w:rsidRPr="00F31F9F" w14:paraId="410D8811"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48E2B774" w14:textId="77777777" w:rsidR="00F31F9F" w:rsidRPr="00F31F9F" w:rsidRDefault="00F31F9F" w:rsidP="00F31F9F">
            <w:pPr>
              <w:rPr>
                <w:lang w:eastAsia="ja-JP"/>
              </w:rPr>
            </w:pPr>
            <w:r w:rsidRPr="00F31F9F">
              <w:rPr>
                <w:vertAlign w:val="superscript"/>
                <w:lang w:eastAsia="ja-JP"/>
              </w:rPr>
              <w:t>ω</w:t>
            </w:r>
            <w:r w:rsidRPr="00F31F9F">
              <w:rPr>
                <w:lang w:eastAsia="ja-JP"/>
              </w:rPr>
              <w:t>EPS</w:t>
            </w:r>
          </w:p>
        </w:tc>
        <w:tc>
          <w:tcPr>
            <w:tcW w:w="0" w:type="auto"/>
          </w:tcPr>
          <w:p w14:paraId="3CA4C54B"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36.3</w:t>
            </w:r>
          </w:p>
        </w:tc>
        <w:tc>
          <w:tcPr>
            <w:tcW w:w="0" w:type="auto"/>
          </w:tcPr>
          <w:p w14:paraId="18319428" w14:textId="6D81F63D"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31.3 to </w:t>
            </w:r>
            <w:r w:rsidR="00F31F9F" w:rsidRPr="00F31F9F">
              <w:rPr>
                <w:lang w:eastAsia="ja-JP"/>
              </w:rPr>
              <w:t>41.2</w:t>
            </w:r>
          </w:p>
        </w:tc>
      </w:tr>
      <w:tr w:rsidR="00F31F9F" w:rsidRPr="00F31F9F" w14:paraId="55773442"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3F29BD3B" w14:textId="77777777" w:rsidR="00F31F9F" w:rsidRPr="00F31F9F" w:rsidRDefault="00F31F9F" w:rsidP="00F31F9F">
            <w:pPr>
              <w:rPr>
                <w:i/>
                <w:iCs/>
                <w:lang w:eastAsia="ja-JP"/>
              </w:rPr>
            </w:pPr>
            <w:r w:rsidRPr="00F31F9F">
              <w:rPr>
                <w:i/>
                <w:iCs/>
                <w:lang w:eastAsia="ja-JP"/>
              </w:rPr>
              <w:t>Residual variability (</w:t>
            </w:r>
            <w:proofErr w:type="gramStart"/>
            <w:r w:rsidRPr="00F31F9F">
              <w:rPr>
                <w:i/>
                <w:iCs/>
                <w:lang w:eastAsia="ja-JP"/>
              </w:rPr>
              <w:t>CV%</w:t>
            </w:r>
            <w:proofErr w:type="gramEnd"/>
            <w:r w:rsidRPr="00F31F9F">
              <w:rPr>
                <w:i/>
                <w:iCs/>
                <w:lang w:eastAsia="ja-JP"/>
              </w:rPr>
              <w:t>)</w:t>
            </w:r>
          </w:p>
        </w:tc>
        <w:tc>
          <w:tcPr>
            <w:tcW w:w="0" w:type="auto"/>
          </w:tcPr>
          <w:p w14:paraId="3F4D5E18"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p>
        </w:tc>
        <w:tc>
          <w:tcPr>
            <w:tcW w:w="0" w:type="auto"/>
          </w:tcPr>
          <w:p w14:paraId="161F9A82"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p>
        </w:tc>
      </w:tr>
      <w:tr w:rsidR="00F31F9F" w:rsidRPr="00F31F9F" w14:paraId="673A00F5"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591CA94F" w14:textId="77777777" w:rsidR="00F31F9F" w:rsidRPr="00F31F9F" w:rsidRDefault="00F31F9F" w:rsidP="00F31F9F">
            <w:pPr>
              <w:rPr>
                <w:b/>
                <w:bCs/>
                <w:lang w:eastAsia="ja-JP"/>
              </w:rPr>
            </w:pPr>
            <w:r w:rsidRPr="00F31F9F">
              <w:rPr>
                <w:b/>
                <w:bCs/>
                <w:lang w:eastAsia="ja-JP"/>
              </w:rPr>
              <w:t>For Study MT103-211</w:t>
            </w:r>
          </w:p>
        </w:tc>
        <w:tc>
          <w:tcPr>
            <w:tcW w:w="0" w:type="auto"/>
          </w:tcPr>
          <w:p w14:paraId="3B9813AA"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56.6</w:t>
            </w:r>
          </w:p>
        </w:tc>
        <w:tc>
          <w:tcPr>
            <w:tcW w:w="0" w:type="auto"/>
          </w:tcPr>
          <w:p w14:paraId="54374409" w14:textId="2EFE6B62"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51.9 to </w:t>
            </w:r>
            <w:r w:rsidR="00F31F9F" w:rsidRPr="00F31F9F">
              <w:rPr>
                <w:lang w:eastAsia="ja-JP"/>
              </w:rPr>
              <w:t>61.2</w:t>
            </w:r>
          </w:p>
        </w:tc>
      </w:tr>
      <w:tr w:rsidR="00F31F9F" w:rsidRPr="00F31F9F" w14:paraId="32D87EDD" w14:textId="77777777" w:rsidTr="002C4366">
        <w:tc>
          <w:tcPr>
            <w:cnfStyle w:val="001000000000" w:firstRow="0" w:lastRow="0" w:firstColumn="1" w:lastColumn="0" w:oddVBand="0" w:evenVBand="0" w:oddHBand="0" w:evenHBand="0" w:firstRowFirstColumn="0" w:firstRowLastColumn="0" w:lastRowFirstColumn="0" w:lastRowLastColumn="0"/>
            <w:tcW w:w="0" w:type="auto"/>
          </w:tcPr>
          <w:p w14:paraId="3743A23A" w14:textId="77777777" w:rsidR="00F31F9F" w:rsidRPr="00F31F9F" w:rsidRDefault="00F31F9F" w:rsidP="00F31F9F">
            <w:pPr>
              <w:rPr>
                <w:b/>
                <w:bCs/>
                <w:lang w:eastAsia="ja-JP"/>
              </w:rPr>
            </w:pPr>
            <w:r w:rsidRPr="00F31F9F">
              <w:rPr>
                <w:b/>
                <w:bCs/>
                <w:lang w:eastAsia="ja-JP"/>
              </w:rPr>
              <w:t>For other studies</w:t>
            </w:r>
          </w:p>
        </w:tc>
        <w:tc>
          <w:tcPr>
            <w:tcW w:w="0" w:type="auto"/>
          </w:tcPr>
          <w:p w14:paraId="38B36223" w14:textId="77777777" w:rsidR="00F31F9F" w:rsidRPr="00F31F9F" w:rsidRDefault="00F31F9F" w:rsidP="00F31F9F">
            <w:pPr>
              <w:cnfStyle w:val="000000000000" w:firstRow="0" w:lastRow="0" w:firstColumn="0" w:lastColumn="0" w:oddVBand="0" w:evenVBand="0" w:oddHBand="0" w:evenHBand="0" w:firstRowFirstColumn="0" w:firstRowLastColumn="0" w:lastRowFirstColumn="0" w:lastRowLastColumn="0"/>
              <w:rPr>
                <w:lang w:eastAsia="ja-JP"/>
              </w:rPr>
            </w:pPr>
            <w:r w:rsidRPr="00F31F9F">
              <w:rPr>
                <w:lang w:eastAsia="ja-JP"/>
              </w:rPr>
              <w:t>40.1</w:t>
            </w:r>
          </w:p>
        </w:tc>
        <w:tc>
          <w:tcPr>
            <w:tcW w:w="0" w:type="auto"/>
          </w:tcPr>
          <w:p w14:paraId="54C8B51A" w14:textId="19B9EE49" w:rsidR="00F31F9F" w:rsidRPr="00F31F9F" w:rsidRDefault="002C4366" w:rsidP="00F31F9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37.3 to </w:t>
            </w:r>
            <w:r w:rsidR="00F31F9F" w:rsidRPr="00F31F9F">
              <w:rPr>
                <w:lang w:eastAsia="ja-JP"/>
              </w:rPr>
              <w:t>43.4</w:t>
            </w:r>
          </w:p>
        </w:tc>
      </w:tr>
    </w:tbl>
    <w:p w14:paraId="0CC44F45" w14:textId="709574C3" w:rsidR="00F31F9F" w:rsidRPr="00F31F9F" w:rsidRDefault="00F31F9F" w:rsidP="000822CC">
      <w:pPr>
        <w:pStyle w:val="TableDescription"/>
        <w:rPr>
          <w:lang w:eastAsia="ja-JP"/>
        </w:rPr>
      </w:pPr>
      <w:r w:rsidRPr="00F31F9F">
        <w:rPr>
          <w:lang w:eastAsia="ja-JP"/>
        </w:rPr>
        <w:t>CI</w:t>
      </w:r>
      <w:r w:rsidR="00375CAE">
        <w:rPr>
          <w:lang w:eastAsia="ja-JP"/>
        </w:rPr>
        <w:t xml:space="preserve"> </w:t>
      </w:r>
      <w:r w:rsidR="00423768">
        <w:rPr>
          <w:lang w:eastAsia="ja-JP"/>
        </w:rPr>
        <w:t>=</w:t>
      </w:r>
      <w:r w:rsidR="00375CAE">
        <w:rPr>
          <w:lang w:eastAsia="ja-JP"/>
        </w:rPr>
        <w:t xml:space="preserve"> </w:t>
      </w:r>
      <w:r w:rsidRPr="00F31F9F">
        <w:rPr>
          <w:lang w:eastAsia="ja-JP"/>
        </w:rPr>
        <w:t>confidence interval; CL</w:t>
      </w:r>
      <w:r w:rsidR="00375CAE">
        <w:rPr>
          <w:lang w:eastAsia="ja-JP"/>
        </w:rPr>
        <w:t xml:space="preserve"> </w:t>
      </w:r>
      <w:r w:rsidR="00423768">
        <w:rPr>
          <w:lang w:eastAsia="ja-JP"/>
        </w:rPr>
        <w:t>=</w:t>
      </w:r>
      <w:r w:rsidR="00375CAE">
        <w:rPr>
          <w:lang w:eastAsia="ja-JP"/>
        </w:rPr>
        <w:t xml:space="preserve"> </w:t>
      </w:r>
      <w:r w:rsidRPr="00F31F9F">
        <w:rPr>
          <w:lang w:eastAsia="ja-JP"/>
        </w:rPr>
        <w:t>clearance; CrCL</w:t>
      </w:r>
      <w:r w:rsidR="00375CAE">
        <w:rPr>
          <w:lang w:eastAsia="ja-JP"/>
        </w:rPr>
        <w:t xml:space="preserve"> </w:t>
      </w:r>
      <w:r w:rsidR="00423768">
        <w:rPr>
          <w:lang w:eastAsia="ja-JP"/>
        </w:rPr>
        <w:t>=</w:t>
      </w:r>
      <w:r w:rsidR="00375CAE">
        <w:rPr>
          <w:lang w:eastAsia="ja-JP"/>
        </w:rPr>
        <w:t xml:space="preserve"> </w:t>
      </w:r>
      <w:r w:rsidRPr="00F31F9F">
        <w:rPr>
          <w:lang w:eastAsia="ja-JP"/>
        </w:rPr>
        <w:t>creatinine clearance; CV</w:t>
      </w:r>
      <w:r w:rsidR="00375CAE">
        <w:rPr>
          <w:lang w:eastAsia="ja-JP"/>
        </w:rPr>
        <w:t xml:space="preserve"> </w:t>
      </w:r>
      <w:r w:rsidR="00423768">
        <w:rPr>
          <w:lang w:eastAsia="ja-JP"/>
        </w:rPr>
        <w:t>=</w:t>
      </w:r>
      <w:r w:rsidR="00375CAE">
        <w:rPr>
          <w:lang w:eastAsia="ja-JP"/>
        </w:rPr>
        <w:t xml:space="preserve"> </w:t>
      </w:r>
      <w:r w:rsidR="000822CC">
        <w:rPr>
          <w:lang w:eastAsia="ja-JP"/>
        </w:rPr>
        <w:t xml:space="preserve">coefficient of variation; a) </w:t>
      </w:r>
      <w:r w:rsidRPr="00F31F9F">
        <w:rPr>
          <w:lang w:eastAsia="ja-JP"/>
        </w:rPr>
        <w:t>CLi</w:t>
      </w:r>
      <w:r w:rsidR="00375CAE">
        <w:rPr>
          <w:lang w:eastAsia="ja-JP"/>
        </w:rPr>
        <w:t xml:space="preserve"> </w:t>
      </w:r>
      <w:r w:rsidR="00423768">
        <w:rPr>
          <w:lang w:eastAsia="ja-JP"/>
        </w:rPr>
        <w:t>=</w:t>
      </w:r>
      <w:r w:rsidR="00375CAE">
        <w:rPr>
          <w:lang w:eastAsia="ja-JP"/>
        </w:rPr>
        <w:t xml:space="preserve"> </w:t>
      </w:r>
      <w:r w:rsidRPr="00F31F9F">
        <w:rPr>
          <w:lang w:eastAsia="ja-JP"/>
        </w:rPr>
        <w:t>CL</w:t>
      </w:r>
      <w:proofErr w:type="gramStart"/>
      <w:r w:rsidRPr="00F31F9F">
        <w:rPr>
          <w:lang w:eastAsia="ja-JP"/>
        </w:rPr>
        <w:t>·(</w:t>
      </w:r>
      <w:proofErr w:type="gramEnd"/>
      <w:r w:rsidRPr="00F31F9F">
        <w:rPr>
          <w:lang w:eastAsia="ja-JP"/>
        </w:rPr>
        <w:t>CrCL/90)θ</w:t>
      </w:r>
    </w:p>
    <w:p w14:paraId="6221D12C" w14:textId="456E8917" w:rsidR="00F31F9F" w:rsidRPr="00F31F9F" w:rsidRDefault="00F31F9F" w:rsidP="00F31F9F">
      <w:pPr>
        <w:rPr>
          <w:lang w:eastAsia="ja-JP"/>
        </w:rPr>
      </w:pPr>
      <w:r w:rsidRPr="00F31F9F">
        <w:rPr>
          <w:lang w:eastAsia="ja-JP"/>
        </w:rPr>
        <w:t>The typical value (geometric mean) of blinatumomab volume in adult patients was estimated to be 3.40 L, very close to plasma volume and similar to the values reported for other large molecules. A majority of the population (90%) had a typical blinatumomab clearance value of 1.36 L/h, while for unknown reasons a small subset of the population (10%) had a typical clearance valu</w:t>
      </w:r>
      <w:r w:rsidR="000822CC">
        <w:rPr>
          <w:lang w:eastAsia="ja-JP"/>
        </w:rPr>
        <w:t xml:space="preserve">e of 5.49 L/h which was about 4 </w:t>
      </w:r>
      <w:r w:rsidRPr="00F31F9F">
        <w:rPr>
          <w:lang w:eastAsia="ja-JP"/>
        </w:rPr>
        <w:t>fold higher than the majority. Consistent with previous findings with the non-compartmental analysis approach, renal function was identified as a significant factor on clearance. A 50% reduction in CrCL was associated with a 30% reduction in blinatumomab systemic CL. However</w:t>
      </w:r>
      <w:r w:rsidR="000822CC">
        <w:rPr>
          <w:lang w:eastAsia="ja-JP"/>
        </w:rPr>
        <w:t>,</w:t>
      </w:r>
      <w:r w:rsidRPr="00F31F9F">
        <w:rPr>
          <w:lang w:eastAsia="ja-JP"/>
        </w:rPr>
        <w:t xml:space="preserve"> the magnitude of this effect is relatively lower than the unexplained between-subject variability in blinatumomab pharmacokinetics, and considering that no clinically meaningful impact on efficacy and safety in subjects with moderate renal dysfunction is expected, dose adjustment for patients with mild and moderate renal impairment does not appear to be necessary.</w:t>
      </w:r>
    </w:p>
    <w:p w14:paraId="46626D49" w14:textId="77F87113" w:rsidR="00F31F9F" w:rsidRPr="00F31F9F" w:rsidRDefault="00F31F9F" w:rsidP="00F31F9F">
      <w:pPr>
        <w:rPr>
          <w:lang w:eastAsia="ja-JP"/>
        </w:rPr>
      </w:pPr>
      <w:r w:rsidRPr="00F31F9F">
        <w:rPr>
          <w:lang w:eastAsia="ja-JP"/>
        </w:rPr>
        <w:t>On average, for a typical adult subject with a CrCL of 30, 60 and 9</w:t>
      </w:r>
      <w:r w:rsidR="000822CC">
        <w:rPr>
          <w:lang w:eastAsia="ja-JP"/>
        </w:rPr>
        <w:t xml:space="preserve">0 mL/min, the blinatumomab </w:t>
      </w:r>
      <w:r w:rsidR="006B652D">
        <w:rPr>
          <w:lang w:eastAsia="ja-JP"/>
        </w:rPr>
        <w:t>half-</w:t>
      </w:r>
      <w:r w:rsidR="006B652D" w:rsidRPr="00F31F9F">
        <w:rPr>
          <w:lang w:eastAsia="ja-JP"/>
        </w:rPr>
        <w:t>life</w:t>
      </w:r>
      <w:r w:rsidRPr="00F31F9F">
        <w:rPr>
          <w:lang w:eastAsia="ja-JP"/>
        </w:rPr>
        <w:t xml:space="preserve"> in subpopulation 1 was estimated to be 3.28, 2.19 and 1.73 hours, respectively, and in subpopulation 2 was estimated to be 0.81, 0.54 and 0.43 hours, respectively. Therefore, the vast majority of the subjects achieved </w:t>
      </w:r>
      <w:r w:rsidR="005E5C58">
        <w:rPr>
          <w:lang w:eastAsia="ja-JP"/>
        </w:rPr>
        <w:t>C</w:t>
      </w:r>
      <w:r w:rsidR="005E5C58">
        <w:rPr>
          <w:vertAlign w:val="subscript"/>
          <w:lang w:eastAsia="ja-JP"/>
        </w:rPr>
        <w:t>ss</w:t>
      </w:r>
      <w:r w:rsidRPr="00F31F9F">
        <w:rPr>
          <w:lang w:eastAsia="ja-JP"/>
        </w:rPr>
        <w:t xml:space="preserve"> within the first day of a 28 day cycle, regardless of renal function.</w:t>
      </w:r>
    </w:p>
    <w:p w14:paraId="49075D5D" w14:textId="77777777" w:rsidR="00F31F9F" w:rsidRPr="00F31F9F" w:rsidRDefault="00F31F9F" w:rsidP="00F31F9F">
      <w:pPr>
        <w:rPr>
          <w:lang w:eastAsia="ja-JP"/>
        </w:rPr>
      </w:pPr>
      <w:r w:rsidRPr="00F31F9F">
        <w:rPr>
          <w:lang w:eastAsia="ja-JP"/>
        </w:rPr>
        <w:t>Other than CrCL, none of the covariates evaluated (age, body weight, body surface area, sex, AST, ALT, total bilirubin, albumin, performance status, LDH, haemoglobin, CD19+ B and CD3+ T cell counts, and BTCR) were found to significantly contribute to the between-patient variability of blinatumomab pharmacokinetic parameters.</w:t>
      </w:r>
    </w:p>
    <w:p w14:paraId="3A959C71" w14:textId="77777777" w:rsidR="00F31F9F" w:rsidRPr="00F31F9F" w:rsidRDefault="00F31F9F" w:rsidP="00F273C2">
      <w:pPr>
        <w:pStyle w:val="Heading4"/>
      </w:pPr>
      <w:bookmarkStart w:id="103" w:name="_Toc292015585"/>
      <w:r w:rsidRPr="00F31F9F">
        <w:t>Conclusions</w:t>
      </w:r>
      <w:bookmarkEnd w:id="103"/>
    </w:p>
    <w:p w14:paraId="189F64DC" w14:textId="7B6D9C87" w:rsidR="00F31F9F" w:rsidRPr="00F31F9F" w:rsidRDefault="00F31F9F" w:rsidP="00F31F9F">
      <w:pPr>
        <w:rPr>
          <w:lang w:eastAsia="ja-JP"/>
        </w:rPr>
      </w:pPr>
      <w:r w:rsidRPr="00F31F9F">
        <w:rPr>
          <w:lang w:eastAsia="ja-JP"/>
        </w:rPr>
        <w:t>An open one-compartment pharmacokinetic model with linear elimination was suitable to describe the time course of serum blinatumomab concentration following cIV administration of doses ranging from 0.5 to 90</w:t>
      </w:r>
      <w:r w:rsidR="00375CAE">
        <w:rPr>
          <w:lang w:eastAsia="ja-JP"/>
        </w:rPr>
        <w:t xml:space="preserve"> </w:t>
      </w:r>
      <w:r w:rsidR="0018721C">
        <w:rPr>
          <w:lang w:eastAsia="ja-JP"/>
        </w:rPr>
        <w:t>µg</w:t>
      </w:r>
      <w:r w:rsidRPr="00F31F9F">
        <w:rPr>
          <w:lang w:eastAsia="ja-JP"/>
        </w:rPr>
        <w:t>/m</w:t>
      </w:r>
      <w:r w:rsidRPr="00311176">
        <w:rPr>
          <w:vertAlign w:val="superscript"/>
          <w:lang w:eastAsia="ja-JP"/>
        </w:rPr>
        <w:t>2</w:t>
      </w:r>
      <w:r w:rsidRPr="00F31F9F">
        <w:rPr>
          <w:lang w:eastAsia="ja-JP"/>
        </w:rPr>
        <w:t>/day or 2 fixed dose levels of 9 and 28</w:t>
      </w:r>
      <w:r w:rsidR="00375CAE">
        <w:rPr>
          <w:lang w:eastAsia="ja-JP"/>
        </w:rPr>
        <w:t xml:space="preserve"> </w:t>
      </w:r>
      <w:r w:rsidR="0018721C">
        <w:rPr>
          <w:lang w:eastAsia="ja-JP"/>
        </w:rPr>
        <w:t>µg</w:t>
      </w:r>
      <w:r w:rsidRPr="00F31F9F">
        <w:rPr>
          <w:lang w:eastAsia="ja-JP"/>
        </w:rPr>
        <w:t>/day in patients with haematological malignancies, including R/R ALL patients.</w:t>
      </w:r>
    </w:p>
    <w:p w14:paraId="35ECFC2D" w14:textId="165BEC4E" w:rsidR="00F31F9F" w:rsidRPr="00F31F9F" w:rsidRDefault="00F31F9F" w:rsidP="00F31F9F">
      <w:pPr>
        <w:rPr>
          <w:lang w:eastAsia="ja-JP"/>
        </w:rPr>
      </w:pPr>
      <w:r w:rsidRPr="00F31F9F">
        <w:rPr>
          <w:lang w:eastAsia="ja-JP"/>
        </w:rPr>
        <w:t>The blinatumomab volume of distribution in adults was estimated to be 3.40 L, very close to the plasma volume. For 90% of the population, the blinatumomab clearance was 1.36 L/h, while for the remaining 10% of the population; t</w:t>
      </w:r>
      <w:r w:rsidR="000822CC">
        <w:rPr>
          <w:lang w:eastAsia="ja-JP"/>
        </w:rPr>
        <w:t xml:space="preserve">he blinatumomab clearance was 4 </w:t>
      </w:r>
      <w:r w:rsidRPr="00F31F9F">
        <w:rPr>
          <w:lang w:eastAsia="ja-JP"/>
        </w:rPr>
        <w:t>fold higher (5.49 L/h).</w:t>
      </w:r>
    </w:p>
    <w:p w14:paraId="5F932349" w14:textId="0FA05E4D" w:rsidR="00F31F9F" w:rsidRPr="00F31F9F" w:rsidRDefault="00F31F9F" w:rsidP="00F31F9F">
      <w:pPr>
        <w:rPr>
          <w:lang w:eastAsia="ja-JP"/>
        </w:rPr>
      </w:pPr>
      <w:r w:rsidRPr="00F31F9F">
        <w:rPr>
          <w:lang w:eastAsia="ja-JP"/>
        </w:rPr>
        <w:t>A 50% reduction in CrCL was associated with a 30% reduction in blinatumomab systemic CL. However</w:t>
      </w:r>
      <w:r w:rsidR="00311176">
        <w:rPr>
          <w:lang w:eastAsia="ja-JP"/>
        </w:rPr>
        <w:t>,</w:t>
      </w:r>
      <w:r w:rsidRPr="00F31F9F">
        <w:rPr>
          <w:lang w:eastAsia="ja-JP"/>
        </w:rPr>
        <w:t xml:space="preserve"> the magnitude of this effect was relatively lower than the unexplained between-subject variability in blinatumomab pharmacokinetics, and considering that no clinically meaningful impact on efficacy and safety in subjects with moderate renal dysfunction is expected, dose adjustment for patients with mild and moderate renal impairment does not appear to be necessary.</w:t>
      </w:r>
    </w:p>
    <w:p w14:paraId="2ABD98AA" w14:textId="13DCC0D0" w:rsidR="00F31F9F" w:rsidRPr="00F31F9F" w:rsidRDefault="00F31F9F" w:rsidP="00F31F9F">
      <w:pPr>
        <w:rPr>
          <w:lang w:eastAsia="ja-JP"/>
        </w:rPr>
      </w:pPr>
      <w:r w:rsidRPr="00F31F9F">
        <w:rPr>
          <w:lang w:eastAsia="ja-JP"/>
        </w:rPr>
        <w:t>Within the range of covariate values analysed in the current population pharmacokinetic exercise, age, bodyweight, BSA, sex, AST, ALT, albumin, total bilirubin, ECOG performance status, LDH, haemoglobin, CD19+ B and CD3+ T cell counts, and BTCR were not found to significan</w:t>
      </w:r>
      <w:r w:rsidR="000822CC">
        <w:rPr>
          <w:lang w:eastAsia="ja-JP"/>
        </w:rPr>
        <w:t xml:space="preserve">tly explain part of the between </w:t>
      </w:r>
      <w:r w:rsidRPr="00F31F9F">
        <w:rPr>
          <w:lang w:eastAsia="ja-JP"/>
        </w:rPr>
        <w:t xml:space="preserve">patient variability of blinatumomab pharmacokinetic parameters. Accordingly, pharmacokinetically-driven dose adjustments to control blinatumomab exposure on the basis of these covariates are not warranted, and a fixed blinatumomab dose </w:t>
      </w:r>
      <w:proofErr w:type="gramStart"/>
      <w:r w:rsidRPr="00F31F9F">
        <w:rPr>
          <w:lang w:eastAsia="ja-JP"/>
        </w:rPr>
        <w:t>of 28</w:t>
      </w:r>
      <w:r w:rsidR="00375CAE">
        <w:rPr>
          <w:lang w:eastAsia="ja-JP"/>
        </w:rPr>
        <w:t xml:space="preserve"> </w:t>
      </w:r>
      <w:r w:rsidR="0018721C">
        <w:rPr>
          <w:lang w:eastAsia="ja-JP"/>
        </w:rPr>
        <w:t>µg</w:t>
      </w:r>
      <w:r w:rsidRPr="00F31F9F">
        <w:rPr>
          <w:lang w:eastAsia="ja-JP"/>
        </w:rPr>
        <w:t>/day for 28 days in patients with R/R ALL</w:t>
      </w:r>
      <w:proofErr w:type="gramEnd"/>
      <w:r w:rsidRPr="00F31F9F">
        <w:rPr>
          <w:lang w:eastAsia="ja-JP"/>
        </w:rPr>
        <w:t xml:space="preserve"> is recommended.</w:t>
      </w:r>
    </w:p>
    <w:p w14:paraId="46966FE0" w14:textId="77777777" w:rsidR="00F31F9F" w:rsidRPr="00F31F9F" w:rsidRDefault="00F31F9F" w:rsidP="00F273C2">
      <w:pPr>
        <w:pStyle w:val="Heading3"/>
      </w:pPr>
      <w:bookmarkStart w:id="104" w:name="_Toc241374296"/>
      <w:bookmarkStart w:id="105" w:name="_Ref269982040"/>
      <w:bookmarkStart w:id="106" w:name="_Ref271018704"/>
      <w:bookmarkStart w:id="107" w:name="_Ref271018755"/>
      <w:bookmarkStart w:id="108" w:name="_Toc272414635"/>
      <w:bookmarkStart w:id="109" w:name="_Toc290846258"/>
      <w:bookmarkStart w:id="110" w:name="_Toc292015586"/>
      <w:bookmarkStart w:id="111" w:name="_Toc505762974"/>
      <w:r w:rsidRPr="00F31F9F">
        <w:t>Evaluator’s overall conclusions on pharmacokinetics</w:t>
      </w:r>
      <w:bookmarkEnd w:id="104"/>
      <w:bookmarkEnd w:id="105"/>
      <w:bookmarkEnd w:id="106"/>
      <w:bookmarkEnd w:id="107"/>
      <w:bookmarkEnd w:id="108"/>
      <w:bookmarkEnd w:id="109"/>
      <w:bookmarkEnd w:id="110"/>
      <w:bookmarkEnd w:id="111"/>
    </w:p>
    <w:p w14:paraId="144EAE1C" w14:textId="72AFC68F" w:rsidR="00F31F9F" w:rsidRPr="00F31F9F" w:rsidRDefault="00F31F9F" w:rsidP="00F31F9F">
      <w:pPr>
        <w:rPr>
          <w:lang w:eastAsia="ja-JP"/>
        </w:rPr>
      </w:pPr>
      <w:r w:rsidRPr="00F31F9F">
        <w:rPr>
          <w:lang w:eastAsia="ja-JP"/>
        </w:rPr>
        <w:t xml:space="preserve">There was no specific pharmacokinetics clinical study in the blinatumomab clinical program. However, the pharmacokinetics of blinatumomab </w:t>
      </w:r>
      <w:proofErr w:type="gramStart"/>
      <w:r w:rsidRPr="00F31F9F">
        <w:rPr>
          <w:lang w:eastAsia="ja-JP"/>
        </w:rPr>
        <w:t>were</w:t>
      </w:r>
      <w:proofErr w:type="gramEnd"/>
      <w:r w:rsidRPr="00F31F9F">
        <w:rPr>
          <w:lang w:eastAsia="ja-JP"/>
        </w:rPr>
        <w:t xml:space="preserve"> extensively studied in 4 clinical studies (</w:t>
      </w:r>
      <w:r w:rsidR="00883F00" w:rsidRPr="00883F00">
        <w:rPr>
          <w:lang w:eastAsia="ja-JP"/>
        </w:rPr>
        <w:t>see Table 1, above</w:t>
      </w:r>
      <w:r w:rsidRPr="00883F00">
        <w:rPr>
          <w:lang w:eastAsia="ja-JP"/>
        </w:rPr>
        <w:t>).</w:t>
      </w:r>
      <w:r w:rsidRPr="00F31F9F">
        <w:rPr>
          <w:lang w:eastAsia="ja-JP"/>
        </w:rPr>
        <w:t xml:space="preserve"> These included a study in subjects with NHL (MT103-104), a study in subjects with MRD+ ALL (</w:t>
      </w:r>
      <w:r w:rsidR="000822CC">
        <w:rPr>
          <w:lang w:eastAsia="ja-JP"/>
        </w:rPr>
        <w:t xml:space="preserve">Study </w:t>
      </w:r>
      <w:r w:rsidRPr="00F31F9F">
        <w:rPr>
          <w:lang w:eastAsia="ja-JP"/>
        </w:rPr>
        <w:t xml:space="preserve">MT103-202) and </w:t>
      </w:r>
      <w:r w:rsidR="00423768">
        <w:rPr>
          <w:lang w:eastAsia="ja-JP"/>
        </w:rPr>
        <w:t>2</w:t>
      </w:r>
      <w:r w:rsidRPr="00F31F9F">
        <w:rPr>
          <w:lang w:eastAsia="ja-JP"/>
        </w:rPr>
        <w:t xml:space="preserve"> studies in subjects with R/R ALL (</w:t>
      </w:r>
      <w:r w:rsidR="00883F00">
        <w:rPr>
          <w:lang w:eastAsia="ja-JP"/>
        </w:rPr>
        <w:t>Studies </w:t>
      </w:r>
      <w:r w:rsidRPr="00F31F9F">
        <w:rPr>
          <w:lang w:eastAsia="ja-JP"/>
        </w:rPr>
        <w:t>MT103-206 and MT103-211). In addition, the interim pharmacokine</w:t>
      </w:r>
      <w:r w:rsidR="000822CC">
        <w:rPr>
          <w:lang w:eastAsia="ja-JP"/>
        </w:rPr>
        <w:t>tic results for the paediatric S</w:t>
      </w:r>
      <w:r w:rsidRPr="00F31F9F">
        <w:rPr>
          <w:lang w:eastAsia="ja-JP"/>
        </w:rPr>
        <w:t>tudy MT103-205 were also presented. The effects of intrinsic factors on the blinatumomab pharmacokinetics were evaluated using integrated data obtained from the adult studies.</w:t>
      </w:r>
    </w:p>
    <w:p w14:paraId="297A1176" w14:textId="7C130665" w:rsidR="00F31F9F" w:rsidRPr="00F31F9F" w:rsidRDefault="00F31F9F" w:rsidP="00F31F9F">
      <w:pPr>
        <w:rPr>
          <w:lang w:eastAsia="ja-JP"/>
        </w:rPr>
      </w:pPr>
      <w:r w:rsidRPr="00F31F9F">
        <w:rPr>
          <w:lang w:eastAsia="ja-JP"/>
        </w:rPr>
        <w:t xml:space="preserve">The pharmacokinetics of blinatumomab was linear over the dose range examined. Serum concentration profiles increased approximately proportionally with increased dose ranging from 5 </w:t>
      </w:r>
      <w:proofErr w:type="gramStart"/>
      <w:r w:rsidRPr="00F31F9F">
        <w:rPr>
          <w:lang w:eastAsia="ja-JP"/>
        </w:rPr>
        <w:t>to 90</w:t>
      </w:r>
      <w:r w:rsidR="00375CAE">
        <w:rPr>
          <w:lang w:eastAsia="ja-JP"/>
        </w:rPr>
        <w:t xml:space="preserve"> </w:t>
      </w:r>
      <w:r w:rsidR="0018721C">
        <w:rPr>
          <w:lang w:eastAsia="ja-JP"/>
        </w:rPr>
        <w:t>µg</w:t>
      </w:r>
      <w:r w:rsidRPr="00F31F9F">
        <w:rPr>
          <w:lang w:eastAsia="ja-JP"/>
        </w:rPr>
        <w:t>/m</w:t>
      </w:r>
      <w:r w:rsidRPr="00586C19">
        <w:rPr>
          <w:vertAlign w:val="superscript"/>
          <w:lang w:eastAsia="ja-JP"/>
        </w:rPr>
        <w:t>2</w:t>
      </w:r>
      <w:r w:rsidRPr="00F31F9F">
        <w:rPr>
          <w:lang w:eastAsia="ja-JP"/>
        </w:rPr>
        <w:t>/day</w:t>
      </w:r>
      <w:proofErr w:type="gramEnd"/>
      <w:r w:rsidRPr="00F31F9F">
        <w:rPr>
          <w:lang w:eastAsia="ja-JP"/>
        </w:rPr>
        <w:t xml:space="preserve">. Steady state serum concentrations were achieved within a day and remained constant over 4 weeks under continuous IV infusion. Pharmacokinetics of blinatumomab was not affected by body weight, body surface area, age, sex, or disease type in adults. Mild or moderate renal impairment or hepatic dysfunction did not have a clinically meaningful impact on blinatumomab exposure, although an association was observed between creatinine clearance and blinatumomab clearance. The incidence of </w:t>
      </w:r>
      <w:r w:rsidR="00836E5E">
        <w:rPr>
          <w:lang w:eastAsia="ja-JP"/>
        </w:rPr>
        <w:t>neutralising</w:t>
      </w:r>
      <w:r w:rsidRPr="00F31F9F">
        <w:rPr>
          <w:lang w:eastAsia="ja-JP"/>
        </w:rPr>
        <w:t xml:space="preserve"> ADA was</w:t>
      </w:r>
      <w:r w:rsidR="00375CAE">
        <w:rPr>
          <w:lang w:eastAsia="ja-JP"/>
        </w:rPr>
        <w:t xml:space="preserve"> </w:t>
      </w:r>
      <w:r w:rsidR="00423768">
        <w:rPr>
          <w:lang w:eastAsia="ja-JP"/>
        </w:rPr>
        <w:t xml:space="preserve">&lt; </w:t>
      </w:r>
      <w:r w:rsidRPr="00F31F9F">
        <w:rPr>
          <w:lang w:eastAsia="ja-JP"/>
        </w:rPr>
        <w:t>1% and ADA may affect blinatumomab exposure.</w:t>
      </w:r>
    </w:p>
    <w:p w14:paraId="4AFC9291" w14:textId="05793A8A" w:rsidR="00F31F9F" w:rsidRPr="00F31F9F" w:rsidRDefault="00F31F9F" w:rsidP="00F31F9F">
      <w:pPr>
        <w:rPr>
          <w:lang w:eastAsia="ja-JP"/>
        </w:rPr>
      </w:pPr>
      <w:r w:rsidRPr="00F31F9F">
        <w:rPr>
          <w:lang w:eastAsia="ja-JP"/>
        </w:rPr>
        <w:t xml:space="preserve">Blinatumomab has a low potential for clinically meaningful drug-drug interactions, with no effect on CYP450 enzyme activities observed </w:t>
      </w:r>
      <w:r w:rsidRPr="000822CC">
        <w:rPr>
          <w:iCs/>
          <w:lang w:eastAsia="ja-JP"/>
        </w:rPr>
        <w:t>in vitro</w:t>
      </w:r>
      <w:r w:rsidRPr="00F31F9F">
        <w:rPr>
          <w:lang w:eastAsia="ja-JP"/>
        </w:rPr>
        <w:t>. PBPK analysis indicated the transient cytokine elevation following blinatumomab initial administration may suppress CYP3A4, CYP1A2, and CYP2C9 activities by 30% in the first week of treatment, with less than a 2</w:t>
      </w:r>
      <w:r w:rsidR="000822CC">
        <w:rPr>
          <w:lang w:eastAsia="ja-JP"/>
        </w:rPr>
        <w:t xml:space="preserve"> </w:t>
      </w:r>
      <w:r w:rsidRPr="00F31F9F">
        <w:rPr>
          <w:lang w:eastAsia="ja-JP"/>
        </w:rPr>
        <w:t>fold increase in the exposure of CYP450</w:t>
      </w:r>
      <w:r w:rsidR="000F2725">
        <w:rPr>
          <w:lang w:eastAsia="ja-JP"/>
        </w:rPr>
        <w:t xml:space="preserve"> </w:t>
      </w:r>
      <w:r w:rsidRPr="00F31F9F">
        <w:rPr>
          <w:lang w:eastAsia="ja-JP"/>
        </w:rPr>
        <w:t>sensitive substrates.</w:t>
      </w:r>
    </w:p>
    <w:p w14:paraId="568F8F14" w14:textId="32CBBDD1" w:rsidR="00F31F9F" w:rsidRPr="00F31F9F" w:rsidRDefault="00F31F9F" w:rsidP="00F31F9F">
      <w:pPr>
        <w:rPr>
          <w:lang w:eastAsia="ja-JP"/>
        </w:rPr>
      </w:pPr>
      <w:r w:rsidRPr="00F31F9F">
        <w:rPr>
          <w:lang w:eastAsia="ja-JP"/>
        </w:rPr>
        <w:t>Based on the assessments of clinical PK, the recommended blinatumomab regimen for the treatment of R/R ALL is a cIV infus</w:t>
      </w:r>
      <w:r w:rsidR="00466B03">
        <w:rPr>
          <w:lang w:eastAsia="ja-JP"/>
        </w:rPr>
        <w:t xml:space="preserve">ion for 4 weeks followed by a 2 </w:t>
      </w:r>
      <w:r w:rsidRPr="00F31F9F">
        <w:rPr>
          <w:lang w:eastAsia="ja-JP"/>
        </w:rPr>
        <w:t xml:space="preserve">week treatment free period between cycles. In </w:t>
      </w:r>
      <w:r w:rsidR="007D46D6">
        <w:rPr>
          <w:lang w:eastAsia="ja-JP"/>
        </w:rPr>
        <w:t>Cycle 1</w:t>
      </w:r>
      <w:r w:rsidRPr="00F31F9F">
        <w:rPr>
          <w:lang w:eastAsia="ja-JP"/>
        </w:rPr>
        <w:t xml:space="preserve">, the starting dose is </w:t>
      </w:r>
      <w:proofErr w:type="gramStart"/>
      <w:r w:rsidRPr="00F31F9F">
        <w:rPr>
          <w:lang w:eastAsia="ja-JP"/>
        </w:rPr>
        <w:t>9</w:t>
      </w:r>
      <w:r w:rsidR="00375CAE">
        <w:rPr>
          <w:lang w:eastAsia="ja-JP"/>
        </w:rPr>
        <w:t xml:space="preserve"> </w:t>
      </w:r>
      <w:r w:rsidR="0018721C">
        <w:rPr>
          <w:lang w:eastAsia="ja-JP"/>
        </w:rPr>
        <w:t>µg</w:t>
      </w:r>
      <w:r w:rsidRPr="00F31F9F">
        <w:rPr>
          <w:lang w:eastAsia="ja-JP"/>
        </w:rPr>
        <w:t xml:space="preserve">/day in </w:t>
      </w:r>
      <w:r w:rsidR="007D46D6">
        <w:rPr>
          <w:lang w:eastAsia="ja-JP"/>
        </w:rPr>
        <w:t>Week 1</w:t>
      </w:r>
      <w:proofErr w:type="gramEnd"/>
      <w:r w:rsidRPr="00F31F9F">
        <w:rPr>
          <w:lang w:eastAsia="ja-JP"/>
        </w:rPr>
        <w:t>; the dose is then increased to 28</w:t>
      </w:r>
      <w:r w:rsidR="00466B03">
        <w:rPr>
          <w:lang w:eastAsia="ja-JP"/>
        </w:rPr>
        <w:t> </w:t>
      </w:r>
      <w:r w:rsidR="0018721C">
        <w:rPr>
          <w:lang w:eastAsia="ja-JP"/>
        </w:rPr>
        <w:t>µg</w:t>
      </w:r>
      <w:r w:rsidRPr="00F31F9F">
        <w:rPr>
          <w:lang w:eastAsia="ja-JP"/>
        </w:rPr>
        <w:t xml:space="preserve">/day over weeks 2 to 4. For subsequent cycles, the dose is </w:t>
      </w:r>
      <w:proofErr w:type="gramStart"/>
      <w:r w:rsidRPr="00F31F9F">
        <w:rPr>
          <w:lang w:eastAsia="ja-JP"/>
        </w:rPr>
        <w:t>28</w:t>
      </w:r>
      <w:r w:rsidR="00375CAE">
        <w:rPr>
          <w:lang w:eastAsia="ja-JP"/>
        </w:rPr>
        <w:t xml:space="preserve"> </w:t>
      </w:r>
      <w:r w:rsidR="0018721C">
        <w:rPr>
          <w:lang w:eastAsia="ja-JP"/>
        </w:rPr>
        <w:t>µg</w:t>
      </w:r>
      <w:r w:rsidRPr="00F31F9F">
        <w:rPr>
          <w:lang w:eastAsia="ja-JP"/>
        </w:rPr>
        <w:t>/day</w:t>
      </w:r>
      <w:proofErr w:type="gramEnd"/>
      <w:r w:rsidRPr="00F31F9F">
        <w:rPr>
          <w:lang w:eastAsia="ja-JP"/>
        </w:rPr>
        <w:t xml:space="preserve"> for the entire cycle.</w:t>
      </w:r>
    </w:p>
    <w:p w14:paraId="3EC55DE4" w14:textId="2F2165A0" w:rsidR="00F31F9F" w:rsidRPr="00F31F9F" w:rsidRDefault="00F31F9F" w:rsidP="00F31F9F">
      <w:pPr>
        <w:rPr>
          <w:lang w:eastAsia="ja-JP"/>
        </w:rPr>
      </w:pPr>
      <w:r w:rsidRPr="00F31F9F">
        <w:rPr>
          <w:lang w:eastAsia="ja-JP"/>
        </w:rPr>
        <w:t xml:space="preserve">The proposed </w:t>
      </w:r>
      <w:r w:rsidR="000822CC">
        <w:rPr>
          <w:lang w:eastAsia="ja-JP"/>
        </w:rPr>
        <w:t>PI</w:t>
      </w:r>
      <w:r w:rsidRPr="00F31F9F">
        <w:rPr>
          <w:lang w:eastAsia="ja-JP"/>
        </w:rPr>
        <w:t xml:space="preserve"> is an adequate summary of the PK presented in the submission.</w:t>
      </w:r>
    </w:p>
    <w:p w14:paraId="1BB0B754" w14:textId="77777777" w:rsidR="00586F98" w:rsidRDefault="00586F98" w:rsidP="00586F98">
      <w:pPr>
        <w:pStyle w:val="Heading2"/>
      </w:pPr>
      <w:bookmarkStart w:id="112" w:name="_Toc505762975"/>
      <w:r w:rsidRPr="003442FE">
        <w:t>Pharmacodynamics</w:t>
      </w:r>
      <w:bookmarkEnd w:id="112"/>
    </w:p>
    <w:p w14:paraId="289AB6A4" w14:textId="77777777" w:rsidR="00A7727F" w:rsidRPr="00A7727F" w:rsidRDefault="00A7727F" w:rsidP="000822CC">
      <w:pPr>
        <w:pStyle w:val="Heading3"/>
      </w:pPr>
      <w:bookmarkStart w:id="113" w:name="_Toc272414637"/>
      <w:bookmarkStart w:id="114" w:name="_Toc290846260"/>
      <w:bookmarkStart w:id="115" w:name="_Toc292015588"/>
      <w:bookmarkStart w:id="116" w:name="_Toc505762976"/>
      <w:r w:rsidRPr="00A7727F">
        <w:t>Studies providing pharmacodynamic data</w:t>
      </w:r>
      <w:bookmarkEnd w:id="113"/>
      <w:bookmarkEnd w:id="114"/>
      <w:bookmarkEnd w:id="115"/>
      <w:bookmarkEnd w:id="116"/>
    </w:p>
    <w:p w14:paraId="525D7DA1" w14:textId="47E996A7" w:rsidR="00A7727F" w:rsidRPr="00A7727F" w:rsidRDefault="00A7727F" w:rsidP="00A7727F">
      <w:pPr>
        <w:rPr>
          <w:lang w:eastAsia="ja-JP"/>
        </w:rPr>
      </w:pPr>
      <w:r w:rsidRPr="00A7727F">
        <w:rPr>
          <w:lang w:eastAsia="ja-JP"/>
        </w:rPr>
        <w:t>There was no specific pharmacodynamics clinical study in the blinatumomab clinical program. Pharmacodynamics were assessed along with safety and efficacy in 4 clinical studies, which included a study in subjects with NHL (</w:t>
      </w:r>
      <w:r w:rsidR="000F2725">
        <w:rPr>
          <w:lang w:eastAsia="ja-JP"/>
        </w:rPr>
        <w:t xml:space="preserve">Study </w:t>
      </w:r>
      <w:r w:rsidRPr="00A7727F">
        <w:rPr>
          <w:lang w:eastAsia="ja-JP"/>
        </w:rPr>
        <w:t>MT103-104), a study in subjects with MRD+ ALL (</w:t>
      </w:r>
      <w:r w:rsidR="000F2725">
        <w:rPr>
          <w:lang w:eastAsia="ja-JP"/>
        </w:rPr>
        <w:t xml:space="preserve">Study </w:t>
      </w:r>
      <w:r w:rsidRPr="00A7727F">
        <w:rPr>
          <w:lang w:eastAsia="ja-JP"/>
        </w:rPr>
        <w:t xml:space="preserve">MT103-202) and </w:t>
      </w:r>
      <w:r w:rsidR="00423768">
        <w:rPr>
          <w:lang w:eastAsia="ja-JP"/>
        </w:rPr>
        <w:t>2</w:t>
      </w:r>
      <w:r w:rsidRPr="00A7727F">
        <w:rPr>
          <w:lang w:eastAsia="ja-JP"/>
        </w:rPr>
        <w:t xml:space="preserve"> studies in subjects with R/R ALL (</w:t>
      </w:r>
      <w:r w:rsidR="000F2725">
        <w:rPr>
          <w:lang w:eastAsia="ja-JP"/>
        </w:rPr>
        <w:t xml:space="preserve">Studies </w:t>
      </w:r>
      <w:r w:rsidR="00586C19">
        <w:rPr>
          <w:lang w:eastAsia="ja-JP"/>
        </w:rPr>
        <w:t>MT103-206 and MT103</w:t>
      </w:r>
      <w:r w:rsidR="00586C19">
        <w:rPr>
          <w:lang w:eastAsia="ja-JP"/>
        </w:rPr>
        <w:noBreakHyphen/>
      </w:r>
      <w:r w:rsidR="00195643">
        <w:rPr>
          <w:lang w:eastAsia="ja-JP"/>
        </w:rPr>
        <w:t xml:space="preserve">211). </w:t>
      </w:r>
      <w:r w:rsidRPr="00A7727F">
        <w:rPr>
          <w:lang w:eastAsia="ja-JP"/>
        </w:rPr>
        <w:t>Based on the blinatumomab mode of action, pharmacodynamic assessments focused primarily on the evaluation of dynamic changes of T cells, B cells, and cytokines during the treatment of blinatumomab in selected clinical studies. The dynamics of ot</w:t>
      </w:r>
      <w:r w:rsidR="000F2725">
        <w:rPr>
          <w:lang w:eastAsia="ja-JP"/>
        </w:rPr>
        <w:t>her cell types (natural killer (NK) cells, natural killer T cells (NKT)</w:t>
      </w:r>
      <w:r w:rsidRPr="00A7727F">
        <w:rPr>
          <w:lang w:eastAsia="ja-JP"/>
        </w:rPr>
        <w:t>, monocytes) were mainly assessed in a subset of subjects.</w:t>
      </w:r>
    </w:p>
    <w:p w14:paraId="67A97156" w14:textId="5DAEC449" w:rsidR="00A7727F" w:rsidRPr="00A7727F" w:rsidRDefault="00A7727F" w:rsidP="00A7727F">
      <w:pPr>
        <w:rPr>
          <w:lang w:eastAsia="ja-JP"/>
        </w:rPr>
      </w:pPr>
      <w:r w:rsidRPr="00A7727F">
        <w:rPr>
          <w:lang w:eastAsia="ja-JP"/>
        </w:rPr>
        <w:t>Peripheral blood mononuclear cell surface markers were measured by Fluorescence-Activated Cell Sorter (FACS) analysis, including, but not limited to, B-cell counts and B-cell lysis (</w:t>
      </w:r>
      <w:r w:rsidR="000F2725">
        <w:rPr>
          <w:lang w:eastAsia="ja-JP"/>
        </w:rPr>
        <w:t>for example,</w:t>
      </w:r>
      <w:r w:rsidRPr="00A7727F">
        <w:rPr>
          <w:lang w:eastAsia="ja-JP"/>
        </w:rPr>
        <w:t xml:space="preserve"> CD19, CD20), </w:t>
      </w:r>
      <w:r w:rsidR="00586C19">
        <w:rPr>
          <w:lang w:eastAsia="ja-JP"/>
        </w:rPr>
        <w:t>T cell</w:t>
      </w:r>
      <w:r w:rsidRPr="00A7727F">
        <w:rPr>
          <w:lang w:eastAsia="ja-JP"/>
        </w:rPr>
        <w:t xml:space="preserve"> and subset counts (</w:t>
      </w:r>
      <w:r w:rsidR="000F2725">
        <w:rPr>
          <w:lang w:eastAsia="ja-JP"/>
        </w:rPr>
        <w:t xml:space="preserve">including </w:t>
      </w:r>
      <w:r w:rsidRPr="00A7727F">
        <w:rPr>
          <w:lang w:eastAsia="ja-JP"/>
        </w:rPr>
        <w:t xml:space="preserve">CD3, CD4, CD8, γ/δ TCR, CD45 </w:t>
      </w:r>
      <w:r w:rsidR="000F2725">
        <w:rPr>
          <w:lang w:eastAsia="ja-JP"/>
        </w:rPr>
        <w:t xml:space="preserve">RA), </w:t>
      </w:r>
      <w:r w:rsidR="00586C19">
        <w:rPr>
          <w:lang w:eastAsia="ja-JP"/>
        </w:rPr>
        <w:t>T cell</w:t>
      </w:r>
      <w:r w:rsidR="000F2725">
        <w:rPr>
          <w:lang w:eastAsia="ja-JP"/>
        </w:rPr>
        <w:t xml:space="preserve"> activation marker (such as</w:t>
      </w:r>
      <w:r w:rsidRPr="00A7727F">
        <w:rPr>
          <w:lang w:eastAsia="ja-JP"/>
        </w:rPr>
        <w:t xml:space="preserve"> CD25, CD69), apoptosis marker (</w:t>
      </w:r>
      <w:r w:rsidR="000F2725">
        <w:rPr>
          <w:lang w:eastAsia="ja-JP"/>
        </w:rPr>
        <w:t>for example,</w:t>
      </w:r>
      <w:r w:rsidR="00195643">
        <w:rPr>
          <w:lang w:eastAsia="ja-JP"/>
        </w:rPr>
        <w:t xml:space="preserve"> a</w:t>
      </w:r>
      <w:r w:rsidRPr="00A7727F">
        <w:rPr>
          <w:lang w:eastAsia="ja-JP"/>
        </w:rPr>
        <w:t>nnexin V), and lymphocyte adhesion and migration marker (LFA-1).</w:t>
      </w:r>
    </w:p>
    <w:p w14:paraId="6A6DE700" w14:textId="0867407E" w:rsidR="00A7727F" w:rsidRPr="00A7727F" w:rsidRDefault="00A7727F" w:rsidP="00A7727F">
      <w:pPr>
        <w:rPr>
          <w:lang w:eastAsia="ja-JP"/>
        </w:rPr>
      </w:pPr>
      <w:r w:rsidRPr="00A7727F">
        <w:rPr>
          <w:lang w:eastAsia="ja-JP"/>
        </w:rPr>
        <w:t>Cy</w:t>
      </w:r>
      <w:r w:rsidR="000F2725">
        <w:rPr>
          <w:lang w:eastAsia="ja-JP"/>
        </w:rPr>
        <w:t>tokines (primarily interleukin (IL)</w:t>
      </w:r>
      <w:r w:rsidRPr="00A7727F">
        <w:rPr>
          <w:lang w:eastAsia="ja-JP"/>
        </w:rPr>
        <w:t>-2, IL-6, IL-8, IL-10, IL-12, tumo</w:t>
      </w:r>
      <w:r w:rsidR="000F2725">
        <w:rPr>
          <w:lang w:eastAsia="ja-JP"/>
        </w:rPr>
        <w:t>u</w:t>
      </w:r>
      <w:r w:rsidRPr="00A7727F">
        <w:rPr>
          <w:lang w:eastAsia="ja-JP"/>
        </w:rPr>
        <w:t>r necrosis factor al</w:t>
      </w:r>
      <w:r w:rsidR="000F2725">
        <w:rPr>
          <w:lang w:eastAsia="ja-JP"/>
        </w:rPr>
        <w:t>pha (TNFα) and interferon gamma (IFNγ)</w:t>
      </w:r>
      <w:r w:rsidRPr="00A7727F">
        <w:rPr>
          <w:lang w:eastAsia="ja-JP"/>
        </w:rPr>
        <w:t>) were measured using enzyme</w:t>
      </w:r>
      <w:r w:rsidR="000F2725">
        <w:rPr>
          <w:lang w:eastAsia="ja-JP"/>
        </w:rPr>
        <w:t xml:space="preserve"> </w:t>
      </w:r>
      <w:r w:rsidRPr="00A7727F">
        <w:rPr>
          <w:lang w:eastAsia="ja-JP"/>
        </w:rPr>
        <w:t xml:space="preserve">linked immunosorbent assay (ELISA) and cytometric bead array (CBA) techniques. </w:t>
      </w:r>
    </w:p>
    <w:p w14:paraId="1543E762" w14:textId="392F57D5" w:rsidR="00A7727F" w:rsidRPr="00A7727F" w:rsidRDefault="00F12109" w:rsidP="000F2725">
      <w:pPr>
        <w:pStyle w:val="Heading4"/>
      </w:pPr>
      <w:bookmarkStart w:id="117" w:name="_Toc292015589"/>
      <w:r>
        <w:t>Summary of results of individual s</w:t>
      </w:r>
      <w:r w:rsidR="00A7727F" w:rsidRPr="00A7727F">
        <w:t>tudies</w:t>
      </w:r>
      <w:bookmarkEnd w:id="117"/>
    </w:p>
    <w:p w14:paraId="34928447" w14:textId="26FD0351" w:rsidR="00A7727F" w:rsidRPr="00A7727F" w:rsidRDefault="00A7727F" w:rsidP="00A7727F">
      <w:pPr>
        <w:pStyle w:val="Heading5"/>
      </w:pPr>
      <w:bookmarkStart w:id="118" w:name="_Toc292015590"/>
      <w:r w:rsidRPr="00A7727F">
        <w:t>Study MT103-104</w:t>
      </w:r>
      <w:r w:rsidR="00F12109">
        <w:t>:</w:t>
      </w:r>
      <w:r w:rsidRPr="00A7727F">
        <w:t xml:space="preserve"> </w:t>
      </w:r>
      <w:r w:rsidR="0018721C">
        <w:t>Phase I</w:t>
      </w:r>
      <w:r w:rsidRPr="00A7727F">
        <w:t xml:space="preserve"> </w:t>
      </w:r>
      <w:r w:rsidR="001E2833">
        <w:t>s</w:t>
      </w:r>
      <w:r w:rsidR="00F12109">
        <w:t>tudy in s</w:t>
      </w:r>
      <w:r w:rsidRPr="00A7727F">
        <w:t>ubjects with NHL</w:t>
      </w:r>
      <w:bookmarkEnd w:id="118"/>
    </w:p>
    <w:p w14:paraId="73E97946" w14:textId="77777777" w:rsidR="00A7727F" w:rsidRPr="00A7727F" w:rsidRDefault="00A7727F" w:rsidP="001E2833">
      <w:pPr>
        <w:pStyle w:val="Heading6"/>
        <w:rPr>
          <w:lang w:eastAsia="ja-JP"/>
        </w:rPr>
      </w:pPr>
      <w:r w:rsidRPr="00A7727F">
        <w:rPr>
          <w:lang w:eastAsia="ja-JP"/>
        </w:rPr>
        <w:t>Pharmacodynamics</w:t>
      </w:r>
    </w:p>
    <w:p w14:paraId="5EDE5855" w14:textId="2D80C038" w:rsidR="00A7727F" w:rsidRPr="00A7727F" w:rsidRDefault="00A7727F" w:rsidP="00A7727F">
      <w:pPr>
        <w:rPr>
          <w:lang w:eastAsia="ja-JP"/>
        </w:rPr>
      </w:pPr>
      <w:r w:rsidRPr="00A7727F">
        <w:rPr>
          <w:lang w:eastAsia="ja-JP"/>
        </w:rPr>
        <w:t>Consistent with its mode of action, blinatumomab caused a complete and sustainable depletion of circulating B-cells at dose level of</w:t>
      </w:r>
      <w:r w:rsidR="00375CAE">
        <w:rPr>
          <w:lang w:eastAsia="ja-JP"/>
        </w:rPr>
        <w:t xml:space="preserve"> </w:t>
      </w:r>
      <w:r w:rsidR="00423768">
        <w:rPr>
          <w:lang w:eastAsia="ja-JP"/>
        </w:rPr>
        <w:t>≥</w:t>
      </w:r>
      <w:r w:rsidR="00375CAE">
        <w:rPr>
          <w:lang w:eastAsia="ja-JP"/>
        </w:rPr>
        <w:t xml:space="preserve"> </w:t>
      </w:r>
      <w:r w:rsidRPr="00A7727F">
        <w:rPr>
          <w:lang w:eastAsia="ja-JP"/>
        </w:rPr>
        <w:t>5</w:t>
      </w:r>
      <w:r w:rsidR="00375CAE">
        <w:rPr>
          <w:lang w:eastAsia="ja-JP"/>
        </w:rPr>
        <w:t xml:space="preserve"> </w:t>
      </w:r>
      <w:r w:rsidR="0018721C">
        <w:rPr>
          <w:lang w:eastAsia="ja-JP"/>
        </w:rPr>
        <w:t>µg</w:t>
      </w:r>
      <w:r w:rsidRPr="00A7727F">
        <w:rPr>
          <w:lang w:eastAsia="ja-JP"/>
        </w:rPr>
        <w:t>/m²/day.</w:t>
      </w:r>
    </w:p>
    <w:p w14:paraId="12EF8FEB" w14:textId="5009EA20" w:rsidR="00A7727F" w:rsidRPr="00A7727F" w:rsidRDefault="00586C19" w:rsidP="00A7727F">
      <w:pPr>
        <w:rPr>
          <w:lang w:eastAsia="ja-JP"/>
        </w:rPr>
      </w:pPr>
      <w:r>
        <w:rPr>
          <w:lang w:eastAsia="ja-JP"/>
        </w:rPr>
        <w:t>T cell</w:t>
      </w:r>
      <w:r w:rsidR="00A7727F" w:rsidRPr="00A7727F">
        <w:rPr>
          <w:lang w:eastAsia="ja-JP"/>
        </w:rPr>
        <w:t xml:space="preserve"> kinetics showed characteristic redistribution after start of infusion and any increase in dose. Circulating </w:t>
      </w:r>
      <w:r>
        <w:rPr>
          <w:lang w:eastAsia="ja-JP"/>
        </w:rPr>
        <w:t>T cell</w:t>
      </w:r>
      <w:r w:rsidR="00A7727F" w:rsidRPr="00A7727F">
        <w:rPr>
          <w:lang w:eastAsia="ja-JP"/>
        </w:rPr>
        <w:t>s disappeared within the first 6 hours and returned to baseline during the subsequent 2 to 7 days. Although not directly engaged by blinatumomab, redistribution of NK cells and monocytes exhibited kinetics similar to those observed for T cells.</w:t>
      </w:r>
    </w:p>
    <w:p w14:paraId="0B70F873" w14:textId="5C52763B" w:rsidR="00A7727F" w:rsidRPr="00A7727F" w:rsidRDefault="00A7727F" w:rsidP="00A7727F">
      <w:pPr>
        <w:rPr>
          <w:lang w:eastAsia="ja-JP"/>
        </w:rPr>
      </w:pPr>
      <w:r w:rsidRPr="00A7727F">
        <w:rPr>
          <w:lang w:eastAsia="ja-JP"/>
        </w:rPr>
        <w:t>In most subjects, cytokine levels of IL-2, IL-6 and IL-10 increased immediately after the start of blinatumomab infusion and returned to baseline levels within 1 to 2 days. The magnitude of cytokine elevation appeared to be dose dependent. A similar observation was noted for TNF</w:t>
      </w:r>
      <w:r w:rsidR="001E2833">
        <w:rPr>
          <w:lang w:eastAsia="ja-JP"/>
        </w:rPr>
        <w:t>α and IFN</w:t>
      </w:r>
      <w:r w:rsidRPr="00A7727F">
        <w:rPr>
          <w:lang w:eastAsia="ja-JP"/>
        </w:rPr>
        <w:t>γ in some subjects.</w:t>
      </w:r>
    </w:p>
    <w:p w14:paraId="07F81199" w14:textId="6451D325" w:rsidR="00A7727F" w:rsidRPr="00A7727F" w:rsidRDefault="00A7727F" w:rsidP="00A7727F">
      <w:pPr>
        <w:rPr>
          <w:lang w:eastAsia="ja-JP"/>
        </w:rPr>
      </w:pPr>
      <w:r w:rsidRPr="00A7727F">
        <w:rPr>
          <w:lang w:eastAsia="ja-JP"/>
        </w:rPr>
        <w:t xml:space="preserve">Cytokine elevation (primarily IL-2, </w:t>
      </w:r>
      <w:r w:rsidR="001E2833">
        <w:rPr>
          <w:lang w:eastAsia="ja-JP"/>
        </w:rPr>
        <w:t>IL-6, and IL-10, as well as TNFα and IFN</w:t>
      </w:r>
      <w:r w:rsidRPr="00A7727F">
        <w:rPr>
          <w:lang w:eastAsia="ja-JP"/>
        </w:rPr>
        <w:t>γ in some subjects) was the highest at doses</w:t>
      </w:r>
      <w:r w:rsidR="00375CAE">
        <w:rPr>
          <w:lang w:eastAsia="ja-JP"/>
        </w:rPr>
        <w:t xml:space="preserve"> </w:t>
      </w:r>
      <w:r w:rsidR="00423768">
        <w:rPr>
          <w:lang w:eastAsia="ja-JP"/>
        </w:rPr>
        <w:t>≥</w:t>
      </w:r>
      <w:r w:rsidR="00375CAE">
        <w:rPr>
          <w:lang w:eastAsia="ja-JP"/>
        </w:rPr>
        <w:t xml:space="preserve"> </w:t>
      </w:r>
      <w:r w:rsidRPr="00A7727F">
        <w:rPr>
          <w:lang w:eastAsia="ja-JP"/>
        </w:rPr>
        <w:t>60</w:t>
      </w:r>
      <w:r w:rsidR="00375CAE">
        <w:rPr>
          <w:lang w:eastAsia="ja-JP"/>
        </w:rPr>
        <w:t xml:space="preserve"> </w:t>
      </w:r>
      <w:r w:rsidR="0018721C">
        <w:rPr>
          <w:lang w:eastAsia="ja-JP"/>
        </w:rPr>
        <w:t>µg</w:t>
      </w:r>
      <w:r w:rsidRPr="00A7727F">
        <w:rPr>
          <w:lang w:eastAsia="ja-JP"/>
        </w:rPr>
        <w:t>/m</w:t>
      </w:r>
      <w:r w:rsidRPr="001E2833">
        <w:rPr>
          <w:vertAlign w:val="superscript"/>
          <w:lang w:eastAsia="ja-JP"/>
        </w:rPr>
        <w:t>2</w:t>
      </w:r>
      <w:r w:rsidRPr="00A7727F">
        <w:rPr>
          <w:lang w:eastAsia="ja-JP"/>
        </w:rPr>
        <w:t>/day. With 3 out of 4 subjects experiencing dose</w:t>
      </w:r>
      <w:r w:rsidR="001E2833">
        <w:rPr>
          <w:lang w:eastAsia="ja-JP"/>
        </w:rPr>
        <w:t xml:space="preserve"> l</w:t>
      </w:r>
      <w:r w:rsidRPr="00A7727F">
        <w:rPr>
          <w:lang w:eastAsia="ja-JP"/>
        </w:rPr>
        <w:t xml:space="preserve">imiting toxicities (1 </w:t>
      </w:r>
      <w:r w:rsidR="00375CAE">
        <w:rPr>
          <w:lang w:eastAsia="ja-JP"/>
        </w:rPr>
        <w:t>Grade</w:t>
      </w:r>
      <w:r w:rsidRPr="00A7727F">
        <w:rPr>
          <w:lang w:eastAsia="ja-JP"/>
        </w:rPr>
        <w:t xml:space="preserve"> 3 event of convulsion and 2 </w:t>
      </w:r>
      <w:r w:rsidR="00375CAE">
        <w:rPr>
          <w:lang w:eastAsia="ja-JP"/>
        </w:rPr>
        <w:t>Grade</w:t>
      </w:r>
      <w:r w:rsidRPr="00A7727F">
        <w:rPr>
          <w:lang w:eastAsia="ja-JP"/>
        </w:rPr>
        <w:t xml:space="preserve"> 3 events of encephalopathy) at the 90</w:t>
      </w:r>
      <w:r w:rsidR="00F12109">
        <w:rPr>
          <w:lang w:eastAsia="ja-JP"/>
        </w:rPr>
        <w:t>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dose level, </w:t>
      </w:r>
      <w:proofErr w:type="gramStart"/>
      <w:r w:rsidRPr="00A7727F">
        <w:rPr>
          <w:lang w:eastAsia="ja-JP"/>
        </w:rPr>
        <w:t>60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w:t>
      </w:r>
      <w:proofErr w:type="gramEnd"/>
      <w:r w:rsidRPr="00A7727F">
        <w:rPr>
          <w:lang w:eastAsia="ja-JP"/>
        </w:rPr>
        <w:t xml:space="preserve"> was established as the maximum tolerated dose in this study.</w:t>
      </w:r>
    </w:p>
    <w:p w14:paraId="52C7C870" w14:textId="6E5B20C3" w:rsidR="00A7727F" w:rsidRPr="00A7727F" w:rsidRDefault="00A7727F" w:rsidP="001E2833">
      <w:pPr>
        <w:pStyle w:val="Heading5"/>
      </w:pPr>
      <w:bookmarkStart w:id="119" w:name="_Toc292015591"/>
      <w:r w:rsidRPr="00A7727F">
        <w:t xml:space="preserve">Study MT103-202 </w:t>
      </w:r>
      <w:r w:rsidR="0018721C">
        <w:t>Phase II</w:t>
      </w:r>
      <w:r w:rsidRPr="00A7727F">
        <w:t xml:space="preserve"> study in </w:t>
      </w:r>
      <w:r w:rsidR="001E2833">
        <w:t>s</w:t>
      </w:r>
      <w:r w:rsidRPr="00A7727F">
        <w:t>ubjects with MRD+ ALL</w:t>
      </w:r>
      <w:bookmarkEnd w:id="119"/>
    </w:p>
    <w:p w14:paraId="116663DB" w14:textId="77777777" w:rsidR="00A7727F" w:rsidRPr="00A7727F" w:rsidRDefault="00A7727F" w:rsidP="001E2833">
      <w:pPr>
        <w:pStyle w:val="Heading6"/>
        <w:rPr>
          <w:lang w:eastAsia="ja-JP"/>
        </w:rPr>
      </w:pPr>
      <w:r w:rsidRPr="00A7727F">
        <w:rPr>
          <w:lang w:eastAsia="ja-JP"/>
        </w:rPr>
        <w:t>Pharmacodynamics</w:t>
      </w:r>
    </w:p>
    <w:p w14:paraId="20117AB0" w14:textId="79DD12DC" w:rsidR="00A7727F" w:rsidRPr="00A7727F" w:rsidRDefault="00A7727F" w:rsidP="00A7727F">
      <w:pPr>
        <w:rPr>
          <w:lang w:eastAsia="ja-JP"/>
        </w:rPr>
      </w:pPr>
      <w:r w:rsidRPr="00A7727F">
        <w:rPr>
          <w:lang w:eastAsia="ja-JP"/>
        </w:rPr>
        <w:t xml:space="preserve">Peripheral B-cell depletion occurred within 48 hours after infusion start and was sustained throughout treatment. T cells disappeared from peripheral blood within the first 6 to 12 hours after infusion start and returned to baseline levels within the first week of each cycle. Elevation of serum cytokines (IL-6, IL-10 and INF-γ) occurred in the first day of treatment, and cytokine levels returned to below assay quantification levels within 2 days in </w:t>
      </w:r>
      <w:r w:rsidR="007D46D6">
        <w:rPr>
          <w:lang w:eastAsia="ja-JP"/>
        </w:rPr>
        <w:t>Cycle 1</w:t>
      </w:r>
      <w:r w:rsidRPr="00A7727F">
        <w:rPr>
          <w:lang w:eastAsia="ja-JP"/>
        </w:rPr>
        <w:t>. The magnitude of cytokine elevation was lower in subsequent cycles.</w:t>
      </w:r>
    </w:p>
    <w:p w14:paraId="599C7945" w14:textId="7D13985E" w:rsidR="00A7727F" w:rsidRPr="00A7727F" w:rsidRDefault="00A7727F" w:rsidP="001E2833">
      <w:pPr>
        <w:pStyle w:val="Heading5"/>
      </w:pPr>
      <w:bookmarkStart w:id="120" w:name="_Toc292015592"/>
      <w:r w:rsidRPr="00A7727F">
        <w:t xml:space="preserve">Study MT103-206 </w:t>
      </w:r>
      <w:r w:rsidR="0018721C">
        <w:t>Phase II</w:t>
      </w:r>
      <w:r w:rsidRPr="00A7727F">
        <w:t xml:space="preserve"> study in </w:t>
      </w:r>
      <w:r w:rsidR="001E2833">
        <w:t>s</w:t>
      </w:r>
      <w:r w:rsidRPr="00A7727F">
        <w:t>ubjects with R/R ALL</w:t>
      </w:r>
      <w:bookmarkEnd w:id="120"/>
    </w:p>
    <w:p w14:paraId="0B790C21" w14:textId="77777777" w:rsidR="00A7727F" w:rsidRPr="00A7727F" w:rsidRDefault="00A7727F" w:rsidP="001E2833">
      <w:pPr>
        <w:pStyle w:val="Heading6"/>
        <w:rPr>
          <w:lang w:eastAsia="ja-JP"/>
        </w:rPr>
      </w:pPr>
      <w:bookmarkStart w:id="121" w:name="_Ref269119989"/>
      <w:bookmarkStart w:id="122" w:name="_Toc272414639"/>
      <w:bookmarkStart w:id="123" w:name="_Toc290846261"/>
      <w:r w:rsidRPr="00A7727F">
        <w:rPr>
          <w:lang w:eastAsia="ja-JP"/>
        </w:rPr>
        <w:t>Pharmacodynamics</w:t>
      </w:r>
    </w:p>
    <w:p w14:paraId="3DD30C67" w14:textId="0D870D72" w:rsidR="00A7727F" w:rsidRPr="00A7727F" w:rsidRDefault="00A7727F" w:rsidP="00A7727F">
      <w:pPr>
        <w:rPr>
          <w:lang w:eastAsia="ja-JP"/>
        </w:rPr>
      </w:pPr>
      <w:r w:rsidRPr="00A7727F">
        <w:rPr>
          <w:lang w:eastAsia="ja-JP"/>
        </w:rPr>
        <w:t>In most of the subjects, peripheral CD19+ B cells dropped to</w:t>
      </w:r>
      <w:r w:rsidR="00375CAE">
        <w:rPr>
          <w:lang w:eastAsia="ja-JP"/>
        </w:rPr>
        <w:t xml:space="preserve"> </w:t>
      </w:r>
      <w:r w:rsidR="00423768">
        <w:rPr>
          <w:lang w:eastAsia="ja-JP"/>
        </w:rPr>
        <w:t>≤</w:t>
      </w:r>
      <w:r w:rsidR="00375CAE">
        <w:rPr>
          <w:lang w:eastAsia="ja-JP"/>
        </w:rPr>
        <w:t xml:space="preserve"> </w:t>
      </w:r>
      <w:r w:rsidRPr="00A7727F">
        <w:rPr>
          <w:lang w:eastAsia="ja-JP"/>
        </w:rPr>
        <w:t>1 cell/</w:t>
      </w:r>
      <w:r w:rsidR="001E2833">
        <w:rPr>
          <w:lang w:eastAsia="ja-JP"/>
        </w:rPr>
        <w:t>µ</w:t>
      </w:r>
      <w:r w:rsidRPr="00A7727F">
        <w:rPr>
          <w:lang w:eastAsia="ja-JP"/>
        </w:rPr>
        <w:t>L during the first week of treatment and remained undetectable throughout treatment.</w:t>
      </w:r>
    </w:p>
    <w:p w14:paraId="648FB105" w14:textId="6D8EB666" w:rsidR="00A7727F" w:rsidRPr="00A7727F" w:rsidRDefault="00A7727F" w:rsidP="00A7727F">
      <w:pPr>
        <w:rPr>
          <w:lang w:eastAsia="ja-JP"/>
        </w:rPr>
      </w:pPr>
      <w:r w:rsidRPr="00A7727F">
        <w:rPr>
          <w:lang w:eastAsia="ja-JP"/>
        </w:rPr>
        <w:t>Peripheral T cells showed a redistribution character</w:t>
      </w:r>
      <w:r w:rsidR="00D50F7E">
        <w:rPr>
          <w:lang w:eastAsia="ja-JP"/>
        </w:rPr>
        <w:t>ised</w:t>
      </w:r>
      <w:r w:rsidRPr="00A7727F">
        <w:rPr>
          <w:lang w:eastAsia="ja-JP"/>
        </w:rPr>
        <w:t xml:space="preserve"> by disappearance within the first 2 to 6 hours of drug infusion and a subsequent recovery to baseline levels within several days in each treatment cycle. After this initial redistribution, CD4+ and CD8+ T cell levels remained stable in most subjects and </w:t>
      </w:r>
      <w:r w:rsidR="00586C19">
        <w:rPr>
          <w:lang w:eastAsia="ja-JP"/>
        </w:rPr>
        <w:t>T cell</w:t>
      </w:r>
      <w:r w:rsidRPr="00A7727F">
        <w:rPr>
          <w:lang w:eastAsia="ja-JP"/>
        </w:rPr>
        <w:t xml:space="preserve"> expansion was observed in some patients. Measured in a subset of subjects, the </w:t>
      </w:r>
      <w:r w:rsidR="00586C19">
        <w:rPr>
          <w:lang w:eastAsia="ja-JP"/>
        </w:rPr>
        <w:t>T cell</w:t>
      </w:r>
      <w:r w:rsidRPr="00A7727F">
        <w:rPr>
          <w:lang w:eastAsia="ja-JP"/>
        </w:rPr>
        <w:t xml:space="preserve"> activation marker CD69 was transiently</w:t>
      </w:r>
      <w:r w:rsidR="00922BE0">
        <w:rPr>
          <w:lang w:eastAsia="ja-JP"/>
        </w:rPr>
        <w:t xml:space="preserve"> upregulated on CD4+ and CD8+ T </w:t>
      </w:r>
      <w:r w:rsidRPr="00A7727F">
        <w:rPr>
          <w:lang w:eastAsia="ja-JP"/>
        </w:rPr>
        <w:t xml:space="preserve">cells during the first 48 hours of infusion, indicating a blinatumomab-induced </w:t>
      </w:r>
      <w:r w:rsidR="00586C19">
        <w:rPr>
          <w:lang w:eastAsia="ja-JP"/>
        </w:rPr>
        <w:t>T cell</w:t>
      </w:r>
      <w:r w:rsidRPr="00A7727F">
        <w:rPr>
          <w:lang w:eastAsia="ja-JP"/>
        </w:rPr>
        <w:t xml:space="preserve"> activation.</w:t>
      </w:r>
    </w:p>
    <w:p w14:paraId="7786F257" w14:textId="4CF08DE0" w:rsidR="00A7727F" w:rsidRPr="00A7727F" w:rsidRDefault="00A7727F" w:rsidP="00A7727F">
      <w:pPr>
        <w:rPr>
          <w:lang w:eastAsia="ja-JP"/>
        </w:rPr>
      </w:pPr>
      <w:r w:rsidRPr="00A7727F">
        <w:rPr>
          <w:lang w:eastAsia="ja-JP"/>
        </w:rPr>
        <w:t>Although not directly engaged by blinatumomab, redistribution of NK cells and monocytes after infusion start and dose step w</w:t>
      </w:r>
      <w:r w:rsidR="00922BE0">
        <w:rPr>
          <w:lang w:eastAsia="ja-JP"/>
        </w:rPr>
        <w:t xml:space="preserve">as observed. Distinct treatment </w:t>
      </w:r>
      <w:r w:rsidRPr="00A7727F">
        <w:rPr>
          <w:lang w:eastAsia="ja-JP"/>
        </w:rPr>
        <w:t>related changes in granulocytes were not apparent.</w:t>
      </w:r>
    </w:p>
    <w:p w14:paraId="0F0BF888" w14:textId="50BE163F" w:rsidR="00A7727F" w:rsidRPr="00A7727F" w:rsidRDefault="00A7727F" w:rsidP="00A7727F">
      <w:pPr>
        <w:rPr>
          <w:lang w:eastAsia="ja-JP"/>
        </w:rPr>
      </w:pPr>
      <w:r w:rsidRPr="00A7727F">
        <w:rPr>
          <w:lang w:eastAsia="ja-JP"/>
        </w:rPr>
        <w:t xml:space="preserve">A transient elevation of the </w:t>
      </w:r>
      <w:r w:rsidR="00586C19">
        <w:rPr>
          <w:lang w:eastAsia="ja-JP"/>
        </w:rPr>
        <w:t>T cell</w:t>
      </w:r>
      <w:r w:rsidRPr="00A7727F">
        <w:rPr>
          <w:lang w:eastAsia="ja-JP"/>
        </w:rPr>
        <w:t xml:space="preserve"> effector molecule granzyme B was detectable in serum in the majority of subjects analy</w:t>
      </w:r>
      <w:r w:rsidR="001E2833">
        <w:rPr>
          <w:lang w:eastAsia="ja-JP"/>
        </w:rPr>
        <w:t>s</w:t>
      </w:r>
      <w:r w:rsidRPr="00A7727F">
        <w:rPr>
          <w:lang w:eastAsia="ja-JP"/>
        </w:rPr>
        <w:t>ed during the first 48 hours of infusion, indicating cytotoxic activity of blinatumomab-engaged T cells.</w:t>
      </w:r>
    </w:p>
    <w:p w14:paraId="594A35DF" w14:textId="583EA571" w:rsidR="00A7727F" w:rsidRPr="00A7727F" w:rsidRDefault="00A7727F" w:rsidP="00A7727F">
      <w:pPr>
        <w:rPr>
          <w:lang w:eastAsia="ja-JP"/>
        </w:rPr>
      </w:pPr>
      <w:r w:rsidRPr="00A7727F">
        <w:rPr>
          <w:lang w:eastAsia="ja-JP"/>
        </w:rPr>
        <w:t>Seru</w:t>
      </w:r>
      <w:r w:rsidR="001E2833">
        <w:rPr>
          <w:lang w:eastAsia="ja-JP"/>
        </w:rPr>
        <w:t xml:space="preserve">m levels of cytokines IL-2, TNFα, IL-10, IL-6, and </w:t>
      </w:r>
      <w:r w:rsidR="00922BE0">
        <w:rPr>
          <w:lang w:eastAsia="ja-JP"/>
        </w:rPr>
        <w:t>IFN</w:t>
      </w:r>
      <w:r w:rsidR="00922BE0" w:rsidRPr="00A7727F">
        <w:rPr>
          <w:lang w:eastAsia="ja-JP"/>
        </w:rPr>
        <w:t>γ</w:t>
      </w:r>
      <w:r w:rsidRPr="00A7727F">
        <w:rPr>
          <w:lang w:eastAsia="ja-JP"/>
        </w:rPr>
        <w:t xml:space="preserve"> showed transient elevation in most subjects shortly after infusion start which quickly diminished within 1 to 2 days while the infusion was ongoing. In subsequent cycles, cytokine elevation was either absent or at a lower magnitude.</w:t>
      </w:r>
    </w:p>
    <w:p w14:paraId="0F019C42" w14:textId="701FDE43" w:rsidR="00A7727F" w:rsidRPr="00A7727F" w:rsidRDefault="001E2833" w:rsidP="001E2833">
      <w:pPr>
        <w:pStyle w:val="Heading5"/>
      </w:pPr>
      <w:bookmarkStart w:id="124" w:name="_Toc292015593"/>
      <w:r>
        <w:t>Study MT103-211 P</w:t>
      </w:r>
      <w:r w:rsidR="00A7727F" w:rsidRPr="00A7727F">
        <w:t xml:space="preserve">ivotal </w:t>
      </w:r>
      <w:r w:rsidR="0018721C">
        <w:t>Phase II</w:t>
      </w:r>
      <w:r>
        <w:t xml:space="preserve"> study in s</w:t>
      </w:r>
      <w:r w:rsidR="00A7727F" w:rsidRPr="00A7727F">
        <w:t>ubjects with R/R ALL</w:t>
      </w:r>
      <w:bookmarkEnd w:id="124"/>
    </w:p>
    <w:p w14:paraId="29BC4459" w14:textId="77777777" w:rsidR="00A7727F" w:rsidRPr="00A7727F" w:rsidRDefault="00A7727F" w:rsidP="001E2833">
      <w:pPr>
        <w:pStyle w:val="Heading6"/>
        <w:rPr>
          <w:lang w:eastAsia="ja-JP"/>
        </w:rPr>
      </w:pPr>
      <w:r w:rsidRPr="00A7727F">
        <w:rPr>
          <w:lang w:eastAsia="ja-JP"/>
        </w:rPr>
        <w:t>Pharmacodynamics</w:t>
      </w:r>
    </w:p>
    <w:p w14:paraId="3696D57C" w14:textId="54CD1D8E" w:rsidR="00A7727F" w:rsidRPr="00A7727F" w:rsidRDefault="00A7727F" w:rsidP="00A7727F">
      <w:pPr>
        <w:rPr>
          <w:lang w:eastAsia="ja-JP"/>
        </w:rPr>
      </w:pPr>
      <w:r w:rsidRPr="00A7727F">
        <w:rPr>
          <w:lang w:eastAsia="ja-JP"/>
        </w:rPr>
        <w:t>In most subjects, peripheral B cell counts dropped to</w:t>
      </w:r>
      <w:r w:rsidR="00375CAE">
        <w:rPr>
          <w:lang w:eastAsia="ja-JP"/>
        </w:rPr>
        <w:t xml:space="preserve"> </w:t>
      </w:r>
      <w:r w:rsidR="00423768">
        <w:rPr>
          <w:lang w:eastAsia="ja-JP"/>
        </w:rPr>
        <w:t xml:space="preserve">≤ </w:t>
      </w:r>
      <w:r w:rsidRPr="00A7727F">
        <w:rPr>
          <w:lang w:eastAsia="ja-JP"/>
        </w:rPr>
        <w:t>10 cells/</w:t>
      </w:r>
      <w:r w:rsidR="001E2833">
        <w:rPr>
          <w:lang w:eastAsia="ja-JP"/>
        </w:rPr>
        <w:t>µ</w:t>
      </w:r>
      <w:r w:rsidRPr="00A7727F">
        <w:rPr>
          <w:lang w:eastAsia="ja-JP"/>
        </w:rPr>
        <w:t>L during the first treatment cycle and remained low to undetectable throughout treatment. Peripheral B-cell depletion was observed in all subjects who responded to treatment; B-cell depletion was also observed in some subjects who did not respond to treatment (</w:t>
      </w:r>
      <w:r w:rsidR="001E2833">
        <w:rPr>
          <w:lang w:eastAsia="ja-JP"/>
        </w:rPr>
        <w:t>that is,</w:t>
      </w:r>
      <w:r w:rsidRPr="00A7727F">
        <w:rPr>
          <w:lang w:eastAsia="ja-JP"/>
        </w:rPr>
        <w:t xml:space="preserve"> non-responders).</w:t>
      </w:r>
    </w:p>
    <w:p w14:paraId="5388D701" w14:textId="434E5FBB" w:rsidR="00A7727F" w:rsidRPr="00A7727F" w:rsidRDefault="00A7727F" w:rsidP="00A7727F">
      <w:pPr>
        <w:rPr>
          <w:lang w:eastAsia="ja-JP"/>
        </w:rPr>
      </w:pPr>
      <w:r w:rsidRPr="00A7727F">
        <w:rPr>
          <w:lang w:eastAsia="ja-JP"/>
        </w:rPr>
        <w:t xml:space="preserve">Peripheral </w:t>
      </w:r>
      <w:r w:rsidR="00586C19">
        <w:rPr>
          <w:lang w:eastAsia="ja-JP"/>
        </w:rPr>
        <w:t>T cell</w:t>
      </w:r>
      <w:r w:rsidRPr="00A7727F">
        <w:rPr>
          <w:lang w:eastAsia="ja-JP"/>
        </w:rPr>
        <w:t xml:space="preserve"> dynamics were similar to those observed in previous studies; however</w:t>
      </w:r>
      <w:r w:rsidR="001E2833">
        <w:rPr>
          <w:lang w:eastAsia="ja-JP"/>
        </w:rPr>
        <w:t>,</w:t>
      </w:r>
      <w:r w:rsidRPr="00A7727F">
        <w:rPr>
          <w:lang w:eastAsia="ja-JP"/>
        </w:rPr>
        <w:t xml:space="preserve"> a detailed profile could not be constructed due to a sparse sampling scheme. The kinetics of </w:t>
      </w:r>
      <w:r w:rsidR="00586C19">
        <w:rPr>
          <w:lang w:eastAsia="ja-JP"/>
        </w:rPr>
        <w:t>T cell</w:t>
      </w:r>
      <w:r w:rsidRPr="00A7727F">
        <w:rPr>
          <w:lang w:eastAsia="ja-JP"/>
        </w:rPr>
        <w:t xml:space="preserve"> subtypes appeared to be similar in both responders (those w</w:t>
      </w:r>
      <w:r w:rsidR="001E2833">
        <w:rPr>
          <w:lang w:eastAsia="ja-JP"/>
        </w:rPr>
        <w:t>ho achieved complete remission (CR)</w:t>
      </w:r>
      <w:r w:rsidRPr="00A7727F">
        <w:rPr>
          <w:lang w:eastAsia="ja-JP"/>
        </w:rPr>
        <w:t xml:space="preserve"> or complete remission with partial h</w:t>
      </w:r>
      <w:r w:rsidR="001E2833">
        <w:rPr>
          <w:lang w:eastAsia="ja-JP"/>
        </w:rPr>
        <w:t>aematological recovery (CRh*)</w:t>
      </w:r>
      <w:r w:rsidRPr="00A7727F">
        <w:rPr>
          <w:lang w:eastAsia="ja-JP"/>
        </w:rPr>
        <w:t>) and non-responders.</w:t>
      </w:r>
    </w:p>
    <w:p w14:paraId="43AD1CDA" w14:textId="77777777" w:rsidR="00A7727F" w:rsidRPr="00A7727F" w:rsidRDefault="00A7727F" w:rsidP="00A7727F">
      <w:pPr>
        <w:rPr>
          <w:lang w:eastAsia="ja-JP"/>
        </w:rPr>
      </w:pPr>
      <w:r w:rsidRPr="00A7727F">
        <w:rPr>
          <w:lang w:eastAsia="ja-JP"/>
        </w:rPr>
        <w:t>Lower proportions of CD19+ B lymphocytes and higher proportions of CD3+ lymphocytes, as well as lower proportions of lymphocytes and higher proportions of granulocytes in the leukocyte compartment of peripheral blood at screening were significantly associated with the achievement of CR/CRh*.</w:t>
      </w:r>
    </w:p>
    <w:p w14:paraId="6338A8B7" w14:textId="1DA617A7" w:rsidR="00A7727F" w:rsidRPr="00A7727F" w:rsidRDefault="00A7727F" w:rsidP="00A7727F">
      <w:pPr>
        <w:rPr>
          <w:lang w:eastAsia="ja-JP"/>
        </w:rPr>
      </w:pPr>
      <w:r w:rsidRPr="00A7727F">
        <w:rPr>
          <w:lang w:eastAsia="ja-JP"/>
        </w:rPr>
        <w:t xml:space="preserve">Cytokine levels increased immediately after start of blinatumomab infusion </w:t>
      </w:r>
      <w:proofErr w:type="gramStart"/>
      <w:r w:rsidRPr="00A7727F">
        <w:rPr>
          <w:lang w:eastAsia="ja-JP"/>
        </w:rPr>
        <w:t>at 9</w:t>
      </w:r>
      <w:r w:rsidR="00375CAE">
        <w:rPr>
          <w:lang w:eastAsia="ja-JP"/>
        </w:rPr>
        <w:t xml:space="preserve"> </w:t>
      </w:r>
      <w:r w:rsidR="0018721C">
        <w:rPr>
          <w:lang w:eastAsia="ja-JP"/>
        </w:rPr>
        <w:t>µg</w:t>
      </w:r>
      <w:r w:rsidRPr="00A7727F">
        <w:rPr>
          <w:lang w:eastAsia="ja-JP"/>
        </w:rPr>
        <w:t>/day,</w:t>
      </w:r>
      <w:proofErr w:type="gramEnd"/>
      <w:r w:rsidRPr="00A7727F">
        <w:rPr>
          <w:lang w:eastAsia="ja-JP"/>
        </w:rPr>
        <w:t xml:space="preserve"> with peak concentrations observed within 24 hours, and then declined quickly to below the limit of detection within 48 hours. Lower magnitude elevations of cytokines were observed when the dose was increased </w:t>
      </w:r>
      <w:proofErr w:type="gramStart"/>
      <w:r w:rsidRPr="00A7727F">
        <w:rPr>
          <w:lang w:eastAsia="ja-JP"/>
        </w:rPr>
        <w:t>from 9</w:t>
      </w:r>
      <w:r w:rsidR="00375CAE">
        <w:rPr>
          <w:lang w:eastAsia="ja-JP"/>
        </w:rPr>
        <w:t xml:space="preserve"> </w:t>
      </w:r>
      <w:r w:rsidR="0018721C">
        <w:rPr>
          <w:lang w:eastAsia="ja-JP"/>
        </w:rPr>
        <w:t>µg</w:t>
      </w:r>
      <w:r w:rsidRPr="00A7727F">
        <w:rPr>
          <w:lang w:eastAsia="ja-JP"/>
        </w:rPr>
        <w:t>/day</w:t>
      </w:r>
      <w:proofErr w:type="gramEnd"/>
      <w:r w:rsidRPr="00A7727F">
        <w:rPr>
          <w:lang w:eastAsia="ja-JP"/>
        </w:rPr>
        <w:t xml:space="preserve"> to 28</w:t>
      </w:r>
      <w:r w:rsidR="00375CAE">
        <w:rPr>
          <w:lang w:eastAsia="ja-JP"/>
        </w:rPr>
        <w:t xml:space="preserve"> </w:t>
      </w:r>
      <w:r w:rsidR="0018721C">
        <w:rPr>
          <w:lang w:eastAsia="ja-JP"/>
        </w:rPr>
        <w:t>µg</w:t>
      </w:r>
      <w:r w:rsidRPr="00A7727F">
        <w:rPr>
          <w:lang w:eastAsia="ja-JP"/>
        </w:rPr>
        <w:t xml:space="preserve">/day in </w:t>
      </w:r>
      <w:r w:rsidR="007D46D6">
        <w:rPr>
          <w:lang w:eastAsia="ja-JP"/>
        </w:rPr>
        <w:t>Cycle 1</w:t>
      </w:r>
      <w:r w:rsidRPr="00A7727F">
        <w:rPr>
          <w:lang w:eastAsia="ja-JP"/>
        </w:rPr>
        <w:t xml:space="preserve"> and at beginning of subsequent cycles.</w:t>
      </w:r>
    </w:p>
    <w:p w14:paraId="0FAD664D" w14:textId="77777777" w:rsidR="00A7727F" w:rsidRPr="00A7727F" w:rsidRDefault="00A7727F" w:rsidP="001E2833">
      <w:pPr>
        <w:pStyle w:val="Heading3"/>
      </w:pPr>
      <w:bookmarkStart w:id="125" w:name="_Toc292015594"/>
      <w:bookmarkStart w:id="126" w:name="_Toc505762977"/>
      <w:r w:rsidRPr="00A7727F">
        <w:t>Summary of pharmacodynamics</w:t>
      </w:r>
      <w:bookmarkEnd w:id="121"/>
      <w:bookmarkEnd w:id="122"/>
      <w:bookmarkEnd w:id="123"/>
      <w:bookmarkEnd w:id="125"/>
      <w:bookmarkEnd w:id="126"/>
    </w:p>
    <w:p w14:paraId="0A3A4815" w14:textId="0AA11538" w:rsidR="00A7727F" w:rsidRPr="00A7727F" w:rsidRDefault="00A7727F" w:rsidP="00A7727F">
      <w:pPr>
        <w:rPr>
          <w:lang w:eastAsia="ja-JP"/>
        </w:rPr>
      </w:pPr>
      <w:r w:rsidRPr="00A7727F">
        <w:rPr>
          <w:lang w:eastAsia="ja-JP"/>
        </w:rPr>
        <w:t xml:space="preserve">The sponsor included </w:t>
      </w:r>
      <w:r w:rsidR="00423768">
        <w:rPr>
          <w:lang w:eastAsia="ja-JP"/>
        </w:rPr>
        <w:t>4</w:t>
      </w:r>
      <w:r w:rsidRPr="00A7727F">
        <w:rPr>
          <w:lang w:eastAsia="ja-JP"/>
        </w:rPr>
        <w:t xml:space="preserve"> studies in th</w:t>
      </w:r>
      <w:r w:rsidR="001E2833">
        <w:rPr>
          <w:lang w:eastAsia="ja-JP"/>
        </w:rPr>
        <w:t>e PD section of the submission,</w:t>
      </w:r>
      <w:r w:rsidRPr="00A7727F">
        <w:rPr>
          <w:lang w:eastAsia="ja-JP"/>
        </w:rPr>
        <w:t xml:space="preserve"> a study in subjects with NHL (</w:t>
      </w:r>
      <w:r w:rsidR="001E2833">
        <w:rPr>
          <w:lang w:eastAsia="ja-JP"/>
        </w:rPr>
        <w:t xml:space="preserve">Study </w:t>
      </w:r>
      <w:r w:rsidRPr="00A7727F">
        <w:rPr>
          <w:lang w:eastAsia="ja-JP"/>
        </w:rPr>
        <w:t>MT103-104), a study in subjects with MRD+ ALL (</w:t>
      </w:r>
      <w:r w:rsidR="001E2833">
        <w:rPr>
          <w:lang w:eastAsia="ja-JP"/>
        </w:rPr>
        <w:t xml:space="preserve">Study </w:t>
      </w:r>
      <w:r w:rsidRPr="00A7727F">
        <w:rPr>
          <w:lang w:eastAsia="ja-JP"/>
        </w:rPr>
        <w:t xml:space="preserve">MT103-202) and </w:t>
      </w:r>
      <w:r w:rsidR="00423768">
        <w:rPr>
          <w:lang w:eastAsia="ja-JP"/>
        </w:rPr>
        <w:t>2</w:t>
      </w:r>
      <w:r w:rsidRPr="00A7727F">
        <w:rPr>
          <w:lang w:eastAsia="ja-JP"/>
        </w:rPr>
        <w:t xml:space="preserve"> studies in subjects with R/R ALL (</w:t>
      </w:r>
      <w:r w:rsidR="001E2833">
        <w:rPr>
          <w:lang w:eastAsia="ja-JP"/>
        </w:rPr>
        <w:t xml:space="preserve">Studies </w:t>
      </w:r>
      <w:r w:rsidRPr="00A7727F">
        <w:rPr>
          <w:lang w:eastAsia="ja-JP"/>
        </w:rPr>
        <w:t>MT103-206 and MT103-211).</w:t>
      </w:r>
    </w:p>
    <w:p w14:paraId="78EBF244" w14:textId="77777777" w:rsidR="00A7727F" w:rsidRPr="00A7727F" w:rsidRDefault="00A7727F" w:rsidP="001E2833">
      <w:pPr>
        <w:pStyle w:val="Heading4"/>
      </w:pPr>
      <w:bookmarkStart w:id="127" w:name="_Toc241374299"/>
      <w:bookmarkStart w:id="128" w:name="_Toc272414640"/>
      <w:bookmarkStart w:id="129" w:name="_Toc290846262"/>
      <w:bookmarkStart w:id="130" w:name="_Toc292015595"/>
      <w:r w:rsidRPr="00A7727F">
        <w:t>Mechanism of action</w:t>
      </w:r>
      <w:bookmarkEnd w:id="127"/>
      <w:bookmarkEnd w:id="128"/>
      <w:bookmarkEnd w:id="129"/>
      <w:bookmarkEnd w:id="130"/>
    </w:p>
    <w:p w14:paraId="0EBA1417" w14:textId="11AB8C83" w:rsidR="00A7727F" w:rsidRPr="00A7727F" w:rsidRDefault="00A7727F" w:rsidP="00A7727F">
      <w:pPr>
        <w:rPr>
          <w:lang w:eastAsia="ja-JP"/>
        </w:rPr>
      </w:pPr>
      <w:r w:rsidRPr="00A7727F">
        <w:rPr>
          <w:lang w:eastAsia="ja-JP"/>
        </w:rPr>
        <w:t xml:space="preserve">Blinatumomab activates endogenous T cells by connecting CD3ɛ in the </w:t>
      </w:r>
      <w:r w:rsidR="00586C19">
        <w:rPr>
          <w:lang w:eastAsia="ja-JP"/>
        </w:rPr>
        <w:t>T cell</w:t>
      </w:r>
      <w:r w:rsidRPr="00A7727F">
        <w:rPr>
          <w:lang w:eastAsia="ja-JP"/>
        </w:rPr>
        <w:t xml:space="preserve"> receptor (TCR) complex with CD19 on benign and malignant B cells; including B-precursor ALL cells. The proximity induced by blinatumomab leads to the formation of a cytolytic synapse and triggers target cell-specific cytotoxicity which closely resembles a natural cytotoxic </w:t>
      </w:r>
      <w:r w:rsidR="00586C19">
        <w:rPr>
          <w:lang w:eastAsia="ja-JP"/>
        </w:rPr>
        <w:t>T cell</w:t>
      </w:r>
      <w:r w:rsidRPr="00A7727F">
        <w:rPr>
          <w:lang w:eastAsia="ja-JP"/>
        </w:rPr>
        <w:t xml:space="preserve"> reaction.</w:t>
      </w:r>
    </w:p>
    <w:p w14:paraId="13A173BA" w14:textId="3DF499C7" w:rsidR="00A7727F" w:rsidRPr="00A7727F" w:rsidRDefault="00A7727F" w:rsidP="00A7727F">
      <w:pPr>
        <w:rPr>
          <w:lang w:eastAsia="ja-JP"/>
        </w:rPr>
      </w:pPr>
      <w:r w:rsidRPr="00A7727F">
        <w:rPr>
          <w:lang w:eastAsia="ja-JP"/>
        </w:rPr>
        <w:t>Blinatumomab is associated with transient up regulation of cell adhesion molecules, production of cytolytic proteins, release of inflammatory cytokines and proliferation of T cells, and results in elimination of CD19+ cells. In clinical studies, pharmacodynamic measures included lymphocytes, lymphocyte subsets, and cytokines. Consistent pharmacodynamic profiles were observed across clinical trials in subjects with ALL or NHL following the continuous IV infusion regimen. The pharmacodynamic response to blinatumomab was character</w:t>
      </w:r>
      <w:r w:rsidR="00D50F7E">
        <w:rPr>
          <w:lang w:eastAsia="ja-JP"/>
        </w:rPr>
        <w:t>ised</w:t>
      </w:r>
      <w:r w:rsidR="00586C19">
        <w:rPr>
          <w:lang w:eastAsia="ja-JP"/>
        </w:rPr>
        <w:t xml:space="preserve"> primarily by T cell</w:t>
      </w:r>
      <w:r w:rsidRPr="00A7727F">
        <w:rPr>
          <w:lang w:eastAsia="ja-JP"/>
        </w:rPr>
        <w:t xml:space="preserve"> redistribution, activation, and expansion, B-cell depletion, and transient cytokine elevation.</w:t>
      </w:r>
    </w:p>
    <w:p w14:paraId="33E150FB" w14:textId="03EDC5DF" w:rsidR="00A7727F" w:rsidRPr="00A7727F" w:rsidRDefault="00A7727F" w:rsidP="00A7727F">
      <w:pPr>
        <w:rPr>
          <w:lang w:eastAsia="ja-JP"/>
        </w:rPr>
      </w:pPr>
      <w:r w:rsidRPr="00A7727F">
        <w:rPr>
          <w:lang w:eastAsia="ja-JP"/>
        </w:rPr>
        <w:t>Following initiation of blinatumomab continuous IV infusion, peripheral T cells initially declined quickly to very low levels, a phenomenon described as redistributio</w:t>
      </w:r>
      <w:r w:rsidR="00586C19">
        <w:rPr>
          <w:lang w:eastAsia="ja-JP"/>
        </w:rPr>
        <w:t>n. After the initial decline, T </w:t>
      </w:r>
      <w:r w:rsidRPr="00A7727F">
        <w:rPr>
          <w:lang w:eastAsia="ja-JP"/>
        </w:rPr>
        <w:t>cells started to increase and reached baseline levels. The time to return to baseline was variable across patients (7 to 30 days). An expansion of T cells above baseline was observed in some patients. Similar dynamic profiles were observed for CD4+</w:t>
      </w:r>
      <w:r w:rsidR="00922BE0">
        <w:rPr>
          <w:lang w:eastAsia="ja-JP"/>
        </w:rPr>
        <w:t xml:space="preserve"> and CD8+ T cells. </w:t>
      </w:r>
      <w:proofErr w:type="gramStart"/>
      <w:r w:rsidR="00922BE0">
        <w:rPr>
          <w:lang w:eastAsia="ja-JP"/>
        </w:rPr>
        <w:t>A high</w:t>
      </w:r>
      <w:proofErr w:type="gramEnd"/>
      <w:r w:rsidR="00922BE0">
        <w:rPr>
          <w:lang w:eastAsia="ja-JP"/>
        </w:rPr>
        <w:t xml:space="preserve"> inter</w:t>
      </w:r>
      <w:r w:rsidR="006B652D">
        <w:rPr>
          <w:lang w:eastAsia="ja-JP"/>
        </w:rPr>
        <w:noBreakHyphen/>
      </w:r>
      <w:r w:rsidRPr="00A7727F">
        <w:rPr>
          <w:lang w:eastAsia="ja-JP"/>
        </w:rPr>
        <w:t>individual variability was observed in baseline levels of T cells (</w:t>
      </w:r>
      <w:r w:rsidR="00922BE0">
        <w:rPr>
          <w:lang w:eastAsia="ja-JP"/>
        </w:rPr>
        <w:t xml:space="preserve">see </w:t>
      </w:r>
      <w:r w:rsidRPr="00922BE0">
        <w:rPr>
          <w:lang w:eastAsia="ja-JP"/>
        </w:rPr>
        <w:t>Figure 9</w:t>
      </w:r>
      <w:r w:rsidR="00922BE0" w:rsidRPr="00922BE0">
        <w:rPr>
          <w:lang w:eastAsia="ja-JP"/>
        </w:rPr>
        <w:t>,</w:t>
      </w:r>
      <w:r w:rsidR="00922BE0">
        <w:rPr>
          <w:lang w:eastAsia="ja-JP"/>
        </w:rPr>
        <w:t xml:space="preserve"> below</w:t>
      </w:r>
      <w:r w:rsidRPr="00A7727F">
        <w:rPr>
          <w:lang w:eastAsia="ja-JP"/>
        </w:rPr>
        <w:t xml:space="preserve">). Individual </w:t>
      </w:r>
      <w:r w:rsidR="00586C19">
        <w:rPr>
          <w:lang w:eastAsia="ja-JP"/>
        </w:rPr>
        <w:t>T cell</w:t>
      </w:r>
      <w:r w:rsidRPr="00A7727F">
        <w:rPr>
          <w:lang w:eastAsia="ja-JP"/>
        </w:rPr>
        <w:t xml:space="preserve"> dynamic profiles from R/R ALL patients (Study MT103-206) are </w:t>
      </w:r>
      <w:r w:rsidR="00922BE0">
        <w:rPr>
          <w:lang w:eastAsia="ja-JP"/>
        </w:rPr>
        <w:t xml:space="preserve">also </w:t>
      </w:r>
      <w:r w:rsidRPr="00A7727F">
        <w:rPr>
          <w:lang w:eastAsia="ja-JP"/>
        </w:rPr>
        <w:t xml:space="preserve">presented in Figure 9. </w:t>
      </w:r>
      <w:r w:rsidR="00586C19">
        <w:rPr>
          <w:lang w:eastAsia="ja-JP"/>
        </w:rPr>
        <w:t>T cell</w:t>
      </w:r>
      <w:r w:rsidRPr="00A7727F">
        <w:rPr>
          <w:lang w:eastAsia="ja-JP"/>
        </w:rPr>
        <w:t xml:space="preserve"> dynamic profiles were similar in evaluated subjects with NHL and ALL.</w:t>
      </w:r>
    </w:p>
    <w:p w14:paraId="3CEB0F87" w14:textId="74234148" w:rsidR="00A7727F" w:rsidRPr="00A7727F" w:rsidRDefault="00A7727F" w:rsidP="00B601EC">
      <w:pPr>
        <w:pStyle w:val="FigureTitle"/>
        <w:keepNext/>
        <w:rPr>
          <w:lang w:eastAsia="ja-JP"/>
        </w:rPr>
      </w:pPr>
      <w:bookmarkStart w:id="131" w:name="_Toc292015789"/>
      <w:r w:rsidRPr="00A7727F">
        <w:rPr>
          <w:lang w:eastAsia="ja-JP"/>
        </w:rPr>
        <w:t xml:space="preserve">Figure </w:t>
      </w:r>
      <w:r w:rsidR="00586C19">
        <w:rPr>
          <w:lang w:eastAsia="ja-JP"/>
        </w:rPr>
        <w:t>9:</w:t>
      </w:r>
      <w:r w:rsidRPr="00A7727F">
        <w:rPr>
          <w:lang w:eastAsia="ja-JP"/>
        </w:rPr>
        <w:t xml:space="preserve"> CD3+ </w:t>
      </w:r>
      <w:r w:rsidR="00586C19">
        <w:rPr>
          <w:lang w:eastAsia="ja-JP"/>
        </w:rPr>
        <w:t>T cell</w:t>
      </w:r>
      <w:r w:rsidRPr="00A7727F">
        <w:rPr>
          <w:lang w:eastAsia="ja-JP"/>
        </w:rPr>
        <w:t xml:space="preserve"> </w:t>
      </w:r>
      <w:r w:rsidR="00B601EC" w:rsidRPr="00A7727F">
        <w:rPr>
          <w:lang w:eastAsia="ja-JP"/>
        </w:rPr>
        <w:t xml:space="preserve">dynamics in peripheral blood in </w:t>
      </w:r>
      <w:r w:rsidR="00B601EC">
        <w:rPr>
          <w:lang w:eastAsia="ja-JP"/>
        </w:rPr>
        <w:t>Cycle 1</w:t>
      </w:r>
      <w:r w:rsidR="00B601EC" w:rsidRPr="00A7727F">
        <w:rPr>
          <w:lang w:eastAsia="ja-JP"/>
        </w:rPr>
        <w:t xml:space="preserve"> of treatment</w:t>
      </w:r>
      <w:bookmarkEnd w:id="131"/>
    </w:p>
    <w:p w14:paraId="20BF754D" w14:textId="77777777" w:rsidR="00A7727F" w:rsidRPr="00A7727F" w:rsidRDefault="00A7727F" w:rsidP="00B601EC">
      <w:pPr>
        <w:keepNext/>
        <w:rPr>
          <w:lang w:eastAsia="ja-JP"/>
        </w:rPr>
      </w:pPr>
      <w:r w:rsidRPr="00A7727F">
        <w:rPr>
          <w:noProof/>
          <w:lang w:eastAsia="en-AU"/>
        </w:rPr>
        <w:drawing>
          <wp:inline distT="0" distB="0" distL="0" distR="0" wp14:anchorId="4E3466FD" wp14:editId="4014C363">
            <wp:extent cx="4710430" cy="3328035"/>
            <wp:effectExtent l="0" t="0" r="0" b="5715"/>
            <wp:docPr id="80" name="Picture 80" descr="Figure 9: CD3+ T-cell dynamics in peripheral blood in Cycle 1 of treatment" title="CD3+ T-cell dynamics in peripheral blood in Cycle 1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0430" cy="3328035"/>
                    </a:xfrm>
                    <a:prstGeom prst="rect">
                      <a:avLst/>
                    </a:prstGeom>
                    <a:noFill/>
                    <a:ln>
                      <a:noFill/>
                    </a:ln>
                  </pic:spPr>
                </pic:pic>
              </a:graphicData>
            </a:graphic>
          </wp:inline>
        </w:drawing>
      </w:r>
    </w:p>
    <w:p w14:paraId="6C03DAD8" w14:textId="3A824AAF" w:rsidR="00A7727F" w:rsidRPr="00A7727F" w:rsidRDefault="00A7727F" w:rsidP="00B601EC">
      <w:pPr>
        <w:pStyle w:val="FigureDescription"/>
        <w:rPr>
          <w:lang w:eastAsia="ja-JP"/>
        </w:rPr>
      </w:pPr>
      <w:r w:rsidRPr="00A7727F">
        <w:rPr>
          <w:lang w:eastAsia="ja-JP"/>
        </w:rPr>
        <w:t xml:space="preserve">Note: (A) Individual CD3+, (B) CD4+, and (C) CD8+ </w:t>
      </w:r>
      <w:r w:rsidR="00586C19">
        <w:rPr>
          <w:lang w:eastAsia="ja-JP"/>
        </w:rPr>
        <w:t>T cell</w:t>
      </w:r>
      <w:r w:rsidRPr="00A7727F">
        <w:rPr>
          <w:lang w:eastAsia="ja-JP"/>
        </w:rPr>
        <w:t xml:space="preserve"> counts detected in peripheral blood of 34 evaluable patients during the first 28-day continuous blinatumomab IV infusion. Black lines represent patients who achieved a </w:t>
      </w:r>
      <w:r w:rsidR="00A972DD" w:rsidRPr="00A7727F">
        <w:rPr>
          <w:lang w:eastAsia="ja-JP"/>
        </w:rPr>
        <w:t>haematological</w:t>
      </w:r>
      <w:r w:rsidRPr="00A7727F">
        <w:rPr>
          <w:lang w:eastAsia="ja-JP"/>
        </w:rPr>
        <w:t xml:space="preserve"> complete remission (CR/CRh*) during the first 2 cycles of blinatumomab treatment; red lines represent patients without CR/CRh* during the first 2 treatment cycles. Source: Study MT103-206</w:t>
      </w:r>
    </w:p>
    <w:p w14:paraId="6AEF826F" w14:textId="29CFB6F5" w:rsidR="00A7727F" w:rsidRPr="00A7727F" w:rsidRDefault="00A7727F" w:rsidP="00A7727F">
      <w:pPr>
        <w:rPr>
          <w:lang w:eastAsia="ja-JP"/>
        </w:rPr>
      </w:pPr>
      <w:r w:rsidRPr="00A7727F">
        <w:rPr>
          <w:lang w:eastAsia="ja-JP"/>
        </w:rPr>
        <w:t>B-cells in peripheral blood declined rapidly and became undetectable during treatment with doses</w:t>
      </w:r>
      <w:r w:rsidR="00375CAE">
        <w:rPr>
          <w:lang w:eastAsia="ja-JP"/>
        </w:rPr>
        <w:t xml:space="preserve"> </w:t>
      </w:r>
      <w:r w:rsidR="00423768">
        <w:rPr>
          <w:lang w:eastAsia="ja-JP"/>
        </w:rPr>
        <w:t>≥</w:t>
      </w:r>
      <w:r w:rsidR="00375CAE">
        <w:rPr>
          <w:lang w:eastAsia="ja-JP"/>
        </w:rPr>
        <w:t xml:space="preserve"> </w:t>
      </w:r>
      <w:r w:rsidRPr="00A7727F">
        <w:rPr>
          <w:lang w:eastAsia="ja-JP"/>
        </w:rPr>
        <w:t>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in the majority of subjects (</w:t>
      </w:r>
      <w:r w:rsidR="00B601EC">
        <w:rPr>
          <w:lang w:eastAsia="ja-JP"/>
        </w:rPr>
        <w:t xml:space="preserve">see </w:t>
      </w:r>
      <w:r w:rsidRPr="00A7727F">
        <w:rPr>
          <w:lang w:eastAsia="ja-JP"/>
        </w:rPr>
        <w:t>Figure 10</w:t>
      </w:r>
      <w:r w:rsidR="00B601EC">
        <w:rPr>
          <w:lang w:eastAsia="ja-JP"/>
        </w:rPr>
        <w:t>, below</w:t>
      </w:r>
      <w:r w:rsidRPr="00A7727F">
        <w:rPr>
          <w:lang w:eastAsia="ja-JP"/>
        </w:rPr>
        <w:t>). No recovery of peripheral B-cells was observed during the drug</w:t>
      </w:r>
      <w:r w:rsidR="006A3B04">
        <w:rPr>
          <w:lang w:eastAsia="ja-JP"/>
        </w:rPr>
        <w:t xml:space="preserve"> free</w:t>
      </w:r>
      <w:r w:rsidRPr="00A7727F">
        <w:rPr>
          <w:lang w:eastAsia="ja-JP"/>
        </w:rPr>
        <w:t xml:space="preserve"> period between treatment cycles. Incomplete depletion of B cells was observed at doses of 0.5 and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and in few non-responders at higher doses. Individual B-cell dynamic profil</w:t>
      </w:r>
      <w:r w:rsidR="00922BE0">
        <w:rPr>
          <w:lang w:eastAsia="ja-JP"/>
        </w:rPr>
        <w:t>es from R/R ALL patients (Study </w:t>
      </w:r>
      <w:r w:rsidRPr="00A7727F">
        <w:rPr>
          <w:lang w:eastAsia="ja-JP"/>
        </w:rPr>
        <w:t>MT103-206) are presented in Figure 10</w:t>
      </w:r>
      <w:r w:rsidR="00922BE0">
        <w:rPr>
          <w:lang w:eastAsia="ja-JP"/>
        </w:rPr>
        <w:t>, below</w:t>
      </w:r>
      <w:r w:rsidRPr="00A7727F">
        <w:rPr>
          <w:lang w:eastAsia="ja-JP"/>
        </w:rPr>
        <w:t>. The B-cell dynamic profiles were similar in evaluated subjects with NHL and ALL.</w:t>
      </w:r>
    </w:p>
    <w:p w14:paraId="016BC0CF" w14:textId="76D9756D" w:rsidR="00A7727F" w:rsidRPr="00A7727F" w:rsidRDefault="00A7727F" w:rsidP="00922BE0">
      <w:pPr>
        <w:pStyle w:val="FigureTitle"/>
        <w:keepNext/>
        <w:rPr>
          <w:lang w:eastAsia="ja-JP"/>
        </w:rPr>
      </w:pPr>
      <w:bookmarkStart w:id="132" w:name="_Toc292015790"/>
      <w:r w:rsidRPr="00A7727F">
        <w:rPr>
          <w:lang w:eastAsia="ja-JP"/>
        </w:rPr>
        <w:t xml:space="preserve">Figure </w:t>
      </w:r>
      <w:r w:rsidR="00586C19">
        <w:rPr>
          <w:lang w:eastAsia="ja-JP"/>
        </w:rPr>
        <w:t>10:</w:t>
      </w:r>
      <w:r w:rsidRPr="00A7727F">
        <w:rPr>
          <w:lang w:eastAsia="ja-JP"/>
        </w:rPr>
        <w:t xml:space="preserve"> CD19+ B-cell </w:t>
      </w:r>
      <w:r w:rsidR="00B601EC" w:rsidRPr="00A7727F">
        <w:rPr>
          <w:lang w:eastAsia="ja-JP"/>
        </w:rPr>
        <w:t xml:space="preserve">dynamics in peripheral blood in </w:t>
      </w:r>
      <w:r w:rsidR="00B601EC">
        <w:rPr>
          <w:lang w:eastAsia="ja-JP"/>
        </w:rPr>
        <w:t>Cycle 1</w:t>
      </w:r>
      <w:r w:rsidR="00B601EC" w:rsidRPr="00A7727F">
        <w:rPr>
          <w:lang w:eastAsia="ja-JP"/>
        </w:rPr>
        <w:t xml:space="preserve"> of treatment</w:t>
      </w:r>
      <w:bookmarkEnd w:id="132"/>
    </w:p>
    <w:p w14:paraId="5F4B3232" w14:textId="50F6F3CF" w:rsidR="00A7727F" w:rsidRPr="00A7727F" w:rsidRDefault="00A7727F" w:rsidP="00A7727F">
      <w:pPr>
        <w:rPr>
          <w:lang w:eastAsia="ja-JP"/>
        </w:rPr>
      </w:pPr>
      <w:r w:rsidRPr="00A7727F">
        <w:rPr>
          <w:noProof/>
          <w:lang w:eastAsia="en-AU"/>
        </w:rPr>
        <w:drawing>
          <wp:inline distT="0" distB="0" distL="0" distR="0" wp14:anchorId="392EDFB2" wp14:editId="0902D14A">
            <wp:extent cx="4051449" cy="3116847"/>
            <wp:effectExtent l="0" t="0" r="6350" b="7620"/>
            <wp:docPr id="81" name="Picture 81" descr="Figure 10: CD19+ B-cell dynamics in peripheral blood in Cycle 1 of treatment" title="CD19+ B-cell dynamics in peripheral blood in Cycle 1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9926" cy="3123369"/>
                    </a:xfrm>
                    <a:prstGeom prst="rect">
                      <a:avLst/>
                    </a:prstGeom>
                    <a:noFill/>
                    <a:ln>
                      <a:noFill/>
                    </a:ln>
                  </pic:spPr>
                </pic:pic>
              </a:graphicData>
            </a:graphic>
          </wp:inline>
        </w:drawing>
      </w:r>
    </w:p>
    <w:p w14:paraId="62D18C9B" w14:textId="6F5E2D3F" w:rsidR="00A7727F" w:rsidRPr="00A7727F" w:rsidRDefault="00A7727F" w:rsidP="00A7727F">
      <w:pPr>
        <w:rPr>
          <w:lang w:eastAsia="ja-JP"/>
        </w:rPr>
      </w:pPr>
      <w:r w:rsidRPr="00A7727F">
        <w:rPr>
          <w:lang w:eastAsia="ja-JP"/>
        </w:rPr>
        <w:t>The measured cytokines wer</w:t>
      </w:r>
      <w:r w:rsidR="00B601EC">
        <w:rPr>
          <w:lang w:eastAsia="ja-JP"/>
        </w:rPr>
        <w:t>e TNF</w:t>
      </w:r>
      <w:r w:rsidR="00371D89">
        <w:rPr>
          <w:lang w:eastAsia="ja-JP"/>
        </w:rPr>
        <w:t>α, IL2, IL</w:t>
      </w:r>
      <w:r w:rsidRPr="00A7727F">
        <w:rPr>
          <w:lang w:eastAsia="ja-JP"/>
        </w:rPr>
        <w:t>6, IL</w:t>
      </w:r>
      <w:r w:rsidR="00371D89">
        <w:rPr>
          <w:lang w:eastAsia="ja-JP"/>
        </w:rPr>
        <w:t>8, IL10, IL12, IL</w:t>
      </w:r>
      <w:r w:rsidR="00B601EC">
        <w:rPr>
          <w:lang w:eastAsia="ja-JP"/>
        </w:rPr>
        <w:t>4, and IFN</w:t>
      </w:r>
      <w:r w:rsidRPr="00A7727F">
        <w:rPr>
          <w:lang w:eastAsia="ja-JP"/>
        </w:rPr>
        <w:t xml:space="preserve">γ. Transient elevation of cytokines </w:t>
      </w:r>
      <w:r w:rsidR="00371D89">
        <w:rPr>
          <w:lang w:eastAsia="ja-JP"/>
        </w:rPr>
        <w:t>(primarily IL10, IL</w:t>
      </w:r>
      <w:r w:rsidR="00B601EC">
        <w:rPr>
          <w:lang w:eastAsia="ja-JP"/>
        </w:rPr>
        <w:t>6, and IFN</w:t>
      </w:r>
      <w:r w:rsidRPr="00A7727F">
        <w:rPr>
          <w:lang w:eastAsia="ja-JP"/>
        </w:rPr>
        <w:t xml:space="preserve">γ) was observed </w:t>
      </w:r>
      <w:r w:rsidR="00B601EC">
        <w:rPr>
          <w:lang w:eastAsia="ja-JP"/>
        </w:rPr>
        <w:t>in some patients in the first 2 </w:t>
      </w:r>
      <w:r w:rsidRPr="00A7727F">
        <w:rPr>
          <w:lang w:eastAsia="ja-JP"/>
        </w:rPr>
        <w:t>days following the initiation of blinatumomab IV infusion, as shown in the representative cytokine dynamic profile for 1 subject with NHL in Figure 11</w:t>
      </w:r>
      <w:r w:rsidR="00B601EC">
        <w:rPr>
          <w:lang w:eastAsia="ja-JP"/>
        </w:rPr>
        <w:t>, shown below</w:t>
      </w:r>
      <w:r w:rsidRPr="00A7727F">
        <w:rPr>
          <w:lang w:eastAsia="ja-JP"/>
        </w:rPr>
        <w:t>. The elevated cytokine levels returned to baseline within 24 to 48 hours while the infusion was ongoing. In subsequent treatment cycles, cytokine elev</w:t>
      </w:r>
      <w:r w:rsidRPr="002308F6">
        <w:rPr>
          <w:lang w:eastAsia="ja-JP"/>
        </w:rPr>
        <w:t>ation was observed in fewer patients with l</w:t>
      </w:r>
      <w:r w:rsidR="002308F6" w:rsidRPr="002308F6">
        <w:rPr>
          <w:lang w:eastAsia="ja-JP"/>
        </w:rPr>
        <w:t>ess intensity, as shown in Table 10, below</w:t>
      </w:r>
      <w:r w:rsidRPr="002308F6">
        <w:rPr>
          <w:lang w:eastAsia="ja-JP"/>
        </w:rPr>
        <w:t>. Cytokine d</w:t>
      </w:r>
      <w:r w:rsidRPr="00A7727F">
        <w:rPr>
          <w:lang w:eastAsia="ja-JP"/>
        </w:rPr>
        <w:t>ynamics were similar in evaluated subjects with NHL and ALL.</w:t>
      </w:r>
    </w:p>
    <w:p w14:paraId="1C0BEFC7" w14:textId="75A6729E" w:rsidR="00A7727F" w:rsidRPr="00A7727F" w:rsidRDefault="00A7727F" w:rsidP="002308F6">
      <w:pPr>
        <w:pStyle w:val="FigureTitle"/>
        <w:rPr>
          <w:lang w:eastAsia="ja-JP"/>
        </w:rPr>
      </w:pPr>
      <w:bookmarkStart w:id="133" w:name="_Toc292015791"/>
      <w:r w:rsidRPr="00A7727F">
        <w:rPr>
          <w:lang w:eastAsia="ja-JP"/>
        </w:rPr>
        <w:t xml:space="preserve">Figure </w:t>
      </w:r>
      <w:r w:rsidR="00586C19">
        <w:rPr>
          <w:lang w:eastAsia="ja-JP"/>
        </w:rPr>
        <w:t>11:</w:t>
      </w:r>
      <w:r w:rsidR="00B601EC">
        <w:rPr>
          <w:lang w:eastAsia="ja-JP"/>
        </w:rPr>
        <w:t xml:space="preserve"> Representative i</w:t>
      </w:r>
      <w:r w:rsidR="00B601EC" w:rsidRPr="00A7727F">
        <w:rPr>
          <w:lang w:eastAsia="ja-JP"/>
        </w:rPr>
        <w:t>ndividual cytokine concentration-time profiles foll</w:t>
      </w:r>
      <w:r w:rsidR="002308F6">
        <w:rPr>
          <w:lang w:eastAsia="ja-JP"/>
        </w:rPr>
        <w:t>owing blinatumomab continuous IV</w:t>
      </w:r>
      <w:r w:rsidR="00B601EC" w:rsidRPr="00A7727F">
        <w:rPr>
          <w:lang w:eastAsia="ja-JP"/>
        </w:rPr>
        <w:t xml:space="preserve"> infusion</w:t>
      </w:r>
      <w:bookmarkEnd w:id="133"/>
    </w:p>
    <w:p w14:paraId="10FA5420" w14:textId="77777777" w:rsidR="00A7727F" w:rsidRPr="00A7727F" w:rsidRDefault="00A7727F" w:rsidP="00A7727F">
      <w:pPr>
        <w:rPr>
          <w:lang w:eastAsia="ja-JP"/>
        </w:rPr>
      </w:pPr>
      <w:r w:rsidRPr="00A7727F">
        <w:rPr>
          <w:noProof/>
          <w:lang w:eastAsia="en-AU"/>
        </w:rPr>
        <w:drawing>
          <wp:inline distT="0" distB="0" distL="0" distR="0" wp14:anchorId="34D34DF0" wp14:editId="1DC02F39">
            <wp:extent cx="4253230" cy="2200910"/>
            <wp:effectExtent l="0" t="0" r="0" b="8890"/>
            <wp:docPr id="83" name="Picture 83" descr="Figure 11: Representative individual cytokine concentration-time profiles following blinatumomab continuous iv infusion" title="Representative individual cytokine concentration-time profiles following blinatumomab continuous iv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3230" cy="2200910"/>
                    </a:xfrm>
                    <a:prstGeom prst="rect">
                      <a:avLst/>
                    </a:prstGeom>
                    <a:noFill/>
                    <a:ln>
                      <a:noFill/>
                    </a:ln>
                  </pic:spPr>
                </pic:pic>
              </a:graphicData>
            </a:graphic>
          </wp:inline>
        </w:drawing>
      </w:r>
    </w:p>
    <w:p w14:paraId="6E7A1741" w14:textId="23146230" w:rsidR="00A7727F" w:rsidRPr="00A7727F" w:rsidRDefault="00A7727F" w:rsidP="002308F6">
      <w:pPr>
        <w:pStyle w:val="FigureDescription"/>
        <w:rPr>
          <w:lang w:eastAsia="ja-JP"/>
        </w:rPr>
      </w:pPr>
      <w:r w:rsidRPr="00A7727F">
        <w:rPr>
          <w:lang w:eastAsia="ja-JP"/>
        </w:rPr>
        <w:t>IFN-g</w:t>
      </w:r>
      <w:r w:rsidR="00375CAE">
        <w:rPr>
          <w:lang w:eastAsia="ja-JP"/>
        </w:rPr>
        <w:t xml:space="preserve"> </w:t>
      </w:r>
      <w:r w:rsidR="00423768">
        <w:rPr>
          <w:lang w:eastAsia="ja-JP"/>
        </w:rPr>
        <w:t>=</w:t>
      </w:r>
      <w:r w:rsidR="00375CAE">
        <w:rPr>
          <w:lang w:eastAsia="ja-JP"/>
        </w:rPr>
        <w:t xml:space="preserve"> </w:t>
      </w:r>
      <w:r w:rsidRPr="00A7727F">
        <w:rPr>
          <w:lang w:eastAsia="ja-JP"/>
        </w:rPr>
        <w:t>interferon gamma; IL</w:t>
      </w:r>
      <w:r w:rsidR="00375CAE">
        <w:rPr>
          <w:lang w:eastAsia="ja-JP"/>
        </w:rPr>
        <w:t xml:space="preserve"> </w:t>
      </w:r>
      <w:r w:rsidR="00423768">
        <w:rPr>
          <w:lang w:eastAsia="ja-JP"/>
        </w:rPr>
        <w:t>=</w:t>
      </w:r>
      <w:r w:rsidR="00375CAE">
        <w:rPr>
          <w:lang w:eastAsia="ja-JP"/>
        </w:rPr>
        <w:t xml:space="preserve"> </w:t>
      </w:r>
      <w:r w:rsidRPr="00A7727F">
        <w:rPr>
          <w:lang w:eastAsia="ja-JP"/>
        </w:rPr>
        <w:t>interleukin; IV</w:t>
      </w:r>
      <w:r w:rsidR="00375CAE">
        <w:rPr>
          <w:lang w:eastAsia="ja-JP"/>
        </w:rPr>
        <w:t xml:space="preserve"> </w:t>
      </w:r>
      <w:r w:rsidR="00423768">
        <w:rPr>
          <w:lang w:eastAsia="ja-JP"/>
        </w:rPr>
        <w:t>=</w:t>
      </w:r>
      <w:r w:rsidR="00375CAE">
        <w:rPr>
          <w:lang w:eastAsia="ja-JP"/>
        </w:rPr>
        <w:t xml:space="preserve"> </w:t>
      </w:r>
      <w:r w:rsidRPr="00A7727F">
        <w:rPr>
          <w:lang w:eastAsia="ja-JP"/>
        </w:rPr>
        <w:t>intravenous.</w:t>
      </w:r>
    </w:p>
    <w:p w14:paraId="5CDB0B54" w14:textId="3735352E" w:rsidR="00A7727F" w:rsidRPr="00A7727F" w:rsidRDefault="00A7727F" w:rsidP="002308F6">
      <w:pPr>
        <w:pStyle w:val="Tabletitle"/>
        <w:rPr>
          <w:lang w:eastAsia="ja-JP"/>
        </w:rPr>
      </w:pPr>
      <w:bookmarkStart w:id="134" w:name="_Toc292015693"/>
      <w:r w:rsidRPr="002308F6">
        <w:rPr>
          <w:lang w:eastAsia="ja-JP"/>
        </w:rPr>
        <w:t xml:space="preserve">Table </w:t>
      </w:r>
      <w:r w:rsidR="00586C19">
        <w:rPr>
          <w:lang w:eastAsia="ja-JP"/>
        </w:rPr>
        <w:t>10:</w:t>
      </w:r>
      <w:r w:rsidRPr="00A7727F">
        <w:rPr>
          <w:lang w:eastAsia="ja-JP"/>
        </w:rPr>
        <w:t xml:space="preserve"> Mean (±</w:t>
      </w:r>
      <w:r w:rsidR="00371D89">
        <w:rPr>
          <w:lang w:eastAsia="ja-JP"/>
        </w:rPr>
        <w:t xml:space="preserve"> SD) serum cytokine peak levels (pg/mL) Following continuous IV infusion of blinatumomab in s</w:t>
      </w:r>
      <w:r w:rsidRPr="00A7727F">
        <w:rPr>
          <w:lang w:eastAsia="ja-JP"/>
        </w:rPr>
        <w:t>ubjects with R/R ALL</w:t>
      </w:r>
      <w:bookmarkEnd w:id="134"/>
    </w:p>
    <w:tbl>
      <w:tblPr>
        <w:tblStyle w:val="TableTGAblue"/>
        <w:tblW w:w="0" w:type="auto"/>
        <w:tblLook w:val="04A0" w:firstRow="1" w:lastRow="0" w:firstColumn="1" w:lastColumn="0" w:noHBand="0" w:noVBand="1"/>
        <w:tblDescription w:val="Table 10: Mean (± SD) serum cytokine peak levels (pg/mL) Following continuous IV infusion of blinatumomab in subjects with R/R ALL"/>
      </w:tblPr>
      <w:tblGrid>
        <w:gridCol w:w="1398"/>
        <w:gridCol w:w="1006"/>
        <w:gridCol w:w="1080"/>
        <w:gridCol w:w="1090"/>
        <w:gridCol w:w="1091"/>
        <w:gridCol w:w="1091"/>
        <w:gridCol w:w="1091"/>
        <w:gridCol w:w="1091"/>
      </w:tblGrid>
      <w:tr w:rsidR="00A7727F" w:rsidRPr="00A7727F" w14:paraId="136A04B5" w14:textId="77777777" w:rsidTr="007B7D09">
        <w:trPr>
          <w:cnfStyle w:val="100000000000" w:firstRow="1" w:lastRow="0" w:firstColumn="0" w:lastColumn="0" w:oddVBand="0" w:evenVBand="0" w:oddHBand="0" w:evenHBand="0" w:firstRowFirstColumn="0" w:firstRowLastColumn="0" w:lastRowFirstColumn="0" w:lastRowLastColumn="0"/>
          <w:trHeight w:val="856"/>
          <w:tblHeader/>
        </w:trPr>
        <w:tc>
          <w:tcPr>
            <w:cnfStyle w:val="001000000000" w:firstRow="0" w:lastRow="0" w:firstColumn="1" w:lastColumn="0" w:oddVBand="0" w:evenVBand="0" w:oddHBand="0" w:evenHBand="0" w:firstRowFirstColumn="0" w:firstRowLastColumn="0" w:lastRowFirstColumn="0" w:lastRowLastColumn="0"/>
            <w:tcW w:w="1344" w:type="dxa"/>
          </w:tcPr>
          <w:p w14:paraId="0E9CC187" w14:textId="305164CC" w:rsidR="00A7727F" w:rsidRPr="00371D89" w:rsidRDefault="00A7727F" w:rsidP="002308F6">
            <w:pPr>
              <w:keepNext/>
              <w:ind w:left="0" w:right="0"/>
              <w:rPr>
                <w:bCs/>
                <w:lang w:eastAsia="ja-JP"/>
              </w:rPr>
            </w:pPr>
            <w:r w:rsidRPr="00371D89">
              <w:rPr>
                <w:bCs/>
                <w:lang w:eastAsia="ja-JP"/>
              </w:rPr>
              <w:t>Cycle/week</w:t>
            </w:r>
          </w:p>
        </w:tc>
        <w:tc>
          <w:tcPr>
            <w:tcW w:w="1006" w:type="dxa"/>
          </w:tcPr>
          <w:p w14:paraId="2EB90514" w14:textId="3D94C51E"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Dose (</w:t>
            </w:r>
            <w:r w:rsidR="0018721C" w:rsidRPr="00371D89">
              <w:rPr>
                <w:bCs/>
                <w:lang w:eastAsia="ja-JP"/>
              </w:rPr>
              <w:t>µg</w:t>
            </w:r>
            <w:r w:rsidRPr="00371D89">
              <w:rPr>
                <w:bCs/>
                <w:lang w:eastAsia="ja-JP"/>
              </w:rPr>
              <w:t>/d)</w:t>
            </w:r>
          </w:p>
        </w:tc>
        <w:tc>
          <w:tcPr>
            <w:tcW w:w="1080" w:type="dxa"/>
          </w:tcPr>
          <w:p w14:paraId="0B048A1D" w14:textId="77777777"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No. of subjects</w:t>
            </w:r>
          </w:p>
        </w:tc>
        <w:tc>
          <w:tcPr>
            <w:tcW w:w="1090" w:type="dxa"/>
          </w:tcPr>
          <w:p w14:paraId="483336B4" w14:textId="152601A3" w:rsidR="00A7727F" w:rsidRPr="00371D89" w:rsidRDefault="00371D89"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IL</w:t>
            </w:r>
            <w:r w:rsidR="00A7727F" w:rsidRPr="00371D89">
              <w:rPr>
                <w:bCs/>
                <w:lang w:eastAsia="ja-JP"/>
              </w:rPr>
              <w:t>10</w:t>
            </w:r>
          </w:p>
          <w:p w14:paraId="6FC66BC2" w14:textId="77777777"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(pg/mL)</w:t>
            </w:r>
          </w:p>
        </w:tc>
        <w:tc>
          <w:tcPr>
            <w:tcW w:w="1091" w:type="dxa"/>
          </w:tcPr>
          <w:p w14:paraId="2A20DF8C" w14:textId="6411744C" w:rsidR="00A7727F" w:rsidRPr="00371D89" w:rsidRDefault="00371D89"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IL</w:t>
            </w:r>
            <w:r w:rsidR="00A7727F" w:rsidRPr="00371D89">
              <w:rPr>
                <w:bCs/>
                <w:lang w:eastAsia="ja-JP"/>
              </w:rPr>
              <w:t>6</w:t>
            </w:r>
          </w:p>
          <w:p w14:paraId="4A2CD141" w14:textId="77777777"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(pg/mL)</w:t>
            </w:r>
          </w:p>
        </w:tc>
        <w:tc>
          <w:tcPr>
            <w:tcW w:w="1091" w:type="dxa"/>
          </w:tcPr>
          <w:p w14:paraId="34648AD2" w14:textId="0EF8ABEE" w:rsidR="00A7727F" w:rsidRPr="00371D89" w:rsidRDefault="00371D89"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IFN</w:t>
            </w:r>
            <w:r w:rsidR="00A7727F" w:rsidRPr="00371D89">
              <w:rPr>
                <w:bCs/>
                <w:lang w:eastAsia="ja-JP"/>
              </w:rPr>
              <w:t>Ɣ</w:t>
            </w:r>
          </w:p>
          <w:p w14:paraId="102E7CD3" w14:textId="77777777"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(pg/mL)</w:t>
            </w:r>
          </w:p>
        </w:tc>
        <w:tc>
          <w:tcPr>
            <w:tcW w:w="1091" w:type="dxa"/>
          </w:tcPr>
          <w:p w14:paraId="627758A8" w14:textId="19B6EAB4" w:rsidR="00A7727F" w:rsidRPr="00371D89" w:rsidRDefault="00371D89"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IL</w:t>
            </w:r>
            <w:r w:rsidR="00A7727F" w:rsidRPr="00371D89">
              <w:rPr>
                <w:bCs/>
                <w:lang w:eastAsia="ja-JP"/>
              </w:rPr>
              <w:t>2</w:t>
            </w:r>
          </w:p>
          <w:p w14:paraId="1791131B" w14:textId="77777777"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(pg/mL)</w:t>
            </w:r>
          </w:p>
        </w:tc>
        <w:tc>
          <w:tcPr>
            <w:tcW w:w="1091" w:type="dxa"/>
          </w:tcPr>
          <w:p w14:paraId="33969FC4" w14:textId="2D514E64" w:rsidR="00A7727F" w:rsidRPr="00371D89" w:rsidRDefault="00371D89"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TNF</w:t>
            </w:r>
            <w:r w:rsidR="00A7727F" w:rsidRPr="00371D89">
              <w:rPr>
                <w:bCs/>
                <w:lang w:eastAsia="ja-JP"/>
              </w:rPr>
              <w:t>α</w:t>
            </w:r>
          </w:p>
          <w:p w14:paraId="347BFB72" w14:textId="77777777" w:rsidR="00A7727F" w:rsidRPr="00371D89" w:rsidRDefault="00A7727F" w:rsidP="002308F6">
            <w:pPr>
              <w:keepNext/>
              <w:ind w:left="0" w:right="0"/>
              <w:cnfStyle w:val="100000000000" w:firstRow="1" w:lastRow="0" w:firstColumn="0" w:lastColumn="0" w:oddVBand="0" w:evenVBand="0" w:oddHBand="0" w:evenHBand="0" w:firstRowFirstColumn="0" w:firstRowLastColumn="0" w:lastRowFirstColumn="0" w:lastRowLastColumn="0"/>
              <w:rPr>
                <w:bCs/>
                <w:lang w:eastAsia="ja-JP"/>
              </w:rPr>
            </w:pPr>
            <w:r w:rsidRPr="00371D89">
              <w:rPr>
                <w:bCs/>
                <w:lang w:eastAsia="ja-JP"/>
              </w:rPr>
              <w:t>(pg/mL)</w:t>
            </w:r>
          </w:p>
        </w:tc>
      </w:tr>
      <w:tr w:rsidR="00A7727F" w:rsidRPr="00A7727F" w14:paraId="5DA9544C" w14:textId="77777777" w:rsidTr="007B270B">
        <w:trPr>
          <w:trHeight w:val="764"/>
        </w:trPr>
        <w:tc>
          <w:tcPr>
            <w:cnfStyle w:val="001000000000" w:firstRow="0" w:lastRow="0" w:firstColumn="1" w:lastColumn="0" w:oddVBand="0" w:evenVBand="0" w:oddHBand="0" w:evenHBand="0" w:firstRowFirstColumn="0" w:firstRowLastColumn="0" w:lastRowFirstColumn="0" w:lastRowLastColumn="0"/>
            <w:tcW w:w="1344" w:type="dxa"/>
          </w:tcPr>
          <w:p w14:paraId="65434162" w14:textId="77777777" w:rsidR="00A7727F" w:rsidRPr="00A7727F" w:rsidRDefault="00A7727F" w:rsidP="002308F6">
            <w:pPr>
              <w:keepNext/>
              <w:ind w:left="0" w:right="0"/>
              <w:rPr>
                <w:b/>
                <w:bCs/>
                <w:lang w:eastAsia="ja-JP"/>
              </w:rPr>
            </w:pPr>
            <w:r w:rsidRPr="00A7727F">
              <w:rPr>
                <w:b/>
                <w:bCs/>
                <w:lang w:eastAsia="ja-JP"/>
              </w:rPr>
              <w:t>C1/W1</w:t>
            </w:r>
          </w:p>
        </w:tc>
        <w:tc>
          <w:tcPr>
            <w:tcW w:w="1006" w:type="dxa"/>
          </w:tcPr>
          <w:p w14:paraId="60303E31"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w:t>
            </w:r>
          </w:p>
        </w:tc>
        <w:tc>
          <w:tcPr>
            <w:tcW w:w="1080" w:type="dxa"/>
          </w:tcPr>
          <w:p w14:paraId="35CEC5BA"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184</w:t>
            </w:r>
          </w:p>
        </w:tc>
        <w:tc>
          <w:tcPr>
            <w:tcW w:w="1090" w:type="dxa"/>
          </w:tcPr>
          <w:p w14:paraId="588447EF"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589 ± 822</w:t>
            </w:r>
          </w:p>
        </w:tc>
        <w:tc>
          <w:tcPr>
            <w:tcW w:w="1091" w:type="dxa"/>
          </w:tcPr>
          <w:p w14:paraId="65C89415"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826 ± 2390</w:t>
            </w:r>
          </w:p>
        </w:tc>
        <w:tc>
          <w:tcPr>
            <w:tcW w:w="1091" w:type="dxa"/>
          </w:tcPr>
          <w:p w14:paraId="5AE5D7EC"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93 ± 409</w:t>
            </w:r>
          </w:p>
        </w:tc>
        <w:tc>
          <w:tcPr>
            <w:tcW w:w="1091" w:type="dxa"/>
          </w:tcPr>
          <w:p w14:paraId="3E9960F6"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25 ± 45</w:t>
            </w:r>
          </w:p>
        </w:tc>
        <w:tc>
          <w:tcPr>
            <w:tcW w:w="1091" w:type="dxa"/>
          </w:tcPr>
          <w:p w14:paraId="1D298A3F" w14:textId="77777777" w:rsidR="00A7727F" w:rsidRPr="00A7727F" w:rsidRDefault="00A7727F" w:rsidP="002308F6">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30 ± 125</w:t>
            </w:r>
          </w:p>
        </w:tc>
      </w:tr>
      <w:tr w:rsidR="00A7727F" w:rsidRPr="00A7727F" w14:paraId="6847C246" w14:textId="77777777" w:rsidTr="007B270B">
        <w:trPr>
          <w:trHeight w:val="732"/>
        </w:trPr>
        <w:tc>
          <w:tcPr>
            <w:cnfStyle w:val="001000000000" w:firstRow="0" w:lastRow="0" w:firstColumn="1" w:lastColumn="0" w:oddVBand="0" w:evenVBand="0" w:oddHBand="0" w:evenHBand="0" w:firstRowFirstColumn="0" w:firstRowLastColumn="0" w:lastRowFirstColumn="0" w:lastRowLastColumn="0"/>
            <w:tcW w:w="1344" w:type="dxa"/>
          </w:tcPr>
          <w:p w14:paraId="4413D767" w14:textId="77777777" w:rsidR="00A7727F" w:rsidRPr="00A7727F" w:rsidRDefault="00A7727F" w:rsidP="00371D89">
            <w:pPr>
              <w:ind w:left="0" w:right="0"/>
              <w:rPr>
                <w:b/>
                <w:bCs/>
                <w:lang w:eastAsia="ja-JP"/>
              </w:rPr>
            </w:pPr>
            <w:r w:rsidRPr="00A7727F">
              <w:rPr>
                <w:b/>
                <w:bCs/>
                <w:lang w:eastAsia="ja-JP"/>
              </w:rPr>
              <w:t>C1/W2</w:t>
            </w:r>
          </w:p>
        </w:tc>
        <w:tc>
          <w:tcPr>
            <w:tcW w:w="1006" w:type="dxa"/>
          </w:tcPr>
          <w:p w14:paraId="483B648E"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28</w:t>
            </w:r>
          </w:p>
        </w:tc>
        <w:tc>
          <w:tcPr>
            <w:tcW w:w="1080" w:type="dxa"/>
          </w:tcPr>
          <w:p w14:paraId="298D8922"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175</w:t>
            </w:r>
          </w:p>
        </w:tc>
        <w:tc>
          <w:tcPr>
            <w:tcW w:w="1090" w:type="dxa"/>
          </w:tcPr>
          <w:p w14:paraId="35D2A642"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96 ± 136</w:t>
            </w:r>
          </w:p>
        </w:tc>
        <w:tc>
          <w:tcPr>
            <w:tcW w:w="1091" w:type="dxa"/>
          </w:tcPr>
          <w:p w14:paraId="6D4101B3"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234 ± 681</w:t>
            </w:r>
          </w:p>
        </w:tc>
        <w:tc>
          <w:tcPr>
            <w:tcW w:w="1091" w:type="dxa"/>
          </w:tcPr>
          <w:p w14:paraId="71EB140E"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27 ± 83</w:t>
            </w:r>
          </w:p>
        </w:tc>
        <w:tc>
          <w:tcPr>
            <w:tcW w:w="1091" w:type="dxa"/>
          </w:tcPr>
          <w:p w14:paraId="626D49CE"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 ± 5</w:t>
            </w:r>
          </w:p>
        </w:tc>
        <w:tc>
          <w:tcPr>
            <w:tcW w:w="1091" w:type="dxa"/>
          </w:tcPr>
          <w:p w14:paraId="15B55342"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 ± 3</w:t>
            </w:r>
          </w:p>
        </w:tc>
      </w:tr>
      <w:tr w:rsidR="00A7727F" w:rsidRPr="00A7727F" w14:paraId="2A840D5D" w14:textId="77777777" w:rsidTr="007B270B">
        <w:trPr>
          <w:trHeight w:val="732"/>
        </w:trPr>
        <w:tc>
          <w:tcPr>
            <w:cnfStyle w:val="001000000000" w:firstRow="0" w:lastRow="0" w:firstColumn="1" w:lastColumn="0" w:oddVBand="0" w:evenVBand="0" w:oddHBand="0" w:evenHBand="0" w:firstRowFirstColumn="0" w:firstRowLastColumn="0" w:lastRowFirstColumn="0" w:lastRowLastColumn="0"/>
            <w:tcW w:w="1344" w:type="dxa"/>
          </w:tcPr>
          <w:p w14:paraId="23F4D338" w14:textId="77777777" w:rsidR="00A7727F" w:rsidRPr="00A7727F" w:rsidRDefault="00A7727F" w:rsidP="00371D89">
            <w:pPr>
              <w:ind w:left="0" w:right="0"/>
              <w:rPr>
                <w:b/>
                <w:bCs/>
                <w:lang w:eastAsia="ja-JP"/>
              </w:rPr>
            </w:pPr>
            <w:r w:rsidRPr="00A7727F">
              <w:rPr>
                <w:b/>
                <w:bCs/>
                <w:lang w:eastAsia="ja-JP"/>
              </w:rPr>
              <w:t>C2/W1</w:t>
            </w:r>
          </w:p>
        </w:tc>
        <w:tc>
          <w:tcPr>
            <w:tcW w:w="1006" w:type="dxa"/>
          </w:tcPr>
          <w:p w14:paraId="0257D261"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28</w:t>
            </w:r>
          </w:p>
        </w:tc>
        <w:tc>
          <w:tcPr>
            <w:tcW w:w="1080" w:type="dxa"/>
          </w:tcPr>
          <w:p w14:paraId="7E2E8E34"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95</w:t>
            </w:r>
          </w:p>
        </w:tc>
        <w:tc>
          <w:tcPr>
            <w:tcW w:w="1090" w:type="dxa"/>
          </w:tcPr>
          <w:p w14:paraId="5B125F39"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397 ± 633</w:t>
            </w:r>
          </w:p>
        </w:tc>
        <w:tc>
          <w:tcPr>
            <w:tcW w:w="1091" w:type="dxa"/>
          </w:tcPr>
          <w:p w14:paraId="6ADBE1B3"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315 ± 952</w:t>
            </w:r>
          </w:p>
        </w:tc>
        <w:tc>
          <w:tcPr>
            <w:tcW w:w="1091" w:type="dxa"/>
          </w:tcPr>
          <w:p w14:paraId="106E819F"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 ± 46</w:t>
            </w:r>
          </w:p>
        </w:tc>
        <w:tc>
          <w:tcPr>
            <w:tcW w:w="1091" w:type="dxa"/>
          </w:tcPr>
          <w:p w14:paraId="7A6F7252"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 ± 5</w:t>
            </w:r>
          </w:p>
        </w:tc>
        <w:tc>
          <w:tcPr>
            <w:tcW w:w="1091" w:type="dxa"/>
          </w:tcPr>
          <w:p w14:paraId="2081B185"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 ± 15</w:t>
            </w:r>
          </w:p>
        </w:tc>
      </w:tr>
      <w:tr w:rsidR="00A7727F" w:rsidRPr="00A7727F" w14:paraId="7A996343" w14:textId="77777777" w:rsidTr="007B270B">
        <w:trPr>
          <w:trHeight w:val="743"/>
        </w:trPr>
        <w:tc>
          <w:tcPr>
            <w:cnfStyle w:val="001000000000" w:firstRow="0" w:lastRow="0" w:firstColumn="1" w:lastColumn="0" w:oddVBand="0" w:evenVBand="0" w:oddHBand="0" w:evenHBand="0" w:firstRowFirstColumn="0" w:firstRowLastColumn="0" w:lastRowFirstColumn="0" w:lastRowLastColumn="0"/>
            <w:tcW w:w="1344" w:type="dxa"/>
          </w:tcPr>
          <w:p w14:paraId="27017EA8" w14:textId="77777777" w:rsidR="00A7727F" w:rsidRPr="00A7727F" w:rsidRDefault="00A7727F" w:rsidP="00371D89">
            <w:pPr>
              <w:ind w:left="0" w:right="0"/>
              <w:rPr>
                <w:b/>
                <w:bCs/>
                <w:lang w:eastAsia="ja-JP"/>
              </w:rPr>
            </w:pPr>
            <w:r w:rsidRPr="00A7727F">
              <w:rPr>
                <w:b/>
                <w:bCs/>
                <w:lang w:eastAsia="ja-JP"/>
              </w:rPr>
              <w:t>C3/W1</w:t>
            </w:r>
          </w:p>
        </w:tc>
        <w:tc>
          <w:tcPr>
            <w:tcW w:w="1006" w:type="dxa"/>
          </w:tcPr>
          <w:p w14:paraId="7F64ACA6"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28</w:t>
            </w:r>
          </w:p>
        </w:tc>
        <w:tc>
          <w:tcPr>
            <w:tcW w:w="1080" w:type="dxa"/>
          </w:tcPr>
          <w:p w14:paraId="5440504B"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41</w:t>
            </w:r>
          </w:p>
        </w:tc>
        <w:tc>
          <w:tcPr>
            <w:tcW w:w="1090" w:type="dxa"/>
          </w:tcPr>
          <w:p w14:paraId="42552DFB"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428 ± 941</w:t>
            </w:r>
          </w:p>
        </w:tc>
        <w:tc>
          <w:tcPr>
            <w:tcW w:w="1091" w:type="dxa"/>
          </w:tcPr>
          <w:p w14:paraId="58D1BCC4"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69 ± 114</w:t>
            </w:r>
          </w:p>
        </w:tc>
        <w:tc>
          <w:tcPr>
            <w:tcW w:w="1091" w:type="dxa"/>
          </w:tcPr>
          <w:p w14:paraId="01438918"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22 ± 28</w:t>
            </w:r>
          </w:p>
        </w:tc>
        <w:tc>
          <w:tcPr>
            <w:tcW w:w="1091" w:type="dxa"/>
          </w:tcPr>
          <w:p w14:paraId="16EF01B0"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 ± 2</w:t>
            </w:r>
          </w:p>
        </w:tc>
        <w:tc>
          <w:tcPr>
            <w:tcW w:w="1091" w:type="dxa"/>
          </w:tcPr>
          <w:p w14:paraId="6A20779B" w14:textId="77777777" w:rsidR="00A7727F" w:rsidRPr="00A7727F" w:rsidRDefault="00A7727F" w:rsidP="00371D89">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 ± 7.8</w:t>
            </w:r>
          </w:p>
        </w:tc>
      </w:tr>
    </w:tbl>
    <w:p w14:paraId="698203B6" w14:textId="684D0CAF" w:rsidR="00A7727F" w:rsidRPr="00A7727F" w:rsidRDefault="00A7727F" w:rsidP="00371D89">
      <w:pPr>
        <w:pStyle w:val="TableDescription"/>
        <w:rPr>
          <w:lang w:eastAsia="ja-JP"/>
        </w:rPr>
      </w:pPr>
      <w:r w:rsidRPr="00A7727F">
        <w:rPr>
          <w:lang w:eastAsia="ja-JP"/>
        </w:rPr>
        <w:t>C</w:t>
      </w:r>
      <w:r w:rsidR="00375CAE">
        <w:rPr>
          <w:lang w:eastAsia="ja-JP"/>
        </w:rPr>
        <w:t xml:space="preserve"> </w:t>
      </w:r>
      <w:r w:rsidR="00423768">
        <w:rPr>
          <w:lang w:eastAsia="ja-JP"/>
        </w:rPr>
        <w:t>=</w:t>
      </w:r>
      <w:r w:rsidR="00375CAE">
        <w:rPr>
          <w:lang w:eastAsia="ja-JP"/>
        </w:rPr>
        <w:t xml:space="preserve"> </w:t>
      </w:r>
      <w:r w:rsidRPr="00A7727F">
        <w:rPr>
          <w:lang w:eastAsia="ja-JP"/>
        </w:rPr>
        <w:t>cycle; W</w:t>
      </w:r>
      <w:r w:rsidR="00423768">
        <w:rPr>
          <w:lang w:eastAsia="ja-JP"/>
        </w:rPr>
        <w:t xml:space="preserve"> = </w:t>
      </w:r>
      <w:r w:rsidRPr="00A7727F">
        <w:rPr>
          <w:lang w:eastAsia="ja-JP"/>
        </w:rPr>
        <w:t>week, IL</w:t>
      </w:r>
      <w:r w:rsidR="00375CAE">
        <w:rPr>
          <w:lang w:eastAsia="ja-JP"/>
        </w:rPr>
        <w:t xml:space="preserve"> </w:t>
      </w:r>
      <w:r w:rsidR="00423768">
        <w:rPr>
          <w:lang w:eastAsia="ja-JP"/>
        </w:rPr>
        <w:t>=</w:t>
      </w:r>
      <w:r w:rsidR="00375CAE">
        <w:rPr>
          <w:lang w:eastAsia="ja-JP"/>
        </w:rPr>
        <w:t xml:space="preserve"> </w:t>
      </w:r>
      <w:r w:rsidR="002308F6">
        <w:rPr>
          <w:lang w:eastAsia="ja-JP"/>
        </w:rPr>
        <w:t>interleukin; IFN</w:t>
      </w:r>
      <w:r w:rsidRPr="00A7727F">
        <w:rPr>
          <w:lang w:eastAsia="ja-JP"/>
        </w:rPr>
        <w:t>ɣ</w:t>
      </w:r>
      <w:r w:rsidR="00375CAE">
        <w:rPr>
          <w:lang w:eastAsia="ja-JP"/>
        </w:rPr>
        <w:t xml:space="preserve"> </w:t>
      </w:r>
      <w:r w:rsidR="00423768">
        <w:rPr>
          <w:lang w:eastAsia="ja-JP"/>
        </w:rPr>
        <w:t>=</w:t>
      </w:r>
      <w:r w:rsidR="00375CAE">
        <w:rPr>
          <w:lang w:eastAsia="ja-JP"/>
        </w:rPr>
        <w:t xml:space="preserve"> </w:t>
      </w:r>
      <w:r w:rsidRPr="00A7727F">
        <w:rPr>
          <w:lang w:eastAsia="ja-JP"/>
        </w:rPr>
        <w:t>interferon gamma; IV</w:t>
      </w:r>
      <w:r w:rsidR="00375CAE">
        <w:rPr>
          <w:lang w:eastAsia="ja-JP"/>
        </w:rPr>
        <w:t xml:space="preserve"> </w:t>
      </w:r>
      <w:r w:rsidR="00423768">
        <w:rPr>
          <w:lang w:eastAsia="ja-JP"/>
        </w:rPr>
        <w:t>=</w:t>
      </w:r>
      <w:r w:rsidR="00375CAE">
        <w:rPr>
          <w:lang w:eastAsia="ja-JP"/>
        </w:rPr>
        <w:t xml:space="preserve"> </w:t>
      </w:r>
      <w:r w:rsidRPr="00A7727F">
        <w:rPr>
          <w:lang w:eastAsia="ja-JP"/>
        </w:rPr>
        <w:t>intravenous; R/R ALL</w:t>
      </w:r>
      <w:r w:rsidR="002308F6">
        <w:rPr>
          <w:lang w:eastAsia="ja-JP"/>
        </w:rPr>
        <w:t> </w:t>
      </w:r>
      <w:r w:rsidR="00423768">
        <w:rPr>
          <w:lang w:eastAsia="ja-JP"/>
        </w:rPr>
        <w:t>=</w:t>
      </w:r>
      <w:r w:rsidR="002308F6">
        <w:rPr>
          <w:lang w:eastAsia="ja-JP"/>
        </w:rPr>
        <w:t> </w:t>
      </w:r>
      <w:r w:rsidRPr="00A7727F">
        <w:rPr>
          <w:lang w:eastAsia="ja-JP"/>
        </w:rPr>
        <w:t>relapsed/refractory acute lymphoblastic leuk</w:t>
      </w:r>
      <w:r w:rsidR="002308F6">
        <w:rPr>
          <w:lang w:eastAsia="ja-JP"/>
        </w:rPr>
        <w:t>aemia; TNF</w:t>
      </w:r>
      <w:r w:rsidRPr="00A7727F">
        <w:rPr>
          <w:lang w:eastAsia="ja-JP"/>
        </w:rPr>
        <w:t>α</w:t>
      </w:r>
      <w:r w:rsidR="00375CAE">
        <w:rPr>
          <w:lang w:eastAsia="ja-JP"/>
        </w:rPr>
        <w:t xml:space="preserve"> </w:t>
      </w:r>
      <w:r w:rsidR="00423768">
        <w:rPr>
          <w:lang w:eastAsia="ja-JP"/>
        </w:rPr>
        <w:t>=</w:t>
      </w:r>
      <w:r w:rsidR="00375CAE">
        <w:rPr>
          <w:lang w:eastAsia="ja-JP"/>
        </w:rPr>
        <w:t xml:space="preserve"> </w:t>
      </w:r>
      <w:r w:rsidRPr="00A7727F">
        <w:rPr>
          <w:lang w:eastAsia="ja-JP"/>
        </w:rPr>
        <w:t>tumo</w:t>
      </w:r>
      <w:r w:rsidR="00371D89">
        <w:rPr>
          <w:lang w:eastAsia="ja-JP"/>
        </w:rPr>
        <w:t>u</w:t>
      </w:r>
      <w:r w:rsidRPr="00A7727F">
        <w:rPr>
          <w:lang w:eastAsia="ja-JP"/>
        </w:rPr>
        <w:t>r necrosis factor alpha; SD</w:t>
      </w:r>
      <w:r w:rsidR="00375CAE">
        <w:rPr>
          <w:lang w:eastAsia="ja-JP"/>
        </w:rPr>
        <w:t xml:space="preserve"> </w:t>
      </w:r>
      <w:r w:rsidR="00423768">
        <w:rPr>
          <w:lang w:eastAsia="ja-JP"/>
        </w:rPr>
        <w:t>=</w:t>
      </w:r>
      <w:r w:rsidR="00375CAE">
        <w:rPr>
          <w:lang w:eastAsia="ja-JP"/>
        </w:rPr>
        <w:t xml:space="preserve"> </w:t>
      </w:r>
      <w:r w:rsidRPr="00A7727F">
        <w:rPr>
          <w:lang w:eastAsia="ja-JP"/>
        </w:rPr>
        <w:t>standard deviation.</w:t>
      </w:r>
    </w:p>
    <w:p w14:paraId="3BD55F6B" w14:textId="081B528F" w:rsidR="00A7727F" w:rsidRPr="00A7727F" w:rsidRDefault="00A7727F" w:rsidP="00A7727F">
      <w:pPr>
        <w:rPr>
          <w:lang w:eastAsia="ja-JP"/>
        </w:rPr>
      </w:pPr>
      <w:r w:rsidRPr="00A7727F">
        <w:rPr>
          <w:lang w:eastAsia="ja-JP"/>
        </w:rPr>
        <w:t>Cytokine assay lower limit of detection (LOD) was 20 ng/mL and lower limit of quantitation (LOQ) was 125 pg/mL. Data below LOD were set to 10 pg/mL for calculation while data</w:t>
      </w:r>
      <w:r w:rsidR="00375CAE">
        <w:rPr>
          <w:lang w:eastAsia="ja-JP"/>
        </w:rPr>
        <w:t xml:space="preserve"> </w:t>
      </w:r>
      <w:r w:rsidR="00423768">
        <w:rPr>
          <w:lang w:eastAsia="ja-JP"/>
        </w:rPr>
        <w:t>&gt;</w:t>
      </w:r>
      <w:r w:rsidR="00375CAE">
        <w:rPr>
          <w:lang w:eastAsia="ja-JP"/>
        </w:rPr>
        <w:t xml:space="preserve"> </w:t>
      </w:r>
      <w:r w:rsidRPr="00A7727F">
        <w:rPr>
          <w:lang w:eastAsia="ja-JP"/>
        </w:rPr>
        <w:t>LOD were used as measured in the summary statistics.</w:t>
      </w:r>
    </w:p>
    <w:p w14:paraId="03BA60D8" w14:textId="2879B147" w:rsidR="00A7727F" w:rsidRPr="00A7727F" w:rsidRDefault="00371D89" w:rsidP="00371D89">
      <w:pPr>
        <w:pStyle w:val="Heading4"/>
      </w:pPr>
      <w:bookmarkStart w:id="135" w:name="_Toc241374300"/>
      <w:bookmarkStart w:id="136" w:name="_Toc272414641"/>
      <w:bookmarkStart w:id="137" w:name="_Toc290846263"/>
      <w:bookmarkStart w:id="138" w:name="_Toc292015596"/>
      <w:r>
        <w:t>Pharmacokinetic-pharmacodynamic r</w:t>
      </w:r>
      <w:r w:rsidR="00A7727F" w:rsidRPr="00A7727F">
        <w:t>elationships</w:t>
      </w:r>
      <w:bookmarkEnd w:id="135"/>
      <w:bookmarkEnd w:id="136"/>
      <w:bookmarkEnd w:id="137"/>
      <w:bookmarkEnd w:id="138"/>
    </w:p>
    <w:p w14:paraId="2021F133" w14:textId="15C162C2" w:rsidR="00A7727F" w:rsidRPr="00A7727F" w:rsidRDefault="00371D89" w:rsidP="00371D89">
      <w:pPr>
        <w:pStyle w:val="Heading5"/>
      </w:pPr>
      <w:bookmarkStart w:id="139" w:name="_Toc292015597"/>
      <w:r>
        <w:t xml:space="preserve">Exposure </w:t>
      </w:r>
      <w:r w:rsidR="00A7727F" w:rsidRPr="00A7727F">
        <w:t>T cel</w:t>
      </w:r>
      <w:r>
        <w:t>l r</w:t>
      </w:r>
      <w:r w:rsidR="00A7727F" w:rsidRPr="00A7727F">
        <w:t>elationship</w:t>
      </w:r>
      <w:bookmarkEnd w:id="139"/>
    </w:p>
    <w:p w14:paraId="512EE3E1" w14:textId="1D659372" w:rsidR="00A7727F" w:rsidRPr="00A7727F" w:rsidRDefault="00371D89" w:rsidP="00A7727F">
      <w:pPr>
        <w:rPr>
          <w:lang w:eastAsia="ja-JP"/>
        </w:rPr>
      </w:pPr>
      <w:r>
        <w:rPr>
          <w:lang w:eastAsia="ja-JP"/>
        </w:rPr>
        <w:t xml:space="preserve">It was observed that T </w:t>
      </w:r>
      <w:r w:rsidR="00A7727F" w:rsidRPr="00A7727F">
        <w:rPr>
          <w:lang w:eastAsia="ja-JP"/>
        </w:rPr>
        <w:t>cell redistribution occurred when dosing was initiated or when dosing was escalated (</w:t>
      </w:r>
      <w:r>
        <w:rPr>
          <w:lang w:eastAsia="ja-JP"/>
        </w:rPr>
        <w:t xml:space="preserve">see </w:t>
      </w:r>
      <w:r w:rsidR="00A7727F" w:rsidRPr="00A7727F">
        <w:rPr>
          <w:lang w:eastAsia="ja-JP"/>
        </w:rPr>
        <w:t>Figure 12</w:t>
      </w:r>
      <w:r>
        <w:rPr>
          <w:lang w:eastAsia="ja-JP"/>
        </w:rPr>
        <w:t>, below</w:t>
      </w:r>
      <w:r w:rsidR="00A7727F" w:rsidRPr="00A7727F">
        <w:rPr>
          <w:lang w:eastAsia="ja-JP"/>
        </w:rPr>
        <w:t xml:space="preserve">). </w:t>
      </w:r>
      <w:r w:rsidR="00586C19">
        <w:rPr>
          <w:lang w:eastAsia="ja-JP"/>
        </w:rPr>
        <w:t>T cell</w:t>
      </w:r>
      <w:r w:rsidR="00A7727F" w:rsidRPr="00A7727F">
        <w:rPr>
          <w:lang w:eastAsia="ja-JP"/>
        </w:rPr>
        <w:t xml:space="preserve"> expansion has been observed during blinatumomab treatment (</w:t>
      </w:r>
      <w:r w:rsidR="00977804">
        <w:rPr>
          <w:lang w:eastAsia="ja-JP"/>
        </w:rPr>
        <w:t xml:space="preserve">see </w:t>
      </w:r>
      <w:r w:rsidR="00A7727F" w:rsidRPr="00A7727F">
        <w:rPr>
          <w:lang w:eastAsia="ja-JP"/>
        </w:rPr>
        <w:t>Figure 13</w:t>
      </w:r>
      <w:r w:rsidR="00977804">
        <w:rPr>
          <w:lang w:eastAsia="ja-JP"/>
        </w:rPr>
        <w:t>, below</w:t>
      </w:r>
      <w:r w:rsidR="00A7727F" w:rsidRPr="00A7727F">
        <w:rPr>
          <w:lang w:eastAsia="ja-JP"/>
        </w:rPr>
        <w:t xml:space="preserve">). </w:t>
      </w:r>
      <w:r w:rsidR="00586C19">
        <w:rPr>
          <w:lang w:eastAsia="ja-JP"/>
        </w:rPr>
        <w:t>T cell</w:t>
      </w:r>
      <w:r w:rsidR="00A7727F" w:rsidRPr="00A7727F">
        <w:rPr>
          <w:lang w:eastAsia="ja-JP"/>
        </w:rPr>
        <w:t xml:space="preserve"> redistribution and expansion may be associated with blinatumomab dose (</w:t>
      </w:r>
      <w:r w:rsidR="002308F6" w:rsidRPr="002308F6">
        <w:rPr>
          <w:lang w:eastAsia="ja-JP"/>
        </w:rPr>
        <w:t>see Table 11, below</w:t>
      </w:r>
      <w:r w:rsidR="00A7727F" w:rsidRPr="00A7727F">
        <w:rPr>
          <w:lang w:eastAsia="ja-JP"/>
        </w:rPr>
        <w:t>). As shown</w:t>
      </w:r>
      <w:r w:rsidR="002308F6">
        <w:rPr>
          <w:lang w:eastAsia="ja-JP"/>
        </w:rPr>
        <w:t xml:space="preserve"> in the first 3 rows of Table 11</w:t>
      </w:r>
      <w:r w:rsidR="00A7727F" w:rsidRPr="00A7727F">
        <w:rPr>
          <w:lang w:eastAsia="ja-JP"/>
        </w:rPr>
        <w:t>, lower mean nadir T cells were observed in the cohort with higher initial doses. These data suggest that the distribution of T</w:t>
      </w:r>
      <w:r w:rsidR="00977804">
        <w:rPr>
          <w:lang w:eastAsia="ja-JP"/>
        </w:rPr>
        <w:t> </w:t>
      </w:r>
      <w:r w:rsidR="00A7727F" w:rsidRPr="00A7727F">
        <w:rPr>
          <w:lang w:eastAsia="ja-JP"/>
        </w:rPr>
        <w:t>cells may be associated with dose, although inter-subject variability in T cells was high. With a multiple dose stepping regimen from a low initi</w:t>
      </w:r>
      <w:r w:rsidR="00977804">
        <w:rPr>
          <w:lang w:eastAsia="ja-JP"/>
        </w:rPr>
        <w:t>al dose to higher target doses (as shown in Figure </w:t>
      </w:r>
      <w:r w:rsidR="00A7727F" w:rsidRPr="00A7727F">
        <w:rPr>
          <w:lang w:eastAsia="ja-JP"/>
        </w:rPr>
        <w:t xml:space="preserve">12), the nadir depends on the blinatumomab dose, as well as time of dose stepping as shown in the last row of </w:t>
      </w:r>
      <w:r w:rsidR="002308F6" w:rsidRPr="002308F6">
        <w:rPr>
          <w:lang w:eastAsia="ja-JP"/>
        </w:rPr>
        <w:t>Table 11</w:t>
      </w:r>
      <w:r w:rsidR="00A7727F" w:rsidRPr="002308F6">
        <w:rPr>
          <w:lang w:eastAsia="ja-JP"/>
        </w:rPr>
        <w:t>.</w:t>
      </w:r>
    </w:p>
    <w:p w14:paraId="0EE90AFA" w14:textId="24DA773F" w:rsidR="00A7727F" w:rsidRPr="00A7727F" w:rsidRDefault="00A7727F" w:rsidP="00A7727F">
      <w:pPr>
        <w:rPr>
          <w:lang w:eastAsia="ja-JP"/>
        </w:rPr>
      </w:pPr>
      <w:r w:rsidRPr="00A7727F">
        <w:rPr>
          <w:lang w:eastAsia="ja-JP"/>
        </w:rPr>
        <w:t xml:space="preserve">In nonclinical studies, T cell activation was evaluated by measuring cytokine release and expression of the T cell surface activation markers CD69 and CD25 and was found to be highly dependent on the presence of target cells. In Study MT103-104, it was found that the expression of activation markers CD69 on CD4+ and CD8+ T cells was up-regulated shortly after start of infusion and any dose step, suggesting </w:t>
      </w:r>
      <w:r w:rsidR="00586C19">
        <w:rPr>
          <w:lang w:eastAsia="ja-JP"/>
        </w:rPr>
        <w:t>T cell</w:t>
      </w:r>
      <w:r w:rsidRPr="00A7727F">
        <w:rPr>
          <w:lang w:eastAsia="ja-JP"/>
        </w:rPr>
        <w:t xml:space="preserve"> activation at those times.</w:t>
      </w:r>
    </w:p>
    <w:p w14:paraId="1D56E34D" w14:textId="0048C5C2" w:rsidR="00A7727F" w:rsidRPr="00A7727F" w:rsidRDefault="00A7727F" w:rsidP="002308F6">
      <w:pPr>
        <w:pStyle w:val="FigureTitle"/>
        <w:keepNext/>
        <w:rPr>
          <w:lang w:eastAsia="ja-JP"/>
        </w:rPr>
      </w:pPr>
      <w:bookmarkStart w:id="140" w:name="_Toc292015792"/>
      <w:r w:rsidRPr="00A7727F">
        <w:rPr>
          <w:lang w:eastAsia="ja-JP"/>
        </w:rPr>
        <w:t xml:space="preserve">Figure </w:t>
      </w:r>
      <w:r w:rsidR="00586C19">
        <w:rPr>
          <w:lang w:eastAsia="ja-JP"/>
        </w:rPr>
        <w:t>12:</w:t>
      </w:r>
      <w:r w:rsidRPr="00A7727F">
        <w:rPr>
          <w:lang w:eastAsia="ja-JP"/>
        </w:rPr>
        <w:t xml:space="preserve"> </w:t>
      </w:r>
      <w:r w:rsidR="00586C19">
        <w:rPr>
          <w:lang w:eastAsia="ja-JP"/>
        </w:rPr>
        <w:t>T cell</w:t>
      </w:r>
      <w:r w:rsidRPr="00A7727F">
        <w:rPr>
          <w:lang w:eastAsia="ja-JP"/>
        </w:rPr>
        <w:t xml:space="preserve"> </w:t>
      </w:r>
      <w:r w:rsidR="00977804" w:rsidRPr="00A7727F">
        <w:rPr>
          <w:lang w:eastAsia="ja-JP"/>
        </w:rPr>
        <w:t xml:space="preserve">dynamics during blinatumomab continuous </w:t>
      </w:r>
      <w:r w:rsidR="00977804">
        <w:rPr>
          <w:lang w:eastAsia="ja-JP"/>
        </w:rPr>
        <w:t>IV</w:t>
      </w:r>
      <w:r w:rsidR="00977804" w:rsidRPr="00A7727F">
        <w:rPr>
          <w:lang w:eastAsia="ja-JP"/>
        </w:rPr>
        <w:t xml:space="preserve"> infusion under a step-dosing regimen</w:t>
      </w:r>
      <w:bookmarkEnd w:id="140"/>
    </w:p>
    <w:p w14:paraId="295AC994" w14:textId="77777777" w:rsidR="00A7727F" w:rsidRPr="00A7727F" w:rsidRDefault="00A7727F" w:rsidP="00A7727F">
      <w:pPr>
        <w:rPr>
          <w:lang w:eastAsia="ja-JP"/>
        </w:rPr>
      </w:pPr>
      <w:r w:rsidRPr="00A7727F">
        <w:rPr>
          <w:noProof/>
          <w:lang w:eastAsia="en-AU"/>
        </w:rPr>
        <w:drawing>
          <wp:inline distT="0" distB="0" distL="0" distR="0" wp14:anchorId="250C5D30" wp14:editId="575BBB2E">
            <wp:extent cx="3763645" cy="2498725"/>
            <wp:effectExtent l="0" t="0" r="8255" b="0"/>
            <wp:docPr id="85" name="Picture 85" descr="Figure 12: T-Cell dynamics during blinatumomab continuous IV infusion under a step-dosing regimen" title="T-Cell dynamics during blinatumomab continuous IV infusion under a step-dosing regimen&#10;T-Cell dynamics during blinatumomab continuous IV infusion under a step-dosing regim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3645" cy="2498725"/>
                    </a:xfrm>
                    <a:prstGeom prst="rect">
                      <a:avLst/>
                    </a:prstGeom>
                    <a:noFill/>
                    <a:ln>
                      <a:noFill/>
                    </a:ln>
                  </pic:spPr>
                </pic:pic>
              </a:graphicData>
            </a:graphic>
          </wp:inline>
        </w:drawing>
      </w:r>
    </w:p>
    <w:p w14:paraId="1FA2C756" w14:textId="671BB796" w:rsidR="00A7727F" w:rsidRPr="00A7727F" w:rsidRDefault="00A7727F" w:rsidP="00977804">
      <w:pPr>
        <w:pStyle w:val="TableDescription"/>
        <w:rPr>
          <w:lang w:eastAsia="ja-JP"/>
        </w:rPr>
      </w:pPr>
      <w:r w:rsidRPr="00A7727F">
        <w:rPr>
          <w:lang w:eastAsia="ja-JP"/>
        </w:rPr>
        <w:t>IV</w:t>
      </w:r>
      <w:r w:rsidR="00375CAE">
        <w:rPr>
          <w:lang w:eastAsia="ja-JP"/>
        </w:rPr>
        <w:t xml:space="preserve"> </w:t>
      </w:r>
      <w:r w:rsidR="00423768">
        <w:rPr>
          <w:lang w:eastAsia="ja-JP"/>
        </w:rPr>
        <w:t>=</w:t>
      </w:r>
      <w:r w:rsidR="00375CAE">
        <w:rPr>
          <w:lang w:eastAsia="ja-JP"/>
        </w:rPr>
        <w:t xml:space="preserve"> </w:t>
      </w:r>
      <w:r w:rsidRPr="00A7727F">
        <w:rPr>
          <w:lang w:eastAsia="ja-JP"/>
        </w:rPr>
        <w:t>intravenous. Blinatumomab was administered via continuous IV infusion at 5</w:t>
      </w:r>
      <w:r w:rsidR="00375CAE">
        <w:rPr>
          <w:lang w:eastAsia="ja-JP"/>
        </w:rPr>
        <w:t xml:space="preserve"> </w:t>
      </w:r>
      <w:r w:rsidR="0018721C">
        <w:rPr>
          <w:lang w:eastAsia="ja-JP"/>
        </w:rPr>
        <w:t>µg</w:t>
      </w:r>
      <w:r w:rsidR="00977804">
        <w:rPr>
          <w:lang w:eastAsia="ja-JP"/>
        </w:rPr>
        <w:t>/</w:t>
      </w:r>
      <w:r w:rsidR="00586C19" w:rsidRPr="00F31F9F">
        <w:rPr>
          <w:lang w:eastAsia="ja-JP"/>
        </w:rPr>
        <w:t>m</w:t>
      </w:r>
      <w:r w:rsidR="00586C19" w:rsidRPr="00586C19">
        <w:rPr>
          <w:vertAlign w:val="superscript"/>
          <w:lang w:eastAsia="ja-JP"/>
        </w:rPr>
        <w:t>2</w:t>
      </w:r>
      <w:r w:rsidR="00977804">
        <w:rPr>
          <w:lang w:eastAsia="ja-JP"/>
        </w:rPr>
        <w:t xml:space="preserve">/day on Days 1 to </w:t>
      </w:r>
      <w:r w:rsidRPr="00A7727F">
        <w:rPr>
          <w:lang w:eastAsia="ja-JP"/>
        </w:rPr>
        <w:t>7, 15</w:t>
      </w:r>
      <w:r w:rsidR="00977804">
        <w:rPr>
          <w:lang w:eastAsia="ja-JP"/>
        </w:rPr>
        <w:t> </w:t>
      </w:r>
      <w:r w:rsidR="0018721C">
        <w:rPr>
          <w:lang w:eastAsia="ja-JP"/>
        </w:rPr>
        <w:t>µg</w:t>
      </w:r>
      <w:r w:rsidR="00977804">
        <w:rPr>
          <w:lang w:eastAsia="ja-JP"/>
        </w:rPr>
        <w:t>/</w:t>
      </w:r>
      <w:r w:rsidR="00586C19" w:rsidRPr="00F31F9F">
        <w:rPr>
          <w:lang w:eastAsia="ja-JP"/>
        </w:rPr>
        <w:t>m</w:t>
      </w:r>
      <w:r w:rsidR="00586C19" w:rsidRPr="00586C19">
        <w:rPr>
          <w:vertAlign w:val="superscript"/>
          <w:lang w:eastAsia="ja-JP"/>
        </w:rPr>
        <w:t>2</w:t>
      </w:r>
      <w:r w:rsidR="00977804">
        <w:rPr>
          <w:lang w:eastAsia="ja-JP"/>
        </w:rPr>
        <w:t xml:space="preserve">/day on Days 8 to </w:t>
      </w:r>
      <w:r w:rsidRPr="00A7727F">
        <w:rPr>
          <w:lang w:eastAsia="ja-JP"/>
        </w:rPr>
        <w:t>14 and at 60</w:t>
      </w:r>
      <w:r w:rsidR="00375CAE">
        <w:rPr>
          <w:lang w:eastAsia="ja-JP"/>
        </w:rPr>
        <w:t xml:space="preserve"> </w:t>
      </w:r>
      <w:r w:rsidR="0018721C">
        <w:rPr>
          <w:lang w:eastAsia="ja-JP"/>
        </w:rPr>
        <w:t>µg</w:t>
      </w:r>
      <w:r w:rsidRPr="00A7727F">
        <w:rPr>
          <w:lang w:eastAsia="ja-JP"/>
        </w:rPr>
        <w:t>/</w:t>
      </w:r>
      <w:r w:rsidR="00586C19" w:rsidRPr="00F31F9F">
        <w:rPr>
          <w:lang w:eastAsia="ja-JP"/>
        </w:rPr>
        <w:t>m</w:t>
      </w:r>
      <w:r w:rsidR="00586C19" w:rsidRPr="00586C19">
        <w:rPr>
          <w:vertAlign w:val="superscript"/>
          <w:lang w:eastAsia="ja-JP"/>
        </w:rPr>
        <w:t>2</w:t>
      </w:r>
      <w:r w:rsidRPr="00A7727F">
        <w:rPr>
          <w:lang w:eastAsia="ja-JP"/>
        </w:rPr>
        <w:t>/day on</w:t>
      </w:r>
      <w:r w:rsidR="00375CAE">
        <w:rPr>
          <w:lang w:eastAsia="ja-JP"/>
        </w:rPr>
        <w:t xml:space="preserve"> </w:t>
      </w:r>
      <w:r w:rsidR="00423768">
        <w:rPr>
          <w:lang w:eastAsia="ja-JP"/>
        </w:rPr>
        <w:t>≥</w:t>
      </w:r>
      <w:r w:rsidR="00375CAE">
        <w:rPr>
          <w:lang w:eastAsia="ja-JP"/>
        </w:rPr>
        <w:t xml:space="preserve"> </w:t>
      </w:r>
      <w:r w:rsidRPr="00A7727F">
        <w:rPr>
          <w:lang w:eastAsia="ja-JP"/>
        </w:rPr>
        <w:t>Day 15.</w:t>
      </w:r>
    </w:p>
    <w:p w14:paraId="42C5F307" w14:textId="4DA64AA4" w:rsidR="00A7727F" w:rsidRPr="00A7727F" w:rsidRDefault="00A7727F" w:rsidP="00977804">
      <w:pPr>
        <w:pStyle w:val="FigureTitle"/>
        <w:rPr>
          <w:lang w:eastAsia="ja-JP"/>
        </w:rPr>
      </w:pPr>
      <w:bookmarkStart w:id="141" w:name="_Toc292015793"/>
      <w:r w:rsidRPr="00A7727F">
        <w:rPr>
          <w:lang w:eastAsia="ja-JP"/>
        </w:rPr>
        <w:t xml:space="preserve">Figure </w:t>
      </w:r>
      <w:r w:rsidR="00586C19">
        <w:rPr>
          <w:lang w:eastAsia="ja-JP"/>
        </w:rPr>
        <w:t>13:</w:t>
      </w:r>
      <w:r w:rsidR="002308F6">
        <w:rPr>
          <w:lang w:eastAsia="ja-JP"/>
        </w:rPr>
        <w:t xml:space="preserve"> </w:t>
      </w:r>
      <w:r w:rsidR="00586C19">
        <w:rPr>
          <w:lang w:eastAsia="ja-JP"/>
        </w:rPr>
        <w:t>T cell</w:t>
      </w:r>
      <w:r w:rsidR="002308F6">
        <w:rPr>
          <w:lang w:eastAsia="ja-JP"/>
        </w:rPr>
        <w:t xml:space="preserve"> expansion under blinatumomab t</w:t>
      </w:r>
      <w:r w:rsidRPr="00A7727F">
        <w:rPr>
          <w:lang w:eastAsia="ja-JP"/>
        </w:rPr>
        <w:t>reatment</w:t>
      </w:r>
      <w:bookmarkEnd w:id="141"/>
    </w:p>
    <w:p w14:paraId="3F0923A4" w14:textId="77777777" w:rsidR="00A7727F" w:rsidRPr="00A7727F" w:rsidRDefault="00A7727F" w:rsidP="00A7727F">
      <w:pPr>
        <w:rPr>
          <w:lang w:eastAsia="ja-JP"/>
        </w:rPr>
      </w:pPr>
      <w:r w:rsidRPr="00A7727F">
        <w:rPr>
          <w:noProof/>
          <w:lang w:eastAsia="en-AU"/>
        </w:rPr>
        <w:drawing>
          <wp:inline distT="0" distB="0" distL="0" distR="0" wp14:anchorId="7FEA7850" wp14:editId="318ECE3D">
            <wp:extent cx="5463562" cy="2759710"/>
            <wp:effectExtent l="0" t="0" r="3810" b="2540"/>
            <wp:docPr id="86" name="Picture 86" descr="Figure 13: T-cell expansion under blinatumomab treatment" title="T-cell expansion under blinatumomab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4378" cy="2760122"/>
                    </a:xfrm>
                    <a:prstGeom prst="rect">
                      <a:avLst/>
                    </a:prstGeom>
                    <a:noFill/>
                    <a:ln>
                      <a:noFill/>
                    </a:ln>
                  </pic:spPr>
                </pic:pic>
              </a:graphicData>
            </a:graphic>
          </wp:inline>
        </w:drawing>
      </w:r>
    </w:p>
    <w:p w14:paraId="0FD4F428" w14:textId="5093BCBE" w:rsidR="00A7727F" w:rsidRPr="00A7727F" w:rsidRDefault="00A7727F" w:rsidP="00977804">
      <w:pPr>
        <w:pStyle w:val="Tabletitle"/>
        <w:rPr>
          <w:lang w:eastAsia="ja-JP"/>
        </w:rPr>
      </w:pPr>
      <w:bookmarkStart w:id="142" w:name="_Toc292015694"/>
      <w:r w:rsidRPr="00A7727F">
        <w:rPr>
          <w:lang w:eastAsia="ja-JP"/>
        </w:rPr>
        <w:t xml:space="preserve">Table </w:t>
      </w:r>
      <w:r w:rsidR="00586C19">
        <w:rPr>
          <w:lang w:eastAsia="ja-JP"/>
        </w:rPr>
        <w:t>11:</w:t>
      </w:r>
      <w:r w:rsidR="002308F6">
        <w:rPr>
          <w:lang w:eastAsia="ja-JP"/>
        </w:rPr>
        <w:t xml:space="preserve"> </w:t>
      </w:r>
      <w:r w:rsidR="00586C19">
        <w:rPr>
          <w:lang w:eastAsia="ja-JP"/>
        </w:rPr>
        <w:t>T cell</w:t>
      </w:r>
      <w:r w:rsidR="002308F6">
        <w:rPr>
          <w:lang w:eastAsia="ja-JP"/>
        </w:rPr>
        <w:t xml:space="preserve"> dynamic p</w:t>
      </w:r>
      <w:r w:rsidRPr="00A7727F">
        <w:rPr>
          <w:lang w:eastAsia="ja-JP"/>
        </w:rPr>
        <w:t>arameters</w:t>
      </w:r>
      <w:bookmarkEnd w:id="142"/>
    </w:p>
    <w:tbl>
      <w:tblPr>
        <w:tblStyle w:val="TableTGAblue"/>
        <w:tblW w:w="4675" w:type="pct"/>
        <w:tblLook w:val="04A0" w:firstRow="1" w:lastRow="0" w:firstColumn="1" w:lastColumn="0" w:noHBand="0" w:noVBand="1"/>
        <w:tblDescription w:val="Table 11: T cell dynamic parameters"/>
      </w:tblPr>
      <w:tblGrid>
        <w:gridCol w:w="1831"/>
        <w:gridCol w:w="1126"/>
        <w:gridCol w:w="1568"/>
        <w:gridCol w:w="1422"/>
        <w:gridCol w:w="1126"/>
        <w:gridCol w:w="1568"/>
      </w:tblGrid>
      <w:tr w:rsidR="00A7727F" w:rsidRPr="00A7727F" w14:paraId="1FBC5485" w14:textId="77777777" w:rsidTr="007B270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316" w:type="pct"/>
            <w:vMerge w:val="restart"/>
          </w:tcPr>
          <w:p w14:paraId="77A76BBC" w14:textId="77777777" w:rsidR="00A7727F" w:rsidRPr="00A7727F" w:rsidRDefault="00A7727F" w:rsidP="00977804">
            <w:pPr>
              <w:keepNext/>
              <w:rPr>
                <w:lang w:eastAsia="ja-JP"/>
              </w:rPr>
            </w:pPr>
            <w:r w:rsidRPr="00A7727F">
              <w:rPr>
                <w:lang w:eastAsia="ja-JP"/>
              </w:rPr>
              <w:t>Dose (N)</w:t>
            </w:r>
          </w:p>
        </w:tc>
        <w:tc>
          <w:tcPr>
            <w:tcW w:w="1457" w:type="pct"/>
            <w:gridSpan w:val="2"/>
          </w:tcPr>
          <w:p w14:paraId="6CDCF6E4" w14:textId="77777777" w:rsidR="00A7727F" w:rsidRPr="00A7727F" w:rsidRDefault="00A7727F" w:rsidP="0097780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Time (day)</w:t>
            </w:r>
          </w:p>
        </w:tc>
        <w:tc>
          <w:tcPr>
            <w:tcW w:w="2227" w:type="pct"/>
            <w:gridSpan w:val="3"/>
          </w:tcPr>
          <w:p w14:paraId="73F882BC" w14:textId="46A96801" w:rsidR="00A7727F" w:rsidRPr="00A7727F" w:rsidRDefault="00A972DD" w:rsidP="00977804">
            <w:pPr>
              <w:keepNext/>
              <w:cnfStyle w:val="100000000000" w:firstRow="1" w:lastRow="0" w:firstColumn="0" w:lastColumn="0" w:oddVBand="0" w:evenVBand="0" w:oddHBand="0" w:evenHBand="0" w:firstRowFirstColumn="0" w:firstRowLastColumn="0" w:lastRowFirstColumn="0" w:lastRowLastColumn="0"/>
              <w:rPr>
                <w:lang w:eastAsia="ja-JP"/>
              </w:rPr>
            </w:pPr>
            <w:r>
              <w:rPr>
                <w:lang w:eastAsia="ja-JP"/>
              </w:rPr>
              <w:t xml:space="preserve">Mean (± SEM) T </w:t>
            </w:r>
            <w:r w:rsidR="00A7727F" w:rsidRPr="00A7727F">
              <w:rPr>
                <w:lang w:eastAsia="ja-JP"/>
              </w:rPr>
              <w:t>Cells (10</w:t>
            </w:r>
            <w:r w:rsidR="00A7727F" w:rsidRPr="00A7727F">
              <w:rPr>
                <w:vertAlign w:val="superscript"/>
                <w:lang w:eastAsia="ja-JP"/>
              </w:rPr>
              <w:t>-3</w:t>
            </w:r>
            <w:r>
              <w:rPr>
                <w:lang w:eastAsia="ja-JP"/>
              </w:rPr>
              <w:t>/µL</w:t>
            </w:r>
            <w:r w:rsidR="00A7727F" w:rsidRPr="00A7727F">
              <w:rPr>
                <w:lang w:eastAsia="ja-JP"/>
              </w:rPr>
              <w:t>)</w:t>
            </w:r>
          </w:p>
        </w:tc>
      </w:tr>
      <w:tr w:rsidR="00A7727F" w:rsidRPr="00A7727F" w14:paraId="65FB729B" w14:textId="77777777" w:rsidTr="007B270B">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316" w:type="pct"/>
            <w:vMerge/>
          </w:tcPr>
          <w:p w14:paraId="17032D4A" w14:textId="77777777" w:rsidR="00A7727F" w:rsidRPr="00A7727F" w:rsidRDefault="00A7727F" w:rsidP="00977804">
            <w:pPr>
              <w:keepNext/>
              <w:rPr>
                <w:lang w:eastAsia="ja-JP"/>
              </w:rPr>
            </w:pPr>
          </w:p>
        </w:tc>
        <w:tc>
          <w:tcPr>
            <w:tcW w:w="609" w:type="pct"/>
          </w:tcPr>
          <w:p w14:paraId="6FED217C" w14:textId="77777777" w:rsidR="00A7727F" w:rsidRPr="00A7727F" w:rsidRDefault="00A7727F" w:rsidP="0097780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Nadir</w:t>
            </w:r>
          </w:p>
        </w:tc>
        <w:tc>
          <w:tcPr>
            <w:tcW w:w="848" w:type="pct"/>
          </w:tcPr>
          <w:p w14:paraId="772A7553" w14:textId="77777777" w:rsidR="00A7727F" w:rsidRPr="00A7727F" w:rsidRDefault="00A7727F" w:rsidP="0097780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Maximum</w:t>
            </w:r>
          </w:p>
        </w:tc>
        <w:tc>
          <w:tcPr>
            <w:tcW w:w="769" w:type="pct"/>
          </w:tcPr>
          <w:p w14:paraId="32E3E4EB" w14:textId="77777777" w:rsidR="00A7727F" w:rsidRPr="00A7727F" w:rsidRDefault="00A7727F" w:rsidP="0097780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Baseline</w:t>
            </w:r>
          </w:p>
        </w:tc>
        <w:tc>
          <w:tcPr>
            <w:tcW w:w="609" w:type="pct"/>
          </w:tcPr>
          <w:p w14:paraId="6BD1D745" w14:textId="77777777" w:rsidR="00A7727F" w:rsidRPr="00A7727F" w:rsidRDefault="00A7727F" w:rsidP="0097780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Nadir</w:t>
            </w:r>
          </w:p>
        </w:tc>
        <w:tc>
          <w:tcPr>
            <w:tcW w:w="848" w:type="pct"/>
          </w:tcPr>
          <w:p w14:paraId="6C3C7257" w14:textId="77777777" w:rsidR="00A7727F" w:rsidRPr="00A7727F" w:rsidRDefault="00A7727F" w:rsidP="0097780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Maximum</w:t>
            </w:r>
          </w:p>
        </w:tc>
      </w:tr>
      <w:tr w:rsidR="00A7727F" w:rsidRPr="00A7727F" w14:paraId="362C0E61" w14:textId="77777777" w:rsidTr="007B270B">
        <w:trPr>
          <w:trHeight w:val="737"/>
        </w:trPr>
        <w:tc>
          <w:tcPr>
            <w:cnfStyle w:val="001000000000" w:firstRow="0" w:lastRow="0" w:firstColumn="1" w:lastColumn="0" w:oddVBand="0" w:evenVBand="0" w:oddHBand="0" w:evenHBand="0" w:firstRowFirstColumn="0" w:firstRowLastColumn="0" w:lastRowFirstColumn="0" w:lastRowLastColumn="0"/>
            <w:tcW w:w="1316" w:type="pct"/>
          </w:tcPr>
          <w:p w14:paraId="7A68A003" w14:textId="34243DBC" w:rsidR="00A7727F" w:rsidRPr="00A7727F" w:rsidRDefault="00977804" w:rsidP="004E0E6B">
            <w:pPr>
              <w:keepNext/>
              <w:ind w:left="0" w:right="0"/>
              <w:rPr>
                <w:lang w:eastAsia="ja-JP"/>
              </w:rPr>
            </w:pPr>
            <w:r>
              <w:rPr>
                <w:lang w:eastAsia="ja-JP"/>
              </w:rPr>
              <w:t>0.5 to</w:t>
            </w:r>
            <w:r w:rsidR="00A7727F" w:rsidRPr="00A7727F">
              <w:rPr>
                <w:lang w:eastAsia="ja-JP"/>
              </w:rPr>
              <w:t xml:space="preserve"> 5</w:t>
            </w:r>
            <w:r w:rsidR="00375CAE">
              <w:rPr>
                <w:lang w:eastAsia="ja-JP"/>
              </w:rPr>
              <w:t xml:space="preserve"> </w:t>
            </w:r>
            <w:r w:rsidR="0018721C">
              <w:rPr>
                <w:lang w:eastAsia="ja-JP"/>
              </w:rPr>
              <w:t>µg</w:t>
            </w:r>
            <w:r w:rsidR="00A7727F" w:rsidRPr="00A7727F">
              <w:rPr>
                <w:lang w:eastAsia="ja-JP"/>
              </w:rPr>
              <w:t>/m</w:t>
            </w:r>
            <w:r w:rsidR="00A7727F" w:rsidRPr="00A7727F">
              <w:rPr>
                <w:vertAlign w:val="superscript"/>
                <w:lang w:eastAsia="ja-JP"/>
              </w:rPr>
              <w:t>2</w:t>
            </w:r>
            <w:r w:rsidR="00A7727F" w:rsidRPr="00A7727F">
              <w:rPr>
                <w:lang w:eastAsia="ja-JP"/>
              </w:rPr>
              <w:t>/day (N</w:t>
            </w:r>
            <w:r>
              <w:rPr>
                <w:lang w:eastAsia="ja-JP"/>
              </w:rPr>
              <w:t> </w:t>
            </w:r>
            <w:r w:rsidR="00423768">
              <w:rPr>
                <w:lang w:eastAsia="ja-JP"/>
              </w:rPr>
              <w:t>=</w:t>
            </w:r>
            <w:r>
              <w:rPr>
                <w:lang w:eastAsia="ja-JP"/>
              </w:rPr>
              <w:t> </w:t>
            </w:r>
            <w:r w:rsidR="00A7727F" w:rsidRPr="00A7727F">
              <w:rPr>
                <w:lang w:eastAsia="ja-JP"/>
              </w:rPr>
              <w:t>12)</w:t>
            </w:r>
          </w:p>
        </w:tc>
        <w:tc>
          <w:tcPr>
            <w:tcW w:w="609" w:type="pct"/>
          </w:tcPr>
          <w:p w14:paraId="1ACF8F06"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1.25</w:t>
            </w:r>
          </w:p>
        </w:tc>
        <w:tc>
          <w:tcPr>
            <w:tcW w:w="848" w:type="pct"/>
          </w:tcPr>
          <w:p w14:paraId="27AE9D71"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29</w:t>
            </w:r>
          </w:p>
        </w:tc>
        <w:tc>
          <w:tcPr>
            <w:tcW w:w="769" w:type="pct"/>
          </w:tcPr>
          <w:p w14:paraId="70DABDBB" w14:textId="2A29A4B9"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0.411</w:t>
            </w:r>
            <w:r w:rsidR="00977804">
              <w:rPr>
                <w:lang w:eastAsia="ja-JP"/>
              </w:rPr>
              <w:t xml:space="preserve"> </w:t>
            </w:r>
            <w:r w:rsidRPr="00A7727F">
              <w:rPr>
                <w:lang w:eastAsia="ja-JP"/>
              </w:rPr>
              <w:t>±</w:t>
            </w:r>
            <w:r w:rsidR="00977804">
              <w:rPr>
                <w:lang w:eastAsia="ja-JP"/>
              </w:rPr>
              <w:t xml:space="preserve"> </w:t>
            </w:r>
            <w:r w:rsidRPr="00A7727F">
              <w:rPr>
                <w:lang w:eastAsia="ja-JP"/>
              </w:rPr>
              <w:t>0.059</w:t>
            </w:r>
          </w:p>
        </w:tc>
        <w:tc>
          <w:tcPr>
            <w:tcW w:w="609" w:type="pct"/>
          </w:tcPr>
          <w:p w14:paraId="12ADAC4B" w14:textId="308F699F"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0.098</w:t>
            </w:r>
            <w:r w:rsidR="00977804">
              <w:rPr>
                <w:lang w:eastAsia="ja-JP"/>
              </w:rPr>
              <w:t xml:space="preserve"> </w:t>
            </w:r>
            <w:r w:rsidRPr="00A7727F">
              <w:rPr>
                <w:lang w:eastAsia="ja-JP"/>
              </w:rPr>
              <w:t>±</w:t>
            </w:r>
            <w:r w:rsidR="00977804">
              <w:rPr>
                <w:lang w:eastAsia="ja-JP"/>
              </w:rPr>
              <w:t xml:space="preserve"> </w:t>
            </w:r>
            <w:r w:rsidRPr="00A7727F">
              <w:rPr>
                <w:lang w:eastAsia="ja-JP"/>
              </w:rPr>
              <w:t>0.029</w:t>
            </w:r>
          </w:p>
        </w:tc>
        <w:tc>
          <w:tcPr>
            <w:tcW w:w="848" w:type="pct"/>
          </w:tcPr>
          <w:p w14:paraId="2BB76861" w14:textId="41996BBD"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0.500</w:t>
            </w:r>
            <w:r w:rsidR="00977804">
              <w:rPr>
                <w:lang w:eastAsia="ja-JP"/>
              </w:rPr>
              <w:t xml:space="preserve"> </w:t>
            </w:r>
            <w:r w:rsidRPr="00A7727F">
              <w:rPr>
                <w:lang w:eastAsia="ja-JP"/>
              </w:rPr>
              <w:t>±</w:t>
            </w:r>
            <w:r w:rsidR="00977804">
              <w:rPr>
                <w:lang w:eastAsia="ja-JP"/>
              </w:rPr>
              <w:t xml:space="preserve"> </w:t>
            </w:r>
            <w:r w:rsidRPr="00A7727F">
              <w:rPr>
                <w:lang w:eastAsia="ja-JP"/>
              </w:rPr>
              <w:t>0.113</w:t>
            </w:r>
          </w:p>
        </w:tc>
      </w:tr>
      <w:tr w:rsidR="00A7727F" w:rsidRPr="00A7727F" w14:paraId="5E673809" w14:textId="77777777" w:rsidTr="007B270B">
        <w:trPr>
          <w:trHeight w:val="726"/>
        </w:trPr>
        <w:tc>
          <w:tcPr>
            <w:cnfStyle w:val="001000000000" w:firstRow="0" w:lastRow="0" w:firstColumn="1" w:lastColumn="0" w:oddVBand="0" w:evenVBand="0" w:oddHBand="0" w:evenHBand="0" w:firstRowFirstColumn="0" w:firstRowLastColumn="0" w:lastRowFirstColumn="0" w:lastRowLastColumn="0"/>
            <w:tcW w:w="1316" w:type="pct"/>
          </w:tcPr>
          <w:p w14:paraId="53308178" w14:textId="5180FFEF" w:rsidR="00A7727F" w:rsidRPr="00A7727F" w:rsidRDefault="00977804" w:rsidP="004E0E6B">
            <w:pPr>
              <w:keepNext/>
              <w:ind w:left="0" w:right="0"/>
              <w:rPr>
                <w:lang w:eastAsia="ja-JP"/>
              </w:rPr>
            </w:pPr>
            <w:r>
              <w:rPr>
                <w:lang w:eastAsia="ja-JP"/>
              </w:rPr>
              <w:t xml:space="preserve">15 to </w:t>
            </w:r>
            <w:r w:rsidR="00A7727F" w:rsidRPr="00A7727F">
              <w:rPr>
                <w:lang w:eastAsia="ja-JP"/>
              </w:rPr>
              <w:t>30</w:t>
            </w:r>
            <w:r w:rsidR="00375CAE">
              <w:rPr>
                <w:lang w:eastAsia="ja-JP"/>
              </w:rPr>
              <w:t xml:space="preserve"> </w:t>
            </w:r>
            <w:r w:rsidR="0018721C">
              <w:rPr>
                <w:lang w:eastAsia="ja-JP"/>
              </w:rPr>
              <w:t>µg</w:t>
            </w:r>
            <w:r w:rsidR="00A7727F" w:rsidRPr="00A7727F">
              <w:rPr>
                <w:lang w:eastAsia="ja-JP"/>
              </w:rPr>
              <w:t>/m</w:t>
            </w:r>
            <w:r w:rsidR="00A7727F" w:rsidRPr="00A7727F">
              <w:rPr>
                <w:vertAlign w:val="superscript"/>
                <w:lang w:eastAsia="ja-JP"/>
              </w:rPr>
              <w:t>2</w:t>
            </w:r>
            <w:r w:rsidR="00A7727F" w:rsidRPr="00A7727F">
              <w:rPr>
                <w:lang w:eastAsia="ja-JP"/>
              </w:rPr>
              <w:t>/day (N</w:t>
            </w:r>
            <w:r>
              <w:rPr>
                <w:lang w:eastAsia="ja-JP"/>
              </w:rPr>
              <w:t> </w:t>
            </w:r>
            <w:r w:rsidR="00423768">
              <w:rPr>
                <w:lang w:eastAsia="ja-JP"/>
              </w:rPr>
              <w:t>=</w:t>
            </w:r>
            <w:r>
              <w:rPr>
                <w:lang w:eastAsia="ja-JP"/>
              </w:rPr>
              <w:t> </w:t>
            </w:r>
            <w:r w:rsidR="00A7727F" w:rsidRPr="00A7727F">
              <w:rPr>
                <w:lang w:eastAsia="ja-JP"/>
              </w:rPr>
              <w:t>19)</w:t>
            </w:r>
          </w:p>
        </w:tc>
        <w:tc>
          <w:tcPr>
            <w:tcW w:w="609" w:type="pct"/>
          </w:tcPr>
          <w:p w14:paraId="06E3B775"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1.5</w:t>
            </w:r>
          </w:p>
        </w:tc>
        <w:tc>
          <w:tcPr>
            <w:tcW w:w="848" w:type="pct"/>
          </w:tcPr>
          <w:p w14:paraId="6901B554"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22</w:t>
            </w:r>
          </w:p>
        </w:tc>
        <w:tc>
          <w:tcPr>
            <w:tcW w:w="769" w:type="pct"/>
          </w:tcPr>
          <w:p w14:paraId="01964FB4" w14:textId="6CF10C2D"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0.342</w:t>
            </w:r>
            <w:r w:rsidR="00977804">
              <w:rPr>
                <w:lang w:eastAsia="ja-JP"/>
              </w:rPr>
              <w:t xml:space="preserve"> </w:t>
            </w:r>
            <w:r w:rsidRPr="00A7727F">
              <w:rPr>
                <w:lang w:eastAsia="ja-JP"/>
              </w:rPr>
              <w:t>±</w:t>
            </w:r>
            <w:r w:rsidR="00977804">
              <w:rPr>
                <w:lang w:eastAsia="ja-JP"/>
              </w:rPr>
              <w:t xml:space="preserve"> </w:t>
            </w:r>
            <w:r w:rsidRPr="00A7727F">
              <w:rPr>
                <w:lang w:eastAsia="ja-JP"/>
              </w:rPr>
              <w:t>0.056</w:t>
            </w:r>
          </w:p>
        </w:tc>
        <w:tc>
          <w:tcPr>
            <w:tcW w:w="609" w:type="pct"/>
          </w:tcPr>
          <w:p w14:paraId="7E7C6D5A" w14:textId="50A0BBFD"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0.068</w:t>
            </w:r>
            <w:r w:rsidR="00977804">
              <w:rPr>
                <w:lang w:eastAsia="ja-JP"/>
              </w:rPr>
              <w:t xml:space="preserve"> </w:t>
            </w:r>
            <w:r w:rsidRPr="00A7727F">
              <w:rPr>
                <w:lang w:eastAsia="ja-JP"/>
              </w:rPr>
              <w:t>±</w:t>
            </w:r>
            <w:r w:rsidR="00977804">
              <w:rPr>
                <w:lang w:eastAsia="ja-JP"/>
              </w:rPr>
              <w:t xml:space="preserve"> </w:t>
            </w:r>
            <w:r w:rsidRPr="00A7727F">
              <w:rPr>
                <w:lang w:eastAsia="ja-JP"/>
              </w:rPr>
              <w:t>0.028</w:t>
            </w:r>
          </w:p>
        </w:tc>
        <w:tc>
          <w:tcPr>
            <w:tcW w:w="848" w:type="pct"/>
          </w:tcPr>
          <w:p w14:paraId="067C020C" w14:textId="2B85B7C4"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0.729</w:t>
            </w:r>
            <w:r w:rsidR="00977804">
              <w:rPr>
                <w:lang w:eastAsia="ja-JP"/>
              </w:rPr>
              <w:t xml:space="preserve"> </w:t>
            </w:r>
            <w:r w:rsidRPr="00A7727F">
              <w:rPr>
                <w:lang w:eastAsia="ja-JP"/>
              </w:rPr>
              <w:t>±</w:t>
            </w:r>
            <w:r w:rsidR="00977804">
              <w:rPr>
                <w:lang w:eastAsia="ja-JP"/>
              </w:rPr>
              <w:t xml:space="preserve"> </w:t>
            </w:r>
            <w:r w:rsidRPr="00A7727F">
              <w:rPr>
                <w:lang w:eastAsia="ja-JP"/>
              </w:rPr>
              <w:t>0.175</w:t>
            </w:r>
          </w:p>
        </w:tc>
      </w:tr>
      <w:tr w:rsidR="00A7727F" w:rsidRPr="00A7727F" w14:paraId="1AC8BFE2" w14:textId="77777777" w:rsidTr="007B270B">
        <w:trPr>
          <w:trHeight w:val="726"/>
        </w:trPr>
        <w:tc>
          <w:tcPr>
            <w:cnfStyle w:val="001000000000" w:firstRow="0" w:lastRow="0" w:firstColumn="1" w:lastColumn="0" w:oddVBand="0" w:evenVBand="0" w:oddHBand="0" w:evenHBand="0" w:firstRowFirstColumn="0" w:firstRowLastColumn="0" w:lastRowFirstColumn="0" w:lastRowLastColumn="0"/>
            <w:tcW w:w="1316" w:type="pct"/>
          </w:tcPr>
          <w:p w14:paraId="38DD9B85" w14:textId="358F9CBA" w:rsidR="00A7727F" w:rsidRPr="00A7727F" w:rsidRDefault="00A7727F" w:rsidP="004E0E6B">
            <w:pPr>
              <w:keepNext/>
              <w:ind w:left="0" w:right="0"/>
              <w:rPr>
                <w:lang w:eastAsia="ja-JP"/>
              </w:rPr>
            </w:pPr>
            <w:r w:rsidRPr="00A7727F">
              <w:rPr>
                <w:lang w:eastAsia="ja-JP"/>
              </w:rPr>
              <w:t>60</w:t>
            </w:r>
            <w:r w:rsidR="00BA3485">
              <w:rPr>
                <w:lang w:eastAsia="ja-JP"/>
              </w:rPr>
              <w:t xml:space="preserve"> to </w:t>
            </w:r>
            <w:r w:rsidRPr="00A7727F">
              <w:rPr>
                <w:lang w:eastAsia="ja-JP"/>
              </w:rPr>
              <w:t>90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(N</w:t>
            </w:r>
            <w:r w:rsidR="00375CAE">
              <w:rPr>
                <w:lang w:eastAsia="ja-JP"/>
              </w:rPr>
              <w:t xml:space="preserve"> </w:t>
            </w:r>
            <w:r w:rsidR="00423768">
              <w:rPr>
                <w:lang w:eastAsia="ja-JP"/>
              </w:rPr>
              <w:t>=</w:t>
            </w:r>
            <w:r w:rsidR="00375CAE">
              <w:rPr>
                <w:lang w:eastAsia="ja-JP"/>
              </w:rPr>
              <w:t xml:space="preserve"> </w:t>
            </w:r>
            <w:r w:rsidRPr="00A7727F">
              <w:rPr>
                <w:lang w:eastAsia="ja-JP"/>
              </w:rPr>
              <w:t>13)</w:t>
            </w:r>
          </w:p>
        </w:tc>
        <w:tc>
          <w:tcPr>
            <w:tcW w:w="609" w:type="pct"/>
          </w:tcPr>
          <w:p w14:paraId="28A40686"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w:t>
            </w:r>
          </w:p>
        </w:tc>
        <w:tc>
          <w:tcPr>
            <w:tcW w:w="848" w:type="pct"/>
          </w:tcPr>
          <w:p w14:paraId="379B07EA"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w:t>
            </w:r>
          </w:p>
        </w:tc>
        <w:tc>
          <w:tcPr>
            <w:tcW w:w="769" w:type="pct"/>
          </w:tcPr>
          <w:p w14:paraId="518B6F8D" w14:textId="10CE5E3F"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0.644</w:t>
            </w:r>
            <w:r w:rsidR="00977804">
              <w:rPr>
                <w:lang w:eastAsia="ja-JP"/>
              </w:rPr>
              <w:t xml:space="preserve"> </w:t>
            </w:r>
            <w:r w:rsidRPr="00A7727F">
              <w:rPr>
                <w:lang w:eastAsia="ja-JP"/>
              </w:rPr>
              <w:t>±</w:t>
            </w:r>
            <w:r w:rsidR="00977804">
              <w:rPr>
                <w:lang w:eastAsia="ja-JP"/>
              </w:rPr>
              <w:t xml:space="preserve"> </w:t>
            </w:r>
            <w:r w:rsidRPr="00A7727F">
              <w:rPr>
                <w:lang w:eastAsia="ja-JP"/>
              </w:rPr>
              <w:t>0.173</w:t>
            </w:r>
          </w:p>
        </w:tc>
        <w:tc>
          <w:tcPr>
            <w:tcW w:w="609" w:type="pct"/>
          </w:tcPr>
          <w:p w14:paraId="6D43625D" w14:textId="047D6E0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0.034</w:t>
            </w:r>
            <w:r w:rsidR="00977804">
              <w:rPr>
                <w:lang w:eastAsia="ja-JP"/>
              </w:rPr>
              <w:t xml:space="preserve"> </w:t>
            </w:r>
            <w:r w:rsidRPr="00A7727F">
              <w:rPr>
                <w:lang w:eastAsia="ja-JP"/>
              </w:rPr>
              <w:t>±</w:t>
            </w:r>
            <w:r w:rsidR="00977804">
              <w:rPr>
                <w:lang w:eastAsia="ja-JP"/>
              </w:rPr>
              <w:t xml:space="preserve"> </w:t>
            </w:r>
            <w:r w:rsidRPr="00A7727F">
              <w:rPr>
                <w:lang w:eastAsia="ja-JP"/>
              </w:rPr>
              <w:t>0.014</w:t>
            </w:r>
          </w:p>
        </w:tc>
        <w:tc>
          <w:tcPr>
            <w:tcW w:w="848" w:type="pct"/>
          </w:tcPr>
          <w:p w14:paraId="4D218A70" w14:textId="7E935045"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0.770</w:t>
            </w:r>
            <w:r w:rsidR="00977804">
              <w:rPr>
                <w:lang w:eastAsia="ja-JP"/>
              </w:rPr>
              <w:t xml:space="preserve"> </w:t>
            </w:r>
            <w:r w:rsidRPr="00A7727F">
              <w:rPr>
                <w:lang w:eastAsia="ja-JP"/>
              </w:rPr>
              <w:t>±</w:t>
            </w:r>
            <w:r w:rsidR="00977804">
              <w:rPr>
                <w:lang w:eastAsia="ja-JP"/>
              </w:rPr>
              <w:t xml:space="preserve"> </w:t>
            </w:r>
            <w:r w:rsidRPr="00A7727F">
              <w:rPr>
                <w:lang w:eastAsia="ja-JP"/>
              </w:rPr>
              <w:t>0.243</w:t>
            </w:r>
          </w:p>
        </w:tc>
      </w:tr>
      <w:tr w:rsidR="00A7727F" w:rsidRPr="00A7727F" w14:paraId="71927DBB" w14:textId="77777777" w:rsidTr="007B270B">
        <w:trPr>
          <w:trHeight w:val="737"/>
        </w:trPr>
        <w:tc>
          <w:tcPr>
            <w:cnfStyle w:val="001000000000" w:firstRow="0" w:lastRow="0" w:firstColumn="1" w:lastColumn="0" w:oddVBand="0" w:evenVBand="0" w:oddHBand="0" w:evenHBand="0" w:firstRowFirstColumn="0" w:firstRowLastColumn="0" w:lastRowFirstColumn="0" w:lastRowLastColumn="0"/>
            <w:tcW w:w="1316" w:type="pct"/>
            <w:vMerge w:val="restart"/>
          </w:tcPr>
          <w:p w14:paraId="2539E0A7" w14:textId="4EBCA5C1" w:rsidR="00A7727F" w:rsidRPr="00A7727F" w:rsidRDefault="00A7727F" w:rsidP="004E0E6B">
            <w:pPr>
              <w:keepNext/>
              <w:ind w:left="0" w:right="0"/>
              <w:rPr>
                <w:lang w:eastAsia="ja-JP"/>
              </w:rPr>
            </w:pPr>
            <w:r w:rsidRPr="00A7727F">
              <w:rPr>
                <w:lang w:eastAsia="ja-JP"/>
              </w:rPr>
              <w:t>60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targe</w:t>
            </w:r>
            <w:r w:rsidR="00977804">
              <w:rPr>
                <w:lang w:eastAsia="ja-JP"/>
              </w:rPr>
              <w:t xml:space="preserve">t dose achieved with dose </w:t>
            </w:r>
            <w:r w:rsidRPr="00A7727F">
              <w:rPr>
                <w:lang w:eastAsia="ja-JP"/>
              </w:rPr>
              <w:t>stepping</w:t>
            </w:r>
            <w:r w:rsidR="00586C19">
              <w:rPr>
                <w:lang w:eastAsia="ja-JP"/>
              </w:rPr>
              <w:t xml:space="preserve"> </w:t>
            </w:r>
            <w:r w:rsidRPr="00A7727F">
              <w:rPr>
                <w:vertAlign w:val="superscript"/>
                <w:lang w:eastAsia="ja-JP"/>
              </w:rPr>
              <w:t>a</w:t>
            </w:r>
            <w:r w:rsidRPr="00A7727F">
              <w:rPr>
                <w:lang w:eastAsia="ja-JP"/>
              </w:rPr>
              <w:t xml:space="preserve"> (N</w:t>
            </w:r>
            <w:r w:rsidR="00977804">
              <w:rPr>
                <w:lang w:eastAsia="ja-JP"/>
              </w:rPr>
              <w:t> </w:t>
            </w:r>
            <w:r w:rsidR="00423768">
              <w:rPr>
                <w:lang w:eastAsia="ja-JP"/>
              </w:rPr>
              <w:t>=</w:t>
            </w:r>
            <w:r w:rsidR="00977804">
              <w:rPr>
                <w:lang w:eastAsia="ja-JP"/>
              </w:rPr>
              <w:t> 32)</w:t>
            </w:r>
          </w:p>
        </w:tc>
        <w:tc>
          <w:tcPr>
            <w:tcW w:w="609" w:type="pct"/>
          </w:tcPr>
          <w:p w14:paraId="386C1DAB"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1.25</w:t>
            </w:r>
          </w:p>
        </w:tc>
        <w:tc>
          <w:tcPr>
            <w:tcW w:w="848" w:type="pct"/>
          </w:tcPr>
          <w:p w14:paraId="26BAE909"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36</w:t>
            </w:r>
          </w:p>
        </w:tc>
        <w:tc>
          <w:tcPr>
            <w:tcW w:w="769" w:type="pct"/>
          </w:tcPr>
          <w:p w14:paraId="6B8AD5C9" w14:textId="3C21A03B"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0.503</w:t>
            </w:r>
            <w:r w:rsidR="00977804">
              <w:rPr>
                <w:lang w:eastAsia="ja-JP"/>
              </w:rPr>
              <w:t xml:space="preserve"> </w:t>
            </w:r>
            <w:r w:rsidRPr="00A7727F">
              <w:rPr>
                <w:lang w:eastAsia="ja-JP"/>
              </w:rPr>
              <w:t>±</w:t>
            </w:r>
            <w:r w:rsidR="00977804">
              <w:rPr>
                <w:lang w:eastAsia="ja-JP"/>
              </w:rPr>
              <w:t xml:space="preserve"> </w:t>
            </w:r>
            <w:r w:rsidRPr="00A7727F">
              <w:rPr>
                <w:lang w:eastAsia="ja-JP"/>
              </w:rPr>
              <w:t>0.070</w:t>
            </w:r>
          </w:p>
        </w:tc>
        <w:tc>
          <w:tcPr>
            <w:tcW w:w="609" w:type="pct"/>
          </w:tcPr>
          <w:p w14:paraId="48385FDA" w14:textId="49F4E3C0"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0.120</w:t>
            </w:r>
            <w:r w:rsidR="00977804">
              <w:rPr>
                <w:lang w:eastAsia="ja-JP"/>
              </w:rPr>
              <w:t xml:space="preserve"> </w:t>
            </w:r>
            <w:r w:rsidRPr="00A7727F">
              <w:rPr>
                <w:lang w:eastAsia="ja-JP"/>
              </w:rPr>
              <w:t>±</w:t>
            </w:r>
            <w:r w:rsidR="00977804">
              <w:rPr>
                <w:lang w:eastAsia="ja-JP"/>
              </w:rPr>
              <w:t xml:space="preserve"> </w:t>
            </w:r>
            <w:r w:rsidRPr="00A7727F">
              <w:rPr>
                <w:lang w:eastAsia="ja-JP"/>
              </w:rPr>
              <w:t>0.003</w:t>
            </w:r>
          </w:p>
        </w:tc>
        <w:tc>
          <w:tcPr>
            <w:tcW w:w="848" w:type="pct"/>
          </w:tcPr>
          <w:p w14:paraId="35C21453" w14:textId="5F99FD75"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0.605</w:t>
            </w:r>
            <w:r w:rsidR="00977804">
              <w:rPr>
                <w:lang w:eastAsia="ja-JP"/>
              </w:rPr>
              <w:t xml:space="preserve"> </w:t>
            </w:r>
            <w:r w:rsidRPr="00A7727F">
              <w:rPr>
                <w:lang w:eastAsia="ja-JP"/>
              </w:rPr>
              <w:t>±</w:t>
            </w:r>
            <w:r w:rsidR="00977804">
              <w:rPr>
                <w:lang w:eastAsia="ja-JP"/>
              </w:rPr>
              <w:t xml:space="preserve"> </w:t>
            </w:r>
            <w:r w:rsidRPr="00A7727F">
              <w:rPr>
                <w:lang w:eastAsia="ja-JP"/>
              </w:rPr>
              <w:t>0.111</w:t>
            </w:r>
          </w:p>
        </w:tc>
      </w:tr>
      <w:tr w:rsidR="00A7727F" w:rsidRPr="00A7727F" w14:paraId="39E3E3D6" w14:textId="77777777" w:rsidTr="007B270B">
        <w:trPr>
          <w:trHeight w:val="140"/>
        </w:trPr>
        <w:tc>
          <w:tcPr>
            <w:cnfStyle w:val="001000000000" w:firstRow="0" w:lastRow="0" w:firstColumn="1" w:lastColumn="0" w:oddVBand="0" w:evenVBand="0" w:oddHBand="0" w:evenHBand="0" w:firstRowFirstColumn="0" w:firstRowLastColumn="0" w:lastRowFirstColumn="0" w:lastRowLastColumn="0"/>
            <w:tcW w:w="1316" w:type="pct"/>
            <w:vMerge/>
          </w:tcPr>
          <w:p w14:paraId="1BEE5703" w14:textId="77777777" w:rsidR="00A7727F" w:rsidRPr="00A7727F" w:rsidRDefault="00A7727F" w:rsidP="004E0E6B">
            <w:pPr>
              <w:keepNext/>
              <w:ind w:left="0" w:right="0"/>
              <w:rPr>
                <w:lang w:eastAsia="ja-JP"/>
              </w:rPr>
            </w:pPr>
          </w:p>
        </w:tc>
        <w:tc>
          <w:tcPr>
            <w:tcW w:w="609" w:type="pct"/>
          </w:tcPr>
          <w:p w14:paraId="218CCD1B"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8.25</w:t>
            </w:r>
          </w:p>
        </w:tc>
        <w:tc>
          <w:tcPr>
            <w:tcW w:w="848" w:type="pct"/>
          </w:tcPr>
          <w:p w14:paraId="31A5556F"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769" w:type="pct"/>
          </w:tcPr>
          <w:p w14:paraId="2ECB47E3"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609" w:type="pct"/>
          </w:tcPr>
          <w:p w14:paraId="47918AA8" w14:textId="32BBD95B"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0.220</w:t>
            </w:r>
            <w:r w:rsidR="00977804">
              <w:rPr>
                <w:lang w:eastAsia="ja-JP"/>
              </w:rPr>
              <w:t xml:space="preserve"> </w:t>
            </w:r>
            <w:r w:rsidRPr="00A7727F">
              <w:rPr>
                <w:lang w:eastAsia="ja-JP"/>
              </w:rPr>
              <w:t>±</w:t>
            </w:r>
            <w:r w:rsidR="00977804">
              <w:rPr>
                <w:lang w:eastAsia="ja-JP"/>
              </w:rPr>
              <w:t xml:space="preserve"> </w:t>
            </w:r>
            <w:r w:rsidRPr="00A7727F">
              <w:rPr>
                <w:lang w:eastAsia="ja-JP"/>
              </w:rPr>
              <w:t>0.031</w:t>
            </w:r>
          </w:p>
        </w:tc>
        <w:tc>
          <w:tcPr>
            <w:tcW w:w="848" w:type="pct"/>
          </w:tcPr>
          <w:p w14:paraId="35813BE7"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A7727F" w:rsidRPr="00A7727F" w14:paraId="7EB92FED" w14:textId="77777777" w:rsidTr="007B270B">
        <w:trPr>
          <w:trHeight w:val="140"/>
        </w:trPr>
        <w:tc>
          <w:tcPr>
            <w:cnfStyle w:val="001000000000" w:firstRow="0" w:lastRow="0" w:firstColumn="1" w:lastColumn="0" w:oddVBand="0" w:evenVBand="0" w:oddHBand="0" w:evenHBand="0" w:firstRowFirstColumn="0" w:firstRowLastColumn="0" w:lastRowFirstColumn="0" w:lastRowLastColumn="0"/>
            <w:tcW w:w="1316" w:type="pct"/>
            <w:vMerge/>
          </w:tcPr>
          <w:p w14:paraId="76A85730" w14:textId="77777777" w:rsidR="00A7727F" w:rsidRPr="00A7727F" w:rsidRDefault="00A7727F" w:rsidP="004E0E6B">
            <w:pPr>
              <w:keepNext/>
              <w:ind w:left="0" w:right="0"/>
              <w:rPr>
                <w:lang w:eastAsia="ja-JP"/>
              </w:rPr>
            </w:pPr>
          </w:p>
        </w:tc>
        <w:tc>
          <w:tcPr>
            <w:tcW w:w="609" w:type="pct"/>
          </w:tcPr>
          <w:p w14:paraId="3325D376"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15.5</w:t>
            </w:r>
          </w:p>
        </w:tc>
        <w:tc>
          <w:tcPr>
            <w:tcW w:w="848" w:type="pct"/>
          </w:tcPr>
          <w:p w14:paraId="4D2E15A1"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769" w:type="pct"/>
          </w:tcPr>
          <w:p w14:paraId="7C00B16E"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609" w:type="pct"/>
          </w:tcPr>
          <w:p w14:paraId="41A3B109" w14:textId="74EFE89E"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0.158</w:t>
            </w:r>
            <w:r w:rsidR="00977804">
              <w:rPr>
                <w:lang w:eastAsia="ja-JP"/>
              </w:rPr>
              <w:t xml:space="preserve"> </w:t>
            </w:r>
            <w:r w:rsidRPr="00A7727F">
              <w:rPr>
                <w:lang w:eastAsia="ja-JP"/>
              </w:rPr>
              <w:t>±</w:t>
            </w:r>
            <w:r w:rsidR="00977804">
              <w:rPr>
                <w:lang w:eastAsia="ja-JP"/>
              </w:rPr>
              <w:t xml:space="preserve"> </w:t>
            </w:r>
            <w:r w:rsidRPr="00A7727F">
              <w:rPr>
                <w:lang w:eastAsia="ja-JP"/>
              </w:rPr>
              <w:t>0.051</w:t>
            </w:r>
          </w:p>
        </w:tc>
        <w:tc>
          <w:tcPr>
            <w:tcW w:w="848" w:type="pct"/>
          </w:tcPr>
          <w:p w14:paraId="3FCB8BA6" w14:textId="77777777" w:rsidR="00A7727F" w:rsidRPr="00A7727F" w:rsidRDefault="00A7727F" w:rsidP="004E0E6B">
            <w:pPr>
              <w:keepNext/>
              <w:ind w:left="0" w:right="0"/>
              <w:cnfStyle w:val="000000000000" w:firstRow="0" w:lastRow="0" w:firstColumn="0" w:lastColumn="0" w:oddVBand="0" w:evenVBand="0" w:oddHBand="0" w:evenHBand="0" w:firstRowFirstColumn="0" w:firstRowLastColumn="0" w:lastRowFirstColumn="0" w:lastRowLastColumn="0"/>
              <w:rPr>
                <w:lang w:eastAsia="ja-JP"/>
              </w:rPr>
            </w:pPr>
          </w:p>
        </w:tc>
      </w:tr>
    </w:tbl>
    <w:p w14:paraId="7438DB72" w14:textId="7B2EAEE3" w:rsidR="00A7727F" w:rsidRPr="00A7727F" w:rsidRDefault="00A7727F" w:rsidP="004E0E6B">
      <w:pPr>
        <w:pStyle w:val="TableDescription"/>
        <w:rPr>
          <w:lang w:eastAsia="ja-JP"/>
        </w:rPr>
      </w:pPr>
      <w:r w:rsidRPr="00A7727F">
        <w:rPr>
          <w:lang w:eastAsia="ja-JP"/>
        </w:rPr>
        <w:t>SEM</w:t>
      </w:r>
      <w:r w:rsidR="00375CAE">
        <w:rPr>
          <w:lang w:eastAsia="ja-JP"/>
        </w:rPr>
        <w:t xml:space="preserve"> </w:t>
      </w:r>
      <w:r w:rsidR="00423768">
        <w:rPr>
          <w:lang w:eastAsia="ja-JP"/>
        </w:rPr>
        <w:t>=</w:t>
      </w:r>
      <w:r w:rsidR="00375CAE">
        <w:rPr>
          <w:lang w:eastAsia="ja-JP"/>
        </w:rPr>
        <w:t xml:space="preserve"> </w:t>
      </w:r>
      <w:r w:rsidR="002308F6">
        <w:rPr>
          <w:lang w:eastAsia="ja-JP"/>
        </w:rPr>
        <w:t xml:space="preserve">standard error of the mean. a) </w:t>
      </w:r>
      <w:r w:rsidRPr="00A7727F">
        <w:rPr>
          <w:lang w:eastAsia="ja-JP"/>
        </w:rPr>
        <w:t>Dose stepping includes 5 to 60, 15 to 60 and 5 to 15 to 60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with 1 week interval between dose steps.</w:t>
      </w:r>
    </w:p>
    <w:p w14:paraId="44479841" w14:textId="23D1CCB7" w:rsidR="00A7727F" w:rsidRPr="00A7727F" w:rsidRDefault="00A7727F" w:rsidP="00A7727F">
      <w:pPr>
        <w:rPr>
          <w:lang w:eastAsia="ja-JP"/>
        </w:rPr>
      </w:pPr>
      <w:r w:rsidRPr="00A7727F">
        <w:rPr>
          <w:lang w:eastAsia="ja-JP"/>
        </w:rPr>
        <w:t>T cell profiles over time appeared to be similar across studies, with no apparent effect of disease type (</w:t>
      </w:r>
      <w:r w:rsidR="004E0E6B">
        <w:rPr>
          <w:lang w:eastAsia="ja-JP"/>
        </w:rPr>
        <w:t>that is,</w:t>
      </w:r>
      <w:r w:rsidRPr="00A7727F">
        <w:rPr>
          <w:lang w:eastAsia="ja-JP"/>
        </w:rPr>
        <w:t xml:space="preserve"> NHL and ALL) (</w:t>
      </w:r>
      <w:r w:rsidR="004E0E6B">
        <w:rPr>
          <w:lang w:eastAsia="ja-JP"/>
        </w:rPr>
        <w:t xml:space="preserve">Study </w:t>
      </w:r>
      <w:r w:rsidRPr="00A7727F">
        <w:rPr>
          <w:lang w:eastAsia="ja-JP"/>
        </w:rPr>
        <w:t xml:space="preserve">MT103-104 CSR, </w:t>
      </w:r>
      <w:r w:rsidR="004E0E6B">
        <w:rPr>
          <w:lang w:eastAsia="ja-JP"/>
        </w:rPr>
        <w:t xml:space="preserve">Study </w:t>
      </w:r>
      <w:r w:rsidRPr="00A7727F">
        <w:rPr>
          <w:lang w:eastAsia="ja-JP"/>
        </w:rPr>
        <w:t xml:space="preserve">MT103-202 CSR). As </w:t>
      </w:r>
      <w:r w:rsidR="00586C19">
        <w:rPr>
          <w:lang w:eastAsia="ja-JP"/>
        </w:rPr>
        <w:t>T cell</w:t>
      </w:r>
      <w:r w:rsidRPr="00A7727F">
        <w:rPr>
          <w:lang w:eastAsia="ja-JP"/>
        </w:rPr>
        <w:t xml:space="preserve"> dynamics may be associated wi</w:t>
      </w:r>
      <w:r w:rsidR="004E0E6B">
        <w:rPr>
          <w:lang w:eastAsia="ja-JP"/>
        </w:rPr>
        <w:t>th baseline T cell levels, the s</w:t>
      </w:r>
      <w:r w:rsidRPr="00A7727F">
        <w:rPr>
          <w:lang w:eastAsia="ja-JP"/>
        </w:rPr>
        <w:t>ponsor summar</w:t>
      </w:r>
      <w:r w:rsidR="00D50F7E">
        <w:rPr>
          <w:lang w:eastAsia="ja-JP"/>
        </w:rPr>
        <w:t>ised</w:t>
      </w:r>
      <w:r w:rsidR="004E0E6B">
        <w:rPr>
          <w:lang w:eastAsia="ja-JP"/>
        </w:rPr>
        <w:t xml:space="preserve"> baseline T cells for the 4 </w:t>
      </w:r>
      <w:r w:rsidRPr="00A7727F">
        <w:rPr>
          <w:lang w:eastAsia="ja-JP"/>
        </w:rPr>
        <w:t>studies and explored associations between baseline T cells with baseline demographic factors. Results showed that baseline T cells appeared to be similar across studies with large inter-subject variability (</w:t>
      </w:r>
      <w:r w:rsidR="004E0E6B" w:rsidRPr="00CA07E8">
        <w:rPr>
          <w:lang w:eastAsia="ja-JP"/>
        </w:rPr>
        <w:t xml:space="preserve">see </w:t>
      </w:r>
      <w:r w:rsidRPr="00CA07E8">
        <w:rPr>
          <w:lang w:eastAsia="ja-JP"/>
        </w:rPr>
        <w:t>Tab</w:t>
      </w:r>
      <w:r w:rsidR="002308F6" w:rsidRPr="00CA07E8">
        <w:rPr>
          <w:lang w:eastAsia="ja-JP"/>
        </w:rPr>
        <w:t>le 12, below</w:t>
      </w:r>
      <w:r w:rsidRPr="00CA07E8">
        <w:rPr>
          <w:lang w:eastAsia="ja-JP"/>
        </w:rPr>
        <w:t>) and were not associated with any demographic factors (</w:t>
      </w:r>
      <w:r w:rsidR="004E0E6B" w:rsidRPr="00CA07E8">
        <w:rPr>
          <w:lang w:eastAsia="ja-JP"/>
        </w:rPr>
        <w:t xml:space="preserve">see </w:t>
      </w:r>
      <w:r w:rsidRPr="00CA07E8">
        <w:rPr>
          <w:lang w:eastAsia="ja-JP"/>
        </w:rPr>
        <w:t>Figure 14</w:t>
      </w:r>
      <w:r w:rsidR="00CA07E8" w:rsidRPr="00CA07E8">
        <w:rPr>
          <w:lang w:eastAsia="ja-JP"/>
        </w:rPr>
        <w:t>, also below</w:t>
      </w:r>
      <w:r w:rsidRPr="00CA07E8">
        <w:rPr>
          <w:lang w:eastAsia="ja-JP"/>
        </w:rPr>
        <w:t>).</w:t>
      </w:r>
    </w:p>
    <w:p w14:paraId="09A8C890" w14:textId="378CD092" w:rsidR="00A7727F" w:rsidRPr="00A7727F" w:rsidRDefault="00A7727F" w:rsidP="004E0E6B">
      <w:pPr>
        <w:pStyle w:val="Tabletitle"/>
        <w:rPr>
          <w:lang w:eastAsia="ja-JP"/>
        </w:rPr>
      </w:pPr>
      <w:bookmarkStart w:id="143" w:name="_Toc292015695"/>
      <w:r w:rsidRPr="00A7727F">
        <w:rPr>
          <w:lang w:eastAsia="ja-JP"/>
        </w:rPr>
        <w:t xml:space="preserve">Table </w:t>
      </w:r>
      <w:r w:rsidR="00586C19">
        <w:rPr>
          <w:lang w:eastAsia="ja-JP"/>
        </w:rPr>
        <w:t>12:</w:t>
      </w:r>
      <w:r w:rsidR="004E0E6B">
        <w:rPr>
          <w:lang w:eastAsia="ja-JP"/>
        </w:rPr>
        <w:t xml:space="preserve"> Mean (± SD) baseline T cell levels in s</w:t>
      </w:r>
      <w:r w:rsidRPr="00A7727F">
        <w:rPr>
          <w:lang w:eastAsia="ja-JP"/>
        </w:rPr>
        <w:t>ubjects with NHL, MRD+ ALL and R/R ALL</w:t>
      </w:r>
      <w:bookmarkEnd w:id="143"/>
    </w:p>
    <w:tbl>
      <w:tblPr>
        <w:tblStyle w:val="TableTGAblue"/>
        <w:tblW w:w="0" w:type="auto"/>
        <w:tblLook w:val="04A0" w:firstRow="1" w:lastRow="0" w:firstColumn="1" w:lastColumn="0" w:noHBand="0" w:noVBand="1"/>
        <w:tblDescription w:val="Table 12: Mean (± SD) baseline T cell levels in subjects with NHL, MRD+ ALL and R/R ALL"/>
      </w:tblPr>
      <w:tblGrid>
        <w:gridCol w:w="2249"/>
        <w:gridCol w:w="2251"/>
        <w:gridCol w:w="2225"/>
        <w:gridCol w:w="2250"/>
      </w:tblGrid>
      <w:tr w:rsidR="00A7727F" w:rsidRPr="00A7727F" w14:paraId="37152801" w14:textId="77777777" w:rsidTr="007B7D09">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2249" w:type="dxa"/>
          </w:tcPr>
          <w:p w14:paraId="2B22F2B6" w14:textId="1784411C" w:rsidR="00A7727F" w:rsidRPr="004E0E6B" w:rsidRDefault="00A7727F" w:rsidP="00A7727F">
            <w:pPr>
              <w:rPr>
                <w:bCs/>
                <w:lang w:eastAsia="ja-JP"/>
              </w:rPr>
            </w:pPr>
            <w:r w:rsidRPr="004E0E6B">
              <w:rPr>
                <w:bCs/>
                <w:lang w:eastAsia="ja-JP"/>
              </w:rPr>
              <w:t>Study</w:t>
            </w:r>
            <w:r w:rsidR="004E0E6B">
              <w:rPr>
                <w:bCs/>
                <w:lang w:eastAsia="ja-JP"/>
              </w:rPr>
              <w:t xml:space="preserve"> ID</w:t>
            </w:r>
          </w:p>
        </w:tc>
        <w:tc>
          <w:tcPr>
            <w:tcW w:w="2251" w:type="dxa"/>
          </w:tcPr>
          <w:p w14:paraId="76C60502" w14:textId="77777777" w:rsidR="00A7727F" w:rsidRPr="004E0E6B" w:rsidRDefault="00A7727F" w:rsidP="00A7727F">
            <w:pPr>
              <w:cnfStyle w:val="100000000000" w:firstRow="1" w:lastRow="0" w:firstColumn="0" w:lastColumn="0" w:oddVBand="0" w:evenVBand="0" w:oddHBand="0" w:evenHBand="0" w:firstRowFirstColumn="0" w:firstRowLastColumn="0" w:lastRowFirstColumn="0" w:lastRowLastColumn="0"/>
              <w:rPr>
                <w:bCs/>
                <w:lang w:eastAsia="ja-JP"/>
              </w:rPr>
            </w:pPr>
            <w:r w:rsidRPr="004E0E6B">
              <w:rPr>
                <w:bCs/>
                <w:lang w:eastAsia="ja-JP"/>
              </w:rPr>
              <w:t>Disease</w:t>
            </w:r>
          </w:p>
        </w:tc>
        <w:tc>
          <w:tcPr>
            <w:tcW w:w="2225" w:type="dxa"/>
          </w:tcPr>
          <w:p w14:paraId="25BB1637" w14:textId="77777777" w:rsidR="00A7727F" w:rsidRPr="004E0E6B" w:rsidRDefault="00A7727F" w:rsidP="00A7727F">
            <w:pPr>
              <w:cnfStyle w:val="100000000000" w:firstRow="1" w:lastRow="0" w:firstColumn="0" w:lastColumn="0" w:oddVBand="0" w:evenVBand="0" w:oddHBand="0" w:evenHBand="0" w:firstRowFirstColumn="0" w:firstRowLastColumn="0" w:lastRowFirstColumn="0" w:lastRowLastColumn="0"/>
              <w:rPr>
                <w:bCs/>
                <w:lang w:eastAsia="ja-JP"/>
              </w:rPr>
            </w:pPr>
            <w:r w:rsidRPr="004E0E6B">
              <w:rPr>
                <w:bCs/>
                <w:lang w:eastAsia="ja-JP"/>
              </w:rPr>
              <w:t>N</w:t>
            </w:r>
          </w:p>
        </w:tc>
        <w:tc>
          <w:tcPr>
            <w:tcW w:w="2250" w:type="dxa"/>
          </w:tcPr>
          <w:p w14:paraId="154FF275" w14:textId="77777777" w:rsidR="00A7727F" w:rsidRPr="004E0E6B" w:rsidRDefault="00A7727F" w:rsidP="00A7727F">
            <w:pPr>
              <w:cnfStyle w:val="100000000000" w:firstRow="1" w:lastRow="0" w:firstColumn="0" w:lastColumn="0" w:oddVBand="0" w:evenVBand="0" w:oddHBand="0" w:evenHBand="0" w:firstRowFirstColumn="0" w:firstRowLastColumn="0" w:lastRowFirstColumn="0" w:lastRowLastColumn="0"/>
              <w:rPr>
                <w:bCs/>
                <w:lang w:eastAsia="ja-JP"/>
              </w:rPr>
            </w:pPr>
            <w:r w:rsidRPr="004E0E6B">
              <w:rPr>
                <w:bCs/>
                <w:lang w:eastAsia="ja-JP"/>
              </w:rPr>
              <w:t>CD3+ T Cells (10</w:t>
            </w:r>
            <w:r w:rsidRPr="004E0E6B">
              <w:rPr>
                <w:bCs/>
                <w:vertAlign w:val="superscript"/>
                <w:lang w:eastAsia="ja-JP"/>
              </w:rPr>
              <w:t>9</w:t>
            </w:r>
            <w:r w:rsidRPr="004E0E6B">
              <w:rPr>
                <w:bCs/>
                <w:lang w:eastAsia="ja-JP"/>
              </w:rPr>
              <w:t>/L)</w:t>
            </w:r>
          </w:p>
        </w:tc>
      </w:tr>
      <w:tr w:rsidR="00A7727F" w:rsidRPr="00A7727F" w14:paraId="123780DA" w14:textId="77777777" w:rsidTr="007B270B">
        <w:trPr>
          <w:trHeight w:val="493"/>
        </w:trPr>
        <w:tc>
          <w:tcPr>
            <w:cnfStyle w:val="001000000000" w:firstRow="0" w:lastRow="0" w:firstColumn="1" w:lastColumn="0" w:oddVBand="0" w:evenVBand="0" w:oddHBand="0" w:evenHBand="0" w:firstRowFirstColumn="0" w:firstRowLastColumn="0" w:lastRowFirstColumn="0" w:lastRowLastColumn="0"/>
            <w:tcW w:w="2249" w:type="dxa"/>
          </w:tcPr>
          <w:p w14:paraId="41AC7C5D" w14:textId="77777777" w:rsidR="00A7727F" w:rsidRPr="004E0E6B" w:rsidRDefault="00A7727F" w:rsidP="00A7727F">
            <w:pPr>
              <w:rPr>
                <w:bCs/>
                <w:lang w:eastAsia="ja-JP"/>
              </w:rPr>
            </w:pPr>
            <w:r w:rsidRPr="004E0E6B">
              <w:rPr>
                <w:bCs/>
                <w:lang w:eastAsia="ja-JP"/>
              </w:rPr>
              <w:t>MT103-104</w:t>
            </w:r>
          </w:p>
        </w:tc>
        <w:tc>
          <w:tcPr>
            <w:tcW w:w="2251" w:type="dxa"/>
          </w:tcPr>
          <w:p w14:paraId="112BD900"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NHL</w:t>
            </w:r>
          </w:p>
        </w:tc>
        <w:tc>
          <w:tcPr>
            <w:tcW w:w="2225" w:type="dxa"/>
          </w:tcPr>
          <w:p w14:paraId="5A3086FA"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76</w:t>
            </w:r>
          </w:p>
        </w:tc>
        <w:tc>
          <w:tcPr>
            <w:tcW w:w="2250" w:type="dxa"/>
          </w:tcPr>
          <w:p w14:paraId="12B70495"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0.470 ± 0.395</w:t>
            </w:r>
          </w:p>
        </w:tc>
      </w:tr>
      <w:tr w:rsidR="00A7727F" w:rsidRPr="00A7727F" w14:paraId="1215F859" w14:textId="77777777" w:rsidTr="007B270B">
        <w:trPr>
          <w:trHeight w:val="493"/>
        </w:trPr>
        <w:tc>
          <w:tcPr>
            <w:cnfStyle w:val="001000000000" w:firstRow="0" w:lastRow="0" w:firstColumn="1" w:lastColumn="0" w:oddVBand="0" w:evenVBand="0" w:oddHBand="0" w:evenHBand="0" w:firstRowFirstColumn="0" w:firstRowLastColumn="0" w:lastRowFirstColumn="0" w:lastRowLastColumn="0"/>
            <w:tcW w:w="2249" w:type="dxa"/>
          </w:tcPr>
          <w:p w14:paraId="7656F1ED" w14:textId="77777777" w:rsidR="00A7727F" w:rsidRPr="004E0E6B" w:rsidRDefault="00A7727F" w:rsidP="00A7727F">
            <w:pPr>
              <w:rPr>
                <w:bCs/>
                <w:lang w:eastAsia="ja-JP"/>
              </w:rPr>
            </w:pPr>
            <w:r w:rsidRPr="004E0E6B">
              <w:rPr>
                <w:bCs/>
                <w:lang w:eastAsia="ja-JP"/>
              </w:rPr>
              <w:t>MT103-202</w:t>
            </w:r>
          </w:p>
        </w:tc>
        <w:tc>
          <w:tcPr>
            <w:tcW w:w="2251" w:type="dxa"/>
          </w:tcPr>
          <w:p w14:paraId="008BFCEC"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MRD+ ALL</w:t>
            </w:r>
          </w:p>
        </w:tc>
        <w:tc>
          <w:tcPr>
            <w:tcW w:w="2225" w:type="dxa"/>
          </w:tcPr>
          <w:p w14:paraId="1572ABE6"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21</w:t>
            </w:r>
          </w:p>
        </w:tc>
        <w:tc>
          <w:tcPr>
            <w:tcW w:w="2250" w:type="dxa"/>
          </w:tcPr>
          <w:p w14:paraId="6B3958F1"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0.499 ± 0.292</w:t>
            </w:r>
          </w:p>
        </w:tc>
      </w:tr>
      <w:tr w:rsidR="00A7727F" w:rsidRPr="00A7727F" w14:paraId="271D82F5" w14:textId="77777777" w:rsidTr="007B270B">
        <w:trPr>
          <w:trHeight w:val="493"/>
        </w:trPr>
        <w:tc>
          <w:tcPr>
            <w:cnfStyle w:val="001000000000" w:firstRow="0" w:lastRow="0" w:firstColumn="1" w:lastColumn="0" w:oddVBand="0" w:evenVBand="0" w:oddHBand="0" w:evenHBand="0" w:firstRowFirstColumn="0" w:firstRowLastColumn="0" w:lastRowFirstColumn="0" w:lastRowLastColumn="0"/>
            <w:tcW w:w="2249" w:type="dxa"/>
          </w:tcPr>
          <w:p w14:paraId="6FE521A8" w14:textId="77777777" w:rsidR="00A7727F" w:rsidRPr="004E0E6B" w:rsidRDefault="00A7727F" w:rsidP="00A7727F">
            <w:pPr>
              <w:rPr>
                <w:bCs/>
                <w:lang w:eastAsia="ja-JP"/>
              </w:rPr>
            </w:pPr>
            <w:r w:rsidRPr="004E0E6B">
              <w:rPr>
                <w:bCs/>
                <w:lang w:eastAsia="ja-JP"/>
              </w:rPr>
              <w:t>MT103-206</w:t>
            </w:r>
          </w:p>
        </w:tc>
        <w:tc>
          <w:tcPr>
            <w:tcW w:w="2251" w:type="dxa"/>
          </w:tcPr>
          <w:p w14:paraId="44491421"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R/R ALL</w:t>
            </w:r>
          </w:p>
        </w:tc>
        <w:tc>
          <w:tcPr>
            <w:tcW w:w="2225" w:type="dxa"/>
          </w:tcPr>
          <w:p w14:paraId="4296179F"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31</w:t>
            </w:r>
          </w:p>
        </w:tc>
        <w:tc>
          <w:tcPr>
            <w:tcW w:w="2250" w:type="dxa"/>
          </w:tcPr>
          <w:p w14:paraId="1314FC3E"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0.486 ± 0.619</w:t>
            </w:r>
          </w:p>
        </w:tc>
      </w:tr>
      <w:tr w:rsidR="00A7727F" w:rsidRPr="00A7727F" w14:paraId="7B8025CC" w14:textId="77777777" w:rsidTr="007B270B">
        <w:trPr>
          <w:trHeight w:val="505"/>
        </w:trPr>
        <w:tc>
          <w:tcPr>
            <w:cnfStyle w:val="001000000000" w:firstRow="0" w:lastRow="0" w:firstColumn="1" w:lastColumn="0" w:oddVBand="0" w:evenVBand="0" w:oddHBand="0" w:evenHBand="0" w:firstRowFirstColumn="0" w:firstRowLastColumn="0" w:lastRowFirstColumn="0" w:lastRowLastColumn="0"/>
            <w:tcW w:w="2249" w:type="dxa"/>
          </w:tcPr>
          <w:p w14:paraId="3235BFD4" w14:textId="77777777" w:rsidR="00A7727F" w:rsidRPr="004E0E6B" w:rsidRDefault="00A7727F" w:rsidP="00A7727F">
            <w:pPr>
              <w:rPr>
                <w:bCs/>
                <w:lang w:eastAsia="ja-JP"/>
              </w:rPr>
            </w:pPr>
            <w:r w:rsidRPr="004E0E6B">
              <w:rPr>
                <w:bCs/>
                <w:lang w:eastAsia="ja-JP"/>
              </w:rPr>
              <w:t>MT103-211</w:t>
            </w:r>
          </w:p>
        </w:tc>
        <w:tc>
          <w:tcPr>
            <w:tcW w:w="2251" w:type="dxa"/>
          </w:tcPr>
          <w:p w14:paraId="530D0527"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R/R ALL</w:t>
            </w:r>
          </w:p>
        </w:tc>
        <w:tc>
          <w:tcPr>
            <w:tcW w:w="2225" w:type="dxa"/>
          </w:tcPr>
          <w:p w14:paraId="358B7A8B"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174</w:t>
            </w:r>
          </w:p>
        </w:tc>
        <w:tc>
          <w:tcPr>
            <w:tcW w:w="2250" w:type="dxa"/>
          </w:tcPr>
          <w:p w14:paraId="42E8E403"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0.721 ± 0.752</w:t>
            </w:r>
          </w:p>
        </w:tc>
      </w:tr>
    </w:tbl>
    <w:p w14:paraId="1D3100B6" w14:textId="376CB92E" w:rsidR="00A7727F" w:rsidRPr="00A7727F" w:rsidRDefault="00A7727F" w:rsidP="004E0E6B">
      <w:pPr>
        <w:pStyle w:val="TableDescription"/>
        <w:rPr>
          <w:lang w:eastAsia="ja-JP"/>
        </w:rPr>
      </w:pPr>
      <w:r w:rsidRPr="00A7727F">
        <w:rPr>
          <w:lang w:eastAsia="ja-JP"/>
        </w:rPr>
        <w:t>ALL</w:t>
      </w:r>
      <w:r w:rsidR="00375CAE">
        <w:rPr>
          <w:lang w:eastAsia="ja-JP"/>
        </w:rPr>
        <w:t xml:space="preserve"> </w:t>
      </w:r>
      <w:r w:rsidR="00423768">
        <w:rPr>
          <w:lang w:eastAsia="ja-JP"/>
        </w:rPr>
        <w:t>=</w:t>
      </w:r>
      <w:r w:rsidR="00375CAE">
        <w:rPr>
          <w:lang w:eastAsia="ja-JP"/>
        </w:rPr>
        <w:t xml:space="preserve"> </w:t>
      </w:r>
      <w:r w:rsidRPr="00A7727F">
        <w:rPr>
          <w:lang w:eastAsia="ja-JP"/>
        </w:rPr>
        <w:t xml:space="preserve">acute lymphoblastic </w:t>
      </w:r>
      <w:r w:rsidR="00A972DD" w:rsidRPr="00A7727F">
        <w:rPr>
          <w:lang w:eastAsia="ja-JP"/>
        </w:rPr>
        <w:t>leukaemia</w:t>
      </w:r>
      <w:r w:rsidRPr="00A7727F">
        <w:rPr>
          <w:lang w:eastAsia="ja-JP"/>
        </w:rPr>
        <w:t>; MRD</w:t>
      </w:r>
      <w:r w:rsidR="00375CAE">
        <w:rPr>
          <w:lang w:eastAsia="ja-JP"/>
        </w:rPr>
        <w:t xml:space="preserve"> </w:t>
      </w:r>
      <w:r w:rsidR="00423768">
        <w:rPr>
          <w:lang w:eastAsia="ja-JP"/>
        </w:rPr>
        <w:t>=</w:t>
      </w:r>
      <w:r w:rsidR="00375CAE">
        <w:rPr>
          <w:lang w:eastAsia="ja-JP"/>
        </w:rPr>
        <w:t xml:space="preserve"> </w:t>
      </w:r>
      <w:r w:rsidRPr="00A7727F">
        <w:rPr>
          <w:lang w:eastAsia="ja-JP"/>
        </w:rPr>
        <w:t>minimal residual disease; NHL</w:t>
      </w:r>
      <w:r w:rsidR="00375CAE">
        <w:rPr>
          <w:lang w:eastAsia="ja-JP"/>
        </w:rPr>
        <w:t xml:space="preserve"> </w:t>
      </w:r>
      <w:r w:rsidR="00423768">
        <w:rPr>
          <w:lang w:eastAsia="ja-JP"/>
        </w:rPr>
        <w:t>=</w:t>
      </w:r>
      <w:r w:rsidR="00375CAE">
        <w:rPr>
          <w:lang w:eastAsia="ja-JP"/>
        </w:rPr>
        <w:t xml:space="preserve"> </w:t>
      </w:r>
      <w:r w:rsidRPr="00A7727F">
        <w:rPr>
          <w:lang w:eastAsia="ja-JP"/>
        </w:rPr>
        <w:t>non-Hodgkin’s lymphoma; R/R</w:t>
      </w:r>
      <w:r w:rsidR="00375CAE">
        <w:rPr>
          <w:lang w:eastAsia="ja-JP"/>
        </w:rPr>
        <w:t xml:space="preserve"> </w:t>
      </w:r>
      <w:r w:rsidR="00423768">
        <w:rPr>
          <w:lang w:eastAsia="ja-JP"/>
        </w:rPr>
        <w:t>=</w:t>
      </w:r>
      <w:r w:rsidR="00375CAE">
        <w:rPr>
          <w:lang w:eastAsia="ja-JP"/>
        </w:rPr>
        <w:t xml:space="preserve"> </w:t>
      </w:r>
      <w:r w:rsidRPr="00A7727F">
        <w:rPr>
          <w:lang w:eastAsia="ja-JP"/>
        </w:rPr>
        <w:t>relapsed/refractory; SD</w:t>
      </w:r>
      <w:r w:rsidR="00375CAE">
        <w:rPr>
          <w:lang w:eastAsia="ja-JP"/>
        </w:rPr>
        <w:t xml:space="preserve"> </w:t>
      </w:r>
      <w:r w:rsidR="00423768">
        <w:rPr>
          <w:lang w:eastAsia="ja-JP"/>
        </w:rPr>
        <w:t>=</w:t>
      </w:r>
      <w:r w:rsidR="00375CAE">
        <w:rPr>
          <w:lang w:eastAsia="ja-JP"/>
        </w:rPr>
        <w:t xml:space="preserve"> </w:t>
      </w:r>
      <w:r w:rsidRPr="00A7727F">
        <w:rPr>
          <w:lang w:eastAsia="ja-JP"/>
        </w:rPr>
        <w:t>standard deviation.</w:t>
      </w:r>
    </w:p>
    <w:p w14:paraId="7BF50D5F" w14:textId="7D982A09" w:rsidR="00A7727F" w:rsidRPr="00A7727F" w:rsidRDefault="00A7727F" w:rsidP="004E0E6B">
      <w:pPr>
        <w:pStyle w:val="FigureTitle"/>
        <w:keepNext/>
        <w:rPr>
          <w:lang w:eastAsia="ja-JP"/>
        </w:rPr>
      </w:pPr>
      <w:bookmarkStart w:id="144" w:name="_Toc292015794"/>
      <w:r w:rsidRPr="00A7727F">
        <w:rPr>
          <w:lang w:eastAsia="ja-JP"/>
        </w:rPr>
        <w:t xml:space="preserve">Figure </w:t>
      </w:r>
      <w:r w:rsidR="00586C19">
        <w:rPr>
          <w:lang w:eastAsia="ja-JP"/>
        </w:rPr>
        <w:t>14:</w:t>
      </w:r>
      <w:r w:rsidR="004E0E6B">
        <w:rPr>
          <w:lang w:eastAsia="ja-JP"/>
        </w:rPr>
        <w:t xml:space="preserve"> Baseline T cells versus age, sex, weight and body surface a</w:t>
      </w:r>
      <w:r w:rsidRPr="00A7727F">
        <w:rPr>
          <w:lang w:eastAsia="ja-JP"/>
        </w:rPr>
        <w:t>rea</w:t>
      </w:r>
      <w:bookmarkEnd w:id="144"/>
    </w:p>
    <w:p w14:paraId="6E76F080" w14:textId="15CDE239" w:rsidR="00A7727F" w:rsidRPr="00A7727F" w:rsidRDefault="00A7727F" w:rsidP="004E0E6B">
      <w:pPr>
        <w:keepNext/>
        <w:rPr>
          <w:lang w:eastAsia="ja-JP"/>
        </w:rPr>
      </w:pPr>
      <w:r w:rsidRPr="00A7727F">
        <w:rPr>
          <w:noProof/>
          <w:lang w:eastAsia="en-AU"/>
        </w:rPr>
        <w:drawing>
          <wp:inline distT="0" distB="0" distL="0" distR="0" wp14:anchorId="3B889685" wp14:editId="62077759">
            <wp:extent cx="4795520" cy="3827780"/>
            <wp:effectExtent l="0" t="0" r="5080" b="1270"/>
            <wp:docPr id="88" name="Picture 88" descr="Figure 14: Baseline T cells versus age, sex, weight and body surface area&#10;" title="Baseline T cells versus age, sex, weight and body surface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5520" cy="3827780"/>
                    </a:xfrm>
                    <a:prstGeom prst="rect">
                      <a:avLst/>
                    </a:prstGeom>
                    <a:noFill/>
                    <a:ln>
                      <a:noFill/>
                    </a:ln>
                  </pic:spPr>
                </pic:pic>
              </a:graphicData>
            </a:graphic>
          </wp:inline>
        </w:drawing>
      </w:r>
    </w:p>
    <w:p w14:paraId="63F550D7" w14:textId="45BD2AF8" w:rsidR="00A7727F" w:rsidRPr="00A7727F" w:rsidRDefault="004E0E6B" w:rsidP="004E0E6B">
      <w:pPr>
        <w:pStyle w:val="Heading5"/>
      </w:pPr>
      <w:bookmarkStart w:id="145" w:name="_Toc292015598"/>
      <w:r>
        <w:t>Exposure and B cell r</w:t>
      </w:r>
      <w:r w:rsidR="00A7727F" w:rsidRPr="00A7727F">
        <w:t>elationship</w:t>
      </w:r>
      <w:bookmarkEnd w:id="145"/>
    </w:p>
    <w:p w14:paraId="552B4011" w14:textId="35201C6E" w:rsidR="00A7727F" w:rsidRPr="00A7727F" w:rsidRDefault="00A7727F" w:rsidP="00A7727F">
      <w:pPr>
        <w:rPr>
          <w:lang w:eastAsia="ja-JP"/>
        </w:rPr>
      </w:pPr>
      <w:r w:rsidRPr="00A7727F">
        <w:rPr>
          <w:lang w:eastAsia="ja-JP"/>
        </w:rPr>
        <w:t>B-cell depletion is dependent on blinatumomab dose, and the rate of depletion depended on the initial dose. In clinical studies, complete or near complete depletion of peripheral B cells was observed during the first 2 days of treatment in most patients receiving blinatumomab initial doses</w:t>
      </w:r>
      <w:r w:rsidR="00375CAE">
        <w:rPr>
          <w:lang w:eastAsia="ja-JP"/>
        </w:rPr>
        <w:t xml:space="preserve"> </w:t>
      </w:r>
      <w:r w:rsidR="00423768">
        <w:rPr>
          <w:lang w:eastAsia="ja-JP"/>
        </w:rPr>
        <w:t>≥</w:t>
      </w:r>
      <w:r w:rsidR="00375CAE">
        <w:rPr>
          <w:lang w:eastAsia="ja-JP"/>
        </w:rPr>
        <w:t xml:space="preserve"> </w:t>
      </w:r>
      <w:r w:rsidRPr="00A7727F">
        <w:rPr>
          <w:lang w:eastAsia="ja-JP"/>
        </w:rPr>
        <w:t>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(or 9</w:t>
      </w:r>
      <w:r w:rsidR="00375CAE">
        <w:rPr>
          <w:lang w:eastAsia="ja-JP"/>
        </w:rPr>
        <w:t xml:space="preserve"> </w:t>
      </w:r>
      <w:r w:rsidR="0018721C">
        <w:rPr>
          <w:lang w:eastAsia="ja-JP"/>
        </w:rPr>
        <w:t>µg</w:t>
      </w:r>
      <w:r w:rsidRPr="00A7727F">
        <w:rPr>
          <w:lang w:eastAsia="ja-JP"/>
        </w:rPr>
        <w:t xml:space="preserve">/day). Of note, B-cell depletion was not observed in a few non-responders with R/R ALL </w:t>
      </w:r>
      <w:r w:rsidRPr="00CA07E8">
        <w:rPr>
          <w:lang w:eastAsia="ja-JP"/>
        </w:rPr>
        <w:t>(</w:t>
      </w:r>
      <w:r w:rsidR="004E0E6B" w:rsidRPr="00CA07E8">
        <w:rPr>
          <w:lang w:eastAsia="ja-JP"/>
        </w:rPr>
        <w:t xml:space="preserve">see </w:t>
      </w:r>
      <w:r w:rsidR="00CA07E8" w:rsidRPr="00CA07E8">
        <w:rPr>
          <w:lang w:eastAsia="ja-JP"/>
        </w:rPr>
        <w:t>Figure 15, below</w:t>
      </w:r>
      <w:r w:rsidRPr="00CA07E8">
        <w:rPr>
          <w:lang w:eastAsia="ja-JP"/>
        </w:rPr>
        <w:t>).</w:t>
      </w:r>
    </w:p>
    <w:p w14:paraId="77459E98" w14:textId="1DACAEA6" w:rsidR="00A7727F" w:rsidRPr="00A7727F" w:rsidRDefault="00A7727F" w:rsidP="00A7727F">
      <w:pPr>
        <w:rPr>
          <w:lang w:eastAsia="ja-JP"/>
        </w:rPr>
      </w:pPr>
      <w:r w:rsidRPr="00A7727F">
        <w:rPr>
          <w:lang w:eastAsia="ja-JP"/>
        </w:rPr>
        <w:t xml:space="preserve">Data collected in the R/R ALL population (Studies MT103-206 </w:t>
      </w:r>
      <w:r w:rsidR="004E0E6B">
        <w:rPr>
          <w:lang w:eastAsia="ja-JP"/>
        </w:rPr>
        <w:t>and MT103-211) are limited to 3 </w:t>
      </w:r>
      <w:r w:rsidRPr="00A7727F">
        <w:rPr>
          <w:lang w:eastAsia="ja-JP"/>
        </w:rPr>
        <w:t>initial doses (5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004E0E6B">
        <w:rPr>
          <w:lang w:eastAsia="ja-JP"/>
        </w:rPr>
        <w:t>/day (</w:t>
      </w:r>
      <w:r w:rsidRPr="00A7727F">
        <w:rPr>
          <w:lang w:eastAsia="ja-JP"/>
        </w:rPr>
        <w:t>9</w:t>
      </w:r>
      <w:r w:rsidR="00375CAE">
        <w:rPr>
          <w:lang w:eastAsia="ja-JP"/>
        </w:rPr>
        <w:t xml:space="preserve"> </w:t>
      </w:r>
      <w:r w:rsidR="0018721C">
        <w:rPr>
          <w:lang w:eastAsia="ja-JP"/>
        </w:rPr>
        <w:t>µg</w:t>
      </w:r>
      <w:r w:rsidR="004E0E6B">
        <w:rPr>
          <w:lang w:eastAsia="ja-JP"/>
        </w:rPr>
        <w:t>/day)</w:t>
      </w:r>
      <w:r w:rsidRPr="00A7727F">
        <w:rPr>
          <w:lang w:eastAsia="ja-JP"/>
        </w:rPr>
        <w:t>,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004E0E6B">
        <w:rPr>
          <w:lang w:eastAsia="ja-JP"/>
        </w:rPr>
        <w:t>/day (</w:t>
      </w:r>
      <w:r w:rsidRPr="00A7727F">
        <w:rPr>
          <w:lang w:eastAsia="ja-JP"/>
        </w:rPr>
        <w:t>28</w:t>
      </w:r>
      <w:r w:rsidR="00375CAE">
        <w:rPr>
          <w:lang w:eastAsia="ja-JP"/>
        </w:rPr>
        <w:t xml:space="preserve"> </w:t>
      </w:r>
      <w:r w:rsidR="0018721C">
        <w:rPr>
          <w:lang w:eastAsia="ja-JP"/>
        </w:rPr>
        <w:t>µg</w:t>
      </w:r>
      <w:r w:rsidR="004E0E6B">
        <w:rPr>
          <w:lang w:eastAsia="ja-JP"/>
        </w:rPr>
        <w:t>/day)</w:t>
      </w:r>
      <w:r w:rsidRPr="00A7727F">
        <w:rPr>
          <w:lang w:eastAsia="ja-JP"/>
        </w:rPr>
        <w:t>, and 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most subjects received stepping doses (</w:t>
      </w:r>
      <w:r w:rsidR="004E0E6B">
        <w:rPr>
          <w:lang w:eastAsia="ja-JP"/>
        </w:rPr>
        <w:t xml:space="preserve">for example, </w:t>
      </w:r>
      <w:r w:rsidRPr="00A7727F">
        <w:rPr>
          <w:lang w:eastAsia="ja-JP"/>
        </w:rPr>
        <w:t>increasing from an initial dose of 9 to 28</w:t>
      </w:r>
      <w:r w:rsidR="00375CAE">
        <w:rPr>
          <w:lang w:eastAsia="ja-JP"/>
        </w:rPr>
        <w:t xml:space="preserve"> </w:t>
      </w:r>
      <w:r w:rsidR="0018721C">
        <w:rPr>
          <w:lang w:eastAsia="ja-JP"/>
        </w:rPr>
        <w:t>µg</w:t>
      </w:r>
      <w:r w:rsidRPr="00A7727F">
        <w:rPr>
          <w:lang w:eastAsia="ja-JP"/>
        </w:rPr>
        <w:t>/day or from 5 to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and B cell sampling was too sparse to capture the rapid depletion profile. For these reasons,</w:t>
      </w:r>
      <w:r w:rsidR="00CA07E8">
        <w:rPr>
          <w:lang w:eastAsia="ja-JP"/>
        </w:rPr>
        <w:t xml:space="preserve"> the exposure </w:t>
      </w:r>
      <w:r w:rsidR="004E0E6B">
        <w:rPr>
          <w:lang w:eastAsia="ja-JP"/>
        </w:rPr>
        <w:t>and</w:t>
      </w:r>
      <w:r w:rsidRPr="00A7727F">
        <w:rPr>
          <w:lang w:eastAsia="ja-JP"/>
        </w:rPr>
        <w:t xml:space="preserve"> B cell relationship was better character</w:t>
      </w:r>
      <w:r w:rsidR="00D50F7E">
        <w:rPr>
          <w:lang w:eastAsia="ja-JP"/>
        </w:rPr>
        <w:t>ised</w:t>
      </w:r>
      <w:r w:rsidRPr="00A7727F">
        <w:rPr>
          <w:lang w:eastAsia="ja-JP"/>
        </w:rPr>
        <w:t xml:space="preserve"> with data from subjects with NHL in Study MT103-104, in which a wide range of initial doses was evaluated (5 to 90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w:t>
      </w:r>
    </w:p>
    <w:p w14:paraId="32D5E6EA" w14:textId="70DCAC74" w:rsidR="00A7727F" w:rsidRPr="004E0E6B" w:rsidRDefault="00A7727F" w:rsidP="00A7727F">
      <w:pPr>
        <w:rPr>
          <w:lang w:eastAsia="ja-JP"/>
        </w:rPr>
      </w:pPr>
      <w:r w:rsidRPr="00A7727F">
        <w:rPr>
          <w:lang w:eastAsia="ja-JP"/>
        </w:rPr>
        <w:t>In Study MT103-104, the rate of B-cell depletion was determined at early time points (0 to 6 hours) after the start of infusion over the dose range of 5 to 90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The relationship between steady state concentrations (</w:t>
      </w:r>
      <w:r w:rsidR="005E5C58">
        <w:rPr>
          <w:lang w:eastAsia="ja-JP"/>
        </w:rPr>
        <w:t>C</w:t>
      </w:r>
      <w:r w:rsidR="005E5C58">
        <w:rPr>
          <w:vertAlign w:val="subscript"/>
          <w:lang w:eastAsia="ja-JP"/>
        </w:rPr>
        <w:t>ss</w:t>
      </w:r>
      <w:r w:rsidRPr="00A7727F">
        <w:rPr>
          <w:lang w:eastAsia="ja-JP"/>
        </w:rPr>
        <w:t xml:space="preserve">) after initial infusion and the percentage of B-cell depletion per hour (Kdep) is depicted in Figure 15. The B-cell depletion rate increased with increased </w:t>
      </w:r>
      <w:r w:rsidR="005E5C58">
        <w:rPr>
          <w:lang w:eastAsia="ja-JP"/>
        </w:rPr>
        <w:t>C</w:t>
      </w:r>
      <w:r w:rsidR="005E5C58">
        <w:rPr>
          <w:vertAlign w:val="subscript"/>
          <w:lang w:eastAsia="ja-JP"/>
        </w:rPr>
        <w:t>ss</w:t>
      </w:r>
      <w:r w:rsidRPr="00A7727F">
        <w:rPr>
          <w:lang w:eastAsia="ja-JP"/>
        </w:rPr>
        <w:t>, suggesting that higher drug levels were associated with faster elimination of peripheral B cells and possibly bone marrow B cells.</w:t>
      </w:r>
    </w:p>
    <w:p w14:paraId="53087579" w14:textId="2FC79A53" w:rsidR="00A7727F" w:rsidRPr="00A7727F" w:rsidRDefault="00A7727F" w:rsidP="000507F6">
      <w:pPr>
        <w:pStyle w:val="FigureTitle"/>
        <w:keepNext/>
        <w:rPr>
          <w:lang w:eastAsia="ja-JP"/>
        </w:rPr>
      </w:pPr>
      <w:bookmarkStart w:id="146" w:name="_Toc292015795"/>
      <w:r w:rsidRPr="00A7727F">
        <w:rPr>
          <w:lang w:eastAsia="ja-JP"/>
        </w:rPr>
        <w:t>Figure</w:t>
      </w:r>
      <w:r w:rsidR="00586C19">
        <w:rPr>
          <w:lang w:eastAsia="ja-JP"/>
        </w:rPr>
        <w:t>15:</w:t>
      </w:r>
      <w:r w:rsidRPr="00A7727F">
        <w:rPr>
          <w:lang w:eastAsia="ja-JP"/>
        </w:rPr>
        <w:t xml:space="preserve"> Relationship between B</w:t>
      </w:r>
      <w:r w:rsidR="000507F6" w:rsidRPr="00A7727F">
        <w:rPr>
          <w:lang w:eastAsia="ja-JP"/>
        </w:rPr>
        <w:t>-cell depletion rate and steady state blinatumomab concentration</w:t>
      </w:r>
      <w:bookmarkEnd w:id="146"/>
    </w:p>
    <w:p w14:paraId="068F9454" w14:textId="77777777" w:rsidR="00A7727F" w:rsidRPr="00A7727F" w:rsidRDefault="00A7727F" w:rsidP="000507F6">
      <w:pPr>
        <w:keepNext/>
        <w:rPr>
          <w:lang w:eastAsia="ja-JP"/>
        </w:rPr>
      </w:pPr>
      <w:r w:rsidRPr="00A7727F">
        <w:rPr>
          <w:noProof/>
          <w:lang w:eastAsia="en-AU"/>
        </w:rPr>
        <w:drawing>
          <wp:inline distT="0" distB="0" distL="0" distR="0" wp14:anchorId="4F5D0418" wp14:editId="32C29E59">
            <wp:extent cx="2924175" cy="2498725"/>
            <wp:effectExtent l="0" t="0" r="9525" b="0"/>
            <wp:docPr id="89" name="Picture 89" descr="Figure 15: Relationship between B-cell depletion rate and steady state blinatumomab concentration" title="Relationship between B-cell depletion rate and steady state blinatumomab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498725"/>
                    </a:xfrm>
                    <a:prstGeom prst="rect">
                      <a:avLst/>
                    </a:prstGeom>
                    <a:noFill/>
                    <a:ln>
                      <a:noFill/>
                    </a:ln>
                  </pic:spPr>
                </pic:pic>
              </a:graphicData>
            </a:graphic>
          </wp:inline>
        </w:drawing>
      </w:r>
    </w:p>
    <w:p w14:paraId="4D3A072C" w14:textId="2FB566B0" w:rsidR="00A7727F" w:rsidRPr="00A7727F" w:rsidRDefault="005E5C58" w:rsidP="000507F6">
      <w:pPr>
        <w:pStyle w:val="FigureDescription"/>
        <w:rPr>
          <w:lang w:eastAsia="ja-JP"/>
        </w:rPr>
      </w:pPr>
      <w:r>
        <w:rPr>
          <w:lang w:eastAsia="ja-JP"/>
        </w:rPr>
        <w:t>C</w:t>
      </w:r>
      <w:r>
        <w:rPr>
          <w:vertAlign w:val="subscript"/>
          <w:lang w:eastAsia="ja-JP"/>
        </w:rPr>
        <w:t>ss</w:t>
      </w:r>
      <w:r w:rsidR="00375CAE">
        <w:rPr>
          <w:lang w:eastAsia="ja-JP"/>
        </w:rPr>
        <w:t xml:space="preserve"> </w:t>
      </w:r>
      <w:r w:rsidR="00423768">
        <w:rPr>
          <w:lang w:eastAsia="ja-JP"/>
        </w:rPr>
        <w:t>=</w:t>
      </w:r>
      <w:r w:rsidR="00375CAE">
        <w:rPr>
          <w:lang w:eastAsia="ja-JP"/>
        </w:rPr>
        <w:t xml:space="preserve"> </w:t>
      </w:r>
      <w:r w:rsidR="00A7727F" w:rsidRPr="00A7727F">
        <w:rPr>
          <w:lang w:eastAsia="ja-JP"/>
        </w:rPr>
        <w:t>steady-state concentration.</w:t>
      </w:r>
    </w:p>
    <w:p w14:paraId="463206B7" w14:textId="78A26B43" w:rsidR="00A7727F" w:rsidRPr="00A7727F" w:rsidRDefault="00A7727F" w:rsidP="00A7727F">
      <w:pPr>
        <w:rPr>
          <w:lang w:eastAsia="ja-JP"/>
        </w:rPr>
      </w:pPr>
      <w:r w:rsidRPr="00A7727F">
        <w:rPr>
          <w:lang w:eastAsia="ja-JP"/>
        </w:rPr>
        <w:t>As peripheral B-cell dynamics may be related to baseline B-cell counts, baseline B-cell counts were summar</w:t>
      </w:r>
      <w:r w:rsidR="00D50F7E">
        <w:rPr>
          <w:lang w:eastAsia="ja-JP"/>
        </w:rPr>
        <w:t>ised</w:t>
      </w:r>
      <w:r w:rsidRPr="00A7727F">
        <w:rPr>
          <w:lang w:eastAsia="ja-JP"/>
        </w:rPr>
        <w:t xml:space="preserve"> for the 4 studies, and associations between the baseline B-cell counts and other baseline demographic fac</w:t>
      </w:r>
      <w:r w:rsidR="00CA07E8">
        <w:rPr>
          <w:lang w:eastAsia="ja-JP"/>
        </w:rPr>
        <w:t>tors were explored. Large inter</w:t>
      </w:r>
      <w:r w:rsidRPr="00A7727F">
        <w:rPr>
          <w:lang w:eastAsia="ja-JP"/>
        </w:rPr>
        <w:t>subject variability was found in the baseline B-cell counts, with the highest baseline counts observed in Study MT103-211 (</w:t>
      </w:r>
      <w:r w:rsidR="000507F6" w:rsidRPr="00CA07E8">
        <w:rPr>
          <w:lang w:eastAsia="ja-JP"/>
        </w:rPr>
        <w:t xml:space="preserve">see </w:t>
      </w:r>
      <w:r w:rsidRPr="00CA07E8">
        <w:rPr>
          <w:lang w:eastAsia="ja-JP"/>
        </w:rPr>
        <w:t>Table 1</w:t>
      </w:r>
      <w:r w:rsidR="00CA07E8" w:rsidRPr="00CA07E8">
        <w:rPr>
          <w:lang w:eastAsia="ja-JP"/>
        </w:rPr>
        <w:t>3, below</w:t>
      </w:r>
      <w:r w:rsidRPr="00A7727F">
        <w:rPr>
          <w:lang w:eastAsia="ja-JP"/>
        </w:rPr>
        <w:t xml:space="preserve">). Within the same disease type </w:t>
      </w:r>
      <w:r w:rsidR="000507F6">
        <w:rPr>
          <w:lang w:eastAsia="ja-JP"/>
        </w:rPr>
        <w:t xml:space="preserve">(for example, </w:t>
      </w:r>
      <w:r w:rsidRPr="00A7727F">
        <w:rPr>
          <w:lang w:eastAsia="ja-JP"/>
        </w:rPr>
        <w:t>R/R ALL) in Studies MT103-206 and MT103-211, baseline B-cell counts were different (p</w:t>
      </w:r>
      <w:r w:rsidR="00375CAE">
        <w:rPr>
          <w:lang w:eastAsia="ja-JP"/>
        </w:rPr>
        <w:t xml:space="preserve"> </w:t>
      </w:r>
      <w:r w:rsidR="00423768">
        <w:rPr>
          <w:lang w:eastAsia="ja-JP"/>
        </w:rPr>
        <w:t>&lt;</w:t>
      </w:r>
      <w:r w:rsidR="00375CAE">
        <w:rPr>
          <w:lang w:eastAsia="ja-JP"/>
        </w:rPr>
        <w:t xml:space="preserve"> </w:t>
      </w:r>
      <w:r w:rsidRPr="00A7727F">
        <w:rPr>
          <w:lang w:eastAsia="ja-JP"/>
        </w:rPr>
        <w:t xml:space="preserve">0.001). This may reflect differences in patient baseline characteristics </w:t>
      </w:r>
      <w:r w:rsidR="00CA07E8">
        <w:rPr>
          <w:lang w:eastAsia="ja-JP"/>
        </w:rPr>
        <w:t>for example</w:t>
      </w:r>
      <w:r w:rsidRPr="00A7727F">
        <w:rPr>
          <w:lang w:eastAsia="ja-JP"/>
        </w:rPr>
        <w:t xml:space="preserve">, a higher percentage of subjects in Study MT103-211 had shorter first remission periods, a higher percentage of blasts in bone marrow, and a higher number of prior relapse. Such differences may </w:t>
      </w:r>
      <w:r w:rsidR="000507F6">
        <w:rPr>
          <w:lang w:eastAsia="ja-JP"/>
        </w:rPr>
        <w:t xml:space="preserve">affect clinical response rate (that is, </w:t>
      </w:r>
      <w:r w:rsidRPr="00A7727F">
        <w:rPr>
          <w:lang w:eastAsia="ja-JP"/>
        </w:rPr>
        <w:t xml:space="preserve">CR/CRh*) </w:t>
      </w:r>
      <w:r w:rsidRPr="00CA07E8">
        <w:rPr>
          <w:lang w:eastAsia="ja-JP"/>
        </w:rPr>
        <w:t>(</w:t>
      </w:r>
      <w:r w:rsidR="000507F6" w:rsidRPr="00CA07E8">
        <w:rPr>
          <w:lang w:eastAsia="ja-JP"/>
        </w:rPr>
        <w:t xml:space="preserve">see </w:t>
      </w:r>
      <w:r w:rsidRPr="00CA07E8">
        <w:rPr>
          <w:lang w:eastAsia="ja-JP"/>
        </w:rPr>
        <w:t>Table 1</w:t>
      </w:r>
      <w:r w:rsidR="00CA07E8" w:rsidRPr="00CA07E8">
        <w:rPr>
          <w:lang w:eastAsia="ja-JP"/>
        </w:rPr>
        <w:t>4, below</w:t>
      </w:r>
      <w:r w:rsidRPr="00CA07E8">
        <w:rPr>
          <w:lang w:eastAsia="ja-JP"/>
        </w:rPr>
        <w:t>). Baseline B-cell counts did not appear to be associated with any demographic factors (</w:t>
      </w:r>
      <w:r w:rsidR="000507F6" w:rsidRPr="00CA07E8">
        <w:rPr>
          <w:lang w:eastAsia="ja-JP"/>
        </w:rPr>
        <w:t xml:space="preserve">see </w:t>
      </w:r>
      <w:r w:rsidRPr="00CA07E8">
        <w:rPr>
          <w:lang w:eastAsia="ja-JP"/>
        </w:rPr>
        <w:t>Figure 16</w:t>
      </w:r>
      <w:r w:rsidR="00CA07E8" w:rsidRPr="00CA07E8">
        <w:rPr>
          <w:lang w:eastAsia="ja-JP"/>
        </w:rPr>
        <w:t>, below</w:t>
      </w:r>
      <w:r w:rsidRPr="00CA07E8">
        <w:rPr>
          <w:lang w:eastAsia="ja-JP"/>
        </w:rPr>
        <w:t>).</w:t>
      </w:r>
    </w:p>
    <w:p w14:paraId="08386B42" w14:textId="6F419CC3" w:rsidR="00A7727F" w:rsidRPr="00A7727F" w:rsidRDefault="00A7727F" w:rsidP="000507F6">
      <w:pPr>
        <w:pStyle w:val="Tabletitle"/>
        <w:rPr>
          <w:lang w:eastAsia="ja-JP"/>
        </w:rPr>
      </w:pPr>
      <w:bookmarkStart w:id="147" w:name="_Toc292015696"/>
      <w:r w:rsidRPr="00A7727F">
        <w:rPr>
          <w:lang w:eastAsia="ja-JP"/>
        </w:rPr>
        <w:t xml:space="preserve">Table </w:t>
      </w:r>
      <w:r w:rsidR="00586C19">
        <w:rPr>
          <w:lang w:eastAsia="ja-JP"/>
        </w:rPr>
        <w:t>13:</w:t>
      </w:r>
      <w:r w:rsidR="00DF6B20">
        <w:rPr>
          <w:lang w:eastAsia="ja-JP"/>
        </w:rPr>
        <w:t xml:space="preserve"> </w:t>
      </w:r>
      <w:r w:rsidRPr="00A7727F">
        <w:rPr>
          <w:lang w:eastAsia="ja-JP"/>
        </w:rPr>
        <w:t xml:space="preserve">Mean (± SD) Baseline B-cell </w:t>
      </w:r>
      <w:r w:rsidR="000507F6" w:rsidRPr="00A7727F">
        <w:rPr>
          <w:lang w:eastAsia="ja-JP"/>
        </w:rPr>
        <w:t>counts in subjects w</w:t>
      </w:r>
      <w:r w:rsidRPr="00A7727F">
        <w:rPr>
          <w:lang w:eastAsia="ja-JP"/>
        </w:rPr>
        <w:t>ith NHL, MRD+ ALL and R/R ALL</w:t>
      </w:r>
      <w:bookmarkEnd w:id="147"/>
    </w:p>
    <w:tbl>
      <w:tblPr>
        <w:tblStyle w:val="TableTGAblue"/>
        <w:tblW w:w="4783" w:type="pct"/>
        <w:tblLook w:val="04A0" w:firstRow="1" w:lastRow="0" w:firstColumn="1" w:lastColumn="0" w:noHBand="0" w:noVBand="1"/>
        <w:tblDescription w:val="Table 13: Mean (± SD) Baseline B-cell counts in subjects with NHL, MRD+ ALL and R/R ALL"/>
      </w:tblPr>
      <w:tblGrid>
        <w:gridCol w:w="1551"/>
        <w:gridCol w:w="1424"/>
        <w:gridCol w:w="922"/>
        <w:gridCol w:w="1903"/>
        <w:gridCol w:w="3041"/>
      </w:tblGrid>
      <w:tr w:rsidR="000507F6" w:rsidRPr="00A7727F" w14:paraId="18723D3E" w14:textId="77777777" w:rsidTr="007B270B">
        <w:trPr>
          <w:cnfStyle w:val="100000000000" w:firstRow="1" w:lastRow="0" w:firstColumn="0" w:lastColumn="0" w:oddVBand="0" w:evenVBand="0" w:oddHBand="0" w:evenHBand="0" w:firstRowFirstColumn="0" w:firstRowLastColumn="0" w:lastRowFirstColumn="0" w:lastRowLastColumn="0"/>
          <w:trHeight w:val="472"/>
          <w:tblHeader/>
        </w:trPr>
        <w:tc>
          <w:tcPr>
            <w:cnfStyle w:val="001000000000" w:firstRow="0" w:lastRow="0" w:firstColumn="1" w:lastColumn="0" w:oddVBand="0" w:evenVBand="0" w:oddHBand="0" w:evenHBand="0" w:firstRowFirstColumn="0" w:firstRowLastColumn="0" w:lastRowFirstColumn="0" w:lastRowLastColumn="0"/>
            <w:tcW w:w="883" w:type="pct"/>
            <w:vMerge w:val="restart"/>
            <w:tcBorders>
              <w:right w:val="single" w:sz="4" w:space="0" w:color="000000"/>
            </w:tcBorders>
          </w:tcPr>
          <w:p w14:paraId="77776F1B" w14:textId="31A5335B" w:rsidR="000507F6" w:rsidRPr="00A7727F" w:rsidRDefault="000507F6" w:rsidP="00A7727F">
            <w:pPr>
              <w:rPr>
                <w:lang w:eastAsia="ja-JP"/>
              </w:rPr>
            </w:pPr>
            <w:r>
              <w:rPr>
                <w:lang w:eastAsia="ja-JP"/>
              </w:rPr>
              <w:t>Study</w:t>
            </w:r>
          </w:p>
        </w:tc>
        <w:tc>
          <w:tcPr>
            <w:tcW w:w="811" w:type="pct"/>
            <w:vMerge w:val="restart"/>
            <w:tcBorders>
              <w:left w:val="single" w:sz="4" w:space="0" w:color="000000"/>
              <w:right w:val="single" w:sz="4" w:space="0" w:color="000000"/>
            </w:tcBorders>
          </w:tcPr>
          <w:p w14:paraId="3BEE5E7D" w14:textId="29AFFD9B"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Disease</w:t>
            </w:r>
          </w:p>
        </w:tc>
        <w:tc>
          <w:tcPr>
            <w:tcW w:w="499" w:type="pct"/>
            <w:vMerge w:val="restart"/>
            <w:tcBorders>
              <w:left w:val="single" w:sz="4" w:space="0" w:color="000000"/>
              <w:right w:val="single" w:sz="4" w:space="0" w:color="000000"/>
            </w:tcBorders>
          </w:tcPr>
          <w:p w14:paraId="42ABA8AB" w14:textId="5FA0EB17"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 xml:space="preserve">N = </w:t>
            </w:r>
          </w:p>
        </w:tc>
        <w:tc>
          <w:tcPr>
            <w:tcW w:w="2807" w:type="pct"/>
            <w:gridSpan w:val="2"/>
            <w:tcBorders>
              <w:left w:val="single" w:sz="4" w:space="0" w:color="000000"/>
            </w:tcBorders>
          </w:tcPr>
          <w:p w14:paraId="4E7277FE" w14:textId="77777777"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CD19+ B Cells (10</w:t>
            </w:r>
            <w:r w:rsidRPr="00A7727F">
              <w:rPr>
                <w:vertAlign w:val="superscript"/>
                <w:lang w:eastAsia="ja-JP"/>
              </w:rPr>
              <w:t>9</w:t>
            </w:r>
            <w:r w:rsidRPr="00A7727F">
              <w:rPr>
                <w:lang w:eastAsia="ja-JP"/>
              </w:rPr>
              <w:t>/L)</w:t>
            </w:r>
          </w:p>
        </w:tc>
      </w:tr>
      <w:tr w:rsidR="000507F6" w:rsidRPr="00A7727F" w14:paraId="04973A05" w14:textId="77777777" w:rsidTr="007B270B">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883" w:type="pct"/>
            <w:vMerge/>
            <w:tcBorders>
              <w:right w:val="single" w:sz="4" w:space="0" w:color="000000"/>
            </w:tcBorders>
          </w:tcPr>
          <w:p w14:paraId="71A43190" w14:textId="3B67ABA5" w:rsidR="000507F6" w:rsidRPr="00A7727F" w:rsidRDefault="000507F6" w:rsidP="00A7727F">
            <w:pPr>
              <w:rPr>
                <w:lang w:eastAsia="ja-JP"/>
              </w:rPr>
            </w:pPr>
          </w:p>
        </w:tc>
        <w:tc>
          <w:tcPr>
            <w:tcW w:w="811" w:type="pct"/>
            <w:vMerge/>
            <w:tcBorders>
              <w:left w:val="single" w:sz="4" w:space="0" w:color="000000"/>
              <w:right w:val="single" w:sz="4" w:space="0" w:color="000000"/>
            </w:tcBorders>
          </w:tcPr>
          <w:p w14:paraId="430E4A70" w14:textId="1330AE10"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p>
        </w:tc>
        <w:tc>
          <w:tcPr>
            <w:tcW w:w="499" w:type="pct"/>
            <w:vMerge/>
            <w:tcBorders>
              <w:left w:val="single" w:sz="4" w:space="0" w:color="000000"/>
              <w:right w:val="single" w:sz="4" w:space="0" w:color="000000"/>
            </w:tcBorders>
          </w:tcPr>
          <w:p w14:paraId="164A7E89" w14:textId="4D925C7A"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p>
        </w:tc>
        <w:tc>
          <w:tcPr>
            <w:tcW w:w="1082" w:type="pct"/>
            <w:tcBorders>
              <w:left w:val="single" w:sz="4" w:space="0" w:color="000000"/>
            </w:tcBorders>
          </w:tcPr>
          <w:p w14:paraId="42E50B10" w14:textId="77777777"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Mean (SD)</w:t>
            </w:r>
          </w:p>
        </w:tc>
        <w:tc>
          <w:tcPr>
            <w:tcW w:w="1725" w:type="pct"/>
          </w:tcPr>
          <w:p w14:paraId="67E62E9D" w14:textId="77777777" w:rsidR="000507F6" w:rsidRPr="00A7727F" w:rsidRDefault="000507F6" w:rsidP="00A7727F">
            <w:pPr>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Median (range)</w:t>
            </w:r>
          </w:p>
        </w:tc>
      </w:tr>
      <w:tr w:rsidR="00A7727F" w:rsidRPr="00A7727F" w14:paraId="2ED4B674" w14:textId="77777777" w:rsidTr="007B270B">
        <w:trPr>
          <w:trHeight w:val="741"/>
        </w:trPr>
        <w:tc>
          <w:tcPr>
            <w:cnfStyle w:val="001000000000" w:firstRow="0" w:lastRow="0" w:firstColumn="1" w:lastColumn="0" w:oddVBand="0" w:evenVBand="0" w:oddHBand="0" w:evenHBand="0" w:firstRowFirstColumn="0" w:firstRowLastColumn="0" w:lastRowFirstColumn="0" w:lastRowLastColumn="0"/>
            <w:tcW w:w="883" w:type="pct"/>
          </w:tcPr>
          <w:p w14:paraId="38998465" w14:textId="77777777" w:rsidR="00A7727F" w:rsidRPr="00A7727F" w:rsidRDefault="00A7727F" w:rsidP="00A7727F">
            <w:pPr>
              <w:rPr>
                <w:lang w:eastAsia="ja-JP"/>
              </w:rPr>
            </w:pPr>
            <w:r w:rsidRPr="00A7727F">
              <w:rPr>
                <w:lang w:eastAsia="ja-JP"/>
              </w:rPr>
              <w:t>MT103-104</w:t>
            </w:r>
          </w:p>
        </w:tc>
        <w:tc>
          <w:tcPr>
            <w:tcW w:w="811" w:type="pct"/>
          </w:tcPr>
          <w:p w14:paraId="7478E178"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NHL</w:t>
            </w:r>
          </w:p>
        </w:tc>
        <w:tc>
          <w:tcPr>
            <w:tcW w:w="499" w:type="pct"/>
            <w:tcBorders>
              <w:right w:val="single" w:sz="4" w:space="0" w:color="000000"/>
            </w:tcBorders>
          </w:tcPr>
          <w:p w14:paraId="5C6E9D12"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76</w:t>
            </w:r>
          </w:p>
        </w:tc>
        <w:tc>
          <w:tcPr>
            <w:tcW w:w="1082" w:type="pct"/>
            <w:tcBorders>
              <w:left w:val="single" w:sz="4" w:space="0" w:color="000000"/>
            </w:tcBorders>
          </w:tcPr>
          <w:p w14:paraId="1A8CABB6"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0.627 (1.79)</w:t>
            </w:r>
          </w:p>
        </w:tc>
        <w:tc>
          <w:tcPr>
            <w:tcW w:w="1725" w:type="pct"/>
          </w:tcPr>
          <w:p w14:paraId="21A41560" w14:textId="23B7B3F5" w:rsidR="00A7727F" w:rsidRPr="00A7727F" w:rsidRDefault="000507F6" w:rsidP="00A772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0.0739 (0.00 to </w:t>
            </w:r>
            <w:r w:rsidR="00A7727F" w:rsidRPr="00A7727F">
              <w:rPr>
                <w:lang w:eastAsia="ja-JP"/>
              </w:rPr>
              <w:t>12.3)</w:t>
            </w:r>
          </w:p>
        </w:tc>
      </w:tr>
      <w:tr w:rsidR="00A7727F" w:rsidRPr="00A7727F" w14:paraId="485B0E2E" w14:textId="77777777" w:rsidTr="007B270B">
        <w:trPr>
          <w:trHeight w:val="730"/>
        </w:trPr>
        <w:tc>
          <w:tcPr>
            <w:cnfStyle w:val="001000000000" w:firstRow="0" w:lastRow="0" w:firstColumn="1" w:lastColumn="0" w:oddVBand="0" w:evenVBand="0" w:oddHBand="0" w:evenHBand="0" w:firstRowFirstColumn="0" w:firstRowLastColumn="0" w:lastRowFirstColumn="0" w:lastRowLastColumn="0"/>
            <w:tcW w:w="883" w:type="pct"/>
          </w:tcPr>
          <w:p w14:paraId="31684AEC" w14:textId="77777777" w:rsidR="00A7727F" w:rsidRPr="00A7727F" w:rsidRDefault="00A7727F" w:rsidP="00A7727F">
            <w:pPr>
              <w:rPr>
                <w:lang w:eastAsia="ja-JP"/>
              </w:rPr>
            </w:pPr>
            <w:r w:rsidRPr="00A7727F">
              <w:rPr>
                <w:lang w:eastAsia="ja-JP"/>
              </w:rPr>
              <w:t>MT103-202</w:t>
            </w:r>
          </w:p>
        </w:tc>
        <w:tc>
          <w:tcPr>
            <w:tcW w:w="811" w:type="pct"/>
          </w:tcPr>
          <w:p w14:paraId="090EFDDB"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MRD+ ALL</w:t>
            </w:r>
          </w:p>
        </w:tc>
        <w:tc>
          <w:tcPr>
            <w:tcW w:w="499" w:type="pct"/>
          </w:tcPr>
          <w:p w14:paraId="1F2D5DED"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21</w:t>
            </w:r>
          </w:p>
        </w:tc>
        <w:tc>
          <w:tcPr>
            <w:tcW w:w="1082" w:type="pct"/>
          </w:tcPr>
          <w:p w14:paraId="2A791CC0"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0.0718 (0.117)</w:t>
            </w:r>
          </w:p>
        </w:tc>
        <w:tc>
          <w:tcPr>
            <w:tcW w:w="1725" w:type="pct"/>
          </w:tcPr>
          <w:p w14:paraId="0350A874" w14:textId="0A4B00AF" w:rsidR="00A7727F" w:rsidRPr="00A7727F" w:rsidRDefault="000507F6" w:rsidP="00A772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0.0166 (0.00112 to</w:t>
            </w:r>
            <w:r w:rsidR="00A7727F" w:rsidRPr="00A7727F">
              <w:rPr>
                <w:lang w:eastAsia="ja-JP"/>
              </w:rPr>
              <w:t xml:space="preserve"> 0.454)</w:t>
            </w:r>
          </w:p>
        </w:tc>
      </w:tr>
      <w:tr w:rsidR="00A7727F" w:rsidRPr="00A7727F" w14:paraId="780EF323" w14:textId="77777777" w:rsidTr="007B270B">
        <w:trPr>
          <w:trHeight w:val="730"/>
        </w:trPr>
        <w:tc>
          <w:tcPr>
            <w:cnfStyle w:val="001000000000" w:firstRow="0" w:lastRow="0" w:firstColumn="1" w:lastColumn="0" w:oddVBand="0" w:evenVBand="0" w:oddHBand="0" w:evenHBand="0" w:firstRowFirstColumn="0" w:firstRowLastColumn="0" w:lastRowFirstColumn="0" w:lastRowLastColumn="0"/>
            <w:tcW w:w="883" w:type="pct"/>
          </w:tcPr>
          <w:p w14:paraId="683BE2B6" w14:textId="77777777" w:rsidR="00A7727F" w:rsidRPr="00A7727F" w:rsidRDefault="00A7727F" w:rsidP="00A7727F">
            <w:pPr>
              <w:rPr>
                <w:lang w:eastAsia="ja-JP"/>
              </w:rPr>
            </w:pPr>
            <w:r w:rsidRPr="00A7727F">
              <w:rPr>
                <w:lang w:eastAsia="ja-JP"/>
              </w:rPr>
              <w:t>MT103-206</w:t>
            </w:r>
          </w:p>
        </w:tc>
        <w:tc>
          <w:tcPr>
            <w:tcW w:w="811" w:type="pct"/>
          </w:tcPr>
          <w:p w14:paraId="5C755574"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R/R ALL</w:t>
            </w:r>
          </w:p>
        </w:tc>
        <w:tc>
          <w:tcPr>
            <w:tcW w:w="499" w:type="pct"/>
          </w:tcPr>
          <w:p w14:paraId="1C5C2E37"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31</w:t>
            </w:r>
          </w:p>
        </w:tc>
        <w:tc>
          <w:tcPr>
            <w:tcW w:w="1082" w:type="pct"/>
          </w:tcPr>
          <w:p w14:paraId="1765BD1D"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0.232 (0.475)</w:t>
            </w:r>
          </w:p>
        </w:tc>
        <w:tc>
          <w:tcPr>
            <w:tcW w:w="1725" w:type="pct"/>
          </w:tcPr>
          <w:p w14:paraId="3514BFCD" w14:textId="35EA3EE0" w:rsidR="00A7727F" w:rsidRPr="00A7727F" w:rsidRDefault="000507F6" w:rsidP="00A772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0.0780 (0.00 to</w:t>
            </w:r>
            <w:r w:rsidR="00A7727F" w:rsidRPr="00A7727F">
              <w:rPr>
                <w:lang w:eastAsia="ja-JP"/>
              </w:rPr>
              <w:t xml:space="preserve"> 2.03)</w:t>
            </w:r>
          </w:p>
        </w:tc>
      </w:tr>
      <w:tr w:rsidR="00A7727F" w:rsidRPr="00A7727F" w14:paraId="57BD6026" w14:textId="77777777" w:rsidTr="007B270B">
        <w:trPr>
          <w:trHeight w:val="753"/>
        </w:trPr>
        <w:tc>
          <w:tcPr>
            <w:cnfStyle w:val="001000000000" w:firstRow="0" w:lastRow="0" w:firstColumn="1" w:lastColumn="0" w:oddVBand="0" w:evenVBand="0" w:oddHBand="0" w:evenHBand="0" w:firstRowFirstColumn="0" w:firstRowLastColumn="0" w:lastRowFirstColumn="0" w:lastRowLastColumn="0"/>
            <w:tcW w:w="883" w:type="pct"/>
          </w:tcPr>
          <w:p w14:paraId="7092737B" w14:textId="77777777" w:rsidR="00A7727F" w:rsidRPr="00A7727F" w:rsidRDefault="00A7727F" w:rsidP="00A7727F">
            <w:pPr>
              <w:rPr>
                <w:lang w:eastAsia="ja-JP"/>
              </w:rPr>
            </w:pPr>
            <w:r w:rsidRPr="00A7727F">
              <w:rPr>
                <w:lang w:eastAsia="ja-JP"/>
              </w:rPr>
              <w:t>MT103-211</w:t>
            </w:r>
          </w:p>
        </w:tc>
        <w:tc>
          <w:tcPr>
            <w:tcW w:w="811" w:type="pct"/>
          </w:tcPr>
          <w:p w14:paraId="3D6539EF"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R/R ALL</w:t>
            </w:r>
          </w:p>
        </w:tc>
        <w:tc>
          <w:tcPr>
            <w:tcW w:w="499" w:type="pct"/>
          </w:tcPr>
          <w:p w14:paraId="6F6C503A"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174</w:t>
            </w:r>
          </w:p>
        </w:tc>
        <w:tc>
          <w:tcPr>
            <w:tcW w:w="1082" w:type="pct"/>
          </w:tcPr>
          <w:p w14:paraId="294EA913"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4.66 (11.7)</w:t>
            </w:r>
          </w:p>
        </w:tc>
        <w:tc>
          <w:tcPr>
            <w:tcW w:w="1725" w:type="pct"/>
          </w:tcPr>
          <w:p w14:paraId="49B8F5E0" w14:textId="6373B472" w:rsidR="00A7727F" w:rsidRPr="00A7727F" w:rsidRDefault="000507F6" w:rsidP="00A7727F">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0.227 (0.00 to</w:t>
            </w:r>
            <w:r w:rsidR="00A7727F" w:rsidRPr="00A7727F">
              <w:rPr>
                <w:lang w:eastAsia="ja-JP"/>
              </w:rPr>
              <w:t xml:space="preserve"> 75.5)</w:t>
            </w:r>
          </w:p>
        </w:tc>
      </w:tr>
    </w:tbl>
    <w:p w14:paraId="171E807A" w14:textId="358141DD" w:rsidR="00A7727F" w:rsidRPr="00A7727F" w:rsidRDefault="00A7727F" w:rsidP="000507F6">
      <w:pPr>
        <w:pStyle w:val="TableDescription"/>
        <w:rPr>
          <w:lang w:eastAsia="ja-JP"/>
        </w:rPr>
      </w:pPr>
      <w:r w:rsidRPr="00A7727F">
        <w:rPr>
          <w:lang w:eastAsia="ja-JP"/>
        </w:rPr>
        <w:t>ALL</w:t>
      </w:r>
      <w:r w:rsidR="00375CAE">
        <w:rPr>
          <w:lang w:eastAsia="ja-JP"/>
        </w:rPr>
        <w:t xml:space="preserve"> </w:t>
      </w:r>
      <w:r w:rsidR="00423768">
        <w:rPr>
          <w:lang w:eastAsia="ja-JP"/>
        </w:rPr>
        <w:t>=</w:t>
      </w:r>
      <w:r w:rsidR="00375CAE">
        <w:rPr>
          <w:lang w:eastAsia="ja-JP"/>
        </w:rPr>
        <w:t xml:space="preserve"> </w:t>
      </w:r>
      <w:r w:rsidRPr="00A7727F">
        <w:rPr>
          <w:lang w:eastAsia="ja-JP"/>
        </w:rPr>
        <w:t>acute lymphoblastic leuk</w:t>
      </w:r>
      <w:r w:rsidR="000507F6">
        <w:rPr>
          <w:lang w:eastAsia="ja-JP"/>
        </w:rPr>
        <w:t>a</w:t>
      </w:r>
      <w:r w:rsidRPr="00A7727F">
        <w:rPr>
          <w:lang w:eastAsia="ja-JP"/>
        </w:rPr>
        <w:t>emia; MRD</w:t>
      </w:r>
      <w:r w:rsidR="00375CAE">
        <w:rPr>
          <w:lang w:eastAsia="ja-JP"/>
        </w:rPr>
        <w:t xml:space="preserve"> </w:t>
      </w:r>
      <w:r w:rsidR="00423768">
        <w:rPr>
          <w:lang w:eastAsia="ja-JP"/>
        </w:rPr>
        <w:t>=</w:t>
      </w:r>
      <w:r w:rsidR="00375CAE">
        <w:rPr>
          <w:lang w:eastAsia="ja-JP"/>
        </w:rPr>
        <w:t xml:space="preserve"> </w:t>
      </w:r>
      <w:r w:rsidRPr="00A7727F">
        <w:rPr>
          <w:lang w:eastAsia="ja-JP"/>
        </w:rPr>
        <w:t>minimal residual disease; NHL</w:t>
      </w:r>
      <w:r w:rsidR="00375CAE">
        <w:rPr>
          <w:lang w:eastAsia="ja-JP"/>
        </w:rPr>
        <w:t xml:space="preserve"> </w:t>
      </w:r>
      <w:r w:rsidR="00423768">
        <w:rPr>
          <w:lang w:eastAsia="ja-JP"/>
        </w:rPr>
        <w:t>=</w:t>
      </w:r>
      <w:r w:rsidR="00375CAE">
        <w:rPr>
          <w:lang w:eastAsia="ja-JP"/>
        </w:rPr>
        <w:t xml:space="preserve"> </w:t>
      </w:r>
      <w:r w:rsidRPr="00A7727F">
        <w:rPr>
          <w:lang w:eastAsia="ja-JP"/>
        </w:rPr>
        <w:t>non-Hodgkin’s lymphoma; R/R</w:t>
      </w:r>
      <w:r w:rsidR="00375CAE">
        <w:rPr>
          <w:lang w:eastAsia="ja-JP"/>
        </w:rPr>
        <w:t xml:space="preserve"> </w:t>
      </w:r>
      <w:r w:rsidR="00423768">
        <w:rPr>
          <w:lang w:eastAsia="ja-JP"/>
        </w:rPr>
        <w:t>=</w:t>
      </w:r>
      <w:r w:rsidR="00375CAE">
        <w:rPr>
          <w:lang w:eastAsia="ja-JP"/>
        </w:rPr>
        <w:t xml:space="preserve"> </w:t>
      </w:r>
      <w:r w:rsidRPr="00A7727F">
        <w:rPr>
          <w:lang w:eastAsia="ja-JP"/>
        </w:rPr>
        <w:t>relapsed/refractory; SD</w:t>
      </w:r>
      <w:r w:rsidR="00375CAE">
        <w:rPr>
          <w:lang w:eastAsia="ja-JP"/>
        </w:rPr>
        <w:t xml:space="preserve"> </w:t>
      </w:r>
      <w:r w:rsidR="00423768">
        <w:rPr>
          <w:lang w:eastAsia="ja-JP"/>
        </w:rPr>
        <w:t>=</w:t>
      </w:r>
      <w:r w:rsidR="00375CAE">
        <w:rPr>
          <w:lang w:eastAsia="ja-JP"/>
        </w:rPr>
        <w:t xml:space="preserve"> </w:t>
      </w:r>
      <w:r w:rsidRPr="00A7727F">
        <w:rPr>
          <w:lang w:eastAsia="ja-JP"/>
        </w:rPr>
        <w:t>standard deviation.</w:t>
      </w:r>
    </w:p>
    <w:p w14:paraId="083386AA" w14:textId="3AE6BDB0" w:rsidR="00A7727F" w:rsidRPr="00A7727F" w:rsidRDefault="00A7727F" w:rsidP="000507F6">
      <w:pPr>
        <w:pStyle w:val="Tabletitle"/>
        <w:rPr>
          <w:lang w:eastAsia="ja-JP"/>
        </w:rPr>
      </w:pPr>
      <w:bookmarkStart w:id="148" w:name="_Toc292015697"/>
      <w:r w:rsidRPr="00A7727F">
        <w:rPr>
          <w:lang w:eastAsia="ja-JP"/>
        </w:rPr>
        <w:t xml:space="preserve">Table </w:t>
      </w:r>
      <w:r w:rsidR="00586C19">
        <w:rPr>
          <w:lang w:eastAsia="ja-JP"/>
        </w:rPr>
        <w:t>14:</w:t>
      </w:r>
      <w:r w:rsidR="000507F6">
        <w:rPr>
          <w:lang w:eastAsia="ja-JP"/>
        </w:rPr>
        <w:t xml:space="preserve"> Relationship between mean baseline B-cell counts and clinical r</w:t>
      </w:r>
      <w:r w:rsidRPr="00A7727F">
        <w:rPr>
          <w:lang w:eastAsia="ja-JP"/>
        </w:rPr>
        <w:t>esponse in Subjects with R/R ALL</w:t>
      </w:r>
      <w:bookmarkEnd w:id="148"/>
    </w:p>
    <w:tbl>
      <w:tblPr>
        <w:tblStyle w:val="TableTGAblue"/>
        <w:tblW w:w="4820" w:type="pct"/>
        <w:tblLook w:val="04A0" w:firstRow="1" w:lastRow="0" w:firstColumn="1" w:lastColumn="0" w:noHBand="0" w:noVBand="1"/>
        <w:tblDescription w:val="Table 14: Relationship between mean baseline B-cell counts and clinical response in Subjects with R/R ALL"/>
      </w:tblPr>
      <w:tblGrid>
        <w:gridCol w:w="1135"/>
        <w:gridCol w:w="1511"/>
        <w:gridCol w:w="922"/>
        <w:gridCol w:w="1257"/>
        <w:gridCol w:w="1720"/>
        <w:gridCol w:w="922"/>
        <w:gridCol w:w="1442"/>
      </w:tblGrid>
      <w:tr w:rsidR="000507F6" w:rsidRPr="00A7727F" w14:paraId="3683464C" w14:textId="77777777" w:rsidTr="007B270B">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614" w:type="pct"/>
            <w:vMerge w:val="restart"/>
            <w:tcBorders>
              <w:right w:val="single" w:sz="4" w:space="0" w:color="000000"/>
            </w:tcBorders>
          </w:tcPr>
          <w:p w14:paraId="3BC1E008" w14:textId="69C1E2B2" w:rsidR="000507F6" w:rsidRPr="00A7727F" w:rsidRDefault="000507F6" w:rsidP="000507F6">
            <w:pPr>
              <w:keepNext/>
              <w:ind w:left="0"/>
              <w:rPr>
                <w:lang w:eastAsia="ja-JP"/>
              </w:rPr>
            </w:pPr>
            <w:r w:rsidRPr="00A7727F">
              <w:rPr>
                <w:lang w:eastAsia="ja-JP"/>
              </w:rPr>
              <w:t>Study</w:t>
            </w:r>
          </w:p>
        </w:tc>
        <w:tc>
          <w:tcPr>
            <w:tcW w:w="898" w:type="pct"/>
            <w:vMerge w:val="restart"/>
            <w:tcBorders>
              <w:left w:val="single" w:sz="4" w:space="0" w:color="000000"/>
              <w:right w:val="single" w:sz="4" w:space="0" w:color="000000"/>
            </w:tcBorders>
          </w:tcPr>
          <w:p w14:paraId="17BC5632" w14:textId="04DEED26" w:rsidR="000507F6" w:rsidRPr="00A7727F" w:rsidRDefault="000507F6" w:rsidP="000507F6">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Dose</w:t>
            </w:r>
          </w:p>
        </w:tc>
        <w:tc>
          <w:tcPr>
            <w:tcW w:w="499" w:type="pct"/>
            <w:vMerge w:val="restart"/>
            <w:tcBorders>
              <w:left w:val="single" w:sz="4" w:space="0" w:color="000000"/>
              <w:right w:val="single" w:sz="4" w:space="0" w:color="000000"/>
            </w:tcBorders>
          </w:tcPr>
          <w:p w14:paraId="2F4373FD" w14:textId="51871D96" w:rsidR="000507F6" w:rsidRPr="00A7727F" w:rsidRDefault="000507F6" w:rsidP="000507F6">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N</w:t>
            </w:r>
            <w:r>
              <w:rPr>
                <w:lang w:eastAsia="ja-JP"/>
              </w:rPr>
              <w:t xml:space="preserve"> =</w:t>
            </w:r>
          </w:p>
        </w:tc>
        <w:tc>
          <w:tcPr>
            <w:tcW w:w="2989" w:type="pct"/>
            <w:gridSpan w:val="4"/>
            <w:tcBorders>
              <w:left w:val="single" w:sz="4" w:space="0" w:color="000000"/>
            </w:tcBorders>
          </w:tcPr>
          <w:p w14:paraId="49C570C0" w14:textId="4DA54C70"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CD19+ B Cells (</w:t>
            </w:r>
            <w:r w:rsidR="00586C19" w:rsidRPr="00F31F9F">
              <w:rPr>
                <w:lang w:eastAsia="ja-JP"/>
              </w:rPr>
              <w:t>10</w:t>
            </w:r>
            <w:r w:rsidR="00586C19" w:rsidRPr="00586C19">
              <w:rPr>
                <w:vertAlign w:val="superscript"/>
                <w:lang w:eastAsia="ja-JP"/>
              </w:rPr>
              <w:t>9</w:t>
            </w:r>
            <w:r w:rsidRPr="00A7727F">
              <w:rPr>
                <w:lang w:eastAsia="ja-JP"/>
              </w:rPr>
              <w:t>/L)</w:t>
            </w:r>
          </w:p>
        </w:tc>
      </w:tr>
      <w:tr w:rsidR="000507F6" w:rsidRPr="00A7727F" w14:paraId="2946EB76" w14:textId="77777777" w:rsidTr="007B270B">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614" w:type="pct"/>
            <w:vMerge/>
            <w:tcBorders>
              <w:right w:val="single" w:sz="4" w:space="0" w:color="000000"/>
            </w:tcBorders>
          </w:tcPr>
          <w:p w14:paraId="652CB590" w14:textId="3C6E2D05" w:rsidR="000507F6" w:rsidRPr="00A7727F" w:rsidRDefault="000507F6" w:rsidP="000507F6">
            <w:pPr>
              <w:keepNext/>
              <w:rPr>
                <w:lang w:eastAsia="ja-JP"/>
              </w:rPr>
            </w:pPr>
          </w:p>
        </w:tc>
        <w:tc>
          <w:tcPr>
            <w:tcW w:w="898" w:type="pct"/>
            <w:vMerge/>
            <w:tcBorders>
              <w:left w:val="single" w:sz="4" w:space="0" w:color="000000"/>
              <w:right w:val="single" w:sz="4" w:space="0" w:color="000000"/>
            </w:tcBorders>
          </w:tcPr>
          <w:p w14:paraId="7F3E3AFD" w14:textId="28B00C91"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p>
        </w:tc>
        <w:tc>
          <w:tcPr>
            <w:tcW w:w="499" w:type="pct"/>
            <w:vMerge/>
            <w:tcBorders>
              <w:left w:val="single" w:sz="4" w:space="0" w:color="000000"/>
              <w:right w:val="single" w:sz="4" w:space="0" w:color="000000"/>
            </w:tcBorders>
          </w:tcPr>
          <w:p w14:paraId="1169E869" w14:textId="1D3E127A"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p>
        </w:tc>
        <w:tc>
          <w:tcPr>
            <w:tcW w:w="695" w:type="pct"/>
            <w:tcBorders>
              <w:left w:val="single" w:sz="4" w:space="0" w:color="000000"/>
            </w:tcBorders>
          </w:tcPr>
          <w:p w14:paraId="2705B839" w14:textId="77777777"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Mean (SD)</w:t>
            </w:r>
          </w:p>
        </w:tc>
        <w:tc>
          <w:tcPr>
            <w:tcW w:w="1015" w:type="pct"/>
          </w:tcPr>
          <w:p w14:paraId="21791F67" w14:textId="77777777"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Median (range)</w:t>
            </w:r>
          </w:p>
        </w:tc>
        <w:tc>
          <w:tcPr>
            <w:tcW w:w="499" w:type="pct"/>
          </w:tcPr>
          <w:p w14:paraId="3EB66AD7" w14:textId="77777777"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N</w:t>
            </w:r>
          </w:p>
        </w:tc>
        <w:tc>
          <w:tcPr>
            <w:tcW w:w="780" w:type="pct"/>
          </w:tcPr>
          <w:p w14:paraId="772D8B53" w14:textId="77777777" w:rsidR="000507F6" w:rsidRPr="00A7727F" w:rsidRDefault="000507F6" w:rsidP="000507F6">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CR/CRh*</w:t>
            </w:r>
          </w:p>
        </w:tc>
      </w:tr>
      <w:tr w:rsidR="00A7727F" w:rsidRPr="00A7727F" w14:paraId="5170142A" w14:textId="77777777" w:rsidTr="007B270B">
        <w:trPr>
          <w:trHeight w:val="743"/>
        </w:trPr>
        <w:tc>
          <w:tcPr>
            <w:cnfStyle w:val="001000000000" w:firstRow="0" w:lastRow="0" w:firstColumn="1" w:lastColumn="0" w:oddVBand="0" w:evenVBand="0" w:oddHBand="0" w:evenHBand="0" w:firstRowFirstColumn="0" w:firstRowLastColumn="0" w:lastRowFirstColumn="0" w:lastRowLastColumn="0"/>
            <w:tcW w:w="614" w:type="pct"/>
          </w:tcPr>
          <w:p w14:paraId="20C3CE88" w14:textId="77777777" w:rsidR="00A7727F" w:rsidRPr="00A7727F" w:rsidRDefault="00A7727F" w:rsidP="000507F6">
            <w:pPr>
              <w:keepNext/>
              <w:ind w:left="0"/>
              <w:rPr>
                <w:lang w:eastAsia="ja-JP"/>
              </w:rPr>
            </w:pPr>
            <w:r w:rsidRPr="00A7727F">
              <w:rPr>
                <w:lang w:eastAsia="ja-JP"/>
              </w:rPr>
              <w:t>MT103-206</w:t>
            </w:r>
          </w:p>
        </w:tc>
        <w:tc>
          <w:tcPr>
            <w:tcW w:w="898" w:type="pct"/>
          </w:tcPr>
          <w:p w14:paraId="12D707E2" w14:textId="4723F961" w:rsidR="00A7727F" w:rsidRPr="00A7727F" w:rsidRDefault="000507F6" w:rsidP="000507F6">
            <w:pPr>
              <w:keepNext/>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5 to </w:t>
            </w:r>
            <w:r w:rsidR="00A7727F" w:rsidRPr="00A7727F">
              <w:rPr>
                <w:lang w:eastAsia="ja-JP"/>
              </w:rPr>
              <w:t>30</w:t>
            </w:r>
            <w:r w:rsidR="00375CAE">
              <w:rPr>
                <w:lang w:eastAsia="ja-JP"/>
              </w:rPr>
              <w:t xml:space="preserve"> </w:t>
            </w:r>
            <w:r w:rsidR="0018721C">
              <w:rPr>
                <w:lang w:eastAsia="ja-JP"/>
              </w:rPr>
              <w:t>µg</w:t>
            </w:r>
            <w:r w:rsidR="00A7727F" w:rsidRPr="00A7727F">
              <w:rPr>
                <w:lang w:eastAsia="ja-JP"/>
              </w:rPr>
              <w:t>/m</w:t>
            </w:r>
            <w:r w:rsidR="00A7727F" w:rsidRPr="00A7727F">
              <w:rPr>
                <w:vertAlign w:val="superscript"/>
                <w:lang w:eastAsia="ja-JP"/>
              </w:rPr>
              <w:t>2</w:t>
            </w:r>
            <w:r w:rsidR="00A7727F" w:rsidRPr="00A7727F">
              <w:rPr>
                <w:lang w:eastAsia="ja-JP"/>
              </w:rPr>
              <w:t>/day</w:t>
            </w:r>
            <w:r w:rsidR="00A7727F" w:rsidRPr="00A7727F">
              <w:rPr>
                <w:vertAlign w:val="superscript"/>
                <w:lang w:eastAsia="ja-JP"/>
              </w:rPr>
              <w:t>a</w:t>
            </w:r>
          </w:p>
        </w:tc>
        <w:tc>
          <w:tcPr>
            <w:tcW w:w="499" w:type="pct"/>
            <w:tcBorders>
              <w:right w:val="single" w:sz="4" w:space="0" w:color="000000"/>
            </w:tcBorders>
          </w:tcPr>
          <w:p w14:paraId="5E561FB9"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27</w:t>
            </w:r>
          </w:p>
        </w:tc>
        <w:tc>
          <w:tcPr>
            <w:tcW w:w="695" w:type="pct"/>
            <w:tcBorders>
              <w:left w:val="single" w:sz="4" w:space="0" w:color="000000"/>
            </w:tcBorders>
          </w:tcPr>
          <w:p w14:paraId="290BE602"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0.232 (0.475)</w:t>
            </w:r>
          </w:p>
        </w:tc>
        <w:tc>
          <w:tcPr>
            <w:tcW w:w="1015" w:type="pct"/>
          </w:tcPr>
          <w:p w14:paraId="4883A07C" w14:textId="7223C13A" w:rsidR="00A7727F" w:rsidRPr="00A7727F" w:rsidRDefault="005B0CFF" w:rsidP="000507F6">
            <w:pPr>
              <w:keepN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0.0780 (0.00 to </w:t>
            </w:r>
            <w:r w:rsidR="00A7727F" w:rsidRPr="00A7727F">
              <w:rPr>
                <w:lang w:eastAsia="ja-JP"/>
              </w:rPr>
              <w:t xml:space="preserve"> 2.03)</w:t>
            </w:r>
          </w:p>
        </w:tc>
        <w:tc>
          <w:tcPr>
            <w:tcW w:w="499" w:type="pct"/>
          </w:tcPr>
          <w:p w14:paraId="7CB09301"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36</w:t>
            </w:r>
          </w:p>
        </w:tc>
        <w:tc>
          <w:tcPr>
            <w:tcW w:w="780" w:type="pct"/>
          </w:tcPr>
          <w:p w14:paraId="1D048507"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69.4%</w:t>
            </w:r>
          </w:p>
        </w:tc>
      </w:tr>
      <w:tr w:rsidR="00A7727F" w:rsidRPr="00A7727F" w14:paraId="38DC6414" w14:textId="77777777" w:rsidTr="007B270B">
        <w:trPr>
          <w:trHeight w:val="754"/>
        </w:trPr>
        <w:tc>
          <w:tcPr>
            <w:cnfStyle w:val="001000000000" w:firstRow="0" w:lastRow="0" w:firstColumn="1" w:lastColumn="0" w:oddVBand="0" w:evenVBand="0" w:oddHBand="0" w:evenHBand="0" w:firstRowFirstColumn="0" w:firstRowLastColumn="0" w:lastRowFirstColumn="0" w:lastRowLastColumn="0"/>
            <w:tcW w:w="614" w:type="pct"/>
          </w:tcPr>
          <w:p w14:paraId="53C2790E" w14:textId="77777777" w:rsidR="00A7727F" w:rsidRPr="00A7727F" w:rsidRDefault="00A7727F" w:rsidP="000507F6">
            <w:pPr>
              <w:keepNext/>
              <w:ind w:left="0"/>
              <w:rPr>
                <w:lang w:eastAsia="ja-JP"/>
              </w:rPr>
            </w:pPr>
            <w:r w:rsidRPr="00A7727F">
              <w:rPr>
                <w:lang w:eastAsia="ja-JP"/>
              </w:rPr>
              <w:t>MT103-211</w:t>
            </w:r>
          </w:p>
        </w:tc>
        <w:tc>
          <w:tcPr>
            <w:tcW w:w="898" w:type="pct"/>
          </w:tcPr>
          <w:p w14:paraId="66AAFA35" w14:textId="3899C87A" w:rsidR="00A7727F" w:rsidRPr="00A7727F" w:rsidRDefault="000507F6" w:rsidP="000507F6">
            <w:pPr>
              <w:keepNext/>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9to </w:t>
            </w:r>
            <w:r w:rsidR="00A7727F" w:rsidRPr="00A7727F">
              <w:rPr>
                <w:lang w:eastAsia="ja-JP"/>
              </w:rPr>
              <w:t>28</w:t>
            </w:r>
            <w:r w:rsidR="00375CAE">
              <w:rPr>
                <w:lang w:eastAsia="ja-JP"/>
              </w:rPr>
              <w:t xml:space="preserve"> </w:t>
            </w:r>
            <w:r w:rsidR="0018721C">
              <w:rPr>
                <w:lang w:eastAsia="ja-JP"/>
              </w:rPr>
              <w:t>µg</w:t>
            </w:r>
            <w:r w:rsidR="00A7727F" w:rsidRPr="00A7727F">
              <w:rPr>
                <w:lang w:eastAsia="ja-JP"/>
              </w:rPr>
              <w:t>/day</w:t>
            </w:r>
          </w:p>
        </w:tc>
        <w:tc>
          <w:tcPr>
            <w:tcW w:w="499" w:type="pct"/>
          </w:tcPr>
          <w:p w14:paraId="484DA137"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174</w:t>
            </w:r>
          </w:p>
        </w:tc>
        <w:tc>
          <w:tcPr>
            <w:tcW w:w="695" w:type="pct"/>
          </w:tcPr>
          <w:p w14:paraId="652E8C47"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4.66 (11.7)</w:t>
            </w:r>
          </w:p>
        </w:tc>
        <w:tc>
          <w:tcPr>
            <w:tcW w:w="1015" w:type="pct"/>
          </w:tcPr>
          <w:p w14:paraId="45C85CB4" w14:textId="45F9B6E3" w:rsidR="00A7727F" w:rsidRPr="00A7727F" w:rsidRDefault="000507F6" w:rsidP="000507F6">
            <w:pPr>
              <w:keepNext/>
              <w:cnfStyle w:val="000000000000" w:firstRow="0" w:lastRow="0" w:firstColumn="0" w:lastColumn="0" w:oddVBand="0" w:evenVBand="0" w:oddHBand="0" w:evenHBand="0" w:firstRowFirstColumn="0" w:firstRowLastColumn="0" w:lastRowFirstColumn="0" w:lastRowLastColumn="0"/>
              <w:rPr>
                <w:lang w:eastAsia="ja-JP"/>
              </w:rPr>
            </w:pPr>
            <w:r>
              <w:rPr>
                <w:lang w:eastAsia="ja-JP"/>
              </w:rPr>
              <w:t>0.227 (0.00 to</w:t>
            </w:r>
            <w:r w:rsidR="00A7727F" w:rsidRPr="00A7727F">
              <w:rPr>
                <w:lang w:eastAsia="ja-JP"/>
              </w:rPr>
              <w:t xml:space="preserve"> 75.5)</w:t>
            </w:r>
          </w:p>
        </w:tc>
        <w:tc>
          <w:tcPr>
            <w:tcW w:w="499" w:type="pct"/>
          </w:tcPr>
          <w:p w14:paraId="32994839"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189</w:t>
            </w:r>
          </w:p>
        </w:tc>
        <w:tc>
          <w:tcPr>
            <w:tcW w:w="780" w:type="pct"/>
          </w:tcPr>
          <w:p w14:paraId="3D747C96" w14:textId="77777777" w:rsidR="00A7727F" w:rsidRPr="00A7727F" w:rsidRDefault="00A7727F" w:rsidP="000507F6">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42.9%</w:t>
            </w:r>
          </w:p>
        </w:tc>
      </w:tr>
    </w:tbl>
    <w:p w14:paraId="24B42F7A" w14:textId="274621FE" w:rsidR="00A7727F" w:rsidRPr="005B0CFF" w:rsidRDefault="00A7727F" w:rsidP="005B0CFF">
      <w:pPr>
        <w:pStyle w:val="TableDescription"/>
        <w:rPr>
          <w:lang w:eastAsia="ja-JP"/>
        </w:rPr>
      </w:pPr>
      <w:r w:rsidRPr="00A7727F">
        <w:rPr>
          <w:lang w:eastAsia="ja-JP"/>
        </w:rPr>
        <w:t>ALL</w:t>
      </w:r>
      <w:r w:rsidR="00375CAE">
        <w:rPr>
          <w:lang w:eastAsia="ja-JP"/>
        </w:rPr>
        <w:t xml:space="preserve"> </w:t>
      </w:r>
      <w:r w:rsidR="00423768">
        <w:rPr>
          <w:lang w:eastAsia="ja-JP"/>
        </w:rPr>
        <w:t>=</w:t>
      </w:r>
      <w:r w:rsidR="00375CAE">
        <w:rPr>
          <w:lang w:eastAsia="ja-JP"/>
        </w:rPr>
        <w:t xml:space="preserve"> </w:t>
      </w:r>
      <w:r w:rsidRPr="00A7727F">
        <w:rPr>
          <w:lang w:eastAsia="ja-JP"/>
        </w:rPr>
        <w:t xml:space="preserve">acute lymphoblastic </w:t>
      </w:r>
      <w:r w:rsidR="00A972DD" w:rsidRPr="00A7727F">
        <w:rPr>
          <w:lang w:eastAsia="ja-JP"/>
        </w:rPr>
        <w:t>leukaemia</w:t>
      </w:r>
      <w:r w:rsidRPr="00A7727F">
        <w:rPr>
          <w:lang w:eastAsia="ja-JP"/>
        </w:rPr>
        <w:t>; CR/CRh*</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with partial h</w:t>
      </w:r>
      <w:r w:rsidR="005B0CFF">
        <w:rPr>
          <w:lang w:eastAsia="ja-JP"/>
        </w:rPr>
        <w:t>a</w:t>
      </w:r>
      <w:r w:rsidRPr="00A7727F">
        <w:rPr>
          <w:lang w:eastAsia="ja-JP"/>
        </w:rPr>
        <w:t>ematological recovery; R/R</w:t>
      </w:r>
      <w:r w:rsidR="00375CAE">
        <w:rPr>
          <w:lang w:eastAsia="ja-JP"/>
        </w:rPr>
        <w:t xml:space="preserve"> </w:t>
      </w:r>
      <w:r w:rsidR="00423768">
        <w:rPr>
          <w:lang w:eastAsia="ja-JP"/>
        </w:rPr>
        <w:t>=</w:t>
      </w:r>
      <w:r w:rsidR="00375CAE">
        <w:rPr>
          <w:lang w:eastAsia="ja-JP"/>
        </w:rPr>
        <w:t xml:space="preserve"> </w:t>
      </w:r>
      <w:r w:rsidRPr="00A7727F">
        <w:rPr>
          <w:lang w:eastAsia="ja-JP"/>
        </w:rPr>
        <w:t>relapsed/refractory; SD</w:t>
      </w:r>
      <w:r w:rsidR="00375CAE">
        <w:rPr>
          <w:lang w:eastAsia="ja-JP"/>
        </w:rPr>
        <w:t xml:space="preserve"> </w:t>
      </w:r>
      <w:r w:rsidR="00423768">
        <w:rPr>
          <w:lang w:eastAsia="ja-JP"/>
        </w:rPr>
        <w:t>=</w:t>
      </w:r>
      <w:r w:rsidR="00375CAE">
        <w:rPr>
          <w:lang w:eastAsia="ja-JP"/>
        </w:rPr>
        <w:t xml:space="preserve"> </w:t>
      </w:r>
      <w:r w:rsidRPr="00A7727F">
        <w:rPr>
          <w:lang w:eastAsia="ja-JP"/>
        </w:rPr>
        <w:t xml:space="preserve">standard deviation. </w:t>
      </w:r>
      <w:r w:rsidRPr="00A7727F">
        <w:rPr>
          <w:vertAlign w:val="superscript"/>
          <w:lang w:eastAsia="ja-JP"/>
        </w:rPr>
        <w:t>a</w:t>
      </w:r>
      <w:r w:rsidRPr="00A7727F">
        <w:rPr>
          <w:lang w:eastAsia="ja-JP"/>
        </w:rPr>
        <w:t>Dose regimens in Study MT103-206 were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or dose steps from 5 to15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or 5 to15 to 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w:t>
      </w:r>
    </w:p>
    <w:p w14:paraId="2F8E176A" w14:textId="64468F7A" w:rsidR="00A7727F" w:rsidRPr="00A7727F" w:rsidRDefault="00A7727F" w:rsidP="005B0CFF">
      <w:pPr>
        <w:pStyle w:val="FigureTitle"/>
        <w:rPr>
          <w:lang w:eastAsia="ja-JP"/>
        </w:rPr>
      </w:pPr>
      <w:bookmarkStart w:id="149" w:name="_Toc292015796"/>
      <w:r w:rsidRPr="00A7727F">
        <w:rPr>
          <w:lang w:eastAsia="ja-JP"/>
        </w:rPr>
        <w:t xml:space="preserve">Figure </w:t>
      </w:r>
      <w:r w:rsidR="00586C19">
        <w:rPr>
          <w:lang w:eastAsia="ja-JP"/>
        </w:rPr>
        <w:t>16:</w:t>
      </w:r>
      <w:r w:rsidR="005B0CFF">
        <w:rPr>
          <w:lang w:eastAsia="ja-JP"/>
        </w:rPr>
        <w:t xml:space="preserve"> Baseline B-Cells versus </w:t>
      </w:r>
      <w:r w:rsidR="005B0CFF" w:rsidRPr="00A7727F">
        <w:rPr>
          <w:lang w:eastAsia="ja-JP"/>
        </w:rPr>
        <w:t>age, sex, weight and body surface area</w:t>
      </w:r>
      <w:bookmarkEnd w:id="149"/>
    </w:p>
    <w:p w14:paraId="79250AE8" w14:textId="77777777" w:rsidR="00A7727F" w:rsidRPr="00A7727F" w:rsidRDefault="00A7727F" w:rsidP="00A7727F">
      <w:pPr>
        <w:rPr>
          <w:lang w:eastAsia="ja-JP"/>
        </w:rPr>
      </w:pPr>
      <w:r w:rsidRPr="00A7727F">
        <w:rPr>
          <w:noProof/>
          <w:lang w:eastAsia="en-AU"/>
        </w:rPr>
        <w:drawing>
          <wp:inline distT="0" distB="0" distL="0" distR="0" wp14:anchorId="5BAD25F9" wp14:editId="5E50A4D2">
            <wp:extent cx="4710430" cy="3785235"/>
            <wp:effectExtent l="0" t="0" r="0" b="5715"/>
            <wp:docPr id="90" name="Picture 90" descr="Figure 16: Baseline B-Cells versus age, sex, weight and body surface area" title="Baseline B-Cells versus age, sex, weight and body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0430" cy="3785235"/>
                    </a:xfrm>
                    <a:prstGeom prst="rect">
                      <a:avLst/>
                    </a:prstGeom>
                    <a:noFill/>
                    <a:ln>
                      <a:noFill/>
                    </a:ln>
                  </pic:spPr>
                </pic:pic>
              </a:graphicData>
            </a:graphic>
          </wp:inline>
        </w:drawing>
      </w:r>
    </w:p>
    <w:p w14:paraId="1D205879" w14:textId="7805D819" w:rsidR="00A7727F" w:rsidRPr="00A7727F" w:rsidRDefault="005B0CFF" w:rsidP="007D7871">
      <w:pPr>
        <w:pStyle w:val="Heading5"/>
      </w:pPr>
      <w:bookmarkStart w:id="150" w:name="_Toc292015599"/>
      <w:r>
        <w:t>Exposure-cytokine r</w:t>
      </w:r>
      <w:r w:rsidR="00A7727F" w:rsidRPr="00A7727F">
        <w:t>elationship</w:t>
      </w:r>
      <w:bookmarkEnd w:id="150"/>
    </w:p>
    <w:p w14:paraId="7CEEECE6" w14:textId="1CD9E45B" w:rsidR="00A7727F" w:rsidRPr="00A7727F" w:rsidRDefault="00A7727F" w:rsidP="00A7727F">
      <w:pPr>
        <w:rPr>
          <w:lang w:eastAsia="ja-JP"/>
        </w:rPr>
      </w:pPr>
      <w:r w:rsidRPr="00A7727F">
        <w:rPr>
          <w:lang w:eastAsia="ja-JP"/>
        </w:rPr>
        <w:t>Exposure-cytokine analysis suggests that in the presence of B cells, a higher initial dose may be associated with a higher magnitude of transient cytokine elevation, independent of patient populations (</w:t>
      </w:r>
      <w:r w:rsidR="005B0CFF">
        <w:rPr>
          <w:lang w:eastAsia="ja-JP"/>
        </w:rPr>
        <w:t>for example</w:t>
      </w:r>
      <w:r w:rsidRPr="00A7727F">
        <w:rPr>
          <w:lang w:eastAsia="ja-JP"/>
        </w:rPr>
        <w:t>, NHL, ALL). For the exposure-B cell analysis, data in the R/R ALL population are limited to 3 doses (mainly 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005B0CFF">
        <w:rPr>
          <w:lang w:eastAsia="ja-JP"/>
        </w:rPr>
        <w:t>/day (</w:t>
      </w:r>
      <w:r w:rsidRPr="00A7727F">
        <w:rPr>
          <w:lang w:eastAsia="ja-JP"/>
        </w:rPr>
        <w:t>9</w:t>
      </w:r>
      <w:r w:rsidR="00375CAE">
        <w:rPr>
          <w:lang w:eastAsia="ja-JP"/>
        </w:rPr>
        <w:t xml:space="preserve"> </w:t>
      </w:r>
      <w:r w:rsidR="0018721C">
        <w:rPr>
          <w:lang w:eastAsia="ja-JP"/>
        </w:rPr>
        <w:t>µg</w:t>
      </w:r>
      <w:r w:rsidR="005B0CFF">
        <w:rPr>
          <w:lang w:eastAsia="ja-JP"/>
        </w:rPr>
        <w:t>/day)</w:t>
      </w:r>
      <w:r w:rsidRPr="00A7727F">
        <w:rPr>
          <w:lang w:eastAsia="ja-JP"/>
        </w:rPr>
        <w:t xml:space="preserve"> and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005B0CFF">
        <w:rPr>
          <w:lang w:eastAsia="ja-JP"/>
        </w:rPr>
        <w:t>/day (</w:t>
      </w:r>
      <w:r w:rsidRPr="00A7727F">
        <w:rPr>
          <w:lang w:eastAsia="ja-JP"/>
        </w:rPr>
        <w:t>28</w:t>
      </w:r>
      <w:r w:rsidR="00375CAE">
        <w:rPr>
          <w:lang w:eastAsia="ja-JP"/>
        </w:rPr>
        <w:t xml:space="preserve"> </w:t>
      </w:r>
      <w:r w:rsidR="0018721C">
        <w:rPr>
          <w:lang w:eastAsia="ja-JP"/>
        </w:rPr>
        <w:t>µg</w:t>
      </w:r>
      <w:r w:rsidR="005B0CFF">
        <w:rPr>
          <w:lang w:eastAsia="ja-JP"/>
        </w:rPr>
        <w:t>/day)</w:t>
      </w:r>
      <w:r w:rsidRPr="00A7727F">
        <w:rPr>
          <w:lang w:eastAsia="ja-JP"/>
        </w:rPr>
        <w:t>, with a small amount of data obtained with the 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007D7871">
        <w:rPr>
          <w:lang w:eastAsia="ja-JP"/>
        </w:rPr>
        <w:t xml:space="preserve">/day dose). The dose </w:t>
      </w:r>
      <w:r w:rsidRPr="00A7727F">
        <w:rPr>
          <w:lang w:eastAsia="ja-JP"/>
        </w:rPr>
        <w:t>dependent cytokine elevation was therefore assessed using data obtained from subjects with NHL in Study MT103-104 in which a wide range (5 to 90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of blinatumomab doses was tested. Peak cytokine levels following initial dosing in patients with NHL are illustrated in Figure 17 and summar</w:t>
      </w:r>
      <w:r w:rsidR="00D50F7E">
        <w:rPr>
          <w:lang w:eastAsia="ja-JP"/>
        </w:rPr>
        <w:t>ised</w:t>
      </w:r>
      <w:r w:rsidR="005B0CFF">
        <w:rPr>
          <w:lang w:eastAsia="ja-JP"/>
        </w:rPr>
        <w:t xml:space="preserve"> </w:t>
      </w:r>
      <w:r w:rsidR="005B0CFF" w:rsidRPr="00586C19">
        <w:rPr>
          <w:lang w:eastAsia="ja-JP"/>
        </w:rPr>
        <w:t>in Table </w:t>
      </w:r>
      <w:r w:rsidR="00586C19" w:rsidRPr="00586C19">
        <w:rPr>
          <w:lang w:eastAsia="ja-JP"/>
        </w:rPr>
        <w:t>15</w:t>
      </w:r>
      <w:r w:rsidR="005B0CFF" w:rsidRPr="00586C19">
        <w:rPr>
          <w:lang w:eastAsia="ja-JP"/>
        </w:rPr>
        <w:t>,</w:t>
      </w:r>
      <w:r w:rsidR="007D7871" w:rsidRPr="00586C19">
        <w:rPr>
          <w:lang w:eastAsia="ja-JP"/>
        </w:rPr>
        <w:t xml:space="preserve"> both</w:t>
      </w:r>
      <w:r w:rsidR="005B0CFF" w:rsidRPr="00586C19">
        <w:rPr>
          <w:lang w:eastAsia="ja-JP"/>
        </w:rPr>
        <w:t xml:space="preserve"> below</w:t>
      </w:r>
      <w:r w:rsidRPr="00586C19">
        <w:rPr>
          <w:lang w:eastAsia="ja-JP"/>
        </w:rPr>
        <w:t>.</w:t>
      </w:r>
      <w:r w:rsidRPr="00A7727F">
        <w:rPr>
          <w:lang w:eastAsia="ja-JP"/>
        </w:rPr>
        <w:t xml:space="preserve"> Peak cytokine concentrations appeared to plateau at doses</w:t>
      </w:r>
      <w:r w:rsidR="00375CAE">
        <w:rPr>
          <w:lang w:eastAsia="ja-JP"/>
        </w:rPr>
        <w:t xml:space="preserve"> </w:t>
      </w:r>
      <w:r w:rsidR="00423768">
        <w:rPr>
          <w:lang w:eastAsia="ja-JP"/>
        </w:rPr>
        <w:t>≥</w:t>
      </w:r>
      <w:r w:rsidR="00375CAE">
        <w:rPr>
          <w:lang w:eastAsia="ja-JP"/>
        </w:rPr>
        <w:t xml:space="preserve"> </w:t>
      </w:r>
      <w:r w:rsidRPr="00A7727F">
        <w:rPr>
          <w:lang w:eastAsia="ja-JP"/>
        </w:rPr>
        <w:t>60</w:t>
      </w:r>
      <w:r w:rsidR="00375CAE">
        <w:rPr>
          <w:lang w:eastAsia="ja-JP"/>
        </w:rPr>
        <w:t xml:space="preserve"> </w:t>
      </w:r>
      <w:r w:rsidR="0018721C">
        <w:rPr>
          <w:lang w:eastAsia="ja-JP"/>
        </w:rPr>
        <w:t>µg</w:t>
      </w:r>
      <w:r w:rsidRPr="00A7727F">
        <w:rPr>
          <w:lang w:eastAsia="ja-JP"/>
        </w:rPr>
        <w:t>/m</w:t>
      </w:r>
      <w:r w:rsidRPr="005B0CFF">
        <w:rPr>
          <w:vertAlign w:val="superscript"/>
          <w:lang w:eastAsia="ja-JP"/>
        </w:rPr>
        <w:t>2</w:t>
      </w:r>
      <w:r w:rsidR="005B0CFF">
        <w:rPr>
          <w:lang w:eastAsia="ja-JP"/>
        </w:rPr>
        <w:t>/day. Inter</w:t>
      </w:r>
      <w:r w:rsidRPr="00A7727F">
        <w:rPr>
          <w:lang w:eastAsia="ja-JP"/>
        </w:rPr>
        <w:t>subject variability was large. In subsequent treatment cycles, cytokine elevation was observed in fewe</w:t>
      </w:r>
      <w:r w:rsidR="007D7871">
        <w:rPr>
          <w:lang w:eastAsia="ja-JP"/>
        </w:rPr>
        <w:t xml:space="preserve">r patients with less intensity, </w:t>
      </w:r>
      <w:r w:rsidRPr="00A7727F">
        <w:rPr>
          <w:lang w:eastAsia="ja-JP"/>
        </w:rPr>
        <w:t>suggesting that availability of target cells in the periphery is also required for a pronounced cytokine elevation.</w:t>
      </w:r>
    </w:p>
    <w:p w14:paraId="750336AD" w14:textId="25450EB2" w:rsidR="00A7727F" w:rsidRPr="00A7727F" w:rsidRDefault="00A7727F" w:rsidP="005B0CFF">
      <w:pPr>
        <w:pStyle w:val="FigureTitle"/>
        <w:rPr>
          <w:lang w:eastAsia="ja-JP"/>
        </w:rPr>
      </w:pPr>
      <w:bookmarkStart w:id="151" w:name="_Toc292015797"/>
      <w:r w:rsidRPr="00A7727F">
        <w:rPr>
          <w:lang w:eastAsia="ja-JP"/>
        </w:rPr>
        <w:t xml:space="preserve">Figure </w:t>
      </w:r>
      <w:r w:rsidR="00586C19">
        <w:rPr>
          <w:lang w:eastAsia="ja-JP"/>
        </w:rPr>
        <w:t>17:</w:t>
      </w:r>
      <w:r w:rsidR="00375CAE">
        <w:rPr>
          <w:lang w:eastAsia="ja-JP"/>
        </w:rPr>
        <w:t xml:space="preserve"> </w:t>
      </w:r>
      <w:r w:rsidRPr="00A7727F">
        <w:rPr>
          <w:lang w:eastAsia="ja-JP"/>
        </w:rPr>
        <w:t>Mean (SD</w:t>
      </w:r>
      <w:r w:rsidR="005B0CFF" w:rsidRPr="00A7727F">
        <w:rPr>
          <w:lang w:eastAsia="ja-JP"/>
        </w:rPr>
        <w:t>) serum peak cytokine concentrations following initiation of blinatumomab treatment</w:t>
      </w:r>
      <w:bookmarkEnd w:id="151"/>
    </w:p>
    <w:p w14:paraId="17558642" w14:textId="77777777" w:rsidR="00A7727F" w:rsidRPr="00A7727F" w:rsidRDefault="00A7727F" w:rsidP="00A7727F">
      <w:pPr>
        <w:rPr>
          <w:lang w:eastAsia="ja-JP"/>
        </w:rPr>
      </w:pPr>
      <w:r w:rsidRPr="00A7727F">
        <w:rPr>
          <w:noProof/>
          <w:lang w:eastAsia="en-AU"/>
        </w:rPr>
        <w:drawing>
          <wp:inline distT="0" distB="0" distL="0" distR="0" wp14:anchorId="5A7FB0E2" wp14:editId="2DB380C0">
            <wp:extent cx="3338830" cy="2211705"/>
            <wp:effectExtent l="0" t="0" r="0" b="0"/>
            <wp:docPr id="91" name="Picture 91" descr="Figure 17: Mean (SD) serum peak cytokine concentrations following initiation of blinatumomab treatment" title="Mean (SD) serum peak cytokine concentrations following initiation of blinatumomab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8830" cy="2211705"/>
                    </a:xfrm>
                    <a:prstGeom prst="rect">
                      <a:avLst/>
                    </a:prstGeom>
                    <a:noFill/>
                    <a:ln>
                      <a:noFill/>
                    </a:ln>
                  </pic:spPr>
                </pic:pic>
              </a:graphicData>
            </a:graphic>
          </wp:inline>
        </w:drawing>
      </w:r>
    </w:p>
    <w:p w14:paraId="470C4BBF" w14:textId="6F51F2B1" w:rsidR="00A7727F" w:rsidRPr="00A7727F" w:rsidRDefault="00A7727F" w:rsidP="005B0CFF">
      <w:pPr>
        <w:pStyle w:val="FigureDescription"/>
        <w:rPr>
          <w:lang w:eastAsia="ja-JP"/>
        </w:rPr>
      </w:pPr>
      <w:r w:rsidRPr="00A7727F">
        <w:rPr>
          <w:lang w:eastAsia="ja-JP"/>
        </w:rPr>
        <w:t>INF</w:t>
      </w:r>
      <w:r w:rsidR="00375CAE">
        <w:rPr>
          <w:lang w:eastAsia="ja-JP"/>
        </w:rPr>
        <w:t xml:space="preserve"> </w:t>
      </w:r>
      <w:r w:rsidR="00423768">
        <w:rPr>
          <w:lang w:eastAsia="ja-JP"/>
        </w:rPr>
        <w:t>=</w:t>
      </w:r>
      <w:r w:rsidR="00375CAE">
        <w:rPr>
          <w:lang w:eastAsia="ja-JP"/>
        </w:rPr>
        <w:t xml:space="preserve"> </w:t>
      </w:r>
      <w:r w:rsidRPr="00A7727F">
        <w:rPr>
          <w:lang w:eastAsia="ja-JP"/>
        </w:rPr>
        <w:t>interferon; IL</w:t>
      </w:r>
      <w:r w:rsidR="00375CAE">
        <w:rPr>
          <w:lang w:eastAsia="ja-JP"/>
        </w:rPr>
        <w:t xml:space="preserve"> </w:t>
      </w:r>
      <w:r w:rsidR="00423768">
        <w:rPr>
          <w:lang w:eastAsia="ja-JP"/>
        </w:rPr>
        <w:t>=</w:t>
      </w:r>
      <w:r w:rsidR="00375CAE">
        <w:rPr>
          <w:lang w:eastAsia="ja-JP"/>
        </w:rPr>
        <w:t xml:space="preserve"> </w:t>
      </w:r>
      <w:r w:rsidRPr="00A7727F">
        <w:rPr>
          <w:lang w:eastAsia="ja-JP"/>
        </w:rPr>
        <w:t>interleukin; SD</w:t>
      </w:r>
      <w:r w:rsidR="00375CAE">
        <w:rPr>
          <w:lang w:eastAsia="ja-JP"/>
        </w:rPr>
        <w:t xml:space="preserve"> </w:t>
      </w:r>
      <w:r w:rsidR="00423768">
        <w:rPr>
          <w:lang w:eastAsia="ja-JP"/>
        </w:rPr>
        <w:t>=</w:t>
      </w:r>
      <w:r w:rsidR="00375CAE">
        <w:rPr>
          <w:lang w:eastAsia="ja-JP"/>
        </w:rPr>
        <w:t xml:space="preserve"> </w:t>
      </w:r>
      <w:r w:rsidRPr="00A7727F">
        <w:rPr>
          <w:lang w:eastAsia="ja-JP"/>
        </w:rPr>
        <w:t>standard deviation; TNF</w:t>
      </w:r>
      <w:r w:rsidR="00375CAE">
        <w:rPr>
          <w:lang w:eastAsia="ja-JP"/>
        </w:rPr>
        <w:t xml:space="preserve"> </w:t>
      </w:r>
      <w:r w:rsidR="00423768">
        <w:rPr>
          <w:lang w:eastAsia="ja-JP"/>
        </w:rPr>
        <w:t>=</w:t>
      </w:r>
      <w:r w:rsidR="00375CAE">
        <w:rPr>
          <w:lang w:eastAsia="ja-JP"/>
        </w:rPr>
        <w:t xml:space="preserve"> </w:t>
      </w:r>
      <w:r w:rsidR="00A972DD">
        <w:rPr>
          <w:lang w:eastAsia="ja-JP"/>
        </w:rPr>
        <w:t>tumour</w:t>
      </w:r>
      <w:r w:rsidR="005B0CFF">
        <w:rPr>
          <w:lang w:eastAsia="ja-JP"/>
        </w:rPr>
        <w:t xml:space="preserve"> necrosis factor.</w:t>
      </w:r>
    </w:p>
    <w:p w14:paraId="3DC2B9F3" w14:textId="03B4D7A8" w:rsidR="00A7727F" w:rsidRPr="00A7727F" w:rsidRDefault="00A7727F" w:rsidP="00AD0B6F">
      <w:pPr>
        <w:pStyle w:val="Tabletitle"/>
        <w:rPr>
          <w:lang w:eastAsia="ja-JP"/>
        </w:rPr>
      </w:pPr>
      <w:bookmarkStart w:id="152" w:name="_Toc292015698"/>
      <w:r w:rsidRPr="00A7727F">
        <w:rPr>
          <w:lang w:eastAsia="ja-JP"/>
        </w:rPr>
        <w:t xml:space="preserve">Table </w:t>
      </w:r>
      <w:r w:rsidR="00586C19">
        <w:rPr>
          <w:lang w:eastAsia="ja-JP"/>
        </w:rPr>
        <w:t>15:</w:t>
      </w:r>
      <w:r w:rsidRPr="00A7727F">
        <w:rPr>
          <w:lang w:eastAsia="ja-JP"/>
        </w:rPr>
        <w:t xml:space="preserve"> Mean (SD) </w:t>
      </w:r>
      <w:r w:rsidR="005B0CFF" w:rsidRPr="00A7727F">
        <w:rPr>
          <w:lang w:eastAsia="ja-JP"/>
        </w:rPr>
        <w:t xml:space="preserve">cytokine peak levels in </w:t>
      </w:r>
      <w:r w:rsidR="00AD0B6F">
        <w:rPr>
          <w:lang w:eastAsia="ja-JP"/>
        </w:rPr>
        <w:t>W</w:t>
      </w:r>
      <w:r w:rsidR="005B0CFF">
        <w:rPr>
          <w:lang w:eastAsia="ja-JP"/>
        </w:rPr>
        <w:t>eek 1</w:t>
      </w:r>
      <w:r w:rsidR="005B0CFF" w:rsidRPr="00A7727F">
        <w:rPr>
          <w:lang w:eastAsia="ja-JP"/>
        </w:rPr>
        <w:t xml:space="preserve"> following continuous</w:t>
      </w:r>
      <w:r w:rsidRPr="00A7727F">
        <w:rPr>
          <w:lang w:eastAsia="ja-JP"/>
        </w:rPr>
        <w:t xml:space="preserve"> IV Infusion in </w:t>
      </w:r>
      <w:r w:rsidR="00AD0B6F" w:rsidRPr="00A7727F">
        <w:rPr>
          <w:lang w:eastAsia="ja-JP"/>
        </w:rPr>
        <w:t>subjects</w:t>
      </w:r>
      <w:r w:rsidRPr="00A7727F">
        <w:rPr>
          <w:lang w:eastAsia="ja-JP"/>
        </w:rPr>
        <w:t xml:space="preserve"> with NHL</w:t>
      </w:r>
      <w:bookmarkEnd w:id="152"/>
    </w:p>
    <w:tbl>
      <w:tblPr>
        <w:tblStyle w:val="TableTGAblue"/>
        <w:tblW w:w="8954" w:type="dxa"/>
        <w:tblInd w:w="-162" w:type="dxa"/>
        <w:tblLook w:val="04A0" w:firstRow="1" w:lastRow="0" w:firstColumn="1" w:lastColumn="0" w:noHBand="0" w:noVBand="1"/>
        <w:tblDescription w:val="Table 15: Mean (SD) cytokine peak levels in Week 1 following continuous IV Infusion in subjects with NHL"/>
      </w:tblPr>
      <w:tblGrid>
        <w:gridCol w:w="1250"/>
        <w:gridCol w:w="1134"/>
        <w:gridCol w:w="1090"/>
        <w:gridCol w:w="992"/>
        <w:gridCol w:w="1235"/>
        <w:gridCol w:w="1171"/>
        <w:gridCol w:w="992"/>
        <w:gridCol w:w="1090"/>
      </w:tblGrid>
      <w:tr w:rsidR="00AD0B6F" w:rsidRPr="00586C19" w14:paraId="230D3839" w14:textId="77777777" w:rsidTr="007B7D09">
        <w:trPr>
          <w:cnfStyle w:val="100000000000" w:firstRow="1" w:lastRow="0" w:firstColumn="0" w:lastColumn="0" w:oddVBand="0" w:evenVBand="0" w:oddHBand="0" w:evenHBand="0" w:firstRowFirstColumn="0" w:firstRowLastColumn="0" w:lastRowFirstColumn="0" w:lastRowLastColumn="0"/>
          <w:trHeight w:val="918"/>
          <w:tblHeader/>
        </w:trPr>
        <w:tc>
          <w:tcPr>
            <w:cnfStyle w:val="001000000000" w:firstRow="0" w:lastRow="0" w:firstColumn="1" w:lastColumn="0" w:oddVBand="0" w:evenVBand="0" w:oddHBand="0" w:evenHBand="0" w:firstRowFirstColumn="0" w:firstRowLastColumn="0" w:lastRowFirstColumn="0" w:lastRowLastColumn="0"/>
            <w:tcW w:w="1250" w:type="dxa"/>
          </w:tcPr>
          <w:p w14:paraId="726477C4" w14:textId="14721BBA" w:rsidR="00A7727F" w:rsidRPr="00586C19" w:rsidRDefault="00AD0B6F" w:rsidP="00AD0B6F">
            <w:pPr>
              <w:ind w:left="0" w:right="0"/>
              <w:rPr>
                <w:bCs/>
                <w:sz w:val="20"/>
                <w:szCs w:val="20"/>
                <w:lang w:eastAsia="ja-JP"/>
              </w:rPr>
            </w:pPr>
            <w:r w:rsidRPr="00586C19">
              <w:rPr>
                <w:bCs/>
                <w:sz w:val="20"/>
                <w:szCs w:val="20"/>
                <w:lang w:eastAsia="ja-JP"/>
              </w:rPr>
              <w:t xml:space="preserve">Dose </w:t>
            </w:r>
            <w:r w:rsidRPr="00586C19">
              <w:rPr>
                <w:sz w:val="20"/>
                <w:szCs w:val="20"/>
                <w:lang w:eastAsia="ja-JP"/>
              </w:rPr>
              <w:t>µg/m</w:t>
            </w:r>
            <w:r w:rsidRPr="00586C19">
              <w:rPr>
                <w:sz w:val="20"/>
                <w:szCs w:val="20"/>
                <w:vertAlign w:val="superscript"/>
                <w:lang w:eastAsia="ja-JP"/>
              </w:rPr>
              <w:t>2</w:t>
            </w:r>
            <w:r w:rsidRPr="00586C19">
              <w:rPr>
                <w:sz w:val="20"/>
                <w:szCs w:val="20"/>
                <w:lang w:eastAsia="ja-JP"/>
              </w:rPr>
              <w:t xml:space="preserve">/d </w:t>
            </w:r>
            <w:r w:rsidR="00A7727F" w:rsidRPr="00586C19">
              <w:rPr>
                <w:bCs/>
                <w:sz w:val="20"/>
                <w:szCs w:val="20"/>
                <w:lang w:eastAsia="ja-JP"/>
              </w:rPr>
              <w:t>(n</w:t>
            </w:r>
            <w:r w:rsidRPr="00586C19">
              <w:rPr>
                <w:bCs/>
                <w:sz w:val="20"/>
                <w:szCs w:val="20"/>
                <w:lang w:eastAsia="ja-JP"/>
              </w:rPr>
              <w:t xml:space="preserve"> =</w:t>
            </w:r>
            <w:r w:rsidR="00A7727F" w:rsidRPr="00586C19">
              <w:rPr>
                <w:bCs/>
                <w:sz w:val="20"/>
                <w:szCs w:val="20"/>
                <w:lang w:eastAsia="ja-JP"/>
              </w:rPr>
              <w:t>)</w:t>
            </w:r>
          </w:p>
        </w:tc>
        <w:tc>
          <w:tcPr>
            <w:tcW w:w="1134" w:type="dxa"/>
          </w:tcPr>
          <w:p w14:paraId="135387E7" w14:textId="6CB641B4"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IFN</w:t>
            </w:r>
            <w:r w:rsidR="00A7727F" w:rsidRPr="00586C19">
              <w:rPr>
                <w:bCs/>
                <w:sz w:val="20"/>
                <w:szCs w:val="20"/>
                <w:lang w:eastAsia="ja-JP"/>
              </w:rPr>
              <w:t>γ</w:t>
            </w:r>
          </w:p>
          <w:p w14:paraId="06915967"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c>
          <w:tcPr>
            <w:tcW w:w="0" w:type="auto"/>
          </w:tcPr>
          <w:p w14:paraId="111F658A" w14:textId="4BD283B6"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IL</w:t>
            </w:r>
            <w:r w:rsidR="00A7727F" w:rsidRPr="00586C19">
              <w:rPr>
                <w:bCs/>
                <w:sz w:val="20"/>
                <w:szCs w:val="20"/>
                <w:lang w:eastAsia="ja-JP"/>
              </w:rPr>
              <w:t>2</w:t>
            </w:r>
          </w:p>
          <w:p w14:paraId="7C871D8B"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c>
          <w:tcPr>
            <w:tcW w:w="0" w:type="auto"/>
          </w:tcPr>
          <w:p w14:paraId="66856976" w14:textId="1F4FF04E"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IL</w:t>
            </w:r>
            <w:r w:rsidR="00A7727F" w:rsidRPr="00586C19">
              <w:rPr>
                <w:bCs/>
                <w:sz w:val="20"/>
                <w:szCs w:val="20"/>
                <w:lang w:eastAsia="ja-JP"/>
              </w:rPr>
              <w:t>4</w:t>
            </w:r>
          </w:p>
          <w:p w14:paraId="272BB966"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c>
          <w:tcPr>
            <w:tcW w:w="0" w:type="auto"/>
          </w:tcPr>
          <w:p w14:paraId="53743640" w14:textId="3E006977"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IL</w:t>
            </w:r>
            <w:r w:rsidR="00A7727F" w:rsidRPr="00586C19">
              <w:rPr>
                <w:bCs/>
                <w:sz w:val="20"/>
                <w:szCs w:val="20"/>
                <w:lang w:eastAsia="ja-JP"/>
              </w:rPr>
              <w:t>6</w:t>
            </w:r>
          </w:p>
          <w:p w14:paraId="2C5217EF"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c>
          <w:tcPr>
            <w:tcW w:w="0" w:type="auto"/>
          </w:tcPr>
          <w:p w14:paraId="646CE7C4" w14:textId="549978A2"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IL</w:t>
            </w:r>
            <w:r w:rsidR="00A7727F" w:rsidRPr="00586C19">
              <w:rPr>
                <w:bCs/>
                <w:sz w:val="20"/>
                <w:szCs w:val="20"/>
                <w:lang w:eastAsia="ja-JP"/>
              </w:rPr>
              <w:t>10</w:t>
            </w:r>
          </w:p>
          <w:p w14:paraId="41043008"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c>
          <w:tcPr>
            <w:tcW w:w="0" w:type="auto"/>
          </w:tcPr>
          <w:p w14:paraId="58B376FA" w14:textId="401BA633"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I</w:t>
            </w:r>
            <w:r w:rsidR="00A7727F" w:rsidRPr="00586C19">
              <w:rPr>
                <w:bCs/>
                <w:sz w:val="20"/>
                <w:szCs w:val="20"/>
                <w:lang w:eastAsia="ja-JP"/>
              </w:rPr>
              <w:t>L12</w:t>
            </w:r>
          </w:p>
          <w:p w14:paraId="77E82703"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c>
          <w:tcPr>
            <w:tcW w:w="0" w:type="auto"/>
          </w:tcPr>
          <w:p w14:paraId="202DA843" w14:textId="1730508E" w:rsidR="00A7727F" w:rsidRPr="00586C19" w:rsidRDefault="00AD0B6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TNF</w:t>
            </w:r>
            <w:r w:rsidR="00A7727F" w:rsidRPr="00586C19">
              <w:rPr>
                <w:bCs/>
                <w:sz w:val="20"/>
                <w:szCs w:val="20"/>
                <w:lang w:eastAsia="ja-JP"/>
              </w:rPr>
              <w:t>α</w:t>
            </w:r>
          </w:p>
          <w:p w14:paraId="129CC3B8" w14:textId="77777777" w:rsidR="00A7727F" w:rsidRPr="00586C19" w:rsidRDefault="00A7727F" w:rsidP="00AD0B6F">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586C19">
              <w:rPr>
                <w:bCs/>
                <w:sz w:val="20"/>
                <w:szCs w:val="20"/>
                <w:lang w:eastAsia="ja-JP"/>
              </w:rPr>
              <w:t>(pg/mL)</w:t>
            </w:r>
          </w:p>
        </w:tc>
      </w:tr>
      <w:tr w:rsidR="00AD0B6F" w:rsidRPr="00586C19" w14:paraId="6032F442" w14:textId="77777777" w:rsidTr="007B270B">
        <w:trPr>
          <w:trHeight w:val="453"/>
        </w:trPr>
        <w:tc>
          <w:tcPr>
            <w:cnfStyle w:val="001000000000" w:firstRow="0" w:lastRow="0" w:firstColumn="1" w:lastColumn="0" w:oddVBand="0" w:evenVBand="0" w:oddHBand="0" w:evenHBand="0" w:firstRowFirstColumn="0" w:firstRowLastColumn="0" w:lastRowFirstColumn="0" w:lastRowLastColumn="0"/>
            <w:tcW w:w="1250" w:type="dxa"/>
          </w:tcPr>
          <w:p w14:paraId="4D329608" w14:textId="789E5E26" w:rsidR="00A7727F" w:rsidRPr="00586C19" w:rsidRDefault="00423768" w:rsidP="00AD0B6F">
            <w:pPr>
              <w:ind w:left="0" w:right="0"/>
              <w:rPr>
                <w:sz w:val="20"/>
                <w:szCs w:val="20"/>
                <w:lang w:eastAsia="ja-JP"/>
              </w:rPr>
            </w:pPr>
            <w:r w:rsidRPr="00586C19">
              <w:rPr>
                <w:sz w:val="20"/>
                <w:szCs w:val="20"/>
                <w:lang w:eastAsia="ja-JP"/>
              </w:rPr>
              <w:t>&lt;</w:t>
            </w:r>
            <w:r w:rsidR="00375CAE" w:rsidRPr="00586C19">
              <w:rPr>
                <w:sz w:val="20"/>
                <w:szCs w:val="20"/>
                <w:lang w:eastAsia="ja-JP"/>
              </w:rPr>
              <w:t xml:space="preserve"> </w:t>
            </w:r>
            <w:r w:rsidR="00A7727F" w:rsidRPr="00586C19">
              <w:rPr>
                <w:sz w:val="20"/>
                <w:szCs w:val="20"/>
                <w:lang w:eastAsia="ja-JP"/>
              </w:rPr>
              <w:t>5</w:t>
            </w:r>
            <w:r w:rsidR="00375CAE" w:rsidRPr="00586C19">
              <w:rPr>
                <w:sz w:val="20"/>
                <w:szCs w:val="20"/>
                <w:lang w:eastAsia="ja-JP"/>
              </w:rPr>
              <w:t xml:space="preserve"> </w:t>
            </w:r>
            <w:r w:rsidR="00A7727F" w:rsidRPr="00586C19">
              <w:rPr>
                <w:sz w:val="20"/>
                <w:szCs w:val="20"/>
                <w:lang w:eastAsia="ja-JP"/>
              </w:rPr>
              <w:t>(n</w:t>
            </w:r>
            <w:r w:rsidRPr="00586C19">
              <w:rPr>
                <w:sz w:val="20"/>
                <w:szCs w:val="20"/>
                <w:lang w:eastAsia="ja-JP"/>
              </w:rPr>
              <w:t xml:space="preserve"> = </w:t>
            </w:r>
            <w:r w:rsidR="00A7727F" w:rsidRPr="00586C19">
              <w:rPr>
                <w:sz w:val="20"/>
                <w:szCs w:val="20"/>
                <w:lang w:eastAsia="ja-JP"/>
              </w:rPr>
              <w:t>9)</w:t>
            </w:r>
          </w:p>
        </w:tc>
        <w:tc>
          <w:tcPr>
            <w:tcW w:w="1134" w:type="dxa"/>
          </w:tcPr>
          <w:p w14:paraId="28B29B02" w14:textId="45521C2F"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74.2</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127</w:t>
            </w:r>
          </w:p>
        </w:tc>
        <w:tc>
          <w:tcPr>
            <w:tcW w:w="0" w:type="auto"/>
          </w:tcPr>
          <w:p w14:paraId="66F156FE" w14:textId="1BE7464A"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53A3421D" w14:textId="5CD96943"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392C2555" w14:textId="191962CA"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45.2</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47.2</w:t>
            </w:r>
          </w:p>
        </w:tc>
        <w:tc>
          <w:tcPr>
            <w:tcW w:w="0" w:type="auto"/>
          </w:tcPr>
          <w:p w14:paraId="6DA0FCB3" w14:textId="27412F16"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79.4</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40.1</w:t>
            </w:r>
          </w:p>
        </w:tc>
        <w:tc>
          <w:tcPr>
            <w:tcW w:w="0" w:type="auto"/>
          </w:tcPr>
          <w:p w14:paraId="540B6287" w14:textId="1D3204CF"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53CFA67D" w14:textId="50578F11"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r>
      <w:tr w:rsidR="00AD0B6F" w:rsidRPr="00586C19" w14:paraId="1D8B9AD9" w14:textId="77777777" w:rsidTr="007B270B">
        <w:trPr>
          <w:trHeight w:val="697"/>
        </w:trPr>
        <w:tc>
          <w:tcPr>
            <w:cnfStyle w:val="001000000000" w:firstRow="0" w:lastRow="0" w:firstColumn="1" w:lastColumn="0" w:oddVBand="0" w:evenVBand="0" w:oddHBand="0" w:evenHBand="0" w:firstRowFirstColumn="0" w:firstRowLastColumn="0" w:lastRowFirstColumn="0" w:lastRowLastColumn="0"/>
            <w:tcW w:w="1250" w:type="dxa"/>
          </w:tcPr>
          <w:p w14:paraId="1DD16291" w14:textId="2247FB1C" w:rsidR="00A7727F" w:rsidRPr="00586C19" w:rsidRDefault="00A7727F" w:rsidP="00AD0B6F">
            <w:pPr>
              <w:ind w:left="0" w:right="0"/>
              <w:rPr>
                <w:sz w:val="20"/>
                <w:szCs w:val="20"/>
                <w:lang w:eastAsia="ja-JP"/>
              </w:rPr>
            </w:pPr>
            <w:r w:rsidRPr="00586C19">
              <w:rPr>
                <w:sz w:val="20"/>
                <w:szCs w:val="20"/>
                <w:lang w:eastAsia="ja-JP"/>
              </w:rPr>
              <w:t>5</w:t>
            </w:r>
            <w:r w:rsidR="00375CAE" w:rsidRPr="00586C19">
              <w:rPr>
                <w:sz w:val="20"/>
                <w:szCs w:val="20"/>
                <w:lang w:eastAsia="ja-JP"/>
              </w:rPr>
              <w:t xml:space="preserve"> </w:t>
            </w:r>
            <w:r w:rsidRPr="00586C19">
              <w:rPr>
                <w:sz w:val="20"/>
                <w:szCs w:val="20"/>
                <w:lang w:eastAsia="ja-JP"/>
              </w:rPr>
              <w:t>(n</w:t>
            </w:r>
            <w:r w:rsidR="00423768" w:rsidRPr="00586C19">
              <w:rPr>
                <w:sz w:val="20"/>
                <w:szCs w:val="20"/>
                <w:lang w:eastAsia="ja-JP"/>
              </w:rPr>
              <w:t xml:space="preserve"> = </w:t>
            </w:r>
            <w:r w:rsidR="00AD0B6F" w:rsidRPr="00586C19">
              <w:rPr>
                <w:sz w:val="20"/>
                <w:szCs w:val="20"/>
                <w:lang w:eastAsia="ja-JP"/>
              </w:rPr>
              <w:t xml:space="preserve">36 to </w:t>
            </w:r>
            <w:r w:rsidRPr="00586C19">
              <w:rPr>
                <w:sz w:val="20"/>
                <w:szCs w:val="20"/>
                <w:lang w:eastAsia="ja-JP"/>
              </w:rPr>
              <w:t>37)</w:t>
            </w:r>
          </w:p>
        </w:tc>
        <w:tc>
          <w:tcPr>
            <w:tcW w:w="1134" w:type="dxa"/>
          </w:tcPr>
          <w:p w14:paraId="04BF1F4F" w14:textId="708AAD8A"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63.3</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94.3</w:t>
            </w:r>
          </w:p>
        </w:tc>
        <w:tc>
          <w:tcPr>
            <w:tcW w:w="0" w:type="auto"/>
          </w:tcPr>
          <w:p w14:paraId="3320C9E1" w14:textId="2A652DBB"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0BED8EB7" w14:textId="166B30C3"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3388AB05" w14:textId="1A2428CC"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80.9</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255</w:t>
            </w:r>
          </w:p>
        </w:tc>
        <w:tc>
          <w:tcPr>
            <w:tcW w:w="0" w:type="auto"/>
          </w:tcPr>
          <w:p w14:paraId="1D159C8F" w14:textId="536CCE78"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323</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488</w:t>
            </w:r>
          </w:p>
        </w:tc>
        <w:tc>
          <w:tcPr>
            <w:tcW w:w="0" w:type="auto"/>
          </w:tcPr>
          <w:p w14:paraId="6123E733" w14:textId="42193CE3"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396973C8" w14:textId="53072DF7"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32.2</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116</w:t>
            </w:r>
          </w:p>
        </w:tc>
      </w:tr>
      <w:tr w:rsidR="00AD0B6F" w:rsidRPr="00586C19" w14:paraId="02951040" w14:textId="77777777" w:rsidTr="007B270B">
        <w:trPr>
          <w:trHeight w:val="453"/>
        </w:trPr>
        <w:tc>
          <w:tcPr>
            <w:cnfStyle w:val="001000000000" w:firstRow="0" w:lastRow="0" w:firstColumn="1" w:lastColumn="0" w:oddVBand="0" w:evenVBand="0" w:oddHBand="0" w:evenHBand="0" w:firstRowFirstColumn="0" w:firstRowLastColumn="0" w:lastRowFirstColumn="0" w:lastRowLastColumn="0"/>
            <w:tcW w:w="1250" w:type="dxa"/>
          </w:tcPr>
          <w:p w14:paraId="0FC02C7C" w14:textId="3E792309" w:rsidR="00A7727F" w:rsidRPr="00586C19" w:rsidRDefault="00A7727F" w:rsidP="00AD0B6F">
            <w:pPr>
              <w:ind w:left="0" w:right="0"/>
              <w:rPr>
                <w:sz w:val="20"/>
                <w:szCs w:val="20"/>
                <w:lang w:eastAsia="ja-JP"/>
              </w:rPr>
            </w:pPr>
            <w:r w:rsidRPr="00586C19">
              <w:rPr>
                <w:sz w:val="20"/>
                <w:szCs w:val="20"/>
                <w:lang w:eastAsia="ja-JP"/>
              </w:rPr>
              <w:t>15</w:t>
            </w:r>
            <w:r w:rsidR="00375CAE" w:rsidRPr="00586C19">
              <w:rPr>
                <w:sz w:val="20"/>
                <w:szCs w:val="20"/>
                <w:lang w:eastAsia="ja-JP"/>
              </w:rPr>
              <w:t xml:space="preserve"> </w:t>
            </w:r>
            <w:r w:rsidRPr="00586C19">
              <w:rPr>
                <w:sz w:val="20"/>
                <w:szCs w:val="20"/>
                <w:lang w:eastAsia="ja-JP"/>
              </w:rPr>
              <w:t>(n</w:t>
            </w:r>
            <w:r w:rsidR="00423768" w:rsidRPr="00586C19">
              <w:rPr>
                <w:sz w:val="20"/>
                <w:szCs w:val="20"/>
                <w:lang w:eastAsia="ja-JP"/>
              </w:rPr>
              <w:t xml:space="preserve"> = </w:t>
            </w:r>
            <w:r w:rsidRPr="00586C19">
              <w:rPr>
                <w:sz w:val="20"/>
                <w:szCs w:val="20"/>
                <w:lang w:eastAsia="ja-JP"/>
              </w:rPr>
              <w:t>18)</w:t>
            </w:r>
          </w:p>
        </w:tc>
        <w:tc>
          <w:tcPr>
            <w:tcW w:w="1134" w:type="dxa"/>
          </w:tcPr>
          <w:p w14:paraId="5A77469F" w14:textId="441144BA"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34.1</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42.9</w:t>
            </w:r>
          </w:p>
        </w:tc>
        <w:tc>
          <w:tcPr>
            <w:tcW w:w="0" w:type="auto"/>
          </w:tcPr>
          <w:p w14:paraId="2CDD16BB" w14:textId="641615CB"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38BDDD06" w14:textId="78DBE184"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66D507E5" w14:textId="7A463425"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105</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113</w:t>
            </w:r>
          </w:p>
        </w:tc>
        <w:tc>
          <w:tcPr>
            <w:tcW w:w="0" w:type="auto"/>
          </w:tcPr>
          <w:p w14:paraId="159CB86E" w14:textId="1360A5BC"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573</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1135</w:t>
            </w:r>
          </w:p>
        </w:tc>
        <w:tc>
          <w:tcPr>
            <w:tcW w:w="0" w:type="auto"/>
          </w:tcPr>
          <w:p w14:paraId="385C1E71" w14:textId="6C10256A"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41089DA8" w14:textId="1AEE78F0"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r>
      <w:tr w:rsidR="00AD0B6F" w:rsidRPr="00586C19" w14:paraId="02F6C1BB" w14:textId="77777777" w:rsidTr="007B270B">
        <w:trPr>
          <w:trHeight w:val="686"/>
        </w:trPr>
        <w:tc>
          <w:tcPr>
            <w:cnfStyle w:val="001000000000" w:firstRow="0" w:lastRow="0" w:firstColumn="1" w:lastColumn="0" w:oddVBand="0" w:evenVBand="0" w:oddHBand="0" w:evenHBand="0" w:firstRowFirstColumn="0" w:firstRowLastColumn="0" w:lastRowFirstColumn="0" w:lastRowLastColumn="0"/>
            <w:tcW w:w="1250" w:type="dxa"/>
          </w:tcPr>
          <w:p w14:paraId="2B9D0F0A" w14:textId="4841DD25" w:rsidR="00A7727F" w:rsidRPr="00586C19" w:rsidRDefault="00A7727F" w:rsidP="00AD0B6F">
            <w:pPr>
              <w:ind w:left="0" w:right="0"/>
              <w:rPr>
                <w:sz w:val="20"/>
                <w:szCs w:val="20"/>
                <w:lang w:eastAsia="ja-JP"/>
              </w:rPr>
            </w:pPr>
            <w:r w:rsidRPr="00586C19">
              <w:rPr>
                <w:sz w:val="20"/>
                <w:szCs w:val="20"/>
                <w:lang w:eastAsia="ja-JP"/>
              </w:rPr>
              <w:t>30</w:t>
            </w:r>
            <w:r w:rsidR="00375CAE" w:rsidRPr="00586C19">
              <w:rPr>
                <w:sz w:val="20"/>
                <w:szCs w:val="20"/>
                <w:lang w:eastAsia="ja-JP"/>
              </w:rPr>
              <w:t xml:space="preserve"> </w:t>
            </w:r>
            <w:r w:rsidRPr="00586C19">
              <w:rPr>
                <w:sz w:val="20"/>
                <w:szCs w:val="20"/>
                <w:lang w:eastAsia="ja-JP"/>
              </w:rPr>
              <w:t>(n</w:t>
            </w:r>
            <w:r w:rsidR="00423768" w:rsidRPr="00586C19">
              <w:rPr>
                <w:sz w:val="20"/>
                <w:szCs w:val="20"/>
                <w:lang w:eastAsia="ja-JP"/>
              </w:rPr>
              <w:t xml:space="preserve"> = </w:t>
            </w:r>
            <w:r w:rsidRPr="00586C19">
              <w:rPr>
                <w:sz w:val="20"/>
                <w:szCs w:val="20"/>
                <w:lang w:eastAsia="ja-JP"/>
              </w:rPr>
              <w:t>7)</w:t>
            </w:r>
          </w:p>
        </w:tc>
        <w:tc>
          <w:tcPr>
            <w:tcW w:w="1134" w:type="dxa"/>
          </w:tcPr>
          <w:p w14:paraId="4356B76B" w14:textId="0661C89D"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137</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130</w:t>
            </w:r>
          </w:p>
        </w:tc>
        <w:tc>
          <w:tcPr>
            <w:tcW w:w="0" w:type="auto"/>
          </w:tcPr>
          <w:p w14:paraId="70C76AF8" w14:textId="52AA1266"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46.1</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50.9</w:t>
            </w:r>
          </w:p>
        </w:tc>
        <w:tc>
          <w:tcPr>
            <w:tcW w:w="0" w:type="auto"/>
          </w:tcPr>
          <w:p w14:paraId="2D5FA9E6" w14:textId="14E6430B"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4A05B57F" w14:textId="549F0C53"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773</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1081</w:t>
            </w:r>
          </w:p>
        </w:tc>
        <w:tc>
          <w:tcPr>
            <w:tcW w:w="0" w:type="auto"/>
          </w:tcPr>
          <w:p w14:paraId="581093EA" w14:textId="380EF3BD"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1108</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917</w:t>
            </w:r>
          </w:p>
        </w:tc>
        <w:tc>
          <w:tcPr>
            <w:tcW w:w="0" w:type="auto"/>
          </w:tcPr>
          <w:p w14:paraId="0F075C7D" w14:textId="777F071A"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2873F124" w14:textId="76AF2541"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25.7</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31.1</w:t>
            </w:r>
          </w:p>
        </w:tc>
      </w:tr>
      <w:tr w:rsidR="00AD0B6F" w:rsidRPr="00586C19" w14:paraId="3D2A3D56" w14:textId="77777777" w:rsidTr="007B270B">
        <w:trPr>
          <w:trHeight w:val="697"/>
        </w:trPr>
        <w:tc>
          <w:tcPr>
            <w:cnfStyle w:val="001000000000" w:firstRow="0" w:lastRow="0" w:firstColumn="1" w:lastColumn="0" w:oddVBand="0" w:evenVBand="0" w:oddHBand="0" w:evenHBand="0" w:firstRowFirstColumn="0" w:firstRowLastColumn="0" w:lastRowFirstColumn="0" w:lastRowLastColumn="0"/>
            <w:tcW w:w="1250" w:type="dxa"/>
          </w:tcPr>
          <w:p w14:paraId="4F72D9A1" w14:textId="21CDBC38" w:rsidR="00A7727F" w:rsidRPr="00586C19" w:rsidRDefault="00A7727F" w:rsidP="00AD0B6F">
            <w:pPr>
              <w:ind w:left="0" w:right="0"/>
              <w:rPr>
                <w:sz w:val="20"/>
                <w:szCs w:val="20"/>
                <w:lang w:eastAsia="ja-JP"/>
              </w:rPr>
            </w:pPr>
            <w:r w:rsidRPr="00586C19">
              <w:rPr>
                <w:sz w:val="20"/>
                <w:szCs w:val="20"/>
                <w:lang w:eastAsia="ja-JP"/>
              </w:rPr>
              <w:t>60</w:t>
            </w:r>
            <w:r w:rsidR="00375CAE" w:rsidRPr="00586C19">
              <w:rPr>
                <w:sz w:val="20"/>
                <w:szCs w:val="20"/>
                <w:lang w:eastAsia="ja-JP"/>
              </w:rPr>
              <w:t xml:space="preserve"> </w:t>
            </w:r>
            <w:r w:rsidRPr="00586C19">
              <w:rPr>
                <w:sz w:val="20"/>
                <w:szCs w:val="20"/>
                <w:lang w:eastAsia="ja-JP"/>
              </w:rPr>
              <w:t>(n</w:t>
            </w:r>
            <w:r w:rsidR="00423768" w:rsidRPr="00586C19">
              <w:rPr>
                <w:sz w:val="20"/>
                <w:szCs w:val="20"/>
                <w:lang w:eastAsia="ja-JP"/>
              </w:rPr>
              <w:t xml:space="preserve"> = </w:t>
            </w:r>
            <w:r w:rsidRPr="00586C19">
              <w:rPr>
                <w:sz w:val="20"/>
                <w:szCs w:val="20"/>
                <w:lang w:eastAsia="ja-JP"/>
              </w:rPr>
              <w:t>15)</w:t>
            </w:r>
          </w:p>
        </w:tc>
        <w:tc>
          <w:tcPr>
            <w:tcW w:w="1134" w:type="dxa"/>
          </w:tcPr>
          <w:p w14:paraId="0413E643" w14:textId="68DBAAED"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446</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1013</w:t>
            </w:r>
          </w:p>
        </w:tc>
        <w:tc>
          <w:tcPr>
            <w:tcW w:w="0" w:type="auto"/>
          </w:tcPr>
          <w:p w14:paraId="0A754A9F" w14:textId="05AA6FFA"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171</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224</w:t>
            </w:r>
          </w:p>
        </w:tc>
        <w:tc>
          <w:tcPr>
            <w:tcW w:w="0" w:type="auto"/>
          </w:tcPr>
          <w:p w14:paraId="50BC64AB" w14:textId="01FE5813"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666EC2B8" w14:textId="047C1862"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4409</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15177</w:t>
            </w:r>
          </w:p>
        </w:tc>
        <w:tc>
          <w:tcPr>
            <w:tcW w:w="0" w:type="auto"/>
          </w:tcPr>
          <w:p w14:paraId="4230FB70" w14:textId="6CEC67C2"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2460</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2643</w:t>
            </w:r>
          </w:p>
        </w:tc>
        <w:tc>
          <w:tcPr>
            <w:tcW w:w="0" w:type="auto"/>
          </w:tcPr>
          <w:p w14:paraId="6C2AD56C" w14:textId="3C544483"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424A72FD" w14:textId="6AB6A0A7"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205</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370</w:t>
            </w:r>
          </w:p>
        </w:tc>
      </w:tr>
      <w:tr w:rsidR="00AD0B6F" w:rsidRPr="00586C19" w14:paraId="7F27CAE4" w14:textId="77777777" w:rsidTr="007B270B">
        <w:trPr>
          <w:trHeight w:val="686"/>
        </w:trPr>
        <w:tc>
          <w:tcPr>
            <w:cnfStyle w:val="001000000000" w:firstRow="0" w:lastRow="0" w:firstColumn="1" w:lastColumn="0" w:oddVBand="0" w:evenVBand="0" w:oddHBand="0" w:evenHBand="0" w:firstRowFirstColumn="0" w:firstRowLastColumn="0" w:lastRowFirstColumn="0" w:lastRowLastColumn="0"/>
            <w:tcW w:w="1250" w:type="dxa"/>
          </w:tcPr>
          <w:p w14:paraId="187FD586" w14:textId="6CBA79C5" w:rsidR="00A7727F" w:rsidRPr="00586C19" w:rsidRDefault="00A7727F" w:rsidP="00AD0B6F">
            <w:pPr>
              <w:ind w:left="0" w:right="0"/>
              <w:rPr>
                <w:sz w:val="20"/>
                <w:szCs w:val="20"/>
                <w:lang w:eastAsia="ja-JP"/>
              </w:rPr>
            </w:pPr>
            <w:r w:rsidRPr="00586C19">
              <w:rPr>
                <w:sz w:val="20"/>
                <w:szCs w:val="20"/>
                <w:lang w:eastAsia="ja-JP"/>
              </w:rPr>
              <w:t>90</w:t>
            </w:r>
            <w:r w:rsidR="00375CAE" w:rsidRPr="00586C19">
              <w:rPr>
                <w:sz w:val="20"/>
                <w:szCs w:val="20"/>
                <w:lang w:eastAsia="ja-JP"/>
              </w:rPr>
              <w:t xml:space="preserve"> </w:t>
            </w:r>
            <w:r w:rsidRPr="00586C19">
              <w:rPr>
                <w:sz w:val="20"/>
                <w:szCs w:val="20"/>
                <w:lang w:eastAsia="ja-JP"/>
              </w:rPr>
              <w:t>(n</w:t>
            </w:r>
            <w:r w:rsidR="00423768" w:rsidRPr="00586C19">
              <w:rPr>
                <w:sz w:val="20"/>
                <w:szCs w:val="20"/>
                <w:lang w:eastAsia="ja-JP"/>
              </w:rPr>
              <w:t xml:space="preserve"> = </w:t>
            </w:r>
            <w:r w:rsidRPr="00586C19">
              <w:rPr>
                <w:sz w:val="20"/>
                <w:szCs w:val="20"/>
                <w:lang w:eastAsia="ja-JP"/>
              </w:rPr>
              <w:t>4)</w:t>
            </w:r>
          </w:p>
        </w:tc>
        <w:tc>
          <w:tcPr>
            <w:tcW w:w="1134" w:type="dxa"/>
          </w:tcPr>
          <w:p w14:paraId="7B2F41E1" w14:textId="04E12EE7"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440</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417</w:t>
            </w:r>
          </w:p>
        </w:tc>
        <w:tc>
          <w:tcPr>
            <w:tcW w:w="0" w:type="auto"/>
          </w:tcPr>
          <w:p w14:paraId="5EFF4A86" w14:textId="05ADC5A8"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71.3</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72.4</w:t>
            </w:r>
          </w:p>
        </w:tc>
        <w:tc>
          <w:tcPr>
            <w:tcW w:w="0" w:type="auto"/>
          </w:tcPr>
          <w:p w14:paraId="02DAE534" w14:textId="2BEB47AE"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2297AC4C" w14:textId="0CFBC10C"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365</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233</w:t>
            </w:r>
          </w:p>
        </w:tc>
        <w:tc>
          <w:tcPr>
            <w:tcW w:w="0" w:type="auto"/>
          </w:tcPr>
          <w:p w14:paraId="2FB9A020" w14:textId="1F198A15"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1545</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1032</w:t>
            </w:r>
          </w:p>
        </w:tc>
        <w:tc>
          <w:tcPr>
            <w:tcW w:w="0" w:type="auto"/>
          </w:tcPr>
          <w:p w14:paraId="7F40C529" w14:textId="66A6667B" w:rsidR="00A7727F" w:rsidRPr="00586C19" w:rsidRDefault="00423768"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0" w:type="auto"/>
          </w:tcPr>
          <w:p w14:paraId="72D8B86B" w14:textId="1A3AECA0" w:rsidR="00A7727F" w:rsidRPr="00586C19" w:rsidRDefault="00A7727F" w:rsidP="00AD0B6F">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108</w:t>
            </w:r>
            <w:r w:rsidR="00AD0B6F" w:rsidRPr="00586C19">
              <w:rPr>
                <w:sz w:val="20"/>
                <w:szCs w:val="20"/>
                <w:lang w:eastAsia="ja-JP"/>
              </w:rPr>
              <w:t xml:space="preserve"> </w:t>
            </w:r>
            <w:r w:rsidRPr="00586C19">
              <w:rPr>
                <w:sz w:val="20"/>
                <w:szCs w:val="20"/>
                <w:lang w:eastAsia="ja-JP"/>
              </w:rPr>
              <w:t>±</w:t>
            </w:r>
            <w:r w:rsidR="00AD0B6F" w:rsidRPr="00586C19">
              <w:rPr>
                <w:sz w:val="20"/>
                <w:szCs w:val="20"/>
                <w:lang w:eastAsia="ja-JP"/>
              </w:rPr>
              <w:t xml:space="preserve"> </w:t>
            </w:r>
            <w:r w:rsidRPr="00586C19">
              <w:rPr>
                <w:sz w:val="20"/>
                <w:szCs w:val="20"/>
                <w:lang w:eastAsia="ja-JP"/>
              </w:rPr>
              <w:t>89.9</w:t>
            </w:r>
          </w:p>
        </w:tc>
      </w:tr>
    </w:tbl>
    <w:p w14:paraId="349F8DEE" w14:textId="2A5B9502" w:rsidR="00A7727F" w:rsidRPr="00A7727F" w:rsidRDefault="00A7727F" w:rsidP="00AD0B6F">
      <w:pPr>
        <w:pStyle w:val="TableDescription"/>
        <w:rPr>
          <w:lang w:eastAsia="ja-JP"/>
        </w:rPr>
      </w:pPr>
      <w:r w:rsidRPr="00A7727F">
        <w:rPr>
          <w:lang w:eastAsia="ja-JP"/>
        </w:rPr>
        <w:t>INF</w:t>
      </w:r>
      <w:r w:rsidR="00375CAE">
        <w:rPr>
          <w:lang w:eastAsia="ja-JP"/>
        </w:rPr>
        <w:t xml:space="preserve"> </w:t>
      </w:r>
      <w:r w:rsidR="00423768">
        <w:rPr>
          <w:lang w:eastAsia="ja-JP"/>
        </w:rPr>
        <w:t>=</w:t>
      </w:r>
      <w:r w:rsidR="00375CAE">
        <w:rPr>
          <w:lang w:eastAsia="ja-JP"/>
        </w:rPr>
        <w:t xml:space="preserve"> </w:t>
      </w:r>
      <w:r w:rsidRPr="00A7727F">
        <w:rPr>
          <w:lang w:eastAsia="ja-JP"/>
        </w:rPr>
        <w:t>interferon; IL</w:t>
      </w:r>
      <w:r w:rsidR="00375CAE">
        <w:rPr>
          <w:lang w:eastAsia="ja-JP"/>
        </w:rPr>
        <w:t xml:space="preserve"> </w:t>
      </w:r>
      <w:r w:rsidR="00423768">
        <w:rPr>
          <w:lang w:eastAsia="ja-JP"/>
        </w:rPr>
        <w:t>=</w:t>
      </w:r>
      <w:r w:rsidR="00375CAE">
        <w:rPr>
          <w:lang w:eastAsia="ja-JP"/>
        </w:rPr>
        <w:t xml:space="preserve"> </w:t>
      </w:r>
      <w:r w:rsidRPr="00A7727F">
        <w:rPr>
          <w:lang w:eastAsia="ja-JP"/>
        </w:rPr>
        <w:t>interleukin; IV</w:t>
      </w:r>
      <w:r w:rsidR="00375CAE">
        <w:rPr>
          <w:lang w:eastAsia="ja-JP"/>
        </w:rPr>
        <w:t xml:space="preserve"> </w:t>
      </w:r>
      <w:r w:rsidR="00423768">
        <w:rPr>
          <w:lang w:eastAsia="ja-JP"/>
        </w:rPr>
        <w:t>=</w:t>
      </w:r>
      <w:r w:rsidR="00375CAE">
        <w:rPr>
          <w:lang w:eastAsia="ja-JP"/>
        </w:rPr>
        <w:t xml:space="preserve"> </w:t>
      </w:r>
      <w:r w:rsidRPr="00A7727F">
        <w:rPr>
          <w:lang w:eastAsia="ja-JP"/>
        </w:rPr>
        <w:t>intravenous; LOD</w:t>
      </w:r>
      <w:r w:rsidR="00375CAE">
        <w:rPr>
          <w:lang w:eastAsia="ja-JP"/>
        </w:rPr>
        <w:t xml:space="preserve"> </w:t>
      </w:r>
      <w:r w:rsidR="00423768">
        <w:rPr>
          <w:lang w:eastAsia="ja-JP"/>
        </w:rPr>
        <w:t>=</w:t>
      </w:r>
      <w:r w:rsidR="00375CAE">
        <w:rPr>
          <w:lang w:eastAsia="ja-JP"/>
        </w:rPr>
        <w:t xml:space="preserve"> </w:t>
      </w:r>
      <w:r w:rsidRPr="00A7727F">
        <w:rPr>
          <w:lang w:eastAsia="ja-JP"/>
        </w:rPr>
        <w:t>lower limit of detection; NHL</w:t>
      </w:r>
      <w:r w:rsidR="00375CAE">
        <w:rPr>
          <w:lang w:eastAsia="ja-JP"/>
        </w:rPr>
        <w:t xml:space="preserve"> </w:t>
      </w:r>
      <w:r w:rsidR="00423768">
        <w:rPr>
          <w:lang w:eastAsia="ja-JP"/>
        </w:rPr>
        <w:t>=</w:t>
      </w:r>
      <w:r w:rsidR="00375CAE">
        <w:rPr>
          <w:lang w:eastAsia="ja-JP"/>
        </w:rPr>
        <w:t xml:space="preserve"> </w:t>
      </w:r>
      <w:r w:rsidRPr="00A7727F">
        <w:rPr>
          <w:lang w:eastAsia="ja-JP"/>
        </w:rPr>
        <w:t>non-Hodgkin’s lymphoma; SD</w:t>
      </w:r>
      <w:r w:rsidR="00375CAE">
        <w:rPr>
          <w:lang w:eastAsia="ja-JP"/>
        </w:rPr>
        <w:t xml:space="preserve"> </w:t>
      </w:r>
      <w:r w:rsidR="00423768">
        <w:rPr>
          <w:lang w:eastAsia="ja-JP"/>
        </w:rPr>
        <w:t>=</w:t>
      </w:r>
      <w:r w:rsidR="00375CAE">
        <w:rPr>
          <w:lang w:eastAsia="ja-JP"/>
        </w:rPr>
        <w:t xml:space="preserve"> </w:t>
      </w:r>
      <w:r w:rsidRPr="00A7727F">
        <w:rPr>
          <w:lang w:eastAsia="ja-JP"/>
        </w:rPr>
        <w:t>standard deviation; TNF</w:t>
      </w:r>
      <w:r w:rsidR="00375CAE">
        <w:rPr>
          <w:lang w:eastAsia="ja-JP"/>
        </w:rPr>
        <w:t xml:space="preserve"> </w:t>
      </w:r>
      <w:r w:rsidR="00423768">
        <w:rPr>
          <w:lang w:eastAsia="ja-JP"/>
        </w:rPr>
        <w:t>=</w:t>
      </w:r>
      <w:r w:rsidR="00375CAE">
        <w:rPr>
          <w:lang w:eastAsia="ja-JP"/>
        </w:rPr>
        <w:t xml:space="preserve"> </w:t>
      </w:r>
      <w:r w:rsidRPr="00A7727F">
        <w:rPr>
          <w:lang w:eastAsia="ja-JP"/>
        </w:rPr>
        <w:t>tumo</w:t>
      </w:r>
      <w:r w:rsidR="00A972DD">
        <w:rPr>
          <w:lang w:eastAsia="ja-JP"/>
        </w:rPr>
        <w:t>u</w:t>
      </w:r>
      <w:r w:rsidRPr="00A7727F">
        <w:rPr>
          <w:lang w:eastAsia="ja-JP"/>
        </w:rPr>
        <w:t>r necrosis factor. Doses</w:t>
      </w:r>
      <w:r w:rsidR="00375CAE">
        <w:rPr>
          <w:lang w:eastAsia="ja-JP"/>
        </w:rPr>
        <w:t xml:space="preserve"> </w:t>
      </w:r>
      <w:r w:rsidR="00423768">
        <w:rPr>
          <w:lang w:eastAsia="ja-JP"/>
        </w:rPr>
        <w:t>&lt;</w:t>
      </w:r>
      <w:r w:rsidR="00375CAE">
        <w:rPr>
          <w:lang w:eastAsia="ja-JP"/>
        </w:rPr>
        <w:t xml:space="preserve"> </w:t>
      </w:r>
      <w:r w:rsidRPr="00A7727F">
        <w:rPr>
          <w:lang w:eastAsia="ja-JP"/>
        </w:rPr>
        <w:t>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 includes 0.5 and 1.5</w:t>
      </w:r>
      <w:r w:rsidR="00A972DD">
        <w:rPr>
          <w:lang w:eastAsia="ja-JP"/>
        </w:rPr>
        <w:t> </w:t>
      </w:r>
      <w:r w:rsidR="0018721C">
        <w:rPr>
          <w:lang w:eastAsia="ja-JP"/>
        </w:rPr>
        <w:t>µg</w:t>
      </w:r>
      <w:r w:rsidRPr="00A7727F">
        <w:rPr>
          <w:lang w:eastAsia="ja-JP"/>
        </w:rPr>
        <w:t>/</w:t>
      </w:r>
      <w:r w:rsidR="00586C19" w:rsidRPr="00F31F9F">
        <w:rPr>
          <w:lang w:eastAsia="ja-JP"/>
        </w:rPr>
        <w:t>m</w:t>
      </w:r>
      <w:r w:rsidR="00586C19" w:rsidRPr="00586C19">
        <w:rPr>
          <w:vertAlign w:val="superscript"/>
          <w:lang w:eastAsia="ja-JP"/>
        </w:rPr>
        <w:t>2</w:t>
      </w:r>
      <w:r w:rsidRPr="00A7727F">
        <w:rPr>
          <w:lang w:eastAsia="ja-JP"/>
        </w:rPr>
        <w:t xml:space="preserve"> LOD</w:t>
      </w:r>
      <w:r w:rsidR="00375CAE">
        <w:rPr>
          <w:lang w:eastAsia="ja-JP"/>
        </w:rPr>
        <w:t xml:space="preserve"> </w:t>
      </w:r>
      <w:r w:rsidR="00423768">
        <w:rPr>
          <w:lang w:eastAsia="ja-JP"/>
        </w:rPr>
        <w:t>=</w:t>
      </w:r>
      <w:r w:rsidR="00375CAE">
        <w:rPr>
          <w:lang w:eastAsia="ja-JP"/>
        </w:rPr>
        <w:t xml:space="preserve"> </w:t>
      </w:r>
      <w:r w:rsidRPr="00A7727F">
        <w:rPr>
          <w:lang w:eastAsia="ja-JP"/>
        </w:rPr>
        <w:t>20 pg/mL, half LOD was used in the calculation if LOD was reported.</w:t>
      </w:r>
    </w:p>
    <w:p w14:paraId="7E8106B6" w14:textId="3F5CFAE7" w:rsidR="00A7727F" w:rsidRPr="00A7727F" w:rsidRDefault="00A7727F" w:rsidP="00A7727F">
      <w:pPr>
        <w:rPr>
          <w:lang w:eastAsia="ja-JP"/>
        </w:rPr>
      </w:pPr>
      <w:r w:rsidRPr="00A7727F">
        <w:rPr>
          <w:lang w:eastAsia="ja-JP"/>
        </w:rPr>
        <w:t>Similar observations were found in subjects with ALL. Peak cytokine levels observed after the initial blinatumomab dose in patients with MRD+ and R/R ALL are summar</w:t>
      </w:r>
      <w:r w:rsidR="00D50F7E">
        <w:rPr>
          <w:lang w:eastAsia="ja-JP"/>
        </w:rPr>
        <w:t>ised</w:t>
      </w:r>
      <w:r w:rsidRPr="00A7727F">
        <w:rPr>
          <w:lang w:eastAsia="ja-JP"/>
        </w:rPr>
        <w:t xml:space="preserve"> in </w:t>
      </w:r>
      <w:r w:rsidRPr="00A972DD">
        <w:rPr>
          <w:lang w:eastAsia="ja-JP"/>
        </w:rPr>
        <w:t>Table 1</w:t>
      </w:r>
      <w:r w:rsidR="007D7871" w:rsidRPr="00A972DD">
        <w:rPr>
          <w:lang w:eastAsia="ja-JP"/>
        </w:rPr>
        <w:t>6</w:t>
      </w:r>
      <w:r w:rsidRPr="00A972DD">
        <w:rPr>
          <w:lang w:eastAsia="ja-JP"/>
        </w:rPr>
        <w:t>.</w:t>
      </w:r>
      <w:r w:rsidRPr="00A7727F">
        <w:rPr>
          <w:lang w:eastAsia="ja-JP"/>
        </w:rPr>
        <w:t xml:space="preserve"> As shown for Study MT103-206, peak cytokine levels were higher with higher initial doses. This finding supports drug initiation with a lower dose in order to reduce transient cytokine peak levels and associated reactions. At the same initial dose, the magnitude of cytokine elevation tended to be higher in subjects with R/R ALL in Studies MT103-206 and MT103-211 compared to subjects with MRD+ ALL in Study MT103-202.</w:t>
      </w:r>
    </w:p>
    <w:p w14:paraId="36EB6915" w14:textId="71D26714" w:rsidR="00A7727F" w:rsidRPr="00A7727F" w:rsidRDefault="00A7727F" w:rsidP="00A7727F">
      <w:pPr>
        <w:rPr>
          <w:lang w:eastAsia="ja-JP"/>
        </w:rPr>
      </w:pPr>
      <w:r w:rsidRPr="00A7727F">
        <w:rPr>
          <w:lang w:eastAsia="ja-JP"/>
        </w:rPr>
        <w:t>These data are consistent with the observation that subjects with a low blast count (</w:t>
      </w:r>
      <w:r w:rsidR="002E37A6">
        <w:rPr>
          <w:lang w:eastAsia="ja-JP"/>
        </w:rPr>
        <w:t>as observed in Study MT103-202 (MRD+ ALL)</w:t>
      </w:r>
      <w:r w:rsidRPr="00A7727F">
        <w:rPr>
          <w:lang w:eastAsia="ja-JP"/>
        </w:rPr>
        <w:t>) show less pronounced cytokine elevations compared to subjects with a high blas</w:t>
      </w:r>
      <w:r w:rsidR="002E37A6">
        <w:rPr>
          <w:lang w:eastAsia="ja-JP"/>
        </w:rPr>
        <w:t>t count (as in Study MT103-206 (R/R ALL)</w:t>
      </w:r>
      <w:r w:rsidRPr="00A7727F">
        <w:rPr>
          <w:lang w:eastAsia="ja-JP"/>
        </w:rPr>
        <w:t xml:space="preserve">) </w:t>
      </w:r>
      <w:r w:rsidRPr="00586C19">
        <w:rPr>
          <w:lang w:eastAsia="ja-JP"/>
        </w:rPr>
        <w:t>(</w:t>
      </w:r>
      <w:r w:rsidR="002E37A6" w:rsidRPr="00586C19">
        <w:rPr>
          <w:lang w:eastAsia="ja-JP"/>
        </w:rPr>
        <w:t xml:space="preserve">see </w:t>
      </w:r>
      <w:r w:rsidR="007D7871" w:rsidRPr="00586C19">
        <w:rPr>
          <w:lang w:eastAsia="ja-JP"/>
        </w:rPr>
        <w:t>Table 16</w:t>
      </w:r>
      <w:r w:rsidRPr="00A7727F">
        <w:rPr>
          <w:lang w:eastAsia="ja-JP"/>
        </w:rPr>
        <w:t>). Similar results were observed in R/R ALL subjects.</w:t>
      </w:r>
    </w:p>
    <w:p w14:paraId="002B12F0" w14:textId="0EE19249" w:rsidR="00A7727F" w:rsidRPr="00A7727F" w:rsidRDefault="00A7727F" w:rsidP="002E37A6">
      <w:pPr>
        <w:pStyle w:val="Tabletitle"/>
        <w:rPr>
          <w:lang w:eastAsia="ja-JP"/>
        </w:rPr>
      </w:pPr>
      <w:bookmarkStart w:id="153" w:name="_Toc292015699"/>
      <w:r w:rsidRPr="00A7727F">
        <w:rPr>
          <w:lang w:eastAsia="ja-JP"/>
        </w:rPr>
        <w:t xml:space="preserve">Table </w:t>
      </w:r>
      <w:r w:rsidR="00586C19">
        <w:rPr>
          <w:lang w:eastAsia="ja-JP"/>
        </w:rPr>
        <w:t>16:</w:t>
      </w:r>
      <w:r w:rsidRPr="00A7727F">
        <w:rPr>
          <w:lang w:eastAsia="ja-JP"/>
        </w:rPr>
        <w:t xml:space="preserve"> Mean (± SD) Cytokine </w:t>
      </w:r>
      <w:r w:rsidR="002E37A6" w:rsidRPr="00A7727F">
        <w:rPr>
          <w:lang w:eastAsia="ja-JP"/>
        </w:rPr>
        <w:t xml:space="preserve">peak levels in </w:t>
      </w:r>
      <w:r w:rsidR="002E37A6">
        <w:rPr>
          <w:lang w:eastAsia="ja-JP"/>
        </w:rPr>
        <w:t>Week 1</w:t>
      </w:r>
      <w:r w:rsidR="002E37A6" w:rsidRPr="00A7727F">
        <w:rPr>
          <w:lang w:eastAsia="ja-JP"/>
        </w:rPr>
        <w:t xml:space="preserve"> following continuous </w:t>
      </w:r>
      <w:r w:rsidR="002E37A6">
        <w:rPr>
          <w:lang w:eastAsia="ja-JP"/>
        </w:rPr>
        <w:t>IV</w:t>
      </w:r>
      <w:r w:rsidR="002E37A6" w:rsidRPr="00A7727F">
        <w:rPr>
          <w:lang w:eastAsia="ja-JP"/>
        </w:rPr>
        <w:t xml:space="preserve"> infusion in subjects</w:t>
      </w:r>
      <w:r w:rsidRPr="00A7727F">
        <w:rPr>
          <w:lang w:eastAsia="ja-JP"/>
        </w:rPr>
        <w:t xml:space="preserve"> with MRD+ ALL and R/R ALL</w:t>
      </w:r>
      <w:bookmarkEnd w:id="153"/>
    </w:p>
    <w:tbl>
      <w:tblPr>
        <w:tblStyle w:val="TableTGAblue"/>
        <w:tblW w:w="4863" w:type="pct"/>
        <w:tblLook w:val="04A0" w:firstRow="1" w:lastRow="0" w:firstColumn="1" w:lastColumn="0" w:noHBand="0" w:noVBand="1"/>
        <w:tblDescription w:val="Table 16: Mean (± SD) Cytokine peak levels in Week 1 following continuous IV infusion in subjects with MRD+ ALL and R/R ALL"/>
      </w:tblPr>
      <w:tblGrid>
        <w:gridCol w:w="1540"/>
        <w:gridCol w:w="549"/>
        <w:gridCol w:w="1229"/>
        <w:gridCol w:w="1084"/>
        <w:gridCol w:w="1007"/>
        <w:gridCol w:w="1307"/>
        <w:gridCol w:w="1230"/>
        <w:gridCol w:w="1043"/>
      </w:tblGrid>
      <w:tr w:rsidR="002E37A6" w:rsidRPr="00586C19" w14:paraId="22610269" w14:textId="77777777" w:rsidTr="007B7D09">
        <w:trPr>
          <w:cnfStyle w:val="100000000000" w:firstRow="1" w:lastRow="0" w:firstColumn="0" w:lastColumn="0" w:oddVBand="0" w:evenVBand="0" w:oddHBand="0" w:evenHBand="0" w:firstRowFirstColumn="0" w:firstRowLastColumn="0" w:lastRowFirstColumn="0" w:lastRowLastColumn="0"/>
          <w:trHeight w:val="933"/>
          <w:tblHeader/>
        </w:trPr>
        <w:tc>
          <w:tcPr>
            <w:cnfStyle w:val="001000000000" w:firstRow="0" w:lastRow="0" w:firstColumn="1" w:lastColumn="0" w:oddVBand="0" w:evenVBand="0" w:oddHBand="0" w:evenHBand="0" w:firstRowFirstColumn="0" w:firstRowLastColumn="0" w:lastRowFirstColumn="0" w:lastRowLastColumn="0"/>
            <w:tcW w:w="857" w:type="pct"/>
          </w:tcPr>
          <w:p w14:paraId="0F823F88" w14:textId="77777777" w:rsidR="00A7727F" w:rsidRPr="00586C19" w:rsidRDefault="00A7727F" w:rsidP="002E37A6">
            <w:pPr>
              <w:ind w:left="0" w:right="0"/>
              <w:rPr>
                <w:bCs/>
                <w:sz w:val="20"/>
                <w:szCs w:val="20"/>
                <w:lang w:eastAsia="ja-JP"/>
              </w:rPr>
            </w:pPr>
            <w:r w:rsidRPr="00586C19">
              <w:rPr>
                <w:bCs/>
                <w:sz w:val="20"/>
                <w:szCs w:val="20"/>
                <w:lang w:eastAsia="ja-JP"/>
              </w:rPr>
              <w:t>Study</w:t>
            </w:r>
          </w:p>
          <w:p w14:paraId="12CBFCAF" w14:textId="25DA828D" w:rsidR="00A7727F" w:rsidRPr="00586C19" w:rsidRDefault="00A7727F" w:rsidP="002E37A6">
            <w:pPr>
              <w:ind w:left="0" w:right="0"/>
              <w:rPr>
                <w:sz w:val="20"/>
                <w:szCs w:val="20"/>
                <w:lang w:eastAsia="ja-JP"/>
              </w:rPr>
            </w:pPr>
            <w:r w:rsidRPr="00586C19">
              <w:rPr>
                <w:sz w:val="20"/>
                <w:szCs w:val="20"/>
                <w:lang w:eastAsia="ja-JP"/>
              </w:rPr>
              <w:t>Daily Dose</w:t>
            </w:r>
          </w:p>
        </w:tc>
        <w:tc>
          <w:tcPr>
            <w:tcW w:w="305" w:type="pct"/>
          </w:tcPr>
          <w:p w14:paraId="36A970DD"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N</w:t>
            </w:r>
          </w:p>
        </w:tc>
        <w:tc>
          <w:tcPr>
            <w:tcW w:w="684" w:type="pct"/>
          </w:tcPr>
          <w:p w14:paraId="1D5BAF87" w14:textId="7F68BD3E" w:rsidR="00A7727F" w:rsidRPr="00586C19" w:rsidRDefault="002E37A6"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IFN</w:t>
            </w:r>
            <w:r w:rsidR="00A7727F" w:rsidRPr="00586C19">
              <w:rPr>
                <w:sz w:val="20"/>
                <w:szCs w:val="20"/>
                <w:lang w:eastAsia="ja-JP"/>
              </w:rPr>
              <w:t>γ</w:t>
            </w:r>
          </w:p>
          <w:p w14:paraId="6169808B"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(pg/mL)</w:t>
            </w:r>
          </w:p>
        </w:tc>
        <w:tc>
          <w:tcPr>
            <w:tcW w:w="603" w:type="pct"/>
          </w:tcPr>
          <w:p w14:paraId="27753EAC" w14:textId="05738F31" w:rsidR="00A7727F" w:rsidRPr="00586C19" w:rsidRDefault="002E37A6"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IL</w:t>
            </w:r>
            <w:r w:rsidR="00A7727F" w:rsidRPr="00586C19">
              <w:rPr>
                <w:sz w:val="20"/>
                <w:szCs w:val="20"/>
                <w:lang w:eastAsia="ja-JP"/>
              </w:rPr>
              <w:t>2</w:t>
            </w:r>
          </w:p>
          <w:p w14:paraId="57F20EB8"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(pg/mL)</w:t>
            </w:r>
          </w:p>
        </w:tc>
        <w:tc>
          <w:tcPr>
            <w:tcW w:w="560" w:type="pct"/>
          </w:tcPr>
          <w:p w14:paraId="7C2B988F" w14:textId="204DE064" w:rsidR="00A7727F" w:rsidRPr="00586C19" w:rsidRDefault="002E37A6"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IL</w:t>
            </w:r>
            <w:r w:rsidR="00A7727F" w:rsidRPr="00586C19">
              <w:rPr>
                <w:sz w:val="20"/>
                <w:szCs w:val="20"/>
                <w:lang w:eastAsia="ja-JP"/>
              </w:rPr>
              <w:t>4</w:t>
            </w:r>
          </w:p>
          <w:p w14:paraId="2F889F7C"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(pg/mL)</w:t>
            </w:r>
          </w:p>
        </w:tc>
        <w:tc>
          <w:tcPr>
            <w:tcW w:w="727" w:type="pct"/>
          </w:tcPr>
          <w:p w14:paraId="275B2380" w14:textId="10147155" w:rsidR="00A7727F" w:rsidRPr="00586C19" w:rsidRDefault="002E37A6"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IL</w:t>
            </w:r>
            <w:r w:rsidR="00A7727F" w:rsidRPr="00586C19">
              <w:rPr>
                <w:sz w:val="20"/>
                <w:szCs w:val="20"/>
                <w:lang w:eastAsia="ja-JP"/>
              </w:rPr>
              <w:t>6</w:t>
            </w:r>
          </w:p>
          <w:p w14:paraId="6E6DBBF7"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(pg/mL)</w:t>
            </w:r>
          </w:p>
        </w:tc>
        <w:tc>
          <w:tcPr>
            <w:tcW w:w="684" w:type="pct"/>
          </w:tcPr>
          <w:p w14:paraId="02D0E41A" w14:textId="4238094C" w:rsidR="00A7727F" w:rsidRPr="00586C19" w:rsidRDefault="002E37A6"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IL</w:t>
            </w:r>
            <w:r w:rsidR="00A7727F" w:rsidRPr="00586C19">
              <w:rPr>
                <w:sz w:val="20"/>
                <w:szCs w:val="20"/>
                <w:lang w:eastAsia="ja-JP"/>
              </w:rPr>
              <w:t>10</w:t>
            </w:r>
          </w:p>
          <w:p w14:paraId="22CB662E"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(pg/mL)</w:t>
            </w:r>
          </w:p>
        </w:tc>
        <w:tc>
          <w:tcPr>
            <w:tcW w:w="580" w:type="pct"/>
          </w:tcPr>
          <w:p w14:paraId="701BB70C" w14:textId="1FB5466B" w:rsidR="00A7727F" w:rsidRPr="00586C19" w:rsidRDefault="002E37A6"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TNF</w:t>
            </w:r>
            <w:r w:rsidR="00A7727F" w:rsidRPr="00586C19">
              <w:rPr>
                <w:sz w:val="20"/>
                <w:szCs w:val="20"/>
                <w:lang w:eastAsia="ja-JP"/>
              </w:rPr>
              <w:t>α</w:t>
            </w:r>
          </w:p>
          <w:p w14:paraId="724A2B03" w14:textId="77777777" w:rsidR="00A7727F" w:rsidRPr="00586C19" w:rsidRDefault="00A7727F" w:rsidP="002E37A6">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(pg/mL)</w:t>
            </w:r>
          </w:p>
        </w:tc>
      </w:tr>
      <w:tr w:rsidR="00A7727F" w:rsidRPr="00586C19" w14:paraId="493577CF" w14:textId="77777777" w:rsidTr="007B270B">
        <w:trPr>
          <w:trHeight w:val="463"/>
        </w:trPr>
        <w:tc>
          <w:tcPr>
            <w:cnfStyle w:val="001000000000" w:firstRow="0" w:lastRow="0" w:firstColumn="1" w:lastColumn="0" w:oddVBand="0" w:evenVBand="0" w:oddHBand="0" w:evenHBand="0" w:firstRowFirstColumn="0" w:firstRowLastColumn="0" w:lastRowFirstColumn="0" w:lastRowLastColumn="0"/>
            <w:tcW w:w="5000" w:type="pct"/>
            <w:gridSpan w:val="8"/>
          </w:tcPr>
          <w:p w14:paraId="7EA63468" w14:textId="64C94563" w:rsidR="00A7727F" w:rsidRPr="00586C19" w:rsidRDefault="002E37A6" w:rsidP="002E37A6">
            <w:pPr>
              <w:ind w:left="0" w:right="0"/>
              <w:rPr>
                <w:sz w:val="20"/>
                <w:szCs w:val="20"/>
                <w:lang w:eastAsia="ja-JP"/>
              </w:rPr>
            </w:pPr>
            <w:r w:rsidRPr="00586C19">
              <w:rPr>
                <w:b/>
                <w:bCs/>
                <w:sz w:val="20"/>
                <w:szCs w:val="20"/>
                <w:lang w:eastAsia="ja-JP"/>
              </w:rPr>
              <w:t xml:space="preserve">Study </w:t>
            </w:r>
            <w:r w:rsidR="00A7727F" w:rsidRPr="00586C19">
              <w:rPr>
                <w:b/>
                <w:bCs/>
                <w:sz w:val="20"/>
                <w:szCs w:val="20"/>
                <w:lang w:eastAsia="ja-JP"/>
              </w:rPr>
              <w:t>MT103-202 (MRD+ ALL)</w:t>
            </w:r>
          </w:p>
        </w:tc>
      </w:tr>
      <w:tr w:rsidR="002E37A6" w:rsidRPr="00586C19" w14:paraId="0EE30AF9" w14:textId="77777777" w:rsidTr="007B270B">
        <w:trPr>
          <w:trHeight w:val="700"/>
        </w:trPr>
        <w:tc>
          <w:tcPr>
            <w:cnfStyle w:val="001000000000" w:firstRow="0" w:lastRow="0" w:firstColumn="1" w:lastColumn="0" w:oddVBand="0" w:evenVBand="0" w:oddHBand="0" w:evenHBand="0" w:firstRowFirstColumn="0" w:firstRowLastColumn="0" w:lastRowFirstColumn="0" w:lastRowLastColumn="0"/>
            <w:tcW w:w="857" w:type="pct"/>
          </w:tcPr>
          <w:p w14:paraId="3CF020A5" w14:textId="3324E573" w:rsidR="00A7727F" w:rsidRPr="00586C19" w:rsidRDefault="00A7727F" w:rsidP="002E37A6">
            <w:pPr>
              <w:ind w:left="0" w:right="0"/>
              <w:rPr>
                <w:sz w:val="20"/>
                <w:szCs w:val="20"/>
                <w:lang w:eastAsia="ja-JP"/>
              </w:rPr>
            </w:pPr>
            <w:r w:rsidRPr="00586C19">
              <w:rPr>
                <w:sz w:val="20"/>
                <w:szCs w:val="20"/>
                <w:lang w:eastAsia="ja-JP"/>
              </w:rPr>
              <w:t>15</w:t>
            </w:r>
            <w:r w:rsidR="00375CAE" w:rsidRPr="00586C19">
              <w:rPr>
                <w:sz w:val="20"/>
                <w:szCs w:val="20"/>
                <w:lang w:eastAsia="ja-JP"/>
              </w:rPr>
              <w:t xml:space="preserve"> </w:t>
            </w:r>
            <w:r w:rsidR="0018721C" w:rsidRPr="00586C19">
              <w:rPr>
                <w:sz w:val="20"/>
                <w:szCs w:val="20"/>
                <w:lang w:eastAsia="ja-JP"/>
              </w:rPr>
              <w:t>µg</w:t>
            </w:r>
            <w:r w:rsidR="002E37A6" w:rsidRPr="00586C19">
              <w:rPr>
                <w:sz w:val="20"/>
                <w:szCs w:val="20"/>
                <w:lang w:eastAsia="ja-JP"/>
              </w:rPr>
              <w:t>/m</w:t>
            </w:r>
            <w:r w:rsidR="002E37A6" w:rsidRPr="00586C19">
              <w:rPr>
                <w:sz w:val="20"/>
                <w:szCs w:val="20"/>
                <w:vertAlign w:val="superscript"/>
                <w:lang w:eastAsia="ja-JP"/>
              </w:rPr>
              <w:t>2</w:t>
            </w:r>
            <w:r w:rsidR="002E37A6" w:rsidRPr="00586C19">
              <w:rPr>
                <w:sz w:val="20"/>
                <w:szCs w:val="20"/>
                <w:lang w:eastAsia="ja-JP"/>
              </w:rPr>
              <w:t>/d</w:t>
            </w:r>
          </w:p>
        </w:tc>
        <w:tc>
          <w:tcPr>
            <w:tcW w:w="305" w:type="pct"/>
          </w:tcPr>
          <w:p w14:paraId="63213B6C" w14:textId="7777777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21</w:t>
            </w:r>
          </w:p>
        </w:tc>
        <w:tc>
          <w:tcPr>
            <w:tcW w:w="684" w:type="pct"/>
          </w:tcPr>
          <w:p w14:paraId="0CF18424" w14:textId="13B988A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410</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613</w:t>
            </w:r>
          </w:p>
        </w:tc>
        <w:tc>
          <w:tcPr>
            <w:tcW w:w="603" w:type="pct"/>
          </w:tcPr>
          <w:p w14:paraId="28670DC1" w14:textId="1D380FCF" w:rsidR="00A7727F" w:rsidRPr="00586C19" w:rsidRDefault="00423768"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560" w:type="pct"/>
          </w:tcPr>
          <w:p w14:paraId="14877331" w14:textId="7D60D2A7" w:rsidR="00A7727F" w:rsidRPr="00586C19" w:rsidRDefault="00423768"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727" w:type="pct"/>
          </w:tcPr>
          <w:p w14:paraId="2B5ADC9E" w14:textId="76D04EED"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726</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1038</w:t>
            </w:r>
          </w:p>
        </w:tc>
        <w:tc>
          <w:tcPr>
            <w:tcW w:w="684" w:type="pct"/>
          </w:tcPr>
          <w:p w14:paraId="57CE6D9E" w14:textId="73039E45"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1168</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1175</w:t>
            </w:r>
          </w:p>
        </w:tc>
        <w:tc>
          <w:tcPr>
            <w:tcW w:w="580" w:type="pct"/>
          </w:tcPr>
          <w:p w14:paraId="25502689" w14:textId="36BD8F16" w:rsidR="00A7727F" w:rsidRPr="00586C19" w:rsidRDefault="00423768"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r>
      <w:tr w:rsidR="00A7727F" w:rsidRPr="00586C19" w14:paraId="2D3ED5D3" w14:textId="77777777" w:rsidTr="007B270B">
        <w:trPr>
          <w:trHeight w:val="474"/>
        </w:trPr>
        <w:tc>
          <w:tcPr>
            <w:cnfStyle w:val="001000000000" w:firstRow="0" w:lastRow="0" w:firstColumn="1" w:lastColumn="0" w:oddVBand="0" w:evenVBand="0" w:oddHBand="0" w:evenHBand="0" w:firstRowFirstColumn="0" w:firstRowLastColumn="0" w:lastRowFirstColumn="0" w:lastRowLastColumn="0"/>
            <w:tcW w:w="5000" w:type="pct"/>
            <w:gridSpan w:val="8"/>
          </w:tcPr>
          <w:p w14:paraId="3728A496" w14:textId="1877D783" w:rsidR="00A7727F" w:rsidRPr="00586C19" w:rsidRDefault="002E37A6" w:rsidP="002E37A6">
            <w:pPr>
              <w:ind w:left="0" w:right="0"/>
              <w:rPr>
                <w:sz w:val="20"/>
                <w:szCs w:val="20"/>
                <w:lang w:eastAsia="ja-JP"/>
              </w:rPr>
            </w:pPr>
            <w:r w:rsidRPr="00586C19">
              <w:rPr>
                <w:b/>
                <w:bCs/>
                <w:sz w:val="20"/>
                <w:szCs w:val="20"/>
                <w:lang w:eastAsia="ja-JP"/>
              </w:rPr>
              <w:t xml:space="preserve">Study </w:t>
            </w:r>
            <w:r w:rsidR="00A7727F" w:rsidRPr="00586C19">
              <w:rPr>
                <w:b/>
                <w:bCs/>
                <w:sz w:val="20"/>
                <w:szCs w:val="20"/>
                <w:lang w:eastAsia="ja-JP"/>
              </w:rPr>
              <w:t>MT103-206 (R/R ALL)</w:t>
            </w:r>
          </w:p>
        </w:tc>
      </w:tr>
      <w:tr w:rsidR="002E37A6" w:rsidRPr="00586C19" w14:paraId="2F1CF4C1" w14:textId="77777777" w:rsidTr="007B270B">
        <w:trPr>
          <w:trHeight w:val="463"/>
        </w:trPr>
        <w:tc>
          <w:tcPr>
            <w:cnfStyle w:val="001000000000" w:firstRow="0" w:lastRow="0" w:firstColumn="1" w:lastColumn="0" w:oddVBand="0" w:evenVBand="0" w:oddHBand="0" w:evenHBand="0" w:firstRowFirstColumn="0" w:firstRowLastColumn="0" w:lastRowFirstColumn="0" w:lastRowLastColumn="0"/>
            <w:tcW w:w="857" w:type="pct"/>
          </w:tcPr>
          <w:p w14:paraId="5E9DD67E" w14:textId="2FC94E99" w:rsidR="00A7727F" w:rsidRPr="00586C19" w:rsidRDefault="00A7727F" w:rsidP="002E37A6">
            <w:pPr>
              <w:ind w:left="0" w:right="0"/>
              <w:rPr>
                <w:sz w:val="20"/>
                <w:szCs w:val="20"/>
                <w:lang w:eastAsia="ja-JP"/>
              </w:rPr>
            </w:pPr>
            <w:r w:rsidRPr="00586C19">
              <w:rPr>
                <w:sz w:val="20"/>
                <w:szCs w:val="20"/>
                <w:lang w:eastAsia="ja-JP"/>
              </w:rPr>
              <w:t>5</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w:t>
            </w:r>
            <w:r w:rsidRPr="00586C19">
              <w:rPr>
                <w:sz w:val="20"/>
                <w:szCs w:val="20"/>
                <w:vertAlign w:val="superscript"/>
                <w:lang w:eastAsia="ja-JP"/>
              </w:rPr>
              <w:t>2</w:t>
            </w:r>
            <w:r w:rsidRPr="00586C19">
              <w:rPr>
                <w:sz w:val="20"/>
                <w:szCs w:val="20"/>
                <w:lang w:eastAsia="ja-JP"/>
              </w:rPr>
              <w:t>/d</w:t>
            </w:r>
          </w:p>
        </w:tc>
        <w:tc>
          <w:tcPr>
            <w:tcW w:w="305" w:type="pct"/>
          </w:tcPr>
          <w:p w14:paraId="683A8D9E" w14:textId="7777777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29</w:t>
            </w:r>
          </w:p>
        </w:tc>
        <w:tc>
          <w:tcPr>
            <w:tcW w:w="684" w:type="pct"/>
          </w:tcPr>
          <w:p w14:paraId="2957CB2E" w14:textId="2CE28571"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143</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217</w:t>
            </w:r>
          </w:p>
        </w:tc>
        <w:tc>
          <w:tcPr>
            <w:tcW w:w="603" w:type="pct"/>
          </w:tcPr>
          <w:p w14:paraId="281A62F4" w14:textId="2E1C94D5"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25</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26</w:t>
            </w:r>
          </w:p>
        </w:tc>
        <w:tc>
          <w:tcPr>
            <w:tcW w:w="560" w:type="pct"/>
          </w:tcPr>
          <w:p w14:paraId="1752E9CF" w14:textId="14490C06" w:rsidR="00A7727F" w:rsidRPr="00586C19" w:rsidRDefault="00423768"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727" w:type="pct"/>
          </w:tcPr>
          <w:p w14:paraId="62E06265" w14:textId="4482F731"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1248</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2937</w:t>
            </w:r>
          </w:p>
        </w:tc>
        <w:tc>
          <w:tcPr>
            <w:tcW w:w="684" w:type="pct"/>
          </w:tcPr>
          <w:p w14:paraId="552B9F5F" w14:textId="338BB14A"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895</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1222</w:t>
            </w:r>
          </w:p>
        </w:tc>
        <w:tc>
          <w:tcPr>
            <w:tcW w:w="580" w:type="pct"/>
          </w:tcPr>
          <w:p w14:paraId="058DE1D2" w14:textId="25E1E16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48</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116</w:t>
            </w:r>
          </w:p>
        </w:tc>
      </w:tr>
      <w:tr w:rsidR="002E37A6" w:rsidRPr="00586C19" w14:paraId="5D69D398" w14:textId="77777777" w:rsidTr="007B270B">
        <w:trPr>
          <w:trHeight w:val="700"/>
        </w:trPr>
        <w:tc>
          <w:tcPr>
            <w:cnfStyle w:val="001000000000" w:firstRow="0" w:lastRow="0" w:firstColumn="1" w:lastColumn="0" w:oddVBand="0" w:evenVBand="0" w:oddHBand="0" w:evenHBand="0" w:firstRowFirstColumn="0" w:firstRowLastColumn="0" w:lastRowFirstColumn="0" w:lastRowLastColumn="0"/>
            <w:tcW w:w="857" w:type="pct"/>
          </w:tcPr>
          <w:p w14:paraId="04E66430" w14:textId="58D8FF73" w:rsidR="00A7727F" w:rsidRPr="00586C19" w:rsidRDefault="00A7727F" w:rsidP="002E37A6">
            <w:pPr>
              <w:ind w:left="0" w:right="0"/>
              <w:rPr>
                <w:sz w:val="20"/>
                <w:szCs w:val="20"/>
                <w:lang w:eastAsia="ja-JP"/>
              </w:rPr>
            </w:pPr>
            <w:r w:rsidRPr="00586C19">
              <w:rPr>
                <w:sz w:val="20"/>
                <w:szCs w:val="20"/>
                <w:lang w:eastAsia="ja-JP"/>
              </w:rPr>
              <w:t>15</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/m</w:t>
            </w:r>
            <w:r w:rsidRPr="00586C19">
              <w:rPr>
                <w:sz w:val="20"/>
                <w:szCs w:val="20"/>
                <w:vertAlign w:val="superscript"/>
                <w:lang w:eastAsia="ja-JP"/>
              </w:rPr>
              <w:t>2</w:t>
            </w:r>
            <w:r w:rsidRPr="00586C19">
              <w:rPr>
                <w:sz w:val="20"/>
                <w:szCs w:val="20"/>
                <w:lang w:eastAsia="ja-JP"/>
              </w:rPr>
              <w:t>/d</w:t>
            </w:r>
          </w:p>
        </w:tc>
        <w:tc>
          <w:tcPr>
            <w:tcW w:w="305" w:type="pct"/>
          </w:tcPr>
          <w:p w14:paraId="159E3146" w14:textId="7777777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w:t>
            </w:r>
          </w:p>
        </w:tc>
        <w:tc>
          <w:tcPr>
            <w:tcW w:w="684" w:type="pct"/>
          </w:tcPr>
          <w:p w14:paraId="70D507DE" w14:textId="00B5C8C3"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1804</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4007</w:t>
            </w:r>
          </w:p>
        </w:tc>
        <w:tc>
          <w:tcPr>
            <w:tcW w:w="603" w:type="pct"/>
          </w:tcPr>
          <w:p w14:paraId="379BCDC1" w14:textId="57CF8C16"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78</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90</w:t>
            </w:r>
          </w:p>
        </w:tc>
        <w:tc>
          <w:tcPr>
            <w:tcW w:w="560" w:type="pct"/>
          </w:tcPr>
          <w:p w14:paraId="6F313390" w14:textId="4C1ECA8C" w:rsidR="00A7727F" w:rsidRPr="00586C19" w:rsidRDefault="00423768"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727" w:type="pct"/>
          </w:tcPr>
          <w:p w14:paraId="4D93FBF8" w14:textId="0F548FA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8067</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8551</w:t>
            </w:r>
          </w:p>
        </w:tc>
        <w:tc>
          <w:tcPr>
            <w:tcW w:w="684" w:type="pct"/>
          </w:tcPr>
          <w:p w14:paraId="41363F39" w14:textId="0EE3F636"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3150</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5150</w:t>
            </w:r>
          </w:p>
        </w:tc>
        <w:tc>
          <w:tcPr>
            <w:tcW w:w="580" w:type="pct"/>
          </w:tcPr>
          <w:p w14:paraId="59243749" w14:textId="0684B0D8"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168</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193</w:t>
            </w:r>
          </w:p>
        </w:tc>
      </w:tr>
      <w:tr w:rsidR="00A7727F" w:rsidRPr="00586C19" w14:paraId="287C0556" w14:textId="77777777" w:rsidTr="007B270B">
        <w:trPr>
          <w:trHeight w:val="474"/>
        </w:trPr>
        <w:tc>
          <w:tcPr>
            <w:cnfStyle w:val="001000000000" w:firstRow="0" w:lastRow="0" w:firstColumn="1" w:lastColumn="0" w:oddVBand="0" w:evenVBand="0" w:oddHBand="0" w:evenHBand="0" w:firstRowFirstColumn="0" w:firstRowLastColumn="0" w:lastRowFirstColumn="0" w:lastRowLastColumn="0"/>
            <w:tcW w:w="5000" w:type="pct"/>
            <w:gridSpan w:val="8"/>
          </w:tcPr>
          <w:p w14:paraId="3FE75386" w14:textId="48936952" w:rsidR="00A7727F" w:rsidRPr="00586C19" w:rsidRDefault="002E37A6" w:rsidP="002E37A6">
            <w:pPr>
              <w:ind w:left="0" w:right="0"/>
              <w:rPr>
                <w:sz w:val="20"/>
                <w:szCs w:val="20"/>
                <w:lang w:eastAsia="ja-JP"/>
              </w:rPr>
            </w:pPr>
            <w:r w:rsidRPr="00586C19">
              <w:rPr>
                <w:b/>
                <w:bCs/>
                <w:sz w:val="20"/>
                <w:szCs w:val="20"/>
                <w:lang w:eastAsia="ja-JP"/>
              </w:rPr>
              <w:t xml:space="preserve">Study </w:t>
            </w:r>
            <w:r w:rsidR="00A7727F" w:rsidRPr="00586C19">
              <w:rPr>
                <w:b/>
                <w:bCs/>
                <w:sz w:val="20"/>
                <w:szCs w:val="20"/>
                <w:lang w:eastAsia="ja-JP"/>
              </w:rPr>
              <w:t>MT103-211 (R/R ALL)</w:t>
            </w:r>
          </w:p>
        </w:tc>
      </w:tr>
      <w:tr w:rsidR="002E37A6" w:rsidRPr="00586C19" w14:paraId="1216E856" w14:textId="77777777" w:rsidTr="007B270B">
        <w:trPr>
          <w:trHeight w:val="712"/>
        </w:trPr>
        <w:tc>
          <w:tcPr>
            <w:cnfStyle w:val="001000000000" w:firstRow="0" w:lastRow="0" w:firstColumn="1" w:lastColumn="0" w:oddVBand="0" w:evenVBand="0" w:oddHBand="0" w:evenHBand="0" w:firstRowFirstColumn="0" w:firstRowLastColumn="0" w:lastRowFirstColumn="0" w:lastRowLastColumn="0"/>
            <w:tcW w:w="857" w:type="pct"/>
          </w:tcPr>
          <w:p w14:paraId="38E57CEC" w14:textId="17CCBDA4" w:rsidR="00A7727F" w:rsidRPr="00586C19" w:rsidRDefault="00A7727F" w:rsidP="002E37A6">
            <w:pPr>
              <w:ind w:left="0" w:right="0"/>
              <w:rPr>
                <w:sz w:val="20"/>
                <w:szCs w:val="20"/>
                <w:lang w:eastAsia="ja-JP"/>
              </w:rPr>
            </w:pPr>
            <w:r w:rsidRPr="00586C19">
              <w:rPr>
                <w:sz w:val="20"/>
                <w:szCs w:val="20"/>
                <w:lang w:eastAsia="ja-JP"/>
              </w:rPr>
              <w:t>9</w:t>
            </w:r>
            <w:r w:rsidR="00375CAE" w:rsidRPr="00586C19">
              <w:rPr>
                <w:sz w:val="20"/>
                <w:szCs w:val="20"/>
                <w:lang w:eastAsia="ja-JP"/>
              </w:rPr>
              <w:t xml:space="preserve"> </w:t>
            </w:r>
            <w:r w:rsidR="0018721C" w:rsidRPr="00586C19">
              <w:rPr>
                <w:sz w:val="20"/>
                <w:szCs w:val="20"/>
                <w:lang w:eastAsia="ja-JP"/>
              </w:rPr>
              <w:t>µg</w:t>
            </w:r>
            <w:r w:rsidRPr="00586C19">
              <w:rPr>
                <w:sz w:val="20"/>
                <w:szCs w:val="20"/>
                <w:lang w:eastAsia="ja-JP"/>
              </w:rPr>
              <w:t>/d</w:t>
            </w:r>
          </w:p>
        </w:tc>
        <w:tc>
          <w:tcPr>
            <w:tcW w:w="305" w:type="pct"/>
          </w:tcPr>
          <w:p w14:paraId="56F64AEA" w14:textId="7777777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184</w:t>
            </w:r>
          </w:p>
        </w:tc>
        <w:tc>
          <w:tcPr>
            <w:tcW w:w="684" w:type="pct"/>
          </w:tcPr>
          <w:p w14:paraId="41A4E367" w14:textId="3A8528AA"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93.1</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409</w:t>
            </w:r>
          </w:p>
        </w:tc>
        <w:tc>
          <w:tcPr>
            <w:tcW w:w="603" w:type="pct"/>
          </w:tcPr>
          <w:p w14:paraId="6DB4AB93" w14:textId="40681A69"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24.7</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44.6</w:t>
            </w:r>
          </w:p>
        </w:tc>
        <w:tc>
          <w:tcPr>
            <w:tcW w:w="560" w:type="pct"/>
          </w:tcPr>
          <w:p w14:paraId="47271958" w14:textId="4D498FB0" w:rsidR="00A7727F" w:rsidRPr="00586C19" w:rsidRDefault="00423768"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 xml:space="preserve"> &lt;</w:t>
            </w:r>
            <w:r w:rsidR="00375CAE" w:rsidRPr="00586C19">
              <w:rPr>
                <w:sz w:val="20"/>
                <w:szCs w:val="20"/>
                <w:lang w:eastAsia="ja-JP"/>
              </w:rPr>
              <w:t xml:space="preserve"> </w:t>
            </w:r>
            <w:r w:rsidR="00A7727F" w:rsidRPr="00586C19">
              <w:rPr>
                <w:sz w:val="20"/>
                <w:szCs w:val="20"/>
                <w:lang w:eastAsia="ja-JP"/>
              </w:rPr>
              <w:t>LOD</w:t>
            </w:r>
          </w:p>
        </w:tc>
        <w:tc>
          <w:tcPr>
            <w:tcW w:w="727" w:type="pct"/>
          </w:tcPr>
          <w:p w14:paraId="42041105" w14:textId="061F9A88"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826</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2390</w:t>
            </w:r>
          </w:p>
        </w:tc>
        <w:tc>
          <w:tcPr>
            <w:tcW w:w="684" w:type="pct"/>
          </w:tcPr>
          <w:p w14:paraId="310DD4AB" w14:textId="6A33CC2F"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589</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822</w:t>
            </w:r>
          </w:p>
        </w:tc>
        <w:tc>
          <w:tcPr>
            <w:tcW w:w="580" w:type="pct"/>
          </w:tcPr>
          <w:p w14:paraId="7AA47484" w14:textId="3BB68997" w:rsidR="00A7727F" w:rsidRPr="00586C19" w:rsidRDefault="00A7727F" w:rsidP="002E37A6">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586C19">
              <w:rPr>
                <w:sz w:val="20"/>
                <w:szCs w:val="20"/>
                <w:lang w:eastAsia="ja-JP"/>
              </w:rPr>
              <w:t>30</w:t>
            </w:r>
            <w:r w:rsidR="002E37A6" w:rsidRPr="00586C19">
              <w:rPr>
                <w:sz w:val="20"/>
                <w:szCs w:val="20"/>
                <w:lang w:eastAsia="ja-JP"/>
              </w:rPr>
              <w:t xml:space="preserve"> </w:t>
            </w:r>
            <w:r w:rsidRPr="00586C19">
              <w:rPr>
                <w:sz w:val="20"/>
                <w:szCs w:val="20"/>
                <w:lang w:eastAsia="ja-JP"/>
              </w:rPr>
              <w:t>±</w:t>
            </w:r>
            <w:r w:rsidR="002E37A6" w:rsidRPr="00586C19">
              <w:rPr>
                <w:sz w:val="20"/>
                <w:szCs w:val="20"/>
                <w:lang w:eastAsia="ja-JP"/>
              </w:rPr>
              <w:t xml:space="preserve"> </w:t>
            </w:r>
            <w:r w:rsidRPr="00586C19">
              <w:rPr>
                <w:sz w:val="20"/>
                <w:szCs w:val="20"/>
                <w:lang w:eastAsia="ja-JP"/>
              </w:rPr>
              <w:t>125</w:t>
            </w:r>
          </w:p>
        </w:tc>
      </w:tr>
    </w:tbl>
    <w:p w14:paraId="13DBF2CD" w14:textId="69FB13ED" w:rsidR="00A7727F" w:rsidRPr="00A7727F" w:rsidRDefault="00A7727F" w:rsidP="002E37A6">
      <w:pPr>
        <w:pStyle w:val="TableDescription"/>
        <w:rPr>
          <w:lang w:eastAsia="ja-JP"/>
        </w:rPr>
      </w:pPr>
      <w:r w:rsidRPr="00A7727F">
        <w:rPr>
          <w:lang w:eastAsia="ja-JP"/>
        </w:rPr>
        <w:t>ALL</w:t>
      </w:r>
      <w:r w:rsidR="00375CAE">
        <w:rPr>
          <w:lang w:eastAsia="ja-JP"/>
        </w:rPr>
        <w:t xml:space="preserve"> </w:t>
      </w:r>
      <w:r w:rsidR="00423768">
        <w:rPr>
          <w:lang w:eastAsia="ja-JP"/>
        </w:rPr>
        <w:t>=</w:t>
      </w:r>
      <w:r w:rsidR="00375CAE">
        <w:rPr>
          <w:lang w:eastAsia="ja-JP"/>
        </w:rPr>
        <w:t xml:space="preserve"> </w:t>
      </w:r>
      <w:r w:rsidRPr="00A7727F">
        <w:rPr>
          <w:lang w:eastAsia="ja-JP"/>
        </w:rPr>
        <w:t>acute lymphoblastic leuk</w:t>
      </w:r>
      <w:r w:rsidR="002E37A6">
        <w:rPr>
          <w:lang w:eastAsia="ja-JP"/>
        </w:rPr>
        <w:t>a</w:t>
      </w:r>
      <w:r w:rsidRPr="00A7727F">
        <w:rPr>
          <w:lang w:eastAsia="ja-JP"/>
        </w:rPr>
        <w:t>emia; IFN</w:t>
      </w:r>
      <w:r w:rsidR="00375CAE">
        <w:rPr>
          <w:lang w:eastAsia="ja-JP"/>
        </w:rPr>
        <w:t xml:space="preserve"> </w:t>
      </w:r>
      <w:r w:rsidR="00423768">
        <w:rPr>
          <w:lang w:eastAsia="ja-JP"/>
        </w:rPr>
        <w:t>=</w:t>
      </w:r>
      <w:r w:rsidR="00375CAE">
        <w:rPr>
          <w:lang w:eastAsia="ja-JP"/>
        </w:rPr>
        <w:t xml:space="preserve"> </w:t>
      </w:r>
      <w:r w:rsidRPr="00A7727F">
        <w:rPr>
          <w:lang w:eastAsia="ja-JP"/>
        </w:rPr>
        <w:t>interferon; IL</w:t>
      </w:r>
      <w:r w:rsidR="00375CAE">
        <w:rPr>
          <w:lang w:eastAsia="ja-JP"/>
        </w:rPr>
        <w:t xml:space="preserve"> </w:t>
      </w:r>
      <w:r w:rsidR="00423768">
        <w:rPr>
          <w:lang w:eastAsia="ja-JP"/>
        </w:rPr>
        <w:t>=</w:t>
      </w:r>
      <w:r w:rsidR="00375CAE">
        <w:rPr>
          <w:lang w:eastAsia="ja-JP"/>
        </w:rPr>
        <w:t xml:space="preserve"> </w:t>
      </w:r>
      <w:r w:rsidRPr="00A7727F">
        <w:rPr>
          <w:lang w:eastAsia="ja-JP"/>
        </w:rPr>
        <w:t>interleukin; MRD</w:t>
      </w:r>
      <w:r w:rsidR="00375CAE">
        <w:rPr>
          <w:lang w:eastAsia="ja-JP"/>
        </w:rPr>
        <w:t xml:space="preserve"> </w:t>
      </w:r>
      <w:r w:rsidR="00423768">
        <w:rPr>
          <w:lang w:eastAsia="ja-JP"/>
        </w:rPr>
        <w:t>=</w:t>
      </w:r>
      <w:r w:rsidR="00375CAE">
        <w:rPr>
          <w:lang w:eastAsia="ja-JP"/>
        </w:rPr>
        <w:t xml:space="preserve"> </w:t>
      </w:r>
      <w:r w:rsidRPr="00A7727F">
        <w:rPr>
          <w:lang w:eastAsia="ja-JP"/>
        </w:rPr>
        <w:t>minimal residual disease; R/R</w:t>
      </w:r>
      <w:r w:rsidR="002E37A6">
        <w:rPr>
          <w:lang w:eastAsia="ja-JP"/>
        </w:rPr>
        <w:t> </w:t>
      </w:r>
      <w:r w:rsidR="00423768">
        <w:rPr>
          <w:lang w:eastAsia="ja-JP"/>
        </w:rPr>
        <w:t>=</w:t>
      </w:r>
      <w:r w:rsidR="002E37A6">
        <w:rPr>
          <w:lang w:eastAsia="ja-JP"/>
        </w:rPr>
        <w:t> </w:t>
      </w:r>
      <w:r w:rsidRPr="00A7727F">
        <w:rPr>
          <w:lang w:eastAsia="ja-JP"/>
        </w:rPr>
        <w:t>relapsed/refractory; SD</w:t>
      </w:r>
      <w:r w:rsidR="00375CAE">
        <w:rPr>
          <w:lang w:eastAsia="ja-JP"/>
        </w:rPr>
        <w:t xml:space="preserve"> </w:t>
      </w:r>
      <w:r w:rsidR="00423768">
        <w:rPr>
          <w:lang w:eastAsia="ja-JP"/>
        </w:rPr>
        <w:t>=</w:t>
      </w:r>
      <w:r w:rsidR="00375CAE">
        <w:rPr>
          <w:lang w:eastAsia="ja-JP"/>
        </w:rPr>
        <w:t xml:space="preserve"> </w:t>
      </w:r>
      <w:r w:rsidRPr="00A7727F">
        <w:rPr>
          <w:lang w:eastAsia="ja-JP"/>
        </w:rPr>
        <w:t>standard deviation; TNF</w:t>
      </w:r>
      <w:r w:rsidR="00375CAE">
        <w:rPr>
          <w:lang w:eastAsia="ja-JP"/>
        </w:rPr>
        <w:t xml:space="preserve"> </w:t>
      </w:r>
      <w:r w:rsidR="00423768">
        <w:rPr>
          <w:lang w:eastAsia="ja-JP"/>
        </w:rPr>
        <w:t>=</w:t>
      </w:r>
      <w:r w:rsidR="00375CAE">
        <w:rPr>
          <w:lang w:eastAsia="ja-JP"/>
        </w:rPr>
        <w:t xml:space="preserve"> </w:t>
      </w:r>
      <w:r w:rsidRPr="00A7727F">
        <w:rPr>
          <w:lang w:eastAsia="ja-JP"/>
        </w:rPr>
        <w:t>tumo</w:t>
      </w:r>
      <w:r w:rsidR="002E37A6">
        <w:rPr>
          <w:lang w:eastAsia="ja-JP"/>
        </w:rPr>
        <w:t>u</w:t>
      </w:r>
      <w:r w:rsidRPr="00A7727F">
        <w:rPr>
          <w:lang w:eastAsia="ja-JP"/>
        </w:rPr>
        <w:t>r necrosis factor. Note: Lower limit of detection (LOD)</w:t>
      </w:r>
      <w:r w:rsidR="00375CAE">
        <w:rPr>
          <w:lang w:eastAsia="ja-JP"/>
        </w:rPr>
        <w:t xml:space="preserve"> </w:t>
      </w:r>
      <w:r w:rsidR="00423768">
        <w:rPr>
          <w:lang w:eastAsia="ja-JP"/>
        </w:rPr>
        <w:t>=</w:t>
      </w:r>
      <w:r w:rsidR="00375CAE">
        <w:rPr>
          <w:lang w:eastAsia="ja-JP"/>
        </w:rPr>
        <w:t xml:space="preserve"> </w:t>
      </w:r>
      <w:r w:rsidRPr="00A7727F">
        <w:rPr>
          <w:lang w:eastAsia="ja-JP"/>
        </w:rPr>
        <w:t>20 pg/mL; Lower limit of quantitation (LLOQ)</w:t>
      </w:r>
      <w:r w:rsidR="00375CAE">
        <w:rPr>
          <w:lang w:eastAsia="ja-JP"/>
        </w:rPr>
        <w:t xml:space="preserve"> </w:t>
      </w:r>
      <w:r w:rsidR="00423768">
        <w:rPr>
          <w:lang w:eastAsia="ja-JP"/>
        </w:rPr>
        <w:t>=</w:t>
      </w:r>
      <w:r w:rsidR="00375CAE">
        <w:rPr>
          <w:lang w:eastAsia="ja-JP"/>
        </w:rPr>
        <w:t xml:space="preserve"> </w:t>
      </w:r>
      <w:r w:rsidRPr="00A7727F">
        <w:rPr>
          <w:lang w:eastAsia="ja-JP"/>
        </w:rPr>
        <w:t>125 pg/mL. a 9</w:t>
      </w:r>
      <w:r w:rsidR="00375CAE">
        <w:rPr>
          <w:lang w:eastAsia="ja-JP"/>
        </w:rPr>
        <w:t xml:space="preserve"> </w:t>
      </w:r>
      <w:r w:rsidR="0018721C">
        <w:rPr>
          <w:lang w:eastAsia="ja-JP"/>
        </w:rPr>
        <w:t>µg</w:t>
      </w:r>
      <w:r w:rsidRPr="00A7727F">
        <w:rPr>
          <w:lang w:eastAsia="ja-JP"/>
        </w:rPr>
        <w:t>/day dose is equivalent to 5</w:t>
      </w:r>
      <w:r w:rsidR="00375CAE">
        <w:rPr>
          <w:lang w:eastAsia="ja-JP"/>
        </w:rPr>
        <w:t xml:space="preserve"> </w:t>
      </w:r>
      <w:r w:rsidR="0018721C">
        <w:rPr>
          <w:lang w:eastAsia="ja-JP"/>
        </w:rPr>
        <w:t>µg</w:t>
      </w:r>
      <w:r w:rsidRPr="00A7727F">
        <w:rPr>
          <w:lang w:eastAsia="ja-JP"/>
        </w:rPr>
        <w:t>/</w:t>
      </w:r>
      <w:r w:rsidR="00586C19" w:rsidRPr="00F31F9F">
        <w:rPr>
          <w:lang w:eastAsia="ja-JP"/>
        </w:rPr>
        <w:t>m</w:t>
      </w:r>
      <w:r w:rsidR="00586C19" w:rsidRPr="00586C19">
        <w:rPr>
          <w:vertAlign w:val="superscript"/>
          <w:lang w:eastAsia="ja-JP"/>
        </w:rPr>
        <w:t>2</w:t>
      </w:r>
      <w:r w:rsidRPr="00A7727F">
        <w:rPr>
          <w:lang w:eastAsia="ja-JP"/>
        </w:rPr>
        <w:t>/day dose.</w:t>
      </w:r>
    </w:p>
    <w:p w14:paraId="75E31E0A" w14:textId="77777777" w:rsidR="00A7727F" w:rsidRPr="00A7727F" w:rsidRDefault="00A7727F" w:rsidP="0092681B">
      <w:pPr>
        <w:pStyle w:val="Heading3"/>
      </w:pPr>
      <w:bookmarkStart w:id="154" w:name="_Toc292015600"/>
      <w:bookmarkStart w:id="155" w:name="_Toc505762978"/>
      <w:r w:rsidRPr="00A7727F">
        <w:t>Evaluator’s overall conclusions on pharmacodynamics</w:t>
      </w:r>
      <w:bookmarkEnd w:id="154"/>
      <w:bookmarkEnd w:id="155"/>
    </w:p>
    <w:p w14:paraId="25044B9D" w14:textId="76F0A3F1" w:rsidR="00A7727F" w:rsidRPr="00A7727F" w:rsidRDefault="00A7727F" w:rsidP="00A7727F">
      <w:pPr>
        <w:rPr>
          <w:lang w:eastAsia="ja-JP"/>
        </w:rPr>
      </w:pPr>
      <w:r w:rsidRPr="00A7727F">
        <w:rPr>
          <w:lang w:eastAsia="ja-JP"/>
        </w:rPr>
        <w:t>Pharmacodynamics were assessed along with safety and efficacy in 4 clinical studies included in this marketing application, which included a study in subjects with NHL (</w:t>
      </w:r>
      <w:r w:rsidR="0092681B">
        <w:rPr>
          <w:lang w:eastAsia="ja-JP"/>
        </w:rPr>
        <w:t>Study MT103-104; a </w:t>
      </w:r>
      <w:r w:rsidRPr="00A7727F">
        <w:rPr>
          <w:lang w:eastAsia="ja-JP"/>
        </w:rPr>
        <w:t xml:space="preserve">study in subjects with MRD+ ALL </w:t>
      </w:r>
      <w:r w:rsidR="0092681B">
        <w:rPr>
          <w:lang w:eastAsia="ja-JP"/>
        </w:rPr>
        <w:t xml:space="preserve">(Study </w:t>
      </w:r>
      <w:r w:rsidRPr="00A7727F">
        <w:rPr>
          <w:lang w:eastAsia="ja-JP"/>
        </w:rPr>
        <w:t xml:space="preserve">MT103-202) and </w:t>
      </w:r>
      <w:r w:rsidR="00423768">
        <w:rPr>
          <w:lang w:eastAsia="ja-JP"/>
        </w:rPr>
        <w:t>2</w:t>
      </w:r>
      <w:r w:rsidRPr="00A7727F">
        <w:rPr>
          <w:lang w:eastAsia="ja-JP"/>
        </w:rPr>
        <w:t xml:space="preserve"> studies in subjects with R/R ALL (</w:t>
      </w:r>
      <w:r w:rsidR="0092681B">
        <w:rPr>
          <w:lang w:eastAsia="ja-JP"/>
        </w:rPr>
        <w:t xml:space="preserve">Studies </w:t>
      </w:r>
      <w:r w:rsidRPr="00A7727F">
        <w:rPr>
          <w:lang w:eastAsia="ja-JP"/>
        </w:rPr>
        <w:t>MT103-206 and MT103-211). Peripheral B-cell depletion can be largely achieved at doses</w:t>
      </w:r>
      <w:r w:rsidR="00375CAE">
        <w:rPr>
          <w:lang w:eastAsia="ja-JP"/>
        </w:rPr>
        <w:t xml:space="preserve"> </w:t>
      </w:r>
      <w:r w:rsidR="00423768">
        <w:rPr>
          <w:lang w:eastAsia="ja-JP"/>
        </w:rPr>
        <w:t>≥</w:t>
      </w:r>
      <w:r w:rsidR="00375CAE">
        <w:rPr>
          <w:lang w:eastAsia="ja-JP"/>
        </w:rPr>
        <w:t xml:space="preserve"> </w:t>
      </w:r>
      <w:r w:rsidRPr="00A7727F">
        <w:rPr>
          <w:lang w:eastAsia="ja-JP"/>
        </w:rPr>
        <w:t>9</w:t>
      </w:r>
      <w:r w:rsidR="00375CAE">
        <w:rPr>
          <w:lang w:eastAsia="ja-JP"/>
        </w:rPr>
        <w:t xml:space="preserve"> </w:t>
      </w:r>
      <w:r w:rsidR="0018721C">
        <w:rPr>
          <w:lang w:eastAsia="ja-JP"/>
        </w:rPr>
        <w:t>µg</w:t>
      </w:r>
      <w:r w:rsidRPr="00A7727F">
        <w:rPr>
          <w:lang w:eastAsia="ja-JP"/>
        </w:rPr>
        <w:t>/day (or 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which supports a starting dose of 9</w:t>
      </w:r>
      <w:r w:rsidR="00375CAE">
        <w:rPr>
          <w:lang w:eastAsia="ja-JP"/>
        </w:rPr>
        <w:t xml:space="preserve"> </w:t>
      </w:r>
      <w:r w:rsidR="0018721C">
        <w:rPr>
          <w:lang w:eastAsia="ja-JP"/>
        </w:rPr>
        <w:t>µg</w:t>
      </w:r>
      <w:r w:rsidRPr="00A7727F">
        <w:rPr>
          <w:lang w:eastAsia="ja-JP"/>
        </w:rPr>
        <w:t>/day in the stepwise dosing scheme. At the target efficacious dose of 28</w:t>
      </w:r>
      <w:r w:rsidR="00375CAE">
        <w:rPr>
          <w:lang w:eastAsia="ja-JP"/>
        </w:rPr>
        <w:t xml:space="preserve"> </w:t>
      </w:r>
      <w:r w:rsidR="0018721C">
        <w:rPr>
          <w:lang w:eastAsia="ja-JP"/>
        </w:rPr>
        <w:t>µg</w:t>
      </w:r>
      <w:r w:rsidRPr="00A7727F">
        <w:rPr>
          <w:lang w:eastAsia="ja-JP"/>
        </w:rPr>
        <w:t>/day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for adults, mean </w:t>
      </w:r>
      <w:r w:rsidR="005E5C58">
        <w:rPr>
          <w:lang w:eastAsia="ja-JP"/>
        </w:rPr>
        <w:t>C</w:t>
      </w:r>
      <w:r w:rsidR="005E5C58">
        <w:rPr>
          <w:vertAlign w:val="subscript"/>
          <w:lang w:eastAsia="ja-JP"/>
        </w:rPr>
        <w:t>ss</w:t>
      </w:r>
      <w:r w:rsidRPr="00A7727F">
        <w:rPr>
          <w:lang w:eastAsia="ja-JP"/>
        </w:rPr>
        <w:t xml:space="preserve"> were in a range of 553 to 696 pg/mL, which was greater than the </w:t>
      </w:r>
      <w:r w:rsidRPr="0092681B">
        <w:rPr>
          <w:iCs/>
          <w:lang w:eastAsia="ja-JP"/>
        </w:rPr>
        <w:t>in vitro</w:t>
      </w:r>
      <w:r w:rsidRPr="00A7727F">
        <w:rPr>
          <w:lang w:eastAsia="ja-JP"/>
        </w:rPr>
        <w:t xml:space="preserve"> EC90 value of 470 pg/mL for the suppression of B cells in relevant human malignant cell lines.</w:t>
      </w:r>
    </w:p>
    <w:p w14:paraId="2A44B32E" w14:textId="2915053E" w:rsidR="00A7727F" w:rsidRPr="00A7727F" w:rsidRDefault="00586C19" w:rsidP="00A7727F">
      <w:pPr>
        <w:rPr>
          <w:lang w:eastAsia="ja-JP"/>
        </w:rPr>
      </w:pPr>
      <w:r>
        <w:rPr>
          <w:lang w:eastAsia="ja-JP"/>
        </w:rPr>
        <w:t>T cell</w:t>
      </w:r>
      <w:r w:rsidR="00A7727F" w:rsidRPr="00A7727F">
        <w:rPr>
          <w:lang w:eastAsia="ja-JP"/>
        </w:rPr>
        <w:t xml:space="preserve"> redistribution occurred when dosing was initiated or when dosing was escalated. B-cell depletion was dependent on blinatumomab dose, and the rate of depletion depended on the initial dose. The B-cell depletion rate increased with increased </w:t>
      </w:r>
      <w:r w:rsidR="005E5C58">
        <w:rPr>
          <w:lang w:eastAsia="ja-JP"/>
        </w:rPr>
        <w:t>C</w:t>
      </w:r>
      <w:r w:rsidR="005E5C58">
        <w:rPr>
          <w:vertAlign w:val="subscript"/>
          <w:lang w:eastAsia="ja-JP"/>
        </w:rPr>
        <w:t>ss</w:t>
      </w:r>
      <w:r w:rsidR="00A7727F" w:rsidRPr="00A7727F">
        <w:rPr>
          <w:lang w:eastAsia="ja-JP"/>
        </w:rPr>
        <w:t>, which suggests that higher drug levels were associated with faster elimination of peripheral B cells. Exposure-cytokine analysis suggested that in the presence of B cells, a higher initial dose may be associated with a higher magnitude of transient cytokine elevation, independent of patient populations (NHL v</w:t>
      </w:r>
      <w:r w:rsidR="002E37A6">
        <w:rPr>
          <w:lang w:eastAsia="ja-JP"/>
        </w:rPr>
        <w:t>ersu</w:t>
      </w:r>
      <w:r w:rsidR="00A7727F" w:rsidRPr="00A7727F">
        <w:rPr>
          <w:lang w:eastAsia="ja-JP"/>
        </w:rPr>
        <w:t>s ALL). In subsequent treatment cycles, cytokine elevation was observed in fewer patients with less intensity, suggesting that availability of target cells in the periphery was also required for a pronounced cytokine elevation.</w:t>
      </w:r>
    </w:p>
    <w:p w14:paraId="3203E262" w14:textId="3BBC49D5" w:rsidR="00C22678" w:rsidRDefault="00C22678" w:rsidP="00C22678">
      <w:pPr>
        <w:pStyle w:val="Heading2"/>
      </w:pPr>
      <w:bookmarkStart w:id="156" w:name="_Toc505762979"/>
      <w:r w:rsidRPr="003442FE">
        <w:t>Dosage selection for the pivotal studies</w:t>
      </w:r>
      <w:bookmarkEnd w:id="156"/>
    </w:p>
    <w:p w14:paraId="64318859" w14:textId="2540DB8C" w:rsidR="00A7727F" w:rsidRPr="00A7727F" w:rsidRDefault="002E37A6" w:rsidP="00A7727F">
      <w:pPr>
        <w:rPr>
          <w:lang w:eastAsia="ja-JP"/>
        </w:rPr>
      </w:pPr>
      <w:r w:rsidRPr="002E37A6">
        <w:rPr>
          <w:lang w:eastAsia="ja-JP"/>
        </w:rPr>
        <w:t xml:space="preserve">From Study </w:t>
      </w:r>
      <w:r w:rsidR="00A7727F" w:rsidRPr="002E37A6">
        <w:rPr>
          <w:lang w:eastAsia="ja-JP"/>
        </w:rPr>
        <w:t>MT103-211</w:t>
      </w:r>
      <w:r w:rsidRPr="002E37A6">
        <w:rPr>
          <w:lang w:eastAsia="ja-JP"/>
        </w:rPr>
        <w:t xml:space="preserve">: </w:t>
      </w:r>
      <w:r w:rsidR="00A7727F" w:rsidRPr="00A7727F">
        <w:rPr>
          <w:lang w:eastAsia="ja-JP"/>
        </w:rPr>
        <w:t>Based on the assessments of clinical PK, PD, efficacy, and safety, the recommended blinatumomab regimen for the treatment of R/R ALL was a cIV infus</w:t>
      </w:r>
      <w:r w:rsidR="00F17403">
        <w:rPr>
          <w:lang w:eastAsia="ja-JP"/>
        </w:rPr>
        <w:t xml:space="preserve">ion for 4 weeks followed by a 2 </w:t>
      </w:r>
      <w:r w:rsidR="00A7727F" w:rsidRPr="00A7727F">
        <w:rPr>
          <w:lang w:eastAsia="ja-JP"/>
        </w:rPr>
        <w:t xml:space="preserve">week treatment free period between cycles. In </w:t>
      </w:r>
      <w:r w:rsidR="007D46D6">
        <w:rPr>
          <w:lang w:eastAsia="ja-JP"/>
        </w:rPr>
        <w:t>Cycle 1</w:t>
      </w:r>
      <w:r w:rsidR="00A7727F" w:rsidRPr="00A7727F">
        <w:rPr>
          <w:lang w:eastAsia="ja-JP"/>
        </w:rPr>
        <w:t>, the starting dose is 9</w:t>
      </w:r>
      <w:r w:rsidR="00375CAE">
        <w:rPr>
          <w:lang w:eastAsia="ja-JP"/>
        </w:rPr>
        <w:t xml:space="preserve"> </w:t>
      </w:r>
      <w:r w:rsidR="0018721C">
        <w:rPr>
          <w:lang w:eastAsia="ja-JP"/>
        </w:rPr>
        <w:t>µg</w:t>
      </w:r>
      <w:r w:rsidR="00A7727F" w:rsidRPr="00A7727F">
        <w:rPr>
          <w:lang w:eastAsia="ja-JP"/>
        </w:rPr>
        <w:t xml:space="preserve">/day in </w:t>
      </w:r>
      <w:r w:rsidR="007D46D6">
        <w:rPr>
          <w:lang w:eastAsia="ja-JP"/>
        </w:rPr>
        <w:t>Week 1</w:t>
      </w:r>
      <w:r w:rsidR="00A7727F" w:rsidRPr="00A7727F">
        <w:rPr>
          <w:lang w:eastAsia="ja-JP"/>
        </w:rPr>
        <w:t>; the dose is then stepped up to 28</w:t>
      </w:r>
      <w:r w:rsidR="00375CAE">
        <w:rPr>
          <w:lang w:eastAsia="ja-JP"/>
        </w:rPr>
        <w:t xml:space="preserve"> </w:t>
      </w:r>
      <w:r w:rsidR="0018721C">
        <w:rPr>
          <w:lang w:eastAsia="ja-JP"/>
        </w:rPr>
        <w:t>µg</w:t>
      </w:r>
      <w:r w:rsidR="00F17403">
        <w:rPr>
          <w:lang w:eastAsia="ja-JP"/>
        </w:rPr>
        <w:t>/day over W</w:t>
      </w:r>
      <w:r w:rsidR="00A7727F" w:rsidRPr="00A7727F">
        <w:rPr>
          <w:lang w:eastAsia="ja-JP"/>
        </w:rPr>
        <w:t>eeks 2 to 4. For subsequent cycles, the dose is 28</w:t>
      </w:r>
      <w:r w:rsidR="00375CAE">
        <w:rPr>
          <w:lang w:eastAsia="ja-JP"/>
        </w:rPr>
        <w:t xml:space="preserve"> </w:t>
      </w:r>
      <w:r w:rsidR="0018721C">
        <w:rPr>
          <w:lang w:eastAsia="ja-JP"/>
        </w:rPr>
        <w:t>µg</w:t>
      </w:r>
      <w:r w:rsidR="00A7727F" w:rsidRPr="00A7727F">
        <w:rPr>
          <w:lang w:eastAsia="ja-JP"/>
        </w:rPr>
        <w:t>/day for the entire cycle.</w:t>
      </w:r>
    </w:p>
    <w:p w14:paraId="5B489C37" w14:textId="0DDCAAA9" w:rsidR="00A7727F" w:rsidRPr="00A7727F" w:rsidRDefault="00A7727F" w:rsidP="00A7727F">
      <w:pPr>
        <w:rPr>
          <w:lang w:eastAsia="ja-JP"/>
        </w:rPr>
      </w:pPr>
      <w:r w:rsidRPr="00A7727F">
        <w:rPr>
          <w:lang w:eastAsia="ja-JP"/>
        </w:rPr>
        <w:t xml:space="preserve">Blinatumomab is quickly </w:t>
      </w:r>
      <w:r w:rsidR="00F17403">
        <w:rPr>
          <w:lang w:eastAsia="ja-JP"/>
        </w:rPr>
        <w:t>eliminated from the body (mean (CV%)</w:t>
      </w:r>
      <w:r w:rsidRPr="00A7727F">
        <w:rPr>
          <w:lang w:eastAsia="ja-JP"/>
        </w:rPr>
        <w:t xml:space="preserve"> terminal</w:t>
      </w:r>
      <w:r w:rsidR="00F17403">
        <w:rPr>
          <w:lang w:eastAsia="ja-JP"/>
        </w:rPr>
        <w:t xml:space="preserve"> elimination </w:t>
      </w:r>
      <w:r w:rsidR="00586C19">
        <w:rPr>
          <w:lang w:eastAsia="ja-JP"/>
        </w:rPr>
        <w:t>half-life</w:t>
      </w:r>
      <w:r w:rsidR="00F17403">
        <w:rPr>
          <w:lang w:eastAsia="ja-JP"/>
        </w:rPr>
        <w:t xml:space="preserve"> of 2.11 (68%)</w:t>
      </w:r>
      <w:r w:rsidRPr="00A7727F">
        <w:rPr>
          <w:lang w:eastAsia="ja-JP"/>
        </w:rPr>
        <w:t xml:space="preserve"> hours); consequently a continuous IV infusion is needed to maintain effective drug concentrations. The pharmacokinetic profile was not affected by body size (</w:t>
      </w:r>
      <w:r w:rsidR="005B0CFF">
        <w:rPr>
          <w:lang w:eastAsia="ja-JP"/>
        </w:rPr>
        <w:t>for example</w:t>
      </w:r>
      <w:r w:rsidRPr="00A7727F">
        <w:rPr>
          <w:lang w:eastAsia="ja-JP"/>
        </w:rPr>
        <w:t>, body weight or BSA), and a fixed dose regimen is recommended for adults. Peripheral B-cell depletion is achieved at blinatumomab doses</w:t>
      </w:r>
      <w:r w:rsidR="00375CAE">
        <w:rPr>
          <w:lang w:eastAsia="ja-JP"/>
        </w:rPr>
        <w:t xml:space="preserve"> </w:t>
      </w:r>
      <w:r w:rsidR="00423768">
        <w:rPr>
          <w:lang w:eastAsia="ja-JP"/>
        </w:rPr>
        <w:t>≥</w:t>
      </w:r>
      <w:r w:rsidR="00375CAE">
        <w:rPr>
          <w:lang w:eastAsia="ja-JP"/>
        </w:rPr>
        <w:t xml:space="preserve"> </w:t>
      </w:r>
      <w:r w:rsidRPr="00A7727F">
        <w:rPr>
          <w:lang w:eastAsia="ja-JP"/>
        </w:rPr>
        <w:t>9</w:t>
      </w:r>
      <w:r w:rsidR="00375CAE">
        <w:rPr>
          <w:lang w:eastAsia="ja-JP"/>
        </w:rPr>
        <w:t xml:space="preserve"> </w:t>
      </w:r>
      <w:r w:rsidR="0018721C">
        <w:rPr>
          <w:lang w:eastAsia="ja-JP"/>
        </w:rPr>
        <w:t>µg</w:t>
      </w:r>
      <w:r w:rsidRPr="00A7727F">
        <w:rPr>
          <w:lang w:eastAsia="ja-JP"/>
        </w:rPr>
        <w:t>/day (or 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which supports a starting dose of 9</w:t>
      </w:r>
      <w:r w:rsidR="00375CAE">
        <w:rPr>
          <w:lang w:eastAsia="ja-JP"/>
        </w:rPr>
        <w:t xml:space="preserve"> </w:t>
      </w:r>
      <w:r w:rsidR="0018721C">
        <w:rPr>
          <w:lang w:eastAsia="ja-JP"/>
        </w:rPr>
        <w:t>µg</w:t>
      </w:r>
      <w:r w:rsidRPr="00A7727F">
        <w:rPr>
          <w:lang w:eastAsia="ja-JP"/>
        </w:rPr>
        <w:t>/day. At the target efficacious dose of 28</w:t>
      </w:r>
      <w:r w:rsidR="00375CAE">
        <w:rPr>
          <w:lang w:eastAsia="ja-JP"/>
        </w:rPr>
        <w:t xml:space="preserve"> </w:t>
      </w:r>
      <w:r w:rsidR="0018721C">
        <w:rPr>
          <w:lang w:eastAsia="ja-JP"/>
        </w:rPr>
        <w:t>µg</w:t>
      </w:r>
      <w:r w:rsidRPr="00A7727F">
        <w:rPr>
          <w:lang w:eastAsia="ja-JP"/>
        </w:rPr>
        <w:t>/day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for adults, mean </w:t>
      </w:r>
      <w:r w:rsidR="005E5C58">
        <w:rPr>
          <w:lang w:eastAsia="ja-JP"/>
        </w:rPr>
        <w:t>C</w:t>
      </w:r>
      <w:r w:rsidR="005E5C58">
        <w:rPr>
          <w:vertAlign w:val="subscript"/>
          <w:lang w:eastAsia="ja-JP"/>
        </w:rPr>
        <w:t>ss</w:t>
      </w:r>
      <w:r w:rsidRPr="00A7727F">
        <w:rPr>
          <w:lang w:eastAsia="ja-JP"/>
        </w:rPr>
        <w:t xml:space="preserve"> were in a range of 553 to 696 pg/mL, which was greater than the in vitro EC90 value of 470 pg/mL for the suppression of B cells in relevant human malignant cell lines.</w:t>
      </w:r>
    </w:p>
    <w:p w14:paraId="14B7A494" w14:textId="728018C9" w:rsidR="00A7727F" w:rsidRPr="003442FE" w:rsidRDefault="00F17403" w:rsidP="00C22678">
      <w:pPr>
        <w:rPr>
          <w:lang w:eastAsia="ja-JP"/>
        </w:rPr>
      </w:pPr>
      <w:r>
        <w:rPr>
          <w:lang w:eastAsia="ja-JP"/>
        </w:rPr>
        <w:t xml:space="preserve">The majority of cytokine </w:t>
      </w:r>
      <w:r w:rsidR="00A7727F" w:rsidRPr="00A7727F">
        <w:rPr>
          <w:lang w:eastAsia="ja-JP"/>
        </w:rPr>
        <w:t xml:space="preserve">related adverse events were observed in </w:t>
      </w:r>
      <w:r w:rsidR="007D46D6">
        <w:rPr>
          <w:lang w:eastAsia="ja-JP"/>
        </w:rPr>
        <w:t>Cycle 1</w:t>
      </w:r>
      <w:r w:rsidR="00A7727F" w:rsidRPr="00A7727F">
        <w:rPr>
          <w:lang w:eastAsia="ja-JP"/>
        </w:rPr>
        <w:t xml:space="preserve"> and the magnitude of cytokine elevation depended on the initial dose. Consequently, a regimen with dose </w:t>
      </w:r>
      <w:r>
        <w:rPr>
          <w:lang w:eastAsia="ja-JP"/>
        </w:rPr>
        <w:t xml:space="preserve">stepping could reduce the first </w:t>
      </w:r>
      <w:r w:rsidR="00A7727F" w:rsidRPr="00A7727F">
        <w:rPr>
          <w:lang w:eastAsia="ja-JP"/>
        </w:rPr>
        <w:t>dose effect of cytokine elevation. The safety profile was manageable at the recommended dosing regimen for the treatment of adult relapsed/refractory ALL.</w:t>
      </w:r>
    </w:p>
    <w:p w14:paraId="5A1090DB" w14:textId="77777777" w:rsidR="00C22678" w:rsidRPr="003442FE" w:rsidRDefault="00C22678" w:rsidP="00C22678">
      <w:pPr>
        <w:pStyle w:val="Heading2"/>
      </w:pPr>
      <w:bookmarkStart w:id="157" w:name="_Toc505762980"/>
      <w:r w:rsidRPr="003442FE">
        <w:t>Clinical efficacy</w:t>
      </w:r>
      <w:bookmarkEnd w:id="157"/>
    </w:p>
    <w:p w14:paraId="5875DCAD" w14:textId="77777777" w:rsidR="004A2D56" w:rsidRDefault="00A7727F" w:rsidP="004A2D56">
      <w:bookmarkStart w:id="158" w:name="_Toc292015603"/>
      <w:r w:rsidRPr="00A7727F">
        <w:t>Studies for the</w:t>
      </w:r>
      <w:r w:rsidR="004A2D56">
        <w:t xml:space="preserve"> proposed indication:</w:t>
      </w:r>
    </w:p>
    <w:p w14:paraId="079D0E97" w14:textId="799D3E60" w:rsidR="00A7727F" w:rsidRPr="004A2D56" w:rsidRDefault="004A2D56" w:rsidP="004A2D56">
      <w:pPr>
        <w:ind w:left="720"/>
        <w:rPr>
          <w:i/>
        </w:rPr>
      </w:pPr>
      <w:r w:rsidRPr="004A2D56">
        <w:rPr>
          <w:i/>
        </w:rPr>
        <w:t>‘</w:t>
      </w:r>
      <w:r w:rsidR="00A7727F" w:rsidRPr="004A2D56">
        <w:rPr>
          <w:i/>
        </w:rPr>
        <w:t xml:space="preserve">Treatment of </w:t>
      </w:r>
      <w:r w:rsidRPr="004A2D56">
        <w:rPr>
          <w:i/>
        </w:rPr>
        <w:t>a</w:t>
      </w:r>
      <w:r w:rsidR="00A7727F" w:rsidRPr="004A2D56">
        <w:rPr>
          <w:i/>
        </w:rPr>
        <w:t xml:space="preserve">dults with </w:t>
      </w:r>
      <w:r w:rsidRPr="004A2D56">
        <w:rPr>
          <w:i/>
        </w:rPr>
        <w:t>Philadelphia chromosome negative relapsed or refractory B-precursor acute lymphoblastic leukaemia</w:t>
      </w:r>
      <w:bookmarkEnd w:id="158"/>
      <w:r w:rsidRPr="004A2D56">
        <w:rPr>
          <w:i/>
        </w:rPr>
        <w:t>’.</w:t>
      </w:r>
    </w:p>
    <w:p w14:paraId="2F45702D" w14:textId="77777777" w:rsidR="00A7727F" w:rsidRPr="00A7727F" w:rsidRDefault="00A7727F" w:rsidP="004A2D56">
      <w:pPr>
        <w:pStyle w:val="Heading3"/>
      </w:pPr>
      <w:bookmarkStart w:id="159" w:name="_Ref271037274"/>
      <w:bookmarkStart w:id="160" w:name="_Toc272414652"/>
      <w:bookmarkStart w:id="161" w:name="_Toc290846274"/>
      <w:bookmarkStart w:id="162" w:name="_Toc292015604"/>
      <w:bookmarkStart w:id="163" w:name="_Toc505762981"/>
      <w:r w:rsidRPr="00A7727F">
        <w:t>Pivotal efficacy stud</w:t>
      </w:r>
      <w:bookmarkEnd w:id="159"/>
      <w:bookmarkEnd w:id="160"/>
      <w:bookmarkEnd w:id="161"/>
      <w:r w:rsidRPr="00A7727F">
        <w:t>y</w:t>
      </w:r>
      <w:bookmarkEnd w:id="162"/>
      <w:bookmarkEnd w:id="163"/>
    </w:p>
    <w:p w14:paraId="15ED4677" w14:textId="77777777" w:rsidR="00A7727F" w:rsidRPr="00A7727F" w:rsidRDefault="00A7727F" w:rsidP="004A2D56">
      <w:pPr>
        <w:pStyle w:val="Heading4"/>
      </w:pPr>
      <w:bookmarkStart w:id="164" w:name="_Toc292015605"/>
      <w:r w:rsidRPr="00A7727F">
        <w:t>Study MT103-211</w:t>
      </w:r>
      <w:bookmarkEnd w:id="164"/>
    </w:p>
    <w:p w14:paraId="4AB50E15" w14:textId="00D8D53C" w:rsidR="00A7727F" w:rsidRPr="00A7727F" w:rsidRDefault="004A2D56" w:rsidP="00A7727F">
      <w:pPr>
        <w:rPr>
          <w:lang w:eastAsia="ja-JP"/>
        </w:rPr>
      </w:pPr>
      <w:r>
        <w:rPr>
          <w:lang w:eastAsia="ja-JP"/>
        </w:rPr>
        <w:t>This was a</w:t>
      </w:r>
      <w:r w:rsidR="00A7727F" w:rsidRPr="00A7727F">
        <w:rPr>
          <w:lang w:eastAsia="ja-JP"/>
        </w:rPr>
        <w:t xml:space="preserve">n </w:t>
      </w:r>
      <w:r w:rsidRPr="00A7727F">
        <w:rPr>
          <w:lang w:eastAsia="ja-JP"/>
        </w:rPr>
        <w:t>open label, multi</w:t>
      </w:r>
      <w:r>
        <w:rPr>
          <w:lang w:eastAsia="ja-JP"/>
        </w:rPr>
        <w:t>centre</w:t>
      </w:r>
      <w:r w:rsidRPr="00A7727F">
        <w:rPr>
          <w:lang w:eastAsia="ja-JP"/>
        </w:rPr>
        <w:t xml:space="preserve">, </w:t>
      </w:r>
      <w:r>
        <w:rPr>
          <w:lang w:eastAsia="ja-JP"/>
        </w:rPr>
        <w:t>Phase II</w:t>
      </w:r>
      <w:r w:rsidRPr="00A7727F">
        <w:rPr>
          <w:lang w:eastAsia="ja-JP"/>
        </w:rPr>
        <w:t xml:space="preserve"> study to evaluate efficacy and safety of the </w:t>
      </w:r>
      <w:r>
        <w:rPr>
          <w:lang w:eastAsia="ja-JP"/>
        </w:rPr>
        <w:t>BiTE</w:t>
      </w:r>
      <w:r w:rsidR="00A7727F" w:rsidRPr="00A7727F">
        <w:rPr>
          <w:lang w:eastAsia="ja-JP"/>
        </w:rPr>
        <w:t xml:space="preserve"> antibody </w:t>
      </w:r>
      <w:r>
        <w:rPr>
          <w:lang w:eastAsia="ja-JP"/>
        </w:rPr>
        <w:t>b</w:t>
      </w:r>
      <w:r w:rsidR="00A7727F" w:rsidRPr="00A7727F">
        <w:rPr>
          <w:lang w:eastAsia="ja-JP"/>
        </w:rPr>
        <w:t xml:space="preserve">linatumomab in </w:t>
      </w:r>
      <w:r w:rsidRPr="00A7727F">
        <w:rPr>
          <w:lang w:eastAsia="ja-JP"/>
        </w:rPr>
        <w:t xml:space="preserve">adult patients with relapsed/refractory </w:t>
      </w:r>
      <w:r>
        <w:rPr>
          <w:lang w:eastAsia="ja-JP"/>
        </w:rPr>
        <w:t>B-precursor acute lymphoblastic l</w:t>
      </w:r>
      <w:r w:rsidR="00A7727F" w:rsidRPr="00A7727F">
        <w:rPr>
          <w:lang w:eastAsia="ja-JP"/>
        </w:rPr>
        <w:t>euk</w:t>
      </w:r>
      <w:r>
        <w:rPr>
          <w:lang w:eastAsia="ja-JP"/>
        </w:rPr>
        <w:t>a</w:t>
      </w:r>
      <w:r w:rsidR="00A7727F" w:rsidRPr="00A7727F">
        <w:rPr>
          <w:lang w:eastAsia="ja-JP"/>
        </w:rPr>
        <w:t>emia (ALL).</w:t>
      </w:r>
    </w:p>
    <w:p w14:paraId="1EEA2714" w14:textId="77777777" w:rsidR="00A7727F" w:rsidRPr="00A7727F" w:rsidRDefault="00A7727F" w:rsidP="004A2D56">
      <w:pPr>
        <w:pStyle w:val="Heading5"/>
        <w:rPr>
          <w:lang w:eastAsia="ja-JP"/>
        </w:rPr>
      </w:pPr>
      <w:r w:rsidRPr="00A7727F">
        <w:rPr>
          <w:lang w:eastAsia="ja-JP"/>
        </w:rPr>
        <w:t>Study design, objectives, locations and dates</w:t>
      </w:r>
    </w:p>
    <w:p w14:paraId="17E9EFE0" w14:textId="55BEAD97" w:rsidR="00A7727F" w:rsidRPr="00A7727F" w:rsidRDefault="00A7727F" w:rsidP="00A7727F">
      <w:pPr>
        <w:rPr>
          <w:lang w:eastAsia="ja-JP"/>
        </w:rPr>
      </w:pPr>
      <w:r w:rsidRPr="00A7727F">
        <w:rPr>
          <w:lang w:eastAsia="ja-JP"/>
        </w:rPr>
        <w:t xml:space="preserve">This was an </w:t>
      </w:r>
      <w:r w:rsidR="00070E8B">
        <w:rPr>
          <w:lang w:eastAsia="ja-JP"/>
        </w:rPr>
        <w:t>open label</w:t>
      </w:r>
      <w:r w:rsidRPr="00A7727F">
        <w:rPr>
          <w:lang w:eastAsia="ja-JP"/>
        </w:rPr>
        <w:t xml:space="preserve">, </w:t>
      </w:r>
      <w:r w:rsidR="002B779F">
        <w:rPr>
          <w:lang w:eastAsia="ja-JP"/>
        </w:rPr>
        <w:t>single arm</w:t>
      </w:r>
      <w:r w:rsidRPr="00A7727F">
        <w:rPr>
          <w:lang w:eastAsia="ja-JP"/>
        </w:rPr>
        <w:t>, multi</w:t>
      </w:r>
      <w:r w:rsidR="00070E8B">
        <w:rPr>
          <w:lang w:eastAsia="ja-JP"/>
        </w:rPr>
        <w:t>centre</w:t>
      </w:r>
      <w:r w:rsidRPr="00A7727F">
        <w:rPr>
          <w:lang w:eastAsia="ja-JP"/>
        </w:rPr>
        <w:t xml:space="preserve">, </w:t>
      </w:r>
      <w:r w:rsidR="0018721C">
        <w:rPr>
          <w:lang w:eastAsia="ja-JP"/>
        </w:rPr>
        <w:t>Phase II</w:t>
      </w:r>
      <w:r w:rsidRPr="00A7727F">
        <w:rPr>
          <w:lang w:eastAsia="ja-JP"/>
        </w:rPr>
        <w:t xml:space="preserve"> study to evaluate efficacy, safety, pharmacokinetics, a</w:t>
      </w:r>
      <w:r w:rsidR="004A2D56">
        <w:rPr>
          <w:lang w:eastAsia="ja-JP"/>
        </w:rPr>
        <w:t>nd pharmacodynamics of the BiTE</w:t>
      </w:r>
      <w:r w:rsidRPr="00A7727F">
        <w:rPr>
          <w:lang w:eastAsia="ja-JP"/>
        </w:rPr>
        <w:t xml:space="preserve"> antibody blinatumomab in adult subjects with relapsed/refractory B-precursor ALL. The study was conducted at 37 centres in Germany, Italy, Spain, France, the United Kingdom, and the United States between December 2011 and October 2013.</w:t>
      </w:r>
    </w:p>
    <w:p w14:paraId="04A43467" w14:textId="410D0902" w:rsidR="00A7727F" w:rsidRPr="00A7727F" w:rsidRDefault="004A2D56" w:rsidP="004A2D56">
      <w:pPr>
        <w:pStyle w:val="Heading6"/>
        <w:rPr>
          <w:lang w:eastAsia="ja-JP"/>
        </w:rPr>
      </w:pPr>
      <w:r>
        <w:rPr>
          <w:lang w:eastAsia="ja-JP"/>
        </w:rPr>
        <w:t>Primary o</w:t>
      </w:r>
      <w:r w:rsidR="00586C19">
        <w:rPr>
          <w:lang w:eastAsia="ja-JP"/>
        </w:rPr>
        <w:t>bjective</w:t>
      </w:r>
    </w:p>
    <w:p w14:paraId="2A7B0698" w14:textId="77777777" w:rsidR="00A7727F" w:rsidRPr="00A7727F" w:rsidRDefault="00A7727F" w:rsidP="00A7727F">
      <w:pPr>
        <w:rPr>
          <w:lang w:eastAsia="ja-JP"/>
        </w:rPr>
      </w:pPr>
      <w:r w:rsidRPr="00A7727F">
        <w:rPr>
          <w:lang w:eastAsia="ja-JP"/>
        </w:rPr>
        <w:t>To evaluate efficacy of blinatumomab in subjects with relapsed/refractory B-precursor ALL.</w:t>
      </w:r>
    </w:p>
    <w:p w14:paraId="4CB8D161" w14:textId="400EC520" w:rsidR="00A7727F" w:rsidRDefault="00650681" w:rsidP="004A2D56">
      <w:pPr>
        <w:pStyle w:val="Heading6"/>
        <w:rPr>
          <w:lang w:eastAsia="ja-JP"/>
        </w:rPr>
      </w:pPr>
      <w:r>
        <w:rPr>
          <w:lang w:eastAsia="ja-JP"/>
        </w:rPr>
        <w:t>Secondary objectives</w:t>
      </w:r>
    </w:p>
    <w:p w14:paraId="04AEC6D6" w14:textId="11AD3E1C" w:rsidR="00650681" w:rsidRPr="00650681" w:rsidRDefault="00650681" w:rsidP="00650681">
      <w:pPr>
        <w:rPr>
          <w:lang w:eastAsia="ja-JP"/>
        </w:rPr>
      </w:pPr>
      <w:r>
        <w:rPr>
          <w:lang w:eastAsia="ja-JP"/>
        </w:rPr>
        <w:t>Secondary objectives included:</w:t>
      </w:r>
    </w:p>
    <w:p w14:paraId="6945601C" w14:textId="0B6851F9" w:rsidR="00A7727F" w:rsidRPr="00A7727F" w:rsidRDefault="00A7727F" w:rsidP="00650681">
      <w:pPr>
        <w:pStyle w:val="Numberbullet0"/>
        <w:rPr>
          <w:lang w:eastAsia="ja-JP"/>
        </w:rPr>
      </w:pPr>
      <w:r w:rsidRPr="00A7727F">
        <w:rPr>
          <w:lang w:eastAsia="ja-JP"/>
        </w:rPr>
        <w:t>To evaluate safety of blinatumomab in subjects with relapsed/refractory B-precursor ALL.</w:t>
      </w:r>
    </w:p>
    <w:p w14:paraId="25850543" w14:textId="31ACF8C6" w:rsidR="00A7727F" w:rsidRPr="00A7727F" w:rsidRDefault="00A7727F" w:rsidP="00650681">
      <w:pPr>
        <w:pStyle w:val="Numberbullet0"/>
        <w:rPr>
          <w:lang w:eastAsia="ja-JP"/>
        </w:rPr>
      </w:pPr>
      <w:r w:rsidRPr="00A7727F">
        <w:rPr>
          <w:lang w:eastAsia="ja-JP"/>
        </w:rPr>
        <w:t>To evaluate PK and pharmacodynamics (PD) of blinatumomab</w:t>
      </w:r>
    </w:p>
    <w:p w14:paraId="7B27B52D" w14:textId="7A4BE4BA" w:rsidR="00A7727F" w:rsidRPr="00A7727F" w:rsidRDefault="00A7727F" w:rsidP="00A7727F">
      <w:pPr>
        <w:rPr>
          <w:lang w:eastAsia="ja-JP"/>
        </w:rPr>
      </w:pPr>
      <w:r w:rsidRPr="00A7727F">
        <w:rPr>
          <w:lang w:eastAsia="ja-JP"/>
        </w:rPr>
        <w:t>This study consisted of a screening period, a treatment period, and a follow</w:t>
      </w:r>
      <w:r w:rsidR="00650681">
        <w:rPr>
          <w:lang w:eastAsia="ja-JP"/>
        </w:rPr>
        <w:t xml:space="preserve"> </w:t>
      </w:r>
      <w:r w:rsidRPr="00A7727F">
        <w:rPr>
          <w:lang w:eastAsia="ja-JP"/>
        </w:rPr>
        <w:t>up period. Subjects may have received up to 5 consecutive cycles of blinatumomab treatment. A cycle consisted of a continuous intravenous (cIV) infusion over 4 weeks followed b</w:t>
      </w:r>
      <w:r w:rsidR="00650681">
        <w:rPr>
          <w:lang w:eastAsia="ja-JP"/>
        </w:rPr>
        <w:t>y a treatment free interval of 2 </w:t>
      </w:r>
      <w:r w:rsidRPr="00A7727F">
        <w:rPr>
          <w:lang w:eastAsia="ja-JP"/>
        </w:rPr>
        <w:t>weeks. Following the last treatment cycle, efficacy follow-up visits occurred for up to 24 months after treatment start. Once efficacy follow-up was completed, information on survival was collected at least every 6 months until death or up to 3 years after treatment start, whichever occurred earlier.</w:t>
      </w:r>
    </w:p>
    <w:p w14:paraId="3D5E7762" w14:textId="7A3E0796" w:rsidR="00A7727F" w:rsidRPr="00A7727F" w:rsidRDefault="00A7727F" w:rsidP="00A7727F">
      <w:pPr>
        <w:rPr>
          <w:lang w:eastAsia="ja-JP"/>
        </w:rPr>
      </w:pPr>
      <w:r w:rsidRPr="00A7727F">
        <w:rPr>
          <w:lang w:eastAsia="ja-JP"/>
        </w:rPr>
        <w:t>If a subject was suitable for allogeneic HSCT after treatment with blinatumomab, then the subject may have undergone an allogeneic HSCT. Subjects who suffered a haematological relapse of B-precursor ALL during the follow-up period (at least 3 months after completion of treatment) were eligible for retreatment with blinatumomab. The study schema is presented in Figure 18</w:t>
      </w:r>
      <w:r w:rsidR="00650681">
        <w:rPr>
          <w:lang w:eastAsia="ja-JP"/>
        </w:rPr>
        <w:t>, below</w:t>
      </w:r>
      <w:r w:rsidRPr="00A7727F">
        <w:rPr>
          <w:lang w:eastAsia="ja-JP"/>
        </w:rPr>
        <w:t>.</w:t>
      </w:r>
    </w:p>
    <w:p w14:paraId="6C16C423" w14:textId="4C6E6B59" w:rsidR="00A7727F" w:rsidRPr="00A7727F" w:rsidRDefault="00A7727F" w:rsidP="00650681">
      <w:pPr>
        <w:pStyle w:val="FigureTitle"/>
        <w:rPr>
          <w:lang w:eastAsia="ja-JP"/>
        </w:rPr>
      </w:pPr>
      <w:bookmarkStart w:id="165" w:name="_Toc292015798"/>
      <w:r w:rsidRPr="00A7727F">
        <w:rPr>
          <w:lang w:eastAsia="ja-JP"/>
        </w:rPr>
        <w:t xml:space="preserve">Figure </w:t>
      </w:r>
      <w:r w:rsidR="00586C19">
        <w:rPr>
          <w:lang w:eastAsia="ja-JP"/>
        </w:rPr>
        <w:t xml:space="preserve">18: </w:t>
      </w:r>
      <w:r w:rsidRPr="00A7727F">
        <w:rPr>
          <w:lang w:eastAsia="ja-JP"/>
        </w:rPr>
        <w:t>Schema for Study MT103-211</w:t>
      </w:r>
      <w:bookmarkEnd w:id="165"/>
    </w:p>
    <w:p w14:paraId="406F753E" w14:textId="77777777" w:rsidR="00A7727F" w:rsidRPr="00A7727F" w:rsidRDefault="00A7727F" w:rsidP="00A7727F">
      <w:pPr>
        <w:rPr>
          <w:lang w:eastAsia="ja-JP"/>
        </w:rPr>
      </w:pPr>
      <w:r w:rsidRPr="00A7727F">
        <w:rPr>
          <w:noProof/>
          <w:lang w:eastAsia="en-AU"/>
        </w:rPr>
        <w:drawing>
          <wp:inline distT="0" distB="0" distL="0" distR="0" wp14:anchorId="3EDDB2BA" wp14:editId="5241D469">
            <wp:extent cx="4338320" cy="3455670"/>
            <wp:effectExtent l="0" t="0" r="5080" b="0"/>
            <wp:docPr id="92" name="Picture 92" descr="Figure 18: Study Schema for Study MT103-211 This study consisted of a screening period, a treatment period, and a follow up period. Subjects may have received up to 5 consecutive cycles of blinatumomab treatment. A cycle consisted of a continuous intravenous (cIV) infusion over 4 weeks followed by a treatment free interval of 2 weeks. Following the last treatment cycle, efficacy follow-up visits occurred for up to 24 months after treatment start. Once efficacy follow-up was completed, information on survival was collected at least every 6 months until death or up to 3 years after treatment start, whichever occurred earlier.&#10;If a subject was suitable for allogeneic HSCT after treatment with blinatumomab, then the subject may have undergone an allogeneic HSCT. Subjects who suffered a haematological relapse of B-precursor ALL during the follow-up period (at least 3 months after completion of treatment) were eligible for retreatment with blinatumomab.&#10;" title="Study Schema for Study MT10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8320" cy="3455670"/>
                    </a:xfrm>
                    <a:prstGeom prst="rect">
                      <a:avLst/>
                    </a:prstGeom>
                    <a:noFill/>
                    <a:ln>
                      <a:noFill/>
                    </a:ln>
                  </pic:spPr>
                </pic:pic>
              </a:graphicData>
            </a:graphic>
          </wp:inline>
        </w:drawing>
      </w:r>
    </w:p>
    <w:p w14:paraId="640ED8BC" w14:textId="276B1FF3" w:rsidR="00A7727F" w:rsidRPr="00A7727F" w:rsidRDefault="00A7727F" w:rsidP="00650681">
      <w:pPr>
        <w:pStyle w:val="FigureDescription"/>
        <w:rPr>
          <w:lang w:eastAsia="ja-JP"/>
        </w:rPr>
      </w:pPr>
      <w:r w:rsidRPr="00A7727F">
        <w:rPr>
          <w:lang w:eastAsia="ja-JP"/>
        </w:rPr>
        <w:t>f/u: follow-up; HSCT: haematopoietic stem cell transplant</w:t>
      </w:r>
      <w:r w:rsidR="00650681">
        <w:rPr>
          <w:lang w:eastAsia="ja-JP"/>
        </w:rPr>
        <w:t xml:space="preserve">; a) </w:t>
      </w:r>
      <w:r w:rsidRPr="00A7727F">
        <w:rPr>
          <w:lang w:eastAsia="ja-JP"/>
        </w:rPr>
        <w:t>Once efficacy follow-up was completed, information on survival was collected at least every 6 months until death or at least 3 years after treatment start, whichever occurred earlier.</w:t>
      </w:r>
    </w:p>
    <w:p w14:paraId="289D9C42" w14:textId="77777777" w:rsidR="00A7727F" w:rsidRPr="00A7727F" w:rsidRDefault="00A7727F" w:rsidP="00650681">
      <w:pPr>
        <w:pStyle w:val="Heading5"/>
        <w:rPr>
          <w:lang w:eastAsia="ja-JP"/>
        </w:rPr>
      </w:pPr>
      <w:r w:rsidRPr="00A7727F">
        <w:rPr>
          <w:lang w:eastAsia="ja-JP"/>
        </w:rPr>
        <w:t>Inclusion and exclusion criteria</w:t>
      </w:r>
    </w:p>
    <w:p w14:paraId="2357314F" w14:textId="77777777" w:rsidR="00650681" w:rsidRDefault="00A7727F" w:rsidP="00650681">
      <w:pPr>
        <w:pStyle w:val="Heading6"/>
        <w:rPr>
          <w:lang w:eastAsia="ja-JP"/>
        </w:rPr>
      </w:pPr>
      <w:r w:rsidRPr="00A7727F">
        <w:rPr>
          <w:lang w:eastAsia="ja-JP"/>
        </w:rPr>
        <w:t>Inclusion</w:t>
      </w:r>
      <w:r w:rsidR="00650681">
        <w:rPr>
          <w:lang w:eastAsia="ja-JP"/>
        </w:rPr>
        <w:t xml:space="preserve"> criteria</w:t>
      </w:r>
    </w:p>
    <w:p w14:paraId="41806266" w14:textId="630B772B" w:rsidR="00A7727F" w:rsidRPr="00A7727F" w:rsidRDefault="00A7727F" w:rsidP="00A7727F">
      <w:pPr>
        <w:rPr>
          <w:bCs/>
          <w:lang w:eastAsia="ja-JP"/>
        </w:rPr>
      </w:pPr>
      <w:r w:rsidRPr="00A7727F">
        <w:rPr>
          <w:bCs/>
          <w:lang w:eastAsia="ja-JP"/>
        </w:rPr>
        <w:t>A patient was eligible for study participation only if all of the following criteria applied:</w:t>
      </w:r>
    </w:p>
    <w:p w14:paraId="754BB566" w14:textId="4F10CFFF" w:rsidR="00A7727F" w:rsidRPr="00A7727F" w:rsidRDefault="00650681" w:rsidP="00650681">
      <w:pPr>
        <w:pStyle w:val="ListBullet"/>
        <w:rPr>
          <w:lang w:eastAsia="ja-JP"/>
        </w:rPr>
      </w:pPr>
      <w:r>
        <w:rPr>
          <w:lang w:eastAsia="ja-JP"/>
        </w:rPr>
        <w:t xml:space="preserve">Patients with Ph </w:t>
      </w:r>
      <w:r w:rsidR="00A7727F" w:rsidRPr="00A7727F">
        <w:rPr>
          <w:lang w:eastAsia="ja-JP"/>
        </w:rPr>
        <w:t>negative B-precursor A</w:t>
      </w:r>
      <w:r>
        <w:rPr>
          <w:lang w:eastAsia="ja-JP"/>
        </w:rPr>
        <w:t>LL, with any of the following:</w:t>
      </w:r>
    </w:p>
    <w:p w14:paraId="747AFBCB" w14:textId="77777777" w:rsidR="00A7727F" w:rsidRPr="00A7727F" w:rsidRDefault="00A7727F" w:rsidP="00650681">
      <w:pPr>
        <w:pStyle w:val="ListBullet2"/>
        <w:rPr>
          <w:lang w:eastAsia="ja-JP"/>
        </w:rPr>
      </w:pPr>
      <w:r w:rsidRPr="00A7727F">
        <w:rPr>
          <w:lang w:eastAsia="ja-JP"/>
        </w:rPr>
        <w:t>relapsed or refractory after first salvage therapy or</w:t>
      </w:r>
    </w:p>
    <w:p w14:paraId="2D1A90C2" w14:textId="77777777" w:rsidR="00A7727F" w:rsidRPr="00A7727F" w:rsidRDefault="00A7727F" w:rsidP="00650681">
      <w:pPr>
        <w:pStyle w:val="ListBullet2"/>
        <w:rPr>
          <w:lang w:eastAsia="ja-JP"/>
        </w:rPr>
      </w:pPr>
      <w:r w:rsidRPr="00A7727F">
        <w:rPr>
          <w:lang w:eastAsia="ja-JP"/>
        </w:rPr>
        <w:t>relapsed or refractory within 12 months of allogeneic HSCT</w:t>
      </w:r>
    </w:p>
    <w:p w14:paraId="6F303F9C" w14:textId="77777777" w:rsidR="00A7727F" w:rsidRPr="00A7727F" w:rsidRDefault="00A7727F" w:rsidP="00650681">
      <w:pPr>
        <w:pStyle w:val="ListBullet"/>
        <w:rPr>
          <w:lang w:eastAsia="ja-JP"/>
        </w:rPr>
      </w:pPr>
      <w:r w:rsidRPr="00A7727F">
        <w:rPr>
          <w:lang w:eastAsia="ja-JP"/>
        </w:rPr>
        <w:t>10% or more blasts in bone marrow</w:t>
      </w:r>
    </w:p>
    <w:p w14:paraId="29053B69" w14:textId="55E9313F" w:rsidR="00A7727F" w:rsidRPr="00A7727F" w:rsidRDefault="00A7727F" w:rsidP="00650681">
      <w:pPr>
        <w:pStyle w:val="ListBullet"/>
        <w:rPr>
          <w:lang w:eastAsia="ja-JP"/>
        </w:rPr>
      </w:pPr>
      <w:r w:rsidRPr="00A7727F">
        <w:rPr>
          <w:lang w:eastAsia="ja-JP"/>
        </w:rPr>
        <w:t>In case of clinical signs of additional extramedullary disease: measurable disease (at least one lesion</w:t>
      </w:r>
      <w:r w:rsidR="00375CAE">
        <w:rPr>
          <w:lang w:eastAsia="ja-JP"/>
        </w:rPr>
        <w:t xml:space="preserve"> </w:t>
      </w:r>
      <w:r w:rsidR="00423768">
        <w:rPr>
          <w:lang w:eastAsia="ja-JP"/>
        </w:rPr>
        <w:t>≥</w:t>
      </w:r>
      <w:r w:rsidR="00375CAE">
        <w:rPr>
          <w:lang w:eastAsia="ja-JP"/>
        </w:rPr>
        <w:t xml:space="preserve"> </w:t>
      </w:r>
      <w:r w:rsidRPr="00A7727F">
        <w:rPr>
          <w:lang w:eastAsia="ja-JP"/>
        </w:rPr>
        <w:t>1.5 cm)</w:t>
      </w:r>
    </w:p>
    <w:p w14:paraId="48C4E8CF" w14:textId="5EB45C8E" w:rsidR="00A7727F" w:rsidRPr="00A7727F" w:rsidRDefault="00A7727F" w:rsidP="00650681">
      <w:pPr>
        <w:pStyle w:val="ListBullet"/>
        <w:rPr>
          <w:lang w:eastAsia="ja-JP"/>
        </w:rPr>
      </w:pPr>
      <w:r w:rsidRPr="00A7727F">
        <w:rPr>
          <w:lang w:eastAsia="ja-JP"/>
        </w:rPr>
        <w:t>ECOG performance status</w:t>
      </w:r>
      <w:r w:rsidR="00375CAE">
        <w:rPr>
          <w:lang w:eastAsia="ja-JP"/>
        </w:rPr>
        <w:t xml:space="preserve"> </w:t>
      </w:r>
      <w:r w:rsidR="00423768">
        <w:rPr>
          <w:lang w:eastAsia="ja-JP"/>
        </w:rPr>
        <w:t>≤</w:t>
      </w:r>
      <w:r w:rsidR="00375CAE">
        <w:rPr>
          <w:lang w:eastAsia="ja-JP"/>
        </w:rPr>
        <w:t xml:space="preserve"> </w:t>
      </w:r>
      <w:r w:rsidRPr="00A7727F">
        <w:rPr>
          <w:lang w:eastAsia="ja-JP"/>
        </w:rPr>
        <w:t>2</w:t>
      </w:r>
    </w:p>
    <w:p w14:paraId="452439D8" w14:textId="03A6CCDF" w:rsidR="00A7727F" w:rsidRPr="00A7727F" w:rsidRDefault="00A7727F" w:rsidP="00650681">
      <w:pPr>
        <w:pStyle w:val="ListBullet"/>
        <w:rPr>
          <w:lang w:eastAsia="ja-JP"/>
        </w:rPr>
      </w:pPr>
      <w:r w:rsidRPr="00A7727F">
        <w:rPr>
          <w:lang w:eastAsia="ja-JP"/>
        </w:rPr>
        <w:t>Age</w:t>
      </w:r>
      <w:r w:rsidR="00375CAE">
        <w:rPr>
          <w:lang w:eastAsia="ja-JP"/>
        </w:rPr>
        <w:t xml:space="preserve"> </w:t>
      </w:r>
      <w:r w:rsidR="00423768">
        <w:rPr>
          <w:lang w:eastAsia="ja-JP"/>
        </w:rPr>
        <w:t>≥</w:t>
      </w:r>
      <w:r w:rsidR="00375CAE">
        <w:rPr>
          <w:lang w:eastAsia="ja-JP"/>
        </w:rPr>
        <w:t xml:space="preserve"> </w:t>
      </w:r>
      <w:r w:rsidRPr="00A7727F">
        <w:rPr>
          <w:lang w:eastAsia="ja-JP"/>
        </w:rPr>
        <w:t>18 years</w:t>
      </w:r>
    </w:p>
    <w:p w14:paraId="19CBFBD9" w14:textId="77777777" w:rsidR="00A7727F" w:rsidRPr="00A7727F" w:rsidRDefault="00A7727F" w:rsidP="00650681">
      <w:pPr>
        <w:pStyle w:val="ListBullet"/>
        <w:rPr>
          <w:lang w:eastAsia="ja-JP"/>
        </w:rPr>
      </w:pPr>
      <w:r w:rsidRPr="00A7727F">
        <w:rPr>
          <w:lang w:eastAsia="ja-JP"/>
        </w:rPr>
        <w:t>Ability to understand and willingness to sign a written informed consent</w:t>
      </w:r>
    </w:p>
    <w:p w14:paraId="41896848" w14:textId="2E52DB67" w:rsidR="00A7727F" w:rsidRPr="00A7727F" w:rsidRDefault="00A7727F" w:rsidP="00650681">
      <w:pPr>
        <w:pStyle w:val="ListBullet"/>
        <w:rPr>
          <w:lang w:eastAsia="ja-JP"/>
        </w:rPr>
      </w:pPr>
      <w:r w:rsidRPr="00A7727F">
        <w:rPr>
          <w:lang w:eastAsia="ja-JP"/>
        </w:rPr>
        <w:t>Signed and dated written informed consent is available</w:t>
      </w:r>
      <w:r w:rsidR="00650681">
        <w:rPr>
          <w:lang w:eastAsia="ja-JP"/>
        </w:rPr>
        <w:t>.</w:t>
      </w:r>
    </w:p>
    <w:p w14:paraId="7487EE1A" w14:textId="77777777" w:rsidR="00650681" w:rsidRPr="00650681" w:rsidRDefault="00A7727F" w:rsidP="00650681">
      <w:pPr>
        <w:pStyle w:val="Heading6"/>
      </w:pPr>
      <w:r w:rsidRPr="00A7727F">
        <w:rPr>
          <w:lang w:eastAsia="ja-JP"/>
        </w:rPr>
        <w:t>Exclusion</w:t>
      </w:r>
      <w:r w:rsidR="00650681">
        <w:rPr>
          <w:lang w:eastAsia="ja-JP"/>
        </w:rPr>
        <w:t xml:space="preserve"> criteria</w:t>
      </w:r>
    </w:p>
    <w:p w14:paraId="4F7271B0" w14:textId="1DC658A7" w:rsidR="00A7727F" w:rsidRPr="00650681" w:rsidRDefault="00A7727F" w:rsidP="00586C19">
      <w:pPr>
        <w:rPr>
          <w:lang w:eastAsia="ja-JP"/>
        </w:rPr>
      </w:pPr>
      <w:r w:rsidRPr="00A7727F">
        <w:rPr>
          <w:lang w:eastAsia="ja-JP"/>
        </w:rPr>
        <w:t>A patient was not eligible for participation in this study if any of the following criteria applied:</w:t>
      </w:r>
    </w:p>
    <w:p w14:paraId="74805D7A" w14:textId="0C186475" w:rsidR="00A7727F" w:rsidRPr="00A7727F" w:rsidRDefault="00A7727F" w:rsidP="00650681">
      <w:pPr>
        <w:pStyle w:val="ListBullet"/>
        <w:rPr>
          <w:lang w:eastAsia="ja-JP"/>
        </w:rPr>
      </w:pPr>
      <w:r w:rsidRPr="00A7727F">
        <w:rPr>
          <w:lang w:eastAsia="ja-JP"/>
        </w:rPr>
        <w:t>P</w:t>
      </w:r>
      <w:r w:rsidR="00650681">
        <w:rPr>
          <w:lang w:eastAsia="ja-JP"/>
        </w:rPr>
        <w:t xml:space="preserve">atients with Ph </w:t>
      </w:r>
      <w:r w:rsidRPr="00A7727F">
        <w:rPr>
          <w:lang w:eastAsia="ja-JP"/>
        </w:rPr>
        <w:t>positive ALL</w:t>
      </w:r>
    </w:p>
    <w:p w14:paraId="7B8F0AC7" w14:textId="3CCE5637" w:rsidR="00A7727F" w:rsidRPr="00A7727F" w:rsidRDefault="007D7871" w:rsidP="00650681">
      <w:pPr>
        <w:pStyle w:val="ListBullet"/>
        <w:rPr>
          <w:lang w:eastAsia="ja-JP"/>
        </w:rPr>
      </w:pPr>
      <w:r>
        <w:rPr>
          <w:lang w:eastAsia="ja-JP"/>
        </w:rPr>
        <w:t>Patients with Burkitt´s l</w:t>
      </w:r>
      <w:r w:rsidR="00A7727F" w:rsidRPr="00A7727F">
        <w:rPr>
          <w:lang w:eastAsia="ja-JP"/>
        </w:rPr>
        <w:t>euk</w:t>
      </w:r>
      <w:r>
        <w:rPr>
          <w:lang w:eastAsia="ja-JP"/>
        </w:rPr>
        <w:t>a</w:t>
      </w:r>
      <w:r w:rsidR="00A7727F" w:rsidRPr="00A7727F">
        <w:rPr>
          <w:lang w:eastAsia="ja-JP"/>
        </w:rPr>
        <w:t>emia according to WHO classification</w:t>
      </w:r>
    </w:p>
    <w:p w14:paraId="399D5F11" w14:textId="77777777" w:rsidR="00A7727F" w:rsidRPr="00A7727F" w:rsidRDefault="00A7727F" w:rsidP="00650681">
      <w:pPr>
        <w:pStyle w:val="ListBullet"/>
        <w:rPr>
          <w:lang w:eastAsia="ja-JP"/>
        </w:rPr>
      </w:pPr>
      <w:r w:rsidRPr="00A7727F">
        <w:rPr>
          <w:lang w:eastAsia="ja-JP"/>
        </w:rPr>
        <w:t>History or presence of clinically relevant CNS pathology such as epilepsy, seizure, paresis, aphasia, stroke, severe brain injuries, dementia, Parkinson’s disease, cerebellar disease, organic brain syndrome, psychosis</w:t>
      </w:r>
    </w:p>
    <w:p w14:paraId="6554E2DE" w14:textId="77777777" w:rsidR="00A7727F" w:rsidRPr="00A7727F" w:rsidRDefault="00A7727F" w:rsidP="00650681">
      <w:pPr>
        <w:pStyle w:val="ListBullet"/>
        <w:rPr>
          <w:lang w:eastAsia="ja-JP"/>
        </w:rPr>
      </w:pPr>
      <w:r w:rsidRPr="00A7727F">
        <w:rPr>
          <w:lang w:eastAsia="ja-JP"/>
        </w:rPr>
        <w:t>Active ALL in the CNS or testes</w:t>
      </w:r>
    </w:p>
    <w:p w14:paraId="04905ABC" w14:textId="77777777" w:rsidR="00A7727F" w:rsidRPr="00A7727F" w:rsidRDefault="00A7727F" w:rsidP="00650681">
      <w:pPr>
        <w:pStyle w:val="ListBullet"/>
        <w:rPr>
          <w:lang w:eastAsia="ja-JP"/>
        </w:rPr>
      </w:pPr>
      <w:r w:rsidRPr="00A7727F">
        <w:rPr>
          <w:lang w:eastAsia="ja-JP"/>
        </w:rPr>
        <w:t>Current autoimmune disease or history of autoimmune disease with potential CNS involvement</w:t>
      </w:r>
    </w:p>
    <w:p w14:paraId="30F589FB" w14:textId="1C708353" w:rsidR="00A7727F" w:rsidRPr="00A7727F" w:rsidRDefault="00A7727F" w:rsidP="00650681">
      <w:pPr>
        <w:pStyle w:val="ListBullet"/>
        <w:rPr>
          <w:lang w:eastAsia="ja-JP"/>
        </w:rPr>
      </w:pPr>
      <w:r w:rsidRPr="00A7727F">
        <w:rPr>
          <w:lang w:eastAsia="ja-JP"/>
        </w:rPr>
        <w:t xml:space="preserve">Autologous HSCT within </w:t>
      </w:r>
      <w:r w:rsidR="00423768">
        <w:rPr>
          <w:lang w:eastAsia="ja-JP"/>
        </w:rPr>
        <w:t>6</w:t>
      </w:r>
      <w:r w:rsidRPr="00A7727F">
        <w:rPr>
          <w:lang w:eastAsia="ja-JP"/>
        </w:rPr>
        <w:t xml:space="preserve"> weeks prior to start of blinatumomab treatment</w:t>
      </w:r>
    </w:p>
    <w:p w14:paraId="56BB380D" w14:textId="05B62AE7" w:rsidR="00A7727F" w:rsidRPr="00A7727F" w:rsidRDefault="00A7727F" w:rsidP="00650681">
      <w:pPr>
        <w:pStyle w:val="ListBullet"/>
        <w:rPr>
          <w:lang w:eastAsia="ja-JP"/>
        </w:rPr>
      </w:pPr>
      <w:r w:rsidRPr="00A7727F">
        <w:rPr>
          <w:lang w:eastAsia="ja-JP"/>
        </w:rPr>
        <w:t xml:space="preserve">Allogeneic HSCT within </w:t>
      </w:r>
      <w:r w:rsidR="00423768">
        <w:rPr>
          <w:lang w:eastAsia="ja-JP"/>
        </w:rPr>
        <w:t>3</w:t>
      </w:r>
      <w:r w:rsidRPr="00A7727F">
        <w:rPr>
          <w:lang w:eastAsia="ja-JP"/>
        </w:rPr>
        <w:t xml:space="preserve"> months prior to start of blinatumomab treatment</w:t>
      </w:r>
    </w:p>
    <w:p w14:paraId="67622AB4" w14:textId="5082CDAD" w:rsidR="00A7727F" w:rsidRPr="00A7727F" w:rsidRDefault="00A7727F" w:rsidP="00650681">
      <w:pPr>
        <w:pStyle w:val="ListBullet"/>
        <w:rPr>
          <w:lang w:eastAsia="ja-JP"/>
        </w:rPr>
      </w:pPr>
      <w:r w:rsidRPr="00A7727F">
        <w:rPr>
          <w:lang w:eastAsia="ja-JP"/>
        </w:rPr>
        <w:t xml:space="preserve">Any active acute GvHD, or active chronic GvHD </w:t>
      </w:r>
      <w:r w:rsidR="00375CAE">
        <w:rPr>
          <w:lang w:eastAsia="ja-JP"/>
        </w:rPr>
        <w:t>Grade</w:t>
      </w:r>
      <w:r w:rsidR="007D7871">
        <w:rPr>
          <w:lang w:eastAsia="ja-JP"/>
        </w:rPr>
        <w:t xml:space="preserve"> 2 to</w:t>
      </w:r>
      <w:r w:rsidRPr="00A7727F">
        <w:rPr>
          <w:lang w:eastAsia="ja-JP"/>
        </w:rPr>
        <w:t xml:space="preserve"> 4</w:t>
      </w:r>
    </w:p>
    <w:p w14:paraId="3C0D2F61" w14:textId="5647356B" w:rsidR="00A7727F" w:rsidRPr="00A7727F" w:rsidRDefault="00A7727F" w:rsidP="00650681">
      <w:pPr>
        <w:pStyle w:val="ListBullet"/>
        <w:rPr>
          <w:lang w:eastAsia="ja-JP"/>
        </w:rPr>
      </w:pPr>
      <w:r w:rsidRPr="00A7727F">
        <w:rPr>
          <w:lang w:eastAsia="ja-JP"/>
        </w:rPr>
        <w:t xml:space="preserve">Any systemic therapy against GvHD within </w:t>
      </w:r>
      <w:r w:rsidR="00423768">
        <w:rPr>
          <w:lang w:eastAsia="ja-JP"/>
        </w:rPr>
        <w:t>2</w:t>
      </w:r>
      <w:r w:rsidRPr="00A7727F">
        <w:rPr>
          <w:lang w:eastAsia="ja-JP"/>
        </w:rPr>
        <w:t xml:space="preserve"> weeks prior to start of blinatumomab treatment</w:t>
      </w:r>
    </w:p>
    <w:p w14:paraId="60DF7CF8" w14:textId="18A095C6" w:rsidR="00A7727F" w:rsidRPr="00A7727F" w:rsidRDefault="00A7727F" w:rsidP="00650681">
      <w:pPr>
        <w:pStyle w:val="ListBullet"/>
        <w:rPr>
          <w:lang w:eastAsia="ja-JP"/>
        </w:rPr>
      </w:pPr>
      <w:r w:rsidRPr="00A7727F">
        <w:rPr>
          <w:lang w:eastAsia="ja-JP"/>
        </w:rPr>
        <w:t xml:space="preserve">Cancer chemotherapy within </w:t>
      </w:r>
      <w:r w:rsidR="00423768">
        <w:rPr>
          <w:lang w:eastAsia="ja-JP"/>
        </w:rPr>
        <w:t>2</w:t>
      </w:r>
      <w:r w:rsidRPr="00A7727F">
        <w:rPr>
          <w:lang w:eastAsia="ja-JP"/>
        </w:rPr>
        <w:t xml:space="preserve"> weeks prior to start of blinatumomab treatment (intrathecal chemotherapy and dexamethasone are allowed until start of blinatumomab treatment)</w:t>
      </w:r>
    </w:p>
    <w:p w14:paraId="78CA2309" w14:textId="573A3334" w:rsidR="00A7727F" w:rsidRPr="00A7727F" w:rsidRDefault="00A7727F" w:rsidP="00650681">
      <w:pPr>
        <w:pStyle w:val="ListBullet"/>
        <w:rPr>
          <w:lang w:eastAsia="ja-JP"/>
        </w:rPr>
      </w:pPr>
      <w:r w:rsidRPr="00A7727F">
        <w:rPr>
          <w:lang w:eastAsia="ja-JP"/>
        </w:rPr>
        <w:t xml:space="preserve">Radiotherapy within </w:t>
      </w:r>
      <w:r w:rsidR="00423768">
        <w:rPr>
          <w:lang w:eastAsia="ja-JP"/>
        </w:rPr>
        <w:t>2</w:t>
      </w:r>
      <w:r w:rsidRPr="00A7727F">
        <w:rPr>
          <w:lang w:eastAsia="ja-JP"/>
        </w:rPr>
        <w:t xml:space="preserve"> weeks prior to start of blinatumomab treatment</w:t>
      </w:r>
    </w:p>
    <w:p w14:paraId="7DAF1484" w14:textId="1BA8844A" w:rsidR="00A7727F" w:rsidRPr="00A7727F" w:rsidRDefault="00A7727F" w:rsidP="00650681">
      <w:pPr>
        <w:pStyle w:val="ListBullet"/>
        <w:rPr>
          <w:lang w:eastAsia="ja-JP"/>
        </w:rPr>
      </w:pPr>
      <w:r w:rsidRPr="00A7727F">
        <w:rPr>
          <w:lang w:eastAsia="ja-JP"/>
        </w:rPr>
        <w:t>Immunotherapy (</w:t>
      </w:r>
      <w:r w:rsidR="005B0CFF">
        <w:rPr>
          <w:lang w:eastAsia="ja-JP"/>
        </w:rPr>
        <w:t>for example</w:t>
      </w:r>
      <w:r w:rsidRPr="00A7727F">
        <w:rPr>
          <w:lang w:eastAsia="ja-JP"/>
        </w:rPr>
        <w:t xml:space="preserve">, rituximab) within </w:t>
      </w:r>
      <w:r w:rsidR="00423768">
        <w:rPr>
          <w:lang w:eastAsia="ja-JP"/>
        </w:rPr>
        <w:t>4</w:t>
      </w:r>
      <w:r w:rsidRPr="00A7727F">
        <w:rPr>
          <w:lang w:eastAsia="ja-JP"/>
        </w:rPr>
        <w:t xml:space="preserve"> weeks prior to start of blinatumomab treatment</w:t>
      </w:r>
    </w:p>
    <w:p w14:paraId="40B2FCB8" w14:textId="7A55F6FF" w:rsidR="00A7727F" w:rsidRPr="00A7727F" w:rsidRDefault="00A7727F" w:rsidP="00650681">
      <w:pPr>
        <w:pStyle w:val="ListBullet"/>
        <w:rPr>
          <w:lang w:eastAsia="ja-JP"/>
        </w:rPr>
      </w:pPr>
      <w:r w:rsidRPr="00A7727F">
        <w:rPr>
          <w:lang w:eastAsia="ja-JP"/>
        </w:rPr>
        <w:t>Any investigational anti-leuk</w:t>
      </w:r>
      <w:r w:rsidR="00A519D3">
        <w:rPr>
          <w:lang w:eastAsia="ja-JP"/>
        </w:rPr>
        <w:t>a</w:t>
      </w:r>
      <w:r w:rsidRPr="00A7727F">
        <w:rPr>
          <w:lang w:eastAsia="ja-JP"/>
        </w:rPr>
        <w:t xml:space="preserve">emic product within </w:t>
      </w:r>
      <w:r w:rsidR="00423768">
        <w:rPr>
          <w:lang w:eastAsia="ja-JP"/>
        </w:rPr>
        <w:t>4</w:t>
      </w:r>
      <w:r w:rsidRPr="00A7727F">
        <w:rPr>
          <w:lang w:eastAsia="ja-JP"/>
        </w:rPr>
        <w:t xml:space="preserve"> weeks prior to start of blinatumomab treatment</w:t>
      </w:r>
    </w:p>
    <w:p w14:paraId="2D9606EC" w14:textId="77777777" w:rsidR="00A7727F" w:rsidRPr="00A7727F" w:rsidRDefault="00A7727F" w:rsidP="00650681">
      <w:pPr>
        <w:pStyle w:val="ListBullet"/>
        <w:rPr>
          <w:lang w:eastAsia="ja-JP"/>
        </w:rPr>
      </w:pPr>
      <w:r w:rsidRPr="00A7727F">
        <w:rPr>
          <w:lang w:eastAsia="ja-JP"/>
        </w:rPr>
        <w:t>Treatment with any other IMP after signature of informed consent</w:t>
      </w:r>
    </w:p>
    <w:p w14:paraId="6F944AAC" w14:textId="5B96F769" w:rsidR="00A7727F" w:rsidRPr="00A7727F" w:rsidRDefault="00A7727F" w:rsidP="00650681">
      <w:pPr>
        <w:pStyle w:val="ListBullet"/>
        <w:rPr>
          <w:lang w:eastAsia="ja-JP"/>
        </w:rPr>
      </w:pPr>
      <w:r w:rsidRPr="00A7727F">
        <w:rPr>
          <w:lang w:eastAsia="ja-JP"/>
        </w:rPr>
        <w:t xml:space="preserve">Eligibility for allogeneic HSCT at the time of </w:t>
      </w:r>
      <w:r w:rsidR="007D7871" w:rsidRPr="00A7727F">
        <w:rPr>
          <w:lang w:eastAsia="ja-JP"/>
        </w:rPr>
        <w:t>enrolment</w:t>
      </w:r>
      <w:r w:rsidRPr="00A7727F">
        <w:rPr>
          <w:lang w:eastAsia="ja-JP"/>
        </w:rPr>
        <w:t xml:space="preserve"> (as defined by disease status, performance status and availability of donor)</w:t>
      </w:r>
    </w:p>
    <w:p w14:paraId="27019881" w14:textId="33569D6F" w:rsidR="00A7727F" w:rsidRPr="00A7727F" w:rsidRDefault="00A7727F" w:rsidP="00650681">
      <w:pPr>
        <w:pStyle w:val="ListBullet"/>
        <w:rPr>
          <w:lang w:eastAsia="ja-JP"/>
        </w:rPr>
      </w:pPr>
      <w:r w:rsidRPr="00A7727F">
        <w:rPr>
          <w:lang w:eastAsia="ja-JP"/>
        </w:rPr>
        <w:t>Known hypersensitivity to immunoglobulins or to any other c</w:t>
      </w:r>
      <w:r w:rsidR="00586C19">
        <w:rPr>
          <w:lang w:eastAsia="ja-JP"/>
        </w:rPr>
        <w:t>omponent of the IMP formulation</w:t>
      </w:r>
    </w:p>
    <w:p w14:paraId="0344559F" w14:textId="77777777" w:rsidR="00A7727F" w:rsidRPr="00A7727F" w:rsidRDefault="00A7727F" w:rsidP="00650681">
      <w:pPr>
        <w:pStyle w:val="ListBullet"/>
        <w:rPr>
          <w:lang w:eastAsia="ja-JP"/>
        </w:rPr>
      </w:pPr>
      <w:r w:rsidRPr="00A7727F">
        <w:rPr>
          <w:lang w:eastAsia="ja-JP"/>
        </w:rPr>
        <w:t>Abnormal laboratory values as defined below:</w:t>
      </w:r>
    </w:p>
    <w:p w14:paraId="6F95768C" w14:textId="62485270" w:rsidR="00A7727F" w:rsidRPr="00A7727F" w:rsidRDefault="00A7727F" w:rsidP="00650681">
      <w:pPr>
        <w:pStyle w:val="ListBullet2"/>
        <w:rPr>
          <w:lang w:eastAsia="ja-JP"/>
        </w:rPr>
      </w:pPr>
      <w:r w:rsidRPr="00A7727F">
        <w:rPr>
          <w:lang w:eastAsia="ja-JP"/>
        </w:rPr>
        <w:t>AST (SGOT) and/or ALT (SGPT) and/or AP</w:t>
      </w:r>
      <w:r w:rsidR="00375CAE">
        <w:rPr>
          <w:lang w:eastAsia="ja-JP"/>
        </w:rPr>
        <w:t xml:space="preserve"> </w:t>
      </w:r>
      <w:r w:rsidR="00423768">
        <w:rPr>
          <w:lang w:eastAsia="ja-JP"/>
        </w:rPr>
        <w:t>≥</w:t>
      </w:r>
      <w:r w:rsidR="00375CAE">
        <w:rPr>
          <w:lang w:eastAsia="ja-JP"/>
        </w:rPr>
        <w:t xml:space="preserve"> </w:t>
      </w:r>
      <w:r w:rsidRPr="00A7727F">
        <w:rPr>
          <w:lang w:eastAsia="ja-JP"/>
        </w:rPr>
        <w:t>5 x ULN</w:t>
      </w:r>
    </w:p>
    <w:p w14:paraId="53F1C522" w14:textId="710CA506" w:rsidR="00A7727F" w:rsidRPr="00A7727F" w:rsidRDefault="00A7727F" w:rsidP="00650681">
      <w:pPr>
        <w:pStyle w:val="ListBullet2"/>
        <w:rPr>
          <w:lang w:eastAsia="ja-JP"/>
        </w:rPr>
      </w:pPr>
      <w:r w:rsidRPr="00A7727F">
        <w:rPr>
          <w:lang w:eastAsia="ja-JP"/>
        </w:rPr>
        <w:t>Total bilirubin</w:t>
      </w:r>
      <w:r w:rsidR="00375CAE">
        <w:rPr>
          <w:lang w:eastAsia="ja-JP"/>
        </w:rPr>
        <w:t xml:space="preserve"> </w:t>
      </w:r>
      <w:r w:rsidR="00423768">
        <w:rPr>
          <w:lang w:eastAsia="ja-JP"/>
        </w:rPr>
        <w:t>≥</w:t>
      </w:r>
      <w:r w:rsidR="00375CAE">
        <w:rPr>
          <w:lang w:eastAsia="ja-JP"/>
        </w:rPr>
        <w:t xml:space="preserve"> </w:t>
      </w:r>
      <w:r w:rsidRPr="00A7727F">
        <w:rPr>
          <w:lang w:eastAsia="ja-JP"/>
        </w:rPr>
        <w:t>1.5 x ULN (unless related to Gilbert´s or Meulengracht disease)</w:t>
      </w:r>
    </w:p>
    <w:p w14:paraId="7D2485E2" w14:textId="2B1FA741" w:rsidR="00A7727F" w:rsidRPr="00A7727F" w:rsidRDefault="00A7727F" w:rsidP="00650681">
      <w:pPr>
        <w:pStyle w:val="ListBullet2"/>
        <w:rPr>
          <w:lang w:eastAsia="ja-JP"/>
        </w:rPr>
      </w:pPr>
      <w:r w:rsidRPr="00A7727F">
        <w:rPr>
          <w:lang w:eastAsia="ja-JP"/>
        </w:rPr>
        <w:t>Creatinine</w:t>
      </w:r>
      <w:r w:rsidR="00375CAE">
        <w:rPr>
          <w:lang w:eastAsia="ja-JP"/>
        </w:rPr>
        <w:t xml:space="preserve"> </w:t>
      </w:r>
      <w:r w:rsidR="00423768">
        <w:rPr>
          <w:lang w:eastAsia="ja-JP"/>
        </w:rPr>
        <w:t>≥</w:t>
      </w:r>
      <w:r w:rsidR="00375CAE">
        <w:rPr>
          <w:lang w:eastAsia="ja-JP"/>
        </w:rPr>
        <w:t xml:space="preserve"> </w:t>
      </w:r>
      <w:r w:rsidRPr="00A7727F">
        <w:rPr>
          <w:lang w:eastAsia="ja-JP"/>
        </w:rPr>
        <w:t xml:space="preserve">1.5 </w:t>
      </w:r>
      <w:r w:rsidR="00650681">
        <w:rPr>
          <w:lang w:eastAsia="ja-JP"/>
        </w:rPr>
        <w:t xml:space="preserve">x </w:t>
      </w:r>
      <w:r w:rsidRPr="00A7727F">
        <w:rPr>
          <w:lang w:eastAsia="ja-JP"/>
        </w:rPr>
        <w:t>ULN or Creatinine clearance</w:t>
      </w:r>
      <w:r w:rsidR="00375CAE">
        <w:rPr>
          <w:lang w:eastAsia="ja-JP"/>
        </w:rPr>
        <w:t xml:space="preserve"> </w:t>
      </w:r>
      <w:r w:rsidR="00423768">
        <w:rPr>
          <w:lang w:eastAsia="ja-JP"/>
        </w:rPr>
        <w:t>&lt;</w:t>
      </w:r>
      <w:r w:rsidR="00375CAE">
        <w:rPr>
          <w:lang w:eastAsia="ja-JP"/>
        </w:rPr>
        <w:t xml:space="preserve"> </w:t>
      </w:r>
      <w:r w:rsidR="00650681">
        <w:rPr>
          <w:lang w:eastAsia="ja-JP"/>
        </w:rPr>
        <w:t>50 mL</w:t>
      </w:r>
      <w:r w:rsidRPr="00A7727F">
        <w:rPr>
          <w:lang w:eastAsia="ja-JP"/>
        </w:rPr>
        <w:t>/min (calculated)</w:t>
      </w:r>
    </w:p>
    <w:p w14:paraId="7D313BD0" w14:textId="100F94AB" w:rsidR="00A7727F" w:rsidRPr="00A7727F" w:rsidRDefault="00A7727F" w:rsidP="00650681">
      <w:pPr>
        <w:pStyle w:val="ListBullet2"/>
        <w:rPr>
          <w:lang w:eastAsia="ja-JP"/>
        </w:rPr>
      </w:pPr>
      <w:r w:rsidRPr="00A7727F">
        <w:rPr>
          <w:lang w:eastAsia="ja-JP"/>
        </w:rPr>
        <w:t>Hb</w:t>
      </w:r>
      <w:r w:rsidR="00375CAE">
        <w:rPr>
          <w:lang w:eastAsia="ja-JP"/>
        </w:rPr>
        <w:t xml:space="preserve"> </w:t>
      </w:r>
      <w:r w:rsidR="00423768">
        <w:rPr>
          <w:lang w:eastAsia="ja-JP"/>
        </w:rPr>
        <w:t>≤</w:t>
      </w:r>
      <w:r w:rsidR="00375CAE">
        <w:rPr>
          <w:lang w:eastAsia="ja-JP"/>
        </w:rPr>
        <w:t xml:space="preserve"> </w:t>
      </w:r>
      <w:r w:rsidR="00650681">
        <w:rPr>
          <w:lang w:eastAsia="ja-JP"/>
        </w:rPr>
        <w:t>9 g/dL</w:t>
      </w:r>
      <w:r w:rsidRPr="00A7727F">
        <w:rPr>
          <w:lang w:eastAsia="ja-JP"/>
        </w:rPr>
        <w:t xml:space="preserve"> (transfusion allowed)</w:t>
      </w:r>
    </w:p>
    <w:p w14:paraId="64D09F8F" w14:textId="4DB0B369" w:rsidR="00A7727F" w:rsidRPr="00A7727F" w:rsidRDefault="00A7727F" w:rsidP="00650681">
      <w:pPr>
        <w:pStyle w:val="ListBullet"/>
        <w:rPr>
          <w:lang w:eastAsia="ja-JP"/>
        </w:rPr>
      </w:pPr>
      <w:r w:rsidRPr="00A7727F">
        <w:rPr>
          <w:lang w:eastAsia="ja-JP"/>
        </w:rPr>
        <w:t xml:space="preserve">History of malignancy other than ALL within </w:t>
      </w:r>
      <w:r w:rsidR="00423768">
        <w:rPr>
          <w:lang w:eastAsia="ja-JP"/>
        </w:rPr>
        <w:t>5</w:t>
      </w:r>
      <w:r w:rsidRPr="00A7727F">
        <w:rPr>
          <w:lang w:eastAsia="ja-JP"/>
        </w:rPr>
        <w:t xml:space="preserve"> years prior to start of blinatumomab treatment with the exception of basal cell or squamous cell carcinoma of the skin, or carcinoma “in situ” of the cervix</w:t>
      </w:r>
    </w:p>
    <w:p w14:paraId="32861AAD" w14:textId="77777777" w:rsidR="00A7727F" w:rsidRPr="00A7727F" w:rsidRDefault="00A7727F" w:rsidP="00650681">
      <w:pPr>
        <w:pStyle w:val="ListBullet"/>
        <w:rPr>
          <w:lang w:eastAsia="ja-JP"/>
        </w:rPr>
      </w:pPr>
      <w:r w:rsidRPr="00A7727F">
        <w:rPr>
          <w:lang w:eastAsia="ja-JP"/>
        </w:rPr>
        <w:t>Active uncontrolled infection, any other concurrent disease or medical condition that is deemed to interfere with the conduct of the study as judged by the investigator</w:t>
      </w:r>
    </w:p>
    <w:p w14:paraId="5DBA1DA3" w14:textId="77777777" w:rsidR="00A7727F" w:rsidRPr="00A7727F" w:rsidRDefault="00A7727F" w:rsidP="00650681">
      <w:pPr>
        <w:pStyle w:val="ListBullet"/>
        <w:rPr>
          <w:lang w:eastAsia="ja-JP"/>
        </w:rPr>
      </w:pPr>
      <w:r w:rsidRPr="00A7727F">
        <w:rPr>
          <w:lang w:eastAsia="ja-JP"/>
        </w:rPr>
        <w:t>Infection with HIV or chronic infection with hepatitis B virus (HBsAg positive) or hepatitis C virus (anti-HCV positive)</w:t>
      </w:r>
    </w:p>
    <w:p w14:paraId="480FD84C" w14:textId="77777777" w:rsidR="00A7727F" w:rsidRPr="00A7727F" w:rsidRDefault="00A7727F" w:rsidP="00650681">
      <w:pPr>
        <w:pStyle w:val="ListBullet"/>
        <w:rPr>
          <w:lang w:eastAsia="ja-JP"/>
        </w:rPr>
      </w:pPr>
      <w:r w:rsidRPr="00A7727F">
        <w:rPr>
          <w:lang w:eastAsia="ja-JP"/>
        </w:rPr>
        <w:t>Pregnant or nursing women</w:t>
      </w:r>
    </w:p>
    <w:p w14:paraId="22E9AC89" w14:textId="418B4B0B" w:rsidR="00A7727F" w:rsidRPr="00A7727F" w:rsidRDefault="00A7727F" w:rsidP="00650681">
      <w:pPr>
        <w:pStyle w:val="ListBullet"/>
        <w:rPr>
          <w:lang w:eastAsia="ja-JP"/>
        </w:rPr>
      </w:pPr>
      <w:r w:rsidRPr="00A7727F">
        <w:rPr>
          <w:lang w:eastAsia="ja-JP"/>
        </w:rPr>
        <w:t xml:space="preserve">Women of childbearing potential not willing to use an effective form of contraception during participation in the study and at least </w:t>
      </w:r>
      <w:r w:rsidR="00423768">
        <w:rPr>
          <w:lang w:eastAsia="ja-JP"/>
        </w:rPr>
        <w:t>3</w:t>
      </w:r>
      <w:r w:rsidRPr="00A7727F">
        <w:rPr>
          <w:lang w:eastAsia="ja-JP"/>
        </w:rPr>
        <w:t xml:space="preserve"> months thereafter. Male patients not willing to ensure not to beget a child during participation in the study and at least </w:t>
      </w:r>
      <w:r w:rsidR="00423768">
        <w:rPr>
          <w:lang w:eastAsia="ja-JP"/>
        </w:rPr>
        <w:t>3</w:t>
      </w:r>
      <w:r w:rsidRPr="00A7727F">
        <w:rPr>
          <w:lang w:eastAsia="ja-JP"/>
        </w:rPr>
        <w:t xml:space="preserve"> months thereafter</w:t>
      </w:r>
    </w:p>
    <w:p w14:paraId="798CBDD6" w14:textId="77777777" w:rsidR="00A7727F" w:rsidRPr="00A7727F" w:rsidRDefault="00A7727F" w:rsidP="00AC4F8B">
      <w:pPr>
        <w:pStyle w:val="ListBullet"/>
        <w:rPr>
          <w:lang w:eastAsia="ja-JP"/>
        </w:rPr>
      </w:pPr>
      <w:r w:rsidRPr="00A7727F">
        <w:rPr>
          <w:lang w:eastAsia="ja-JP"/>
        </w:rPr>
        <w:t>Previous treatment with blinatumomab</w:t>
      </w:r>
    </w:p>
    <w:p w14:paraId="275BB22E" w14:textId="77777777" w:rsidR="00A7727F" w:rsidRPr="00A7727F" w:rsidRDefault="00A7727F" w:rsidP="00AC4F8B">
      <w:pPr>
        <w:pStyle w:val="Heading5"/>
        <w:rPr>
          <w:lang w:eastAsia="ja-JP"/>
        </w:rPr>
      </w:pPr>
      <w:r w:rsidRPr="00A7727F">
        <w:rPr>
          <w:lang w:eastAsia="ja-JP"/>
        </w:rPr>
        <w:t>Study treatment</w:t>
      </w:r>
    </w:p>
    <w:p w14:paraId="03CF56DF" w14:textId="2E82DA88" w:rsidR="00A7727F" w:rsidRPr="00A7727F" w:rsidRDefault="00A7727F" w:rsidP="00A7727F">
      <w:pPr>
        <w:rPr>
          <w:lang w:eastAsia="ja-JP"/>
        </w:rPr>
      </w:pPr>
      <w:r w:rsidRPr="00A7727F">
        <w:rPr>
          <w:lang w:eastAsia="ja-JP"/>
        </w:rPr>
        <w:t xml:space="preserve">Patients received one to </w:t>
      </w:r>
      <w:r w:rsidR="00423768">
        <w:rPr>
          <w:lang w:eastAsia="ja-JP"/>
        </w:rPr>
        <w:t>5</w:t>
      </w:r>
      <w:r w:rsidRPr="00A7727F">
        <w:rPr>
          <w:lang w:eastAsia="ja-JP"/>
        </w:rPr>
        <w:t xml:space="preserve"> treatment cycles of blinatumomab at a target dose of 28</w:t>
      </w:r>
      <w:r w:rsidR="0018721C">
        <w:rPr>
          <w:lang w:eastAsia="ja-JP"/>
        </w:rPr>
        <w:t xml:space="preserve"> µg</w:t>
      </w:r>
      <w:r w:rsidRPr="00A7727F">
        <w:rPr>
          <w:lang w:eastAsia="ja-JP"/>
        </w:rPr>
        <w:t>/day. In the first cycle, the initial dose was 9</w:t>
      </w:r>
      <w:r w:rsidR="0018721C">
        <w:rPr>
          <w:lang w:eastAsia="ja-JP"/>
        </w:rPr>
        <w:t xml:space="preserve"> µg</w:t>
      </w:r>
      <w:r w:rsidRPr="00A7727F">
        <w:rPr>
          <w:lang w:eastAsia="ja-JP"/>
        </w:rPr>
        <w:t>/day for the first seven days of treatment, a dose which was then escalated to 28</w:t>
      </w:r>
      <w:r w:rsidR="0018721C">
        <w:rPr>
          <w:lang w:eastAsia="ja-JP"/>
        </w:rPr>
        <w:t xml:space="preserve"> µg</w:t>
      </w:r>
      <w:r w:rsidRPr="00A7727F">
        <w:rPr>
          <w:lang w:eastAsia="ja-JP"/>
        </w:rPr>
        <w:t xml:space="preserve">/day starting from </w:t>
      </w:r>
      <w:r w:rsidR="007D46D6">
        <w:rPr>
          <w:lang w:eastAsia="ja-JP"/>
        </w:rPr>
        <w:t>Week 2</w:t>
      </w:r>
      <w:r w:rsidRPr="00A7727F">
        <w:rPr>
          <w:lang w:eastAsia="ja-JP"/>
        </w:rPr>
        <w:t xml:space="preserve"> of treatment. The target dose of 28</w:t>
      </w:r>
      <w:r w:rsidR="0018721C">
        <w:rPr>
          <w:lang w:eastAsia="ja-JP"/>
        </w:rPr>
        <w:t xml:space="preserve"> µg</w:t>
      </w:r>
      <w:r w:rsidR="00023318">
        <w:rPr>
          <w:lang w:eastAsia="ja-JP"/>
        </w:rPr>
        <w:t>/day was also administered in Cycle</w:t>
      </w:r>
      <w:r w:rsidRPr="00A7727F">
        <w:rPr>
          <w:lang w:eastAsia="ja-JP"/>
        </w:rPr>
        <w:t xml:space="preserve"> 2 and the </w:t>
      </w:r>
      <w:r w:rsidR="00AC4F8B">
        <w:rPr>
          <w:lang w:eastAsia="ja-JP"/>
        </w:rPr>
        <w:t>following cycles starting with D</w:t>
      </w:r>
      <w:r w:rsidRPr="00A7727F">
        <w:rPr>
          <w:lang w:eastAsia="ja-JP"/>
        </w:rPr>
        <w:t>ay 1 of each cycle.</w:t>
      </w:r>
    </w:p>
    <w:p w14:paraId="4444596A" w14:textId="600863B2" w:rsidR="00A7727F" w:rsidRPr="00A7727F" w:rsidRDefault="00A7727F" w:rsidP="00A7727F">
      <w:pPr>
        <w:rPr>
          <w:lang w:eastAsia="ja-JP"/>
        </w:rPr>
      </w:pPr>
      <w:r w:rsidRPr="00A7727F">
        <w:rPr>
          <w:lang w:eastAsia="ja-JP"/>
        </w:rPr>
        <w:t xml:space="preserve">A cycle consisted of a cIV over </w:t>
      </w:r>
      <w:r w:rsidR="00423768">
        <w:rPr>
          <w:lang w:eastAsia="ja-JP"/>
        </w:rPr>
        <w:t>4</w:t>
      </w:r>
      <w:r w:rsidRPr="00A7727F">
        <w:rPr>
          <w:lang w:eastAsia="ja-JP"/>
        </w:rPr>
        <w:t xml:space="preserve"> weeks followed by a treatment free interval of </w:t>
      </w:r>
      <w:r w:rsidR="00423768">
        <w:rPr>
          <w:lang w:eastAsia="ja-JP"/>
        </w:rPr>
        <w:t>2</w:t>
      </w:r>
      <w:r w:rsidRPr="00A7727F">
        <w:rPr>
          <w:lang w:eastAsia="ja-JP"/>
        </w:rPr>
        <w:t xml:space="preserve"> weeks. Patients who achieved CR or CRh* within </w:t>
      </w:r>
      <w:r w:rsidR="00423768">
        <w:rPr>
          <w:lang w:eastAsia="ja-JP"/>
        </w:rPr>
        <w:t>2</w:t>
      </w:r>
      <w:r w:rsidRPr="00A7727F">
        <w:rPr>
          <w:lang w:eastAsia="ja-JP"/>
        </w:rPr>
        <w:t xml:space="preserve"> cycles of treatment received up to </w:t>
      </w:r>
      <w:r w:rsidR="00423768">
        <w:rPr>
          <w:lang w:eastAsia="ja-JP"/>
        </w:rPr>
        <w:t>3</w:t>
      </w:r>
      <w:r w:rsidRPr="00A7727F">
        <w:rPr>
          <w:lang w:eastAsia="ja-JP"/>
        </w:rPr>
        <w:t xml:space="preserve"> additional cycles of consolidation treatment. Patients with haematolo</w:t>
      </w:r>
      <w:r w:rsidR="00023318">
        <w:rPr>
          <w:lang w:eastAsia="ja-JP"/>
        </w:rPr>
        <w:t xml:space="preserve">gical relapse during the follow </w:t>
      </w:r>
      <w:r w:rsidRPr="00A7727F">
        <w:rPr>
          <w:lang w:eastAsia="ja-JP"/>
        </w:rPr>
        <w:t xml:space="preserve">up period received up to </w:t>
      </w:r>
      <w:r w:rsidR="00423768">
        <w:rPr>
          <w:lang w:eastAsia="ja-JP"/>
        </w:rPr>
        <w:t>3</w:t>
      </w:r>
      <w:r w:rsidRPr="00A7727F">
        <w:rPr>
          <w:lang w:eastAsia="ja-JP"/>
        </w:rPr>
        <w:t xml:space="preserve"> additional cycles of blinatumomab for a maximal total of eight cycles at th</w:t>
      </w:r>
      <w:r w:rsidR="00023318">
        <w:rPr>
          <w:lang w:eastAsia="ja-JP"/>
        </w:rPr>
        <w:t>e investigator´s discretion. Re</w:t>
      </w:r>
      <w:r w:rsidRPr="00A7727F">
        <w:rPr>
          <w:lang w:eastAsia="ja-JP"/>
        </w:rPr>
        <w:t>treatment started with a dose step in the first cycle like the regular treatment (9</w:t>
      </w:r>
      <w:r w:rsidR="00023318">
        <w:rPr>
          <w:lang w:eastAsia="ja-JP"/>
        </w:rPr>
        <w:t> </w:t>
      </w:r>
      <w:r w:rsidR="0018721C">
        <w:rPr>
          <w:lang w:eastAsia="ja-JP"/>
        </w:rPr>
        <w:t>µg</w:t>
      </w:r>
      <w:r w:rsidRPr="00A7727F">
        <w:rPr>
          <w:lang w:eastAsia="ja-JP"/>
        </w:rPr>
        <w:t>/day in the first week of treatment followed by 28</w:t>
      </w:r>
      <w:r w:rsidR="0018721C">
        <w:rPr>
          <w:lang w:eastAsia="ja-JP"/>
        </w:rPr>
        <w:t xml:space="preserve"> µg</w:t>
      </w:r>
      <w:r w:rsidRPr="00A7727F">
        <w:rPr>
          <w:lang w:eastAsia="ja-JP"/>
        </w:rPr>
        <w:t xml:space="preserve">/day starting from </w:t>
      </w:r>
      <w:r w:rsidR="007D46D6">
        <w:rPr>
          <w:lang w:eastAsia="ja-JP"/>
        </w:rPr>
        <w:t>Week 2</w:t>
      </w:r>
      <w:r w:rsidRPr="00A7727F">
        <w:rPr>
          <w:lang w:eastAsia="ja-JP"/>
        </w:rPr>
        <w:t>).</w:t>
      </w:r>
    </w:p>
    <w:p w14:paraId="0D271E63" w14:textId="77777777" w:rsidR="00A7727F" w:rsidRPr="00A7727F" w:rsidRDefault="00A7727F" w:rsidP="00023318">
      <w:pPr>
        <w:pStyle w:val="Heading5"/>
        <w:rPr>
          <w:lang w:eastAsia="ja-JP"/>
        </w:rPr>
      </w:pPr>
      <w:r w:rsidRPr="00A7727F">
        <w:rPr>
          <w:lang w:eastAsia="ja-JP"/>
        </w:rPr>
        <w:t>Efficacy variables and outcomes</w:t>
      </w:r>
    </w:p>
    <w:p w14:paraId="30C57E81" w14:textId="4F0901A0" w:rsidR="00A7727F" w:rsidRPr="00A7727F" w:rsidRDefault="00023318" w:rsidP="00023318">
      <w:pPr>
        <w:pStyle w:val="Heading6"/>
        <w:rPr>
          <w:lang w:eastAsia="ja-JP"/>
        </w:rPr>
      </w:pPr>
      <w:r>
        <w:rPr>
          <w:lang w:eastAsia="ja-JP"/>
        </w:rPr>
        <w:t>Assessment of e</w:t>
      </w:r>
      <w:r w:rsidR="00A7727F" w:rsidRPr="00A7727F">
        <w:rPr>
          <w:lang w:eastAsia="ja-JP"/>
        </w:rPr>
        <w:t>fficacy</w:t>
      </w:r>
    </w:p>
    <w:p w14:paraId="2392D9BB" w14:textId="27902B59" w:rsidR="00A7727F" w:rsidRPr="00A7727F" w:rsidRDefault="00A7727F" w:rsidP="00A7727F">
      <w:pPr>
        <w:rPr>
          <w:lang w:eastAsia="ja-JP"/>
        </w:rPr>
      </w:pPr>
      <w:r w:rsidRPr="00A7727F">
        <w:rPr>
          <w:lang w:eastAsia="ja-JP"/>
        </w:rPr>
        <w:t>Bone marrow (BM) was used for h</w:t>
      </w:r>
      <w:r w:rsidR="00023318">
        <w:rPr>
          <w:lang w:eastAsia="ja-JP"/>
        </w:rPr>
        <w:t>a</w:t>
      </w:r>
      <w:r w:rsidRPr="00A7727F">
        <w:rPr>
          <w:lang w:eastAsia="ja-JP"/>
        </w:rPr>
        <w:t>ematological assessment and for evaluation of MRD by PCR.</w:t>
      </w:r>
    </w:p>
    <w:p w14:paraId="53B79D9E" w14:textId="77777777" w:rsidR="00A7727F" w:rsidRPr="00A7727F" w:rsidRDefault="00A7727F" w:rsidP="00A7727F">
      <w:pPr>
        <w:rPr>
          <w:lang w:eastAsia="ja-JP"/>
        </w:rPr>
      </w:pPr>
      <w:r w:rsidRPr="00A7727F">
        <w:rPr>
          <w:lang w:eastAsia="ja-JP"/>
        </w:rPr>
        <w:t>The following samples were obtained for cytomorphological assessment and MRD measurement:</w:t>
      </w:r>
    </w:p>
    <w:p w14:paraId="4626A990" w14:textId="28B93968" w:rsidR="00A7727F" w:rsidRPr="00A7727F" w:rsidRDefault="00A7727F" w:rsidP="00023318">
      <w:pPr>
        <w:pStyle w:val="ListBullet"/>
        <w:rPr>
          <w:lang w:eastAsia="ja-JP"/>
        </w:rPr>
      </w:pPr>
      <w:r w:rsidRPr="00A7727F">
        <w:rPr>
          <w:lang w:eastAsia="ja-JP"/>
        </w:rPr>
        <w:t>Cytomorphology: BM smears (slides), at screening, prior to treatment with blinatumomab (in case of pre-</w:t>
      </w:r>
      <w:r w:rsidR="00023318">
        <w:rPr>
          <w:lang w:eastAsia="ja-JP"/>
        </w:rPr>
        <w:t>p</w:t>
      </w:r>
      <w:r w:rsidR="0018721C">
        <w:rPr>
          <w:lang w:eastAsia="ja-JP"/>
        </w:rPr>
        <w:t>hase</w:t>
      </w:r>
      <w:r w:rsidR="00023318">
        <w:rPr>
          <w:lang w:eastAsia="ja-JP"/>
        </w:rPr>
        <w:t xml:space="preserve"> only), at D</w:t>
      </w:r>
      <w:r w:rsidRPr="00A7727F">
        <w:rPr>
          <w:lang w:eastAsia="ja-JP"/>
        </w:rPr>
        <w:t>ay 15 of the first treatment cycle (recommended), at the end of each treatment cy</w:t>
      </w:r>
      <w:r w:rsidR="00023318">
        <w:rPr>
          <w:lang w:eastAsia="ja-JP"/>
        </w:rPr>
        <w:t xml:space="preserve">cle, and during efficacy follow </w:t>
      </w:r>
      <w:r w:rsidRPr="00A7727F">
        <w:rPr>
          <w:lang w:eastAsia="ja-JP"/>
        </w:rPr>
        <w:t>up. In case of insufficient quality of the aspiration material on D</w:t>
      </w:r>
      <w:r w:rsidR="00023318">
        <w:rPr>
          <w:lang w:eastAsia="ja-JP"/>
        </w:rPr>
        <w:t xml:space="preserve">ay </w:t>
      </w:r>
      <w:r w:rsidRPr="00A7727F">
        <w:rPr>
          <w:lang w:eastAsia="ja-JP"/>
        </w:rPr>
        <w:t>29 of the treatment cycle, a core biopsy was performed prior to treatment start in the next cycle or at the end of core study visit, as applicable.</w:t>
      </w:r>
    </w:p>
    <w:p w14:paraId="5443DA1E" w14:textId="420090AD" w:rsidR="00A7727F" w:rsidRPr="00A7727F" w:rsidRDefault="00023318" w:rsidP="00023318">
      <w:pPr>
        <w:pStyle w:val="ListBullet"/>
        <w:rPr>
          <w:lang w:eastAsia="ja-JP"/>
        </w:rPr>
      </w:pPr>
      <w:r>
        <w:rPr>
          <w:lang w:eastAsia="ja-JP"/>
        </w:rPr>
        <w:t>MRD: A</w:t>
      </w:r>
      <w:r w:rsidR="00A7727F" w:rsidRPr="00A7727F">
        <w:rPr>
          <w:lang w:eastAsia="ja-JP"/>
        </w:rPr>
        <w:t>liq</w:t>
      </w:r>
      <w:r>
        <w:rPr>
          <w:lang w:eastAsia="ja-JP"/>
        </w:rPr>
        <w:t>uots for PCR, at screening, at D</w:t>
      </w:r>
      <w:r w:rsidR="00A7727F" w:rsidRPr="00A7727F">
        <w:rPr>
          <w:lang w:eastAsia="ja-JP"/>
        </w:rPr>
        <w:t>ay 15 of the first treatment cycle (recommended), and at the end of each treatment cycle. A screening PCR sample was not required if the patient was registered in Kiel and primers for PCR analysis were available.</w:t>
      </w:r>
    </w:p>
    <w:p w14:paraId="4A13A4D0" w14:textId="77777777" w:rsidR="00A7727F" w:rsidRPr="00A7727F" w:rsidRDefault="00A7727F" w:rsidP="00A7727F">
      <w:pPr>
        <w:rPr>
          <w:lang w:eastAsia="ja-JP"/>
        </w:rPr>
      </w:pPr>
      <w:r w:rsidRPr="00A7727F">
        <w:rPr>
          <w:lang w:eastAsia="ja-JP"/>
        </w:rPr>
        <w:t>If a marrow aspiration was not possible, or the aspirate did not contain any BM, a core biopsy was required.</w:t>
      </w:r>
    </w:p>
    <w:p w14:paraId="6EA69953" w14:textId="6A1174FA" w:rsidR="00A7727F" w:rsidRPr="00A7727F" w:rsidRDefault="00A7727F" w:rsidP="00A7727F">
      <w:pPr>
        <w:rPr>
          <w:lang w:eastAsia="ja-JP"/>
        </w:rPr>
      </w:pPr>
      <w:r w:rsidRPr="00A7727F">
        <w:rPr>
          <w:lang w:eastAsia="ja-JP"/>
        </w:rPr>
        <w:t>The degree of bone marrow infiltration defined by the percentage of leukemic blasts in bone marrow was evaluated by local laboratories as per cytological assessment. Bone marrow slides were provided to the designated central laboratories for haematological assessment. The B-precursor phenotype was confirmed by the central laboratory by immunocytochemist</w:t>
      </w:r>
      <w:r w:rsidR="00023318">
        <w:rPr>
          <w:lang w:eastAsia="ja-JP"/>
        </w:rPr>
        <w:t>ry. The following markers analys</w:t>
      </w:r>
      <w:r w:rsidRPr="00A7727F">
        <w:rPr>
          <w:lang w:eastAsia="ja-JP"/>
        </w:rPr>
        <w:t>ed as needed: CD3, CD5, CD10, CD13, CD19, CD23, CD33, CD34, CD79A, POX, and TDT.</w:t>
      </w:r>
    </w:p>
    <w:p w14:paraId="0854F639" w14:textId="77777777" w:rsidR="00A7727F" w:rsidRPr="00A7727F" w:rsidRDefault="00A7727F" w:rsidP="00A7727F">
      <w:pPr>
        <w:rPr>
          <w:lang w:eastAsia="ja-JP"/>
        </w:rPr>
      </w:pPr>
      <w:r w:rsidRPr="00A7727F">
        <w:rPr>
          <w:lang w:eastAsia="ja-JP"/>
        </w:rPr>
        <w:t>MRD was assessed by the designated central laboratory by PCR.</w:t>
      </w:r>
    </w:p>
    <w:p w14:paraId="3E769FEE" w14:textId="77777777" w:rsidR="00A7727F" w:rsidRPr="00A7727F" w:rsidRDefault="00A7727F" w:rsidP="00A7727F">
      <w:pPr>
        <w:rPr>
          <w:lang w:eastAsia="ja-JP"/>
        </w:rPr>
      </w:pPr>
      <w:r w:rsidRPr="00A7727F">
        <w:rPr>
          <w:lang w:eastAsia="ja-JP"/>
        </w:rPr>
        <w:t>Known cytogenetic and molecular aberrations were documented in the CRF</w:t>
      </w:r>
    </w:p>
    <w:p w14:paraId="67E24247" w14:textId="77777777" w:rsidR="00A7727F" w:rsidRPr="00A7727F" w:rsidRDefault="00A7727F" w:rsidP="00A7727F">
      <w:pPr>
        <w:rPr>
          <w:lang w:eastAsia="ja-JP"/>
        </w:rPr>
      </w:pPr>
      <w:r w:rsidRPr="00A7727F">
        <w:rPr>
          <w:lang w:eastAsia="ja-JP"/>
        </w:rPr>
        <w:t>Results of additional tests routinely conducted by the investigators but not required by protocol such as immunophenotypic, cytogenetic or molecular analyses conducted during the study were collected and documented in the CRF.</w:t>
      </w:r>
    </w:p>
    <w:p w14:paraId="6E158F4F" w14:textId="6E0AF521" w:rsidR="00A7727F" w:rsidRPr="00A7727F" w:rsidRDefault="00023318" w:rsidP="00023318">
      <w:pPr>
        <w:pStyle w:val="Heading6"/>
        <w:rPr>
          <w:lang w:eastAsia="ja-JP"/>
        </w:rPr>
      </w:pPr>
      <w:r>
        <w:rPr>
          <w:lang w:eastAsia="ja-JP"/>
        </w:rPr>
        <w:t>Definitions of treatment r</w:t>
      </w:r>
      <w:r w:rsidR="00A7727F" w:rsidRPr="00A7727F">
        <w:rPr>
          <w:lang w:eastAsia="ja-JP"/>
        </w:rPr>
        <w:t>esponse</w:t>
      </w:r>
    </w:p>
    <w:p w14:paraId="4C27AAA8" w14:textId="77777777" w:rsidR="00A7727F" w:rsidRPr="00A7727F" w:rsidRDefault="00A7727F" w:rsidP="00A7727F">
      <w:pPr>
        <w:rPr>
          <w:lang w:eastAsia="ja-JP"/>
        </w:rPr>
      </w:pPr>
      <w:r w:rsidRPr="00A7727F">
        <w:rPr>
          <w:lang w:eastAsia="ja-JP"/>
        </w:rPr>
        <w:t>The treatment was defined to be efficacious, when the patient was stated to be in CR or in CRh*.</w:t>
      </w:r>
    </w:p>
    <w:p w14:paraId="28CACAAC" w14:textId="356AEAE0" w:rsidR="00A7727F" w:rsidRPr="00023318" w:rsidRDefault="00A7727F" w:rsidP="00A7727F">
      <w:pPr>
        <w:rPr>
          <w:bCs/>
          <w:lang w:eastAsia="ja-JP"/>
        </w:rPr>
      </w:pPr>
      <w:r w:rsidRPr="00023318">
        <w:rPr>
          <w:bCs/>
          <w:lang w:eastAsia="ja-JP"/>
        </w:rPr>
        <w:t>H</w:t>
      </w:r>
      <w:r w:rsidR="00023318">
        <w:rPr>
          <w:bCs/>
          <w:lang w:eastAsia="ja-JP"/>
        </w:rPr>
        <w:t>a</w:t>
      </w:r>
      <w:r w:rsidRPr="00023318">
        <w:rPr>
          <w:bCs/>
          <w:lang w:eastAsia="ja-JP"/>
        </w:rPr>
        <w:t>ematological remissions are defined by the following criteria:</w:t>
      </w:r>
    </w:p>
    <w:p w14:paraId="3DCDCC9F" w14:textId="77777777" w:rsidR="00023318" w:rsidRDefault="00023318" w:rsidP="00A7727F">
      <w:pPr>
        <w:pStyle w:val="ListBullet"/>
        <w:rPr>
          <w:lang w:eastAsia="ja-JP"/>
        </w:rPr>
      </w:pPr>
      <w:r>
        <w:rPr>
          <w:lang w:eastAsia="ja-JP"/>
        </w:rPr>
        <w:t>Complete r</w:t>
      </w:r>
      <w:r w:rsidR="00A7727F" w:rsidRPr="00A7727F">
        <w:rPr>
          <w:lang w:eastAsia="ja-JP"/>
        </w:rPr>
        <w:t>emission:</w:t>
      </w:r>
    </w:p>
    <w:p w14:paraId="628CD09A" w14:textId="77777777" w:rsidR="00023318" w:rsidRDefault="00A7727F" w:rsidP="00A7727F">
      <w:pPr>
        <w:pStyle w:val="ListBullet2"/>
        <w:rPr>
          <w:lang w:eastAsia="ja-JP"/>
        </w:rPr>
      </w:pPr>
      <w:r w:rsidRPr="00A7727F">
        <w:rPr>
          <w:lang w:eastAsia="ja-JP"/>
        </w:rPr>
        <w:t>Less than or equal to 5% blasts in the bone marrow</w:t>
      </w:r>
    </w:p>
    <w:p w14:paraId="5E8A58BA" w14:textId="77777777" w:rsidR="00023318" w:rsidRDefault="00A7727F" w:rsidP="00A7727F">
      <w:pPr>
        <w:pStyle w:val="ListBullet2"/>
        <w:rPr>
          <w:lang w:eastAsia="ja-JP"/>
        </w:rPr>
      </w:pPr>
      <w:r w:rsidRPr="00A7727F">
        <w:rPr>
          <w:lang w:eastAsia="ja-JP"/>
        </w:rPr>
        <w:t>No evidence of disease</w:t>
      </w:r>
    </w:p>
    <w:p w14:paraId="752F6AD8" w14:textId="77777777" w:rsidR="00023318" w:rsidRDefault="00A7727F" w:rsidP="00023318">
      <w:pPr>
        <w:pStyle w:val="ListBullet2"/>
        <w:rPr>
          <w:lang w:eastAsia="ja-JP"/>
        </w:rPr>
      </w:pPr>
      <w:r w:rsidRPr="00A7727F">
        <w:rPr>
          <w:lang w:eastAsia="ja-JP"/>
        </w:rPr>
        <w:t>Full recovery of peripheral blood counts</w:t>
      </w:r>
      <w:r w:rsidR="00023318">
        <w:rPr>
          <w:lang w:eastAsia="ja-JP"/>
        </w:rPr>
        <w:t>:</w:t>
      </w:r>
    </w:p>
    <w:p w14:paraId="3FB04AD6" w14:textId="77777777" w:rsidR="00023318" w:rsidRDefault="00A7727F" w:rsidP="00023318">
      <w:pPr>
        <w:pStyle w:val="ListBullet3"/>
        <w:rPr>
          <w:lang w:eastAsia="ja-JP"/>
        </w:rPr>
      </w:pPr>
      <w:r w:rsidRPr="00A7727F">
        <w:rPr>
          <w:lang w:eastAsia="ja-JP"/>
        </w:rPr>
        <w:t>Platelets</w:t>
      </w:r>
      <w:r w:rsidR="00375CAE">
        <w:rPr>
          <w:lang w:eastAsia="ja-JP"/>
        </w:rPr>
        <w:t xml:space="preserve"> </w:t>
      </w:r>
      <w:r w:rsidR="00423768">
        <w:rPr>
          <w:lang w:eastAsia="ja-JP"/>
        </w:rPr>
        <w:t>&gt;</w:t>
      </w:r>
      <w:r w:rsidR="00375CAE">
        <w:rPr>
          <w:lang w:eastAsia="ja-JP"/>
        </w:rPr>
        <w:t xml:space="preserve"> </w:t>
      </w:r>
      <w:r w:rsidR="00023318">
        <w:rPr>
          <w:lang w:eastAsia="ja-JP"/>
        </w:rPr>
        <w:t>100,000/µL</w:t>
      </w:r>
    </w:p>
    <w:p w14:paraId="04A2D9BC" w14:textId="6933BE85" w:rsidR="00A7727F" w:rsidRPr="00A7727F" w:rsidRDefault="00A7727F" w:rsidP="00023318">
      <w:pPr>
        <w:pStyle w:val="ListBullet3"/>
        <w:rPr>
          <w:lang w:eastAsia="ja-JP"/>
        </w:rPr>
      </w:pPr>
      <w:r w:rsidRPr="00A7727F">
        <w:rPr>
          <w:lang w:eastAsia="ja-JP"/>
        </w:rPr>
        <w:t>ANC</w:t>
      </w:r>
      <w:r w:rsidR="00375CAE">
        <w:rPr>
          <w:lang w:eastAsia="ja-JP"/>
        </w:rPr>
        <w:t xml:space="preserve"> </w:t>
      </w:r>
      <w:r w:rsidR="00423768">
        <w:rPr>
          <w:lang w:eastAsia="ja-JP"/>
        </w:rPr>
        <w:t>&gt;</w:t>
      </w:r>
      <w:r w:rsidR="00375CAE">
        <w:rPr>
          <w:lang w:eastAsia="ja-JP"/>
        </w:rPr>
        <w:t xml:space="preserve"> </w:t>
      </w:r>
      <w:r w:rsidRPr="00A7727F">
        <w:rPr>
          <w:lang w:eastAsia="ja-JP"/>
        </w:rPr>
        <w:t>1,000/</w:t>
      </w:r>
      <w:r w:rsidR="00023318">
        <w:rPr>
          <w:lang w:eastAsia="ja-JP"/>
        </w:rPr>
        <w:t>µL</w:t>
      </w:r>
    </w:p>
    <w:p w14:paraId="3690B8DE" w14:textId="77777777" w:rsidR="00023318" w:rsidRDefault="00A7727F" w:rsidP="00A7727F">
      <w:pPr>
        <w:pStyle w:val="ListBullet"/>
      </w:pPr>
      <w:r w:rsidRPr="00023318">
        <w:t xml:space="preserve">Complete </w:t>
      </w:r>
      <w:r w:rsidR="00023318" w:rsidRPr="00023318">
        <w:t>remission with only partial haematological recovery:</w:t>
      </w:r>
    </w:p>
    <w:p w14:paraId="4E4EABB0" w14:textId="6910DC43" w:rsidR="00A7727F" w:rsidRPr="00A7727F" w:rsidRDefault="00A7727F" w:rsidP="00023318">
      <w:pPr>
        <w:pStyle w:val="ListBullet2"/>
      </w:pPr>
      <w:r w:rsidRPr="00A7727F">
        <w:rPr>
          <w:lang w:eastAsia="ja-JP"/>
        </w:rPr>
        <w:t>Less than or equal to 5% blasts in the bone marrow</w:t>
      </w:r>
    </w:p>
    <w:p w14:paraId="3B1D66DD" w14:textId="36D1C7FD" w:rsidR="00A7727F" w:rsidRPr="00A7727F" w:rsidRDefault="00A7727F" w:rsidP="00023318">
      <w:pPr>
        <w:pStyle w:val="ListBullet2"/>
        <w:rPr>
          <w:lang w:eastAsia="ja-JP"/>
        </w:rPr>
      </w:pPr>
      <w:r w:rsidRPr="00A7727F">
        <w:rPr>
          <w:lang w:eastAsia="ja-JP"/>
        </w:rPr>
        <w:t>No evidence of disease</w:t>
      </w:r>
    </w:p>
    <w:p w14:paraId="0982E8F7" w14:textId="2E3B5FAA" w:rsidR="00A519D3" w:rsidRDefault="00A7727F" w:rsidP="00A519D3">
      <w:pPr>
        <w:pStyle w:val="ListBullet2"/>
        <w:rPr>
          <w:lang w:eastAsia="ja-JP"/>
        </w:rPr>
      </w:pPr>
      <w:r w:rsidRPr="00A7727F">
        <w:rPr>
          <w:lang w:eastAsia="ja-JP"/>
        </w:rPr>
        <w:t>Partial recovery of peripheral blood counts:</w:t>
      </w:r>
    </w:p>
    <w:p w14:paraId="75E534AD" w14:textId="77777777" w:rsidR="00A519D3" w:rsidRDefault="00A7727F" w:rsidP="00A519D3">
      <w:pPr>
        <w:pStyle w:val="ListBullet3"/>
        <w:rPr>
          <w:lang w:eastAsia="ja-JP"/>
        </w:rPr>
      </w:pPr>
      <w:r w:rsidRPr="00A7727F">
        <w:rPr>
          <w:lang w:eastAsia="ja-JP"/>
        </w:rPr>
        <w:t>Platelets</w:t>
      </w:r>
      <w:r w:rsidR="00375CAE">
        <w:rPr>
          <w:lang w:eastAsia="ja-JP"/>
        </w:rPr>
        <w:t xml:space="preserve"> </w:t>
      </w:r>
      <w:r w:rsidR="00423768">
        <w:rPr>
          <w:lang w:eastAsia="ja-JP"/>
        </w:rPr>
        <w:t>&gt;</w:t>
      </w:r>
      <w:r w:rsidR="00375CAE">
        <w:rPr>
          <w:lang w:eastAsia="ja-JP"/>
        </w:rPr>
        <w:t xml:space="preserve"> </w:t>
      </w:r>
      <w:r w:rsidR="00023318">
        <w:rPr>
          <w:lang w:eastAsia="ja-JP"/>
        </w:rPr>
        <w:t>50,000/µL</w:t>
      </w:r>
    </w:p>
    <w:p w14:paraId="572B55AE" w14:textId="7522BE64" w:rsidR="00A7727F" w:rsidRPr="00A7727F" w:rsidRDefault="00A7727F" w:rsidP="00A519D3">
      <w:pPr>
        <w:pStyle w:val="ListBullet3"/>
        <w:rPr>
          <w:lang w:eastAsia="ja-JP"/>
        </w:rPr>
      </w:pPr>
      <w:r w:rsidRPr="00A7727F">
        <w:rPr>
          <w:lang w:eastAsia="ja-JP"/>
        </w:rPr>
        <w:t>ANC</w:t>
      </w:r>
      <w:r w:rsidR="00375CAE">
        <w:rPr>
          <w:lang w:eastAsia="ja-JP"/>
        </w:rPr>
        <w:t xml:space="preserve"> </w:t>
      </w:r>
      <w:r w:rsidR="00423768">
        <w:rPr>
          <w:lang w:eastAsia="ja-JP"/>
        </w:rPr>
        <w:t>&gt;</w:t>
      </w:r>
      <w:r w:rsidR="00375CAE">
        <w:rPr>
          <w:lang w:eastAsia="ja-JP"/>
        </w:rPr>
        <w:t xml:space="preserve"> </w:t>
      </w:r>
      <w:r w:rsidR="00023318">
        <w:rPr>
          <w:lang w:eastAsia="ja-JP"/>
        </w:rPr>
        <w:t>500/µL</w:t>
      </w:r>
    </w:p>
    <w:p w14:paraId="3482E368" w14:textId="30DEBAA6" w:rsidR="00A7727F" w:rsidRPr="00A7727F" w:rsidRDefault="00A7727F" w:rsidP="00A7727F">
      <w:pPr>
        <w:rPr>
          <w:lang w:eastAsia="ja-JP"/>
        </w:rPr>
      </w:pPr>
      <w:r w:rsidRPr="00A7727F">
        <w:rPr>
          <w:lang w:eastAsia="ja-JP"/>
        </w:rPr>
        <w:t xml:space="preserve">Patients who had achieved CR or CRh* within </w:t>
      </w:r>
      <w:r w:rsidR="00423768">
        <w:rPr>
          <w:lang w:eastAsia="ja-JP"/>
        </w:rPr>
        <w:t>2</w:t>
      </w:r>
      <w:r w:rsidRPr="00A7727F">
        <w:rPr>
          <w:lang w:eastAsia="ja-JP"/>
        </w:rPr>
        <w:t xml:space="preserve"> cycles of treatment received up to </w:t>
      </w:r>
      <w:r w:rsidR="00423768">
        <w:rPr>
          <w:lang w:eastAsia="ja-JP"/>
        </w:rPr>
        <w:t>3</w:t>
      </w:r>
      <w:r w:rsidRPr="00A7727F">
        <w:rPr>
          <w:lang w:eastAsia="ja-JP"/>
        </w:rPr>
        <w:t xml:space="preserve"> additional cycles of treatment for consolidation.</w:t>
      </w:r>
    </w:p>
    <w:p w14:paraId="1C5AD58A" w14:textId="77777777" w:rsidR="00A7727F" w:rsidRPr="00023318" w:rsidRDefault="00A7727F" w:rsidP="00023318">
      <w:pPr>
        <w:pStyle w:val="ListBullet"/>
      </w:pPr>
      <w:r w:rsidRPr="00023318">
        <w:t>Blast free hypoplastic or aplastic bone marrow:</w:t>
      </w:r>
    </w:p>
    <w:p w14:paraId="63BED0EB" w14:textId="1407FDDD" w:rsidR="00A7727F" w:rsidRPr="00A7727F" w:rsidRDefault="00A7727F" w:rsidP="00023318">
      <w:pPr>
        <w:pStyle w:val="ListBullet2"/>
        <w:rPr>
          <w:lang w:eastAsia="ja-JP"/>
        </w:rPr>
      </w:pPr>
      <w:r w:rsidRPr="00A7727F">
        <w:rPr>
          <w:lang w:eastAsia="ja-JP"/>
        </w:rPr>
        <w:t>Less than or equal to 5% blasts in the bone marrow</w:t>
      </w:r>
    </w:p>
    <w:p w14:paraId="2A61B3A5" w14:textId="11A2C39B" w:rsidR="00A7727F" w:rsidRPr="00A7727F" w:rsidRDefault="00A7727F" w:rsidP="00023318">
      <w:pPr>
        <w:pStyle w:val="ListBullet2"/>
        <w:rPr>
          <w:lang w:eastAsia="ja-JP"/>
        </w:rPr>
      </w:pPr>
      <w:r w:rsidRPr="00A7727F">
        <w:rPr>
          <w:lang w:eastAsia="ja-JP"/>
        </w:rPr>
        <w:t>No evidence of disease</w:t>
      </w:r>
    </w:p>
    <w:p w14:paraId="0135867B" w14:textId="6F45A41F" w:rsidR="00A7727F" w:rsidRPr="00A7727F" w:rsidRDefault="00A7727F" w:rsidP="00023318">
      <w:pPr>
        <w:pStyle w:val="ListBullet2"/>
        <w:rPr>
          <w:lang w:eastAsia="ja-JP"/>
        </w:rPr>
      </w:pPr>
      <w:r w:rsidRPr="00A7727F">
        <w:rPr>
          <w:lang w:eastAsia="ja-JP"/>
        </w:rPr>
        <w:t>Insufficient recovery of peripheral counts: platelets</w:t>
      </w:r>
      <w:r w:rsidR="00375CAE">
        <w:rPr>
          <w:lang w:eastAsia="ja-JP"/>
        </w:rPr>
        <w:t xml:space="preserve"> </w:t>
      </w:r>
      <w:r w:rsidR="00423768">
        <w:rPr>
          <w:lang w:eastAsia="ja-JP"/>
        </w:rPr>
        <w:t>≤</w:t>
      </w:r>
      <w:r w:rsidR="00375CAE">
        <w:rPr>
          <w:lang w:eastAsia="ja-JP"/>
        </w:rPr>
        <w:t xml:space="preserve"> </w:t>
      </w:r>
      <w:r w:rsidRPr="00A7727F">
        <w:rPr>
          <w:lang w:eastAsia="ja-JP"/>
        </w:rPr>
        <w:t>50,000/</w:t>
      </w:r>
      <w:r w:rsidR="00023318">
        <w:rPr>
          <w:lang w:eastAsia="ja-JP"/>
        </w:rPr>
        <w:t>µL</w:t>
      </w:r>
      <w:r w:rsidR="00023318" w:rsidRPr="00A7727F">
        <w:rPr>
          <w:lang w:eastAsia="ja-JP"/>
        </w:rPr>
        <w:t xml:space="preserve"> </w:t>
      </w:r>
      <w:r w:rsidRPr="00A7727F">
        <w:rPr>
          <w:lang w:eastAsia="ja-JP"/>
        </w:rPr>
        <w:t>and/or ANC</w:t>
      </w:r>
      <w:r w:rsidR="00375CAE">
        <w:rPr>
          <w:lang w:eastAsia="ja-JP"/>
        </w:rPr>
        <w:t xml:space="preserve"> </w:t>
      </w:r>
      <w:r w:rsidR="00423768">
        <w:rPr>
          <w:lang w:eastAsia="ja-JP"/>
        </w:rPr>
        <w:t>≤</w:t>
      </w:r>
      <w:r w:rsidR="00375CAE">
        <w:rPr>
          <w:lang w:eastAsia="ja-JP"/>
        </w:rPr>
        <w:t xml:space="preserve"> </w:t>
      </w:r>
      <w:r w:rsidR="00023318">
        <w:rPr>
          <w:lang w:eastAsia="ja-JP"/>
        </w:rPr>
        <w:t>500/µL.</w:t>
      </w:r>
    </w:p>
    <w:p w14:paraId="7D74BF5F" w14:textId="1D149871" w:rsidR="00A7727F" w:rsidRPr="00023318" w:rsidRDefault="00023318" w:rsidP="00023318">
      <w:pPr>
        <w:pStyle w:val="ListBullet"/>
      </w:pPr>
      <w:r w:rsidRPr="00023318">
        <w:t>Partial remission:</w:t>
      </w:r>
    </w:p>
    <w:p w14:paraId="02DEA38A" w14:textId="7F81998B" w:rsidR="00A7727F" w:rsidRPr="00A7727F" w:rsidRDefault="00023318" w:rsidP="00023318">
      <w:pPr>
        <w:pStyle w:val="ListBullet2"/>
        <w:rPr>
          <w:lang w:eastAsia="ja-JP"/>
        </w:rPr>
      </w:pPr>
      <w:r>
        <w:rPr>
          <w:lang w:eastAsia="ja-JP"/>
        </w:rPr>
        <w:t>BM blasts of 6 to</w:t>
      </w:r>
      <w:r w:rsidR="00A7727F" w:rsidRPr="00A7727F">
        <w:rPr>
          <w:lang w:eastAsia="ja-JP"/>
        </w:rPr>
        <w:t xml:space="preserve"> 25% with</w:t>
      </w:r>
      <w:r>
        <w:rPr>
          <w:lang w:eastAsia="ja-JP"/>
        </w:rPr>
        <w:t xml:space="preserve"> at least a 50% reduction from B</w:t>
      </w:r>
      <w:r w:rsidR="00A7727F" w:rsidRPr="00A7727F">
        <w:rPr>
          <w:lang w:eastAsia="ja-JP"/>
        </w:rPr>
        <w:t>aseline</w:t>
      </w:r>
    </w:p>
    <w:p w14:paraId="3234A619" w14:textId="77777777" w:rsidR="00A7727F" w:rsidRPr="00A7727F" w:rsidRDefault="00A7727F" w:rsidP="00A7727F">
      <w:pPr>
        <w:rPr>
          <w:lang w:eastAsia="ja-JP"/>
        </w:rPr>
      </w:pPr>
      <w:r w:rsidRPr="00A7727F">
        <w:rPr>
          <w:lang w:eastAsia="ja-JP"/>
        </w:rPr>
        <w:t>The onset of remission was defined by the date of the first aspiration/biopsy on which the remission was documented.</w:t>
      </w:r>
    </w:p>
    <w:p w14:paraId="28D4D312" w14:textId="499D44C9" w:rsidR="00A7727F" w:rsidRPr="00116659" w:rsidRDefault="00116659" w:rsidP="00116659">
      <w:pPr>
        <w:pStyle w:val="ListBullet"/>
      </w:pPr>
      <w:r w:rsidRPr="00116659">
        <w:t>Progressive d</w:t>
      </w:r>
      <w:r w:rsidR="00A7727F" w:rsidRPr="00116659">
        <w:t>isease:</w:t>
      </w:r>
    </w:p>
    <w:p w14:paraId="07B216AF" w14:textId="1FEE8DF0" w:rsidR="00A7727F" w:rsidRPr="00A7727F" w:rsidRDefault="00A7727F" w:rsidP="00116659">
      <w:pPr>
        <w:pStyle w:val="ListBullet2"/>
        <w:rPr>
          <w:lang w:eastAsia="ja-JP"/>
        </w:rPr>
      </w:pPr>
      <w:r w:rsidRPr="00A7727F">
        <w:rPr>
          <w:lang w:eastAsia="ja-JP"/>
        </w:rPr>
        <w:t>An increase of at least 25%, or an absolute increase of at least 5,000 cells/</w:t>
      </w:r>
      <w:r w:rsidR="00116659">
        <w:rPr>
          <w:lang w:eastAsia="ja-JP"/>
        </w:rPr>
        <w:t>µL</w:t>
      </w:r>
      <w:r w:rsidRPr="00A7727F">
        <w:rPr>
          <w:lang w:eastAsia="ja-JP"/>
        </w:rPr>
        <w:t xml:space="preserve"> (whichever was greater), in the number of circulating leuk</w:t>
      </w:r>
      <w:r w:rsidR="00116659">
        <w:rPr>
          <w:lang w:eastAsia="ja-JP"/>
        </w:rPr>
        <w:t>a</w:t>
      </w:r>
      <w:r w:rsidRPr="00A7727F">
        <w:rPr>
          <w:lang w:eastAsia="ja-JP"/>
        </w:rPr>
        <w:t>emia cells, development of extramedullary disease, or other laboratory or clinical evidence of progressive disease</w:t>
      </w:r>
      <w:r w:rsidR="00116659">
        <w:rPr>
          <w:lang w:eastAsia="ja-JP"/>
        </w:rPr>
        <w:t>.</w:t>
      </w:r>
    </w:p>
    <w:p w14:paraId="561CF371" w14:textId="77777777" w:rsidR="00A7727F" w:rsidRPr="00116659" w:rsidRDefault="00A7727F" w:rsidP="00116659">
      <w:pPr>
        <w:pStyle w:val="ListBullet"/>
      </w:pPr>
      <w:r w:rsidRPr="00116659">
        <w:t>Non-response:</w:t>
      </w:r>
    </w:p>
    <w:p w14:paraId="2FB414E9" w14:textId="1DC7F460" w:rsidR="00A7727F" w:rsidRPr="00A7727F" w:rsidRDefault="00A7727F" w:rsidP="00116659">
      <w:pPr>
        <w:pStyle w:val="ListBullet2"/>
        <w:rPr>
          <w:lang w:eastAsia="ja-JP"/>
        </w:rPr>
      </w:pPr>
      <w:r w:rsidRPr="00A7727F">
        <w:rPr>
          <w:lang w:eastAsia="ja-JP"/>
        </w:rPr>
        <w:t>None of the above</w:t>
      </w:r>
      <w:r w:rsidR="00116659">
        <w:rPr>
          <w:lang w:eastAsia="ja-JP"/>
        </w:rPr>
        <w:t>.</w:t>
      </w:r>
    </w:p>
    <w:p w14:paraId="2A9306D6" w14:textId="11895B24" w:rsidR="00A7727F" w:rsidRPr="00116659" w:rsidRDefault="00116659" w:rsidP="00116659">
      <w:pPr>
        <w:pStyle w:val="ListBullet"/>
      </w:pPr>
      <w:r w:rsidRPr="00116659">
        <w:t>Haematological r</w:t>
      </w:r>
      <w:r w:rsidR="00A7727F" w:rsidRPr="00116659">
        <w:t>elapse:</w:t>
      </w:r>
    </w:p>
    <w:p w14:paraId="657A1190" w14:textId="5D8F0ECE" w:rsidR="00A7727F" w:rsidRPr="00A7727F" w:rsidRDefault="00A7727F" w:rsidP="00116659">
      <w:pPr>
        <w:pStyle w:val="ListBullet2"/>
        <w:rPr>
          <w:lang w:eastAsia="ja-JP"/>
        </w:rPr>
      </w:pPr>
      <w:r w:rsidRPr="00A7727F">
        <w:rPr>
          <w:lang w:eastAsia="ja-JP"/>
        </w:rPr>
        <w:t>Proportion of blasts in bone marrow</w:t>
      </w:r>
      <w:r w:rsidR="00375CAE">
        <w:rPr>
          <w:lang w:eastAsia="ja-JP"/>
        </w:rPr>
        <w:t xml:space="preserve"> </w:t>
      </w:r>
      <w:r w:rsidR="00423768">
        <w:rPr>
          <w:lang w:eastAsia="ja-JP"/>
        </w:rPr>
        <w:t xml:space="preserve">&gt; </w:t>
      </w:r>
      <w:r w:rsidR="007D6F35">
        <w:rPr>
          <w:lang w:eastAsia="ja-JP"/>
        </w:rPr>
        <w:t>5% or</w:t>
      </w:r>
    </w:p>
    <w:p w14:paraId="1700A8A4" w14:textId="7E33FB2B" w:rsidR="00A7727F" w:rsidRPr="00A7727F" w:rsidRDefault="00A7727F" w:rsidP="00116659">
      <w:pPr>
        <w:pStyle w:val="ListBullet2"/>
        <w:rPr>
          <w:lang w:eastAsia="ja-JP"/>
        </w:rPr>
      </w:pPr>
      <w:r w:rsidRPr="00A7727F">
        <w:rPr>
          <w:lang w:eastAsia="ja-JP"/>
        </w:rPr>
        <w:t>Blasts in peripheral</w:t>
      </w:r>
      <w:r w:rsidR="007D6F35">
        <w:rPr>
          <w:lang w:eastAsia="ja-JP"/>
        </w:rPr>
        <w:t xml:space="preserve"> blood after documented CR/CRh*</w:t>
      </w:r>
    </w:p>
    <w:p w14:paraId="0F526190" w14:textId="5D7A2DC5" w:rsidR="00A7727F" w:rsidRPr="00A7727F" w:rsidRDefault="00A7727F" w:rsidP="00116659">
      <w:pPr>
        <w:pStyle w:val="ListBullet2"/>
        <w:rPr>
          <w:lang w:eastAsia="ja-JP"/>
        </w:rPr>
      </w:pPr>
      <w:r w:rsidRPr="00A7727F">
        <w:rPr>
          <w:lang w:eastAsia="ja-JP"/>
        </w:rPr>
        <w:t>An extramedullary relapse was assessed as h</w:t>
      </w:r>
      <w:r w:rsidR="00116659">
        <w:rPr>
          <w:lang w:eastAsia="ja-JP"/>
        </w:rPr>
        <w:t>a</w:t>
      </w:r>
      <w:r w:rsidRPr="00A7727F">
        <w:rPr>
          <w:lang w:eastAsia="ja-JP"/>
        </w:rPr>
        <w:t>ematological relapse.</w:t>
      </w:r>
    </w:p>
    <w:p w14:paraId="66759DD0" w14:textId="45DE8F54" w:rsidR="00A7727F" w:rsidRPr="00A7727F" w:rsidRDefault="00116659" w:rsidP="00A7727F">
      <w:pPr>
        <w:rPr>
          <w:lang w:eastAsia="ja-JP"/>
        </w:rPr>
      </w:pPr>
      <w:r>
        <w:rPr>
          <w:lang w:eastAsia="ja-JP"/>
        </w:rPr>
        <w:t>The relapse was analysed by immuno</w:t>
      </w:r>
      <w:r w:rsidR="00A7727F" w:rsidRPr="00A7727F">
        <w:rPr>
          <w:lang w:eastAsia="ja-JP"/>
        </w:rPr>
        <w:t>phenotyping to determine whether the criteria for B-precursor ALL were fulfilled. The onset of relapse was defined by the date of the first sample on which relapse was documented.</w:t>
      </w:r>
    </w:p>
    <w:p w14:paraId="49341FDC" w14:textId="062D6CA6" w:rsidR="00A7727F" w:rsidRPr="00A7727F" w:rsidRDefault="00A7727F" w:rsidP="00A7727F">
      <w:pPr>
        <w:rPr>
          <w:lang w:eastAsia="ja-JP"/>
        </w:rPr>
      </w:pPr>
      <w:r w:rsidRPr="00A7727F">
        <w:rPr>
          <w:lang w:eastAsia="ja-JP"/>
        </w:rPr>
        <w:t>All h</w:t>
      </w:r>
      <w:r w:rsidR="00116659">
        <w:rPr>
          <w:lang w:eastAsia="ja-JP"/>
        </w:rPr>
        <w:t>a</w:t>
      </w:r>
      <w:r w:rsidRPr="00A7727F">
        <w:rPr>
          <w:lang w:eastAsia="ja-JP"/>
        </w:rPr>
        <w:t>ematological assessments of bone marrow were reviewed in a central reference laboratory.</w:t>
      </w:r>
    </w:p>
    <w:p w14:paraId="6FB718F4" w14:textId="17ADDBB2" w:rsidR="00A7727F" w:rsidRPr="00A7727F" w:rsidRDefault="00A7727F" w:rsidP="00A7727F">
      <w:pPr>
        <w:rPr>
          <w:lang w:eastAsia="ja-JP"/>
        </w:rPr>
      </w:pPr>
      <w:r w:rsidRPr="00A7727F">
        <w:rPr>
          <w:lang w:eastAsia="ja-JP"/>
        </w:rPr>
        <w:t>In the event of disease progression or h</w:t>
      </w:r>
      <w:r w:rsidR="00116659">
        <w:rPr>
          <w:lang w:eastAsia="ja-JP"/>
        </w:rPr>
        <w:t>a</w:t>
      </w:r>
      <w:r w:rsidRPr="00A7727F">
        <w:rPr>
          <w:lang w:eastAsia="ja-JP"/>
        </w:rPr>
        <w:t>ematological relapse within the treatment period, treatment was terminated.</w:t>
      </w:r>
    </w:p>
    <w:p w14:paraId="5E454745" w14:textId="77777777" w:rsidR="00A7727F" w:rsidRPr="00116659" w:rsidRDefault="00A7727F" w:rsidP="00116659">
      <w:pPr>
        <w:pStyle w:val="ListBullet"/>
      </w:pPr>
      <w:r w:rsidRPr="00116659">
        <w:t>Extramedullary disease:</w:t>
      </w:r>
    </w:p>
    <w:p w14:paraId="22CBFB02" w14:textId="03D208C5" w:rsidR="00A7727F" w:rsidRPr="00A7727F" w:rsidRDefault="00A7727F" w:rsidP="00116659">
      <w:pPr>
        <w:pStyle w:val="ListBullet2"/>
        <w:rPr>
          <w:lang w:eastAsia="ja-JP"/>
        </w:rPr>
      </w:pPr>
      <w:r w:rsidRPr="00A7727F">
        <w:rPr>
          <w:lang w:eastAsia="ja-JP"/>
        </w:rPr>
        <w:t>If clinical signs of extramedullary lesions were present, assessments were performed according to Cheson criteria. If computed tomography (CT) scans were conducted, these were done according to standard clinical practice. If a CT scan had been performed within one month before start of blinatumomab treatment and if no clinical signs of a change of disease state were observed, this assessment was regarded as a screening assessment</w:t>
      </w:r>
      <w:r w:rsidR="00116659">
        <w:rPr>
          <w:lang w:eastAsia="ja-JP"/>
        </w:rPr>
        <w:t>.</w:t>
      </w:r>
    </w:p>
    <w:p w14:paraId="06694682" w14:textId="77777777" w:rsidR="00A7727F" w:rsidRPr="00116659" w:rsidRDefault="00A7727F" w:rsidP="00116659">
      <w:pPr>
        <w:pStyle w:val="ListBullet"/>
      </w:pPr>
      <w:r w:rsidRPr="00116659">
        <w:t>MRD response:</w:t>
      </w:r>
    </w:p>
    <w:p w14:paraId="0FC2A758" w14:textId="2BA71D86" w:rsidR="00A7727F" w:rsidRPr="00A7727F" w:rsidRDefault="00A7727F" w:rsidP="00116659">
      <w:pPr>
        <w:pStyle w:val="ListBullet2"/>
        <w:rPr>
          <w:lang w:eastAsia="ja-JP"/>
        </w:rPr>
      </w:pPr>
      <w:r w:rsidRPr="00A7727F">
        <w:rPr>
          <w:lang w:eastAsia="ja-JP"/>
        </w:rPr>
        <w:t>MRD</w:t>
      </w:r>
      <w:r w:rsidR="00375CAE">
        <w:rPr>
          <w:lang w:eastAsia="ja-JP"/>
        </w:rPr>
        <w:t xml:space="preserve"> </w:t>
      </w:r>
      <w:r w:rsidR="00423768">
        <w:rPr>
          <w:lang w:eastAsia="ja-JP"/>
        </w:rPr>
        <w:t>&lt;</w:t>
      </w:r>
      <w:r w:rsidR="00375CAE">
        <w:rPr>
          <w:lang w:eastAsia="ja-JP"/>
        </w:rPr>
        <w:t xml:space="preserve"> </w:t>
      </w:r>
      <w:r w:rsidRPr="00A7727F">
        <w:rPr>
          <w:lang w:eastAsia="ja-JP"/>
        </w:rPr>
        <w:t>10</w:t>
      </w:r>
      <w:r w:rsidRPr="00A7727F">
        <w:rPr>
          <w:vertAlign w:val="superscript"/>
          <w:lang w:eastAsia="ja-JP"/>
        </w:rPr>
        <w:t>-4</w:t>
      </w:r>
      <w:r w:rsidRPr="00A7727F">
        <w:rPr>
          <w:lang w:eastAsia="ja-JP"/>
        </w:rPr>
        <w:t xml:space="preserve"> measured by PCR</w:t>
      </w:r>
      <w:r w:rsidR="00116659">
        <w:rPr>
          <w:lang w:eastAsia="ja-JP"/>
        </w:rPr>
        <w:t>.</w:t>
      </w:r>
    </w:p>
    <w:p w14:paraId="399AA4B3" w14:textId="77777777" w:rsidR="00A7727F" w:rsidRPr="00116659" w:rsidRDefault="00A7727F" w:rsidP="00116659">
      <w:pPr>
        <w:pStyle w:val="ListBullet"/>
      </w:pPr>
      <w:r w:rsidRPr="00116659">
        <w:t>MRD complete response:</w:t>
      </w:r>
    </w:p>
    <w:p w14:paraId="7CAD36AC" w14:textId="3779FE77" w:rsidR="00A7727F" w:rsidRPr="00A7727F" w:rsidRDefault="00A7727F" w:rsidP="00116659">
      <w:pPr>
        <w:pStyle w:val="ListBullet2"/>
        <w:rPr>
          <w:lang w:eastAsia="ja-JP"/>
        </w:rPr>
      </w:pPr>
      <w:r w:rsidRPr="00A7727F">
        <w:rPr>
          <w:lang w:eastAsia="ja-JP"/>
        </w:rPr>
        <w:t xml:space="preserve">MRD complete response was achieved if no PCR amplification of individual rearrangements of immunoglobulin- or </w:t>
      </w:r>
      <w:r w:rsidR="00586C19">
        <w:rPr>
          <w:lang w:eastAsia="ja-JP"/>
        </w:rPr>
        <w:t>T cell</w:t>
      </w:r>
      <w:r w:rsidRPr="00A7727F">
        <w:rPr>
          <w:lang w:eastAsia="ja-JP"/>
        </w:rPr>
        <w:t xml:space="preserve"> receptor (TCR)-genes were detected. The following minimum technical requirements for the assay must have been fulfilled:</w:t>
      </w:r>
    </w:p>
    <w:p w14:paraId="1C1767E9" w14:textId="77777777" w:rsidR="00A7727F" w:rsidRPr="00A7727F" w:rsidRDefault="00A7727F" w:rsidP="00116659">
      <w:pPr>
        <w:pStyle w:val="ListBullet3"/>
        <w:rPr>
          <w:lang w:eastAsia="ja-JP"/>
        </w:rPr>
      </w:pPr>
      <w:r w:rsidRPr="00A7727F">
        <w:rPr>
          <w:lang w:eastAsia="ja-JP"/>
        </w:rPr>
        <w:t>sensitivity of at least 10</w:t>
      </w:r>
      <w:r w:rsidRPr="00A7727F">
        <w:rPr>
          <w:vertAlign w:val="superscript"/>
          <w:lang w:eastAsia="ja-JP"/>
        </w:rPr>
        <w:t>-4</w:t>
      </w:r>
    </w:p>
    <w:p w14:paraId="48FA2033" w14:textId="77777777" w:rsidR="00A7727F" w:rsidRPr="00A7727F" w:rsidRDefault="00A7727F" w:rsidP="00116659">
      <w:pPr>
        <w:pStyle w:val="ListBullet3"/>
        <w:rPr>
          <w:lang w:eastAsia="ja-JP"/>
        </w:rPr>
      </w:pPr>
      <w:r w:rsidRPr="00A7727F">
        <w:rPr>
          <w:lang w:eastAsia="ja-JP"/>
        </w:rPr>
        <w:t>quantitative measurement range of at least 10</w:t>
      </w:r>
      <w:r w:rsidRPr="00A7727F">
        <w:rPr>
          <w:vertAlign w:val="superscript"/>
          <w:lang w:eastAsia="ja-JP"/>
        </w:rPr>
        <w:t>-4</w:t>
      </w:r>
    </w:p>
    <w:p w14:paraId="3EB2141A" w14:textId="77777777" w:rsidR="00A7727F" w:rsidRPr="00116659" w:rsidRDefault="00A7727F" w:rsidP="00116659">
      <w:pPr>
        <w:pStyle w:val="ListBullet"/>
      </w:pPr>
      <w:r w:rsidRPr="00116659">
        <w:t>MRD relapse:</w:t>
      </w:r>
    </w:p>
    <w:p w14:paraId="50B9FF8A" w14:textId="796A2B55" w:rsidR="00A7727F" w:rsidRPr="00A7727F" w:rsidRDefault="00116659" w:rsidP="00116659">
      <w:pPr>
        <w:pStyle w:val="ListBullet2"/>
        <w:rPr>
          <w:lang w:eastAsia="ja-JP"/>
        </w:rPr>
      </w:pPr>
      <w:r>
        <w:rPr>
          <w:lang w:eastAsia="ja-JP"/>
        </w:rPr>
        <w:t>Re</w:t>
      </w:r>
      <w:r w:rsidR="00A7727F" w:rsidRPr="00A7727F">
        <w:rPr>
          <w:lang w:eastAsia="ja-JP"/>
        </w:rPr>
        <w:t>appearance of individual rearrangements of immunoglobulin or TCR-genes for at least one individual marker measured by an assay with a sensitivity of minimum 10</w:t>
      </w:r>
      <w:r w:rsidR="00A7727F" w:rsidRPr="00A7727F">
        <w:rPr>
          <w:vertAlign w:val="superscript"/>
          <w:lang w:eastAsia="ja-JP"/>
        </w:rPr>
        <w:t>-4</w:t>
      </w:r>
      <w:r w:rsidR="00A7727F" w:rsidRPr="00A7727F">
        <w:rPr>
          <w:lang w:eastAsia="ja-JP"/>
        </w:rPr>
        <w:t xml:space="preserve"> in patients who had</w:t>
      </w:r>
      <w:r>
        <w:rPr>
          <w:lang w:eastAsia="ja-JP"/>
        </w:rPr>
        <w:t xml:space="preserve"> achieved previous MRD response.</w:t>
      </w:r>
    </w:p>
    <w:p w14:paraId="0A8D1FA9" w14:textId="77777777" w:rsidR="00A7727F" w:rsidRPr="00A7727F" w:rsidRDefault="00A7727F" w:rsidP="00116659">
      <w:pPr>
        <w:pStyle w:val="ListBullet"/>
        <w:rPr>
          <w:lang w:eastAsia="ja-JP"/>
        </w:rPr>
      </w:pPr>
      <w:r w:rsidRPr="00A7727F">
        <w:rPr>
          <w:lang w:eastAsia="ja-JP"/>
        </w:rPr>
        <w:t>MRD progression:</w:t>
      </w:r>
    </w:p>
    <w:p w14:paraId="39E5FBF5" w14:textId="77777777" w:rsidR="00443EC5" w:rsidRDefault="00A7727F" w:rsidP="00443EC5">
      <w:pPr>
        <w:pStyle w:val="ListBullet2"/>
        <w:rPr>
          <w:lang w:eastAsia="ja-JP"/>
        </w:rPr>
      </w:pPr>
      <w:r w:rsidRPr="00A7727F">
        <w:rPr>
          <w:lang w:eastAsia="ja-JP"/>
        </w:rPr>
        <w:t>Increase in the MRD level by one log as compared to the baseline level which was equal to a 10-fold increase in the number of MRD cells.</w:t>
      </w:r>
    </w:p>
    <w:p w14:paraId="38A3A9E3" w14:textId="46FFA8FD" w:rsidR="00A7727F" w:rsidRPr="00443EC5" w:rsidRDefault="00A7727F" w:rsidP="00443EC5">
      <w:pPr>
        <w:pStyle w:val="Heading5"/>
        <w:rPr>
          <w:lang w:eastAsia="ja-JP"/>
        </w:rPr>
      </w:pPr>
      <w:r w:rsidRPr="00443EC5">
        <w:rPr>
          <w:lang w:eastAsia="ja-JP"/>
        </w:rPr>
        <w:t>Analysis populations</w:t>
      </w:r>
    </w:p>
    <w:p w14:paraId="79B94BD8" w14:textId="643A2A04" w:rsidR="00A7727F" w:rsidRPr="00A7727F" w:rsidRDefault="00A7727F" w:rsidP="00A7727F">
      <w:pPr>
        <w:rPr>
          <w:lang w:eastAsia="ja-JP"/>
        </w:rPr>
      </w:pPr>
      <w:r w:rsidRPr="00A7727F">
        <w:rPr>
          <w:lang w:eastAsia="ja-JP"/>
        </w:rPr>
        <w:t>The study pro</w:t>
      </w:r>
      <w:r w:rsidR="00116659">
        <w:rPr>
          <w:lang w:eastAsia="ja-JP"/>
        </w:rPr>
        <w:t xml:space="preserve">tocol originally used a Simon 2 </w:t>
      </w:r>
      <w:r w:rsidRPr="00A7727F">
        <w:rPr>
          <w:lang w:eastAsia="ja-JP"/>
        </w:rPr>
        <w:t>stage design. The study was subsequently expanded to further evaluate safety and the manufacturing method intended for marketi</w:t>
      </w:r>
      <w:r w:rsidR="00116659">
        <w:rPr>
          <w:lang w:eastAsia="ja-JP"/>
        </w:rPr>
        <w:t xml:space="preserve">ng. The </w:t>
      </w:r>
      <w:r w:rsidR="00116659" w:rsidRPr="007D6F35">
        <w:rPr>
          <w:lang w:eastAsia="ja-JP"/>
        </w:rPr>
        <w:t xml:space="preserve">proposed Simon 2 </w:t>
      </w:r>
      <w:r w:rsidRPr="007D6F35">
        <w:rPr>
          <w:lang w:eastAsia="ja-JP"/>
        </w:rPr>
        <w:t>stage design with extension and additional evaluation cohort is provided in Figure 19</w:t>
      </w:r>
      <w:r w:rsidR="00A519D3" w:rsidRPr="007D6F35">
        <w:rPr>
          <w:lang w:eastAsia="ja-JP"/>
        </w:rPr>
        <w:t>, shown</w:t>
      </w:r>
      <w:r w:rsidR="00A519D3">
        <w:rPr>
          <w:lang w:eastAsia="ja-JP"/>
        </w:rPr>
        <w:t xml:space="preserve"> below.</w:t>
      </w:r>
    </w:p>
    <w:p w14:paraId="549F8A44" w14:textId="1BE39711" w:rsidR="00A7727F" w:rsidRPr="00A7727F" w:rsidRDefault="00A7727F" w:rsidP="00A7727F">
      <w:pPr>
        <w:rPr>
          <w:lang w:eastAsia="ja-JP"/>
        </w:rPr>
      </w:pPr>
      <w:r w:rsidRPr="00A7727F">
        <w:rPr>
          <w:lang w:eastAsia="ja-JP"/>
        </w:rPr>
        <w:t xml:space="preserve">In </w:t>
      </w:r>
      <w:r w:rsidR="00116659">
        <w:rPr>
          <w:lang w:eastAsia="ja-JP"/>
        </w:rPr>
        <w:t xml:space="preserve">Stage 1 of the Simon 2 </w:t>
      </w:r>
      <w:r w:rsidRPr="00A7727F">
        <w:rPr>
          <w:lang w:eastAsia="ja-JP"/>
        </w:rPr>
        <w:t xml:space="preserve">stage design, 29 subjects were enrolled, and 10 subjects achieved remission (CR/CRh*) during the first 2 cycles of treatment; at least 7 responses were needed to continue the study. The goal was met, </w:t>
      </w:r>
      <w:r w:rsidR="00116659">
        <w:rPr>
          <w:lang w:eastAsia="ja-JP"/>
        </w:rPr>
        <w:t>thus stage 2 was initiated. In S</w:t>
      </w:r>
      <w:r w:rsidRPr="00A7727F">
        <w:rPr>
          <w:lang w:eastAsia="ja-JP"/>
        </w:rPr>
        <w:t>tage 2, 37 subjects were enrolled, and 17 CR/CRh* responses were achieved during the first 2 cycles of treatment. Thus, a total of 27 respons</w:t>
      </w:r>
      <w:r w:rsidR="00116659">
        <w:rPr>
          <w:lang w:eastAsia="ja-JP"/>
        </w:rPr>
        <w:t>es were achieved during S</w:t>
      </w:r>
      <w:r w:rsidRPr="00A7727F">
        <w:rPr>
          <w:lang w:eastAsia="ja-JP"/>
        </w:rPr>
        <w:t>tages 1 and 2. At least 19 of 61 responses were needed to continue the study; this goal was met, thus, a third stage (extension) was initiated leading to the enrolment of</w:t>
      </w:r>
      <w:r w:rsidR="00116659">
        <w:rPr>
          <w:lang w:eastAsia="ja-JP"/>
        </w:rPr>
        <w:t xml:space="preserve"> </w:t>
      </w:r>
      <w:r w:rsidRPr="00A7727F">
        <w:rPr>
          <w:lang w:eastAsia="ja-JP"/>
        </w:rPr>
        <w:t>123 additional subjects. An additional 36 subjects were enrolled to evaluate central nervous system (CNS) symptoms (</w:t>
      </w:r>
      <w:r w:rsidR="005B0CFF">
        <w:rPr>
          <w:lang w:eastAsia="ja-JP"/>
        </w:rPr>
        <w:t>that is,</w:t>
      </w:r>
      <w:r w:rsidRPr="00A7727F">
        <w:rPr>
          <w:lang w:eastAsia="ja-JP"/>
        </w:rPr>
        <w:t xml:space="preserve"> additional evaluation cohort); the data from these subjects will be reported</w:t>
      </w:r>
      <w:r w:rsidR="007D6F35">
        <w:rPr>
          <w:lang w:eastAsia="ja-JP"/>
        </w:rPr>
        <w:t xml:space="preserve"> in the secondary analysis CSR.</w:t>
      </w:r>
    </w:p>
    <w:p w14:paraId="078822A8" w14:textId="4D0D329A" w:rsidR="00A7727F" w:rsidRPr="00A7727F" w:rsidRDefault="00A7727F" w:rsidP="007D6F35">
      <w:pPr>
        <w:pStyle w:val="FigureTitle"/>
        <w:keepNext/>
        <w:rPr>
          <w:lang w:eastAsia="ja-JP"/>
        </w:rPr>
      </w:pPr>
      <w:bookmarkStart w:id="166" w:name="_Toc292015799"/>
      <w:r w:rsidRPr="00A7727F">
        <w:rPr>
          <w:lang w:eastAsia="ja-JP"/>
        </w:rPr>
        <w:t xml:space="preserve">Figure </w:t>
      </w:r>
      <w:r w:rsidR="007D6F35">
        <w:rPr>
          <w:lang w:eastAsia="ja-JP"/>
        </w:rPr>
        <w:t>19:</w:t>
      </w:r>
      <w:r w:rsidR="00116659">
        <w:rPr>
          <w:lang w:eastAsia="ja-JP"/>
        </w:rPr>
        <w:t xml:space="preserve"> Simon 2 s</w:t>
      </w:r>
      <w:r w:rsidRPr="00A7727F">
        <w:rPr>
          <w:lang w:eastAsia="ja-JP"/>
        </w:rPr>
        <w:t xml:space="preserve">tage </w:t>
      </w:r>
      <w:r w:rsidR="00116659" w:rsidRPr="00A7727F">
        <w:rPr>
          <w:lang w:eastAsia="ja-JP"/>
        </w:rPr>
        <w:t>design with third stage (extension) and additional evaluation cohort</w:t>
      </w:r>
      <w:bookmarkEnd w:id="166"/>
    </w:p>
    <w:p w14:paraId="0CA6333E" w14:textId="77777777" w:rsidR="00A7727F" w:rsidRPr="00A7727F" w:rsidRDefault="00A7727F" w:rsidP="00A7727F">
      <w:pPr>
        <w:rPr>
          <w:lang w:eastAsia="ja-JP"/>
        </w:rPr>
      </w:pPr>
      <w:r w:rsidRPr="00A7727F">
        <w:rPr>
          <w:noProof/>
          <w:lang w:eastAsia="en-AU"/>
        </w:rPr>
        <w:drawing>
          <wp:inline distT="0" distB="0" distL="0" distR="0" wp14:anchorId="5A6E299A" wp14:editId="7348BEB8">
            <wp:extent cx="4253230" cy="2891790"/>
            <wp:effectExtent l="0" t="0" r="0" b="3810"/>
            <wp:docPr id="94" name="Picture 94" descr="Figure 19: Simon 2 stage design with third stage (extension) and additional evaluation cohort. Simon 2 stage design with third stage (extension) and additional evaluatin cohort. In Simon Stage 1, 29 patients were enrolled. Subjects with &lt; 7 responses within 2 cycles would result in end of study for that subject.Subjects with 7 or more responses within 2 cycles could enter Stage 2. In Stage 2, 32 patients were entrolled. If a subject had less than 19 responses within 2 cycles, it would result in study termination. If a subject had 19 or more responses, they could enter the third stage extention. 129 subjects were enrolled in the extension, with 30 subjects entrolled in an additional evaluation cohort." title="Simon 2 stage design with third stage (extension) and additional evaluation coh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4253230" cy="2891790"/>
                    </a:xfrm>
                    <a:prstGeom prst="rect">
                      <a:avLst/>
                    </a:prstGeom>
                    <a:noFill/>
                    <a:ln>
                      <a:noFill/>
                    </a:ln>
                  </pic:spPr>
                </pic:pic>
              </a:graphicData>
            </a:graphic>
          </wp:inline>
        </w:drawing>
      </w:r>
    </w:p>
    <w:p w14:paraId="5F088B71" w14:textId="11E6F3CE" w:rsidR="00A7727F" w:rsidRPr="00A7727F" w:rsidRDefault="00A7727F" w:rsidP="00A7727F">
      <w:pPr>
        <w:rPr>
          <w:lang w:eastAsia="ja-JP"/>
        </w:rPr>
      </w:pPr>
      <w:r w:rsidRPr="00443EC5">
        <w:t>Primary analysis set (PAS):</w:t>
      </w:r>
      <w:r w:rsidRPr="00A7727F">
        <w:rPr>
          <w:b/>
          <w:lang w:eastAsia="ja-JP"/>
        </w:rPr>
        <w:t xml:space="preserve"> </w:t>
      </w:r>
      <w:r w:rsidRPr="00A7727F">
        <w:rPr>
          <w:bCs/>
          <w:lang w:eastAsia="ja-JP"/>
        </w:rPr>
        <w:t>The primary efficacy endpoint of this study was the rate of subjects who reached CR/CRh* as best response within the first 2 cycles of treatment with blinatumomab. The primary efficacy endpoint was formally assessed t</w:t>
      </w:r>
      <w:r w:rsidR="00443EC5">
        <w:rPr>
          <w:bCs/>
          <w:lang w:eastAsia="ja-JP"/>
        </w:rPr>
        <w:t xml:space="preserve">wice: at the end of Simon Stage </w:t>
      </w:r>
      <w:r w:rsidRPr="00A7727F">
        <w:rPr>
          <w:bCs/>
          <w:lang w:eastAsia="ja-JP"/>
        </w:rPr>
        <w:t>2 design (in</w:t>
      </w:r>
      <w:r w:rsidR="00443EC5">
        <w:rPr>
          <w:bCs/>
          <w:lang w:eastAsia="ja-JP"/>
        </w:rPr>
        <w:t>terim analysis) and the end of S</w:t>
      </w:r>
      <w:r w:rsidRPr="00A7727F">
        <w:rPr>
          <w:bCs/>
          <w:lang w:eastAsia="ja-JP"/>
        </w:rPr>
        <w:t>tage 3 (primary analysis), which was conducted when the last subject of the primary analysis cohort completed the first 2 cycles of treatment (</w:t>
      </w:r>
      <w:r w:rsidR="005B0CFF">
        <w:rPr>
          <w:bCs/>
          <w:lang w:eastAsia="ja-JP"/>
        </w:rPr>
        <w:t>that is,</w:t>
      </w:r>
      <w:r w:rsidR="00443EC5">
        <w:rPr>
          <w:bCs/>
          <w:lang w:eastAsia="ja-JP"/>
        </w:rPr>
        <w:t xml:space="preserve"> the primary analysis set (PAS)</w:t>
      </w:r>
      <w:r w:rsidRPr="00A7727F">
        <w:rPr>
          <w:bCs/>
          <w:lang w:eastAsia="ja-JP"/>
        </w:rPr>
        <w:t>); data cut-off date 10 October 2013).</w:t>
      </w:r>
    </w:p>
    <w:p w14:paraId="65DA578C" w14:textId="50F82558" w:rsidR="00A7727F" w:rsidRPr="00A7727F" w:rsidRDefault="00443EC5" w:rsidP="00A7727F">
      <w:pPr>
        <w:rPr>
          <w:lang w:eastAsia="ja-JP"/>
        </w:rPr>
      </w:pPr>
      <w:r w:rsidRPr="00443EC5">
        <w:t>Secondary e</w:t>
      </w:r>
      <w:r w:rsidR="00A7727F" w:rsidRPr="00443EC5">
        <w:t>ndpoints:</w:t>
      </w:r>
      <w:r w:rsidR="00A7727F" w:rsidRPr="00A7727F">
        <w:rPr>
          <w:lang w:eastAsia="ja-JP"/>
        </w:rPr>
        <w:t xml:space="preserve"> All secondary efficacy endpoints were analysed when the last subject had an opportunity to complete the first 2 cycles of treatment.</w:t>
      </w:r>
    </w:p>
    <w:p w14:paraId="045D8C7A" w14:textId="77777777" w:rsidR="00A7727F" w:rsidRPr="00A7727F" w:rsidDel="0081373E" w:rsidRDefault="00A7727F" w:rsidP="00443EC5">
      <w:pPr>
        <w:pStyle w:val="Heading5"/>
        <w:rPr>
          <w:lang w:eastAsia="ja-JP"/>
        </w:rPr>
      </w:pPr>
      <w:r w:rsidRPr="00A7727F" w:rsidDel="0081373E">
        <w:rPr>
          <w:lang w:eastAsia="ja-JP"/>
        </w:rPr>
        <w:t>Sample size</w:t>
      </w:r>
    </w:p>
    <w:p w14:paraId="13E2C60B" w14:textId="3A2BDEA9" w:rsidR="00A7727F" w:rsidRPr="00A7727F" w:rsidRDefault="00A7727F" w:rsidP="00A7727F">
      <w:pPr>
        <w:rPr>
          <w:lang w:eastAsia="ja-JP"/>
        </w:rPr>
      </w:pPr>
      <w:r w:rsidRPr="00A7727F">
        <w:rPr>
          <w:lang w:eastAsia="ja-JP"/>
        </w:rPr>
        <w:t>Sample size estimation for</w:t>
      </w:r>
      <w:r w:rsidR="00443EC5">
        <w:rPr>
          <w:lang w:eastAsia="ja-JP"/>
        </w:rPr>
        <w:t xml:space="preserve"> the primary efficacy endpoint ‘</w:t>
      </w:r>
      <w:r w:rsidRPr="00A7727F">
        <w:rPr>
          <w:lang w:eastAsia="ja-JP"/>
        </w:rPr>
        <w:t>rate of subjects who achieve a CR/CRh* within 2 cycles</w:t>
      </w:r>
      <w:r w:rsidR="00443EC5">
        <w:rPr>
          <w:lang w:eastAsia="ja-JP"/>
        </w:rPr>
        <w:t xml:space="preserve"> of treatment with blinatumomab’ was based on a Simon 2 </w:t>
      </w:r>
      <w:r w:rsidRPr="00A7727F">
        <w:rPr>
          <w:lang w:eastAsia="ja-JP"/>
        </w:rPr>
        <w:t>stage minimax design with the following parameters: p</w:t>
      </w:r>
      <w:r w:rsidRPr="00A7727F">
        <w:rPr>
          <w:vertAlign w:val="subscript"/>
          <w:lang w:eastAsia="ja-JP"/>
        </w:rPr>
        <w:t>0</w:t>
      </w:r>
      <w:r w:rsidR="00375CAE">
        <w:rPr>
          <w:lang w:eastAsia="ja-JP"/>
        </w:rPr>
        <w:t xml:space="preserve"> </w:t>
      </w:r>
      <w:r w:rsidR="00423768">
        <w:rPr>
          <w:lang w:eastAsia="ja-JP"/>
        </w:rPr>
        <w:t>=</w:t>
      </w:r>
      <w:r w:rsidR="00375CAE">
        <w:rPr>
          <w:lang w:eastAsia="ja-JP"/>
        </w:rPr>
        <w:t xml:space="preserve"> </w:t>
      </w:r>
      <w:r w:rsidRPr="00A7727F">
        <w:rPr>
          <w:lang w:eastAsia="ja-JP"/>
        </w:rPr>
        <w:t>20%, p</w:t>
      </w:r>
      <w:r w:rsidRPr="00A7727F">
        <w:rPr>
          <w:vertAlign w:val="subscript"/>
          <w:lang w:eastAsia="ja-JP"/>
        </w:rPr>
        <w:t>1</w:t>
      </w:r>
      <w:r w:rsidR="00375CAE">
        <w:rPr>
          <w:lang w:eastAsia="ja-JP"/>
        </w:rPr>
        <w:t xml:space="preserve"> </w:t>
      </w:r>
      <w:r w:rsidR="00423768">
        <w:rPr>
          <w:lang w:eastAsia="ja-JP"/>
        </w:rPr>
        <w:t>=</w:t>
      </w:r>
      <w:r w:rsidR="00375CAE">
        <w:rPr>
          <w:lang w:eastAsia="ja-JP"/>
        </w:rPr>
        <w:t xml:space="preserve"> </w:t>
      </w:r>
      <w:r w:rsidR="00443EC5">
        <w:rPr>
          <w:lang w:eastAsia="ja-JP"/>
        </w:rPr>
        <w:t xml:space="preserve">36%, a 1 </w:t>
      </w:r>
      <w:r w:rsidRPr="00A7727F">
        <w:rPr>
          <w:lang w:eastAsia="ja-JP"/>
        </w:rPr>
        <w:t xml:space="preserve">sided type 1 error of 2.5% and a power of 80%. According to these parameters, 61 treated subjects (29 at </w:t>
      </w:r>
      <w:r w:rsidR="00443EC5">
        <w:rPr>
          <w:lang w:eastAsia="ja-JP"/>
        </w:rPr>
        <w:t>Stage 1 and 32 at S</w:t>
      </w:r>
      <w:r w:rsidRPr="00A7727F">
        <w:rPr>
          <w:lang w:eastAsia="ja-JP"/>
        </w:rPr>
        <w:t xml:space="preserve">tage 2) were needed to achieve 80% power. The study would have been stopped at </w:t>
      </w:r>
      <w:r w:rsidR="00443EC5">
        <w:rPr>
          <w:lang w:eastAsia="ja-JP"/>
        </w:rPr>
        <w:t>S</w:t>
      </w:r>
      <w:r w:rsidRPr="00A7727F">
        <w:rPr>
          <w:lang w:eastAsia="ja-JP"/>
        </w:rPr>
        <w:t>tage 1 if fewer than 7 out of 29 subjects</w:t>
      </w:r>
      <w:r w:rsidR="00443EC5">
        <w:rPr>
          <w:lang w:eastAsia="ja-JP"/>
        </w:rPr>
        <w:t xml:space="preserve"> were observed with CR/CRh* in S</w:t>
      </w:r>
      <w:r w:rsidRPr="00A7727F">
        <w:rPr>
          <w:lang w:eastAsia="ja-JP"/>
        </w:rPr>
        <w:t>tage 1. If at least 19 out of 61 subjects (approximately 31%) showed a CR/CRh* within 2 cycles of treatment w</w:t>
      </w:r>
      <w:r w:rsidR="00443EC5">
        <w:rPr>
          <w:lang w:eastAsia="ja-JP"/>
        </w:rPr>
        <w:t>ith blinatumomab at the end of S</w:t>
      </w:r>
      <w:r w:rsidRPr="00A7727F">
        <w:rPr>
          <w:lang w:eastAsia="ja-JP"/>
        </w:rPr>
        <w:t>tage 2, then H</w:t>
      </w:r>
      <w:r w:rsidRPr="00A7727F">
        <w:rPr>
          <w:vertAlign w:val="subscript"/>
          <w:lang w:eastAsia="ja-JP"/>
        </w:rPr>
        <w:t>0</w:t>
      </w:r>
      <w:r w:rsidRPr="00A7727F">
        <w:rPr>
          <w:lang w:eastAsia="ja-JP"/>
        </w:rPr>
        <w:t xml:space="preserve"> would have been rejected and further development of blinatumomab would have been considered warranted. This was used to propose the continuation of the trial via a third stage of recruitment.</w:t>
      </w:r>
    </w:p>
    <w:p w14:paraId="7DD43D6E" w14:textId="77777777" w:rsidR="00A7727F" w:rsidRPr="00A7727F" w:rsidRDefault="00A7727F" w:rsidP="00A7727F">
      <w:pPr>
        <w:rPr>
          <w:lang w:eastAsia="ja-JP"/>
        </w:rPr>
      </w:pPr>
      <w:r w:rsidRPr="00A7727F">
        <w:rPr>
          <w:lang w:eastAsia="ja-JP"/>
        </w:rPr>
        <w:t>Subject enrolment was to have ended after the one hundred-fortieth subject had started treatment or after the fiftieth subject had started treatment with CTM5 in the first treatment cycle, whichever occurred later.</w:t>
      </w:r>
    </w:p>
    <w:p w14:paraId="52458FF5" w14:textId="4B462E83" w:rsidR="00A7727F" w:rsidRPr="00A7727F" w:rsidRDefault="00A7727F" w:rsidP="00A7727F">
      <w:pPr>
        <w:rPr>
          <w:lang w:eastAsia="ja-JP"/>
        </w:rPr>
      </w:pPr>
      <w:r w:rsidRPr="00A7727F">
        <w:rPr>
          <w:lang w:eastAsia="ja-JP"/>
        </w:rPr>
        <w:t>The combined sample of subjects from all 3 stages, of at least 140 subjects, was used to perform the primary statistical analysis. A sample size of 140 and a p</w:t>
      </w:r>
      <w:r w:rsidRPr="00A7727F">
        <w:rPr>
          <w:vertAlign w:val="subscript"/>
          <w:lang w:eastAsia="ja-JP"/>
        </w:rPr>
        <w:t>1</w:t>
      </w:r>
      <w:r w:rsidR="00375CAE">
        <w:rPr>
          <w:lang w:eastAsia="ja-JP"/>
        </w:rPr>
        <w:t xml:space="preserve"> </w:t>
      </w:r>
      <w:r w:rsidR="00423768">
        <w:rPr>
          <w:lang w:eastAsia="ja-JP"/>
        </w:rPr>
        <w:t>=</w:t>
      </w:r>
      <w:r w:rsidR="00375CAE">
        <w:rPr>
          <w:lang w:eastAsia="ja-JP"/>
        </w:rPr>
        <w:t xml:space="preserve"> </w:t>
      </w:r>
      <w:r w:rsidRPr="00A7727F">
        <w:rPr>
          <w:lang w:eastAsia="ja-JP"/>
        </w:rPr>
        <w:t>45% provided 96% power to reject H</w:t>
      </w:r>
      <w:r w:rsidRPr="00A7727F">
        <w:rPr>
          <w:vertAlign w:val="subscript"/>
          <w:lang w:eastAsia="ja-JP"/>
        </w:rPr>
        <w:t>0</w:t>
      </w:r>
      <w:r w:rsidRPr="00A7727F">
        <w:rPr>
          <w:lang w:eastAsia="ja-JP"/>
        </w:rPr>
        <w:t xml:space="preserve"> with a type I error of 2.5%.</w:t>
      </w:r>
    </w:p>
    <w:p w14:paraId="51B09287" w14:textId="501EA6C9" w:rsidR="00A7727F" w:rsidRPr="00A7727F" w:rsidRDefault="00A7727F" w:rsidP="00A7727F">
      <w:pPr>
        <w:rPr>
          <w:lang w:eastAsia="ja-JP"/>
        </w:rPr>
      </w:pPr>
      <w:r w:rsidRPr="00A7727F">
        <w:rPr>
          <w:lang w:eastAsia="ja-JP"/>
        </w:rPr>
        <w:t>The addition of the third stage of recruitment also provided an opportunity to estimate safety risks with greater precision. With N</w:t>
      </w:r>
      <w:r w:rsidR="00375CAE">
        <w:rPr>
          <w:lang w:eastAsia="ja-JP"/>
        </w:rPr>
        <w:t xml:space="preserve"> </w:t>
      </w:r>
      <w:r w:rsidR="00423768">
        <w:rPr>
          <w:lang w:eastAsia="ja-JP"/>
        </w:rPr>
        <w:t>=</w:t>
      </w:r>
      <w:r w:rsidR="00375CAE">
        <w:rPr>
          <w:lang w:eastAsia="ja-JP"/>
        </w:rPr>
        <w:t xml:space="preserve"> </w:t>
      </w:r>
      <w:r w:rsidRPr="00A7727F">
        <w:rPr>
          <w:lang w:eastAsia="ja-JP"/>
        </w:rPr>
        <w:t>140, the 95% confidence interval (CI) for adverse events that were not observed would range from 0 to 2.1%, suggesting that unobserved events were unlikely to occur more frequently than in approximately 1 in 50 subjects.</w:t>
      </w:r>
    </w:p>
    <w:p w14:paraId="7DF22DCA" w14:textId="77777777" w:rsidR="00A7727F" w:rsidRPr="00A7727F" w:rsidRDefault="00A7727F" w:rsidP="00A7727F">
      <w:pPr>
        <w:rPr>
          <w:lang w:eastAsia="ja-JP"/>
        </w:rPr>
      </w:pPr>
      <w:r w:rsidRPr="00A7727F">
        <w:rPr>
          <w:lang w:eastAsia="ja-JP"/>
        </w:rPr>
        <w:t>With a sample size of 50 subjects treated with only CTM5 and an assumed remission rate among those subjects of at least 45%, 23 subjects were expected to achieve remission and a 95% CI around the rate of remission for subjects treated with CTM5 was 32% to 61%.</w:t>
      </w:r>
    </w:p>
    <w:p w14:paraId="4ED39C09" w14:textId="5C96DBE8" w:rsidR="00A7727F" w:rsidRPr="00A7727F" w:rsidRDefault="00A7727F" w:rsidP="00A7727F">
      <w:pPr>
        <w:rPr>
          <w:lang w:eastAsia="ja-JP"/>
        </w:rPr>
      </w:pPr>
      <w:r w:rsidRPr="00A7727F">
        <w:rPr>
          <w:lang w:eastAsia="ja-JP"/>
        </w:rPr>
        <w:t xml:space="preserve">Upon completion of the third stage of the trial, a </w:t>
      </w:r>
      <w:r w:rsidR="00443EC5">
        <w:rPr>
          <w:lang w:eastAsia="ja-JP"/>
        </w:rPr>
        <w:t>fourth</w:t>
      </w:r>
      <w:r w:rsidRPr="00A7727F">
        <w:rPr>
          <w:lang w:eastAsia="ja-JP"/>
        </w:rPr>
        <w:t xml:space="preserve"> stage of recruitment of subjects was initiated. For this cohort, 36 subjects were treated. Subjects in this cohort underwent additional MRI and neurological examinations. The neurological examination results were used to test for statistically significant changes from baseline by comparing the number of test items with at least 1 abnormal finding before blinatumomab treatment to the number of test items with at least 1 abnormal finding after blinatumomab treatment. Assuming a mean of 0 abnormal findings at baseline, a mean chan</w:t>
      </w:r>
      <w:r w:rsidR="00443EC5">
        <w:rPr>
          <w:lang w:eastAsia="ja-JP"/>
        </w:rPr>
        <w:t xml:space="preserve">ge from Baseline of 0.5 (follow </w:t>
      </w:r>
      <w:r w:rsidRPr="00A7727F">
        <w:rPr>
          <w:lang w:eastAsia="ja-JP"/>
        </w:rPr>
        <w:t xml:space="preserve">up minus baseline), a standard deviation (SD) of the mean difference equal to 1.0, and a 1-sided type I error rate of 2.5%, the sample size of 30 subjects provided approximately 80% power to detect a mean change from </w:t>
      </w:r>
      <w:r w:rsidR="00443EC5">
        <w:rPr>
          <w:lang w:eastAsia="ja-JP"/>
        </w:rPr>
        <w:t>B</w:t>
      </w:r>
      <w:r w:rsidRPr="00A7727F">
        <w:rPr>
          <w:lang w:eastAsia="ja-JP"/>
        </w:rPr>
        <w:t xml:space="preserve">aseline that was greater than 0, indicating an increase in abnormal neurologic examination </w:t>
      </w:r>
      <w:r w:rsidR="00443EC5">
        <w:rPr>
          <w:lang w:eastAsia="ja-JP"/>
        </w:rPr>
        <w:t>results after blinatumomab use.</w:t>
      </w:r>
    </w:p>
    <w:p w14:paraId="2715F6A3" w14:textId="49A0BA39" w:rsidR="00A7727F" w:rsidRPr="00A7727F" w:rsidRDefault="00A7727F" w:rsidP="00A7727F">
      <w:pPr>
        <w:rPr>
          <w:lang w:eastAsia="ja-JP"/>
        </w:rPr>
      </w:pPr>
      <w:r w:rsidRPr="00A7727F">
        <w:rPr>
          <w:lang w:eastAsia="ja-JP"/>
        </w:rPr>
        <w:t xml:space="preserve">The total sample size for enrolment into </w:t>
      </w:r>
      <w:r w:rsidR="00443EC5">
        <w:rPr>
          <w:lang w:eastAsia="ja-JP"/>
        </w:rPr>
        <w:t>S</w:t>
      </w:r>
      <w:r w:rsidRPr="00A7727F">
        <w:rPr>
          <w:lang w:eastAsia="ja-JP"/>
        </w:rPr>
        <w:t>tages 1 through 3 was e</w:t>
      </w:r>
      <w:r w:rsidR="00443EC5">
        <w:rPr>
          <w:lang w:eastAsia="ja-JP"/>
        </w:rPr>
        <w:t>xpected to be approximately 170 </w:t>
      </w:r>
      <w:r w:rsidRPr="00A7727F">
        <w:rPr>
          <w:lang w:eastAsia="ja-JP"/>
        </w:rPr>
        <w:t>treated subjects (it was expected to be 140 subjects at a minimum and could have been as high as 190 subjects). For this CSR, data for the PAS are reported (</w:t>
      </w:r>
      <w:r w:rsidR="00443EC5">
        <w:rPr>
          <w:lang w:eastAsia="ja-JP"/>
        </w:rPr>
        <w:t>that is</w:t>
      </w:r>
      <w:r w:rsidRPr="00A7727F">
        <w:rPr>
          <w:lang w:eastAsia="ja-JP"/>
        </w:rPr>
        <w:t>, first 189 subjects who had the opportunity to be assessed for at least the first 2 cycles of treatment).</w:t>
      </w:r>
    </w:p>
    <w:p w14:paraId="10A39E3D" w14:textId="77777777" w:rsidR="00A7727F" w:rsidRPr="00A7727F" w:rsidRDefault="00A7727F" w:rsidP="00443EC5">
      <w:pPr>
        <w:pStyle w:val="Heading5"/>
        <w:rPr>
          <w:lang w:eastAsia="ja-JP"/>
        </w:rPr>
      </w:pPr>
      <w:r w:rsidRPr="00A7727F">
        <w:rPr>
          <w:lang w:eastAsia="ja-JP"/>
        </w:rPr>
        <w:t>Statistical methods</w:t>
      </w:r>
    </w:p>
    <w:p w14:paraId="6F96D6D0" w14:textId="690FB504" w:rsidR="00A7727F" w:rsidRPr="00443EC5" w:rsidRDefault="00A7727F" w:rsidP="00A7727F">
      <w:pPr>
        <w:rPr>
          <w:lang w:eastAsia="ja-JP"/>
        </w:rPr>
      </w:pPr>
      <w:r w:rsidRPr="00A7727F">
        <w:rPr>
          <w:lang w:eastAsia="ja-JP"/>
        </w:rPr>
        <w:t xml:space="preserve">A summary of efficacy analyses is provided in </w:t>
      </w:r>
      <w:r w:rsidRPr="00A519D3">
        <w:rPr>
          <w:lang w:eastAsia="ja-JP"/>
        </w:rPr>
        <w:t xml:space="preserve">Table </w:t>
      </w:r>
      <w:r w:rsidR="00A519D3" w:rsidRPr="00A519D3">
        <w:rPr>
          <w:lang w:eastAsia="ja-JP"/>
        </w:rPr>
        <w:t>17,</w:t>
      </w:r>
      <w:r w:rsidR="00A519D3">
        <w:rPr>
          <w:lang w:eastAsia="ja-JP"/>
        </w:rPr>
        <w:t xml:space="preserve"> below.</w:t>
      </w:r>
    </w:p>
    <w:p w14:paraId="08BBE293" w14:textId="16FED521" w:rsidR="00A7727F" w:rsidRPr="00A7727F" w:rsidRDefault="00A7727F" w:rsidP="00A05DDB">
      <w:pPr>
        <w:pStyle w:val="Tabletitle"/>
        <w:rPr>
          <w:lang w:eastAsia="ja-JP"/>
        </w:rPr>
      </w:pPr>
      <w:bookmarkStart w:id="167" w:name="_Toc292015700"/>
      <w:r w:rsidRPr="00A7727F">
        <w:rPr>
          <w:lang w:eastAsia="ja-JP"/>
        </w:rPr>
        <w:t xml:space="preserve">Table </w:t>
      </w:r>
      <w:r w:rsidR="007D6F35">
        <w:rPr>
          <w:lang w:eastAsia="ja-JP"/>
        </w:rPr>
        <w:t>17:</w:t>
      </w:r>
      <w:r w:rsidR="00443EC5">
        <w:rPr>
          <w:lang w:eastAsia="ja-JP"/>
        </w:rPr>
        <w:t xml:space="preserve"> Summary of efficacy a</w:t>
      </w:r>
      <w:r w:rsidRPr="00A7727F">
        <w:rPr>
          <w:lang w:eastAsia="ja-JP"/>
        </w:rPr>
        <w:t>nalyses</w:t>
      </w:r>
      <w:bookmarkEnd w:id="167"/>
    </w:p>
    <w:tbl>
      <w:tblPr>
        <w:tblStyle w:val="TableTGAblue"/>
        <w:tblW w:w="0" w:type="auto"/>
        <w:tblLook w:val="04A0" w:firstRow="1" w:lastRow="0" w:firstColumn="1" w:lastColumn="0" w:noHBand="0" w:noVBand="1"/>
        <w:tblDescription w:val="Table 17: Summary of efficacy analyses"/>
      </w:tblPr>
      <w:tblGrid>
        <w:gridCol w:w="4466"/>
        <w:gridCol w:w="4476"/>
      </w:tblGrid>
      <w:tr w:rsidR="00A7727F" w:rsidRPr="00A7727F" w14:paraId="5EAE42DA" w14:textId="77777777" w:rsidTr="007B7D09">
        <w:trPr>
          <w:cnfStyle w:val="100000000000" w:firstRow="1" w:lastRow="0" w:firstColumn="0" w:lastColumn="0" w:oddVBand="0" w:evenVBand="0" w:oddHBand="0" w:evenHBand="0" w:firstRowFirstColumn="0" w:firstRowLastColumn="0" w:lastRowFirstColumn="0" w:lastRowLastColumn="0"/>
          <w:trHeight w:val="494"/>
          <w:tblHeader/>
        </w:trPr>
        <w:tc>
          <w:tcPr>
            <w:cnfStyle w:val="001000000000" w:firstRow="0" w:lastRow="0" w:firstColumn="1" w:lastColumn="0" w:oddVBand="0" w:evenVBand="0" w:oddHBand="0" w:evenHBand="0" w:firstRowFirstColumn="0" w:firstRowLastColumn="0" w:lastRowFirstColumn="0" w:lastRowLastColumn="0"/>
            <w:tcW w:w="4466" w:type="dxa"/>
          </w:tcPr>
          <w:p w14:paraId="2AEFE25E" w14:textId="77777777" w:rsidR="00A7727F" w:rsidRPr="00A05DDB" w:rsidRDefault="00A7727F" w:rsidP="007B270B">
            <w:pPr>
              <w:spacing w:line="240" w:lineRule="auto"/>
              <w:rPr>
                <w:bCs/>
                <w:lang w:eastAsia="ja-JP"/>
              </w:rPr>
            </w:pPr>
            <w:r w:rsidRPr="00A05DDB">
              <w:rPr>
                <w:bCs/>
                <w:lang w:eastAsia="ja-JP"/>
              </w:rPr>
              <w:t>Endpoint</w:t>
            </w:r>
          </w:p>
        </w:tc>
        <w:tc>
          <w:tcPr>
            <w:tcW w:w="4476" w:type="dxa"/>
          </w:tcPr>
          <w:p w14:paraId="4FCBF621" w14:textId="77777777" w:rsidR="00A7727F" w:rsidRPr="00A05DDB" w:rsidRDefault="00A7727F" w:rsidP="007B270B">
            <w:pPr>
              <w:spacing w:line="240" w:lineRule="auto"/>
              <w:cnfStyle w:val="100000000000" w:firstRow="1" w:lastRow="0" w:firstColumn="0" w:lastColumn="0" w:oddVBand="0" w:evenVBand="0" w:oddHBand="0" w:evenHBand="0" w:firstRowFirstColumn="0" w:firstRowLastColumn="0" w:lastRowFirstColumn="0" w:lastRowLastColumn="0"/>
              <w:rPr>
                <w:bCs/>
                <w:lang w:eastAsia="ja-JP"/>
              </w:rPr>
            </w:pPr>
            <w:r w:rsidRPr="00A05DDB">
              <w:rPr>
                <w:bCs/>
                <w:lang w:eastAsia="ja-JP"/>
              </w:rPr>
              <w:t>Methods</w:t>
            </w:r>
          </w:p>
        </w:tc>
      </w:tr>
      <w:tr w:rsidR="00A7727F" w:rsidRPr="00A7727F" w14:paraId="778E5076" w14:textId="77777777" w:rsidTr="007B270B">
        <w:trPr>
          <w:trHeight w:val="1012"/>
        </w:trPr>
        <w:tc>
          <w:tcPr>
            <w:cnfStyle w:val="001000000000" w:firstRow="0" w:lastRow="0" w:firstColumn="1" w:lastColumn="0" w:oddVBand="0" w:evenVBand="0" w:oddHBand="0" w:evenHBand="0" w:firstRowFirstColumn="0" w:firstRowLastColumn="0" w:lastRowFirstColumn="0" w:lastRowLastColumn="0"/>
            <w:tcW w:w="4466" w:type="dxa"/>
          </w:tcPr>
          <w:p w14:paraId="5E47907E" w14:textId="77777777" w:rsidR="00A7727F" w:rsidRPr="00A7727F" w:rsidRDefault="00A7727F" w:rsidP="007B270B">
            <w:pPr>
              <w:spacing w:line="240" w:lineRule="auto"/>
              <w:rPr>
                <w:lang w:eastAsia="ja-JP"/>
              </w:rPr>
            </w:pPr>
            <w:r w:rsidRPr="00A7727F">
              <w:rPr>
                <w:lang w:eastAsia="ja-JP"/>
              </w:rPr>
              <w:t>CR/CRh* rate within 2 cycles of treatment with blinatumomab and during core study, using the best response</w:t>
            </w:r>
          </w:p>
        </w:tc>
        <w:tc>
          <w:tcPr>
            <w:tcW w:w="4476" w:type="dxa"/>
          </w:tcPr>
          <w:p w14:paraId="7A7F0FCE" w14:textId="747261C9" w:rsidR="00A7727F" w:rsidRPr="00A7727F" w:rsidRDefault="00A05DDB"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Response rate and the exact 2 </w:t>
            </w:r>
            <w:r w:rsidR="00A7727F" w:rsidRPr="00A7727F">
              <w:rPr>
                <w:lang w:eastAsia="ja-JP"/>
              </w:rPr>
              <w:t>sided 95% CI</w:t>
            </w:r>
          </w:p>
        </w:tc>
      </w:tr>
      <w:tr w:rsidR="00A7727F" w:rsidRPr="00A7727F" w14:paraId="0997C531" w14:textId="77777777" w:rsidTr="007B270B">
        <w:trPr>
          <w:trHeight w:val="748"/>
        </w:trPr>
        <w:tc>
          <w:tcPr>
            <w:cnfStyle w:val="001000000000" w:firstRow="0" w:lastRow="0" w:firstColumn="1" w:lastColumn="0" w:oddVBand="0" w:evenVBand="0" w:oddHBand="0" w:evenHBand="0" w:firstRowFirstColumn="0" w:firstRowLastColumn="0" w:lastRowFirstColumn="0" w:lastRowLastColumn="0"/>
            <w:tcW w:w="4466" w:type="dxa"/>
          </w:tcPr>
          <w:p w14:paraId="29B1BE2C" w14:textId="234FFC25" w:rsidR="00A7727F" w:rsidRPr="00A7727F" w:rsidRDefault="00A05DDB" w:rsidP="007B270B">
            <w:pPr>
              <w:spacing w:line="240" w:lineRule="auto"/>
              <w:rPr>
                <w:lang w:eastAsia="ja-JP"/>
              </w:rPr>
            </w:pPr>
            <w:r>
              <w:rPr>
                <w:lang w:eastAsia="ja-JP"/>
              </w:rPr>
              <w:t xml:space="preserve">Relapse </w:t>
            </w:r>
            <w:r w:rsidR="00A7727F" w:rsidRPr="00A7727F">
              <w:rPr>
                <w:lang w:eastAsia="ja-JP"/>
              </w:rPr>
              <w:t>free surviva</w:t>
            </w:r>
            <w:r>
              <w:rPr>
                <w:lang w:eastAsia="ja-JP"/>
              </w:rPr>
              <w:t>l</w:t>
            </w:r>
          </w:p>
        </w:tc>
        <w:tc>
          <w:tcPr>
            <w:tcW w:w="4476" w:type="dxa"/>
          </w:tcPr>
          <w:p w14:paraId="22D968D7" w14:textId="0180D0C1"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Median, range, first and third quartile with 2</w:t>
            </w:r>
            <w:r w:rsidR="00A05DDB">
              <w:rPr>
                <w:lang w:eastAsia="ja-JP"/>
              </w:rPr>
              <w:t> </w:t>
            </w:r>
            <w:r w:rsidRPr="00A7727F">
              <w:rPr>
                <w:lang w:eastAsia="ja-JP"/>
              </w:rPr>
              <w:t>sided</w:t>
            </w:r>
            <w:r w:rsidR="00A05DDB">
              <w:rPr>
                <w:lang w:eastAsia="ja-JP"/>
              </w:rPr>
              <w:t xml:space="preserve"> </w:t>
            </w:r>
            <w:r w:rsidRPr="00A7727F">
              <w:rPr>
                <w:lang w:eastAsia="ja-JP"/>
              </w:rPr>
              <w:t>95% CI by Kaplan-Meier</w:t>
            </w:r>
          </w:p>
        </w:tc>
      </w:tr>
      <w:tr w:rsidR="00A7727F" w:rsidRPr="00A7727F" w14:paraId="114CC52A" w14:textId="77777777" w:rsidTr="007B270B">
        <w:trPr>
          <w:trHeight w:val="759"/>
        </w:trPr>
        <w:tc>
          <w:tcPr>
            <w:cnfStyle w:val="001000000000" w:firstRow="0" w:lastRow="0" w:firstColumn="1" w:lastColumn="0" w:oddVBand="0" w:evenVBand="0" w:oddHBand="0" w:evenHBand="0" w:firstRowFirstColumn="0" w:firstRowLastColumn="0" w:lastRowFirstColumn="0" w:lastRowLastColumn="0"/>
            <w:tcW w:w="4466" w:type="dxa"/>
          </w:tcPr>
          <w:p w14:paraId="1E74AE69" w14:textId="77777777" w:rsidR="00A7727F" w:rsidRPr="00A7727F" w:rsidRDefault="00A7727F" w:rsidP="007B270B">
            <w:pPr>
              <w:spacing w:line="240" w:lineRule="auto"/>
              <w:rPr>
                <w:lang w:eastAsia="ja-JP"/>
              </w:rPr>
            </w:pPr>
            <w:r w:rsidRPr="00A7727F">
              <w:rPr>
                <w:lang w:eastAsia="ja-JP"/>
              </w:rPr>
              <w:t>Overall survival</w:t>
            </w:r>
          </w:p>
        </w:tc>
        <w:tc>
          <w:tcPr>
            <w:tcW w:w="4476" w:type="dxa"/>
          </w:tcPr>
          <w:p w14:paraId="7D53C22A" w14:textId="651EFC86"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 xml:space="preserve">Median, range, </w:t>
            </w:r>
            <w:r w:rsidR="00A05DDB">
              <w:rPr>
                <w:lang w:eastAsia="ja-JP"/>
              </w:rPr>
              <w:t>first and third quartile with 2 </w:t>
            </w:r>
            <w:r w:rsidRPr="00A7727F">
              <w:rPr>
                <w:lang w:eastAsia="ja-JP"/>
              </w:rPr>
              <w:t>sided 95% CI by Kaplan-Meier</w:t>
            </w:r>
          </w:p>
        </w:tc>
      </w:tr>
      <w:tr w:rsidR="00A7727F" w:rsidRPr="00A7727F" w14:paraId="50486FFC" w14:textId="77777777" w:rsidTr="007B270B">
        <w:trPr>
          <w:trHeight w:val="1000"/>
        </w:trPr>
        <w:tc>
          <w:tcPr>
            <w:cnfStyle w:val="001000000000" w:firstRow="0" w:lastRow="0" w:firstColumn="1" w:lastColumn="0" w:oddVBand="0" w:evenVBand="0" w:oddHBand="0" w:evenHBand="0" w:firstRowFirstColumn="0" w:firstRowLastColumn="0" w:lastRowFirstColumn="0" w:lastRowLastColumn="0"/>
            <w:tcW w:w="4466" w:type="dxa"/>
          </w:tcPr>
          <w:p w14:paraId="49349222" w14:textId="1D29BAE0" w:rsidR="00A7727F" w:rsidRPr="00A7727F" w:rsidRDefault="00A7727F" w:rsidP="007B270B">
            <w:pPr>
              <w:spacing w:line="240" w:lineRule="auto"/>
              <w:rPr>
                <w:lang w:eastAsia="ja-JP"/>
              </w:rPr>
            </w:pPr>
            <w:r w:rsidRPr="00A7727F">
              <w:rPr>
                <w:lang w:eastAsia="ja-JP"/>
              </w:rPr>
              <w:t>Time to h</w:t>
            </w:r>
            <w:r w:rsidR="00A05DDB">
              <w:rPr>
                <w:lang w:eastAsia="ja-JP"/>
              </w:rPr>
              <w:t>a</w:t>
            </w:r>
            <w:r w:rsidRPr="00A7727F">
              <w:rPr>
                <w:lang w:eastAsia="ja-JP"/>
              </w:rPr>
              <w:t>ematological relapse (duration of response) for subjects who experienced CR/CRh*</w:t>
            </w:r>
          </w:p>
        </w:tc>
        <w:tc>
          <w:tcPr>
            <w:tcW w:w="4476" w:type="dxa"/>
          </w:tcPr>
          <w:p w14:paraId="00D6ECD6" w14:textId="1685946E"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 xml:space="preserve">Median, range, </w:t>
            </w:r>
            <w:r w:rsidR="00A05DDB">
              <w:rPr>
                <w:lang w:eastAsia="ja-JP"/>
              </w:rPr>
              <w:t>first and third quartile with 2 </w:t>
            </w:r>
            <w:r w:rsidRPr="00A7727F">
              <w:rPr>
                <w:lang w:eastAsia="ja-JP"/>
              </w:rPr>
              <w:t>sided 95% CI by Kaplan-Meier</w:t>
            </w:r>
          </w:p>
        </w:tc>
      </w:tr>
      <w:tr w:rsidR="00A7727F" w:rsidRPr="00A7727F" w14:paraId="38DB3F46" w14:textId="77777777" w:rsidTr="007B270B">
        <w:trPr>
          <w:trHeight w:val="1012"/>
        </w:trPr>
        <w:tc>
          <w:tcPr>
            <w:cnfStyle w:val="001000000000" w:firstRow="0" w:lastRow="0" w:firstColumn="1" w:lastColumn="0" w:oddVBand="0" w:evenVBand="0" w:oddHBand="0" w:evenHBand="0" w:firstRowFirstColumn="0" w:firstRowLastColumn="0" w:lastRowFirstColumn="0" w:lastRowLastColumn="0"/>
            <w:tcW w:w="4466" w:type="dxa"/>
          </w:tcPr>
          <w:p w14:paraId="05FCF0C4" w14:textId="77777777" w:rsidR="00A7727F" w:rsidRPr="00A7727F" w:rsidRDefault="00A7727F" w:rsidP="007B270B">
            <w:pPr>
              <w:spacing w:line="240" w:lineRule="auto"/>
              <w:rPr>
                <w:lang w:eastAsia="ja-JP"/>
              </w:rPr>
            </w:pPr>
            <w:r w:rsidRPr="00A7727F">
              <w:rPr>
                <w:lang w:eastAsia="ja-JP"/>
              </w:rPr>
              <w:t>Proportion of subjects who received an allogeneic HSCT after treatment with blinatumomab</w:t>
            </w:r>
          </w:p>
        </w:tc>
        <w:tc>
          <w:tcPr>
            <w:tcW w:w="4476" w:type="dxa"/>
          </w:tcPr>
          <w:p w14:paraId="53AD4274" w14:textId="0B003A78"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 xml:space="preserve">Transplant </w:t>
            </w:r>
            <w:r w:rsidR="00A05DDB">
              <w:rPr>
                <w:lang w:eastAsia="ja-JP"/>
              </w:rPr>
              <w:t>rate and the respective exact 2 </w:t>
            </w:r>
            <w:r w:rsidRPr="00A7727F">
              <w:rPr>
                <w:lang w:eastAsia="ja-JP"/>
              </w:rPr>
              <w:t>sided 95% CI</w:t>
            </w:r>
          </w:p>
        </w:tc>
      </w:tr>
      <w:tr w:rsidR="00A7727F" w:rsidRPr="00A7727F" w14:paraId="0F793AA6" w14:textId="77777777" w:rsidTr="007B270B">
        <w:trPr>
          <w:trHeight w:val="748"/>
        </w:trPr>
        <w:tc>
          <w:tcPr>
            <w:cnfStyle w:val="001000000000" w:firstRow="0" w:lastRow="0" w:firstColumn="1" w:lastColumn="0" w:oddVBand="0" w:evenVBand="0" w:oddHBand="0" w:evenHBand="0" w:firstRowFirstColumn="0" w:firstRowLastColumn="0" w:lastRowFirstColumn="0" w:lastRowLastColumn="0"/>
            <w:tcW w:w="4466" w:type="dxa"/>
          </w:tcPr>
          <w:p w14:paraId="4E171FD2" w14:textId="6E5DECE0" w:rsidR="00A7727F" w:rsidRPr="00A7727F" w:rsidRDefault="00A7727F" w:rsidP="007B270B">
            <w:pPr>
              <w:spacing w:line="240" w:lineRule="auto"/>
              <w:rPr>
                <w:lang w:eastAsia="ja-JP"/>
              </w:rPr>
            </w:pPr>
            <w:r w:rsidRPr="00A7727F">
              <w:rPr>
                <w:lang w:eastAsia="ja-JP"/>
              </w:rPr>
              <w:t xml:space="preserve">Best treatment response by cycle, within the first </w:t>
            </w:r>
            <w:r w:rsidR="00423768">
              <w:rPr>
                <w:lang w:eastAsia="ja-JP"/>
              </w:rPr>
              <w:t>2</w:t>
            </w:r>
            <w:r w:rsidRPr="00A7727F">
              <w:rPr>
                <w:lang w:eastAsia="ja-JP"/>
              </w:rPr>
              <w:t xml:space="preserve"> cycles, and during the core study</w:t>
            </w:r>
          </w:p>
        </w:tc>
        <w:tc>
          <w:tcPr>
            <w:tcW w:w="4476" w:type="dxa"/>
          </w:tcPr>
          <w:p w14:paraId="682C8863" w14:textId="77777777"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Best response rates and the respective exact 2-sided 95% CI</w:t>
            </w:r>
          </w:p>
        </w:tc>
      </w:tr>
      <w:tr w:rsidR="00A7727F" w:rsidRPr="00A7727F" w14:paraId="028B50EA" w14:textId="77777777" w:rsidTr="007B270B">
        <w:trPr>
          <w:trHeight w:val="1012"/>
        </w:trPr>
        <w:tc>
          <w:tcPr>
            <w:cnfStyle w:val="001000000000" w:firstRow="0" w:lastRow="0" w:firstColumn="1" w:lastColumn="0" w:oddVBand="0" w:evenVBand="0" w:oddHBand="0" w:evenHBand="0" w:firstRowFirstColumn="0" w:firstRowLastColumn="0" w:lastRowFirstColumn="0" w:lastRowLastColumn="0"/>
            <w:tcW w:w="4466" w:type="dxa"/>
          </w:tcPr>
          <w:p w14:paraId="38CBAF5F" w14:textId="77777777" w:rsidR="00A7727F" w:rsidRPr="00A7727F" w:rsidRDefault="00A7727F" w:rsidP="007B270B">
            <w:pPr>
              <w:spacing w:line="240" w:lineRule="auto"/>
              <w:rPr>
                <w:lang w:eastAsia="ja-JP"/>
              </w:rPr>
            </w:pPr>
            <w:r w:rsidRPr="00A7727F">
              <w:rPr>
                <w:lang w:eastAsia="ja-JP"/>
              </w:rPr>
              <w:t>Time-to-response: CR/CRh*, CR</w:t>
            </w:r>
          </w:p>
        </w:tc>
        <w:tc>
          <w:tcPr>
            <w:tcW w:w="4476" w:type="dxa"/>
          </w:tcPr>
          <w:p w14:paraId="7913AAC5" w14:textId="4F90A279"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Median, range, first and third quartile with 2-sided 9</w:t>
            </w:r>
            <w:r w:rsidR="00A05DDB">
              <w:rPr>
                <w:lang w:eastAsia="ja-JP"/>
              </w:rPr>
              <w:t>5% CI by Kaplan-Meier (1 Kaplan </w:t>
            </w:r>
            <w:r w:rsidRPr="00A7727F">
              <w:rPr>
                <w:lang w:eastAsia="ja-JP"/>
              </w:rPr>
              <w:t>Meier)</w:t>
            </w:r>
          </w:p>
        </w:tc>
      </w:tr>
      <w:tr w:rsidR="00A7727F" w:rsidRPr="00A7727F" w14:paraId="16FB4415" w14:textId="77777777" w:rsidTr="007B270B">
        <w:trPr>
          <w:trHeight w:val="506"/>
        </w:trPr>
        <w:tc>
          <w:tcPr>
            <w:cnfStyle w:val="001000000000" w:firstRow="0" w:lastRow="0" w:firstColumn="1" w:lastColumn="0" w:oddVBand="0" w:evenVBand="0" w:oddHBand="0" w:evenHBand="0" w:firstRowFirstColumn="0" w:firstRowLastColumn="0" w:lastRowFirstColumn="0" w:lastRowLastColumn="0"/>
            <w:tcW w:w="4466" w:type="dxa"/>
          </w:tcPr>
          <w:p w14:paraId="35ABD289" w14:textId="263BBCA7" w:rsidR="00A7727F" w:rsidRPr="00A7727F" w:rsidRDefault="00A7727F" w:rsidP="007B270B">
            <w:pPr>
              <w:spacing w:line="240" w:lineRule="auto"/>
              <w:rPr>
                <w:lang w:eastAsia="ja-JP"/>
              </w:rPr>
            </w:pPr>
            <w:r w:rsidRPr="00A7727F">
              <w:rPr>
                <w:lang w:eastAsia="ja-JP"/>
              </w:rPr>
              <w:t>Event</w:t>
            </w:r>
            <w:r w:rsidR="006A3B04">
              <w:rPr>
                <w:lang w:eastAsia="ja-JP"/>
              </w:rPr>
              <w:t xml:space="preserve"> free</w:t>
            </w:r>
            <w:r w:rsidRPr="00A7727F">
              <w:rPr>
                <w:lang w:eastAsia="ja-JP"/>
              </w:rPr>
              <w:t xml:space="preserve"> survival</w:t>
            </w:r>
          </w:p>
        </w:tc>
        <w:tc>
          <w:tcPr>
            <w:tcW w:w="4476" w:type="dxa"/>
          </w:tcPr>
          <w:p w14:paraId="1BB8AE16" w14:textId="34F5CE45"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 xml:space="preserve">Median, range, </w:t>
            </w:r>
            <w:r w:rsidR="00A05DDB">
              <w:rPr>
                <w:lang w:eastAsia="ja-JP"/>
              </w:rPr>
              <w:t>first and third quartile with 2 </w:t>
            </w:r>
            <w:r w:rsidRPr="00A7727F">
              <w:rPr>
                <w:lang w:eastAsia="ja-JP"/>
              </w:rPr>
              <w:t>sided 95% CI by Kaplan-Meier</w:t>
            </w:r>
          </w:p>
        </w:tc>
      </w:tr>
      <w:tr w:rsidR="00A7727F" w:rsidRPr="00A7727F" w14:paraId="3FE41E7C"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4466" w:type="dxa"/>
          </w:tcPr>
          <w:p w14:paraId="406F950C" w14:textId="77777777" w:rsidR="00A7727F" w:rsidRPr="00A7727F" w:rsidRDefault="00A7727F" w:rsidP="007B270B">
            <w:pPr>
              <w:spacing w:line="240" w:lineRule="auto"/>
              <w:rPr>
                <w:lang w:eastAsia="ja-JP"/>
              </w:rPr>
            </w:pPr>
            <w:r w:rsidRPr="00A7727F">
              <w:rPr>
                <w:lang w:eastAsia="ja-JP"/>
              </w:rPr>
              <w:t>Landmark analyses of overall survival</w:t>
            </w:r>
          </w:p>
        </w:tc>
        <w:tc>
          <w:tcPr>
            <w:tcW w:w="4476" w:type="dxa"/>
          </w:tcPr>
          <w:p w14:paraId="13B5C8C6" w14:textId="4ED5F725"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 xml:space="preserve">Median, range, </w:t>
            </w:r>
            <w:r w:rsidR="00A05DDB">
              <w:rPr>
                <w:lang w:eastAsia="ja-JP"/>
              </w:rPr>
              <w:t>first and third quartile with 2 sided 95% CI by Kaplan </w:t>
            </w:r>
            <w:r w:rsidRPr="00A7727F">
              <w:rPr>
                <w:lang w:eastAsia="ja-JP"/>
              </w:rPr>
              <w:t>Meier</w:t>
            </w:r>
          </w:p>
        </w:tc>
      </w:tr>
      <w:tr w:rsidR="00A7727F" w:rsidRPr="00A7727F" w14:paraId="2DF31F16"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4466" w:type="dxa"/>
          </w:tcPr>
          <w:p w14:paraId="2D724A9F" w14:textId="4835F9F3" w:rsidR="00A7727F" w:rsidRPr="00A7727F" w:rsidRDefault="00A05DDB" w:rsidP="007B270B">
            <w:pPr>
              <w:spacing w:line="240" w:lineRule="auto"/>
              <w:rPr>
                <w:lang w:eastAsia="ja-JP"/>
              </w:rPr>
            </w:pPr>
            <w:r>
              <w:rPr>
                <w:lang w:eastAsia="ja-JP"/>
              </w:rPr>
              <w:t>100</w:t>
            </w:r>
            <w:r w:rsidR="00A7727F" w:rsidRPr="00A7727F">
              <w:rPr>
                <w:lang w:eastAsia="ja-JP"/>
              </w:rPr>
              <w:t xml:space="preserve"> day mortality after allogeneic HSCT</w:t>
            </w:r>
          </w:p>
        </w:tc>
        <w:tc>
          <w:tcPr>
            <w:tcW w:w="4476" w:type="dxa"/>
          </w:tcPr>
          <w:p w14:paraId="14A58BDB" w14:textId="51C104BE"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Median, range, first and thir</w:t>
            </w:r>
            <w:r w:rsidR="00A05DDB">
              <w:rPr>
                <w:lang w:eastAsia="ja-JP"/>
              </w:rPr>
              <w:t>d quartile with 2 </w:t>
            </w:r>
            <w:r w:rsidRPr="00A7727F">
              <w:rPr>
                <w:lang w:eastAsia="ja-JP"/>
              </w:rPr>
              <w:t>sided 95% CI by Kaplan-Meier and mortality rate along with 95% CI at 1</w:t>
            </w:r>
            <w:r w:rsidR="00A05DDB">
              <w:rPr>
                <w:lang w:eastAsia="ja-JP"/>
              </w:rPr>
              <w:t>00 day by Kaplan-Meier estimate</w:t>
            </w:r>
          </w:p>
        </w:tc>
      </w:tr>
      <w:tr w:rsidR="00A7727F" w:rsidRPr="00A7727F" w14:paraId="7D1B70F9"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4466" w:type="dxa"/>
          </w:tcPr>
          <w:p w14:paraId="62FC5041" w14:textId="77777777" w:rsidR="00A7727F" w:rsidRPr="00A7727F" w:rsidRDefault="00A7727F" w:rsidP="007B270B">
            <w:pPr>
              <w:spacing w:line="240" w:lineRule="auto"/>
              <w:rPr>
                <w:lang w:eastAsia="ja-JP"/>
              </w:rPr>
            </w:pPr>
            <w:r w:rsidRPr="00A7727F">
              <w:rPr>
                <w:lang w:eastAsia="ja-JP"/>
              </w:rPr>
              <w:t>MRD response</w:t>
            </w:r>
          </w:p>
        </w:tc>
        <w:tc>
          <w:tcPr>
            <w:tcW w:w="4476" w:type="dxa"/>
          </w:tcPr>
          <w:p w14:paraId="049FAF79" w14:textId="51E91274"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 xml:space="preserve">Response </w:t>
            </w:r>
            <w:r w:rsidR="00A05DDB">
              <w:rPr>
                <w:lang w:eastAsia="ja-JP"/>
              </w:rPr>
              <w:t>rate and the respective exact 2 </w:t>
            </w:r>
            <w:r w:rsidRPr="00A7727F">
              <w:rPr>
                <w:lang w:eastAsia="ja-JP"/>
              </w:rPr>
              <w:t>sided 95% CI</w:t>
            </w:r>
          </w:p>
        </w:tc>
      </w:tr>
      <w:tr w:rsidR="00A7727F" w:rsidRPr="00A7727F" w14:paraId="70C5B4E1" w14:textId="77777777" w:rsidTr="007B270B">
        <w:trPr>
          <w:trHeight w:val="70"/>
        </w:trPr>
        <w:tc>
          <w:tcPr>
            <w:cnfStyle w:val="001000000000" w:firstRow="0" w:lastRow="0" w:firstColumn="1" w:lastColumn="0" w:oddVBand="0" w:evenVBand="0" w:oddHBand="0" w:evenHBand="0" w:firstRowFirstColumn="0" w:firstRowLastColumn="0" w:lastRowFirstColumn="0" w:lastRowLastColumn="0"/>
            <w:tcW w:w="4466" w:type="dxa"/>
          </w:tcPr>
          <w:p w14:paraId="20C9ED41" w14:textId="77777777" w:rsidR="00A7727F" w:rsidRPr="00A7727F" w:rsidRDefault="00A7727F" w:rsidP="007B270B">
            <w:pPr>
              <w:spacing w:line="240" w:lineRule="auto"/>
              <w:rPr>
                <w:lang w:eastAsia="ja-JP"/>
              </w:rPr>
            </w:pPr>
            <w:r w:rsidRPr="00A7727F">
              <w:rPr>
                <w:lang w:eastAsia="ja-JP"/>
              </w:rPr>
              <w:t>Stratification variables and subgroup analyses for efficacy endpoints</w:t>
            </w:r>
          </w:p>
        </w:tc>
        <w:tc>
          <w:tcPr>
            <w:tcW w:w="4476" w:type="dxa"/>
          </w:tcPr>
          <w:p w14:paraId="7D9FA68F" w14:textId="42361FFC" w:rsidR="00A7727F" w:rsidRPr="00A7727F" w:rsidRDefault="00A7727F" w:rsidP="007B270B">
            <w:pPr>
              <w:spacing w:line="240" w:lineRule="auto"/>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Forest plots containing the point es</w:t>
            </w:r>
            <w:r w:rsidR="00A05DDB">
              <w:rPr>
                <w:lang w:eastAsia="ja-JP"/>
              </w:rPr>
              <w:t xml:space="preserve">timates and the corresponding 2 </w:t>
            </w:r>
            <w:r w:rsidRPr="00A7727F">
              <w:rPr>
                <w:lang w:eastAsia="ja-JP"/>
              </w:rPr>
              <w:t>sided 95 CIs</w:t>
            </w:r>
          </w:p>
        </w:tc>
      </w:tr>
    </w:tbl>
    <w:p w14:paraId="6BB92288" w14:textId="3175E422" w:rsidR="00A7727F" w:rsidRPr="00A7727F" w:rsidRDefault="00A7727F" w:rsidP="00A05DDB">
      <w:pPr>
        <w:pStyle w:val="TableDescription"/>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 CR</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CRh*</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with partial recovery of peripheral blood counts; HSCT</w:t>
      </w:r>
      <w:r w:rsidR="00375CAE">
        <w:rPr>
          <w:lang w:eastAsia="ja-JP"/>
        </w:rPr>
        <w:t xml:space="preserve"> </w:t>
      </w:r>
      <w:r w:rsidR="00423768">
        <w:rPr>
          <w:lang w:eastAsia="ja-JP"/>
        </w:rPr>
        <w:t>=</w:t>
      </w:r>
      <w:r w:rsidR="00375CAE">
        <w:rPr>
          <w:lang w:eastAsia="ja-JP"/>
        </w:rPr>
        <w:t xml:space="preserve"> </w:t>
      </w:r>
      <w:r w:rsidRPr="00A7727F">
        <w:rPr>
          <w:lang w:eastAsia="ja-JP"/>
        </w:rPr>
        <w:t>hematopoietic stem cell transplant; MRD</w:t>
      </w:r>
      <w:r w:rsidR="00375CAE">
        <w:rPr>
          <w:lang w:eastAsia="ja-JP"/>
        </w:rPr>
        <w:t xml:space="preserve"> </w:t>
      </w:r>
      <w:r w:rsidR="00423768">
        <w:rPr>
          <w:lang w:eastAsia="ja-JP"/>
        </w:rPr>
        <w:t>=</w:t>
      </w:r>
      <w:r w:rsidR="00375CAE">
        <w:rPr>
          <w:lang w:eastAsia="ja-JP"/>
        </w:rPr>
        <w:t xml:space="preserve"> </w:t>
      </w:r>
      <w:r w:rsidRPr="00A7727F">
        <w:rPr>
          <w:lang w:eastAsia="ja-JP"/>
        </w:rPr>
        <w:t>minimal residual disease</w:t>
      </w:r>
      <w:r w:rsidR="00A05DDB">
        <w:rPr>
          <w:lang w:eastAsia="ja-JP"/>
        </w:rPr>
        <w:t>.</w:t>
      </w:r>
    </w:p>
    <w:p w14:paraId="386EB2EB" w14:textId="77777777" w:rsidR="00A7727F" w:rsidRPr="00A7727F" w:rsidRDefault="00A7727F" w:rsidP="00A05DDB">
      <w:pPr>
        <w:pStyle w:val="Heading5"/>
        <w:rPr>
          <w:lang w:eastAsia="ja-JP"/>
        </w:rPr>
      </w:pPr>
      <w:r w:rsidRPr="00A7727F">
        <w:rPr>
          <w:lang w:eastAsia="ja-JP"/>
        </w:rPr>
        <w:t>Participant flow</w:t>
      </w:r>
    </w:p>
    <w:p w14:paraId="72C6EAE9" w14:textId="63EC852E" w:rsidR="00A7727F" w:rsidRPr="00A7727F" w:rsidRDefault="00A7727F" w:rsidP="00A7727F">
      <w:pPr>
        <w:rPr>
          <w:lang w:eastAsia="ja-JP"/>
        </w:rPr>
      </w:pPr>
      <w:r w:rsidRPr="00A7727F">
        <w:rPr>
          <w:lang w:eastAsia="ja-JP"/>
        </w:rPr>
        <w:t>A total of 267 subjects were screened; 78 subjects were considere</w:t>
      </w:r>
      <w:r w:rsidR="00A05DDB">
        <w:rPr>
          <w:lang w:eastAsia="ja-JP"/>
        </w:rPr>
        <w:t>d screen failures. Overall, 189 </w:t>
      </w:r>
      <w:r w:rsidRPr="00A7727F">
        <w:rPr>
          <w:lang w:eastAsia="ja-JP"/>
        </w:rPr>
        <w:t>subjects were enrolled in the study, received blinatumomab, and were included in the PAS/FAS (</w:t>
      </w:r>
      <w:r w:rsidR="00A05DDB" w:rsidRPr="00A519D3">
        <w:rPr>
          <w:lang w:eastAsia="ja-JP"/>
        </w:rPr>
        <w:t xml:space="preserve">see </w:t>
      </w:r>
      <w:r w:rsidRPr="00A519D3">
        <w:rPr>
          <w:lang w:eastAsia="ja-JP"/>
        </w:rPr>
        <w:t xml:space="preserve">Table </w:t>
      </w:r>
      <w:r w:rsidR="00A519D3" w:rsidRPr="00A519D3">
        <w:rPr>
          <w:lang w:eastAsia="ja-JP"/>
        </w:rPr>
        <w:t>18</w:t>
      </w:r>
      <w:r w:rsidR="00A519D3">
        <w:rPr>
          <w:lang w:eastAsia="ja-JP"/>
        </w:rPr>
        <w:t>, below</w:t>
      </w:r>
      <w:r w:rsidRPr="00A7727F">
        <w:rPr>
          <w:lang w:eastAsia="ja-JP"/>
        </w:rPr>
        <w:t xml:space="preserve">). The PAS was defined as subjects from the first 3 stages of the study who received any infusion of blinatumomab. For this iteration of the CSR, the FAS was identical to the PAS. In a future iteration based on data from all stages of study recruitment, the FAS will differ from the PAS. Overall, 5.3% (10/189) of subjects completed 5 cycles of treatment; for 1.1% (2/189) of subjects treatment was ongoing at the time of the data cut-off date of 10 October 2013. The most common reasons </w:t>
      </w:r>
      <w:r w:rsidR="00423768">
        <w:rPr>
          <w:lang w:eastAsia="ja-JP"/>
        </w:rPr>
        <w:t>(&gt;</w:t>
      </w:r>
      <w:r w:rsidR="00375CAE">
        <w:rPr>
          <w:lang w:eastAsia="ja-JP"/>
        </w:rPr>
        <w:t xml:space="preserve"> </w:t>
      </w:r>
      <w:r w:rsidRPr="00A7727F">
        <w:rPr>
          <w:lang w:eastAsia="ja-JP"/>
        </w:rPr>
        <w:t>10%) for not completing 5 cycles of treatment included: physician’s decision (24.3%; 46/189; for 30 subjects</w:t>
      </w:r>
      <w:r w:rsidR="00A05DDB">
        <w:rPr>
          <w:lang w:eastAsia="ja-JP"/>
        </w:rPr>
        <w:t>,</w:t>
      </w:r>
      <w:r w:rsidRPr="00A7727F">
        <w:rPr>
          <w:lang w:eastAsia="ja-JP"/>
        </w:rPr>
        <w:t xml:space="preserve"> physician´s decision was for subjects to move on to HSCT, for 16 subjects the decision was not related to HSCT); progressive disease (22.8%; 43/189); adverse events (16.9%; 32/189); and disease relapse (12.2%; 23/189) (</w:t>
      </w:r>
      <w:r w:rsidRPr="00A519D3">
        <w:rPr>
          <w:lang w:eastAsia="ja-JP"/>
        </w:rPr>
        <w:t xml:space="preserve">Table </w:t>
      </w:r>
      <w:r w:rsidR="00A519D3" w:rsidRPr="00A519D3">
        <w:rPr>
          <w:lang w:eastAsia="ja-JP"/>
        </w:rPr>
        <w:t>19</w:t>
      </w:r>
      <w:r w:rsidR="00A519D3">
        <w:rPr>
          <w:lang w:eastAsia="ja-JP"/>
        </w:rPr>
        <w:t>, below</w:t>
      </w:r>
      <w:r w:rsidRPr="00A7727F">
        <w:rPr>
          <w:lang w:eastAsia="ja-JP"/>
        </w:rPr>
        <w:t>). As of the cut-off date, 61.9% (117/189) of subjects had ended the study and 38.1% (72/189) of subjects were ongoing. The most common reason for ending the study was death (60.8%; 115/189). At the time of</w:t>
      </w:r>
      <w:r w:rsidR="00A05DDB">
        <w:rPr>
          <w:lang w:eastAsia="ja-JP"/>
        </w:rPr>
        <w:t xml:space="preserve"> the data cut </w:t>
      </w:r>
      <w:r w:rsidRPr="00A7727F">
        <w:rPr>
          <w:lang w:eastAsia="ja-JP"/>
        </w:rPr>
        <w:t>off, no subjects had completed the planned 3</w:t>
      </w:r>
      <w:r w:rsidR="00A05DDB">
        <w:rPr>
          <w:lang w:eastAsia="ja-JP"/>
        </w:rPr>
        <w:t xml:space="preserve"> year follow </w:t>
      </w:r>
      <w:r w:rsidRPr="00A7727F">
        <w:rPr>
          <w:lang w:eastAsia="ja-JP"/>
        </w:rPr>
        <w:t>up period (</w:t>
      </w:r>
      <w:r w:rsidR="00A519D3">
        <w:rPr>
          <w:lang w:eastAsia="ja-JP"/>
        </w:rPr>
        <w:t xml:space="preserve">see </w:t>
      </w:r>
      <w:r w:rsidR="00A519D3" w:rsidRPr="00A519D3">
        <w:rPr>
          <w:lang w:eastAsia="ja-JP"/>
        </w:rPr>
        <w:t>Table 20, below</w:t>
      </w:r>
      <w:r w:rsidRPr="00A7727F">
        <w:rPr>
          <w:lang w:eastAsia="ja-JP"/>
        </w:rPr>
        <w:t>) as the first subject was enrolled in January 2012.</w:t>
      </w:r>
    </w:p>
    <w:p w14:paraId="542ED804" w14:textId="2D078F4E" w:rsidR="00A7727F" w:rsidRPr="00A7727F" w:rsidRDefault="00A7727F" w:rsidP="00A05DDB">
      <w:pPr>
        <w:pStyle w:val="Tabletitle"/>
        <w:rPr>
          <w:lang w:eastAsia="ja-JP"/>
        </w:rPr>
      </w:pPr>
      <w:bookmarkStart w:id="168" w:name="_Toc292015701"/>
      <w:r w:rsidRPr="00A7727F">
        <w:rPr>
          <w:lang w:eastAsia="ja-JP"/>
        </w:rPr>
        <w:t xml:space="preserve">Table </w:t>
      </w:r>
      <w:r w:rsidR="007D6F35">
        <w:rPr>
          <w:lang w:eastAsia="ja-JP"/>
        </w:rPr>
        <w:t>18:</w:t>
      </w:r>
      <w:r w:rsidR="00375CAE">
        <w:rPr>
          <w:lang w:eastAsia="ja-JP"/>
        </w:rPr>
        <w:t xml:space="preserve"> </w:t>
      </w:r>
      <w:r w:rsidRPr="00A7727F">
        <w:rPr>
          <w:lang w:eastAsia="ja-JP"/>
        </w:rPr>
        <w:t xml:space="preserve">Number </w:t>
      </w:r>
      <w:r w:rsidR="00A05DDB" w:rsidRPr="00A7727F">
        <w:rPr>
          <w:lang w:eastAsia="ja-JP"/>
        </w:rPr>
        <w:t>of subjects in each analysis set</w:t>
      </w:r>
      <w:bookmarkEnd w:id="168"/>
    </w:p>
    <w:tbl>
      <w:tblPr>
        <w:tblStyle w:val="TableTGAblue"/>
        <w:tblW w:w="0" w:type="auto"/>
        <w:tblLook w:val="04A0" w:firstRow="1" w:lastRow="0" w:firstColumn="1" w:lastColumn="0" w:noHBand="0" w:noVBand="1"/>
        <w:tblDescription w:val="Table 18: Number of subjects in each analysis set"/>
      </w:tblPr>
      <w:tblGrid>
        <w:gridCol w:w="2898"/>
        <w:gridCol w:w="1440"/>
        <w:gridCol w:w="1890"/>
      </w:tblGrid>
      <w:tr w:rsidR="00C82A7D" w:rsidRPr="00A7727F" w14:paraId="6063B55C" w14:textId="77777777" w:rsidTr="007D6F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8" w:type="dxa"/>
            <w:vMerge w:val="restart"/>
          </w:tcPr>
          <w:p w14:paraId="2421F689" w14:textId="70BA8AA0" w:rsidR="00A05DDB" w:rsidRPr="00FC3781" w:rsidRDefault="00A05DDB" w:rsidP="007B270B">
            <w:pPr>
              <w:keepNext/>
              <w:ind w:left="0"/>
              <w:rPr>
                <w:lang w:eastAsia="ja-JP"/>
              </w:rPr>
            </w:pPr>
            <w:r w:rsidRPr="00FC3781">
              <w:rPr>
                <w:bCs/>
                <w:lang w:eastAsia="ja-JP"/>
              </w:rPr>
              <w:t>Analysis set</w:t>
            </w:r>
          </w:p>
        </w:tc>
        <w:tc>
          <w:tcPr>
            <w:tcW w:w="3330" w:type="dxa"/>
            <w:gridSpan w:val="2"/>
          </w:tcPr>
          <w:p w14:paraId="45FB9A85" w14:textId="44481071" w:rsidR="00A05DDB" w:rsidRPr="00FC3781" w:rsidRDefault="005865B7" w:rsidP="007B270B">
            <w:pPr>
              <w:keepNext/>
              <w:cnfStyle w:val="100000000000" w:firstRow="1" w:lastRow="0" w:firstColumn="0" w:lastColumn="0" w:oddVBand="0" w:evenVBand="0" w:oddHBand="0" w:evenHBand="0" w:firstRowFirstColumn="0" w:firstRowLastColumn="0" w:lastRowFirstColumn="0" w:lastRowLastColumn="0"/>
              <w:rPr>
                <w:bCs/>
                <w:lang w:eastAsia="ja-JP"/>
              </w:rPr>
            </w:pPr>
            <w:r>
              <w:rPr>
                <w:bCs/>
                <w:lang w:eastAsia="ja-JP"/>
              </w:rPr>
              <w:t>Eligible s</w:t>
            </w:r>
            <w:r w:rsidR="00A05DDB" w:rsidRPr="00FC3781">
              <w:rPr>
                <w:bCs/>
                <w:lang w:eastAsia="ja-JP"/>
              </w:rPr>
              <w:t>ubjects (N = 189)</w:t>
            </w:r>
          </w:p>
        </w:tc>
      </w:tr>
      <w:tr w:rsidR="00C82A7D" w:rsidRPr="00A7727F" w14:paraId="6272699B" w14:textId="77777777" w:rsidTr="007D6F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98" w:type="dxa"/>
            <w:vMerge/>
          </w:tcPr>
          <w:p w14:paraId="6C316A7A" w14:textId="1687BF17" w:rsidR="00A05DDB" w:rsidRPr="00A7727F" w:rsidRDefault="00A05DDB" w:rsidP="007B270B">
            <w:pPr>
              <w:keepNext/>
              <w:rPr>
                <w:b w:val="0"/>
                <w:bCs/>
                <w:lang w:eastAsia="ja-JP"/>
              </w:rPr>
            </w:pPr>
          </w:p>
        </w:tc>
        <w:tc>
          <w:tcPr>
            <w:tcW w:w="1440" w:type="dxa"/>
          </w:tcPr>
          <w:p w14:paraId="3ECEC547" w14:textId="1C7DF45C" w:rsidR="00A05DDB" w:rsidRPr="00A7727F" w:rsidRDefault="00A05DDB" w:rsidP="007B270B">
            <w:pPr>
              <w:keepNext/>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Cs/>
                <w:lang w:eastAsia="ja-JP"/>
              </w:rPr>
              <w:t>N</w:t>
            </w:r>
            <w:r>
              <w:rPr>
                <w:bCs/>
                <w:lang w:eastAsia="ja-JP"/>
              </w:rPr>
              <w:t xml:space="preserve"> =</w:t>
            </w:r>
          </w:p>
        </w:tc>
        <w:tc>
          <w:tcPr>
            <w:tcW w:w="1890" w:type="dxa"/>
          </w:tcPr>
          <w:p w14:paraId="1D73117B" w14:textId="77777777" w:rsidR="00A05DDB" w:rsidRPr="00A7727F" w:rsidRDefault="00A05DDB" w:rsidP="007B270B">
            <w:pPr>
              <w:keepNext/>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Cs/>
                <w:lang w:eastAsia="ja-JP"/>
              </w:rPr>
              <w:t>(%)</w:t>
            </w:r>
          </w:p>
        </w:tc>
      </w:tr>
      <w:tr w:rsidR="00C82A7D" w:rsidRPr="00A7727F" w14:paraId="72E96780" w14:textId="77777777" w:rsidTr="00C82A7D">
        <w:trPr>
          <w:trHeight w:val="70"/>
        </w:trPr>
        <w:tc>
          <w:tcPr>
            <w:cnfStyle w:val="001000000000" w:firstRow="0" w:lastRow="0" w:firstColumn="1" w:lastColumn="0" w:oddVBand="0" w:evenVBand="0" w:oddHBand="0" w:evenHBand="0" w:firstRowFirstColumn="0" w:firstRowLastColumn="0" w:lastRowFirstColumn="0" w:lastRowLastColumn="0"/>
            <w:tcW w:w="2898" w:type="dxa"/>
          </w:tcPr>
          <w:p w14:paraId="5A4A5BEA" w14:textId="77777777" w:rsidR="00A7727F" w:rsidRPr="00A7727F" w:rsidRDefault="00A7727F" w:rsidP="007B270B">
            <w:pPr>
              <w:keepNext/>
              <w:ind w:left="0"/>
              <w:rPr>
                <w:lang w:eastAsia="ja-JP"/>
              </w:rPr>
            </w:pPr>
            <w:r w:rsidRPr="00A7727F">
              <w:rPr>
                <w:lang w:eastAsia="ja-JP"/>
              </w:rPr>
              <w:t>Primary analysis set (PAS)</w:t>
            </w:r>
          </w:p>
        </w:tc>
        <w:tc>
          <w:tcPr>
            <w:tcW w:w="1440" w:type="dxa"/>
          </w:tcPr>
          <w:p w14:paraId="71B4FC77"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189</w:t>
            </w:r>
          </w:p>
        </w:tc>
        <w:tc>
          <w:tcPr>
            <w:tcW w:w="1890" w:type="dxa"/>
          </w:tcPr>
          <w:p w14:paraId="474666FA"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(100.0%)</w:t>
            </w:r>
          </w:p>
        </w:tc>
      </w:tr>
      <w:tr w:rsidR="00C82A7D" w:rsidRPr="00A7727F" w14:paraId="65B6BB15" w14:textId="77777777" w:rsidTr="00C82A7D">
        <w:tc>
          <w:tcPr>
            <w:cnfStyle w:val="001000000000" w:firstRow="0" w:lastRow="0" w:firstColumn="1" w:lastColumn="0" w:oddVBand="0" w:evenVBand="0" w:oddHBand="0" w:evenHBand="0" w:firstRowFirstColumn="0" w:firstRowLastColumn="0" w:lastRowFirstColumn="0" w:lastRowLastColumn="0"/>
            <w:tcW w:w="2898" w:type="dxa"/>
          </w:tcPr>
          <w:p w14:paraId="7F347BCD" w14:textId="77777777" w:rsidR="00A7727F" w:rsidRPr="00A7727F" w:rsidRDefault="00A7727F" w:rsidP="007B270B">
            <w:pPr>
              <w:keepNext/>
              <w:ind w:left="0"/>
              <w:rPr>
                <w:lang w:eastAsia="ja-JP"/>
              </w:rPr>
            </w:pPr>
            <w:r w:rsidRPr="00A7727F">
              <w:rPr>
                <w:lang w:eastAsia="ja-JP"/>
              </w:rPr>
              <w:t>Full analysis set (FAS)</w:t>
            </w:r>
          </w:p>
        </w:tc>
        <w:tc>
          <w:tcPr>
            <w:tcW w:w="1440" w:type="dxa"/>
          </w:tcPr>
          <w:p w14:paraId="1B7E73AB"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189</w:t>
            </w:r>
          </w:p>
        </w:tc>
        <w:tc>
          <w:tcPr>
            <w:tcW w:w="1890" w:type="dxa"/>
          </w:tcPr>
          <w:p w14:paraId="5D2814E7"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(100.0%)</w:t>
            </w:r>
          </w:p>
        </w:tc>
      </w:tr>
      <w:tr w:rsidR="00C82A7D" w:rsidRPr="00A7727F" w14:paraId="7DA713C2" w14:textId="77777777" w:rsidTr="00C82A7D">
        <w:tc>
          <w:tcPr>
            <w:cnfStyle w:val="001000000000" w:firstRow="0" w:lastRow="0" w:firstColumn="1" w:lastColumn="0" w:oddVBand="0" w:evenVBand="0" w:oddHBand="0" w:evenHBand="0" w:firstRowFirstColumn="0" w:firstRowLastColumn="0" w:lastRowFirstColumn="0" w:lastRowLastColumn="0"/>
            <w:tcW w:w="2898" w:type="dxa"/>
          </w:tcPr>
          <w:p w14:paraId="2E33F450" w14:textId="77777777" w:rsidR="00A7727F" w:rsidRPr="00A7727F" w:rsidRDefault="00A7727F" w:rsidP="007B270B">
            <w:pPr>
              <w:keepNext/>
              <w:ind w:left="0"/>
              <w:rPr>
                <w:lang w:eastAsia="ja-JP"/>
              </w:rPr>
            </w:pPr>
            <w:r w:rsidRPr="00A7727F">
              <w:rPr>
                <w:lang w:eastAsia="ja-JP"/>
              </w:rPr>
              <w:t>Efficacy set (EFS)</w:t>
            </w:r>
          </w:p>
        </w:tc>
        <w:tc>
          <w:tcPr>
            <w:tcW w:w="1440" w:type="dxa"/>
          </w:tcPr>
          <w:p w14:paraId="1A30792E"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172</w:t>
            </w:r>
          </w:p>
        </w:tc>
        <w:tc>
          <w:tcPr>
            <w:tcW w:w="1890" w:type="dxa"/>
          </w:tcPr>
          <w:p w14:paraId="50A5A490"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(91.0%)</w:t>
            </w:r>
          </w:p>
        </w:tc>
      </w:tr>
      <w:tr w:rsidR="00C82A7D" w:rsidRPr="00A7727F" w14:paraId="6BD6DF24" w14:textId="77777777" w:rsidTr="00C82A7D">
        <w:tc>
          <w:tcPr>
            <w:cnfStyle w:val="001000000000" w:firstRow="0" w:lastRow="0" w:firstColumn="1" w:lastColumn="0" w:oddVBand="0" w:evenVBand="0" w:oddHBand="0" w:evenHBand="0" w:firstRowFirstColumn="0" w:firstRowLastColumn="0" w:lastRowFirstColumn="0" w:lastRowLastColumn="0"/>
            <w:tcW w:w="2898" w:type="dxa"/>
          </w:tcPr>
          <w:p w14:paraId="0DADE574" w14:textId="77777777" w:rsidR="00A7727F" w:rsidRPr="00A7727F" w:rsidRDefault="00A7727F" w:rsidP="007B270B">
            <w:pPr>
              <w:keepNext/>
              <w:ind w:left="0"/>
              <w:rPr>
                <w:lang w:eastAsia="ja-JP"/>
              </w:rPr>
            </w:pPr>
            <w:r w:rsidRPr="00A7727F">
              <w:rPr>
                <w:lang w:eastAsia="ja-JP"/>
              </w:rPr>
              <w:t>Per protocol set (PPS)</w:t>
            </w:r>
          </w:p>
        </w:tc>
        <w:tc>
          <w:tcPr>
            <w:tcW w:w="1440" w:type="dxa"/>
          </w:tcPr>
          <w:p w14:paraId="63483CE0"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167</w:t>
            </w:r>
          </w:p>
        </w:tc>
        <w:tc>
          <w:tcPr>
            <w:tcW w:w="1890" w:type="dxa"/>
          </w:tcPr>
          <w:p w14:paraId="65543DE1" w14:textId="77777777" w:rsidR="00A7727F" w:rsidRPr="00A7727F" w:rsidRDefault="00A7727F" w:rsidP="007B270B">
            <w:pPr>
              <w:keepNext/>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(88.4%)</w:t>
            </w:r>
          </w:p>
        </w:tc>
      </w:tr>
    </w:tbl>
    <w:p w14:paraId="0B5B8D61" w14:textId="62312E46" w:rsidR="00A7727F" w:rsidRPr="00A7727F" w:rsidRDefault="00A7727F" w:rsidP="00C82A7D">
      <w:pPr>
        <w:pStyle w:val="TableDescription"/>
        <w:rPr>
          <w:lang w:eastAsia="ja-JP"/>
        </w:rPr>
      </w:pPr>
      <w:r w:rsidRPr="00A7727F">
        <w:rPr>
          <w:lang w:eastAsia="ja-JP"/>
        </w:rPr>
        <w:t>Full analysis set (FAS): all subjects who received any infusion of blinatumomab.</w:t>
      </w:r>
      <w:r w:rsidR="00C82A7D">
        <w:rPr>
          <w:lang w:eastAsia="ja-JP"/>
        </w:rPr>
        <w:t xml:space="preserve"> </w:t>
      </w:r>
      <w:r w:rsidRPr="00A7727F">
        <w:rPr>
          <w:lang w:eastAsia="ja-JP"/>
        </w:rPr>
        <w:t>Primary analys</w:t>
      </w:r>
      <w:r w:rsidR="00C82A7D">
        <w:rPr>
          <w:lang w:eastAsia="ja-JP"/>
        </w:rPr>
        <w:t>is set (PAS): </w:t>
      </w:r>
      <w:r w:rsidRPr="00A7727F">
        <w:rPr>
          <w:lang w:eastAsia="ja-JP"/>
        </w:rPr>
        <w:t xml:space="preserve">subjects from the first 3 stages of the study who received any infusion of </w:t>
      </w:r>
      <w:r w:rsidR="00C82A7D">
        <w:rPr>
          <w:lang w:eastAsia="ja-JP"/>
        </w:rPr>
        <w:t>b</w:t>
      </w:r>
      <w:r w:rsidRPr="00A7727F">
        <w:rPr>
          <w:lang w:eastAsia="ja-JP"/>
        </w:rPr>
        <w:t>linatumomab.</w:t>
      </w:r>
      <w:r w:rsidR="00C82A7D">
        <w:rPr>
          <w:lang w:eastAsia="ja-JP"/>
        </w:rPr>
        <w:t xml:space="preserve"> </w:t>
      </w:r>
      <w:r w:rsidRPr="00A7727F">
        <w:rPr>
          <w:lang w:eastAsia="ja-JP"/>
        </w:rPr>
        <w:t>Efficacy set (EFS): subjects from the PAS for whom at least 1 evaluable response assessment was available after start of treatment</w:t>
      </w:r>
      <w:r w:rsidR="00C82A7D">
        <w:rPr>
          <w:lang w:eastAsia="ja-JP"/>
        </w:rPr>
        <w:t xml:space="preserve"> </w:t>
      </w:r>
      <w:r w:rsidRPr="00A7727F">
        <w:rPr>
          <w:lang w:eastAsia="ja-JP"/>
        </w:rPr>
        <w:t>Per protocol set (PPS): subjects from the EFS who did not have any major protocol deviation.</w:t>
      </w:r>
    </w:p>
    <w:p w14:paraId="524B8AC5" w14:textId="3327F0A1" w:rsidR="00A7727F" w:rsidRPr="00A7727F" w:rsidRDefault="00A7727F" w:rsidP="00C82A7D">
      <w:pPr>
        <w:pStyle w:val="Tabletitle"/>
        <w:rPr>
          <w:lang w:eastAsia="ja-JP"/>
        </w:rPr>
      </w:pPr>
      <w:bookmarkStart w:id="169" w:name="_Toc292015702"/>
      <w:r w:rsidRPr="00A7727F">
        <w:rPr>
          <w:lang w:eastAsia="ja-JP"/>
        </w:rPr>
        <w:t xml:space="preserve">Table </w:t>
      </w:r>
      <w:r w:rsidR="007D6F35">
        <w:rPr>
          <w:lang w:eastAsia="ja-JP"/>
        </w:rPr>
        <w:t xml:space="preserve">19: </w:t>
      </w:r>
      <w:r w:rsidR="00C82A7D">
        <w:rPr>
          <w:lang w:eastAsia="ja-JP"/>
        </w:rPr>
        <w:t>Disposition of subjects at the end of core s</w:t>
      </w:r>
      <w:r w:rsidRPr="00A7727F">
        <w:rPr>
          <w:lang w:eastAsia="ja-JP"/>
        </w:rPr>
        <w:t>tudy</w:t>
      </w:r>
      <w:bookmarkEnd w:id="169"/>
    </w:p>
    <w:tbl>
      <w:tblPr>
        <w:tblStyle w:val="TableTGAblue"/>
        <w:tblW w:w="4534" w:type="pct"/>
        <w:tblLayout w:type="fixed"/>
        <w:tblLook w:val="04A0" w:firstRow="1" w:lastRow="0" w:firstColumn="1" w:lastColumn="0" w:noHBand="0" w:noVBand="1"/>
        <w:tblDescription w:val="Table 19: Disposition of subjects at the end of core study"/>
      </w:tblPr>
      <w:tblGrid>
        <w:gridCol w:w="2609"/>
        <w:gridCol w:w="888"/>
        <w:gridCol w:w="986"/>
        <w:gridCol w:w="888"/>
        <w:gridCol w:w="1069"/>
        <w:gridCol w:w="888"/>
        <w:gridCol w:w="1053"/>
      </w:tblGrid>
      <w:tr w:rsidR="00C82A7D" w:rsidRPr="00A7727F" w14:paraId="2E6971B5" w14:textId="77777777" w:rsidTr="007B270B">
        <w:trPr>
          <w:cnfStyle w:val="100000000000" w:firstRow="1" w:lastRow="0" w:firstColumn="0" w:lastColumn="0" w:oddVBand="0" w:evenVBand="0" w:oddHBand="0" w:evenHBand="0" w:firstRowFirstColumn="0" w:firstRowLastColumn="0" w:lastRowFirstColumn="0" w:lastRowLastColumn="0"/>
          <w:trHeight w:val="883"/>
          <w:tblHeader/>
        </w:trPr>
        <w:tc>
          <w:tcPr>
            <w:cnfStyle w:val="001000000000" w:firstRow="0" w:lastRow="0" w:firstColumn="1" w:lastColumn="0" w:oddVBand="0" w:evenVBand="0" w:oddHBand="0" w:evenHBand="0" w:firstRowFirstColumn="0" w:firstRowLastColumn="0" w:lastRowFirstColumn="0" w:lastRowLastColumn="0"/>
            <w:tcW w:w="1556" w:type="pct"/>
            <w:vMerge w:val="restart"/>
            <w:tcBorders>
              <w:right w:val="single" w:sz="4" w:space="0" w:color="000000"/>
            </w:tcBorders>
          </w:tcPr>
          <w:p w14:paraId="37177AD0" w14:textId="77777777" w:rsidR="00C82A7D" w:rsidRPr="00A7727F" w:rsidRDefault="00C82A7D" w:rsidP="007B270B">
            <w:pPr>
              <w:keepNext/>
              <w:rPr>
                <w:lang w:eastAsia="ja-JP"/>
              </w:rPr>
            </w:pPr>
          </w:p>
        </w:tc>
        <w:tc>
          <w:tcPr>
            <w:tcW w:w="1118" w:type="pct"/>
            <w:gridSpan w:val="2"/>
            <w:tcBorders>
              <w:left w:val="single" w:sz="4" w:space="0" w:color="000000"/>
              <w:right w:val="single" w:sz="4" w:space="0" w:color="000000"/>
            </w:tcBorders>
          </w:tcPr>
          <w:p w14:paraId="1ACF4FD6" w14:textId="77777777"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PAS/FAS</w:t>
            </w:r>
          </w:p>
          <w:p w14:paraId="1E368927" w14:textId="29B3A8A5"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(N = 189)</w:t>
            </w:r>
          </w:p>
        </w:tc>
        <w:tc>
          <w:tcPr>
            <w:tcW w:w="1168" w:type="pct"/>
            <w:gridSpan w:val="2"/>
            <w:tcBorders>
              <w:left w:val="single" w:sz="4" w:space="0" w:color="000000"/>
              <w:right w:val="single" w:sz="4" w:space="0" w:color="000000"/>
            </w:tcBorders>
          </w:tcPr>
          <w:p w14:paraId="2D3870CA" w14:textId="77777777"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EFS</w:t>
            </w:r>
          </w:p>
          <w:p w14:paraId="694BC421" w14:textId="116AA430"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(N = 172)</w:t>
            </w:r>
          </w:p>
        </w:tc>
        <w:tc>
          <w:tcPr>
            <w:tcW w:w="1158" w:type="pct"/>
            <w:gridSpan w:val="2"/>
            <w:tcBorders>
              <w:left w:val="single" w:sz="4" w:space="0" w:color="000000"/>
            </w:tcBorders>
          </w:tcPr>
          <w:p w14:paraId="1AB02286" w14:textId="77777777"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PPS</w:t>
            </w:r>
          </w:p>
          <w:p w14:paraId="72291DCF" w14:textId="1EDFB78C"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(N = 167)</w:t>
            </w:r>
          </w:p>
        </w:tc>
      </w:tr>
      <w:tr w:rsidR="00C82A7D" w:rsidRPr="00A7727F" w14:paraId="40549635" w14:textId="77777777" w:rsidTr="007B270B">
        <w:trPr>
          <w:cnfStyle w:val="100000000000" w:firstRow="1" w:lastRow="0" w:firstColumn="0" w:lastColumn="0" w:oddVBand="0" w:evenVBand="0" w:oddHBand="0" w:evenHBand="0" w:firstRowFirstColumn="0" w:firstRowLastColumn="0" w:lastRowFirstColumn="0" w:lastRowLastColumn="0"/>
          <w:trHeight w:val="860"/>
          <w:tblHeader/>
        </w:trPr>
        <w:tc>
          <w:tcPr>
            <w:cnfStyle w:val="001000000000" w:firstRow="0" w:lastRow="0" w:firstColumn="1" w:lastColumn="0" w:oddVBand="0" w:evenVBand="0" w:oddHBand="0" w:evenHBand="0" w:firstRowFirstColumn="0" w:firstRowLastColumn="0" w:lastRowFirstColumn="0" w:lastRowLastColumn="0"/>
            <w:tcW w:w="1556" w:type="pct"/>
            <w:vMerge/>
            <w:tcBorders>
              <w:right w:val="single" w:sz="4" w:space="0" w:color="000000"/>
            </w:tcBorders>
          </w:tcPr>
          <w:p w14:paraId="1E3BE8A0" w14:textId="77777777" w:rsidR="00C82A7D" w:rsidRPr="00A7727F" w:rsidRDefault="00C82A7D" w:rsidP="00A7727F">
            <w:pPr>
              <w:rPr>
                <w:lang w:eastAsia="ja-JP"/>
              </w:rPr>
            </w:pPr>
          </w:p>
        </w:tc>
        <w:tc>
          <w:tcPr>
            <w:tcW w:w="530" w:type="pct"/>
            <w:tcBorders>
              <w:left w:val="single" w:sz="4" w:space="0" w:color="000000"/>
              <w:right w:val="single" w:sz="4" w:space="0" w:color="000000"/>
            </w:tcBorders>
          </w:tcPr>
          <w:p w14:paraId="7B57FA9E" w14:textId="11561414"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N</w:t>
            </w:r>
            <w:r>
              <w:rPr>
                <w:bCs/>
                <w:lang w:eastAsia="ja-JP"/>
              </w:rPr>
              <w:t xml:space="preserve"> =</w:t>
            </w:r>
          </w:p>
        </w:tc>
        <w:tc>
          <w:tcPr>
            <w:tcW w:w="588" w:type="pct"/>
            <w:tcBorders>
              <w:left w:val="single" w:sz="4" w:space="0" w:color="000000"/>
              <w:right w:val="single" w:sz="4" w:space="0" w:color="000000"/>
            </w:tcBorders>
          </w:tcPr>
          <w:p w14:paraId="79367DF3" w14:textId="77777777"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w:t>
            </w:r>
          </w:p>
        </w:tc>
        <w:tc>
          <w:tcPr>
            <w:tcW w:w="530" w:type="pct"/>
            <w:tcBorders>
              <w:left w:val="single" w:sz="4" w:space="0" w:color="000000"/>
              <w:right w:val="single" w:sz="4" w:space="0" w:color="000000"/>
            </w:tcBorders>
          </w:tcPr>
          <w:p w14:paraId="3A8ACB8A" w14:textId="51F87055"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N</w:t>
            </w:r>
            <w:r>
              <w:rPr>
                <w:bCs/>
                <w:lang w:eastAsia="ja-JP"/>
              </w:rPr>
              <w:t xml:space="preserve"> =</w:t>
            </w:r>
          </w:p>
        </w:tc>
        <w:tc>
          <w:tcPr>
            <w:tcW w:w="638" w:type="pct"/>
            <w:tcBorders>
              <w:left w:val="single" w:sz="4" w:space="0" w:color="000000"/>
              <w:right w:val="single" w:sz="4" w:space="0" w:color="000000"/>
            </w:tcBorders>
          </w:tcPr>
          <w:p w14:paraId="79AF3523" w14:textId="77777777"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w:t>
            </w:r>
          </w:p>
        </w:tc>
        <w:tc>
          <w:tcPr>
            <w:tcW w:w="530" w:type="pct"/>
            <w:tcBorders>
              <w:left w:val="single" w:sz="4" w:space="0" w:color="000000"/>
              <w:right w:val="single" w:sz="4" w:space="0" w:color="000000"/>
            </w:tcBorders>
          </w:tcPr>
          <w:p w14:paraId="51966EE8" w14:textId="6F79D1E9"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N</w:t>
            </w:r>
            <w:r>
              <w:rPr>
                <w:bCs/>
                <w:lang w:eastAsia="ja-JP"/>
              </w:rPr>
              <w:t xml:space="preserve"> =</w:t>
            </w:r>
          </w:p>
        </w:tc>
        <w:tc>
          <w:tcPr>
            <w:tcW w:w="628" w:type="pct"/>
            <w:tcBorders>
              <w:left w:val="single" w:sz="4" w:space="0" w:color="000000"/>
            </w:tcBorders>
          </w:tcPr>
          <w:p w14:paraId="1329A967" w14:textId="77777777" w:rsidR="00C82A7D" w:rsidRPr="00C82A7D" w:rsidRDefault="00C82A7D" w:rsidP="00A7727F">
            <w:pPr>
              <w:cnfStyle w:val="100000000000" w:firstRow="1" w:lastRow="0" w:firstColumn="0" w:lastColumn="0" w:oddVBand="0" w:evenVBand="0" w:oddHBand="0" w:evenHBand="0" w:firstRowFirstColumn="0" w:firstRowLastColumn="0" w:lastRowFirstColumn="0" w:lastRowLastColumn="0"/>
              <w:rPr>
                <w:bCs/>
                <w:lang w:eastAsia="ja-JP"/>
              </w:rPr>
            </w:pPr>
            <w:r w:rsidRPr="00C82A7D">
              <w:rPr>
                <w:bCs/>
                <w:lang w:eastAsia="ja-JP"/>
              </w:rPr>
              <w:t>(%)</w:t>
            </w:r>
          </w:p>
        </w:tc>
      </w:tr>
      <w:tr w:rsidR="00C82A7D" w:rsidRPr="00A7727F" w14:paraId="5E82F4FD" w14:textId="77777777" w:rsidTr="007B270B">
        <w:trPr>
          <w:trHeight w:val="488"/>
        </w:trPr>
        <w:tc>
          <w:tcPr>
            <w:cnfStyle w:val="001000000000" w:firstRow="0" w:lastRow="0" w:firstColumn="1" w:lastColumn="0" w:oddVBand="0" w:evenVBand="0" w:oddHBand="0" w:evenHBand="0" w:firstRowFirstColumn="0" w:firstRowLastColumn="0" w:lastRowFirstColumn="0" w:lastRowLastColumn="0"/>
            <w:tcW w:w="1556" w:type="pct"/>
          </w:tcPr>
          <w:p w14:paraId="0813352A" w14:textId="77777777" w:rsidR="00A7727F" w:rsidRPr="00A7727F" w:rsidRDefault="00A7727F" w:rsidP="00C82A7D">
            <w:pPr>
              <w:ind w:left="0" w:right="0"/>
              <w:rPr>
                <w:b/>
                <w:bCs/>
                <w:lang w:eastAsia="ja-JP"/>
              </w:rPr>
            </w:pPr>
            <w:r w:rsidRPr="00A7727F">
              <w:rPr>
                <w:b/>
                <w:bCs/>
                <w:lang w:eastAsia="ja-JP"/>
              </w:rPr>
              <w:t xml:space="preserve">Status </w:t>
            </w:r>
            <w:r w:rsidRPr="00A7727F">
              <w:rPr>
                <w:b/>
                <w:bCs/>
                <w:vertAlign w:val="superscript"/>
                <w:lang w:eastAsia="ja-JP"/>
              </w:rPr>
              <w:t>a</w:t>
            </w:r>
          </w:p>
        </w:tc>
        <w:tc>
          <w:tcPr>
            <w:tcW w:w="530" w:type="pct"/>
            <w:tcBorders>
              <w:right w:val="single" w:sz="4" w:space="0" w:color="000000"/>
            </w:tcBorders>
          </w:tcPr>
          <w:p w14:paraId="63EB51CA"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88" w:type="pct"/>
            <w:tcBorders>
              <w:left w:val="single" w:sz="4" w:space="0" w:color="000000"/>
              <w:right w:val="single" w:sz="4" w:space="0" w:color="000000"/>
            </w:tcBorders>
          </w:tcPr>
          <w:p w14:paraId="55ADA1C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30" w:type="pct"/>
            <w:tcBorders>
              <w:left w:val="single" w:sz="4" w:space="0" w:color="000000"/>
            </w:tcBorders>
          </w:tcPr>
          <w:p w14:paraId="0125132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638" w:type="pct"/>
          </w:tcPr>
          <w:p w14:paraId="065BDB24"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30" w:type="pct"/>
          </w:tcPr>
          <w:p w14:paraId="0CF2BB1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628" w:type="pct"/>
          </w:tcPr>
          <w:p w14:paraId="57010E0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C82A7D" w:rsidRPr="00A7727F" w14:paraId="0E785336"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60FD7BE7" w14:textId="2F76CEDB" w:rsidR="00A7727F" w:rsidRPr="00A7727F" w:rsidRDefault="00A7727F" w:rsidP="00C82A7D">
            <w:pPr>
              <w:ind w:left="0" w:right="0"/>
              <w:rPr>
                <w:lang w:eastAsia="ja-JP"/>
              </w:rPr>
            </w:pPr>
            <w:r w:rsidRPr="00A7727F">
              <w:rPr>
                <w:lang w:eastAsia="ja-JP"/>
              </w:rPr>
              <w:t>Core study ongoing</w:t>
            </w:r>
          </w:p>
        </w:tc>
        <w:tc>
          <w:tcPr>
            <w:tcW w:w="530" w:type="pct"/>
          </w:tcPr>
          <w:p w14:paraId="77873FA1"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w:t>
            </w:r>
          </w:p>
        </w:tc>
        <w:tc>
          <w:tcPr>
            <w:tcW w:w="588" w:type="pct"/>
          </w:tcPr>
          <w:p w14:paraId="1AA1073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w:t>
            </w:r>
          </w:p>
        </w:tc>
        <w:tc>
          <w:tcPr>
            <w:tcW w:w="530" w:type="pct"/>
          </w:tcPr>
          <w:p w14:paraId="2E9E890C"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w:t>
            </w:r>
          </w:p>
        </w:tc>
        <w:tc>
          <w:tcPr>
            <w:tcW w:w="638" w:type="pct"/>
          </w:tcPr>
          <w:p w14:paraId="12FC5074"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w:t>
            </w:r>
          </w:p>
        </w:tc>
        <w:tc>
          <w:tcPr>
            <w:tcW w:w="530" w:type="pct"/>
          </w:tcPr>
          <w:p w14:paraId="74A7235E"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w:t>
            </w:r>
          </w:p>
        </w:tc>
        <w:tc>
          <w:tcPr>
            <w:tcW w:w="628" w:type="pct"/>
          </w:tcPr>
          <w:p w14:paraId="4B04B3F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w:t>
            </w:r>
          </w:p>
        </w:tc>
      </w:tr>
      <w:tr w:rsidR="00C82A7D" w:rsidRPr="00A7727F" w14:paraId="0DB24476"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391D019B" w14:textId="7BEA8118" w:rsidR="00A7727F" w:rsidRPr="00A7727F" w:rsidRDefault="00A7727F" w:rsidP="00C82A7D">
            <w:pPr>
              <w:ind w:left="0" w:right="0"/>
              <w:rPr>
                <w:lang w:eastAsia="ja-JP"/>
              </w:rPr>
            </w:pPr>
            <w:r w:rsidRPr="00A7727F">
              <w:rPr>
                <w:lang w:eastAsia="ja-JP"/>
              </w:rPr>
              <w:t>Completed 5 cycles</w:t>
            </w:r>
          </w:p>
        </w:tc>
        <w:tc>
          <w:tcPr>
            <w:tcW w:w="530" w:type="pct"/>
          </w:tcPr>
          <w:p w14:paraId="28D3599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w:t>
            </w:r>
          </w:p>
        </w:tc>
        <w:tc>
          <w:tcPr>
            <w:tcW w:w="588" w:type="pct"/>
          </w:tcPr>
          <w:p w14:paraId="4F21F91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(5.3%)</w:t>
            </w:r>
          </w:p>
        </w:tc>
        <w:tc>
          <w:tcPr>
            <w:tcW w:w="530" w:type="pct"/>
          </w:tcPr>
          <w:p w14:paraId="655D900A"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w:t>
            </w:r>
          </w:p>
        </w:tc>
        <w:tc>
          <w:tcPr>
            <w:tcW w:w="638" w:type="pct"/>
          </w:tcPr>
          <w:p w14:paraId="516BC1AC"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(5.8%)</w:t>
            </w:r>
          </w:p>
        </w:tc>
        <w:tc>
          <w:tcPr>
            <w:tcW w:w="530" w:type="pct"/>
          </w:tcPr>
          <w:p w14:paraId="2DF1CEDC"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w:t>
            </w:r>
          </w:p>
        </w:tc>
        <w:tc>
          <w:tcPr>
            <w:tcW w:w="628" w:type="pct"/>
          </w:tcPr>
          <w:p w14:paraId="30998C9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(4.8%)</w:t>
            </w:r>
          </w:p>
        </w:tc>
      </w:tr>
      <w:tr w:rsidR="00C82A7D" w:rsidRPr="00A7727F" w14:paraId="3EB71651" w14:textId="77777777" w:rsidTr="007B270B">
        <w:trPr>
          <w:trHeight w:val="766"/>
        </w:trPr>
        <w:tc>
          <w:tcPr>
            <w:cnfStyle w:val="001000000000" w:firstRow="0" w:lastRow="0" w:firstColumn="1" w:lastColumn="0" w:oddVBand="0" w:evenVBand="0" w:oddHBand="0" w:evenHBand="0" w:firstRowFirstColumn="0" w:firstRowLastColumn="0" w:lastRowFirstColumn="0" w:lastRowLastColumn="0"/>
            <w:tcW w:w="1556" w:type="pct"/>
          </w:tcPr>
          <w:p w14:paraId="0AF915AC" w14:textId="6E67783E" w:rsidR="00A7727F" w:rsidRPr="00A7727F" w:rsidRDefault="00A7727F" w:rsidP="00C82A7D">
            <w:pPr>
              <w:ind w:left="0" w:right="0"/>
              <w:rPr>
                <w:lang w:eastAsia="ja-JP"/>
              </w:rPr>
            </w:pPr>
            <w:r w:rsidRPr="00A7727F">
              <w:rPr>
                <w:lang w:eastAsia="ja-JP"/>
              </w:rPr>
              <w:t>Did not complete 5 cycles</w:t>
            </w:r>
          </w:p>
        </w:tc>
        <w:tc>
          <w:tcPr>
            <w:tcW w:w="530" w:type="pct"/>
          </w:tcPr>
          <w:p w14:paraId="10C120C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177</w:t>
            </w:r>
          </w:p>
        </w:tc>
        <w:tc>
          <w:tcPr>
            <w:tcW w:w="588" w:type="pct"/>
          </w:tcPr>
          <w:p w14:paraId="5C1456F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(93.7%)</w:t>
            </w:r>
          </w:p>
        </w:tc>
        <w:tc>
          <w:tcPr>
            <w:tcW w:w="530" w:type="pct"/>
          </w:tcPr>
          <w:p w14:paraId="1358997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160</w:t>
            </w:r>
          </w:p>
        </w:tc>
        <w:tc>
          <w:tcPr>
            <w:tcW w:w="638" w:type="pct"/>
          </w:tcPr>
          <w:p w14:paraId="49056238"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(93.0%)</w:t>
            </w:r>
          </w:p>
        </w:tc>
        <w:tc>
          <w:tcPr>
            <w:tcW w:w="530" w:type="pct"/>
          </w:tcPr>
          <w:p w14:paraId="6E95EA5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157</w:t>
            </w:r>
          </w:p>
        </w:tc>
        <w:tc>
          <w:tcPr>
            <w:tcW w:w="628" w:type="pct"/>
          </w:tcPr>
          <w:p w14:paraId="084AF574"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(94.0%)</w:t>
            </w:r>
          </w:p>
        </w:tc>
      </w:tr>
      <w:tr w:rsidR="00C82A7D" w:rsidRPr="00A7727F" w14:paraId="77BFB699" w14:textId="77777777" w:rsidTr="007B270B">
        <w:trPr>
          <w:trHeight w:val="755"/>
        </w:trPr>
        <w:tc>
          <w:tcPr>
            <w:cnfStyle w:val="001000000000" w:firstRow="0" w:lastRow="0" w:firstColumn="1" w:lastColumn="0" w:oddVBand="0" w:evenVBand="0" w:oddHBand="0" w:evenHBand="0" w:firstRowFirstColumn="0" w:firstRowLastColumn="0" w:lastRowFirstColumn="0" w:lastRowLastColumn="0"/>
            <w:tcW w:w="1556" w:type="pct"/>
          </w:tcPr>
          <w:p w14:paraId="10DFFD97" w14:textId="77777777" w:rsidR="00A7727F" w:rsidRPr="00A7727F" w:rsidRDefault="00A7727F" w:rsidP="00C82A7D">
            <w:pPr>
              <w:ind w:left="0" w:right="0"/>
              <w:rPr>
                <w:b/>
                <w:bCs/>
                <w:lang w:eastAsia="ja-JP"/>
              </w:rPr>
            </w:pPr>
            <w:r w:rsidRPr="00A7727F">
              <w:rPr>
                <w:b/>
                <w:bCs/>
                <w:lang w:eastAsia="ja-JP"/>
              </w:rPr>
              <w:t>Reasons for not completing 5 cycles</w:t>
            </w:r>
          </w:p>
        </w:tc>
        <w:tc>
          <w:tcPr>
            <w:tcW w:w="530" w:type="pct"/>
          </w:tcPr>
          <w:p w14:paraId="7C104D5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88" w:type="pct"/>
          </w:tcPr>
          <w:p w14:paraId="1874DBE1"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30" w:type="pct"/>
          </w:tcPr>
          <w:p w14:paraId="5623FA3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638" w:type="pct"/>
          </w:tcPr>
          <w:p w14:paraId="3D42E1A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30" w:type="pct"/>
          </w:tcPr>
          <w:p w14:paraId="49D79D0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628" w:type="pct"/>
          </w:tcPr>
          <w:p w14:paraId="6FB116AC"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C82A7D" w:rsidRPr="00A7727F" w14:paraId="1EB5A233" w14:textId="77777777" w:rsidTr="007B270B">
        <w:trPr>
          <w:trHeight w:val="755"/>
        </w:trPr>
        <w:tc>
          <w:tcPr>
            <w:cnfStyle w:val="001000000000" w:firstRow="0" w:lastRow="0" w:firstColumn="1" w:lastColumn="0" w:oddVBand="0" w:evenVBand="0" w:oddHBand="0" w:evenHBand="0" w:firstRowFirstColumn="0" w:firstRowLastColumn="0" w:lastRowFirstColumn="0" w:lastRowLastColumn="0"/>
            <w:tcW w:w="1556" w:type="pct"/>
          </w:tcPr>
          <w:p w14:paraId="10CCFE00" w14:textId="127CCC8D" w:rsidR="00A7727F" w:rsidRPr="00A7727F" w:rsidRDefault="00A7727F" w:rsidP="00C82A7D">
            <w:pPr>
              <w:ind w:left="0" w:right="0"/>
              <w:rPr>
                <w:lang w:eastAsia="ja-JP"/>
              </w:rPr>
            </w:pPr>
            <w:r w:rsidRPr="00A7727F">
              <w:rPr>
                <w:lang w:eastAsia="ja-JP"/>
              </w:rPr>
              <w:t>Physician decision</w:t>
            </w:r>
          </w:p>
        </w:tc>
        <w:tc>
          <w:tcPr>
            <w:tcW w:w="530" w:type="pct"/>
          </w:tcPr>
          <w:p w14:paraId="2339079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46</w:t>
            </w:r>
          </w:p>
        </w:tc>
        <w:tc>
          <w:tcPr>
            <w:tcW w:w="588" w:type="pct"/>
          </w:tcPr>
          <w:p w14:paraId="5DE3F6A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(24.3%)</w:t>
            </w:r>
          </w:p>
        </w:tc>
        <w:tc>
          <w:tcPr>
            <w:tcW w:w="530" w:type="pct"/>
          </w:tcPr>
          <w:p w14:paraId="0D7B431C"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45</w:t>
            </w:r>
          </w:p>
        </w:tc>
        <w:tc>
          <w:tcPr>
            <w:tcW w:w="638" w:type="pct"/>
          </w:tcPr>
          <w:p w14:paraId="4CCA511A"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(26.2%)</w:t>
            </w:r>
          </w:p>
        </w:tc>
        <w:tc>
          <w:tcPr>
            <w:tcW w:w="530" w:type="pct"/>
          </w:tcPr>
          <w:p w14:paraId="08963AA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39</w:t>
            </w:r>
          </w:p>
        </w:tc>
        <w:tc>
          <w:tcPr>
            <w:tcW w:w="628" w:type="pct"/>
          </w:tcPr>
          <w:p w14:paraId="0655A55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(23.4%)</w:t>
            </w:r>
          </w:p>
        </w:tc>
      </w:tr>
      <w:tr w:rsidR="00C82A7D" w:rsidRPr="00A7727F" w14:paraId="4F1F80F5" w14:textId="77777777" w:rsidTr="007B270B">
        <w:trPr>
          <w:trHeight w:val="766"/>
        </w:trPr>
        <w:tc>
          <w:tcPr>
            <w:cnfStyle w:val="001000000000" w:firstRow="0" w:lastRow="0" w:firstColumn="1" w:lastColumn="0" w:oddVBand="0" w:evenVBand="0" w:oddHBand="0" w:evenHBand="0" w:firstRowFirstColumn="0" w:firstRowLastColumn="0" w:lastRowFirstColumn="0" w:lastRowLastColumn="0"/>
            <w:tcW w:w="1556" w:type="pct"/>
          </w:tcPr>
          <w:p w14:paraId="391C47F5" w14:textId="56A45325" w:rsidR="00A7727F" w:rsidRPr="00A7727F" w:rsidRDefault="00A7727F" w:rsidP="00C82A7D">
            <w:pPr>
              <w:ind w:left="0" w:right="0"/>
              <w:rPr>
                <w:lang w:eastAsia="ja-JP"/>
              </w:rPr>
            </w:pPr>
            <w:r w:rsidRPr="00A7727F">
              <w:rPr>
                <w:lang w:eastAsia="ja-JP"/>
              </w:rPr>
              <w:t>Related to HSCT</w:t>
            </w:r>
          </w:p>
        </w:tc>
        <w:tc>
          <w:tcPr>
            <w:tcW w:w="530" w:type="pct"/>
          </w:tcPr>
          <w:p w14:paraId="0D015C25"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30</w:t>
            </w:r>
          </w:p>
        </w:tc>
        <w:tc>
          <w:tcPr>
            <w:tcW w:w="588" w:type="pct"/>
          </w:tcPr>
          <w:p w14:paraId="0838BEA1"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(15.9%)</w:t>
            </w:r>
          </w:p>
        </w:tc>
        <w:tc>
          <w:tcPr>
            <w:tcW w:w="530" w:type="pct"/>
          </w:tcPr>
          <w:p w14:paraId="03F5C90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30</w:t>
            </w:r>
          </w:p>
        </w:tc>
        <w:tc>
          <w:tcPr>
            <w:tcW w:w="638" w:type="pct"/>
          </w:tcPr>
          <w:p w14:paraId="072E07A2"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(17.4%)</w:t>
            </w:r>
          </w:p>
        </w:tc>
        <w:tc>
          <w:tcPr>
            <w:tcW w:w="530" w:type="pct"/>
          </w:tcPr>
          <w:p w14:paraId="0BE78F85"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25</w:t>
            </w:r>
          </w:p>
        </w:tc>
        <w:tc>
          <w:tcPr>
            <w:tcW w:w="628" w:type="pct"/>
          </w:tcPr>
          <w:p w14:paraId="4D79A79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(15.0%)</w:t>
            </w:r>
          </w:p>
        </w:tc>
      </w:tr>
      <w:tr w:rsidR="00C82A7D" w:rsidRPr="00A7727F" w14:paraId="0B4EFF21"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06A311D2" w14:textId="677CD21D" w:rsidR="00A7727F" w:rsidRPr="00A7727F" w:rsidRDefault="00A7727F" w:rsidP="00C82A7D">
            <w:pPr>
              <w:ind w:left="0" w:right="0"/>
              <w:rPr>
                <w:lang w:eastAsia="ja-JP"/>
              </w:rPr>
            </w:pPr>
            <w:r w:rsidRPr="00A7727F">
              <w:rPr>
                <w:lang w:eastAsia="ja-JP"/>
              </w:rPr>
              <w:t>Not related to HSCT</w:t>
            </w:r>
          </w:p>
        </w:tc>
        <w:tc>
          <w:tcPr>
            <w:tcW w:w="530" w:type="pct"/>
          </w:tcPr>
          <w:p w14:paraId="38EF5E7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16</w:t>
            </w:r>
          </w:p>
        </w:tc>
        <w:tc>
          <w:tcPr>
            <w:tcW w:w="588" w:type="pct"/>
          </w:tcPr>
          <w:p w14:paraId="52079F0C"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(8.5%)</w:t>
            </w:r>
          </w:p>
        </w:tc>
        <w:tc>
          <w:tcPr>
            <w:tcW w:w="530" w:type="pct"/>
          </w:tcPr>
          <w:p w14:paraId="096D6275"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15</w:t>
            </w:r>
          </w:p>
        </w:tc>
        <w:tc>
          <w:tcPr>
            <w:tcW w:w="638" w:type="pct"/>
          </w:tcPr>
          <w:p w14:paraId="4466E6D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(8.7%)</w:t>
            </w:r>
          </w:p>
        </w:tc>
        <w:tc>
          <w:tcPr>
            <w:tcW w:w="530" w:type="pct"/>
          </w:tcPr>
          <w:p w14:paraId="3AB292C2"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14</w:t>
            </w:r>
          </w:p>
        </w:tc>
        <w:tc>
          <w:tcPr>
            <w:tcW w:w="628" w:type="pct"/>
          </w:tcPr>
          <w:p w14:paraId="6FB4EF58"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(8.4%)</w:t>
            </w:r>
          </w:p>
        </w:tc>
      </w:tr>
      <w:tr w:rsidR="00C82A7D" w:rsidRPr="00A7727F" w14:paraId="3FB3250F" w14:textId="77777777" w:rsidTr="007B270B">
        <w:trPr>
          <w:trHeight w:val="755"/>
        </w:trPr>
        <w:tc>
          <w:tcPr>
            <w:cnfStyle w:val="001000000000" w:firstRow="0" w:lastRow="0" w:firstColumn="1" w:lastColumn="0" w:oddVBand="0" w:evenVBand="0" w:oddHBand="0" w:evenHBand="0" w:firstRowFirstColumn="0" w:firstRowLastColumn="0" w:lastRowFirstColumn="0" w:lastRowLastColumn="0"/>
            <w:tcW w:w="1556" w:type="pct"/>
          </w:tcPr>
          <w:p w14:paraId="709E47B6" w14:textId="69D46F50" w:rsidR="00A7727F" w:rsidRPr="00A7727F" w:rsidRDefault="00A7727F" w:rsidP="00C82A7D">
            <w:pPr>
              <w:ind w:left="0" w:right="0"/>
              <w:rPr>
                <w:lang w:eastAsia="ja-JP"/>
              </w:rPr>
            </w:pPr>
            <w:r w:rsidRPr="00A7727F">
              <w:rPr>
                <w:lang w:eastAsia="ja-JP"/>
              </w:rPr>
              <w:t>Progressive disease</w:t>
            </w:r>
          </w:p>
        </w:tc>
        <w:tc>
          <w:tcPr>
            <w:tcW w:w="530" w:type="pct"/>
          </w:tcPr>
          <w:p w14:paraId="0332103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43</w:t>
            </w:r>
          </w:p>
        </w:tc>
        <w:tc>
          <w:tcPr>
            <w:tcW w:w="588" w:type="pct"/>
          </w:tcPr>
          <w:p w14:paraId="32A42A6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(22.8%)</w:t>
            </w:r>
          </w:p>
        </w:tc>
        <w:tc>
          <w:tcPr>
            <w:tcW w:w="530" w:type="pct"/>
          </w:tcPr>
          <w:p w14:paraId="5EFB7BE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43</w:t>
            </w:r>
          </w:p>
        </w:tc>
        <w:tc>
          <w:tcPr>
            <w:tcW w:w="638" w:type="pct"/>
          </w:tcPr>
          <w:p w14:paraId="70CD062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(25.0%)</w:t>
            </w:r>
          </w:p>
        </w:tc>
        <w:tc>
          <w:tcPr>
            <w:tcW w:w="530" w:type="pct"/>
          </w:tcPr>
          <w:p w14:paraId="04724A6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40</w:t>
            </w:r>
          </w:p>
        </w:tc>
        <w:tc>
          <w:tcPr>
            <w:tcW w:w="628" w:type="pct"/>
          </w:tcPr>
          <w:p w14:paraId="2F9D46D5"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(24.0%)</w:t>
            </w:r>
          </w:p>
        </w:tc>
      </w:tr>
      <w:tr w:rsidR="00C82A7D" w:rsidRPr="00A7727F" w14:paraId="51703342" w14:textId="77777777" w:rsidTr="007B270B">
        <w:trPr>
          <w:trHeight w:val="755"/>
        </w:trPr>
        <w:tc>
          <w:tcPr>
            <w:cnfStyle w:val="001000000000" w:firstRow="0" w:lastRow="0" w:firstColumn="1" w:lastColumn="0" w:oddVBand="0" w:evenVBand="0" w:oddHBand="0" w:evenHBand="0" w:firstRowFirstColumn="0" w:firstRowLastColumn="0" w:lastRowFirstColumn="0" w:lastRowLastColumn="0"/>
            <w:tcW w:w="1556" w:type="pct"/>
          </w:tcPr>
          <w:p w14:paraId="56A17575" w14:textId="5E75D760" w:rsidR="00A7727F" w:rsidRPr="00A7727F" w:rsidRDefault="00A7727F" w:rsidP="00C82A7D">
            <w:pPr>
              <w:ind w:left="0" w:right="0"/>
              <w:rPr>
                <w:lang w:eastAsia="ja-JP"/>
              </w:rPr>
            </w:pPr>
            <w:r w:rsidRPr="00A7727F">
              <w:rPr>
                <w:lang w:eastAsia="ja-JP"/>
              </w:rPr>
              <w:t>Adverse event</w:t>
            </w:r>
          </w:p>
        </w:tc>
        <w:tc>
          <w:tcPr>
            <w:tcW w:w="530" w:type="pct"/>
          </w:tcPr>
          <w:p w14:paraId="0B23EE8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32</w:t>
            </w:r>
          </w:p>
        </w:tc>
        <w:tc>
          <w:tcPr>
            <w:tcW w:w="588" w:type="pct"/>
          </w:tcPr>
          <w:p w14:paraId="7C81C55E"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(16.9%)</w:t>
            </w:r>
          </w:p>
        </w:tc>
        <w:tc>
          <w:tcPr>
            <w:tcW w:w="530" w:type="pct"/>
          </w:tcPr>
          <w:p w14:paraId="197DA6AE"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19</w:t>
            </w:r>
          </w:p>
        </w:tc>
        <w:tc>
          <w:tcPr>
            <w:tcW w:w="638" w:type="pct"/>
          </w:tcPr>
          <w:p w14:paraId="04701AA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(11.0%)</w:t>
            </w:r>
          </w:p>
        </w:tc>
        <w:tc>
          <w:tcPr>
            <w:tcW w:w="530" w:type="pct"/>
          </w:tcPr>
          <w:p w14:paraId="5BBC6B4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27</w:t>
            </w:r>
          </w:p>
        </w:tc>
        <w:tc>
          <w:tcPr>
            <w:tcW w:w="628" w:type="pct"/>
          </w:tcPr>
          <w:p w14:paraId="666BD25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(16.2%)</w:t>
            </w:r>
          </w:p>
        </w:tc>
      </w:tr>
      <w:tr w:rsidR="00C82A7D" w:rsidRPr="00A7727F" w14:paraId="7B894A2B" w14:textId="77777777" w:rsidTr="007B270B">
        <w:trPr>
          <w:trHeight w:val="766"/>
        </w:trPr>
        <w:tc>
          <w:tcPr>
            <w:cnfStyle w:val="001000000000" w:firstRow="0" w:lastRow="0" w:firstColumn="1" w:lastColumn="0" w:oddVBand="0" w:evenVBand="0" w:oddHBand="0" w:evenHBand="0" w:firstRowFirstColumn="0" w:firstRowLastColumn="0" w:lastRowFirstColumn="0" w:lastRowLastColumn="0"/>
            <w:tcW w:w="1556" w:type="pct"/>
          </w:tcPr>
          <w:p w14:paraId="586B4FE7" w14:textId="2439F4EC" w:rsidR="00A7727F" w:rsidRPr="00A7727F" w:rsidRDefault="00A7727F" w:rsidP="00C82A7D">
            <w:pPr>
              <w:ind w:left="0" w:right="0"/>
              <w:rPr>
                <w:lang w:eastAsia="ja-JP"/>
              </w:rPr>
            </w:pPr>
            <w:r w:rsidRPr="00A7727F">
              <w:rPr>
                <w:lang w:eastAsia="ja-JP"/>
              </w:rPr>
              <w:t>Disease relapse</w:t>
            </w:r>
          </w:p>
        </w:tc>
        <w:tc>
          <w:tcPr>
            <w:tcW w:w="530" w:type="pct"/>
          </w:tcPr>
          <w:p w14:paraId="27E5447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w:t>
            </w:r>
          </w:p>
        </w:tc>
        <w:tc>
          <w:tcPr>
            <w:tcW w:w="588" w:type="pct"/>
          </w:tcPr>
          <w:p w14:paraId="218019CB"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(12.2%)</w:t>
            </w:r>
          </w:p>
        </w:tc>
        <w:tc>
          <w:tcPr>
            <w:tcW w:w="530" w:type="pct"/>
          </w:tcPr>
          <w:p w14:paraId="4A6A39B1"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w:t>
            </w:r>
          </w:p>
        </w:tc>
        <w:tc>
          <w:tcPr>
            <w:tcW w:w="638" w:type="pct"/>
          </w:tcPr>
          <w:p w14:paraId="683416F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(13.4%)</w:t>
            </w:r>
          </w:p>
        </w:tc>
        <w:tc>
          <w:tcPr>
            <w:tcW w:w="530" w:type="pct"/>
          </w:tcPr>
          <w:p w14:paraId="3160D4A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21</w:t>
            </w:r>
          </w:p>
        </w:tc>
        <w:tc>
          <w:tcPr>
            <w:tcW w:w="628" w:type="pct"/>
          </w:tcPr>
          <w:p w14:paraId="6ACAA78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(12.6%)</w:t>
            </w:r>
          </w:p>
        </w:tc>
      </w:tr>
      <w:tr w:rsidR="00C82A7D" w:rsidRPr="00A7727F" w14:paraId="6623AD52"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5CEF3DF1" w14:textId="7985FCA3" w:rsidR="00A7727F" w:rsidRPr="00A7727F" w:rsidRDefault="00A7727F" w:rsidP="00C82A7D">
            <w:pPr>
              <w:ind w:left="0" w:right="0"/>
              <w:rPr>
                <w:lang w:eastAsia="ja-JP"/>
              </w:rPr>
            </w:pPr>
            <w:r w:rsidRPr="00A7727F">
              <w:rPr>
                <w:lang w:eastAsia="ja-JP"/>
              </w:rPr>
              <w:t>Lack of efficacy</w:t>
            </w:r>
          </w:p>
        </w:tc>
        <w:tc>
          <w:tcPr>
            <w:tcW w:w="530" w:type="pct"/>
          </w:tcPr>
          <w:p w14:paraId="61283D2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14</w:t>
            </w:r>
          </w:p>
        </w:tc>
        <w:tc>
          <w:tcPr>
            <w:tcW w:w="588" w:type="pct"/>
          </w:tcPr>
          <w:p w14:paraId="5FBF3C5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(7.4%)</w:t>
            </w:r>
          </w:p>
        </w:tc>
        <w:tc>
          <w:tcPr>
            <w:tcW w:w="530" w:type="pct"/>
          </w:tcPr>
          <w:p w14:paraId="467AA56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14</w:t>
            </w:r>
          </w:p>
        </w:tc>
        <w:tc>
          <w:tcPr>
            <w:tcW w:w="638" w:type="pct"/>
          </w:tcPr>
          <w:p w14:paraId="6A284B6A"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(8.1%)</w:t>
            </w:r>
          </w:p>
        </w:tc>
        <w:tc>
          <w:tcPr>
            <w:tcW w:w="530" w:type="pct"/>
          </w:tcPr>
          <w:p w14:paraId="26E20A0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13</w:t>
            </w:r>
          </w:p>
        </w:tc>
        <w:tc>
          <w:tcPr>
            <w:tcW w:w="628" w:type="pct"/>
          </w:tcPr>
          <w:p w14:paraId="48A7BDA8"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(7.8%)</w:t>
            </w:r>
          </w:p>
        </w:tc>
      </w:tr>
      <w:tr w:rsidR="00C82A7D" w:rsidRPr="00A7727F" w14:paraId="22F348D4"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01BD1416" w14:textId="452D64EF" w:rsidR="00A7727F" w:rsidRPr="00A7727F" w:rsidRDefault="00A7727F" w:rsidP="00C82A7D">
            <w:pPr>
              <w:ind w:left="0" w:right="0"/>
              <w:rPr>
                <w:lang w:eastAsia="ja-JP"/>
              </w:rPr>
            </w:pPr>
            <w:r w:rsidRPr="00A7727F">
              <w:rPr>
                <w:lang w:eastAsia="ja-JP"/>
              </w:rPr>
              <w:t>Death</w:t>
            </w:r>
          </w:p>
        </w:tc>
        <w:tc>
          <w:tcPr>
            <w:tcW w:w="530" w:type="pct"/>
          </w:tcPr>
          <w:p w14:paraId="4DB835AE"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w:t>
            </w:r>
          </w:p>
        </w:tc>
        <w:tc>
          <w:tcPr>
            <w:tcW w:w="588" w:type="pct"/>
          </w:tcPr>
          <w:p w14:paraId="2EF03C11"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(3.7%)</w:t>
            </w:r>
          </w:p>
        </w:tc>
        <w:tc>
          <w:tcPr>
            <w:tcW w:w="530" w:type="pct"/>
          </w:tcPr>
          <w:p w14:paraId="513D193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w:t>
            </w:r>
          </w:p>
        </w:tc>
        <w:tc>
          <w:tcPr>
            <w:tcW w:w="638" w:type="pct"/>
          </w:tcPr>
          <w:p w14:paraId="2FFD1FE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(3.5%)</w:t>
            </w:r>
          </w:p>
        </w:tc>
        <w:tc>
          <w:tcPr>
            <w:tcW w:w="530" w:type="pct"/>
          </w:tcPr>
          <w:p w14:paraId="1CBEDC35"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w:t>
            </w:r>
          </w:p>
        </w:tc>
        <w:tc>
          <w:tcPr>
            <w:tcW w:w="628" w:type="pct"/>
          </w:tcPr>
          <w:p w14:paraId="6112A290"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(4.2%)</w:t>
            </w:r>
          </w:p>
        </w:tc>
      </w:tr>
      <w:tr w:rsidR="00C82A7D" w:rsidRPr="00A7727F" w14:paraId="57BF2122"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6A3DB0AC" w14:textId="34C00284" w:rsidR="00A7727F" w:rsidRPr="00A7727F" w:rsidRDefault="00A7727F" w:rsidP="00C82A7D">
            <w:pPr>
              <w:ind w:left="0" w:right="0"/>
              <w:rPr>
                <w:lang w:eastAsia="ja-JP"/>
              </w:rPr>
            </w:pPr>
            <w:r w:rsidRPr="00A7727F">
              <w:rPr>
                <w:lang w:eastAsia="ja-JP"/>
              </w:rPr>
              <w:t>Withdrawal by subject</w:t>
            </w:r>
          </w:p>
        </w:tc>
        <w:tc>
          <w:tcPr>
            <w:tcW w:w="530" w:type="pct"/>
          </w:tcPr>
          <w:p w14:paraId="5BAFB782"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w:t>
            </w:r>
          </w:p>
        </w:tc>
        <w:tc>
          <w:tcPr>
            <w:tcW w:w="588" w:type="pct"/>
          </w:tcPr>
          <w:p w14:paraId="7F1FEE2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(3.7%)</w:t>
            </w:r>
          </w:p>
        </w:tc>
        <w:tc>
          <w:tcPr>
            <w:tcW w:w="530" w:type="pct"/>
          </w:tcPr>
          <w:p w14:paraId="070179DD"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5</w:t>
            </w:r>
          </w:p>
        </w:tc>
        <w:tc>
          <w:tcPr>
            <w:tcW w:w="638" w:type="pct"/>
          </w:tcPr>
          <w:p w14:paraId="5EACBF44"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(2.9%)</w:t>
            </w:r>
          </w:p>
        </w:tc>
        <w:tc>
          <w:tcPr>
            <w:tcW w:w="530" w:type="pct"/>
          </w:tcPr>
          <w:p w14:paraId="24328572"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w:t>
            </w:r>
          </w:p>
        </w:tc>
        <w:tc>
          <w:tcPr>
            <w:tcW w:w="628" w:type="pct"/>
          </w:tcPr>
          <w:p w14:paraId="413635EA"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(4.2%)</w:t>
            </w:r>
          </w:p>
        </w:tc>
      </w:tr>
      <w:tr w:rsidR="00C82A7D" w:rsidRPr="00A7727F" w14:paraId="53D6D28C"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5A66E7FF" w14:textId="5478AE35" w:rsidR="00A7727F" w:rsidRPr="00A7727F" w:rsidRDefault="00A7727F" w:rsidP="00C82A7D">
            <w:pPr>
              <w:ind w:left="0" w:right="0"/>
              <w:rPr>
                <w:lang w:eastAsia="ja-JP"/>
              </w:rPr>
            </w:pPr>
            <w:r w:rsidRPr="00A7727F">
              <w:rPr>
                <w:lang w:eastAsia="ja-JP"/>
              </w:rPr>
              <w:t>Protocol violation</w:t>
            </w:r>
          </w:p>
        </w:tc>
        <w:tc>
          <w:tcPr>
            <w:tcW w:w="530" w:type="pct"/>
          </w:tcPr>
          <w:p w14:paraId="38DF08E3"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w:t>
            </w:r>
          </w:p>
        </w:tc>
        <w:tc>
          <w:tcPr>
            <w:tcW w:w="588" w:type="pct"/>
          </w:tcPr>
          <w:p w14:paraId="5F64D1D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w:t>
            </w:r>
          </w:p>
        </w:tc>
        <w:tc>
          <w:tcPr>
            <w:tcW w:w="530" w:type="pct"/>
          </w:tcPr>
          <w:p w14:paraId="39D31C18"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w:t>
            </w:r>
          </w:p>
        </w:tc>
        <w:tc>
          <w:tcPr>
            <w:tcW w:w="638" w:type="pct"/>
          </w:tcPr>
          <w:p w14:paraId="72E9894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w:t>
            </w:r>
          </w:p>
        </w:tc>
        <w:tc>
          <w:tcPr>
            <w:tcW w:w="530" w:type="pct"/>
          </w:tcPr>
          <w:p w14:paraId="04444A5B"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w:t>
            </w:r>
          </w:p>
        </w:tc>
        <w:tc>
          <w:tcPr>
            <w:tcW w:w="628" w:type="pct"/>
          </w:tcPr>
          <w:p w14:paraId="4AE5255A"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w:t>
            </w:r>
          </w:p>
        </w:tc>
      </w:tr>
      <w:tr w:rsidR="00C82A7D" w:rsidRPr="00A7727F" w14:paraId="5372CDDD" w14:textId="77777777" w:rsidTr="007B270B">
        <w:trPr>
          <w:trHeight w:val="499"/>
        </w:trPr>
        <w:tc>
          <w:tcPr>
            <w:cnfStyle w:val="001000000000" w:firstRow="0" w:lastRow="0" w:firstColumn="1" w:lastColumn="0" w:oddVBand="0" w:evenVBand="0" w:oddHBand="0" w:evenHBand="0" w:firstRowFirstColumn="0" w:firstRowLastColumn="0" w:lastRowFirstColumn="0" w:lastRowLastColumn="0"/>
            <w:tcW w:w="1556" w:type="pct"/>
          </w:tcPr>
          <w:p w14:paraId="7358316D" w14:textId="401DDB73" w:rsidR="00A7727F" w:rsidRPr="00A7727F" w:rsidRDefault="00A7727F" w:rsidP="00C82A7D">
            <w:pPr>
              <w:ind w:left="0" w:right="0"/>
              <w:rPr>
                <w:lang w:eastAsia="ja-JP"/>
              </w:rPr>
            </w:pPr>
            <w:r w:rsidRPr="00A7727F">
              <w:rPr>
                <w:lang w:eastAsia="ja-JP"/>
              </w:rPr>
              <w:t>Other</w:t>
            </w:r>
          </w:p>
        </w:tc>
        <w:tc>
          <w:tcPr>
            <w:tcW w:w="530" w:type="pct"/>
          </w:tcPr>
          <w:p w14:paraId="196D2A5F"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w:t>
            </w:r>
          </w:p>
        </w:tc>
        <w:tc>
          <w:tcPr>
            <w:tcW w:w="588" w:type="pct"/>
          </w:tcPr>
          <w:p w14:paraId="0BFF371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(1.6%)</w:t>
            </w:r>
          </w:p>
        </w:tc>
        <w:tc>
          <w:tcPr>
            <w:tcW w:w="530" w:type="pct"/>
          </w:tcPr>
          <w:p w14:paraId="58F0FFC9"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w:t>
            </w:r>
          </w:p>
        </w:tc>
        <w:tc>
          <w:tcPr>
            <w:tcW w:w="638" w:type="pct"/>
          </w:tcPr>
          <w:p w14:paraId="3091B616"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w:t>
            </w:r>
          </w:p>
        </w:tc>
        <w:tc>
          <w:tcPr>
            <w:tcW w:w="530" w:type="pct"/>
          </w:tcPr>
          <w:p w14:paraId="61032B54"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w:t>
            </w:r>
          </w:p>
        </w:tc>
        <w:tc>
          <w:tcPr>
            <w:tcW w:w="628" w:type="pct"/>
          </w:tcPr>
          <w:p w14:paraId="51A21E57" w14:textId="77777777" w:rsidR="00A7727F" w:rsidRPr="00A7727F" w:rsidRDefault="00A7727F" w:rsidP="00C82A7D">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(1.2%)</w:t>
            </w:r>
          </w:p>
        </w:tc>
      </w:tr>
    </w:tbl>
    <w:p w14:paraId="09F648EF" w14:textId="26F12A36" w:rsidR="00A7727F" w:rsidRPr="00A7727F" w:rsidRDefault="00A7727F" w:rsidP="00FE6E0B">
      <w:pPr>
        <w:pStyle w:val="TableDescription"/>
        <w:rPr>
          <w:lang w:eastAsia="ja-JP"/>
        </w:rPr>
      </w:pPr>
      <w:r w:rsidRPr="00A7727F">
        <w:rPr>
          <w:lang w:eastAsia="ja-JP"/>
        </w:rPr>
        <w:t>EFS</w:t>
      </w:r>
      <w:r w:rsidR="00375CAE">
        <w:rPr>
          <w:lang w:eastAsia="ja-JP"/>
        </w:rPr>
        <w:t xml:space="preserve"> </w:t>
      </w:r>
      <w:r w:rsidR="00423768">
        <w:rPr>
          <w:lang w:eastAsia="ja-JP"/>
        </w:rPr>
        <w:t>=</w:t>
      </w:r>
      <w:r w:rsidR="00375CAE">
        <w:rPr>
          <w:lang w:eastAsia="ja-JP"/>
        </w:rPr>
        <w:t xml:space="preserve"> </w:t>
      </w:r>
      <w:r w:rsidRPr="00A7727F">
        <w:rPr>
          <w:lang w:eastAsia="ja-JP"/>
        </w:rPr>
        <w:t>Efficacy Set; FAS</w:t>
      </w:r>
      <w:r w:rsidR="00375CAE">
        <w:rPr>
          <w:lang w:eastAsia="ja-JP"/>
        </w:rPr>
        <w:t xml:space="preserve"> </w:t>
      </w:r>
      <w:r w:rsidR="00423768">
        <w:rPr>
          <w:lang w:eastAsia="ja-JP"/>
        </w:rPr>
        <w:t>=</w:t>
      </w:r>
      <w:r w:rsidR="00375CAE">
        <w:rPr>
          <w:lang w:eastAsia="ja-JP"/>
        </w:rPr>
        <w:t xml:space="preserve"> </w:t>
      </w:r>
      <w:r w:rsidRPr="00A7727F">
        <w:rPr>
          <w:lang w:eastAsia="ja-JP"/>
        </w:rPr>
        <w:t>Full Analysis Set; HSCT</w:t>
      </w:r>
      <w:r w:rsidR="00375CAE">
        <w:rPr>
          <w:lang w:eastAsia="ja-JP"/>
        </w:rPr>
        <w:t xml:space="preserve"> </w:t>
      </w:r>
      <w:r w:rsidR="00423768">
        <w:rPr>
          <w:lang w:eastAsia="ja-JP"/>
        </w:rPr>
        <w:t>=</w:t>
      </w:r>
      <w:r w:rsidR="00375CAE">
        <w:rPr>
          <w:lang w:eastAsia="ja-JP"/>
        </w:rPr>
        <w:t xml:space="preserve"> </w:t>
      </w:r>
      <w:r w:rsidRPr="00A7727F">
        <w:rPr>
          <w:lang w:eastAsia="ja-JP"/>
        </w:rPr>
        <w:t>h</w:t>
      </w:r>
      <w:r w:rsidR="00FE6E0B">
        <w:rPr>
          <w:lang w:eastAsia="ja-JP"/>
        </w:rPr>
        <w:t>a</w:t>
      </w:r>
      <w:r w:rsidRPr="00A7727F">
        <w:rPr>
          <w:lang w:eastAsia="ja-JP"/>
        </w:rPr>
        <w:t>ematopoietic stem cell transplant; PAS</w:t>
      </w:r>
      <w:r w:rsidR="00375CAE">
        <w:rPr>
          <w:lang w:eastAsia="ja-JP"/>
        </w:rPr>
        <w:t xml:space="preserve"> </w:t>
      </w:r>
      <w:r w:rsidR="00423768">
        <w:rPr>
          <w:lang w:eastAsia="ja-JP"/>
        </w:rPr>
        <w:t>=</w:t>
      </w:r>
      <w:r w:rsidR="00375CAE">
        <w:rPr>
          <w:lang w:eastAsia="ja-JP"/>
        </w:rPr>
        <w:t xml:space="preserve"> </w:t>
      </w:r>
      <w:r w:rsidRPr="00A7727F">
        <w:rPr>
          <w:lang w:eastAsia="ja-JP"/>
        </w:rPr>
        <w:t>Primary Analysis Set; PPS</w:t>
      </w:r>
      <w:r w:rsidR="00375CAE">
        <w:rPr>
          <w:lang w:eastAsia="ja-JP"/>
        </w:rPr>
        <w:t xml:space="preserve"> </w:t>
      </w:r>
      <w:r w:rsidR="00423768">
        <w:rPr>
          <w:lang w:eastAsia="ja-JP"/>
        </w:rPr>
        <w:t>=</w:t>
      </w:r>
      <w:r w:rsidR="00375CAE">
        <w:rPr>
          <w:lang w:eastAsia="ja-JP"/>
        </w:rPr>
        <w:t xml:space="preserve"> </w:t>
      </w:r>
      <w:r w:rsidRPr="00A7727F">
        <w:rPr>
          <w:lang w:eastAsia="ja-JP"/>
        </w:rPr>
        <w:t>Per Protocol Set</w:t>
      </w:r>
      <w:r w:rsidR="00FE6E0B">
        <w:rPr>
          <w:lang w:eastAsia="ja-JP"/>
        </w:rPr>
        <w:t>; a) Status a</w:t>
      </w:r>
      <w:r w:rsidRPr="00A7727F">
        <w:rPr>
          <w:lang w:eastAsia="ja-JP"/>
        </w:rPr>
        <w:t>t the time of the data cut-off date (10 October 2013).</w:t>
      </w:r>
    </w:p>
    <w:p w14:paraId="4858B6CA" w14:textId="2C381E4B" w:rsidR="00A7727F" w:rsidRPr="00A7727F" w:rsidRDefault="00A7727F" w:rsidP="00FE6E0B">
      <w:pPr>
        <w:pStyle w:val="Tabletitle"/>
        <w:rPr>
          <w:lang w:eastAsia="ja-JP"/>
        </w:rPr>
      </w:pPr>
      <w:bookmarkStart w:id="170" w:name="_Toc292015703"/>
      <w:r w:rsidRPr="00A7727F">
        <w:rPr>
          <w:lang w:eastAsia="ja-JP"/>
        </w:rPr>
        <w:t xml:space="preserve">Table </w:t>
      </w:r>
      <w:r w:rsidR="007D6F35">
        <w:rPr>
          <w:lang w:eastAsia="ja-JP"/>
        </w:rPr>
        <w:t>20:</w:t>
      </w:r>
      <w:r w:rsidRPr="00A7727F">
        <w:rPr>
          <w:lang w:eastAsia="ja-JP"/>
        </w:rPr>
        <w:t xml:space="preserve"> Disposition of </w:t>
      </w:r>
      <w:r w:rsidR="00FE6E0B" w:rsidRPr="00A7727F">
        <w:rPr>
          <w:lang w:eastAsia="ja-JP"/>
        </w:rPr>
        <w:t>subjects at the end of study evaluation</w:t>
      </w:r>
      <w:bookmarkEnd w:id="170"/>
    </w:p>
    <w:tbl>
      <w:tblPr>
        <w:tblStyle w:val="TableTGAblue"/>
        <w:tblW w:w="4782" w:type="pct"/>
        <w:tblLook w:val="04A0" w:firstRow="1" w:lastRow="0" w:firstColumn="1" w:lastColumn="0" w:noHBand="0" w:noVBand="1"/>
        <w:tblDescription w:val="Table 20: Disposition of subjects at the end of study evaluation"/>
      </w:tblPr>
      <w:tblGrid>
        <w:gridCol w:w="3797"/>
        <w:gridCol w:w="689"/>
        <w:gridCol w:w="992"/>
        <w:gridCol w:w="689"/>
        <w:gridCol w:w="992"/>
        <w:gridCol w:w="689"/>
        <w:gridCol w:w="991"/>
      </w:tblGrid>
      <w:tr w:rsidR="00FE6E0B" w:rsidRPr="00A7727F" w14:paraId="4F0F14D3" w14:textId="77777777" w:rsidTr="007B270B">
        <w:trPr>
          <w:cnfStyle w:val="100000000000" w:firstRow="1" w:lastRow="0" w:firstColumn="0" w:lastColumn="0" w:oddVBand="0" w:evenVBand="0" w:oddHBand="0" w:evenHBand="0" w:firstRowFirstColumn="0" w:firstRowLastColumn="0" w:lastRowFirstColumn="0" w:lastRowLastColumn="0"/>
          <w:trHeight w:val="850"/>
          <w:tblHeader/>
        </w:trPr>
        <w:tc>
          <w:tcPr>
            <w:cnfStyle w:val="001000000000" w:firstRow="0" w:lastRow="0" w:firstColumn="1" w:lastColumn="0" w:oddVBand="0" w:evenVBand="0" w:oddHBand="0" w:evenHBand="0" w:firstRowFirstColumn="0" w:firstRowLastColumn="0" w:lastRowFirstColumn="0" w:lastRowLastColumn="0"/>
            <w:tcW w:w="2162" w:type="pct"/>
            <w:vMerge w:val="restart"/>
            <w:tcBorders>
              <w:right w:val="single" w:sz="4" w:space="0" w:color="000000"/>
            </w:tcBorders>
          </w:tcPr>
          <w:p w14:paraId="0E69458B" w14:textId="77777777" w:rsidR="00FE6E0B" w:rsidRPr="00A7727F" w:rsidRDefault="00FE6E0B" w:rsidP="00A7727F">
            <w:pPr>
              <w:rPr>
                <w:lang w:eastAsia="ja-JP"/>
              </w:rPr>
            </w:pPr>
          </w:p>
        </w:tc>
        <w:tc>
          <w:tcPr>
            <w:tcW w:w="946" w:type="pct"/>
            <w:gridSpan w:val="2"/>
            <w:tcBorders>
              <w:left w:val="single" w:sz="4" w:space="0" w:color="000000"/>
              <w:right w:val="single" w:sz="4" w:space="0" w:color="000000"/>
            </w:tcBorders>
          </w:tcPr>
          <w:p w14:paraId="779D9705"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PAS/FAS</w:t>
            </w:r>
          </w:p>
          <w:p w14:paraId="73B79D7D" w14:textId="66207BDA"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(N = 189)</w:t>
            </w:r>
          </w:p>
        </w:tc>
        <w:tc>
          <w:tcPr>
            <w:tcW w:w="946" w:type="pct"/>
            <w:gridSpan w:val="2"/>
            <w:tcBorders>
              <w:left w:val="single" w:sz="4" w:space="0" w:color="000000"/>
              <w:right w:val="single" w:sz="4" w:space="0" w:color="000000"/>
            </w:tcBorders>
          </w:tcPr>
          <w:p w14:paraId="6621BC38"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EFS</w:t>
            </w:r>
          </w:p>
          <w:p w14:paraId="373E9B44" w14:textId="2C8DF468"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(N = 172)</w:t>
            </w:r>
          </w:p>
        </w:tc>
        <w:tc>
          <w:tcPr>
            <w:tcW w:w="945" w:type="pct"/>
            <w:gridSpan w:val="2"/>
            <w:tcBorders>
              <w:left w:val="single" w:sz="4" w:space="0" w:color="000000"/>
            </w:tcBorders>
          </w:tcPr>
          <w:p w14:paraId="77D76142"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PPS</w:t>
            </w:r>
          </w:p>
          <w:p w14:paraId="1CBB0DDA" w14:textId="26BE312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(N = 167)</w:t>
            </w:r>
          </w:p>
        </w:tc>
      </w:tr>
      <w:tr w:rsidR="00FE6E0B" w:rsidRPr="00A7727F" w14:paraId="5383AB47" w14:textId="77777777" w:rsidTr="007B270B">
        <w:trPr>
          <w:cnfStyle w:val="100000000000" w:firstRow="1" w:lastRow="0" w:firstColumn="0" w:lastColumn="0" w:oddVBand="0" w:evenVBand="0" w:oddHBand="0" w:evenHBand="0" w:firstRowFirstColumn="0" w:firstRowLastColumn="0" w:lastRowFirstColumn="0" w:lastRowLastColumn="0"/>
          <w:trHeight w:val="142"/>
          <w:tblHeader/>
        </w:trPr>
        <w:tc>
          <w:tcPr>
            <w:cnfStyle w:val="001000000000" w:firstRow="0" w:lastRow="0" w:firstColumn="1" w:lastColumn="0" w:oddVBand="0" w:evenVBand="0" w:oddHBand="0" w:evenHBand="0" w:firstRowFirstColumn="0" w:firstRowLastColumn="0" w:lastRowFirstColumn="0" w:lastRowLastColumn="0"/>
            <w:tcW w:w="2162" w:type="pct"/>
            <w:vMerge/>
            <w:tcBorders>
              <w:right w:val="single" w:sz="4" w:space="0" w:color="000000"/>
            </w:tcBorders>
          </w:tcPr>
          <w:p w14:paraId="109EB813" w14:textId="77777777" w:rsidR="00FE6E0B" w:rsidRPr="00A7727F" w:rsidRDefault="00FE6E0B" w:rsidP="00A7727F">
            <w:pPr>
              <w:rPr>
                <w:lang w:eastAsia="ja-JP"/>
              </w:rPr>
            </w:pPr>
          </w:p>
        </w:tc>
        <w:tc>
          <w:tcPr>
            <w:tcW w:w="373" w:type="pct"/>
            <w:tcBorders>
              <w:left w:val="single" w:sz="4" w:space="0" w:color="000000"/>
              <w:right w:val="single" w:sz="4" w:space="0" w:color="000000"/>
            </w:tcBorders>
          </w:tcPr>
          <w:p w14:paraId="34086714"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n</w:t>
            </w:r>
          </w:p>
        </w:tc>
        <w:tc>
          <w:tcPr>
            <w:tcW w:w="574" w:type="pct"/>
            <w:tcBorders>
              <w:left w:val="single" w:sz="4" w:space="0" w:color="000000"/>
              <w:right w:val="single" w:sz="4" w:space="0" w:color="000000"/>
            </w:tcBorders>
          </w:tcPr>
          <w:p w14:paraId="41672A41"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w:t>
            </w:r>
          </w:p>
        </w:tc>
        <w:tc>
          <w:tcPr>
            <w:tcW w:w="373" w:type="pct"/>
            <w:tcBorders>
              <w:left w:val="single" w:sz="4" w:space="0" w:color="000000"/>
              <w:right w:val="single" w:sz="4" w:space="0" w:color="000000"/>
            </w:tcBorders>
          </w:tcPr>
          <w:p w14:paraId="2DCCDE19"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n</w:t>
            </w:r>
          </w:p>
        </w:tc>
        <w:tc>
          <w:tcPr>
            <w:tcW w:w="574" w:type="pct"/>
            <w:tcBorders>
              <w:left w:val="single" w:sz="4" w:space="0" w:color="000000"/>
              <w:right w:val="single" w:sz="4" w:space="0" w:color="000000"/>
            </w:tcBorders>
          </w:tcPr>
          <w:p w14:paraId="277140CC"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w:t>
            </w:r>
          </w:p>
        </w:tc>
        <w:tc>
          <w:tcPr>
            <w:tcW w:w="373" w:type="pct"/>
            <w:tcBorders>
              <w:left w:val="single" w:sz="4" w:space="0" w:color="000000"/>
              <w:right w:val="single" w:sz="4" w:space="0" w:color="000000"/>
            </w:tcBorders>
          </w:tcPr>
          <w:p w14:paraId="3ECF922C"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n</w:t>
            </w:r>
          </w:p>
        </w:tc>
        <w:tc>
          <w:tcPr>
            <w:tcW w:w="572" w:type="pct"/>
            <w:tcBorders>
              <w:left w:val="single" w:sz="4" w:space="0" w:color="000000"/>
            </w:tcBorders>
          </w:tcPr>
          <w:p w14:paraId="3C278770" w14:textId="77777777" w:rsidR="00FE6E0B" w:rsidRPr="00FE6E0B" w:rsidRDefault="00FE6E0B" w:rsidP="00A7727F">
            <w:pPr>
              <w:cnfStyle w:val="100000000000" w:firstRow="1" w:lastRow="0" w:firstColumn="0" w:lastColumn="0" w:oddVBand="0" w:evenVBand="0" w:oddHBand="0" w:evenHBand="0" w:firstRowFirstColumn="0" w:firstRowLastColumn="0" w:lastRowFirstColumn="0" w:lastRowLastColumn="0"/>
              <w:rPr>
                <w:bCs/>
                <w:lang w:eastAsia="ja-JP"/>
              </w:rPr>
            </w:pPr>
            <w:r w:rsidRPr="00FE6E0B">
              <w:rPr>
                <w:bCs/>
                <w:lang w:eastAsia="ja-JP"/>
              </w:rPr>
              <w:t>(%)</w:t>
            </w:r>
          </w:p>
        </w:tc>
      </w:tr>
      <w:tr w:rsidR="00A7727F" w:rsidRPr="00A7727F" w14:paraId="28B7234D" w14:textId="77777777" w:rsidTr="007B270B">
        <w:trPr>
          <w:trHeight w:val="487"/>
        </w:trPr>
        <w:tc>
          <w:tcPr>
            <w:cnfStyle w:val="001000000000" w:firstRow="0" w:lastRow="0" w:firstColumn="1" w:lastColumn="0" w:oddVBand="0" w:evenVBand="0" w:oddHBand="0" w:evenHBand="0" w:firstRowFirstColumn="0" w:firstRowLastColumn="0" w:lastRowFirstColumn="0" w:lastRowLastColumn="0"/>
            <w:tcW w:w="2162" w:type="pct"/>
          </w:tcPr>
          <w:p w14:paraId="7D4EA997" w14:textId="77777777" w:rsidR="00A7727F" w:rsidRPr="00A7727F" w:rsidRDefault="00A7727F" w:rsidP="00FE6E0B">
            <w:pPr>
              <w:ind w:left="0" w:right="0"/>
              <w:rPr>
                <w:b/>
                <w:bCs/>
                <w:lang w:eastAsia="ja-JP"/>
              </w:rPr>
            </w:pPr>
            <w:r w:rsidRPr="00A7727F">
              <w:rPr>
                <w:b/>
                <w:bCs/>
                <w:lang w:eastAsia="ja-JP"/>
              </w:rPr>
              <w:t xml:space="preserve">Status </w:t>
            </w:r>
            <w:r w:rsidRPr="00A7727F">
              <w:rPr>
                <w:b/>
                <w:bCs/>
                <w:vertAlign w:val="superscript"/>
                <w:lang w:eastAsia="ja-JP"/>
              </w:rPr>
              <w:t>a</w:t>
            </w:r>
          </w:p>
        </w:tc>
        <w:tc>
          <w:tcPr>
            <w:tcW w:w="373" w:type="pct"/>
          </w:tcPr>
          <w:p w14:paraId="4DCD0E26"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74" w:type="pct"/>
          </w:tcPr>
          <w:p w14:paraId="4EA4B13A"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373" w:type="pct"/>
          </w:tcPr>
          <w:p w14:paraId="1F2FEDB7"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74" w:type="pct"/>
          </w:tcPr>
          <w:p w14:paraId="0CBF51B0"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373" w:type="pct"/>
            <w:tcBorders>
              <w:right w:val="single" w:sz="4" w:space="0" w:color="000000"/>
            </w:tcBorders>
          </w:tcPr>
          <w:p w14:paraId="22AD7600"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72" w:type="pct"/>
            <w:tcBorders>
              <w:left w:val="single" w:sz="4" w:space="0" w:color="000000"/>
            </w:tcBorders>
          </w:tcPr>
          <w:p w14:paraId="7394A627"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A7727F" w:rsidRPr="00A7727F" w14:paraId="18DF9A62" w14:textId="77777777" w:rsidTr="007B270B">
        <w:trPr>
          <w:trHeight w:val="476"/>
        </w:trPr>
        <w:tc>
          <w:tcPr>
            <w:cnfStyle w:val="001000000000" w:firstRow="0" w:lastRow="0" w:firstColumn="1" w:lastColumn="0" w:oddVBand="0" w:evenVBand="0" w:oddHBand="0" w:evenHBand="0" w:firstRowFirstColumn="0" w:firstRowLastColumn="0" w:lastRowFirstColumn="0" w:lastRowLastColumn="0"/>
            <w:tcW w:w="2162" w:type="pct"/>
          </w:tcPr>
          <w:p w14:paraId="14D201A4" w14:textId="3CF6554A" w:rsidR="00A7727F" w:rsidRPr="00A7727F" w:rsidRDefault="00A7727F" w:rsidP="00FE6E0B">
            <w:pPr>
              <w:ind w:left="0" w:right="0"/>
              <w:rPr>
                <w:lang w:eastAsia="ja-JP"/>
              </w:rPr>
            </w:pPr>
            <w:r w:rsidRPr="00A7727F">
              <w:rPr>
                <w:lang w:eastAsia="ja-JP"/>
              </w:rPr>
              <w:t>Study ongoing</w:t>
            </w:r>
          </w:p>
        </w:tc>
        <w:tc>
          <w:tcPr>
            <w:tcW w:w="373" w:type="pct"/>
          </w:tcPr>
          <w:p w14:paraId="57959AB0"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72</w:t>
            </w:r>
          </w:p>
        </w:tc>
        <w:tc>
          <w:tcPr>
            <w:tcW w:w="574" w:type="pct"/>
          </w:tcPr>
          <w:p w14:paraId="215C2EED"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(38.1%)</w:t>
            </w:r>
          </w:p>
        </w:tc>
        <w:tc>
          <w:tcPr>
            <w:tcW w:w="373" w:type="pct"/>
          </w:tcPr>
          <w:p w14:paraId="6880FD88"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72</w:t>
            </w:r>
          </w:p>
        </w:tc>
        <w:tc>
          <w:tcPr>
            <w:tcW w:w="574" w:type="pct"/>
          </w:tcPr>
          <w:p w14:paraId="378B3687"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(41.9%)</w:t>
            </w:r>
          </w:p>
        </w:tc>
        <w:tc>
          <w:tcPr>
            <w:tcW w:w="373" w:type="pct"/>
          </w:tcPr>
          <w:p w14:paraId="72B7B700"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62</w:t>
            </w:r>
          </w:p>
        </w:tc>
        <w:tc>
          <w:tcPr>
            <w:tcW w:w="572" w:type="pct"/>
          </w:tcPr>
          <w:p w14:paraId="0CF472AA"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(37.1%)</w:t>
            </w:r>
          </w:p>
        </w:tc>
      </w:tr>
      <w:tr w:rsidR="00A7727F" w:rsidRPr="00A7727F" w14:paraId="4FD3F0D7" w14:textId="77777777" w:rsidTr="007B270B">
        <w:trPr>
          <w:trHeight w:val="487"/>
        </w:trPr>
        <w:tc>
          <w:tcPr>
            <w:cnfStyle w:val="001000000000" w:firstRow="0" w:lastRow="0" w:firstColumn="1" w:lastColumn="0" w:oddVBand="0" w:evenVBand="0" w:oddHBand="0" w:evenHBand="0" w:firstRowFirstColumn="0" w:firstRowLastColumn="0" w:lastRowFirstColumn="0" w:lastRowLastColumn="0"/>
            <w:tcW w:w="2162" w:type="pct"/>
          </w:tcPr>
          <w:p w14:paraId="55326509" w14:textId="5132B998" w:rsidR="00A7727F" w:rsidRPr="00A7727F" w:rsidRDefault="00A7727F" w:rsidP="00FE6E0B">
            <w:pPr>
              <w:ind w:left="0" w:right="0"/>
              <w:rPr>
                <w:lang w:eastAsia="ja-JP"/>
              </w:rPr>
            </w:pPr>
            <w:r w:rsidRPr="00A7727F">
              <w:rPr>
                <w:lang w:eastAsia="ja-JP"/>
              </w:rPr>
              <w:t>Ended study</w:t>
            </w:r>
          </w:p>
        </w:tc>
        <w:tc>
          <w:tcPr>
            <w:tcW w:w="373" w:type="pct"/>
          </w:tcPr>
          <w:p w14:paraId="095AF665"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117</w:t>
            </w:r>
          </w:p>
        </w:tc>
        <w:tc>
          <w:tcPr>
            <w:tcW w:w="574" w:type="pct"/>
          </w:tcPr>
          <w:p w14:paraId="01AB384B"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(61.9%)</w:t>
            </w:r>
          </w:p>
        </w:tc>
        <w:tc>
          <w:tcPr>
            <w:tcW w:w="373" w:type="pct"/>
          </w:tcPr>
          <w:p w14:paraId="209B402F"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100</w:t>
            </w:r>
          </w:p>
        </w:tc>
        <w:tc>
          <w:tcPr>
            <w:tcW w:w="574" w:type="pct"/>
          </w:tcPr>
          <w:p w14:paraId="7EFA019F"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(58.1%)</w:t>
            </w:r>
          </w:p>
        </w:tc>
        <w:tc>
          <w:tcPr>
            <w:tcW w:w="373" w:type="pct"/>
          </w:tcPr>
          <w:p w14:paraId="581D2A98"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105</w:t>
            </w:r>
          </w:p>
        </w:tc>
        <w:tc>
          <w:tcPr>
            <w:tcW w:w="572" w:type="pct"/>
          </w:tcPr>
          <w:p w14:paraId="71F7F08B"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(62.9%)</w:t>
            </w:r>
          </w:p>
        </w:tc>
      </w:tr>
      <w:tr w:rsidR="00A7727F" w:rsidRPr="00A7727F" w14:paraId="21CFA476" w14:textId="77777777" w:rsidTr="007B270B">
        <w:trPr>
          <w:trHeight w:val="487"/>
        </w:trPr>
        <w:tc>
          <w:tcPr>
            <w:cnfStyle w:val="001000000000" w:firstRow="0" w:lastRow="0" w:firstColumn="1" w:lastColumn="0" w:oddVBand="0" w:evenVBand="0" w:oddHBand="0" w:evenHBand="0" w:firstRowFirstColumn="0" w:firstRowLastColumn="0" w:lastRowFirstColumn="0" w:lastRowLastColumn="0"/>
            <w:tcW w:w="2162" w:type="pct"/>
          </w:tcPr>
          <w:p w14:paraId="10CB5B20" w14:textId="77777777" w:rsidR="00A7727F" w:rsidRPr="00A7727F" w:rsidRDefault="00A7727F" w:rsidP="00FE6E0B">
            <w:pPr>
              <w:ind w:left="0" w:right="0"/>
              <w:rPr>
                <w:b/>
                <w:bCs/>
                <w:lang w:eastAsia="ja-JP"/>
              </w:rPr>
            </w:pPr>
            <w:r w:rsidRPr="00A7727F">
              <w:rPr>
                <w:b/>
                <w:bCs/>
                <w:lang w:eastAsia="ja-JP"/>
              </w:rPr>
              <w:t>Reasons for ending study</w:t>
            </w:r>
          </w:p>
        </w:tc>
        <w:tc>
          <w:tcPr>
            <w:tcW w:w="373" w:type="pct"/>
          </w:tcPr>
          <w:p w14:paraId="64738721"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74" w:type="pct"/>
          </w:tcPr>
          <w:p w14:paraId="3F13F925"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373" w:type="pct"/>
          </w:tcPr>
          <w:p w14:paraId="7C49D974"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74" w:type="pct"/>
          </w:tcPr>
          <w:p w14:paraId="38282F40"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373" w:type="pct"/>
          </w:tcPr>
          <w:p w14:paraId="78A98AAE"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572" w:type="pct"/>
          </w:tcPr>
          <w:p w14:paraId="1B3A2CA6"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A7727F" w:rsidRPr="00A7727F" w14:paraId="4D9FD9DE" w14:textId="77777777" w:rsidTr="007B270B">
        <w:trPr>
          <w:trHeight w:val="487"/>
        </w:trPr>
        <w:tc>
          <w:tcPr>
            <w:cnfStyle w:val="001000000000" w:firstRow="0" w:lastRow="0" w:firstColumn="1" w:lastColumn="0" w:oddVBand="0" w:evenVBand="0" w:oddHBand="0" w:evenHBand="0" w:firstRowFirstColumn="0" w:firstRowLastColumn="0" w:lastRowFirstColumn="0" w:lastRowLastColumn="0"/>
            <w:tcW w:w="2162" w:type="pct"/>
          </w:tcPr>
          <w:p w14:paraId="35E519A3" w14:textId="2206E186" w:rsidR="00A7727F" w:rsidRPr="00A7727F" w:rsidRDefault="00A7727F" w:rsidP="00FE6E0B">
            <w:pPr>
              <w:ind w:left="0" w:right="0"/>
              <w:rPr>
                <w:lang w:eastAsia="ja-JP"/>
              </w:rPr>
            </w:pPr>
            <w:r w:rsidRPr="00A7727F">
              <w:rPr>
                <w:lang w:eastAsia="ja-JP"/>
              </w:rPr>
              <w:t>Completed (end of follow-up period)</w:t>
            </w:r>
          </w:p>
        </w:tc>
        <w:tc>
          <w:tcPr>
            <w:tcW w:w="373" w:type="pct"/>
          </w:tcPr>
          <w:p w14:paraId="311542BB"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w:t>
            </w:r>
          </w:p>
        </w:tc>
        <w:tc>
          <w:tcPr>
            <w:tcW w:w="574" w:type="pct"/>
          </w:tcPr>
          <w:p w14:paraId="17ADC279"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w:t>
            </w:r>
          </w:p>
        </w:tc>
        <w:tc>
          <w:tcPr>
            <w:tcW w:w="373" w:type="pct"/>
          </w:tcPr>
          <w:p w14:paraId="000A5AD3"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w:t>
            </w:r>
          </w:p>
        </w:tc>
        <w:tc>
          <w:tcPr>
            <w:tcW w:w="574" w:type="pct"/>
          </w:tcPr>
          <w:p w14:paraId="284B1357"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w:t>
            </w:r>
          </w:p>
        </w:tc>
        <w:tc>
          <w:tcPr>
            <w:tcW w:w="373" w:type="pct"/>
          </w:tcPr>
          <w:p w14:paraId="6331BD68"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w:t>
            </w:r>
          </w:p>
        </w:tc>
        <w:tc>
          <w:tcPr>
            <w:tcW w:w="572" w:type="pct"/>
          </w:tcPr>
          <w:p w14:paraId="063C2D3B"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(0.0%)</w:t>
            </w:r>
          </w:p>
        </w:tc>
      </w:tr>
      <w:tr w:rsidR="00A7727F" w:rsidRPr="00A7727F" w14:paraId="5A46690D" w14:textId="77777777" w:rsidTr="007B270B">
        <w:trPr>
          <w:trHeight w:val="487"/>
        </w:trPr>
        <w:tc>
          <w:tcPr>
            <w:cnfStyle w:val="001000000000" w:firstRow="0" w:lastRow="0" w:firstColumn="1" w:lastColumn="0" w:oddVBand="0" w:evenVBand="0" w:oddHBand="0" w:evenHBand="0" w:firstRowFirstColumn="0" w:firstRowLastColumn="0" w:lastRowFirstColumn="0" w:lastRowLastColumn="0"/>
            <w:tcW w:w="2162" w:type="pct"/>
          </w:tcPr>
          <w:p w14:paraId="087604A6" w14:textId="7D069B55" w:rsidR="00A7727F" w:rsidRPr="00A7727F" w:rsidRDefault="00A7727F" w:rsidP="00FE6E0B">
            <w:pPr>
              <w:ind w:left="0" w:right="0"/>
              <w:rPr>
                <w:lang w:eastAsia="ja-JP"/>
              </w:rPr>
            </w:pPr>
            <w:r w:rsidRPr="00A7727F">
              <w:rPr>
                <w:lang w:eastAsia="ja-JP"/>
              </w:rPr>
              <w:t>Death</w:t>
            </w:r>
          </w:p>
        </w:tc>
        <w:tc>
          <w:tcPr>
            <w:tcW w:w="373" w:type="pct"/>
          </w:tcPr>
          <w:p w14:paraId="329D1678"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115</w:t>
            </w:r>
          </w:p>
        </w:tc>
        <w:tc>
          <w:tcPr>
            <w:tcW w:w="574" w:type="pct"/>
          </w:tcPr>
          <w:p w14:paraId="4F73BBFB"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(60.8%)</w:t>
            </w:r>
          </w:p>
        </w:tc>
        <w:tc>
          <w:tcPr>
            <w:tcW w:w="373" w:type="pct"/>
          </w:tcPr>
          <w:p w14:paraId="25FF637A"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99</w:t>
            </w:r>
          </w:p>
        </w:tc>
        <w:tc>
          <w:tcPr>
            <w:tcW w:w="574" w:type="pct"/>
          </w:tcPr>
          <w:p w14:paraId="51980A3F"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(57.6%)</w:t>
            </w:r>
          </w:p>
        </w:tc>
        <w:tc>
          <w:tcPr>
            <w:tcW w:w="373" w:type="pct"/>
          </w:tcPr>
          <w:p w14:paraId="50CE054D"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103</w:t>
            </w:r>
          </w:p>
        </w:tc>
        <w:tc>
          <w:tcPr>
            <w:tcW w:w="572" w:type="pct"/>
          </w:tcPr>
          <w:p w14:paraId="0AAE42D4"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(61.7%)</w:t>
            </w:r>
          </w:p>
        </w:tc>
      </w:tr>
      <w:tr w:rsidR="00A7727F" w:rsidRPr="00A7727F" w14:paraId="3707FB24" w14:textId="77777777" w:rsidTr="007B270B">
        <w:trPr>
          <w:trHeight w:val="487"/>
        </w:trPr>
        <w:tc>
          <w:tcPr>
            <w:cnfStyle w:val="001000000000" w:firstRow="0" w:lastRow="0" w:firstColumn="1" w:lastColumn="0" w:oddVBand="0" w:evenVBand="0" w:oddHBand="0" w:evenHBand="0" w:firstRowFirstColumn="0" w:firstRowLastColumn="0" w:lastRowFirstColumn="0" w:lastRowLastColumn="0"/>
            <w:tcW w:w="2162" w:type="pct"/>
          </w:tcPr>
          <w:p w14:paraId="5A38EDBD" w14:textId="4F8F9124" w:rsidR="00A7727F" w:rsidRPr="00A7727F" w:rsidRDefault="00FE6E0B" w:rsidP="00FE6E0B">
            <w:pPr>
              <w:ind w:left="0" w:right="0"/>
              <w:rPr>
                <w:lang w:eastAsia="ja-JP"/>
              </w:rPr>
            </w:pPr>
            <w:r>
              <w:rPr>
                <w:lang w:eastAsia="ja-JP"/>
              </w:rPr>
              <w:t xml:space="preserve">Lost to follow </w:t>
            </w:r>
            <w:r w:rsidR="00A7727F" w:rsidRPr="00A7727F">
              <w:rPr>
                <w:lang w:eastAsia="ja-JP"/>
              </w:rPr>
              <w:t>up</w:t>
            </w:r>
          </w:p>
        </w:tc>
        <w:tc>
          <w:tcPr>
            <w:tcW w:w="373" w:type="pct"/>
          </w:tcPr>
          <w:p w14:paraId="55055994"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w:t>
            </w:r>
          </w:p>
        </w:tc>
        <w:tc>
          <w:tcPr>
            <w:tcW w:w="574" w:type="pct"/>
          </w:tcPr>
          <w:p w14:paraId="494A6E83"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(0.5%)</w:t>
            </w:r>
          </w:p>
        </w:tc>
        <w:tc>
          <w:tcPr>
            <w:tcW w:w="373" w:type="pct"/>
          </w:tcPr>
          <w:p w14:paraId="477E7912"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w:t>
            </w:r>
          </w:p>
        </w:tc>
        <w:tc>
          <w:tcPr>
            <w:tcW w:w="574" w:type="pct"/>
          </w:tcPr>
          <w:p w14:paraId="59F78D71"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w:t>
            </w:r>
          </w:p>
        </w:tc>
        <w:tc>
          <w:tcPr>
            <w:tcW w:w="373" w:type="pct"/>
          </w:tcPr>
          <w:p w14:paraId="08FA0318"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w:t>
            </w:r>
          </w:p>
        </w:tc>
        <w:tc>
          <w:tcPr>
            <w:tcW w:w="572" w:type="pct"/>
          </w:tcPr>
          <w:p w14:paraId="7A55576D"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w:t>
            </w:r>
          </w:p>
        </w:tc>
      </w:tr>
      <w:tr w:rsidR="00A7727F" w:rsidRPr="00A7727F" w14:paraId="349EBA60" w14:textId="77777777" w:rsidTr="007B270B">
        <w:trPr>
          <w:trHeight w:val="503"/>
        </w:trPr>
        <w:tc>
          <w:tcPr>
            <w:cnfStyle w:val="001000000000" w:firstRow="0" w:lastRow="0" w:firstColumn="1" w:lastColumn="0" w:oddVBand="0" w:evenVBand="0" w:oddHBand="0" w:evenHBand="0" w:firstRowFirstColumn="0" w:firstRowLastColumn="0" w:lastRowFirstColumn="0" w:lastRowLastColumn="0"/>
            <w:tcW w:w="2162" w:type="pct"/>
          </w:tcPr>
          <w:p w14:paraId="483A685F" w14:textId="51C000E5" w:rsidR="00A7727F" w:rsidRPr="00A7727F" w:rsidRDefault="00A7727F" w:rsidP="00FE6E0B">
            <w:pPr>
              <w:ind w:left="0" w:right="0"/>
              <w:rPr>
                <w:lang w:eastAsia="ja-JP"/>
              </w:rPr>
            </w:pPr>
            <w:r w:rsidRPr="00A7727F">
              <w:rPr>
                <w:lang w:eastAsia="ja-JP"/>
              </w:rPr>
              <w:t>Withdrawal by subject</w:t>
            </w:r>
          </w:p>
        </w:tc>
        <w:tc>
          <w:tcPr>
            <w:tcW w:w="373" w:type="pct"/>
          </w:tcPr>
          <w:p w14:paraId="03C2EB9E"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w:t>
            </w:r>
          </w:p>
        </w:tc>
        <w:tc>
          <w:tcPr>
            <w:tcW w:w="574" w:type="pct"/>
          </w:tcPr>
          <w:p w14:paraId="67D5BD79"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(0.5%)</w:t>
            </w:r>
          </w:p>
        </w:tc>
        <w:tc>
          <w:tcPr>
            <w:tcW w:w="373" w:type="pct"/>
          </w:tcPr>
          <w:p w14:paraId="0DD2CA30"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w:t>
            </w:r>
          </w:p>
        </w:tc>
        <w:tc>
          <w:tcPr>
            <w:tcW w:w="574" w:type="pct"/>
          </w:tcPr>
          <w:p w14:paraId="6AA3573F"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w:t>
            </w:r>
          </w:p>
        </w:tc>
        <w:tc>
          <w:tcPr>
            <w:tcW w:w="373" w:type="pct"/>
          </w:tcPr>
          <w:p w14:paraId="1756F47D"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w:t>
            </w:r>
          </w:p>
        </w:tc>
        <w:tc>
          <w:tcPr>
            <w:tcW w:w="572" w:type="pct"/>
          </w:tcPr>
          <w:p w14:paraId="7DEE28C3" w14:textId="77777777" w:rsidR="00A7727F" w:rsidRPr="00A7727F" w:rsidRDefault="00A7727F" w:rsidP="00FE6E0B">
            <w:pPr>
              <w:ind w:left="0" w:right="0"/>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(0.6%)</w:t>
            </w:r>
          </w:p>
        </w:tc>
      </w:tr>
    </w:tbl>
    <w:p w14:paraId="4860C054" w14:textId="1D380CB4" w:rsidR="00A7727F" w:rsidRPr="00A7727F" w:rsidRDefault="00A7727F" w:rsidP="00A519D3">
      <w:pPr>
        <w:pStyle w:val="TableDescription"/>
        <w:rPr>
          <w:lang w:eastAsia="ja-JP"/>
        </w:rPr>
      </w:pPr>
      <w:r w:rsidRPr="00A7727F">
        <w:rPr>
          <w:lang w:eastAsia="ja-JP"/>
        </w:rPr>
        <w:t>EFS</w:t>
      </w:r>
      <w:r w:rsidR="00375CAE">
        <w:rPr>
          <w:lang w:eastAsia="ja-JP"/>
        </w:rPr>
        <w:t xml:space="preserve"> </w:t>
      </w:r>
      <w:r w:rsidR="00423768">
        <w:rPr>
          <w:lang w:eastAsia="ja-JP"/>
        </w:rPr>
        <w:t>=</w:t>
      </w:r>
      <w:r w:rsidR="00375CAE">
        <w:rPr>
          <w:lang w:eastAsia="ja-JP"/>
        </w:rPr>
        <w:t xml:space="preserve"> </w:t>
      </w:r>
      <w:r w:rsidRPr="00A7727F">
        <w:rPr>
          <w:lang w:eastAsia="ja-JP"/>
        </w:rPr>
        <w:t>Efficacy Set; FAS</w:t>
      </w:r>
      <w:r w:rsidR="00375CAE">
        <w:rPr>
          <w:lang w:eastAsia="ja-JP"/>
        </w:rPr>
        <w:t xml:space="preserve"> </w:t>
      </w:r>
      <w:r w:rsidR="00423768">
        <w:rPr>
          <w:lang w:eastAsia="ja-JP"/>
        </w:rPr>
        <w:t>=</w:t>
      </w:r>
      <w:r w:rsidR="00375CAE">
        <w:rPr>
          <w:lang w:eastAsia="ja-JP"/>
        </w:rPr>
        <w:t xml:space="preserve"> </w:t>
      </w:r>
      <w:r w:rsidRPr="00A7727F">
        <w:rPr>
          <w:lang w:eastAsia="ja-JP"/>
        </w:rPr>
        <w:t>Full Analysis Set; PAS</w:t>
      </w:r>
      <w:r w:rsidR="00375CAE">
        <w:rPr>
          <w:lang w:eastAsia="ja-JP"/>
        </w:rPr>
        <w:t xml:space="preserve"> </w:t>
      </w:r>
      <w:r w:rsidR="00423768">
        <w:rPr>
          <w:lang w:eastAsia="ja-JP"/>
        </w:rPr>
        <w:t>=</w:t>
      </w:r>
      <w:r w:rsidR="00375CAE">
        <w:rPr>
          <w:lang w:eastAsia="ja-JP"/>
        </w:rPr>
        <w:t xml:space="preserve"> </w:t>
      </w:r>
      <w:r w:rsidRPr="00A7727F">
        <w:rPr>
          <w:lang w:eastAsia="ja-JP"/>
        </w:rPr>
        <w:t>Primary Analysis Set; PPS</w:t>
      </w:r>
      <w:r w:rsidR="00375CAE">
        <w:rPr>
          <w:lang w:eastAsia="ja-JP"/>
        </w:rPr>
        <w:t xml:space="preserve"> </w:t>
      </w:r>
      <w:r w:rsidR="00423768">
        <w:rPr>
          <w:lang w:eastAsia="ja-JP"/>
        </w:rPr>
        <w:t>=</w:t>
      </w:r>
      <w:r w:rsidR="00375CAE">
        <w:rPr>
          <w:lang w:eastAsia="ja-JP"/>
        </w:rPr>
        <w:t xml:space="preserve"> </w:t>
      </w:r>
      <w:r w:rsidRPr="00A7727F">
        <w:rPr>
          <w:lang w:eastAsia="ja-JP"/>
        </w:rPr>
        <w:t>Per Protocol Set a At the time of the data cut-off date (10 October 2013)</w:t>
      </w:r>
    </w:p>
    <w:p w14:paraId="42BF2CFC" w14:textId="77777777" w:rsidR="00A7727F" w:rsidRPr="00A7727F" w:rsidRDefault="00A7727F" w:rsidP="00FE6E0B">
      <w:pPr>
        <w:pStyle w:val="Heading5"/>
        <w:rPr>
          <w:lang w:eastAsia="ja-JP"/>
        </w:rPr>
      </w:pPr>
      <w:r w:rsidRPr="00A7727F">
        <w:rPr>
          <w:lang w:eastAsia="ja-JP"/>
        </w:rPr>
        <w:t>Major protocol violations/deviations</w:t>
      </w:r>
    </w:p>
    <w:p w14:paraId="3B2D8A8D" w14:textId="42939177" w:rsidR="00A7727F" w:rsidRPr="00A7727F" w:rsidRDefault="00A7727F" w:rsidP="00A7727F">
      <w:pPr>
        <w:rPr>
          <w:lang w:eastAsia="ja-JP"/>
        </w:rPr>
      </w:pPr>
      <w:r w:rsidRPr="00A7727F">
        <w:rPr>
          <w:lang w:eastAsia="ja-JP"/>
        </w:rPr>
        <w:t>Any deviation that was considered to have an impact on the efficacy evaluation led to exclusion of the subject from the PPS. The subject incidence of protocol deviations that led to exclusion from the PPS was 11.6% (22/189). (Note, a subject could have both protocol deviations leading to exclusion from the PPS and deviations not leading to exclusion from the PPS). The most common issue that led to exclusion from the PPS was the presence of</w:t>
      </w:r>
      <w:r w:rsidR="00375CAE">
        <w:rPr>
          <w:lang w:eastAsia="ja-JP"/>
        </w:rPr>
        <w:t xml:space="preserve"> </w:t>
      </w:r>
      <w:r w:rsidR="00423768">
        <w:rPr>
          <w:lang w:eastAsia="ja-JP"/>
        </w:rPr>
        <w:t>&lt;</w:t>
      </w:r>
      <w:r w:rsidR="00375CAE">
        <w:rPr>
          <w:lang w:eastAsia="ja-JP"/>
        </w:rPr>
        <w:t xml:space="preserve"> </w:t>
      </w:r>
      <w:r w:rsidRPr="00A7727F">
        <w:rPr>
          <w:lang w:eastAsia="ja-JP"/>
        </w:rPr>
        <w:t>10% bone marrow blasts at screening by central laboratory assessment for 5.3% (10/189) of subjects. Although this was not considered a protocol deviation if the local laboratory result showed at least 10% bone marrow blasts and the central result was not yet available at the time of treatment start, it led to the exclusion of a subject from the PPS. In addition to the protocol deviations defined in the SAP for determination of inclusion of subjects into the respective analyses sets, adherence to the protocol was also monitored by the clinical research monitors during regular site monitoring visits, and any deviations from the protocol were documented.</w:t>
      </w:r>
    </w:p>
    <w:p w14:paraId="5D29163E" w14:textId="77777777" w:rsidR="00A7727F" w:rsidRPr="00A7727F" w:rsidRDefault="00A7727F" w:rsidP="00FE6E0B">
      <w:pPr>
        <w:pStyle w:val="Heading5"/>
        <w:rPr>
          <w:lang w:eastAsia="ja-JP"/>
        </w:rPr>
      </w:pPr>
      <w:r w:rsidRPr="00A7727F">
        <w:rPr>
          <w:lang w:eastAsia="ja-JP"/>
        </w:rPr>
        <w:t>Baseline data</w:t>
      </w:r>
    </w:p>
    <w:p w14:paraId="0C472C42" w14:textId="3132FA2F" w:rsidR="00A7727F" w:rsidRPr="00A7727F" w:rsidRDefault="00A7727F" w:rsidP="00A7727F">
      <w:pPr>
        <w:rPr>
          <w:lang w:eastAsia="ja-JP"/>
        </w:rPr>
      </w:pPr>
      <w:r w:rsidRPr="00A7727F">
        <w:rPr>
          <w:lang w:eastAsia="ja-JP"/>
        </w:rPr>
        <w:t>Demographics and other baseline characteristics are presented in Table</w:t>
      </w:r>
      <w:r w:rsidR="00A519D3">
        <w:rPr>
          <w:lang w:eastAsia="ja-JP"/>
        </w:rPr>
        <w:t xml:space="preserve"> 21, below</w:t>
      </w:r>
      <w:r w:rsidRPr="00A7727F">
        <w:rPr>
          <w:lang w:eastAsia="ja-JP"/>
        </w:rPr>
        <w:t>. Overall, most subjects were male (63%; 119/189), white (85.8%; 145/189), and were entering their second or greater salvage therapy (57.1%; 108/189). The median age was 39.0 years (range: 18 to 79 years).</w:t>
      </w:r>
    </w:p>
    <w:p w14:paraId="21798A63" w14:textId="31DD1F71" w:rsidR="00A7727F" w:rsidRPr="00A7727F" w:rsidRDefault="00A7727F" w:rsidP="00A7727F">
      <w:pPr>
        <w:rPr>
          <w:lang w:eastAsia="ja-JP"/>
        </w:rPr>
      </w:pPr>
      <w:r w:rsidRPr="00A7727F">
        <w:rPr>
          <w:lang w:eastAsia="ja-JP"/>
        </w:rPr>
        <w:t>In the PAS/FAS, the median time between the initial disease diagnosis and first blinatumomab treatment was 16.59 months (range: 1.9 to 249.0 months). Of the 173 subjects who were reported as relapsed, the median time between last relapse and the start of treatment was 1.38 months (range: 0.1 to 56.8 months). For subjects who were reported as having 1 prior relapse (N</w:t>
      </w:r>
      <w:r w:rsidR="00375CAE">
        <w:rPr>
          <w:lang w:eastAsia="ja-JP"/>
        </w:rPr>
        <w:t xml:space="preserve"> </w:t>
      </w:r>
      <w:r w:rsidR="00423768">
        <w:rPr>
          <w:lang w:eastAsia="ja-JP"/>
        </w:rPr>
        <w:t>=</w:t>
      </w:r>
      <w:r w:rsidR="00375CAE">
        <w:rPr>
          <w:lang w:eastAsia="ja-JP"/>
        </w:rPr>
        <w:t xml:space="preserve"> </w:t>
      </w:r>
      <w:r w:rsidRPr="00A7727F">
        <w:rPr>
          <w:lang w:eastAsia="ja-JP"/>
        </w:rPr>
        <w:t xml:space="preserve">23), the median time between the first remission and the first relapse </w:t>
      </w:r>
      <w:r w:rsidR="005B0CFF">
        <w:rPr>
          <w:lang w:eastAsia="ja-JP"/>
        </w:rPr>
        <w:t>(that is,</w:t>
      </w:r>
      <w:r w:rsidRPr="00A7727F">
        <w:rPr>
          <w:lang w:eastAsia="ja-JP"/>
        </w:rPr>
        <w:t xml:space="preserve"> duration of first relapse) was 7.77 months (range: 1.7 to 11.7 months).</w:t>
      </w:r>
    </w:p>
    <w:p w14:paraId="4EBECA76" w14:textId="77777777" w:rsidR="00A7727F" w:rsidRPr="00A7727F" w:rsidRDefault="00A7727F" w:rsidP="00A7727F">
      <w:pPr>
        <w:rPr>
          <w:lang w:eastAsia="ja-JP"/>
        </w:rPr>
      </w:pPr>
      <w:r w:rsidRPr="00A7727F">
        <w:rPr>
          <w:lang w:eastAsia="ja-JP"/>
        </w:rPr>
        <w:t>Overall, 33.9% (64/189) of subjects had a prior allogeneic HSCT. The median time since previous allogeneic HSCT and the start of treatment was 9.69 months (range: 3.3 to 40.2 months).</w:t>
      </w:r>
    </w:p>
    <w:p w14:paraId="0869EA2F" w14:textId="6867990A" w:rsidR="00A7727F" w:rsidRPr="00A7727F" w:rsidRDefault="00A7727F" w:rsidP="00A7727F">
      <w:pPr>
        <w:rPr>
          <w:lang w:eastAsia="ja-JP"/>
        </w:rPr>
      </w:pPr>
      <w:r w:rsidRPr="00A7727F">
        <w:rPr>
          <w:lang w:eastAsia="ja-JP"/>
        </w:rPr>
        <w:t>Overall, 76.7% (145/189) of subjects had baseline bone marrow blasts</w:t>
      </w:r>
      <w:r w:rsidR="00375CAE">
        <w:rPr>
          <w:lang w:eastAsia="ja-JP"/>
        </w:rPr>
        <w:t xml:space="preserve"> </w:t>
      </w:r>
      <w:r w:rsidR="00423768">
        <w:rPr>
          <w:lang w:eastAsia="ja-JP"/>
        </w:rPr>
        <w:t>≥</w:t>
      </w:r>
      <w:r w:rsidR="00375CAE">
        <w:rPr>
          <w:lang w:eastAsia="ja-JP"/>
        </w:rPr>
        <w:t xml:space="preserve"> </w:t>
      </w:r>
      <w:r w:rsidRPr="00A7727F">
        <w:rPr>
          <w:lang w:eastAsia="ja-JP"/>
        </w:rPr>
        <w:t>50% at baseline based on maximum central and local laboratory assessments; 22.8% (43/189) of subjects had bone marrow blasts ranging from 10% to</w:t>
      </w:r>
      <w:r w:rsidR="00375CAE">
        <w:rPr>
          <w:lang w:eastAsia="ja-JP"/>
        </w:rPr>
        <w:t xml:space="preserve"> </w:t>
      </w:r>
      <w:r w:rsidR="00423768">
        <w:rPr>
          <w:lang w:eastAsia="ja-JP"/>
        </w:rPr>
        <w:t>&lt;</w:t>
      </w:r>
      <w:r w:rsidR="00375CAE">
        <w:rPr>
          <w:lang w:eastAsia="ja-JP"/>
        </w:rPr>
        <w:t xml:space="preserve"> </w:t>
      </w:r>
      <w:r w:rsidRPr="00A7727F">
        <w:rPr>
          <w:lang w:eastAsia="ja-JP"/>
        </w:rPr>
        <w:t>50%, and 0.5% (1/189) of subjects had</w:t>
      </w:r>
      <w:r w:rsidR="00375CAE">
        <w:rPr>
          <w:lang w:eastAsia="ja-JP"/>
        </w:rPr>
        <w:t xml:space="preserve"> </w:t>
      </w:r>
      <w:r w:rsidR="00423768">
        <w:rPr>
          <w:lang w:eastAsia="ja-JP"/>
        </w:rPr>
        <w:t>&lt;</w:t>
      </w:r>
      <w:r w:rsidR="00375CAE">
        <w:rPr>
          <w:lang w:eastAsia="ja-JP"/>
        </w:rPr>
        <w:t xml:space="preserve"> </w:t>
      </w:r>
      <w:r w:rsidRPr="00A7727F">
        <w:rPr>
          <w:lang w:eastAsia="ja-JP"/>
        </w:rPr>
        <w:t xml:space="preserve">10% bone marrow blasts per maximum central and local laboratory assessments. The median percent bone marrow blast </w:t>
      </w:r>
      <w:r w:rsidR="00FE6E0B">
        <w:rPr>
          <w:lang w:eastAsia="ja-JP"/>
        </w:rPr>
        <w:t>infiltration at B</w:t>
      </w:r>
      <w:r w:rsidRPr="00A7727F">
        <w:rPr>
          <w:lang w:eastAsia="ja-JP"/>
        </w:rPr>
        <w:t>aseline based on maximum central and local laboratory assessments was 87% (range: 4% to 100%).</w:t>
      </w:r>
    </w:p>
    <w:p w14:paraId="6249D454" w14:textId="4CD4D7A0" w:rsidR="00A7727F" w:rsidRPr="00A7727F" w:rsidRDefault="00A7727F" w:rsidP="00A7727F">
      <w:pPr>
        <w:rPr>
          <w:lang w:eastAsia="ja-JP"/>
        </w:rPr>
      </w:pPr>
      <w:r w:rsidRPr="00A7727F">
        <w:rPr>
          <w:lang w:eastAsia="ja-JP"/>
        </w:rPr>
        <w:t>Medical history and current medical conditions were collected during screening. Medical history included any medical condition that the subject had experienced before the start of the first infusion. Current medical conditions were defined as those conditions that were ongoing at the start of the first infusion. Medical history conditions (occurring in</w:t>
      </w:r>
      <w:r w:rsidR="00375CAE">
        <w:rPr>
          <w:lang w:eastAsia="ja-JP"/>
        </w:rPr>
        <w:t xml:space="preserve"> </w:t>
      </w:r>
      <w:r w:rsidR="00423768">
        <w:rPr>
          <w:lang w:eastAsia="ja-JP"/>
        </w:rPr>
        <w:t>≥</w:t>
      </w:r>
      <w:r w:rsidR="00375CAE">
        <w:rPr>
          <w:lang w:eastAsia="ja-JP"/>
        </w:rPr>
        <w:t xml:space="preserve"> </w:t>
      </w:r>
      <w:r w:rsidRPr="00A7727F">
        <w:rPr>
          <w:lang w:eastAsia="ja-JP"/>
        </w:rPr>
        <w:t>15% of subjects) by MedDRA System Organ Class (SOC) were Infections and Infestations (36.5%; 69/189), Gastrointestinal Disorders (21.7%; 41/189), Surgical and Medical Procedures (18%; 34/189), and Blood and Lymphatic Disorders (17.5%; 33/189). The highest incidences of current medical conditions (occurring in</w:t>
      </w:r>
      <w:r w:rsidR="00375CAE">
        <w:rPr>
          <w:lang w:eastAsia="ja-JP"/>
        </w:rPr>
        <w:t xml:space="preserve"> </w:t>
      </w:r>
      <w:r w:rsidR="00423768">
        <w:rPr>
          <w:lang w:eastAsia="ja-JP"/>
        </w:rPr>
        <w:t>≥</w:t>
      </w:r>
      <w:r w:rsidR="00375CAE">
        <w:rPr>
          <w:lang w:eastAsia="ja-JP"/>
        </w:rPr>
        <w:t xml:space="preserve"> </w:t>
      </w:r>
      <w:r w:rsidRPr="00A7727F">
        <w:rPr>
          <w:lang w:eastAsia="ja-JP"/>
        </w:rPr>
        <w:t xml:space="preserve">50% of subjects) by MedDRA SOC were Blood and Lymphatic Disorders (74.1%; 140/189), Investigations (57.7%; </w:t>
      </w:r>
      <w:r w:rsidR="00586C19" w:rsidRPr="00F31F9F">
        <w:rPr>
          <w:lang w:eastAsia="ja-JP"/>
        </w:rPr>
        <w:t>10</w:t>
      </w:r>
      <w:r w:rsidR="00586C19">
        <w:rPr>
          <w:lang w:eastAsia="ja-JP"/>
        </w:rPr>
        <w:t>9</w:t>
      </w:r>
      <w:r w:rsidRPr="00A7727F">
        <w:rPr>
          <w:lang w:eastAsia="ja-JP"/>
        </w:rPr>
        <w:t>/189), and Metabolism and Nutritional Disorders (57.1%; 108/189). The most commonly reported current medical condition (high level term) was anaemia (53.4%; 101/189). Prior medications (those that started and stopped before the first blinatumomab infusion) were recorded for most subjects (94.7%; 179/189).</w:t>
      </w:r>
    </w:p>
    <w:p w14:paraId="456390C1" w14:textId="094B81E6" w:rsidR="00A7727F" w:rsidRPr="00A7727F" w:rsidRDefault="00A7727F" w:rsidP="00FE6E0B">
      <w:pPr>
        <w:pStyle w:val="Tabletitle"/>
        <w:rPr>
          <w:lang w:eastAsia="ja-JP"/>
        </w:rPr>
      </w:pPr>
      <w:bookmarkStart w:id="171" w:name="_Toc292015704"/>
      <w:r w:rsidRPr="00A7727F">
        <w:rPr>
          <w:lang w:eastAsia="ja-JP"/>
        </w:rPr>
        <w:t xml:space="preserve">Table </w:t>
      </w:r>
      <w:r w:rsidR="007D6F35">
        <w:rPr>
          <w:lang w:eastAsia="ja-JP"/>
        </w:rPr>
        <w:t>21:</w:t>
      </w:r>
      <w:r w:rsidR="00FE6E0B">
        <w:rPr>
          <w:lang w:eastAsia="ja-JP"/>
        </w:rPr>
        <w:t xml:space="preserve"> Subject c</w:t>
      </w:r>
      <w:r w:rsidRPr="00A7727F">
        <w:rPr>
          <w:lang w:eastAsia="ja-JP"/>
        </w:rPr>
        <w:t>haracteristics at Baseline (Primary Analysis Set)</w:t>
      </w:r>
      <w:bookmarkEnd w:id="171"/>
    </w:p>
    <w:tbl>
      <w:tblPr>
        <w:tblStyle w:val="TableTGAblue"/>
        <w:tblW w:w="4722" w:type="pct"/>
        <w:tblLook w:val="04A0" w:firstRow="1" w:lastRow="0" w:firstColumn="1" w:lastColumn="0" w:noHBand="0" w:noVBand="1"/>
        <w:tblDescription w:val="Table 21: Subject characteristics at Baseline (Primary Analysis Set)"/>
      </w:tblPr>
      <w:tblGrid>
        <w:gridCol w:w="4319"/>
        <w:gridCol w:w="1454"/>
        <w:gridCol w:w="1510"/>
        <w:gridCol w:w="1445"/>
      </w:tblGrid>
      <w:tr w:rsidR="004B6394" w:rsidRPr="007D6F35" w14:paraId="479973F9" w14:textId="77777777" w:rsidTr="004B63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4" w:type="pct"/>
            <w:vMerge w:val="restart"/>
            <w:tcBorders>
              <w:right w:val="single" w:sz="4" w:space="0" w:color="000000"/>
            </w:tcBorders>
          </w:tcPr>
          <w:p w14:paraId="16F5DBE3" w14:textId="4389EC92" w:rsidR="00A7727F" w:rsidRPr="007D6F35" w:rsidRDefault="00A7727F" w:rsidP="005C7CDA">
            <w:pPr>
              <w:rPr>
                <w:bCs/>
                <w:sz w:val="20"/>
                <w:szCs w:val="20"/>
                <w:lang w:eastAsia="ja-JP"/>
              </w:rPr>
            </w:pPr>
            <w:r w:rsidRPr="007D6F35">
              <w:rPr>
                <w:bCs/>
                <w:sz w:val="20"/>
                <w:szCs w:val="20"/>
                <w:lang w:eastAsia="ja-JP"/>
              </w:rPr>
              <w:t>Characteristic</w:t>
            </w:r>
            <w:r w:rsidR="005C7CDA" w:rsidRPr="007D6F35">
              <w:rPr>
                <w:bCs/>
                <w:sz w:val="20"/>
                <w:szCs w:val="20"/>
                <w:lang w:eastAsia="ja-JP"/>
              </w:rPr>
              <w:t xml:space="preserve"> category</w:t>
            </w:r>
          </w:p>
        </w:tc>
        <w:tc>
          <w:tcPr>
            <w:tcW w:w="833" w:type="pct"/>
            <w:tcBorders>
              <w:left w:val="single" w:sz="4" w:space="0" w:color="000000"/>
              <w:right w:val="single" w:sz="4" w:space="0" w:color="000000"/>
            </w:tcBorders>
          </w:tcPr>
          <w:p w14:paraId="71015639" w14:textId="77777777" w:rsidR="00A7727F" w:rsidRPr="007D6F35" w:rsidRDefault="00A7727F" w:rsidP="00FE6E0B">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7D6F35">
              <w:rPr>
                <w:bCs/>
                <w:sz w:val="20"/>
                <w:szCs w:val="20"/>
                <w:lang w:eastAsia="ja-JP"/>
              </w:rPr>
              <w:t>PAS/FAS</w:t>
            </w:r>
          </w:p>
          <w:p w14:paraId="5B55C2D7" w14:textId="152BB00B" w:rsidR="00A7727F" w:rsidRPr="007D6F35" w:rsidRDefault="00A7727F" w:rsidP="00FE6E0B">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7D6F35">
              <w:rPr>
                <w:bCs/>
                <w:sz w:val="20"/>
                <w:szCs w:val="20"/>
                <w:lang w:eastAsia="ja-JP"/>
              </w:rPr>
              <w:t>(N</w:t>
            </w:r>
            <w:r w:rsidR="00FE6E0B" w:rsidRPr="007D6F35">
              <w:rPr>
                <w:bCs/>
                <w:sz w:val="20"/>
                <w:szCs w:val="20"/>
                <w:lang w:eastAsia="ja-JP"/>
              </w:rPr>
              <w:t> </w:t>
            </w:r>
            <w:r w:rsidR="00423768" w:rsidRPr="007D6F35">
              <w:rPr>
                <w:bCs/>
                <w:sz w:val="20"/>
                <w:szCs w:val="20"/>
                <w:lang w:eastAsia="ja-JP"/>
              </w:rPr>
              <w:t>=</w:t>
            </w:r>
            <w:r w:rsidR="00FE6E0B" w:rsidRPr="007D6F35">
              <w:rPr>
                <w:bCs/>
                <w:sz w:val="20"/>
                <w:szCs w:val="20"/>
                <w:lang w:eastAsia="ja-JP"/>
              </w:rPr>
              <w:t> </w:t>
            </w:r>
            <w:r w:rsidRPr="007D6F35">
              <w:rPr>
                <w:bCs/>
                <w:sz w:val="20"/>
                <w:szCs w:val="20"/>
                <w:lang w:eastAsia="ja-JP"/>
              </w:rPr>
              <w:t>189)</w:t>
            </w:r>
          </w:p>
        </w:tc>
        <w:tc>
          <w:tcPr>
            <w:tcW w:w="865" w:type="pct"/>
            <w:tcBorders>
              <w:left w:val="single" w:sz="4" w:space="0" w:color="000000"/>
              <w:right w:val="single" w:sz="4" w:space="0" w:color="000000"/>
            </w:tcBorders>
          </w:tcPr>
          <w:p w14:paraId="04208EF2" w14:textId="77777777" w:rsidR="00A7727F" w:rsidRPr="007D6F35" w:rsidRDefault="00A7727F" w:rsidP="00FE6E0B">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7D6F35">
              <w:rPr>
                <w:bCs/>
                <w:sz w:val="20"/>
                <w:szCs w:val="20"/>
                <w:lang w:eastAsia="ja-JP"/>
              </w:rPr>
              <w:t>EFS</w:t>
            </w:r>
          </w:p>
          <w:p w14:paraId="70188F69" w14:textId="5A9132F6" w:rsidR="00A7727F" w:rsidRPr="007D6F35" w:rsidRDefault="00A7727F" w:rsidP="00FE6E0B">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7D6F35">
              <w:rPr>
                <w:bCs/>
                <w:sz w:val="20"/>
                <w:szCs w:val="20"/>
                <w:lang w:eastAsia="ja-JP"/>
              </w:rPr>
              <w:t>(N</w:t>
            </w:r>
            <w:r w:rsidR="00FE6E0B" w:rsidRPr="007D6F35">
              <w:rPr>
                <w:bCs/>
                <w:sz w:val="20"/>
                <w:szCs w:val="20"/>
                <w:lang w:eastAsia="ja-JP"/>
              </w:rPr>
              <w:t> </w:t>
            </w:r>
            <w:r w:rsidR="00423768" w:rsidRPr="007D6F35">
              <w:rPr>
                <w:bCs/>
                <w:sz w:val="20"/>
                <w:szCs w:val="20"/>
                <w:lang w:eastAsia="ja-JP"/>
              </w:rPr>
              <w:t>=</w:t>
            </w:r>
            <w:r w:rsidR="00FE6E0B" w:rsidRPr="007D6F35">
              <w:rPr>
                <w:bCs/>
                <w:sz w:val="20"/>
                <w:szCs w:val="20"/>
                <w:lang w:eastAsia="ja-JP"/>
              </w:rPr>
              <w:t> </w:t>
            </w:r>
            <w:r w:rsidRPr="007D6F35">
              <w:rPr>
                <w:bCs/>
                <w:sz w:val="20"/>
                <w:szCs w:val="20"/>
                <w:lang w:eastAsia="ja-JP"/>
              </w:rPr>
              <w:t>172)</w:t>
            </w:r>
          </w:p>
        </w:tc>
        <w:tc>
          <w:tcPr>
            <w:tcW w:w="828" w:type="pct"/>
            <w:tcBorders>
              <w:left w:val="single" w:sz="4" w:space="0" w:color="000000"/>
            </w:tcBorders>
          </w:tcPr>
          <w:p w14:paraId="7942A381" w14:textId="77777777" w:rsidR="00A7727F" w:rsidRPr="007D6F35" w:rsidRDefault="00A7727F" w:rsidP="00FE6E0B">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7D6F35">
              <w:rPr>
                <w:bCs/>
                <w:sz w:val="20"/>
                <w:szCs w:val="20"/>
                <w:lang w:eastAsia="ja-JP"/>
              </w:rPr>
              <w:t>PPS</w:t>
            </w:r>
          </w:p>
          <w:p w14:paraId="0C878F84" w14:textId="656DA9C3" w:rsidR="00A7727F" w:rsidRPr="007D6F35" w:rsidRDefault="00A7727F" w:rsidP="00FE6E0B">
            <w:pPr>
              <w:ind w:lef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7D6F35">
              <w:rPr>
                <w:bCs/>
                <w:sz w:val="20"/>
                <w:szCs w:val="20"/>
                <w:lang w:eastAsia="ja-JP"/>
              </w:rPr>
              <w:t>(N</w:t>
            </w:r>
            <w:r w:rsidR="00375CAE" w:rsidRPr="007D6F35">
              <w:rPr>
                <w:bCs/>
                <w:sz w:val="20"/>
                <w:szCs w:val="20"/>
                <w:lang w:eastAsia="ja-JP"/>
              </w:rPr>
              <w:t xml:space="preserve"> </w:t>
            </w:r>
            <w:r w:rsidR="00423768" w:rsidRPr="007D6F35">
              <w:rPr>
                <w:bCs/>
                <w:sz w:val="20"/>
                <w:szCs w:val="20"/>
                <w:lang w:eastAsia="ja-JP"/>
              </w:rPr>
              <w:t>=</w:t>
            </w:r>
            <w:r w:rsidR="00375CAE" w:rsidRPr="007D6F35">
              <w:rPr>
                <w:bCs/>
                <w:sz w:val="20"/>
                <w:szCs w:val="20"/>
                <w:lang w:eastAsia="ja-JP"/>
              </w:rPr>
              <w:t xml:space="preserve"> </w:t>
            </w:r>
            <w:r w:rsidRPr="007D6F35">
              <w:rPr>
                <w:bCs/>
                <w:sz w:val="20"/>
                <w:szCs w:val="20"/>
                <w:lang w:eastAsia="ja-JP"/>
              </w:rPr>
              <w:t>167)</w:t>
            </w:r>
          </w:p>
        </w:tc>
      </w:tr>
      <w:tr w:rsidR="004B6394" w:rsidRPr="007D6F35" w14:paraId="3DD34FEB" w14:textId="77777777" w:rsidTr="004B63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4" w:type="pct"/>
            <w:vMerge/>
            <w:tcBorders>
              <w:right w:val="single" w:sz="4" w:space="0" w:color="000000"/>
            </w:tcBorders>
          </w:tcPr>
          <w:p w14:paraId="6502FA10" w14:textId="77777777" w:rsidR="00A7727F" w:rsidRPr="007D6F35" w:rsidRDefault="00A7727F" w:rsidP="00A7727F">
            <w:pPr>
              <w:rPr>
                <w:b w:val="0"/>
                <w:bCs/>
                <w:sz w:val="20"/>
                <w:szCs w:val="20"/>
                <w:lang w:eastAsia="ja-JP"/>
              </w:rPr>
            </w:pPr>
          </w:p>
        </w:tc>
        <w:tc>
          <w:tcPr>
            <w:tcW w:w="833" w:type="pct"/>
            <w:tcBorders>
              <w:left w:val="single" w:sz="4" w:space="0" w:color="000000"/>
              <w:right w:val="single" w:sz="4" w:space="0" w:color="000000"/>
            </w:tcBorders>
          </w:tcPr>
          <w:p w14:paraId="3E401327" w14:textId="77777777" w:rsidR="00A7727F" w:rsidRPr="007D6F35" w:rsidRDefault="00A7727F" w:rsidP="00A7727F">
            <w:pPr>
              <w:cnfStyle w:val="100000000000" w:firstRow="1" w:lastRow="0" w:firstColumn="0" w:lastColumn="0" w:oddVBand="0" w:evenVBand="0" w:oddHBand="0" w:evenHBand="0" w:firstRowFirstColumn="0" w:firstRowLastColumn="0" w:lastRowFirstColumn="0" w:lastRowLastColumn="0"/>
              <w:rPr>
                <w:b w:val="0"/>
                <w:bCs/>
                <w:sz w:val="20"/>
                <w:szCs w:val="20"/>
                <w:lang w:eastAsia="ja-JP"/>
              </w:rPr>
            </w:pPr>
            <w:r w:rsidRPr="007D6F35">
              <w:rPr>
                <w:b w:val="0"/>
                <w:bCs/>
                <w:sz w:val="20"/>
                <w:szCs w:val="20"/>
                <w:lang w:eastAsia="ja-JP"/>
              </w:rPr>
              <w:t>n (%)</w:t>
            </w:r>
          </w:p>
        </w:tc>
        <w:tc>
          <w:tcPr>
            <w:tcW w:w="865" w:type="pct"/>
            <w:tcBorders>
              <w:left w:val="single" w:sz="4" w:space="0" w:color="000000"/>
              <w:right w:val="single" w:sz="4" w:space="0" w:color="000000"/>
            </w:tcBorders>
          </w:tcPr>
          <w:p w14:paraId="3B2B82C1" w14:textId="77777777" w:rsidR="00A7727F" w:rsidRPr="007D6F35" w:rsidRDefault="00A7727F" w:rsidP="00A7727F">
            <w:pPr>
              <w:cnfStyle w:val="100000000000" w:firstRow="1" w:lastRow="0" w:firstColumn="0" w:lastColumn="0" w:oddVBand="0" w:evenVBand="0" w:oddHBand="0" w:evenHBand="0" w:firstRowFirstColumn="0" w:firstRowLastColumn="0" w:lastRowFirstColumn="0" w:lastRowLastColumn="0"/>
              <w:rPr>
                <w:b w:val="0"/>
                <w:bCs/>
                <w:sz w:val="20"/>
                <w:szCs w:val="20"/>
                <w:lang w:eastAsia="ja-JP"/>
              </w:rPr>
            </w:pPr>
            <w:r w:rsidRPr="007D6F35">
              <w:rPr>
                <w:b w:val="0"/>
                <w:bCs/>
                <w:sz w:val="20"/>
                <w:szCs w:val="20"/>
                <w:lang w:eastAsia="ja-JP"/>
              </w:rPr>
              <w:t>n (%)</w:t>
            </w:r>
          </w:p>
        </w:tc>
        <w:tc>
          <w:tcPr>
            <w:tcW w:w="828" w:type="pct"/>
            <w:tcBorders>
              <w:left w:val="single" w:sz="4" w:space="0" w:color="000000"/>
            </w:tcBorders>
          </w:tcPr>
          <w:p w14:paraId="0F43F9D0" w14:textId="77777777" w:rsidR="00A7727F" w:rsidRPr="007D6F35" w:rsidRDefault="00A7727F" w:rsidP="00A7727F">
            <w:pPr>
              <w:cnfStyle w:val="100000000000" w:firstRow="1" w:lastRow="0" w:firstColumn="0" w:lastColumn="0" w:oddVBand="0" w:evenVBand="0" w:oddHBand="0" w:evenHBand="0" w:firstRowFirstColumn="0" w:firstRowLastColumn="0" w:lastRowFirstColumn="0" w:lastRowLastColumn="0"/>
              <w:rPr>
                <w:b w:val="0"/>
                <w:bCs/>
                <w:sz w:val="20"/>
                <w:szCs w:val="20"/>
                <w:lang w:eastAsia="ja-JP"/>
              </w:rPr>
            </w:pPr>
            <w:r w:rsidRPr="007D6F35">
              <w:rPr>
                <w:b w:val="0"/>
                <w:bCs/>
                <w:sz w:val="20"/>
                <w:szCs w:val="20"/>
                <w:lang w:eastAsia="ja-JP"/>
              </w:rPr>
              <w:t>n (%)</w:t>
            </w:r>
          </w:p>
        </w:tc>
      </w:tr>
      <w:tr w:rsidR="007D6F35" w:rsidRPr="007D6F35" w14:paraId="43188E31"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2A636B4F" w14:textId="19555FDB" w:rsidR="007D6F35" w:rsidRPr="007D6F35" w:rsidRDefault="007D6F35" w:rsidP="005C7CDA">
            <w:pPr>
              <w:ind w:left="0" w:right="0"/>
              <w:rPr>
                <w:sz w:val="20"/>
                <w:szCs w:val="20"/>
              </w:rPr>
            </w:pPr>
            <w:r w:rsidRPr="007D6F35">
              <w:rPr>
                <w:b/>
                <w:sz w:val="20"/>
                <w:szCs w:val="20"/>
              </w:rPr>
              <w:t>Gender</w:t>
            </w:r>
          </w:p>
        </w:tc>
      </w:tr>
      <w:tr w:rsidR="004B6394" w:rsidRPr="007D6F35" w14:paraId="071D7B7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2013B523" w14:textId="18AE8511" w:rsidR="00A7727F" w:rsidRPr="007D6F35" w:rsidRDefault="00A7727F" w:rsidP="005C7CDA">
            <w:pPr>
              <w:ind w:left="0" w:right="0"/>
              <w:rPr>
                <w:sz w:val="20"/>
                <w:szCs w:val="20"/>
              </w:rPr>
            </w:pPr>
            <w:r w:rsidRPr="007D6F35">
              <w:rPr>
                <w:sz w:val="20"/>
                <w:szCs w:val="20"/>
              </w:rPr>
              <w:t>Male</w:t>
            </w:r>
          </w:p>
        </w:tc>
        <w:tc>
          <w:tcPr>
            <w:tcW w:w="833" w:type="pct"/>
          </w:tcPr>
          <w:p w14:paraId="2F18B032"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119 (63.0%)</w:t>
            </w:r>
          </w:p>
        </w:tc>
        <w:tc>
          <w:tcPr>
            <w:tcW w:w="865" w:type="pct"/>
          </w:tcPr>
          <w:p w14:paraId="612C35A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109 (63.4%)</w:t>
            </w:r>
          </w:p>
        </w:tc>
        <w:tc>
          <w:tcPr>
            <w:tcW w:w="828" w:type="pct"/>
          </w:tcPr>
          <w:p w14:paraId="7812DFB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110 (65.9%)</w:t>
            </w:r>
          </w:p>
        </w:tc>
      </w:tr>
      <w:tr w:rsidR="004B6394" w:rsidRPr="007D6F35" w14:paraId="5049E654"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1115A9F2" w14:textId="40A0EE54" w:rsidR="00A7727F" w:rsidRPr="007D6F35" w:rsidRDefault="00A7727F" w:rsidP="005C7CDA">
            <w:pPr>
              <w:ind w:left="0" w:right="0"/>
              <w:rPr>
                <w:sz w:val="20"/>
                <w:szCs w:val="20"/>
              </w:rPr>
            </w:pPr>
            <w:r w:rsidRPr="007D6F35">
              <w:rPr>
                <w:sz w:val="20"/>
                <w:szCs w:val="20"/>
              </w:rPr>
              <w:t>Female</w:t>
            </w:r>
          </w:p>
        </w:tc>
        <w:tc>
          <w:tcPr>
            <w:tcW w:w="833" w:type="pct"/>
          </w:tcPr>
          <w:p w14:paraId="0725611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70 (37.0%)</w:t>
            </w:r>
          </w:p>
        </w:tc>
        <w:tc>
          <w:tcPr>
            <w:tcW w:w="865" w:type="pct"/>
          </w:tcPr>
          <w:p w14:paraId="400B51D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63 (36.6%)</w:t>
            </w:r>
          </w:p>
        </w:tc>
        <w:tc>
          <w:tcPr>
            <w:tcW w:w="828" w:type="pct"/>
          </w:tcPr>
          <w:p w14:paraId="0D4FFA81"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57 (34.1%)</w:t>
            </w:r>
          </w:p>
        </w:tc>
      </w:tr>
      <w:tr w:rsidR="007D6F35" w:rsidRPr="007D6F35" w14:paraId="2C1ECC94"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265F2BC4" w14:textId="5BAFFCDB" w:rsidR="007D6F35" w:rsidRPr="007D6F35" w:rsidRDefault="007D6F35" w:rsidP="005C7CDA">
            <w:pPr>
              <w:ind w:left="0" w:right="0"/>
              <w:rPr>
                <w:sz w:val="20"/>
                <w:szCs w:val="20"/>
              </w:rPr>
            </w:pPr>
            <w:r w:rsidRPr="007D6F35">
              <w:rPr>
                <w:b/>
                <w:sz w:val="20"/>
                <w:szCs w:val="20"/>
              </w:rPr>
              <w:t>Geographic region</w:t>
            </w:r>
          </w:p>
        </w:tc>
      </w:tr>
      <w:tr w:rsidR="004B6394" w:rsidRPr="007D6F35" w14:paraId="39EE0E81"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349B2375" w14:textId="0E4757E5" w:rsidR="00A7727F" w:rsidRPr="007D6F35" w:rsidRDefault="00A7727F" w:rsidP="005C7CDA">
            <w:pPr>
              <w:ind w:left="0" w:right="0"/>
              <w:rPr>
                <w:sz w:val="20"/>
                <w:szCs w:val="20"/>
              </w:rPr>
            </w:pPr>
            <w:r w:rsidRPr="007D6F35">
              <w:rPr>
                <w:sz w:val="20"/>
                <w:szCs w:val="20"/>
              </w:rPr>
              <w:t>Europe</w:t>
            </w:r>
          </w:p>
        </w:tc>
        <w:tc>
          <w:tcPr>
            <w:tcW w:w="833" w:type="pct"/>
          </w:tcPr>
          <w:p w14:paraId="3EAC033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95 (50.3%)</w:t>
            </w:r>
          </w:p>
        </w:tc>
        <w:tc>
          <w:tcPr>
            <w:tcW w:w="865" w:type="pct"/>
          </w:tcPr>
          <w:p w14:paraId="68051CC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87 (50.6%)</w:t>
            </w:r>
          </w:p>
        </w:tc>
        <w:tc>
          <w:tcPr>
            <w:tcW w:w="828" w:type="pct"/>
          </w:tcPr>
          <w:p w14:paraId="272E653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82 (49.1%)</w:t>
            </w:r>
          </w:p>
        </w:tc>
      </w:tr>
      <w:tr w:rsidR="004B6394" w:rsidRPr="007D6F35" w14:paraId="607A904C"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CAF39AF" w14:textId="6203A369" w:rsidR="00A7727F" w:rsidRPr="007D6F35" w:rsidRDefault="00A7727F" w:rsidP="005C7CDA">
            <w:pPr>
              <w:ind w:left="0" w:right="0"/>
              <w:rPr>
                <w:sz w:val="20"/>
                <w:szCs w:val="20"/>
              </w:rPr>
            </w:pPr>
            <w:r w:rsidRPr="007D6F35">
              <w:rPr>
                <w:sz w:val="20"/>
                <w:szCs w:val="20"/>
              </w:rPr>
              <w:t>United States</w:t>
            </w:r>
          </w:p>
        </w:tc>
        <w:tc>
          <w:tcPr>
            <w:tcW w:w="833" w:type="pct"/>
          </w:tcPr>
          <w:p w14:paraId="6944F212"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94 (49.7%)</w:t>
            </w:r>
          </w:p>
        </w:tc>
        <w:tc>
          <w:tcPr>
            <w:tcW w:w="865" w:type="pct"/>
          </w:tcPr>
          <w:p w14:paraId="1507945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85 (49.4%)</w:t>
            </w:r>
          </w:p>
        </w:tc>
        <w:tc>
          <w:tcPr>
            <w:tcW w:w="828" w:type="pct"/>
          </w:tcPr>
          <w:p w14:paraId="5ED3052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85 (50.9%)</w:t>
            </w:r>
          </w:p>
        </w:tc>
      </w:tr>
      <w:tr w:rsidR="007D6F35" w:rsidRPr="007D6F35" w14:paraId="6313039A"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668DA580" w14:textId="63E2F46F" w:rsidR="007D6F35" w:rsidRPr="007D6F35" w:rsidRDefault="007D6F35" w:rsidP="005C7CDA">
            <w:pPr>
              <w:ind w:left="0" w:right="0"/>
              <w:rPr>
                <w:sz w:val="20"/>
                <w:szCs w:val="20"/>
              </w:rPr>
            </w:pPr>
            <w:r w:rsidRPr="007D6F35">
              <w:rPr>
                <w:b/>
                <w:sz w:val="20"/>
                <w:szCs w:val="20"/>
              </w:rPr>
              <w:t>Race</w:t>
            </w:r>
          </w:p>
        </w:tc>
      </w:tr>
      <w:tr w:rsidR="004B6394" w:rsidRPr="007D6F35" w14:paraId="307150AA"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6B7E1E8F" w14:textId="1D457FDF" w:rsidR="00A7727F" w:rsidRPr="007D6F35" w:rsidRDefault="00A7727F" w:rsidP="005C7CDA">
            <w:pPr>
              <w:ind w:left="0" w:right="0"/>
              <w:rPr>
                <w:sz w:val="20"/>
                <w:szCs w:val="20"/>
              </w:rPr>
            </w:pPr>
            <w:r w:rsidRPr="007D6F35">
              <w:rPr>
                <w:sz w:val="20"/>
                <w:szCs w:val="20"/>
              </w:rPr>
              <w:t>White</w:t>
            </w:r>
          </w:p>
        </w:tc>
        <w:tc>
          <w:tcPr>
            <w:tcW w:w="833" w:type="pct"/>
          </w:tcPr>
          <w:p w14:paraId="60673834"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145 (85.8%)</w:t>
            </w:r>
          </w:p>
        </w:tc>
        <w:tc>
          <w:tcPr>
            <w:tcW w:w="865" w:type="pct"/>
          </w:tcPr>
          <w:p w14:paraId="72E3FE3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133 (86.4%)</w:t>
            </w:r>
          </w:p>
        </w:tc>
        <w:tc>
          <w:tcPr>
            <w:tcW w:w="828" w:type="pct"/>
          </w:tcPr>
          <w:p w14:paraId="2F9CE10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128 (85.3%)</w:t>
            </w:r>
          </w:p>
        </w:tc>
      </w:tr>
      <w:tr w:rsidR="004B6394" w:rsidRPr="007D6F35" w14:paraId="6027A605"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0630470E" w14:textId="78E3D7AA" w:rsidR="00A7727F" w:rsidRPr="007D6F35" w:rsidRDefault="00A7727F" w:rsidP="005C7CDA">
            <w:pPr>
              <w:ind w:left="0" w:right="0"/>
              <w:rPr>
                <w:sz w:val="20"/>
                <w:szCs w:val="20"/>
              </w:rPr>
            </w:pPr>
            <w:r w:rsidRPr="007D6F35">
              <w:rPr>
                <w:sz w:val="20"/>
                <w:szCs w:val="20"/>
              </w:rPr>
              <w:t>Asian</w:t>
            </w:r>
          </w:p>
        </w:tc>
        <w:tc>
          <w:tcPr>
            <w:tcW w:w="833" w:type="pct"/>
          </w:tcPr>
          <w:p w14:paraId="0522878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6 (3.6%)</w:t>
            </w:r>
          </w:p>
        </w:tc>
        <w:tc>
          <w:tcPr>
            <w:tcW w:w="865" w:type="pct"/>
          </w:tcPr>
          <w:p w14:paraId="18B61CA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5 (3.2%)</w:t>
            </w:r>
          </w:p>
        </w:tc>
        <w:tc>
          <w:tcPr>
            <w:tcW w:w="828" w:type="pct"/>
          </w:tcPr>
          <w:p w14:paraId="1D765856"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6 (4.0%)</w:t>
            </w:r>
          </w:p>
        </w:tc>
      </w:tr>
      <w:tr w:rsidR="004B6394" w:rsidRPr="007D6F35" w14:paraId="1C157D41"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6C18F24B" w14:textId="57D59C14" w:rsidR="00A7727F" w:rsidRPr="007D6F35" w:rsidRDefault="00A7727F" w:rsidP="005C7CDA">
            <w:pPr>
              <w:ind w:left="0" w:right="0"/>
              <w:rPr>
                <w:sz w:val="20"/>
                <w:szCs w:val="20"/>
              </w:rPr>
            </w:pPr>
            <w:r w:rsidRPr="007D6F35">
              <w:rPr>
                <w:sz w:val="20"/>
                <w:szCs w:val="20"/>
              </w:rPr>
              <w:t>Black or African American</w:t>
            </w:r>
          </w:p>
        </w:tc>
        <w:tc>
          <w:tcPr>
            <w:tcW w:w="833" w:type="pct"/>
          </w:tcPr>
          <w:p w14:paraId="1414175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7 (4.1%)</w:t>
            </w:r>
          </w:p>
        </w:tc>
        <w:tc>
          <w:tcPr>
            <w:tcW w:w="865" w:type="pct"/>
          </w:tcPr>
          <w:p w14:paraId="61D03441"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5 (3.2%)</w:t>
            </w:r>
          </w:p>
        </w:tc>
        <w:tc>
          <w:tcPr>
            <w:tcW w:w="828" w:type="pct"/>
          </w:tcPr>
          <w:p w14:paraId="0B717EA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6 (4.0%)</w:t>
            </w:r>
          </w:p>
        </w:tc>
      </w:tr>
      <w:tr w:rsidR="004B6394" w:rsidRPr="007D6F35" w14:paraId="2C3FE6FA"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F72E83F" w14:textId="09A94CB7" w:rsidR="00A7727F" w:rsidRPr="007D6F35" w:rsidRDefault="00A7727F" w:rsidP="005C7CDA">
            <w:pPr>
              <w:ind w:left="0" w:right="0"/>
              <w:rPr>
                <w:sz w:val="20"/>
                <w:szCs w:val="20"/>
              </w:rPr>
            </w:pPr>
            <w:r w:rsidRPr="007D6F35">
              <w:rPr>
                <w:sz w:val="20"/>
                <w:szCs w:val="20"/>
              </w:rPr>
              <w:t>American Indian or Alaska native</w:t>
            </w:r>
          </w:p>
        </w:tc>
        <w:tc>
          <w:tcPr>
            <w:tcW w:w="833" w:type="pct"/>
          </w:tcPr>
          <w:p w14:paraId="7644BD9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 (0.6%)</w:t>
            </w:r>
          </w:p>
        </w:tc>
        <w:tc>
          <w:tcPr>
            <w:tcW w:w="865" w:type="pct"/>
          </w:tcPr>
          <w:p w14:paraId="4629F15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 (0.6%)</w:t>
            </w:r>
          </w:p>
        </w:tc>
        <w:tc>
          <w:tcPr>
            <w:tcW w:w="828" w:type="pct"/>
          </w:tcPr>
          <w:p w14:paraId="521C8C51"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 (0.7%)</w:t>
            </w:r>
          </w:p>
        </w:tc>
      </w:tr>
      <w:tr w:rsidR="004B6394" w:rsidRPr="007D6F35" w14:paraId="695ABCB4"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2A8CDFB6" w14:textId="57EBBC72" w:rsidR="00A7727F" w:rsidRPr="007D6F35" w:rsidRDefault="00A7727F" w:rsidP="005C7CDA">
            <w:pPr>
              <w:ind w:left="0" w:right="0"/>
              <w:rPr>
                <w:sz w:val="20"/>
                <w:szCs w:val="20"/>
              </w:rPr>
            </w:pPr>
            <w:r w:rsidRPr="007D6F35">
              <w:rPr>
                <w:sz w:val="20"/>
                <w:szCs w:val="20"/>
              </w:rPr>
              <w:t>Native Hawaiian or other Pacific Islander</w:t>
            </w:r>
          </w:p>
        </w:tc>
        <w:tc>
          <w:tcPr>
            <w:tcW w:w="833" w:type="pct"/>
          </w:tcPr>
          <w:p w14:paraId="796F0941"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 (0.6%)</w:t>
            </w:r>
          </w:p>
        </w:tc>
        <w:tc>
          <w:tcPr>
            <w:tcW w:w="865" w:type="pct"/>
          </w:tcPr>
          <w:p w14:paraId="33C2EF0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 (0.6%)</w:t>
            </w:r>
          </w:p>
        </w:tc>
        <w:tc>
          <w:tcPr>
            <w:tcW w:w="828" w:type="pct"/>
          </w:tcPr>
          <w:p w14:paraId="5858FFD0"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 (0.7%)</w:t>
            </w:r>
          </w:p>
        </w:tc>
      </w:tr>
      <w:tr w:rsidR="004B6394" w:rsidRPr="007D6F35" w14:paraId="3B385402"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5906460B" w14:textId="10318C9A" w:rsidR="00A7727F" w:rsidRPr="007D6F35" w:rsidRDefault="00A7727F" w:rsidP="005C7CDA">
            <w:pPr>
              <w:ind w:left="0" w:right="0"/>
              <w:rPr>
                <w:sz w:val="20"/>
                <w:szCs w:val="20"/>
              </w:rPr>
            </w:pPr>
            <w:r w:rsidRPr="007D6F35">
              <w:rPr>
                <w:sz w:val="20"/>
                <w:szCs w:val="20"/>
              </w:rPr>
              <w:t>Other</w:t>
            </w:r>
          </w:p>
        </w:tc>
        <w:tc>
          <w:tcPr>
            <w:tcW w:w="833" w:type="pct"/>
          </w:tcPr>
          <w:p w14:paraId="60B9E91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 (5.3%)</w:t>
            </w:r>
          </w:p>
        </w:tc>
        <w:tc>
          <w:tcPr>
            <w:tcW w:w="865" w:type="pct"/>
          </w:tcPr>
          <w:p w14:paraId="5730E48F"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 (5.8%)</w:t>
            </w:r>
          </w:p>
        </w:tc>
        <w:tc>
          <w:tcPr>
            <w:tcW w:w="828" w:type="pct"/>
          </w:tcPr>
          <w:p w14:paraId="09BD38C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 (5.3%)</w:t>
            </w:r>
          </w:p>
        </w:tc>
      </w:tr>
      <w:tr w:rsidR="004B6394" w:rsidRPr="007D6F35" w14:paraId="2C75C4CA"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AFB9429" w14:textId="26867B36" w:rsidR="00A7727F" w:rsidRPr="007D6F35" w:rsidRDefault="005C7CDA" w:rsidP="005C7CDA">
            <w:pPr>
              <w:ind w:left="0" w:right="0"/>
              <w:rPr>
                <w:sz w:val="20"/>
                <w:szCs w:val="20"/>
              </w:rPr>
            </w:pPr>
            <w:r w:rsidRPr="007D6F35">
              <w:rPr>
                <w:sz w:val="20"/>
                <w:szCs w:val="20"/>
              </w:rPr>
              <w:t>Not recorded</w:t>
            </w:r>
            <w:r w:rsidRPr="007D6F35">
              <w:rPr>
                <w:sz w:val="20"/>
                <w:szCs w:val="20"/>
                <w:vertAlign w:val="superscript"/>
              </w:rPr>
              <w:t>(</w:t>
            </w:r>
            <w:r w:rsidR="00A7727F" w:rsidRPr="007D6F35">
              <w:rPr>
                <w:sz w:val="20"/>
                <w:szCs w:val="20"/>
                <w:vertAlign w:val="superscript"/>
              </w:rPr>
              <w:t>a</w:t>
            </w:r>
            <w:r w:rsidRPr="007D6F35">
              <w:rPr>
                <w:sz w:val="20"/>
                <w:szCs w:val="20"/>
                <w:vertAlign w:val="superscript"/>
              </w:rPr>
              <w:t>)</w:t>
            </w:r>
          </w:p>
        </w:tc>
        <w:tc>
          <w:tcPr>
            <w:tcW w:w="833" w:type="pct"/>
          </w:tcPr>
          <w:p w14:paraId="206FD50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20</w:t>
            </w:r>
          </w:p>
        </w:tc>
        <w:tc>
          <w:tcPr>
            <w:tcW w:w="865" w:type="pct"/>
          </w:tcPr>
          <w:p w14:paraId="7D4BD87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18</w:t>
            </w:r>
          </w:p>
        </w:tc>
        <w:tc>
          <w:tcPr>
            <w:tcW w:w="828" w:type="pct"/>
          </w:tcPr>
          <w:p w14:paraId="61BD0BA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17</w:t>
            </w:r>
          </w:p>
        </w:tc>
      </w:tr>
      <w:tr w:rsidR="007D6F35" w:rsidRPr="007D6F35" w14:paraId="2C661611"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0D7A6AF6" w14:textId="5E92F659" w:rsidR="007D6F35" w:rsidRPr="007D6F35" w:rsidRDefault="007D6F35" w:rsidP="005C7CDA">
            <w:pPr>
              <w:ind w:left="0" w:right="0"/>
              <w:rPr>
                <w:sz w:val="20"/>
                <w:szCs w:val="20"/>
              </w:rPr>
            </w:pPr>
            <w:r w:rsidRPr="007D6F35">
              <w:rPr>
                <w:b/>
                <w:sz w:val="20"/>
                <w:szCs w:val="20"/>
              </w:rPr>
              <w:t>Age group (years)</w:t>
            </w:r>
          </w:p>
        </w:tc>
      </w:tr>
      <w:tr w:rsidR="004B6394" w:rsidRPr="007D6F35" w14:paraId="3DAF43F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63695494" w14:textId="38D186E7" w:rsidR="00A7727F" w:rsidRPr="007D6F35" w:rsidRDefault="00A7727F" w:rsidP="005C7CDA">
            <w:pPr>
              <w:ind w:left="0" w:right="0"/>
              <w:rPr>
                <w:sz w:val="20"/>
                <w:szCs w:val="20"/>
              </w:rPr>
            </w:pPr>
            <w:r w:rsidRPr="007D6F35">
              <w:rPr>
                <w:sz w:val="20"/>
                <w:szCs w:val="20"/>
              </w:rPr>
              <w:t>18 to</w:t>
            </w:r>
            <w:r w:rsidR="00375CAE" w:rsidRPr="007D6F35">
              <w:rPr>
                <w:sz w:val="20"/>
                <w:szCs w:val="20"/>
              </w:rPr>
              <w:t xml:space="preserve"> </w:t>
            </w:r>
            <w:r w:rsidR="00423768" w:rsidRPr="007D6F35">
              <w:rPr>
                <w:sz w:val="20"/>
                <w:szCs w:val="20"/>
              </w:rPr>
              <w:t>&lt;</w:t>
            </w:r>
            <w:r w:rsidR="00375CAE" w:rsidRPr="007D6F35">
              <w:rPr>
                <w:sz w:val="20"/>
                <w:szCs w:val="20"/>
              </w:rPr>
              <w:t xml:space="preserve"> </w:t>
            </w:r>
            <w:r w:rsidRPr="007D6F35">
              <w:rPr>
                <w:sz w:val="20"/>
                <w:szCs w:val="20"/>
              </w:rPr>
              <w:t>35 years</w:t>
            </w:r>
          </w:p>
        </w:tc>
        <w:tc>
          <w:tcPr>
            <w:tcW w:w="833" w:type="pct"/>
          </w:tcPr>
          <w:p w14:paraId="5ADE99C4"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90 (47.6%)</w:t>
            </w:r>
          </w:p>
        </w:tc>
        <w:tc>
          <w:tcPr>
            <w:tcW w:w="865" w:type="pct"/>
          </w:tcPr>
          <w:p w14:paraId="28BDD28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86 (50.0%)</w:t>
            </w:r>
          </w:p>
        </w:tc>
        <w:tc>
          <w:tcPr>
            <w:tcW w:w="828" w:type="pct"/>
          </w:tcPr>
          <w:p w14:paraId="1542C5E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81 (48.5%)</w:t>
            </w:r>
          </w:p>
        </w:tc>
      </w:tr>
      <w:tr w:rsidR="004B6394" w:rsidRPr="007D6F35" w14:paraId="244400B2"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07CEA5FC" w14:textId="63B2C586" w:rsidR="00A7727F" w:rsidRPr="007D6F35" w:rsidRDefault="00375CAE" w:rsidP="005C7CDA">
            <w:pPr>
              <w:ind w:left="0" w:right="0"/>
              <w:rPr>
                <w:sz w:val="20"/>
                <w:szCs w:val="20"/>
              </w:rPr>
            </w:pPr>
            <w:r w:rsidRPr="007D6F35">
              <w:rPr>
                <w:sz w:val="20"/>
                <w:szCs w:val="20"/>
              </w:rPr>
              <w:t xml:space="preserve"> </w:t>
            </w:r>
            <w:r w:rsidR="00A7727F" w:rsidRPr="007D6F35">
              <w:rPr>
                <w:sz w:val="20"/>
                <w:szCs w:val="20"/>
              </w:rPr>
              <w:t>35 to</w:t>
            </w:r>
            <w:r w:rsidRPr="007D6F35">
              <w:rPr>
                <w:sz w:val="20"/>
                <w:szCs w:val="20"/>
              </w:rPr>
              <w:t xml:space="preserve"> </w:t>
            </w:r>
            <w:r w:rsidR="00423768" w:rsidRPr="007D6F35">
              <w:rPr>
                <w:sz w:val="20"/>
                <w:szCs w:val="20"/>
              </w:rPr>
              <w:t>&lt;</w:t>
            </w:r>
            <w:r w:rsidRPr="007D6F35">
              <w:rPr>
                <w:sz w:val="20"/>
                <w:szCs w:val="20"/>
              </w:rPr>
              <w:t xml:space="preserve"> </w:t>
            </w:r>
            <w:r w:rsidR="00A7727F" w:rsidRPr="007D6F35">
              <w:rPr>
                <w:sz w:val="20"/>
                <w:szCs w:val="20"/>
              </w:rPr>
              <w:t>55 years</w:t>
            </w:r>
          </w:p>
        </w:tc>
        <w:tc>
          <w:tcPr>
            <w:tcW w:w="833" w:type="pct"/>
          </w:tcPr>
          <w:p w14:paraId="1DC26CD2"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46 (24.3%)</w:t>
            </w:r>
          </w:p>
        </w:tc>
        <w:tc>
          <w:tcPr>
            <w:tcW w:w="865" w:type="pct"/>
          </w:tcPr>
          <w:p w14:paraId="46D5779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40 (23.3%)</w:t>
            </w:r>
          </w:p>
        </w:tc>
        <w:tc>
          <w:tcPr>
            <w:tcW w:w="828" w:type="pct"/>
          </w:tcPr>
          <w:p w14:paraId="06592097"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41 (24.6%)</w:t>
            </w:r>
          </w:p>
        </w:tc>
      </w:tr>
      <w:tr w:rsidR="004B6394" w:rsidRPr="007D6F35" w14:paraId="2862CA4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5FDB7D36" w14:textId="1526E2A3" w:rsidR="00A7727F" w:rsidRPr="007D6F35" w:rsidRDefault="00375CAE" w:rsidP="005C7CDA">
            <w:pPr>
              <w:ind w:left="0" w:right="0"/>
              <w:rPr>
                <w:sz w:val="20"/>
                <w:szCs w:val="20"/>
              </w:rPr>
            </w:pPr>
            <w:r w:rsidRPr="007D6F35">
              <w:rPr>
                <w:sz w:val="20"/>
                <w:szCs w:val="20"/>
              </w:rPr>
              <w:t xml:space="preserve"> </w:t>
            </w:r>
            <w:r w:rsidR="00A7727F" w:rsidRPr="007D6F35">
              <w:rPr>
                <w:sz w:val="20"/>
                <w:szCs w:val="20"/>
              </w:rPr>
              <w:t>55 to</w:t>
            </w:r>
            <w:r w:rsidRPr="007D6F35">
              <w:rPr>
                <w:sz w:val="20"/>
                <w:szCs w:val="20"/>
              </w:rPr>
              <w:t xml:space="preserve"> </w:t>
            </w:r>
            <w:r w:rsidR="00423768" w:rsidRPr="007D6F35">
              <w:rPr>
                <w:sz w:val="20"/>
                <w:szCs w:val="20"/>
              </w:rPr>
              <w:t>&lt;</w:t>
            </w:r>
            <w:r w:rsidRPr="007D6F35">
              <w:rPr>
                <w:sz w:val="20"/>
                <w:szCs w:val="20"/>
              </w:rPr>
              <w:t xml:space="preserve"> </w:t>
            </w:r>
            <w:r w:rsidR="00A7727F" w:rsidRPr="007D6F35">
              <w:rPr>
                <w:sz w:val="20"/>
                <w:szCs w:val="20"/>
              </w:rPr>
              <w:t>65 years</w:t>
            </w:r>
          </w:p>
        </w:tc>
        <w:tc>
          <w:tcPr>
            <w:tcW w:w="833" w:type="pct"/>
          </w:tcPr>
          <w:p w14:paraId="025F649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28 (14.8%)</w:t>
            </w:r>
          </w:p>
        </w:tc>
        <w:tc>
          <w:tcPr>
            <w:tcW w:w="865" w:type="pct"/>
          </w:tcPr>
          <w:p w14:paraId="20A21AB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22 (12.8%)</w:t>
            </w:r>
          </w:p>
        </w:tc>
        <w:tc>
          <w:tcPr>
            <w:tcW w:w="828" w:type="pct"/>
          </w:tcPr>
          <w:p w14:paraId="05E7CAF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26 (15.6%)</w:t>
            </w:r>
          </w:p>
        </w:tc>
      </w:tr>
      <w:tr w:rsidR="004B6394" w:rsidRPr="007D6F35" w14:paraId="29A1CB24"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0F64653" w14:textId="7280F399" w:rsidR="00A7727F" w:rsidRPr="007D6F35" w:rsidRDefault="00375CAE" w:rsidP="005C7CDA">
            <w:pPr>
              <w:ind w:left="0" w:right="0"/>
              <w:rPr>
                <w:sz w:val="20"/>
                <w:szCs w:val="20"/>
              </w:rPr>
            </w:pPr>
            <w:r w:rsidRPr="007D6F35">
              <w:rPr>
                <w:sz w:val="20"/>
                <w:szCs w:val="20"/>
              </w:rPr>
              <w:t xml:space="preserve"> </w:t>
            </w:r>
            <w:r w:rsidR="00423768" w:rsidRPr="007D6F35">
              <w:rPr>
                <w:sz w:val="20"/>
                <w:szCs w:val="20"/>
              </w:rPr>
              <w:t>≥</w:t>
            </w:r>
            <w:r w:rsidRPr="007D6F35">
              <w:rPr>
                <w:sz w:val="20"/>
                <w:szCs w:val="20"/>
              </w:rPr>
              <w:t xml:space="preserve"> </w:t>
            </w:r>
            <w:r w:rsidR="00A7727F" w:rsidRPr="007D6F35">
              <w:rPr>
                <w:sz w:val="20"/>
                <w:szCs w:val="20"/>
              </w:rPr>
              <w:t>65 years</w:t>
            </w:r>
          </w:p>
        </w:tc>
        <w:tc>
          <w:tcPr>
            <w:tcW w:w="833" w:type="pct"/>
          </w:tcPr>
          <w:p w14:paraId="32F4E420"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25 (13.2%)</w:t>
            </w:r>
          </w:p>
        </w:tc>
        <w:tc>
          <w:tcPr>
            <w:tcW w:w="865" w:type="pct"/>
          </w:tcPr>
          <w:p w14:paraId="77E070C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 (14.0%)</w:t>
            </w:r>
          </w:p>
        </w:tc>
        <w:tc>
          <w:tcPr>
            <w:tcW w:w="828" w:type="pct"/>
          </w:tcPr>
          <w:p w14:paraId="78532AE7"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19 (11.4%)</w:t>
            </w:r>
          </w:p>
        </w:tc>
      </w:tr>
      <w:tr w:rsidR="007D6F35" w:rsidRPr="007D6F35" w14:paraId="53A8DF45"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7D6981E3" w14:textId="31B61354" w:rsidR="007D6F35" w:rsidRPr="007D6F35" w:rsidRDefault="007D6F35" w:rsidP="005C7CDA">
            <w:pPr>
              <w:ind w:left="0" w:right="0"/>
              <w:rPr>
                <w:sz w:val="20"/>
                <w:szCs w:val="20"/>
              </w:rPr>
            </w:pPr>
            <w:r w:rsidRPr="007D6F35">
              <w:rPr>
                <w:b/>
                <w:sz w:val="20"/>
                <w:szCs w:val="20"/>
              </w:rPr>
              <w:t>Disease stage entry criteria met</w:t>
            </w:r>
          </w:p>
        </w:tc>
      </w:tr>
      <w:tr w:rsidR="004B6394" w:rsidRPr="007D6F35" w14:paraId="1D80EEAE"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108A3302" w14:textId="720448C1" w:rsidR="00A7727F" w:rsidRPr="007D6F35" w:rsidRDefault="00A7727F" w:rsidP="005C7CDA">
            <w:pPr>
              <w:ind w:left="0" w:right="0"/>
              <w:rPr>
                <w:sz w:val="20"/>
                <w:szCs w:val="20"/>
              </w:rPr>
            </w:pPr>
            <w:r w:rsidRPr="007D6F35">
              <w:rPr>
                <w:sz w:val="20"/>
                <w:szCs w:val="20"/>
              </w:rPr>
              <w:t>Primary refractory</w:t>
            </w:r>
          </w:p>
        </w:tc>
        <w:tc>
          <w:tcPr>
            <w:tcW w:w="833" w:type="pct"/>
          </w:tcPr>
          <w:p w14:paraId="20D39E82"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16 (8.5%)</w:t>
            </w:r>
          </w:p>
        </w:tc>
        <w:tc>
          <w:tcPr>
            <w:tcW w:w="865" w:type="pct"/>
          </w:tcPr>
          <w:p w14:paraId="71749F57"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15 (8.7%)</w:t>
            </w:r>
          </w:p>
        </w:tc>
        <w:tc>
          <w:tcPr>
            <w:tcW w:w="828" w:type="pct"/>
          </w:tcPr>
          <w:p w14:paraId="2211BCB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16 (9.6%)</w:t>
            </w:r>
          </w:p>
        </w:tc>
      </w:tr>
      <w:tr w:rsidR="004B6394" w:rsidRPr="007D6F35" w14:paraId="615C4124"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6513FE8" w14:textId="2967FB97" w:rsidR="00A7727F" w:rsidRPr="007D6F35" w:rsidRDefault="00A7727F" w:rsidP="005C7CDA">
            <w:pPr>
              <w:ind w:left="0" w:right="0"/>
              <w:rPr>
                <w:sz w:val="20"/>
                <w:szCs w:val="20"/>
              </w:rPr>
            </w:pPr>
            <w:r w:rsidRPr="007D6F35">
              <w:rPr>
                <w:sz w:val="20"/>
                <w:szCs w:val="20"/>
              </w:rPr>
              <w:t>Relapse</w:t>
            </w:r>
            <w:r w:rsidR="00375CAE" w:rsidRPr="007D6F35">
              <w:rPr>
                <w:sz w:val="20"/>
                <w:szCs w:val="20"/>
              </w:rPr>
              <w:t xml:space="preserve"> </w:t>
            </w:r>
            <w:r w:rsidR="00423768" w:rsidRPr="007D6F35">
              <w:rPr>
                <w:sz w:val="20"/>
                <w:szCs w:val="20"/>
              </w:rPr>
              <w:t>≤</w:t>
            </w:r>
            <w:r w:rsidR="00375CAE" w:rsidRPr="007D6F35">
              <w:rPr>
                <w:sz w:val="20"/>
                <w:szCs w:val="20"/>
              </w:rPr>
              <w:t xml:space="preserve"> </w:t>
            </w:r>
            <w:r w:rsidRPr="007D6F35">
              <w:rPr>
                <w:sz w:val="20"/>
                <w:szCs w:val="20"/>
              </w:rPr>
              <w:t>12 months of alloHSCT</w:t>
            </w:r>
          </w:p>
        </w:tc>
        <w:tc>
          <w:tcPr>
            <w:tcW w:w="833" w:type="pct"/>
          </w:tcPr>
          <w:p w14:paraId="260D980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39 (20.6%)</w:t>
            </w:r>
          </w:p>
        </w:tc>
        <w:tc>
          <w:tcPr>
            <w:tcW w:w="865" w:type="pct"/>
          </w:tcPr>
          <w:p w14:paraId="728EEC6F"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35 (20.3%)</w:t>
            </w:r>
          </w:p>
        </w:tc>
        <w:tc>
          <w:tcPr>
            <w:tcW w:w="828" w:type="pct"/>
          </w:tcPr>
          <w:p w14:paraId="701143A0"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33 (19.8%)</w:t>
            </w:r>
          </w:p>
        </w:tc>
      </w:tr>
      <w:tr w:rsidR="004B6394" w:rsidRPr="007D6F35" w14:paraId="56FD5359"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2B3BF133" w14:textId="152BA3DA" w:rsidR="00A7727F" w:rsidRPr="007D6F35" w:rsidRDefault="00A7727F" w:rsidP="005C7CDA">
            <w:pPr>
              <w:ind w:left="0" w:right="0"/>
              <w:rPr>
                <w:sz w:val="20"/>
                <w:szCs w:val="20"/>
              </w:rPr>
            </w:pPr>
            <w:r w:rsidRPr="007D6F35">
              <w:rPr>
                <w:sz w:val="20"/>
                <w:szCs w:val="20"/>
              </w:rPr>
              <w:t>Entering first salvage with first remission duration</w:t>
            </w:r>
            <w:r w:rsidR="00375CAE" w:rsidRPr="007D6F35">
              <w:rPr>
                <w:sz w:val="20"/>
                <w:szCs w:val="20"/>
              </w:rPr>
              <w:t xml:space="preserve"> </w:t>
            </w:r>
            <w:r w:rsidR="00423768" w:rsidRPr="007D6F35">
              <w:rPr>
                <w:sz w:val="20"/>
                <w:szCs w:val="20"/>
              </w:rPr>
              <w:t>≤</w:t>
            </w:r>
            <w:r w:rsidR="00375CAE" w:rsidRPr="007D6F35">
              <w:rPr>
                <w:sz w:val="20"/>
                <w:szCs w:val="20"/>
              </w:rPr>
              <w:t xml:space="preserve"> </w:t>
            </w:r>
            <w:r w:rsidRPr="007D6F35">
              <w:rPr>
                <w:sz w:val="20"/>
                <w:szCs w:val="20"/>
              </w:rPr>
              <w:t>12 months</w:t>
            </w:r>
          </w:p>
        </w:tc>
        <w:tc>
          <w:tcPr>
            <w:tcW w:w="833" w:type="pct"/>
          </w:tcPr>
          <w:p w14:paraId="35A0F351"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23 (12.2%)</w:t>
            </w:r>
          </w:p>
        </w:tc>
        <w:tc>
          <w:tcPr>
            <w:tcW w:w="865" w:type="pct"/>
          </w:tcPr>
          <w:p w14:paraId="7AA3305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22 (12.8%)</w:t>
            </w:r>
          </w:p>
        </w:tc>
        <w:tc>
          <w:tcPr>
            <w:tcW w:w="828" w:type="pct"/>
          </w:tcPr>
          <w:p w14:paraId="618218C6"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21 (12.6%)</w:t>
            </w:r>
          </w:p>
        </w:tc>
      </w:tr>
      <w:tr w:rsidR="004B6394" w:rsidRPr="007D6F35" w14:paraId="531C1570"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4F735AFE" w14:textId="4639AD6C" w:rsidR="00A7727F" w:rsidRPr="007D6F35" w:rsidRDefault="00A7727F" w:rsidP="005C7CDA">
            <w:pPr>
              <w:ind w:left="0" w:right="0"/>
              <w:rPr>
                <w:sz w:val="20"/>
                <w:szCs w:val="20"/>
              </w:rPr>
            </w:pPr>
            <w:r w:rsidRPr="007D6F35">
              <w:rPr>
                <w:sz w:val="20"/>
                <w:szCs w:val="20"/>
              </w:rPr>
              <w:t>Entering second or greater salvage therapies</w:t>
            </w:r>
          </w:p>
        </w:tc>
        <w:tc>
          <w:tcPr>
            <w:tcW w:w="833" w:type="pct"/>
          </w:tcPr>
          <w:p w14:paraId="17769E10"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108 (57.1%)</w:t>
            </w:r>
          </w:p>
        </w:tc>
        <w:tc>
          <w:tcPr>
            <w:tcW w:w="865" w:type="pct"/>
          </w:tcPr>
          <w:p w14:paraId="3C9A92D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97 (56.4%)</w:t>
            </w:r>
          </w:p>
        </w:tc>
        <w:tc>
          <w:tcPr>
            <w:tcW w:w="828" w:type="pct"/>
          </w:tcPr>
          <w:p w14:paraId="110049C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97 (58.1%)</w:t>
            </w:r>
          </w:p>
        </w:tc>
      </w:tr>
      <w:tr w:rsidR="004B6394" w:rsidRPr="007D6F35" w14:paraId="05DFC169"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76F4CF7" w14:textId="2DBEF029" w:rsidR="00A7727F" w:rsidRPr="007D6F35" w:rsidRDefault="00A7727F" w:rsidP="005C7CDA">
            <w:pPr>
              <w:ind w:left="0" w:right="0"/>
              <w:rPr>
                <w:sz w:val="20"/>
                <w:szCs w:val="20"/>
              </w:rPr>
            </w:pPr>
            <w:r w:rsidRPr="007D6F35">
              <w:rPr>
                <w:sz w:val="20"/>
                <w:szCs w:val="20"/>
              </w:rPr>
              <w:t>No criteria met</w:t>
            </w:r>
          </w:p>
        </w:tc>
        <w:tc>
          <w:tcPr>
            <w:tcW w:w="833" w:type="pct"/>
          </w:tcPr>
          <w:p w14:paraId="03E8936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 (1.6%)</w:t>
            </w:r>
          </w:p>
        </w:tc>
        <w:tc>
          <w:tcPr>
            <w:tcW w:w="865" w:type="pct"/>
          </w:tcPr>
          <w:p w14:paraId="0C6C5B1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 (1.7%)</w:t>
            </w:r>
          </w:p>
        </w:tc>
        <w:tc>
          <w:tcPr>
            <w:tcW w:w="828" w:type="pct"/>
          </w:tcPr>
          <w:p w14:paraId="33EF7EC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0 (0.0%)</w:t>
            </w:r>
          </w:p>
        </w:tc>
      </w:tr>
      <w:tr w:rsidR="004B6394" w:rsidRPr="007D6F35" w14:paraId="3F0F6342"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40B8B32" w14:textId="77777777" w:rsidR="00A7727F" w:rsidRPr="007D6F35" w:rsidRDefault="00A7727F" w:rsidP="005C7CDA">
            <w:pPr>
              <w:ind w:left="0" w:right="0"/>
              <w:rPr>
                <w:sz w:val="20"/>
                <w:szCs w:val="20"/>
              </w:rPr>
            </w:pPr>
            <w:r w:rsidRPr="007D6F35">
              <w:rPr>
                <w:sz w:val="20"/>
                <w:szCs w:val="20"/>
              </w:rPr>
              <w:t>Number of prior relapses</w:t>
            </w:r>
          </w:p>
        </w:tc>
        <w:tc>
          <w:tcPr>
            <w:tcW w:w="833" w:type="pct"/>
          </w:tcPr>
          <w:p w14:paraId="79E7E3E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65" w:type="pct"/>
          </w:tcPr>
          <w:p w14:paraId="501E7CD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28" w:type="pct"/>
          </w:tcPr>
          <w:p w14:paraId="3CA91EC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4B6394" w:rsidRPr="007D6F35" w14:paraId="3929A682"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4C5FAB13" w14:textId="5E6AF891" w:rsidR="00A7727F" w:rsidRPr="007D6F35" w:rsidRDefault="00375CAE" w:rsidP="005C7CDA">
            <w:pPr>
              <w:ind w:left="0" w:right="0"/>
              <w:rPr>
                <w:sz w:val="20"/>
                <w:szCs w:val="20"/>
              </w:rPr>
            </w:pPr>
            <w:r w:rsidRPr="007D6F35">
              <w:rPr>
                <w:sz w:val="20"/>
                <w:szCs w:val="20"/>
              </w:rPr>
              <w:t xml:space="preserve"> </w:t>
            </w:r>
            <w:r w:rsidR="00A7727F" w:rsidRPr="007D6F35">
              <w:rPr>
                <w:sz w:val="20"/>
                <w:szCs w:val="20"/>
              </w:rPr>
              <w:t>0</w:t>
            </w:r>
          </w:p>
        </w:tc>
        <w:tc>
          <w:tcPr>
            <w:tcW w:w="833" w:type="pct"/>
          </w:tcPr>
          <w:p w14:paraId="0D32D86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16 (8.5%)</w:t>
            </w:r>
          </w:p>
        </w:tc>
        <w:tc>
          <w:tcPr>
            <w:tcW w:w="865" w:type="pct"/>
          </w:tcPr>
          <w:p w14:paraId="72A50C2F"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15 (8.7%)</w:t>
            </w:r>
          </w:p>
        </w:tc>
        <w:tc>
          <w:tcPr>
            <w:tcW w:w="828" w:type="pct"/>
          </w:tcPr>
          <w:p w14:paraId="40D1515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16 (9.6%)</w:t>
            </w:r>
          </w:p>
        </w:tc>
      </w:tr>
      <w:tr w:rsidR="004B6394" w:rsidRPr="007D6F35" w14:paraId="121F66D0"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0DE59C66" w14:textId="3FA5689F" w:rsidR="00A7727F" w:rsidRPr="007D6F35" w:rsidRDefault="00375CAE" w:rsidP="005C7CDA">
            <w:pPr>
              <w:ind w:left="0" w:right="0"/>
              <w:rPr>
                <w:sz w:val="20"/>
                <w:szCs w:val="20"/>
              </w:rPr>
            </w:pPr>
            <w:r w:rsidRPr="007D6F35">
              <w:rPr>
                <w:sz w:val="20"/>
                <w:szCs w:val="20"/>
              </w:rPr>
              <w:t xml:space="preserve"> </w:t>
            </w:r>
            <w:r w:rsidR="00A7727F" w:rsidRPr="007D6F35">
              <w:rPr>
                <w:sz w:val="20"/>
                <w:szCs w:val="20"/>
              </w:rPr>
              <w:t>1</w:t>
            </w:r>
          </w:p>
        </w:tc>
        <w:tc>
          <w:tcPr>
            <w:tcW w:w="833" w:type="pct"/>
          </w:tcPr>
          <w:p w14:paraId="3CADC05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107 (56.6%)</w:t>
            </w:r>
          </w:p>
        </w:tc>
        <w:tc>
          <w:tcPr>
            <w:tcW w:w="865" w:type="pct"/>
          </w:tcPr>
          <w:p w14:paraId="70B951F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100 (58.1%)</w:t>
            </w:r>
          </w:p>
        </w:tc>
        <w:tc>
          <w:tcPr>
            <w:tcW w:w="828" w:type="pct"/>
          </w:tcPr>
          <w:p w14:paraId="1089D0E4"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95 (56.9%)</w:t>
            </w:r>
          </w:p>
        </w:tc>
      </w:tr>
      <w:tr w:rsidR="004B6394" w:rsidRPr="007D6F35" w14:paraId="3888389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59B804F0" w14:textId="1586C0BE" w:rsidR="00A7727F" w:rsidRPr="007D6F35" w:rsidRDefault="00375CAE" w:rsidP="005C7CDA">
            <w:pPr>
              <w:ind w:left="0" w:right="0"/>
              <w:rPr>
                <w:sz w:val="20"/>
                <w:szCs w:val="20"/>
              </w:rPr>
            </w:pPr>
            <w:r w:rsidRPr="007D6F35">
              <w:rPr>
                <w:sz w:val="20"/>
                <w:szCs w:val="20"/>
              </w:rPr>
              <w:t xml:space="preserve"> </w:t>
            </w:r>
            <w:r w:rsidR="00A7727F" w:rsidRPr="007D6F35">
              <w:rPr>
                <w:sz w:val="20"/>
                <w:szCs w:val="20"/>
              </w:rPr>
              <w:t>2</w:t>
            </w:r>
          </w:p>
        </w:tc>
        <w:tc>
          <w:tcPr>
            <w:tcW w:w="833" w:type="pct"/>
          </w:tcPr>
          <w:p w14:paraId="03A2610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46 (24.3%)</w:t>
            </w:r>
          </w:p>
        </w:tc>
        <w:tc>
          <w:tcPr>
            <w:tcW w:w="865" w:type="pct"/>
          </w:tcPr>
          <w:p w14:paraId="0771FED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39 (22.7%)</w:t>
            </w:r>
          </w:p>
        </w:tc>
        <w:tc>
          <w:tcPr>
            <w:tcW w:w="828" w:type="pct"/>
          </w:tcPr>
          <w:p w14:paraId="3B4A9D7B"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39 (23.4%)</w:t>
            </w:r>
          </w:p>
        </w:tc>
      </w:tr>
      <w:tr w:rsidR="004B6394" w:rsidRPr="007D6F35" w14:paraId="117CCE38"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5CEF1E6A" w14:textId="3C1D8EA6" w:rsidR="00A7727F" w:rsidRPr="007D6F35" w:rsidRDefault="00375CAE" w:rsidP="005C7CDA">
            <w:pPr>
              <w:ind w:left="0" w:right="0"/>
              <w:rPr>
                <w:sz w:val="20"/>
                <w:szCs w:val="20"/>
              </w:rPr>
            </w:pPr>
            <w:r w:rsidRPr="007D6F35">
              <w:rPr>
                <w:sz w:val="20"/>
                <w:szCs w:val="20"/>
              </w:rPr>
              <w:t xml:space="preserve"> </w:t>
            </w:r>
            <w:r w:rsidR="00423768" w:rsidRPr="007D6F35">
              <w:rPr>
                <w:sz w:val="20"/>
                <w:szCs w:val="20"/>
              </w:rPr>
              <w:t xml:space="preserve">&gt; </w:t>
            </w:r>
            <w:r w:rsidR="00A7727F" w:rsidRPr="007D6F35">
              <w:rPr>
                <w:sz w:val="20"/>
                <w:szCs w:val="20"/>
              </w:rPr>
              <w:t>2</w:t>
            </w:r>
          </w:p>
        </w:tc>
        <w:tc>
          <w:tcPr>
            <w:tcW w:w="833" w:type="pct"/>
          </w:tcPr>
          <w:p w14:paraId="5C6EBF7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20 (10.6%)</w:t>
            </w:r>
          </w:p>
        </w:tc>
        <w:tc>
          <w:tcPr>
            <w:tcW w:w="865" w:type="pct"/>
          </w:tcPr>
          <w:p w14:paraId="1FB52FB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18 (10.5%)</w:t>
            </w:r>
          </w:p>
        </w:tc>
        <w:tc>
          <w:tcPr>
            <w:tcW w:w="828" w:type="pct"/>
          </w:tcPr>
          <w:p w14:paraId="04F3A13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17 (10.2%)</w:t>
            </w:r>
          </w:p>
        </w:tc>
      </w:tr>
      <w:tr w:rsidR="007D6F35" w:rsidRPr="007D6F35" w14:paraId="13FA8FA5"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0F7198AB" w14:textId="6F822053" w:rsidR="007D6F35" w:rsidRPr="007D6F35" w:rsidRDefault="007D6F35" w:rsidP="005C7CDA">
            <w:pPr>
              <w:ind w:left="0" w:right="0"/>
              <w:rPr>
                <w:sz w:val="20"/>
                <w:szCs w:val="20"/>
              </w:rPr>
            </w:pPr>
            <w:r w:rsidRPr="007D6F35">
              <w:rPr>
                <w:b/>
                <w:sz w:val="20"/>
                <w:szCs w:val="20"/>
              </w:rPr>
              <w:t>Prior alloHSCT and prior relapses</w:t>
            </w:r>
          </w:p>
        </w:tc>
      </w:tr>
      <w:tr w:rsidR="004B6394" w:rsidRPr="007D6F35" w14:paraId="5B63AA98"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0E657746" w14:textId="381EAE95" w:rsidR="00A7727F" w:rsidRPr="007D6F35" w:rsidRDefault="00A7727F" w:rsidP="005C7CDA">
            <w:pPr>
              <w:ind w:left="0" w:right="0"/>
              <w:rPr>
                <w:sz w:val="20"/>
                <w:szCs w:val="20"/>
              </w:rPr>
            </w:pPr>
            <w:r w:rsidRPr="007D6F35">
              <w:rPr>
                <w:sz w:val="20"/>
                <w:szCs w:val="20"/>
              </w:rPr>
              <w:t>No prior alloHSCT</w:t>
            </w:r>
          </w:p>
        </w:tc>
        <w:tc>
          <w:tcPr>
            <w:tcW w:w="833" w:type="pct"/>
          </w:tcPr>
          <w:p w14:paraId="659D731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125 (66.1%)</w:t>
            </w:r>
          </w:p>
        </w:tc>
        <w:tc>
          <w:tcPr>
            <w:tcW w:w="865" w:type="pct"/>
          </w:tcPr>
          <w:p w14:paraId="6455688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115 (66.9%)</w:t>
            </w:r>
          </w:p>
        </w:tc>
        <w:tc>
          <w:tcPr>
            <w:tcW w:w="828" w:type="pct"/>
          </w:tcPr>
          <w:p w14:paraId="3B984389"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113 (67.7%)</w:t>
            </w:r>
          </w:p>
        </w:tc>
      </w:tr>
      <w:tr w:rsidR="004B6394" w:rsidRPr="007D6F35" w14:paraId="67986DCA"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19948288" w14:textId="73C005A2" w:rsidR="00A7727F" w:rsidRPr="007D6F35" w:rsidRDefault="005C7CDA" w:rsidP="005C7CDA">
            <w:pPr>
              <w:ind w:left="0" w:right="0"/>
              <w:rPr>
                <w:sz w:val="20"/>
                <w:szCs w:val="20"/>
              </w:rPr>
            </w:pPr>
            <w:r w:rsidRPr="007D6F35">
              <w:rPr>
                <w:sz w:val="20"/>
                <w:szCs w:val="20"/>
              </w:rPr>
              <w:t>N</w:t>
            </w:r>
            <w:r w:rsidR="00A7727F" w:rsidRPr="007D6F35">
              <w:rPr>
                <w:sz w:val="20"/>
                <w:szCs w:val="20"/>
              </w:rPr>
              <w:t>o prior relapse</w:t>
            </w:r>
          </w:p>
        </w:tc>
        <w:tc>
          <w:tcPr>
            <w:tcW w:w="833" w:type="pct"/>
          </w:tcPr>
          <w:p w14:paraId="716051CD"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16 (8.5%)</w:t>
            </w:r>
          </w:p>
        </w:tc>
        <w:tc>
          <w:tcPr>
            <w:tcW w:w="865" w:type="pct"/>
          </w:tcPr>
          <w:p w14:paraId="172F20B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15 (8.7%)</w:t>
            </w:r>
          </w:p>
        </w:tc>
        <w:tc>
          <w:tcPr>
            <w:tcW w:w="828" w:type="pct"/>
          </w:tcPr>
          <w:p w14:paraId="06077822"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16 (9.6%)</w:t>
            </w:r>
          </w:p>
        </w:tc>
      </w:tr>
      <w:tr w:rsidR="004B6394" w:rsidRPr="007D6F35" w14:paraId="79F8D2D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5DB8DC7C" w14:textId="60A42250" w:rsidR="00A7727F" w:rsidRPr="007D6F35" w:rsidRDefault="00A7727F" w:rsidP="005C7CDA">
            <w:pPr>
              <w:ind w:left="0" w:right="0"/>
              <w:rPr>
                <w:sz w:val="20"/>
                <w:szCs w:val="20"/>
              </w:rPr>
            </w:pPr>
            <w:r w:rsidRPr="007D6F35">
              <w:rPr>
                <w:sz w:val="20"/>
                <w:szCs w:val="20"/>
              </w:rPr>
              <w:t>1 prior relapse</w:t>
            </w:r>
          </w:p>
        </w:tc>
        <w:tc>
          <w:tcPr>
            <w:tcW w:w="833" w:type="pct"/>
          </w:tcPr>
          <w:p w14:paraId="17EF75C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84 (44.4%)</w:t>
            </w:r>
          </w:p>
        </w:tc>
        <w:tc>
          <w:tcPr>
            <w:tcW w:w="865" w:type="pct"/>
          </w:tcPr>
          <w:p w14:paraId="588679B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77 (44.8%)</w:t>
            </w:r>
          </w:p>
        </w:tc>
        <w:tc>
          <w:tcPr>
            <w:tcW w:w="828" w:type="pct"/>
          </w:tcPr>
          <w:p w14:paraId="39F7FED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75 (44.9%)</w:t>
            </w:r>
          </w:p>
        </w:tc>
      </w:tr>
      <w:tr w:rsidR="004B6394" w:rsidRPr="007D6F35" w14:paraId="370C570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59BCDC7E" w14:textId="13334E94" w:rsidR="00A7727F" w:rsidRPr="007D6F35" w:rsidRDefault="00A7727F" w:rsidP="005C7CDA">
            <w:pPr>
              <w:ind w:left="0" w:right="0"/>
              <w:rPr>
                <w:sz w:val="20"/>
                <w:szCs w:val="20"/>
              </w:rPr>
            </w:pPr>
            <w:r w:rsidRPr="007D6F35">
              <w:rPr>
                <w:sz w:val="20"/>
                <w:szCs w:val="20"/>
              </w:rPr>
              <w:t>2 prior relapses</w:t>
            </w:r>
          </w:p>
        </w:tc>
        <w:tc>
          <w:tcPr>
            <w:tcW w:w="833" w:type="pct"/>
          </w:tcPr>
          <w:p w14:paraId="3D63A0B8"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22 (11.6%)</w:t>
            </w:r>
          </w:p>
        </w:tc>
        <w:tc>
          <w:tcPr>
            <w:tcW w:w="865" w:type="pct"/>
          </w:tcPr>
          <w:p w14:paraId="32198F9B"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20 (11.6%)</w:t>
            </w:r>
          </w:p>
        </w:tc>
        <w:tc>
          <w:tcPr>
            <w:tcW w:w="828" w:type="pct"/>
          </w:tcPr>
          <w:p w14:paraId="19A70234"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20 (12.0%)</w:t>
            </w:r>
          </w:p>
        </w:tc>
      </w:tr>
      <w:tr w:rsidR="004B6394" w:rsidRPr="007D6F35" w14:paraId="02E2E48C"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6F72EAEC" w14:textId="325A41CF" w:rsidR="00A7727F" w:rsidRPr="007D6F35" w:rsidRDefault="00423768" w:rsidP="005C7CDA">
            <w:pPr>
              <w:ind w:left="0" w:right="0"/>
              <w:rPr>
                <w:sz w:val="20"/>
                <w:szCs w:val="20"/>
              </w:rPr>
            </w:pPr>
            <w:r w:rsidRPr="007D6F35">
              <w:rPr>
                <w:sz w:val="20"/>
                <w:szCs w:val="20"/>
              </w:rPr>
              <w:t>&gt;</w:t>
            </w:r>
            <w:r w:rsidR="00375CAE" w:rsidRPr="007D6F35">
              <w:rPr>
                <w:sz w:val="20"/>
                <w:szCs w:val="20"/>
              </w:rPr>
              <w:t xml:space="preserve"> </w:t>
            </w:r>
            <w:r w:rsidR="00A7727F" w:rsidRPr="007D6F35">
              <w:rPr>
                <w:sz w:val="20"/>
                <w:szCs w:val="20"/>
              </w:rPr>
              <w:t>2 prior relapses</w:t>
            </w:r>
          </w:p>
        </w:tc>
        <w:tc>
          <w:tcPr>
            <w:tcW w:w="833" w:type="pct"/>
          </w:tcPr>
          <w:p w14:paraId="26AB61F6"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 (1.6%)</w:t>
            </w:r>
          </w:p>
        </w:tc>
        <w:tc>
          <w:tcPr>
            <w:tcW w:w="865" w:type="pct"/>
          </w:tcPr>
          <w:p w14:paraId="17D9E88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 (1.7%)</w:t>
            </w:r>
          </w:p>
        </w:tc>
        <w:tc>
          <w:tcPr>
            <w:tcW w:w="828" w:type="pct"/>
          </w:tcPr>
          <w:p w14:paraId="1DB9FB1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 (1.2%)</w:t>
            </w:r>
          </w:p>
        </w:tc>
      </w:tr>
      <w:tr w:rsidR="007D6F35" w:rsidRPr="007D6F35" w14:paraId="29912D2F" w14:textId="77777777" w:rsidTr="007D6F35">
        <w:tc>
          <w:tcPr>
            <w:cnfStyle w:val="001000000000" w:firstRow="0" w:lastRow="0" w:firstColumn="1" w:lastColumn="0" w:oddVBand="0" w:evenVBand="0" w:oddHBand="0" w:evenHBand="0" w:firstRowFirstColumn="0" w:firstRowLastColumn="0" w:lastRowFirstColumn="0" w:lastRowLastColumn="0"/>
            <w:tcW w:w="5000" w:type="pct"/>
            <w:gridSpan w:val="4"/>
          </w:tcPr>
          <w:p w14:paraId="34DD51A0" w14:textId="7551B360" w:rsidR="007D6F35" w:rsidRPr="007D6F35" w:rsidRDefault="007D6F35" w:rsidP="005C7CDA">
            <w:pPr>
              <w:ind w:left="0" w:right="0"/>
              <w:rPr>
                <w:sz w:val="20"/>
                <w:szCs w:val="20"/>
              </w:rPr>
            </w:pPr>
            <w:r w:rsidRPr="007D6F35">
              <w:rPr>
                <w:b/>
                <w:sz w:val="20"/>
                <w:szCs w:val="20"/>
              </w:rPr>
              <w:t>Number of prior salvage therapies</w:t>
            </w:r>
          </w:p>
        </w:tc>
      </w:tr>
      <w:tr w:rsidR="004B6394" w:rsidRPr="007D6F35" w14:paraId="39F77E5F"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417F378B" w14:textId="4B9B64F6" w:rsidR="00A7727F" w:rsidRPr="007D6F35" w:rsidRDefault="00A7727F" w:rsidP="005C7CDA">
            <w:pPr>
              <w:ind w:left="0" w:right="0"/>
              <w:rPr>
                <w:sz w:val="20"/>
                <w:szCs w:val="20"/>
              </w:rPr>
            </w:pPr>
            <w:r w:rsidRPr="007D6F35">
              <w:rPr>
                <w:sz w:val="20"/>
                <w:szCs w:val="20"/>
              </w:rPr>
              <w:t>No prior salvage therapy</w:t>
            </w:r>
          </w:p>
        </w:tc>
        <w:tc>
          <w:tcPr>
            <w:tcW w:w="833" w:type="pct"/>
          </w:tcPr>
          <w:p w14:paraId="4882B6A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38 (20.1%)</w:t>
            </w:r>
          </w:p>
        </w:tc>
        <w:tc>
          <w:tcPr>
            <w:tcW w:w="865" w:type="pct"/>
          </w:tcPr>
          <w:p w14:paraId="59A6C2E5"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37 (21.5%)</w:t>
            </w:r>
          </w:p>
        </w:tc>
        <w:tc>
          <w:tcPr>
            <w:tcW w:w="828" w:type="pct"/>
          </w:tcPr>
          <w:p w14:paraId="6D8F9FEF"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32 (19.2%)</w:t>
            </w:r>
          </w:p>
        </w:tc>
      </w:tr>
      <w:tr w:rsidR="004B6394" w:rsidRPr="007D6F35" w14:paraId="0DD74A44"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66B7E7BD" w14:textId="237D0524" w:rsidR="00A7727F" w:rsidRPr="007D6F35" w:rsidRDefault="00A7727F" w:rsidP="005C7CDA">
            <w:pPr>
              <w:ind w:left="0" w:right="0"/>
              <w:rPr>
                <w:sz w:val="20"/>
                <w:szCs w:val="20"/>
              </w:rPr>
            </w:pPr>
            <w:r w:rsidRPr="007D6F35">
              <w:rPr>
                <w:sz w:val="20"/>
                <w:szCs w:val="20"/>
              </w:rPr>
              <w:t>1 prior salvage therapy</w:t>
            </w:r>
          </w:p>
        </w:tc>
        <w:tc>
          <w:tcPr>
            <w:tcW w:w="833" w:type="pct"/>
          </w:tcPr>
          <w:p w14:paraId="384226B6"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77 (40.7%)</w:t>
            </w:r>
          </w:p>
        </w:tc>
        <w:tc>
          <w:tcPr>
            <w:tcW w:w="865" w:type="pct"/>
          </w:tcPr>
          <w:p w14:paraId="5CD3E0EB"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70 (40.7%)</w:t>
            </w:r>
          </w:p>
        </w:tc>
        <w:tc>
          <w:tcPr>
            <w:tcW w:w="828" w:type="pct"/>
          </w:tcPr>
          <w:p w14:paraId="4768782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69 (41.3%)</w:t>
            </w:r>
          </w:p>
        </w:tc>
      </w:tr>
      <w:tr w:rsidR="004B6394" w:rsidRPr="007D6F35" w14:paraId="1099C4E3"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1748C61B" w14:textId="370515A6" w:rsidR="00A7727F" w:rsidRPr="007D6F35" w:rsidRDefault="00A7727F" w:rsidP="005C7CDA">
            <w:pPr>
              <w:ind w:left="0" w:right="0"/>
              <w:rPr>
                <w:sz w:val="20"/>
                <w:szCs w:val="20"/>
              </w:rPr>
            </w:pPr>
            <w:r w:rsidRPr="007D6F35">
              <w:rPr>
                <w:sz w:val="20"/>
                <w:szCs w:val="20"/>
              </w:rPr>
              <w:t>2 prior salvage therapies</w:t>
            </w:r>
          </w:p>
        </w:tc>
        <w:tc>
          <w:tcPr>
            <w:tcW w:w="833" w:type="pct"/>
          </w:tcPr>
          <w:p w14:paraId="5DE4C483"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42 (22.2%)</w:t>
            </w:r>
          </w:p>
        </w:tc>
        <w:tc>
          <w:tcPr>
            <w:tcW w:w="865" w:type="pct"/>
          </w:tcPr>
          <w:p w14:paraId="2C53B31A"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38 (22.1%)</w:t>
            </w:r>
          </w:p>
        </w:tc>
        <w:tc>
          <w:tcPr>
            <w:tcW w:w="828" w:type="pct"/>
          </w:tcPr>
          <w:p w14:paraId="220ABA4C"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40 (24.0%)</w:t>
            </w:r>
          </w:p>
        </w:tc>
      </w:tr>
      <w:tr w:rsidR="004B6394" w:rsidRPr="007D6F35" w14:paraId="02F09CAA" w14:textId="77777777" w:rsidTr="004B6394">
        <w:tc>
          <w:tcPr>
            <w:cnfStyle w:val="001000000000" w:firstRow="0" w:lastRow="0" w:firstColumn="1" w:lastColumn="0" w:oddVBand="0" w:evenVBand="0" w:oddHBand="0" w:evenHBand="0" w:firstRowFirstColumn="0" w:firstRowLastColumn="0" w:lastRowFirstColumn="0" w:lastRowLastColumn="0"/>
            <w:tcW w:w="2474" w:type="pct"/>
          </w:tcPr>
          <w:p w14:paraId="7622F2AE" w14:textId="591C63E9" w:rsidR="00A7727F" w:rsidRPr="007D6F35" w:rsidRDefault="00423768" w:rsidP="005C7CDA">
            <w:pPr>
              <w:ind w:left="0" w:right="0"/>
              <w:rPr>
                <w:sz w:val="20"/>
                <w:szCs w:val="20"/>
              </w:rPr>
            </w:pPr>
            <w:r w:rsidRPr="007D6F35">
              <w:rPr>
                <w:sz w:val="20"/>
                <w:szCs w:val="20"/>
              </w:rPr>
              <w:t>&gt;</w:t>
            </w:r>
            <w:r w:rsidR="00375CAE" w:rsidRPr="007D6F35">
              <w:rPr>
                <w:sz w:val="20"/>
                <w:szCs w:val="20"/>
              </w:rPr>
              <w:t xml:space="preserve"> </w:t>
            </w:r>
            <w:r w:rsidR="00A7727F" w:rsidRPr="007D6F35">
              <w:rPr>
                <w:sz w:val="20"/>
                <w:szCs w:val="20"/>
              </w:rPr>
              <w:t>2 prior salvage therapies</w:t>
            </w:r>
          </w:p>
        </w:tc>
        <w:tc>
          <w:tcPr>
            <w:tcW w:w="833" w:type="pct"/>
          </w:tcPr>
          <w:p w14:paraId="35C50296"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32 (16.9%)</w:t>
            </w:r>
          </w:p>
        </w:tc>
        <w:tc>
          <w:tcPr>
            <w:tcW w:w="865" w:type="pct"/>
          </w:tcPr>
          <w:p w14:paraId="6200F441"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27 (15.7%)</w:t>
            </w:r>
          </w:p>
        </w:tc>
        <w:tc>
          <w:tcPr>
            <w:tcW w:w="828" w:type="pct"/>
          </w:tcPr>
          <w:p w14:paraId="59A7518E" w14:textId="77777777" w:rsidR="00A7727F" w:rsidRPr="007D6F35" w:rsidRDefault="00A7727F" w:rsidP="005C7CD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D6F35">
              <w:rPr>
                <w:sz w:val="20"/>
                <w:szCs w:val="20"/>
              </w:rPr>
              <w:t>26 (15.6%)</w:t>
            </w:r>
          </w:p>
        </w:tc>
      </w:tr>
    </w:tbl>
    <w:p w14:paraId="7A7070AE" w14:textId="2FA6A14B" w:rsidR="00A7727F" w:rsidRPr="00A7727F" w:rsidRDefault="00A7727F" w:rsidP="005C7CDA">
      <w:pPr>
        <w:pStyle w:val="TableDescription"/>
        <w:rPr>
          <w:lang w:eastAsia="ja-JP"/>
        </w:rPr>
      </w:pPr>
      <w:r w:rsidRPr="00A7727F">
        <w:rPr>
          <w:lang w:eastAsia="ja-JP"/>
        </w:rPr>
        <w:t>EFS</w:t>
      </w:r>
      <w:r w:rsidR="00375CAE">
        <w:rPr>
          <w:lang w:eastAsia="ja-JP"/>
        </w:rPr>
        <w:t xml:space="preserve"> </w:t>
      </w:r>
      <w:r w:rsidR="00423768">
        <w:rPr>
          <w:lang w:eastAsia="ja-JP"/>
        </w:rPr>
        <w:t>=</w:t>
      </w:r>
      <w:r w:rsidR="00375CAE">
        <w:rPr>
          <w:lang w:eastAsia="ja-JP"/>
        </w:rPr>
        <w:t xml:space="preserve"> </w:t>
      </w:r>
      <w:r w:rsidRPr="00A7727F">
        <w:rPr>
          <w:lang w:eastAsia="ja-JP"/>
        </w:rPr>
        <w:t>Efficacy Set; FAS</w:t>
      </w:r>
      <w:r w:rsidR="00375CAE">
        <w:rPr>
          <w:lang w:eastAsia="ja-JP"/>
        </w:rPr>
        <w:t xml:space="preserve"> </w:t>
      </w:r>
      <w:r w:rsidR="00423768">
        <w:rPr>
          <w:lang w:eastAsia="ja-JP"/>
        </w:rPr>
        <w:t>=</w:t>
      </w:r>
      <w:r w:rsidR="00375CAE">
        <w:rPr>
          <w:lang w:eastAsia="ja-JP"/>
        </w:rPr>
        <w:t xml:space="preserve"> </w:t>
      </w:r>
      <w:r w:rsidRPr="00A7727F">
        <w:rPr>
          <w:lang w:eastAsia="ja-JP"/>
        </w:rPr>
        <w:t>Full Analysis Set; HSCT</w:t>
      </w:r>
      <w:r w:rsidR="00375CAE">
        <w:rPr>
          <w:lang w:eastAsia="ja-JP"/>
        </w:rPr>
        <w:t xml:space="preserve"> </w:t>
      </w:r>
      <w:r w:rsidR="00423768">
        <w:rPr>
          <w:lang w:eastAsia="ja-JP"/>
        </w:rPr>
        <w:t>=</w:t>
      </w:r>
      <w:r w:rsidR="00375CAE">
        <w:rPr>
          <w:lang w:eastAsia="ja-JP"/>
        </w:rPr>
        <w:t xml:space="preserve"> </w:t>
      </w:r>
      <w:r w:rsidRPr="00A7727F">
        <w:rPr>
          <w:lang w:eastAsia="ja-JP"/>
        </w:rPr>
        <w:t>hematopoietic stem cell transplantation; PAS</w:t>
      </w:r>
      <w:r w:rsidR="00375CAE">
        <w:rPr>
          <w:lang w:eastAsia="ja-JP"/>
        </w:rPr>
        <w:t xml:space="preserve"> </w:t>
      </w:r>
      <w:r w:rsidR="00423768">
        <w:rPr>
          <w:lang w:eastAsia="ja-JP"/>
        </w:rPr>
        <w:t>=</w:t>
      </w:r>
      <w:r w:rsidR="00375CAE">
        <w:rPr>
          <w:lang w:eastAsia="ja-JP"/>
        </w:rPr>
        <w:t xml:space="preserve"> </w:t>
      </w:r>
      <w:r w:rsidRPr="00A7727F">
        <w:rPr>
          <w:lang w:eastAsia="ja-JP"/>
        </w:rPr>
        <w:t>Primary Analysis Set; PPS</w:t>
      </w:r>
      <w:r w:rsidR="00375CAE">
        <w:rPr>
          <w:lang w:eastAsia="ja-JP"/>
        </w:rPr>
        <w:t xml:space="preserve"> </w:t>
      </w:r>
      <w:r w:rsidR="00423768">
        <w:rPr>
          <w:lang w:eastAsia="ja-JP"/>
        </w:rPr>
        <w:t>=</w:t>
      </w:r>
      <w:r w:rsidR="00375CAE">
        <w:rPr>
          <w:lang w:eastAsia="ja-JP"/>
        </w:rPr>
        <w:t xml:space="preserve"> </w:t>
      </w:r>
      <w:r w:rsidRPr="00A7727F">
        <w:rPr>
          <w:lang w:eastAsia="ja-JP"/>
        </w:rPr>
        <w:t>Per Protocol Set</w:t>
      </w:r>
      <w:r w:rsidR="005C7CDA">
        <w:rPr>
          <w:lang w:eastAsia="ja-JP"/>
        </w:rPr>
        <w:t xml:space="preserve">; a) </w:t>
      </w:r>
      <w:r w:rsidRPr="00A7727F">
        <w:rPr>
          <w:lang w:eastAsia="ja-JP"/>
        </w:rPr>
        <w:t>Race was not permitted to be collected in France</w:t>
      </w:r>
      <w:r w:rsidR="005C7CDA">
        <w:rPr>
          <w:lang w:eastAsia="ja-JP"/>
        </w:rPr>
        <w:t>.</w:t>
      </w:r>
    </w:p>
    <w:p w14:paraId="469FC942" w14:textId="77777777" w:rsidR="00A7727F" w:rsidRPr="00A7727F" w:rsidRDefault="00A7727F" w:rsidP="004B6394">
      <w:pPr>
        <w:pStyle w:val="Heading5"/>
        <w:rPr>
          <w:lang w:eastAsia="ja-JP"/>
        </w:rPr>
      </w:pPr>
      <w:r w:rsidRPr="00A7727F">
        <w:rPr>
          <w:lang w:eastAsia="ja-JP"/>
        </w:rPr>
        <w:t>Results for the primary efficacy outcome</w:t>
      </w:r>
    </w:p>
    <w:p w14:paraId="7AF8C12A" w14:textId="26903E7A" w:rsidR="00A7727F" w:rsidRPr="00A7727F" w:rsidRDefault="00A7727F" w:rsidP="00A7727F">
      <w:pPr>
        <w:rPr>
          <w:lang w:eastAsia="ja-JP"/>
        </w:rPr>
      </w:pPr>
      <w:r w:rsidRPr="00A7727F">
        <w:rPr>
          <w:lang w:eastAsia="ja-JP"/>
        </w:rPr>
        <w:t xml:space="preserve">The primary efficacy endpoint of this study was CR/CRh* rate within the first 2 cycles of treatment with blinatumomab. The primary analysis was based on the PAS (subjects from the first 3 stages of the study who received any infusion of blinatumomab). For this iteration of the CSR, the FAS was identical to the PAS. Efficacy analyses based on the EFS and PPS were performed as sensitivity analyses. The overview of the best response rates for the first 2 cycles of treatment and the core study are </w:t>
      </w:r>
      <w:r w:rsidRPr="00BF465B">
        <w:rPr>
          <w:lang w:eastAsia="ja-JP"/>
        </w:rPr>
        <w:t xml:space="preserve">presented </w:t>
      </w:r>
      <w:r w:rsidR="00BF465B" w:rsidRPr="00BF465B">
        <w:rPr>
          <w:lang w:eastAsia="ja-JP"/>
        </w:rPr>
        <w:t>in Table 22, below</w:t>
      </w:r>
      <w:r w:rsidRPr="00BF465B">
        <w:rPr>
          <w:lang w:eastAsia="ja-JP"/>
        </w:rPr>
        <w:t>.</w:t>
      </w:r>
    </w:p>
    <w:p w14:paraId="34176072" w14:textId="7D4C921A" w:rsidR="00A7727F" w:rsidRPr="00A7727F" w:rsidRDefault="00A7727F" w:rsidP="00BF465B">
      <w:pPr>
        <w:pStyle w:val="Tabletitle"/>
        <w:rPr>
          <w:lang w:eastAsia="ja-JP"/>
        </w:rPr>
      </w:pPr>
      <w:bookmarkStart w:id="172" w:name="_Toc292015705"/>
      <w:r w:rsidRPr="00A7727F">
        <w:rPr>
          <w:lang w:eastAsia="ja-JP"/>
        </w:rPr>
        <w:t xml:space="preserve">Table </w:t>
      </w:r>
      <w:r w:rsidR="007D6F35">
        <w:rPr>
          <w:lang w:eastAsia="ja-JP"/>
        </w:rPr>
        <w:t>22:</w:t>
      </w:r>
      <w:r w:rsidR="004B6394">
        <w:rPr>
          <w:lang w:eastAsia="ja-JP"/>
        </w:rPr>
        <w:t xml:space="preserve"> Overview of best response r</w:t>
      </w:r>
      <w:r w:rsidRPr="00A7727F">
        <w:rPr>
          <w:lang w:eastAsia="ja-JP"/>
        </w:rPr>
        <w:t xml:space="preserve">ates </w:t>
      </w:r>
      <w:r w:rsidR="004B6394" w:rsidRPr="00A7727F">
        <w:rPr>
          <w:lang w:eastAsia="ja-JP"/>
        </w:rPr>
        <w:t>during the first 2 cycles of treatment and the core study</w:t>
      </w:r>
      <w:r w:rsidRPr="00A7727F">
        <w:rPr>
          <w:lang w:eastAsia="ja-JP"/>
        </w:rPr>
        <w:t xml:space="preserve"> (Primary Analysis Set)</w:t>
      </w:r>
      <w:bookmarkEnd w:id="172"/>
    </w:p>
    <w:tbl>
      <w:tblPr>
        <w:tblStyle w:val="TableTGAblue"/>
        <w:tblW w:w="4806" w:type="pct"/>
        <w:tblLook w:val="04A0" w:firstRow="1" w:lastRow="0" w:firstColumn="1" w:lastColumn="0" w:noHBand="0" w:noVBand="1"/>
        <w:tblDescription w:val="Table 22: Overview of best response rates during the first 2 cycles of treatment and the core study (Primary Analysis Set)"/>
      </w:tblPr>
      <w:tblGrid>
        <w:gridCol w:w="2007"/>
        <w:gridCol w:w="857"/>
        <w:gridCol w:w="1033"/>
        <w:gridCol w:w="1978"/>
        <w:gridCol w:w="774"/>
        <w:gridCol w:w="771"/>
        <w:gridCol w:w="1463"/>
      </w:tblGrid>
      <w:tr w:rsidR="004B6394" w:rsidRPr="00A7727F" w14:paraId="6DE58014" w14:textId="77777777" w:rsidTr="007B270B">
        <w:trPr>
          <w:cnfStyle w:val="100000000000" w:firstRow="1" w:lastRow="0" w:firstColumn="0" w:lastColumn="0" w:oddVBand="0" w:evenVBand="0" w:oddHBand="0" w:evenHBand="0" w:firstRowFirstColumn="0" w:firstRowLastColumn="0" w:lastRowFirstColumn="0" w:lastRowLastColumn="0"/>
          <w:trHeight w:val="749"/>
          <w:tblHeader/>
        </w:trPr>
        <w:tc>
          <w:tcPr>
            <w:cnfStyle w:val="001000000000" w:firstRow="0" w:lastRow="0" w:firstColumn="1" w:lastColumn="0" w:oddVBand="0" w:evenVBand="0" w:oddHBand="0" w:evenHBand="0" w:firstRowFirstColumn="0" w:firstRowLastColumn="0" w:lastRowFirstColumn="0" w:lastRowLastColumn="0"/>
            <w:tcW w:w="1130" w:type="pct"/>
            <w:vMerge w:val="restart"/>
          </w:tcPr>
          <w:p w14:paraId="649AF05B" w14:textId="77777777" w:rsidR="00A7727F" w:rsidRPr="00A7727F" w:rsidRDefault="00A7727F" w:rsidP="004B6394">
            <w:pPr>
              <w:keepNext/>
              <w:ind w:left="0"/>
              <w:rPr>
                <w:lang w:eastAsia="ja-JP"/>
              </w:rPr>
            </w:pPr>
            <w:r w:rsidRPr="00A7727F">
              <w:rPr>
                <w:lang w:eastAsia="ja-JP"/>
              </w:rPr>
              <w:t>Response</w:t>
            </w:r>
          </w:p>
        </w:tc>
        <w:tc>
          <w:tcPr>
            <w:tcW w:w="2179" w:type="pct"/>
            <w:gridSpan w:val="3"/>
          </w:tcPr>
          <w:p w14:paraId="57C12F0A" w14:textId="4E3DA793" w:rsidR="00A7727F" w:rsidRPr="00A7727F" w:rsidRDefault="00A7727F" w:rsidP="004B6394">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First 2 Cycles of Treatment</w:t>
            </w:r>
            <w:r w:rsidR="004B6394">
              <w:rPr>
                <w:lang w:eastAsia="ja-JP"/>
              </w:rPr>
              <w:t xml:space="preserve"> </w:t>
            </w:r>
            <w:r w:rsidRPr="00A7727F">
              <w:rPr>
                <w:lang w:eastAsia="ja-JP"/>
              </w:rPr>
              <w:t>(N</w:t>
            </w:r>
            <w:r w:rsidR="00375CAE">
              <w:rPr>
                <w:lang w:eastAsia="ja-JP"/>
              </w:rPr>
              <w:t xml:space="preserve"> </w:t>
            </w:r>
            <w:r w:rsidR="00423768">
              <w:rPr>
                <w:lang w:eastAsia="ja-JP"/>
              </w:rPr>
              <w:t>=</w:t>
            </w:r>
            <w:r w:rsidR="00375CAE">
              <w:rPr>
                <w:lang w:eastAsia="ja-JP"/>
              </w:rPr>
              <w:t xml:space="preserve"> </w:t>
            </w:r>
            <w:r w:rsidRPr="00A7727F">
              <w:rPr>
                <w:lang w:eastAsia="ja-JP"/>
              </w:rPr>
              <w:t>189)</w:t>
            </w:r>
          </w:p>
        </w:tc>
        <w:tc>
          <w:tcPr>
            <w:tcW w:w="1691" w:type="pct"/>
            <w:gridSpan w:val="3"/>
          </w:tcPr>
          <w:p w14:paraId="27CC910E" w14:textId="5BE9C885" w:rsidR="00A7727F" w:rsidRPr="00A7727F" w:rsidRDefault="00A7727F" w:rsidP="004B6394">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Core Study</w:t>
            </w:r>
            <w:r w:rsidR="004B6394">
              <w:rPr>
                <w:lang w:eastAsia="ja-JP"/>
              </w:rPr>
              <w:t xml:space="preserve"> </w:t>
            </w:r>
            <w:r w:rsidRPr="00A7727F">
              <w:rPr>
                <w:lang w:eastAsia="ja-JP"/>
              </w:rPr>
              <w:t>(N</w:t>
            </w:r>
            <w:r w:rsidR="00375CAE">
              <w:rPr>
                <w:lang w:eastAsia="ja-JP"/>
              </w:rPr>
              <w:t xml:space="preserve"> </w:t>
            </w:r>
            <w:r w:rsidR="00423768">
              <w:rPr>
                <w:lang w:eastAsia="ja-JP"/>
              </w:rPr>
              <w:t>=</w:t>
            </w:r>
            <w:r w:rsidR="00375CAE">
              <w:rPr>
                <w:lang w:eastAsia="ja-JP"/>
              </w:rPr>
              <w:t xml:space="preserve"> </w:t>
            </w:r>
            <w:r w:rsidRPr="00A7727F">
              <w:rPr>
                <w:lang w:eastAsia="ja-JP"/>
              </w:rPr>
              <w:t>189)</w:t>
            </w:r>
          </w:p>
        </w:tc>
      </w:tr>
      <w:tr w:rsidR="004B6394" w:rsidRPr="00A7727F" w14:paraId="1FA7706D" w14:textId="77777777" w:rsidTr="007B270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1130" w:type="pct"/>
            <w:vMerge/>
          </w:tcPr>
          <w:p w14:paraId="186F6FBC" w14:textId="77777777" w:rsidR="00A7727F" w:rsidRPr="00A7727F" w:rsidRDefault="00A7727F" w:rsidP="004B6394">
            <w:pPr>
              <w:keepNext/>
              <w:rPr>
                <w:lang w:eastAsia="ja-JP"/>
              </w:rPr>
            </w:pPr>
          </w:p>
        </w:tc>
        <w:tc>
          <w:tcPr>
            <w:tcW w:w="483" w:type="pct"/>
          </w:tcPr>
          <w:p w14:paraId="061E4B81" w14:textId="4ECF05EB" w:rsidR="00A7727F" w:rsidRPr="00A7727F" w:rsidRDefault="004B6394" w:rsidP="004B6394">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N</w:t>
            </w:r>
            <w:r>
              <w:rPr>
                <w:lang w:eastAsia="ja-JP"/>
              </w:rPr>
              <w:t xml:space="preserve"> =</w:t>
            </w:r>
          </w:p>
        </w:tc>
        <w:tc>
          <w:tcPr>
            <w:tcW w:w="582" w:type="pct"/>
          </w:tcPr>
          <w:p w14:paraId="53433CEC" w14:textId="77777777" w:rsidR="00A7727F" w:rsidRPr="00A7727F" w:rsidRDefault="00A7727F" w:rsidP="004B639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w:t>
            </w:r>
          </w:p>
        </w:tc>
        <w:tc>
          <w:tcPr>
            <w:tcW w:w="1114" w:type="pct"/>
          </w:tcPr>
          <w:p w14:paraId="55851841" w14:textId="77777777" w:rsidR="00A7727F" w:rsidRPr="00A7727F" w:rsidRDefault="00A7727F" w:rsidP="004B639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95% CI</w:t>
            </w:r>
          </w:p>
        </w:tc>
        <w:tc>
          <w:tcPr>
            <w:tcW w:w="436" w:type="pct"/>
          </w:tcPr>
          <w:p w14:paraId="6E004C61" w14:textId="763B5F51" w:rsidR="00A7727F" w:rsidRPr="00A7727F" w:rsidRDefault="004B6394" w:rsidP="004B6394">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N</w:t>
            </w:r>
            <w:r>
              <w:rPr>
                <w:lang w:eastAsia="ja-JP"/>
              </w:rPr>
              <w:t xml:space="preserve"> =</w:t>
            </w:r>
          </w:p>
        </w:tc>
        <w:tc>
          <w:tcPr>
            <w:tcW w:w="431" w:type="pct"/>
          </w:tcPr>
          <w:p w14:paraId="1C7F0C1E" w14:textId="77777777" w:rsidR="00A7727F" w:rsidRPr="00A7727F" w:rsidRDefault="00A7727F" w:rsidP="004B639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w:t>
            </w:r>
          </w:p>
        </w:tc>
        <w:tc>
          <w:tcPr>
            <w:tcW w:w="824" w:type="pct"/>
          </w:tcPr>
          <w:p w14:paraId="51009D82" w14:textId="77777777" w:rsidR="00A7727F" w:rsidRPr="00A7727F" w:rsidRDefault="00A7727F" w:rsidP="004B6394">
            <w:pPr>
              <w:keepNext/>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95% CI</w:t>
            </w:r>
          </w:p>
        </w:tc>
      </w:tr>
      <w:tr w:rsidR="004B6394" w:rsidRPr="00A7727F" w14:paraId="3248B779" w14:textId="77777777" w:rsidTr="007B270B">
        <w:trPr>
          <w:trHeight w:val="714"/>
        </w:trPr>
        <w:tc>
          <w:tcPr>
            <w:cnfStyle w:val="001000000000" w:firstRow="0" w:lastRow="0" w:firstColumn="1" w:lastColumn="0" w:oddVBand="0" w:evenVBand="0" w:oddHBand="0" w:evenHBand="0" w:firstRowFirstColumn="0" w:firstRowLastColumn="0" w:lastRowFirstColumn="0" w:lastRowLastColumn="0"/>
            <w:tcW w:w="1130" w:type="pct"/>
          </w:tcPr>
          <w:p w14:paraId="7590C429" w14:textId="387B60BA" w:rsidR="00A7727F" w:rsidRPr="004B6394" w:rsidRDefault="00A7727F" w:rsidP="004B6394">
            <w:pPr>
              <w:keepNext/>
              <w:ind w:left="0" w:right="0"/>
              <w:rPr>
                <w:sz w:val="20"/>
                <w:lang w:eastAsia="ja-JP"/>
              </w:rPr>
            </w:pPr>
            <w:r w:rsidRPr="004B6394">
              <w:rPr>
                <w:sz w:val="20"/>
                <w:lang w:eastAsia="ja-JP"/>
              </w:rPr>
              <w:t>CR/CRh</w:t>
            </w:r>
            <w:r w:rsidR="004B6394" w:rsidRPr="004B6394">
              <w:rPr>
                <w:sz w:val="20"/>
                <w:lang w:eastAsia="ja-JP"/>
              </w:rPr>
              <w:t>*</w:t>
            </w:r>
          </w:p>
        </w:tc>
        <w:tc>
          <w:tcPr>
            <w:tcW w:w="483" w:type="pct"/>
          </w:tcPr>
          <w:p w14:paraId="4DC24C6F"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81</w:t>
            </w:r>
          </w:p>
        </w:tc>
        <w:tc>
          <w:tcPr>
            <w:tcW w:w="582" w:type="pct"/>
          </w:tcPr>
          <w:p w14:paraId="31FB1BC3"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42.9%</w:t>
            </w:r>
          </w:p>
        </w:tc>
        <w:tc>
          <w:tcPr>
            <w:tcW w:w="1114" w:type="pct"/>
          </w:tcPr>
          <w:p w14:paraId="0964CEBA"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35.7% to 50.2%</w:t>
            </w:r>
          </w:p>
        </w:tc>
        <w:tc>
          <w:tcPr>
            <w:tcW w:w="436" w:type="pct"/>
          </w:tcPr>
          <w:p w14:paraId="7B5B6299"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82</w:t>
            </w:r>
            <w:r w:rsidRPr="004B6394">
              <w:rPr>
                <w:sz w:val="20"/>
                <w:vertAlign w:val="superscript"/>
                <w:lang w:eastAsia="ja-JP"/>
              </w:rPr>
              <w:t>a</w:t>
            </w:r>
          </w:p>
        </w:tc>
        <w:tc>
          <w:tcPr>
            <w:tcW w:w="431" w:type="pct"/>
          </w:tcPr>
          <w:p w14:paraId="7BE28E26"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43.4%</w:t>
            </w:r>
          </w:p>
        </w:tc>
        <w:tc>
          <w:tcPr>
            <w:tcW w:w="824" w:type="pct"/>
          </w:tcPr>
          <w:p w14:paraId="3D7450B3"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36.2% to 50.8%</w:t>
            </w:r>
          </w:p>
        </w:tc>
      </w:tr>
      <w:tr w:rsidR="004B6394" w:rsidRPr="00A7727F" w14:paraId="7ABF0E60" w14:textId="77777777" w:rsidTr="007B270B">
        <w:trPr>
          <w:trHeight w:val="726"/>
        </w:trPr>
        <w:tc>
          <w:tcPr>
            <w:cnfStyle w:val="001000000000" w:firstRow="0" w:lastRow="0" w:firstColumn="1" w:lastColumn="0" w:oddVBand="0" w:evenVBand="0" w:oddHBand="0" w:evenHBand="0" w:firstRowFirstColumn="0" w:firstRowLastColumn="0" w:lastRowFirstColumn="0" w:lastRowLastColumn="0"/>
            <w:tcW w:w="1130" w:type="pct"/>
          </w:tcPr>
          <w:p w14:paraId="2AB36BA2" w14:textId="0DAE3813" w:rsidR="00A7727F" w:rsidRPr="004B6394" w:rsidRDefault="00A7727F" w:rsidP="004B6394">
            <w:pPr>
              <w:keepNext/>
              <w:ind w:left="0" w:right="0"/>
              <w:rPr>
                <w:sz w:val="20"/>
                <w:lang w:eastAsia="ja-JP"/>
              </w:rPr>
            </w:pPr>
            <w:r w:rsidRPr="004B6394">
              <w:rPr>
                <w:sz w:val="20"/>
                <w:lang w:eastAsia="ja-JP"/>
              </w:rPr>
              <w:t>CR</w:t>
            </w:r>
          </w:p>
        </w:tc>
        <w:tc>
          <w:tcPr>
            <w:tcW w:w="483" w:type="pct"/>
          </w:tcPr>
          <w:p w14:paraId="4034F50D"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63</w:t>
            </w:r>
          </w:p>
        </w:tc>
        <w:tc>
          <w:tcPr>
            <w:tcW w:w="582" w:type="pct"/>
          </w:tcPr>
          <w:p w14:paraId="4AA9CD56"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33.3%</w:t>
            </w:r>
          </w:p>
        </w:tc>
        <w:tc>
          <w:tcPr>
            <w:tcW w:w="1114" w:type="pct"/>
          </w:tcPr>
          <w:p w14:paraId="6F373F5F"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26.7% to 40.5</w:t>
            </w:r>
          </w:p>
        </w:tc>
        <w:tc>
          <w:tcPr>
            <w:tcW w:w="436" w:type="pct"/>
          </w:tcPr>
          <w:p w14:paraId="35870544"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67</w:t>
            </w:r>
          </w:p>
        </w:tc>
        <w:tc>
          <w:tcPr>
            <w:tcW w:w="431" w:type="pct"/>
          </w:tcPr>
          <w:p w14:paraId="17E1CEF5"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35.4%</w:t>
            </w:r>
          </w:p>
        </w:tc>
        <w:tc>
          <w:tcPr>
            <w:tcW w:w="824" w:type="pct"/>
          </w:tcPr>
          <w:p w14:paraId="4CCD4AE5"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28.6% to 42.7%</w:t>
            </w:r>
          </w:p>
        </w:tc>
      </w:tr>
      <w:tr w:rsidR="004B6394" w:rsidRPr="00A7727F" w14:paraId="0980DED2" w14:textId="77777777" w:rsidTr="007B270B">
        <w:trPr>
          <w:trHeight w:val="178"/>
        </w:trPr>
        <w:tc>
          <w:tcPr>
            <w:cnfStyle w:val="001000000000" w:firstRow="0" w:lastRow="0" w:firstColumn="1" w:lastColumn="0" w:oddVBand="0" w:evenVBand="0" w:oddHBand="0" w:evenHBand="0" w:firstRowFirstColumn="0" w:firstRowLastColumn="0" w:lastRowFirstColumn="0" w:lastRowLastColumn="0"/>
            <w:tcW w:w="1130" w:type="pct"/>
          </w:tcPr>
          <w:p w14:paraId="0E977B41" w14:textId="18B5B35A" w:rsidR="00A7727F" w:rsidRPr="004B6394" w:rsidRDefault="00A7727F" w:rsidP="004B6394">
            <w:pPr>
              <w:keepNext/>
              <w:ind w:left="0" w:right="0"/>
              <w:rPr>
                <w:sz w:val="20"/>
                <w:lang w:eastAsia="ja-JP"/>
              </w:rPr>
            </w:pPr>
            <w:r w:rsidRPr="004B6394">
              <w:rPr>
                <w:sz w:val="20"/>
                <w:lang w:eastAsia="ja-JP"/>
              </w:rPr>
              <w:t>CRh*</w:t>
            </w:r>
          </w:p>
        </w:tc>
        <w:tc>
          <w:tcPr>
            <w:tcW w:w="483" w:type="pct"/>
          </w:tcPr>
          <w:p w14:paraId="6460222F"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18</w:t>
            </w:r>
          </w:p>
        </w:tc>
        <w:tc>
          <w:tcPr>
            <w:tcW w:w="582" w:type="pct"/>
          </w:tcPr>
          <w:p w14:paraId="570C6068"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9.5%</w:t>
            </w:r>
          </w:p>
        </w:tc>
        <w:tc>
          <w:tcPr>
            <w:tcW w:w="1114" w:type="pct"/>
          </w:tcPr>
          <w:p w14:paraId="10DB4EE0"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5.7% to 14.6%</w:t>
            </w:r>
          </w:p>
        </w:tc>
        <w:tc>
          <w:tcPr>
            <w:tcW w:w="436" w:type="pct"/>
          </w:tcPr>
          <w:p w14:paraId="486D99BA"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15</w:t>
            </w:r>
          </w:p>
        </w:tc>
        <w:tc>
          <w:tcPr>
            <w:tcW w:w="431" w:type="pct"/>
          </w:tcPr>
          <w:p w14:paraId="2FAF50CF"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7.9%</w:t>
            </w:r>
          </w:p>
        </w:tc>
        <w:tc>
          <w:tcPr>
            <w:tcW w:w="824" w:type="pct"/>
          </w:tcPr>
          <w:p w14:paraId="73BBDFAD"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4.5% to 12.8%</w:t>
            </w:r>
          </w:p>
        </w:tc>
      </w:tr>
      <w:tr w:rsidR="004B6394" w:rsidRPr="00A7727F" w14:paraId="00CD737B" w14:textId="77777777" w:rsidTr="007B270B">
        <w:trPr>
          <w:trHeight w:val="956"/>
        </w:trPr>
        <w:tc>
          <w:tcPr>
            <w:cnfStyle w:val="001000000000" w:firstRow="0" w:lastRow="0" w:firstColumn="1" w:lastColumn="0" w:oddVBand="0" w:evenVBand="0" w:oddHBand="0" w:evenHBand="0" w:firstRowFirstColumn="0" w:firstRowLastColumn="0" w:lastRowFirstColumn="0" w:lastRowLastColumn="0"/>
            <w:tcW w:w="1130" w:type="pct"/>
          </w:tcPr>
          <w:p w14:paraId="44BD5D19" w14:textId="26997A39" w:rsidR="00A7727F" w:rsidRPr="004B6394" w:rsidRDefault="00A7727F" w:rsidP="004B6394">
            <w:pPr>
              <w:keepNext/>
              <w:ind w:left="0" w:right="0"/>
              <w:rPr>
                <w:sz w:val="20"/>
                <w:lang w:eastAsia="ja-JP"/>
              </w:rPr>
            </w:pPr>
            <w:r w:rsidRPr="004B6394">
              <w:rPr>
                <w:sz w:val="20"/>
                <w:lang w:eastAsia="ja-JP"/>
              </w:rPr>
              <w:t>Blast free hypoplastic or</w:t>
            </w:r>
            <w:r w:rsidR="004B6394" w:rsidRPr="004B6394">
              <w:rPr>
                <w:sz w:val="20"/>
                <w:lang w:eastAsia="ja-JP"/>
              </w:rPr>
              <w:t xml:space="preserve"> </w:t>
            </w:r>
            <w:r w:rsidRPr="004B6394">
              <w:rPr>
                <w:sz w:val="20"/>
                <w:lang w:eastAsia="ja-JP"/>
              </w:rPr>
              <w:t>aplastic bone marrow</w:t>
            </w:r>
          </w:p>
        </w:tc>
        <w:tc>
          <w:tcPr>
            <w:tcW w:w="483" w:type="pct"/>
          </w:tcPr>
          <w:p w14:paraId="2FA96F1C"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17</w:t>
            </w:r>
          </w:p>
        </w:tc>
        <w:tc>
          <w:tcPr>
            <w:tcW w:w="582" w:type="pct"/>
          </w:tcPr>
          <w:p w14:paraId="121855A6"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9.0%</w:t>
            </w:r>
          </w:p>
        </w:tc>
        <w:tc>
          <w:tcPr>
            <w:tcW w:w="1114" w:type="pct"/>
          </w:tcPr>
          <w:p w14:paraId="4A9A77ED"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5.3% to 14.0%</w:t>
            </w:r>
          </w:p>
        </w:tc>
        <w:tc>
          <w:tcPr>
            <w:tcW w:w="436" w:type="pct"/>
          </w:tcPr>
          <w:p w14:paraId="22F7A8E6"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17</w:t>
            </w:r>
          </w:p>
        </w:tc>
        <w:tc>
          <w:tcPr>
            <w:tcW w:w="431" w:type="pct"/>
          </w:tcPr>
          <w:p w14:paraId="12174551"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9.0%</w:t>
            </w:r>
          </w:p>
        </w:tc>
        <w:tc>
          <w:tcPr>
            <w:tcW w:w="824" w:type="pct"/>
          </w:tcPr>
          <w:p w14:paraId="21CAEC06"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5.3% to 14.0%</w:t>
            </w:r>
          </w:p>
        </w:tc>
      </w:tr>
      <w:tr w:rsidR="004B6394" w:rsidRPr="00A7727F" w14:paraId="62AD0D31" w14:textId="77777777" w:rsidTr="007B270B">
        <w:trPr>
          <w:trHeight w:val="484"/>
        </w:trPr>
        <w:tc>
          <w:tcPr>
            <w:cnfStyle w:val="001000000000" w:firstRow="0" w:lastRow="0" w:firstColumn="1" w:lastColumn="0" w:oddVBand="0" w:evenVBand="0" w:oddHBand="0" w:evenHBand="0" w:firstRowFirstColumn="0" w:firstRowLastColumn="0" w:lastRowFirstColumn="0" w:lastRowLastColumn="0"/>
            <w:tcW w:w="1130" w:type="pct"/>
          </w:tcPr>
          <w:p w14:paraId="64D3EC3B" w14:textId="77777777" w:rsidR="00A7727F" w:rsidRPr="004B6394" w:rsidRDefault="00A7727F" w:rsidP="004B6394">
            <w:pPr>
              <w:keepNext/>
              <w:ind w:left="0" w:right="0"/>
              <w:rPr>
                <w:sz w:val="20"/>
                <w:lang w:eastAsia="ja-JP"/>
              </w:rPr>
            </w:pPr>
            <w:r w:rsidRPr="004B6394">
              <w:rPr>
                <w:sz w:val="20"/>
                <w:lang w:eastAsia="ja-JP"/>
              </w:rPr>
              <w:t>Partial remission</w:t>
            </w:r>
          </w:p>
        </w:tc>
        <w:tc>
          <w:tcPr>
            <w:tcW w:w="483" w:type="pct"/>
          </w:tcPr>
          <w:p w14:paraId="311A7644"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5</w:t>
            </w:r>
          </w:p>
        </w:tc>
        <w:tc>
          <w:tcPr>
            <w:tcW w:w="582" w:type="pct"/>
          </w:tcPr>
          <w:p w14:paraId="5F37E40B"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2.6%</w:t>
            </w:r>
          </w:p>
        </w:tc>
        <w:tc>
          <w:tcPr>
            <w:tcW w:w="1114" w:type="pct"/>
          </w:tcPr>
          <w:p w14:paraId="7E3475ED"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0.9% to 6.1%</w:t>
            </w:r>
          </w:p>
        </w:tc>
        <w:tc>
          <w:tcPr>
            <w:tcW w:w="436" w:type="pct"/>
          </w:tcPr>
          <w:p w14:paraId="3D9CEF92"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5</w:t>
            </w:r>
          </w:p>
        </w:tc>
        <w:tc>
          <w:tcPr>
            <w:tcW w:w="431" w:type="pct"/>
          </w:tcPr>
          <w:p w14:paraId="489F9239"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2.6%</w:t>
            </w:r>
          </w:p>
        </w:tc>
        <w:tc>
          <w:tcPr>
            <w:tcW w:w="824" w:type="pct"/>
          </w:tcPr>
          <w:p w14:paraId="2CB97AE9" w14:textId="77777777" w:rsidR="00A7727F" w:rsidRPr="004B6394" w:rsidRDefault="00A7727F" w:rsidP="004B6394">
            <w:pPr>
              <w:keepNext/>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4B6394">
              <w:rPr>
                <w:sz w:val="20"/>
                <w:lang w:eastAsia="ja-JP"/>
              </w:rPr>
              <w:t>0.9% to 6.1%</w:t>
            </w:r>
          </w:p>
        </w:tc>
      </w:tr>
    </w:tbl>
    <w:p w14:paraId="61BD75CA" w14:textId="78D204AB" w:rsidR="00A7727F" w:rsidRPr="00A7727F" w:rsidRDefault="00A7727F" w:rsidP="00851DE3">
      <w:pPr>
        <w:pStyle w:val="TableDescription"/>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 CR</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CRh*</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with only partial h</w:t>
      </w:r>
      <w:r w:rsidR="004B6394">
        <w:rPr>
          <w:lang w:eastAsia="ja-JP"/>
        </w:rPr>
        <w:t>a</w:t>
      </w:r>
      <w:r w:rsidRPr="00A7727F">
        <w:rPr>
          <w:lang w:eastAsia="ja-JP"/>
        </w:rPr>
        <w:t>ematological recovery</w:t>
      </w:r>
      <w:r w:rsidR="004B6394">
        <w:rPr>
          <w:lang w:eastAsia="ja-JP"/>
        </w:rPr>
        <w:t xml:space="preserve">; * </w:t>
      </w:r>
      <w:r w:rsidRPr="00A7727F">
        <w:rPr>
          <w:lang w:eastAsia="ja-JP"/>
        </w:rPr>
        <w:t>1 subject had a h</w:t>
      </w:r>
      <w:r w:rsidR="004B6394">
        <w:rPr>
          <w:lang w:eastAsia="ja-JP"/>
        </w:rPr>
        <w:t>a</w:t>
      </w:r>
      <w:r w:rsidRPr="00A7727F">
        <w:rPr>
          <w:lang w:eastAsia="ja-JP"/>
        </w:rPr>
        <w:t xml:space="preserve">ematological response after </w:t>
      </w:r>
      <w:r w:rsidR="007D46D6">
        <w:rPr>
          <w:lang w:eastAsia="ja-JP"/>
        </w:rPr>
        <w:t>Cycle 2</w:t>
      </w:r>
      <w:r w:rsidRPr="00A7727F">
        <w:rPr>
          <w:lang w:eastAsia="ja-JP"/>
        </w:rPr>
        <w:t>, however, CD19 + leuk</w:t>
      </w:r>
      <w:r w:rsidR="004B6394">
        <w:rPr>
          <w:lang w:eastAsia="ja-JP"/>
        </w:rPr>
        <w:t>a</w:t>
      </w:r>
      <w:r w:rsidRPr="00A7727F">
        <w:rPr>
          <w:lang w:eastAsia="ja-JP"/>
        </w:rPr>
        <w:t>emic blasts were present in the CSF. Per protocol, extramedullary disease was equivalent with h</w:t>
      </w:r>
      <w:r w:rsidR="004B6394">
        <w:rPr>
          <w:lang w:eastAsia="ja-JP"/>
        </w:rPr>
        <w:t>a</w:t>
      </w:r>
      <w:r w:rsidRPr="00A7727F">
        <w:rPr>
          <w:lang w:eastAsia="ja-JP"/>
        </w:rPr>
        <w:t xml:space="preserve">ematological disease for response assessments; therefore, treatment should have been discontinued. After </w:t>
      </w:r>
      <w:r w:rsidR="007D46D6">
        <w:rPr>
          <w:lang w:eastAsia="ja-JP"/>
        </w:rPr>
        <w:t>Cycle 3</w:t>
      </w:r>
      <w:r w:rsidRPr="00A7727F">
        <w:rPr>
          <w:lang w:eastAsia="ja-JP"/>
        </w:rPr>
        <w:t>, the subject had achieved CR; no more leuk</w:t>
      </w:r>
      <w:r w:rsidR="004B6394">
        <w:rPr>
          <w:lang w:eastAsia="ja-JP"/>
        </w:rPr>
        <w:t>a</w:t>
      </w:r>
      <w:r w:rsidRPr="00A7727F">
        <w:rPr>
          <w:lang w:eastAsia="ja-JP"/>
        </w:rPr>
        <w:t>emic blasts were present in the CSF after the subject had r</w:t>
      </w:r>
      <w:r w:rsidR="004B6394">
        <w:rPr>
          <w:lang w:eastAsia="ja-JP"/>
        </w:rPr>
        <w:t>eceived intrathecal therapy on D</w:t>
      </w:r>
      <w:r w:rsidRPr="00A7727F">
        <w:rPr>
          <w:lang w:eastAsia="ja-JP"/>
        </w:rPr>
        <w:t xml:space="preserve">ay 29 of </w:t>
      </w:r>
      <w:r w:rsidR="007D46D6">
        <w:rPr>
          <w:lang w:eastAsia="ja-JP"/>
        </w:rPr>
        <w:t>Cycle 2</w:t>
      </w:r>
      <w:r w:rsidRPr="00A7727F">
        <w:rPr>
          <w:lang w:eastAsia="ja-JP"/>
        </w:rPr>
        <w:t xml:space="preserve"> and </w:t>
      </w:r>
      <w:r w:rsidR="007D46D6">
        <w:rPr>
          <w:lang w:eastAsia="ja-JP"/>
        </w:rPr>
        <w:t>Cycle 3</w:t>
      </w:r>
      <w:r w:rsidRPr="00A7727F">
        <w:rPr>
          <w:lang w:eastAsia="ja-JP"/>
        </w:rPr>
        <w:t xml:space="preserve"> as per protocol.</w:t>
      </w:r>
    </w:p>
    <w:p w14:paraId="3C5CB2E1" w14:textId="706FF600" w:rsidR="00A7727F" w:rsidRPr="00BF465B" w:rsidRDefault="00A7727F" w:rsidP="00A7727F">
      <w:pPr>
        <w:rPr>
          <w:lang w:eastAsia="ja-JP"/>
        </w:rPr>
      </w:pPr>
      <w:r w:rsidRPr="00A7727F">
        <w:rPr>
          <w:lang w:eastAsia="ja-JP"/>
        </w:rPr>
        <w:t>Results for the primary efficacy endpoint of the best res</w:t>
      </w:r>
      <w:r w:rsidRPr="00BF465B">
        <w:rPr>
          <w:lang w:eastAsia="ja-JP"/>
        </w:rPr>
        <w:t>ponse of C</w:t>
      </w:r>
      <w:r w:rsidR="00851DE3" w:rsidRPr="00BF465B">
        <w:rPr>
          <w:lang w:eastAsia="ja-JP"/>
        </w:rPr>
        <w:t>R/CRh* rates within the first 2 </w:t>
      </w:r>
      <w:r w:rsidRPr="00BF465B">
        <w:rPr>
          <w:lang w:eastAsia="ja-JP"/>
        </w:rPr>
        <w:t xml:space="preserve">cycles of treatment with blinatumomab are presented in </w:t>
      </w:r>
      <w:r w:rsidR="00BF465B" w:rsidRPr="00BF465B">
        <w:rPr>
          <w:lang w:eastAsia="ja-JP"/>
        </w:rPr>
        <w:t>Table 23</w:t>
      </w:r>
      <w:r w:rsidRPr="00BF465B">
        <w:rPr>
          <w:lang w:eastAsia="ja-JP"/>
        </w:rPr>
        <w:t>.</w:t>
      </w:r>
    </w:p>
    <w:p w14:paraId="06DC6D68" w14:textId="5390CDE3" w:rsidR="00A7727F" w:rsidRPr="00A7727F" w:rsidRDefault="00A7727F" w:rsidP="00A7727F">
      <w:pPr>
        <w:rPr>
          <w:lang w:eastAsia="ja-JP"/>
        </w:rPr>
      </w:pPr>
      <w:r w:rsidRPr="00BF465B">
        <w:rPr>
          <w:lang w:eastAsia="ja-JP"/>
        </w:rPr>
        <w:t>The core study was defined as the time from the first infusion through 30 days after the last infusion. The best CR/CRh* rates during the core study are presented in Table 2</w:t>
      </w:r>
      <w:r w:rsidR="00BF465B" w:rsidRPr="00BF465B">
        <w:rPr>
          <w:lang w:eastAsia="ja-JP"/>
        </w:rPr>
        <w:t>4</w:t>
      </w:r>
      <w:r w:rsidRPr="00BF465B">
        <w:rPr>
          <w:lang w:eastAsia="ja-JP"/>
        </w:rPr>
        <w:t>.</w:t>
      </w:r>
      <w:r w:rsidRPr="00A7727F">
        <w:rPr>
          <w:lang w:eastAsia="ja-JP"/>
        </w:rPr>
        <w:t xml:space="preserve"> In the PAS, the best CR/CRh* rate with blinatumomab treatment was 43.4% (82/189; 95% CI: 36.2% to 50.8%) (CR</w:t>
      </w:r>
      <w:r w:rsidR="00375CAE">
        <w:rPr>
          <w:lang w:eastAsia="ja-JP"/>
        </w:rPr>
        <w:t xml:space="preserve"> </w:t>
      </w:r>
      <w:r w:rsidR="00423768">
        <w:rPr>
          <w:lang w:eastAsia="ja-JP"/>
        </w:rPr>
        <w:t>=</w:t>
      </w:r>
      <w:r w:rsidR="00375CAE">
        <w:rPr>
          <w:lang w:eastAsia="ja-JP"/>
        </w:rPr>
        <w:t xml:space="preserve"> </w:t>
      </w:r>
      <w:r w:rsidR="00851DE3">
        <w:rPr>
          <w:lang w:eastAsia="ja-JP"/>
        </w:rPr>
        <w:t>35.4% (67/189; 95% CI: 28.6% to 42.7%)</w:t>
      </w:r>
      <w:r w:rsidRPr="00A7727F">
        <w:rPr>
          <w:lang w:eastAsia="ja-JP"/>
        </w:rPr>
        <w:t>; CRh*</w:t>
      </w:r>
      <w:r w:rsidR="00375CAE">
        <w:rPr>
          <w:lang w:eastAsia="ja-JP"/>
        </w:rPr>
        <w:t xml:space="preserve"> </w:t>
      </w:r>
      <w:r w:rsidR="00423768">
        <w:rPr>
          <w:lang w:eastAsia="ja-JP"/>
        </w:rPr>
        <w:t>=</w:t>
      </w:r>
      <w:r w:rsidR="00375CAE">
        <w:rPr>
          <w:lang w:eastAsia="ja-JP"/>
        </w:rPr>
        <w:t xml:space="preserve"> </w:t>
      </w:r>
      <w:r w:rsidR="00851DE3">
        <w:rPr>
          <w:lang w:eastAsia="ja-JP"/>
        </w:rPr>
        <w:t>7.9% (15/189; 95% CI: 4.5% to 12.8%)</w:t>
      </w:r>
      <w:r w:rsidRPr="00A7727F">
        <w:rPr>
          <w:lang w:eastAsia="ja-JP"/>
        </w:rPr>
        <w:t>). The response rates for blast free hypoplastic or aplastic bone marrow and partial remission were the same as the first 2 cycles of treatment. Of the nonresponders during the core study, 14.8% (28/189) of subjects had progressive disease, 21.2% (40/189) had not responded to treatment, and 9% (17/189) had no response data.</w:t>
      </w:r>
    </w:p>
    <w:p w14:paraId="1A7B871E" w14:textId="487A6D20" w:rsidR="00A7727F" w:rsidRPr="00A7727F" w:rsidRDefault="00A7727F" w:rsidP="00851DE3">
      <w:pPr>
        <w:keepNext/>
        <w:rPr>
          <w:b/>
          <w:lang w:eastAsia="ja-JP"/>
        </w:rPr>
      </w:pPr>
      <w:bookmarkStart w:id="173" w:name="_Toc292015706"/>
      <w:r w:rsidRPr="00A7727F">
        <w:rPr>
          <w:b/>
          <w:lang w:eastAsia="ja-JP"/>
        </w:rPr>
        <w:t xml:space="preserve">Table </w:t>
      </w:r>
      <w:r w:rsidR="007D6F35">
        <w:rPr>
          <w:b/>
          <w:lang w:eastAsia="ja-JP"/>
        </w:rPr>
        <w:t>23:</w:t>
      </w:r>
      <w:r w:rsidRPr="00A7727F">
        <w:rPr>
          <w:b/>
          <w:lang w:eastAsia="ja-JP"/>
        </w:rPr>
        <w:t xml:space="preserve"> Best </w:t>
      </w:r>
      <w:r w:rsidR="00851DE3" w:rsidRPr="00A7727F">
        <w:rPr>
          <w:b/>
          <w:lang w:eastAsia="ja-JP"/>
        </w:rPr>
        <w:t>response during the first 2 cycles</w:t>
      </w:r>
      <w:r w:rsidR="00851DE3">
        <w:rPr>
          <w:b/>
          <w:lang w:eastAsia="ja-JP"/>
        </w:rPr>
        <w:t>;</w:t>
      </w:r>
      <w:r w:rsidR="00851DE3" w:rsidRPr="00A7727F">
        <w:rPr>
          <w:b/>
          <w:lang w:eastAsia="ja-JP"/>
        </w:rPr>
        <w:t xml:space="preserve"> </w:t>
      </w:r>
      <w:r w:rsidR="00851DE3">
        <w:rPr>
          <w:b/>
          <w:lang w:eastAsia="ja-JP"/>
        </w:rPr>
        <w:t>Primary analysis e</w:t>
      </w:r>
      <w:r w:rsidRPr="00A7727F">
        <w:rPr>
          <w:b/>
          <w:lang w:eastAsia="ja-JP"/>
        </w:rPr>
        <w:t>ndpoint</w:t>
      </w:r>
      <w:bookmarkEnd w:id="173"/>
    </w:p>
    <w:tbl>
      <w:tblPr>
        <w:tblStyle w:val="TableTGAblue"/>
        <w:tblW w:w="4816" w:type="pct"/>
        <w:tblLook w:val="04A0" w:firstRow="1" w:lastRow="0" w:firstColumn="1" w:lastColumn="0" w:noHBand="0" w:noVBand="1"/>
        <w:tblDescription w:val="Table 23: Best response during the first 2 cycles; Primary analysis endpoint"/>
      </w:tblPr>
      <w:tblGrid>
        <w:gridCol w:w="1701"/>
        <w:gridCol w:w="438"/>
        <w:gridCol w:w="920"/>
        <w:gridCol w:w="982"/>
        <w:gridCol w:w="438"/>
        <w:gridCol w:w="920"/>
        <w:gridCol w:w="1141"/>
        <w:gridCol w:w="438"/>
        <w:gridCol w:w="920"/>
        <w:gridCol w:w="1004"/>
      </w:tblGrid>
      <w:tr w:rsidR="006A3B04" w:rsidRPr="00B82B39" w14:paraId="6AB6C3D4" w14:textId="77777777" w:rsidTr="006A3B04">
        <w:trPr>
          <w:cnfStyle w:val="100000000000" w:firstRow="1" w:lastRow="0" w:firstColumn="0" w:lastColumn="0" w:oddVBand="0" w:evenVBand="0" w:oddHBand="0" w:evenHBand="0" w:firstRowFirstColumn="0" w:firstRowLastColumn="0" w:lastRowFirstColumn="0" w:lastRowLastColumn="0"/>
          <w:trHeight w:val="700"/>
          <w:tblHeader/>
        </w:trPr>
        <w:tc>
          <w:tcPr>
            <w:cnfStyle w:val="001000000000" w:firstRow="0" w:lastRow="0" w:firstColumn="1" w:lastColumn="0" w:oddVBand="0" w:evenVBand="0" w:oddHBand="0" w:evenHBand="0" w:firstRowFirstColumn="0" w:firstRowLastColumn="0" w:lastRowFirstColumn="0" w:lastRowLastColumn="0"/>
            <w:tcW w:w="1007" w:type="pct"/>
            <w:vMerge w:val="restart"/>
            <w:tcBorders>
              <w:right w:val="single" w:sz="4" w:space="0" w:color="000000"/>
            </w:tcBorders>
          </w:tcPr>
          <w:p w14:paraId="22BA1AF0" w14:textId="77777777" w:rsidR="00A7727F" w:rsidRPr="00B82B39" w:rsidRDefault="00A7727F" w:rsidP="00B82B39">
            <w:pPr>
              <w:keepNext/>
              <w:ind w:left="0" w:right="0"/>
              <w:rPr>
                <w:sz w:val="20"/>
                <w:szCs w:val="20"/>
                <w:lang w:eastAsia="ja-JP"/>
              </w:rPr>
            </w:pPr>
            <w:r w:rsidRPr="00B82B39">
              <w:rPr>
                <w:sz w:val="20"/>
                <w:szCs w:val="20"/>
                <w:lang w:eastAsia="ja-JP"/>
              </w:rPr>
              <w:t>Best Response</w:t>
            </w:r>
          </w:p>
        </w:tc>
        <w:tc>
          <w:tcPr>
            <w:tcW w:w="1319" w:type="pct"/>
            <w:gridSpan w:val="3"/>
            <w:tcBorders>
              <w:left w:val="single" w:sz="4" w:space="0" w:color="000000"/>
              <w:bottom w:val="single" w:sz="4" w:space="0" w:color="000000"/>
              <w:right w:val="single" w:sz="4" w:space="0" w:color="000000"/>
            </w:tcBorders>
          </w:tcPr>
          <w:p w14:paraId="45774AE3" w14:textId="7E8DC98A" w:rsidR="00A7727F" w:rsidRPr="00B82B39" w:rsidRDefault="00851DE3"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PAS/FAS </w:t>
            </w:r>
            <w:r w:rsidR="00A7727F" w:rsidRPr="00B82B39">
              <w:rPr>
                <w:sz w:val="20"/>
                <w:szCs w:val="20"/>
                <w:lang w:eastAsia="ja-JP"/>
              </w:rPr>
              <w:t>(N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00A7727F" w:rsidRPr="00B82B39">
              <w:rPr>
                <w:sz w:val="20"/>
                <w:szCs w:val="20"/>
                <w:lang w:eastAsia="ja-JP"/>
              </w:rPr>
              <w:t>189)</w:t>
            </w:r>
          </w:p>
        </w:tc>
        <w:tc>
          <w:tcPr>
            <w:tcW w:w="1381" w:type="pct"/>
            <w:gridSpan w:val="3"/>
            <w:tcBorders>
              <w:left w:val="single" w:sz="4" w:space="0" w:color="000000"/>
              <w:bottom w:val="single" w:sz="4" w:space="0" w:color="000000"/>
            </w:tcBorders>
          </w:tcPr>
          <w:p w14:paraId="3FE2FE97" w14:textId="7515FC43"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EFS</w:t>
            </w:r>
            <w:r w:rsidR="00851DE3" w:rsidRPr="00B82B39">
              <w:rPr>
                <w:sz w:val="20"/>
                <w:szCs w:val="20"/>
                <w:lang w:eastAsia="ja-JP"/>
              </w:rPr>
              <w:t xml:space="preserve"> </w:t>
            </w:r>
            <w:r w:rsidRPr="00B82B39">
              <w:rPr>
                <w:sz w:val="20"/>
                <w:szCs w:val="20"/>
                <w:lang w:eastAsia="ja-JP"/>
              </w:rPr>
              <w:t>(N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Pr="00B82B39">
              <w:rPr>
                <w:sz w:val="20"/>
                <w:szCs w:val="20"/>
                <w:lang w:eastAsia="ja-JP"/>
              </w:rPr>
              <w:t>172)</w:t>
            </w:r>
          </w:p>
        </w:tc>
        <w:tc>
          <w:tcPr>
            <w:tcW w:w="1293" w:type="pct"/>
            <w:gridSpan w:val="3"/>
            <w:tcBorders>
              <w:bottom w:val="single" w:sz="4" w:space="0" w:color="000000"/>
            </w:tcBorders>
          </w:tcPr>
          <w:p w14:paraId="7A56B04F" w14:textId="444BDBA2"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PPS</w:t>
            </w:r>
            <w:r w:rsidR="00851DE3" w:rsidRPr="00B82B39">
              <w:rPr>
                <w:sz w:val="20"/>
                <w:szCs w:val="20"/>
                <w:lang w:eastAsia="ja-JP"/>
              </w:rPr>
              <w:t xml:space="preserve"> </w:t>
            </w:r>
            <w:r w:rsidRPr="00B82B39">
              <w:rPr>
                <w:sz w:val="20"/>
                <w:szCs w:val="20"/>
                <w:lang w:eastAsia="ja-JP"/>
              </w:rPr>
              <w:t>(N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Pr="00B82B39">
              <w:rPr>
                <w:sz w:val="20"/>
                <w:szCs w:val="20"/>
                <w:lang w:eastAsia="ja-JP"/>
              </w:rPr>
              <w:t>167)</w:t>
            </w:r>
          </w:p>
        </w:tc>
      </w:tr>
      <w:tr w:rsidR="006A3B04" w:rsidRPr="00B82B39" w14:paraId="7BC7DABE" w14:textId="77777777" w:rsidTr="006A3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7" w:type="pct"/>
            <w:vMerge/>
            <w:tcBorders>
              <w:right w:val="single" w:sz="4" w:space="0" w:color="000000"/>
            </w:tcBorders>
          </w:tcPr>
          <w:p w14:paraId="008399F9" w14:textId="77777777" w:rsidR="00A7727F" w:rsidRPr="00B82B39" w:rsidRDefault="00A7727F" w:rsidP="00B82B39">
            <w:pPr>
              <w:keepNext/>
              <w:ind w:left="0" w:right="0"/>
              <w:rPr>
                <w:sz w:val="20"/>
                <w:szCs w:val="20"/>
                <w:lang w:eastAsia="ja-JP"/>
              </w:rPr>
            </w:pPr>
          </w:p>
        </w:tc>
        <w:tc>
          <w:tcPr>
            <w:tcW w:w="271" w:type="pct"/>
            <w:tcBorders>
              <w:top w:val="single" w:sz="4" w:space="0" w:color="000000"/>
              <w:left w:val="single" w:sz="4" w:space="0" w:color="000000"/>
              <w:right w:val="single" w:sz="4" w:space="0" w:color="000000"/>
            </w:tcBorders>
          </w:tcPr>
          <w:p w14:paraId="53B6A5E5"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p>
        </w:tc>
        <w:tc>
          <w:tcPr>
            <w:tcW w:w="418" w:type="pct"/>
            <w:tcBorders>
              <w:top w:val="single" w:sz="4" w:space="0" w:color="000000"/>
              <w:left w:val="single" w:sz="4" w:space="0" w:color="000000"/>
              <w:right w:val="single" w:sz="4" w:space="0" w:color="000000"/>
            </w:tcBorders>
          </w:tcPr>
          <w:p w14:paraId="21072420"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c>
          <w:tcPr>
            <w:tcW w:w="630" w:type="pct"/>
            <w:tcBorders>
              <w:top w:val="single" w:sz="4" w:space="0" w:color="000000"/>
              <w:left w:val="single" w:sz="4" w:space="0" w:color="000000"/>
              <w:right w:val="single" w:sz="4" w:space="0" w:color="000000"/>
            </w:tcBorders>
          </w:tcPr>
          <w:p w14:paraId="2A01AE14"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 CI</w:t>
            </w:r>
          </w:p>
        </w:tc>
        <w:tc>
          <w:tcPr>
            <w:tcW w:w="293" w:type="pct"/>
            <w:tcBorders>
              <w:top w:val="single" w:sz="4" w:space="0" w:color="000000"/>
              <w:left w:val="single" w:sz="4" w:space="0" w:color="000000"/>
              <w:right w:val="single" w:sz="4" w:space="0" w:color="000000"/>
            </w:tcBorders>
          </w:tcPr>
          <w:p w14:paraId="1D7FEF90"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p>
        </w:tc>
        <w:tc>
          <w:tcPr>
            <w:tcW w:w="391" w:type="pct"/>
            <w:tcBorders>
              <w:top w:val="single" w:sz="4" w:space="0" w:color="000000"/>
              <w:left w:val="single" w:sz="4" w:space="0" w:color="000000"/>
              <w:right w:val="single" w:sz="4" w:space="0" w:color="000000"/>
            </w:tcBorders>
          </w:tcPr>
          <w:p w14:paraId="501626ED"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c>
          <w:tcPr>
            <w:tcW w:w="697" w:type="pct"/>
            <w:tcBorders>
              <w:top w:val="single" w:sz="4" w:space="0" w:color="000000"/>
              <w:left w:val="single" w:sz="4" w:space="0" w:color="000000"/>
              <w:right w:val="single" w:sz="4" w:space="0" w:color="000000"/>
            </w:tcBorders>
          </w:tcPr>
          <w:p w14:paraId="7CE0341A"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 CI</w:t>
            </w:r>
          </w:p>
        </w:tc>
        <w:tc>
          <w:tcPr>
            <w:tcW w:w="251" w:type="pct"/>
            <w:tcBorders>
              <w:top w:val="single" w:sz="4" w:space="0" w:color="000000"/>
              <w:left w:val="single" w:sz="4" w:space="0" w:color="000000"/>
              <w:right w:val="single" w:sz="4" w:space="0" w:color="000000"/>
            </w:tcBorders>
          </w:tcPr>
          <w:p w14:paraId="403BB9C3"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p>
        </w:tc>
        <w:tc>
          <w:tcPr>
            <w:tcW w:w="380" w:type="pct"/>
            <w:tcBorders>
              <w:top w:val="single" w:sz="4" w:space="0" w:color="000000"/>
              <w:left w:val="single" w:sz="4" w:space="0" w:color="000000"/>
              <w:right w:val="single" w:sz="4" w:space="0" w:color="000000"/>
            </w:tcBorders>
          </w:tcPr>
          <w:p w14:paraId="4E525278"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c>
          <w:tcPr>
            <w:tcW w:w="662" w:type="pct"/>
            <w:tcBorders>
              <w:top w:val="single" w:sz="4" w:space="0" w:color="000000"/>
              <w:left w:val="single" w:sz="4" w:space="0" w:color="000000"/>
            </w:tcBorders>
          </w:tcPr>
          <w:p w14:paraId="47329D42"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 CI</w:t>
            </w:r>
          </w:p>
        </w:tc>
      </w:tr>
      <w:tr w:rsidR="006A3B04" w:rsidRPr="00B82B39" w14:paraId="13DB94E4"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3D1FAF33" w14:textId="77777777" w:rsidR="00A7727F" w:rsidRPr="00B82B39" w:rsidRDefault="00A7727F" w:rsidP="00B82B39">
            <w:pPr>
              <w:keepNext/>
              <w:ind w:left="0" w:right="0"/>
              <w:rPr>
                <w:sz w:val="20"/>
                <w:szCs w:val="20"/>
                <w:lang w:eastAsia="ja-JP"/>
              </w:rPr>
            </w:pPr>
            <w:r w:rsidRPr="00B82B39">
              <w:rPr>
                <w:sz w:val="20"/>
                <w:szCs w:val="20"/>
                <w:lang w:eastAsia="ja-JP"/>
              </w:rPr>
              <w:t>CR/CRh*</w:t>
            </w:r>
          </w:p>
        </w:tc>
        <w:tc>
          <w:tcPr>
            <w:tcW w:w="271" w:type="pct"/>
          </w:tcPr>
          <w:p w14:paraId="0390FAE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81</w:t>
            </w:r>
          </w:p>
        </w:tc>
        <w:tc>
          <w:tcPr>
            <w:tcW w:w="418" w:type="pct"/>
          </w:tcPr>
          <w:p w14:paraId="6BF5BB9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42.9%</w:t>
            </w:r>
          </w:p>
        </w:tc>
        <w:tc>
          <w:tcPr>
            <w:tcW w:w="630" w:type="pct"/>
          </w:tcPr>
          <w:p w14:paraId="4D2B7E7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35.7% to 50.2%</w:t>
            </w:r>
          </w:p>
        </w:tc>
        <w:tc>
          <w:tcPr>
            <w:tcW w:w="293" w:type="pct"/>
          </w:tcPr>
          <w:p w14:paraId="18A005AF"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81 </w:t>
            </w:r>
          </w:p>
        </w:tc>
        <w:tc>
          <w:tcPr>
            <w:tcW w:w="391" w:type="pct"/>
            <w:tcBorders>
              <w:right w:val="single" w:sz="4" w:space="0" w:color="000000"/>
            </w:tcBorders>
          </w:tcPr>
          <w:p w14:paraId="4E06CB9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(47.1%)</w:t>
            </w:r>
          </w:p>
        </w:tc>
        <w:tc>
          <w:tcPr>
            <w:tcW w:w="697" w:type="pct"/>
            <w:tcBorders>
              <w:left w:val="single" w:sz="4" w:space="0" w:color="000000"/>
            </w:tcBorders>
          </w:tcPr>
          <w:p w14:paraId="75BE12FC" w14:textId="71275108"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(39.5% to </w:t>
            </w:r>
            <w:r w:rsidR="00A7727F" w:rsidRPr="00B82B39">
              <w:rPr>
                <w:sz w:val="20"/>
                <w:szCs w:val="20"/>
                <w:lang w:eastAsia="ja-JP"/>
              </w:rPr>
              <w:t>54.8%)</w:t>
            </w:r>
          </w:p>
        </w:tc>
        <w:tc>
          <w:tcPr>
            <w:tcW w:w="251" w:type="pct"/>
          </w:tcPr>
          <w:p w14:paraId="17EB3C4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67</w:t>
            </w:r>
          </w:p>
        </w:tc>
        <w:tc>
          <w:tcPr>
            <w:tcW w:w="380" w:type="pct"/>
          </w:tcPr>
          <w:p w14:paraId="3674CEB5"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(40.1%)</w:t>
            </w:r>
          </w:p>
        </w:tc>
        <w:tc>
          <w:tcPr>
            <w:tcW w:w="662" w:type="pct"/>
          </w:tcPr>
          <w:p w14:paraId="3A2AB7D7" w14:textId="760EE9CF"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(32.6% to </w:t>
            </w:r>
            <w:r w:rsidR="00A7727F" w:rsidRPr="00B82B39">
              <w:rPr>
                <w:sz w:val="20"/>
                <w:szCs w:val="20"/>
                <w:lang w:eastAsia="ja-JP"/>
              </w:rPr>
              <w:t>48.0%)</w:t>
            </w:r>
          </w:p>
        </w:tc>
      </w:tr>
      <w:tr w:rsidR="006A3B04" w:rsidRPr="00B82B39" w14:paraId="50DF33F5"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69EBA3E0" w14:textId="77777777" w:rsidR="00A7727F" w:rsidRPr="00B82B39" w:rsidRDefault="00A7727F" w:rsidP="00B82B39">
            <w:pPr>
              <w:keepNext/>
              <w:ind w:left="0" w:right="0"/>
              <w:rPr>
                <w:sz w:val="20"/>
                <w:szCs w:val="20"/>
                <w:lang w:eastAsia="ja-JP"/>
              </w:rPr>
            </w:pPr>
            <w:r w:rsidRPr="00B82B39">
              <w:rPr>
                <w:sz w:val="20"/>
                <w:szCs w:val="20"/>
                <w:lang w:eastAsia="ja-JP"/>
              </w:rPr>
              <w:t>Complete remission (CR)</w:t>
            </w:r>
          </w:p>
        </w:tc>
        <w:tc>
          <w:tcPr>
            <w:tcW w:w="271" w:type="pct"/>
          </w:tcPr>
          <w:p w14:paraId="0FFAB94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63</w:t>
            </w:r>
          </w:p>
        </w:tc>
        <w:tc>
          <w:tcPr>
            <w:tcW w:w="418" w:type="pct"/>
          </w:tcPr>
          <w:p w14:paraId="20A341D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33.3%</w:t>
            </w:r>
          </w:p>
        </w:tc>
        <w:tc>
          <w:tcPr>
            <w:tcW w:w="630" w:type="pct"/>
          </w:tcPr>
          <w:p w14:paraId="3220EB6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26.7% to 40.5</w:t>
            </w:r>
          </w:p>
        </w:tc>
        <w:tc>
          <w:tcPr>
            <w:tcW w:w="293" w:type="pct"/>
          </w:tcPr>
          <w:p w14:paraId="33F2DD2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63</w:t>
            </w:r>
          </w:p>
        </w:tc>
        <w:tc>
          <w:tcPr>
            <w:tcW w:w="391" w:type="pct"/>
          </w:tcPr>
          <w:p w14:paraId="0719FC4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(36.6%)</w:t>
            </w:r>
          </w:p>
        </w:tc>
        <w:tc>
          <w:tcPr>
            <w:tcW w:w="697" w:type="pct"/>
          </w:tcPr>
          <w:p w14:paraId="0AEF051C" w14:textId="215212C5"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(29.4% to </w:t>
            </w:r>
            <w:r w:rsidR="00A7727F" w:rsidRPr="00B82B39">
              <w:rPr>
                <w:sz w:val="20"/>
                <w:szCs w:val="20"/>
                <w:lang w:eastAsia="ja-JP"/>
              </w:rPr>
              <w:t>44.3%)</w:t>
            </w:r>
          </w:p>
        </w:tc>
        <w:tc>
          <w:tcPr>
            <w:tcW w:w="251" w:type="pct"/>
          </w:tcPr>
          <w:p w14:paraId="0EA3BF3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51</w:t>
            </w:r>
          </w:p>
        </w:tc>
        <w:tc>
          <w:tcPr>
            <w:tcW w:w="380" w:type="pct"/>
          </w:tcPr>
          <w:p w14:paraId="3AEA813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(30.5%)</w:t>
            </w:r>
          </w:p>
        </w:tc>
        <w:tc>
          <w:tcPr>
            <w:tcW w:w="662" w:type="pct"/>
          </w:tcPr>
          <w:p w14:paraId="516CAABF" w14:textId="0ABAC3F6"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(23.7% to </w:t>
            </w:r>
            <w:r w:rsidR="00A7727F" w:rsidRPr="00B82B39">
              <w:rPr>
                <w:sz w:val="20"/>
                <w:szCs w:val="20"/>
                <w:lang w:eastAsia="ja-JP"/>
              </w:rPr>
              <w:t>38.1%)</w:t>
            </w:r>
          </w:p>
        </w:tc>
      </w:tr>
      <w:tr w:rsidR="006A3B04" w:rsidRPr="00B82B39" w14:paraId="67D000F5" w14:textId="77777777" w:rsidTr="006A3B04">
        <w:trPr>
          <w:trHeight w:val="178"/>
        </w:trPr>
        <w:tc>
          <w:tcPr>
            <w:cnfStyle w:val="001000000000" w:firstRow="0" w:lastRow="0" w:firstColumn="1" w:lastColumn="0" w:oddVBand="0" w:evenVBand="0" w:oddHBand="0" w:evenHBand="0" w:firstRowFirstColumn="0" w:firstRowLastColumn="0" w:lastRowFirstColumn="0" w:lastRowLastColumn="0"/>
            <w:tcW w:w="1007" w:type="pct"/>
          </w:tcPr>
          <w:p w14:paraId="1DD91E4A" w14:textId="3BD8B2ED" w:rsidR="00A7727F" w:rsidRPr="00B82B39" w:rsidRDefault="00A7727F" w:rsidP="00B82B39">
            <w:pPr>
              <w:keepNext/>
              <w:ind w:left="0" w:right="0"/>
              <w:rPr>
                <w:sz w:val="20"/>
                <w:szCs w:val="20"/>
                <w:lang w:eastAsia="ja-JP"/>
              </w:rPr>
            </w:pPr>
            <w:r w:rsidRPr="00B82B39">
              <w:rPr>
                <w:sz w:val="20"/>
                <w:szCs w:val="20"/>
                <w:lang w:eastAsia="ja-JP"/>
              </w:rPr>
              <w:t>Complete remission with only partial h</w:t>
            </w:r>
            <w:r w:rsidR="006A3B04" w:rsidRPr="00B82B39">
              <w:rPr>
                <w:sz w:val="20"/>
                <w:szCs w:val="20"/>
                <w:lang w:eastAsia="ja-JP"/>
              </w:rPr>
              <w:t>a</w:t>
            </w:r>
            <w:r w:rsidRPr="00B82B39">
              <w:rPr>
                <w:sz w:val="20"/>
                <w:szCs w:val="20"/>
                <w:lang w:eastAsia="ja-JP"/>
              </w:rPr>
              <w:t>ematological recovery (CRh*)</w:t>
            </w:r>
          </w:p>
        </w:tc>
        <w:tc>
          <w:tcPr>
            <w:tcW w:w="271" w:type="pct"/>
          </w:tcPr>
          <w:p w14:paraId="2D6BC005"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18</w:t>
            </w:r>
          </w:p>
        </w:tc>
        <w:tc>
          <w:tcPr>
            <w:tcW w:w="418" w:type="pct"/>
          </w:tcPr>
          <w:p w14:paraId="19B2501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w:t>
            </w:r>
          </w:p>
        </w:tc>
        <w:tc>
          <w:tcPr>
            <w:tcW w:w="630" w:type="pct"/>
          </w:tcPr>
          <w:p w14:paraId="68B6644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5.7% to 14.6%</w:t>
            </w:r>
          </w:p>
        </w:tc>
        <w:tc>
          <w:tcPr>
            <w:tcW w:w="293" w:type="pct"/>
          </w:tcPr>
          <w:p w14:paraId="383107C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18</w:t>
            </w:r>
          </w:p>
        </w:tc>
        <w:tc>
          <w:tcPr>
            <w:tcW w:w="391" w:type="pct"/>
          </w:tcPr>
          <w:p w14:paraId="4C0421E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(10.5%)</w:t>
            </w:r>
          </w:p>
        </w:tc>
        <w:tc>
          <w:tcPr>
            <w:tcW w:w="697" w:type="pct"/>
          </w:tcPr>
          <w:p w14:paraId="5596699F" w14:textId="45770655"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(6.3% to </w:t>
            </w:r>
            <w:r w:rsidR="00A7727F" w:rsidRPr="00B82B39">
              <w:rPr>
                <w:sz w:val="20"/>
                <w:szCs w:val="20"/>
                <w:lang w:eastAsia="ja-JP"/>
              </w:rPr>
              <w:t>16.0%)</w:t>
            </w:r>
          </w:p>
        </w:tc>
        <w:tc>
          <w:tcPr>
            <w:tcW w:w="251" w:type="pct"/>
          </w:tcPr>
          <w:p w14:paraId="065EE18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16</w:t>
            </w:r>
          </w:p>
        </w:tc>
        <w:tc>
          <w:tcPr>
            <w:tcW w:w="380" w:type="pct"/>
          </w:tcPr>
          <w:p w14:paraId="00FE35E3"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(9.6%)</w:t>
            </w:r>
          </w:p>
        </w:tc>
        <w:tc>
          <w:tcPr>
            <w:tcW w:w="662" w:type="pct"/>
          </w:tcPr>
          <w:p w14:paraId="3365EA08" w14:textId="26339818"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(5.6% to </w:t>
            </w:r>
            <w:r w:rsidR="00A7727F" w:rsidRPr="00B82B39">
              <w:rPr>
                <w:sz w:val="20"/>
                <w:szCs w:val="20"/>
                <w:lang w:eastAsia="ja-JP"/>
              </w:rPr>
              <w:t>15.1%)</w:t>
            </w:r>
          </w:p>
        </w:tc>
      </w:tr>
      <w:tr w:rsidR="006A3B04" w:rsidRPr="00B82B39" w14:paraId="1E1FC1E4"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31C1AA5B" w14:textId="77777777" w:rsidR="00A7727F" w:rsidRPr="00B82B39" w:rsidRDefault="00A7727F" w:rsidP="00B82B39">
            <w:pPr>
              <w:keepNext/>
              <w:ind w:left="0" w:right="0"/>
              <w:rPr>
                <w:sz w:val="20"/>
                <w:szCs w:val="20"/>
                <w:lang w:eastAsia="ja-JP"/>
              </w:rPr>
            </w:pPr>
            <w:r w:rsidRPr="00B82B39">
              <w:rPr>
                <w:sz w:val="20"/>
                <w:szCs w:val="20"/>
                <w:lang w:eastAsia="ja-JP"/>
              </w:rPr>
              <w:t>Blast free hypoplastic or aplastic bone marrow</w:t>
            </w:r>
          </w:p>
        </w:tc>
        <w:tc>
          <w:tcPr>
            <w:tcW w:w="271" w:type="pct"/>
          </w:tcPr>
          <w:p w14:paraId="6DB1441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17</w:t>
            </w:r>
          </w:p>
        </w:tc>
        <w:tc>
          <w:tcPr>
            <w:tcW w:w="418" w:type="pct"/>
          </w:tcPr>
          <w:p w14:paraId="448D264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9.0%</w:t>
            </w:r>
          </w:p>
        </w:tc>
        <w:tc>
          <w:tcPr>
            <w:tcW w:w="630" w:type="pct"/>
          </w:tcPr>
          <w:p w14:paraId="760347F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5.3% to 14.0%</w:t>
            </w:r>
          </w:p>
        </w:tc>
        <w:tc>
          <w:tcPr>
            <w:tcW w:w="293" w:type="pct"/>
          </w:tcPr>
          <w:p w14:paraId="76EDA3F3"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17</w:t>
            </w:r>
          </w:p>
        </w:tc>
        <w:tc>
          <w:tcPr>
            <w:tcW w:w="391" w:type="pct"/>
          </w:tcPr>
          <w:p w14:paraId="15B7A8FA"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(9.9%)</w:t>
            </w:r>
          </w:p>
        </w:tc>
        <w:tc>
          <w:tcPr>
            <w:tcW w:w="697" w:type="pct"/>
          </w:tcPr>
          <w:p w14:paraId="41DA307F" w14:textId="41FABE21"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(5.9% to </w:t>
            </w:r>
            <w:r w:rsidR="00A7727F" w:rsidRPr="00B82B39">
              <w:rPr>
                <w:sz w:val="20"/>
                <w:szCs w:val="20"/>
                <w:lang w:eastAsia="ja-JP"/>
              </w:rPr>
              <w:t>15.4%)</w:t>
            </w:r>
          </w:p>
        </w:tc>
        <w:tc>
          <w:tcPr>
            <w:tcW w:w="251" w:type="pct"/>
          </w:tcPr>
          <w:p w14:paraId="6A83626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16</w:t>
            </w:r>
          </w:p>
        </w:tc>
        <w:tc>
          <w:tcPr>
            <w:tcW w:w="380" w:type="pct"/>
          </w:tcPr>
          <w:p w14:paraId="4D62392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(9.6%)</w:t>
            </w:r>
          </w:p>
        </w:tc>
        <w:tc>
          <w:tcPr>
            <w:tcW w:w="662" w:type="pct"/>
          </w:tcPr>
          <w:p w14:paraId="4C381238" w14:textId="5E0CE9C4"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(5.6% to </w:t>
            </w:r>
            <w:r w:rsidR="00A7727F" w:rsidRPr="00B82B39">
              <w:rPr>
                <w:sz w:val="20"/>
                <w:szCs w:val="20"/>
                <w:lang w:eastAsia="ja-JP"/>
              </w:rPr>
              <w:t>15.1%)</w:t>
            </w:r>
          </w:p>
        </w:tc>
      </w:tr>
      <w:tr w:rsidR="006A3B04" w:rsidRPr="00B82B39" w14:paraId="4A9F8EA5"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435E0F9C" w14:textId="77777777" w:rsidR="00A7727F" w:rsidRPr="00B82B39" w:rsidRDefault="00A7727F" w:rsidP="00B82B39">
            <w:pPr>
              <w:keepNext/>
              <w:ind w:left="0" w:right="0"/>
              <w:rPr>
                <w:sz w:val="20"/>
                <w:szCs w:val="20"/>
                <w:lang w:eastAsia="ja-JP"/>
              </w:rPr>
            </w:pPr>
            <w:r w:rsidRPr="00B82B39">
              <w:rPr>
                <w:sz w:val="20"/>
                <w:szCs w:val="20"/>
                <w:lang w:eastAsia="ja-JP"/>
              </w:rPr>
              <w:t>Partial remission</w:t>
            </w:r>
          </w:p>
        </w:tc>
        <w:tc>
          <w:tcPr>
            <w:tcW w:w="271" w:type="pct"/>
          </w:tcPr>
          <w:p w14:paraId="0A89ADF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418" w:type="pct"/>
          </w:tcPr>
          <w:p w14:paraId="5EE38B7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2.6%</w:t>
            </w:r>
          </w:p>
        </w:tc>
        <w:tc>
          <w:tcPr>
            <w:tcW w:w="630" w:type="pct"/>
          </w:tcPr>
          <w:p w14:paraId="5A6AFB1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0.9% to 6.1%</w:t>
            </w:r>
          </w:p>
        </w:tc>
        <w:tc>
          <w:tcPr>
            <w:tcW w:w="293" w:type="pct"/>
          </w:tcPr>
          <w:p w14:paraId="552ED86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391" w:type="pct"/>
          </w:tcPr>
          <w:p w14:paraId="012FB7D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(2.9%)</w:t>
            </w:r>
          </w:p>
        </w:tc>
        <w:tc>
          <w:tcPr>
            <w:tcW w:w="697" w:type="pct"/>
          </w:tcPr>
          <w:p w14:paraId="1EAD5CB9" w14:textId="79486848"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(1.0% to </w:t>
            </w:r>
            <w:r w:rsidR="00A7727F" w:rsidRPr="00B82B39">
              <w:rPr>
                <w:sz w:val="20"/>
                <w:szCs w:val="20"/>
                <w:lang w:eastAsia="ja-JP"/>
              </w:rPr>
              <w:t>6.7%)</w:t>
            </w:r>
          </w:p>
        </w:tc>
        <w:tc>
          <w:tcPr>
            <w:tcW w:w="251" w:type="pct"/>
          </w:tcPr>
          <w:p w14:paraId="7BCAEAF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380" w:type="pct"/>
          </w:tcPr>
          <w:p w14:paraId="32A4EF3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(3.0%)</w:t>
            </w:r>
          </w:p>
        </w:tc>
        <w:tc>
          <w:tcPr>
            <w:tcW w:w="662" w:type="pct"/>
          </w:tcPr>
          <w:p w14:paraId="7C790AC8" w14:textId="795B8B9E" w:rsidR="00A7727F" w:rsidRPr="00B82B39" w:rsidRDefault="00851DE3"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(1.0% to </w:t>
            </w:r>
            <w:r w:rsidR="00A7727F" w:rsidRPr="00B82B39">
              <w:rPr>
                <w:sz w:val="20"/>
                <w:szCs w:val="20"/>
                <w:lang w:eastAsia="ja-JP"/>
              </w:rPr>
              <w:t>6.8%)</w:t>
            </w:r>
          </w:p>
        </w:tc>
      </w:tr>
      <w:tr w:rsidR="006A3B04" w:rsidRPr="00B82B39" w14:paraId="23A78557"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663030AC" w14:textId="77777777" w:rsidR="00A7727F" w:rsidRPr="00B82B39" w:rsidRDefault="00A7727F" w:rsidP="00B82B39">
            <w:pPr>
              <w:keepNext/>
              <w:ind w:left="0" w:right="0"/>
              <w:rPr>
                <w:sz w:val="20"/>
                <w:szCs w:val="20"/>
                <w:lang w:eastAsia="ja-JP"/>
              </w:rPr>
            </w:pPr>
            <w:r w:rsidRPr="00B82B39">
              <w:rPr>
                <w:sz w:val="20"/>
                <w:szCs w:val="20"/>
                <w:lang w:eastAsia="ja-JP"/>
              </w:rPr>
              <w:t>Nonresponders during the first 2 cycles</w:t>
            </w:r>
          </w:p>
        </w:tc>
        <w:tc>
          <w:tcPr>
            <w:tcW w:w="271" w:type="pct"/>
          </w:tcPr>
          <w:p w14:paraId="61C8236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418" w:type="pct"/>
          </w:tcPr>
          <w:p w14:paraId="560410D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30" w:type="pct"/>
          </w:tcPr>
          <w:p w14:paraId="75071F2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93" w:type="pct"/>
          </w:tcPr>
          <w:p w14:paraId="2D4348E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91" w:type="pct"/>
          </w:tcPr>
          <w:p w14:paraId="09518EA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97" w:type="pct"/>
          </w:tcPr>
          <w:p w14:paraId="18D98AD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51" w:type="pct"/>
          </w:tcPr>
          <w:p w14:paraId="6CB0E1A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80" w:type="pct"/>
          </w:tcPr>
          <w:p w14:paraId="58CCB0CF"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62" w:type="pct"/>
          </w:tcPr>
          <w:p w14:paraId="3FA7CE7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6A3B04" w:rsidRPr="00B82B39" w14:paraId="1983B8E6"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6CB32E99" w14:textId="77777777" w:rsidR="00A7727F" w:rsidRPr="00B82B39" w:rsidRDefault="00A7727F" w:rsidP="00B82B39">
            <w:pPr>
              <w:keepNext/>
              <w:ind w:left="0" w:right="0"/>
              <w:rPr>
                <w:sz w:val="20"/>
                <w:szCs w:val="20"/>
                <w:lang w:eastAsia="ja-JP"/>
              </w:rPr>
            </w:pPr>
            <w:r w:rsidRPr="00B82B39">
              <w:rPr>
                <w:sz w:val="20"/>
                <w:szCs w:val="20"/>
                <w:lang w:eastAsia="ja-JP"/>
              </w:rPr>
              <w:t>Progressive disease</w:t>
            </w:r>
          </w:p>
        </w:tc>
        <w:tc>
          <w:tcPr>
            <w:tcW w:w="271" w:type="pct"/>
          </w:tcPr>
          <w:p w14:paraId="310F952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27</w:t>
            </w:r>
          </w:p>
        </w:tc>
        <w:tc>
          <w:tcPr>
            <w:tcW w:w="418" w:type="pct"/>
          </w:tcPr>
          <w:p w14:paraId="3DDAA0E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(14.3%)</w:t>
            </w:r>
          </w:p>
        </w:tc>
        <w:tc>
          <w:tcPr>
            <w:tcW w:w="630" w:type="pct"/>
          </w:tcPr>
          <w:p w14:paraId="075BE20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93" w:type="pct"/>
          </w:tcPr>
          <w:p w14:paraId="6AFA5EF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27</w:t>
            </w:r>
          </w:p>
        </w:tc>
        <w:tc>
          <w:tcPr>
            <w:tcW w:w="391" w:type="pct"/>
          </w:tcPr>
          <w:p w14:paraId="221AD7D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(15.7%)</w:t>
            </w:r>
          </w:p>
        </w:tc>
        <w:tc>
          <w:tcPr>
            <w:tcW w:w="697" w:type="pct"/>
          </w:tcPr>
          <w:p w14:paraId="7AD73B5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51" w:type="pct"/>
          </w:tcPr>
          <w:p w14:paraId="2E0BF8C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25</w:t>
            </w:r>
          </w:p>
        </w:tc>
        <w:tc>
          <w:tcPr>
            <w:tcW w:w="380" w:type="pct"/>
          </w:tcPr>
          <w:p w14:paraId="1C52EC0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(15.0%)</w:t>
            </w:r>
          </w:p>
        </w:tc>
        <w:tc>
          <w:tcPr>
            <w:tcW w:w="662" w:type="pct"/>
          </w:tcPr>
          <w:p w14:paraId="3436130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6A3B04" w:rsidRPr="00B82B39" w14:paraId="151151C6"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6D59177C" w14:textId="77777777" w:rsidR="00A7727F" w:rsidRPr="00B82B39" w:rsidRDefault="00A7727F" w:rsidP="00B82B39">
            <w:pPr>
              <w:keepNext/>
              <w:ind w:left="0" w:right="0"/>
              <w:rPr>
                <w:sz w:val="20"/>
                <w:szCs w:val="20"/>
                <w:lang w:eastAsia="ja-JP"/>
              </w:rPr>
            </w:pPr>
            <w:r w:rsidRPr="00B82B39">
              <w:rPr>
                <w:sz w:val="20"/>
                <w:szCs w:val="20"/>
                <w:lang w:eastAsia="ja-JP"/>
              </w:rPr>
              <w:t>Nonresponse</w:t>
            </w:r>
          </w:p>
        </w:tc>
        <w:tc>
          <w:tcPr>
            <w:tcW w:w="271" w:type="pct"/>
          </w:tcPr>
          <w:p w14:paraId="0DE6D84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41</w:t>
            </w:r>
          </w:p>
        </w:tc>
        <w:tc>
          <w:tcPr>
            <w:tcW w:w="418" w:type="pct"/>
          </w:tcPr>
          <w:p w14:paraId="6C03C26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(21.7%)</w:t>
            </w:r>
          </w:p>
        </w:tc>
        <w:tc>
          <w:tcPr>
            <w:tcW w:w="630" w:type="pct"/>
          </w:tcPr>
          <w:p w14:paraId="6744F1F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93" w:type="pct"/>
          </w:tcPr>
          <w:p w14:paraId="5B04160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41</w:t>
            </w:r>
          </w:p>
        </w:tc>
        <w:tc>
          <w:tcPr>
            <w:tcW w:w="391" w:type="pct"/>
          </w:tcPr>
          <w:p w14:paraId="46CD0CD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(23.8%)</w:t>
            </w:r>
          </w:p>
        </w:tc>
        <w:tc>
          <w:tcPr>
            <w:tcW w:w="697" w:type="pct"/>
          </w:tcPr>
          <w:p w14:paraId="4371695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51" w:type="pct"/>
          </w:tcPr>
          <w:p w14:paraId="70E3306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37</w:t>
            </w:r>
          </w:p>
        </w:tc>
        <w:tc>
          <w:tcPr>
            <w:tcW w:w="380" w:type="pct"/>
          </w:tcPr>
          <w:p w14:paraId="56C3EA2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(22.2%)</w:t>
            </w:r>
          </w:p>
        </w:tc>
        <w:tc>
          <w:tcPr>
            <w:tcW w:w="662" w:type="pct"/>
          </w:tcPr>
          <w:p w14:paraId="34FAD02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6A3B04" w:rsidRPr="00B82B39" w14:paraId="24283D60" w14:textId="77777777" w:rsidTr="006A3B04">
        <w:tc>
          <w:tcPr>
            <w:cnfStyle w:val="001000000000" w:firstRow="0" w:lastRow="0" w:firstColumn="1" w:lastColumn="0" w:oddVBand="0" w:evenVBand="0" w:oddHBand="0" w:evenHBand="0" w:firstRowFirstColumn="0" w:firstRowLastColumn="0" w:lastRowFirstColumn="0" w:lastRowLastColumn="0"/>
            <w:tcW w:w="1007" w:type="pct"/>
          </w:tcPr>
          <w:p w14:paraId="547AE355" w14:textId="77777777" w:rsidR="00A7727F" w:rsidRPr="00B82B39" w:rsidRDefault="00A7727F" w:rsidP="00B82B39">
            <w:pPr>
              <w:ind w:left="0" w:right="0"/>
              <w:rPr>
                <w:sz w:val="20"/>
                <w:szCs w:val="20"/>
              </w:rPr>
            </w:pPr>
            <w:r w:rsidRPr="00B82B39">
              <w:rPr>
                <w:sz w:val="20"/>
                <w:szCs w:val="20"/>
              </w:rPr>
              <w:t>No response data</w:t>
            </w:r>
          </w:p>
        </w:tc>
        <w:tc>
          <w:tcPr>
            <w:tcW w:w="271" w:type="pct"/>
          </w:tcPr>
          <w:p w14:paraId="09701BE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18</w:t>
            </w:r>
          </w:p>
        </w:tc>
        <w:tc>
          <w:tcPr>
            <w:tcW w:w="418" w:type="pct"/>
          </w:tcPr>
          <w:p w14:paraId="2CEA6513"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w:t>
            </w:r>
          </w:p>
        </w:tc>
        <w:tc>
          <w:tcPr>
            <w:tcW w:w="630" w:type="pct"/>
          </w:tcPr>
          <w:p w14:paraId="373457A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93" w:type="pct"/>
          </w:tcPr>
          <w:p w14:paraId="6E14768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w:t>
            </w:r>
          </w:p>
        </w:tc>
        <w:tc>
          <w:tcPr>
            <w:tcW w:w="391" w:type="pct"/>
          </w:tcPr>
          <w:p w14:paraId="22138AA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(0.6%)</w:t>
            </w:r>
          </w:p>
        </w:tc>
        <w:tc>
          <w:tcPr>
            <w:tcW w:w="697" w:type="pct"/>
          </w:tcPr>
          <w:p w14:paraId="62BB2DAA"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51" w:type="pct"/>
          </w:tcPr>
          <w:p w14:paraId="41D3BC6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17</w:t>
            </w:r>
          </w:p>
        </w:tc>
        <w:tc>
          <w:tcPr>
            <w:tcW w:w="380" w:type="pct"/>
          </w:tcPr>
          <w:p w14:paraId="72EFBFF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(10.2%)</w:t>
            </w:r>
          </w:p>
        </w:tc>
        <w:tc>
          <w:tcPr>
            <w:tcW w:w="662" w:type="pct"/>
          </w:tcPr>
          <w:p w14:paraId="72A44CE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bl>
    <w:p w14:paraId="36C7498B" w14:textId="5BAC0E9F" w:rsidR="00A7727F" w:rsidRPr="00A7727F" w:rsidRDefault="00A7727F" w:rsidP="00C3708C">
      <w:pPr>
        <w:pStyle w:val="Tabletitle"/>
        <w:rPr>
          <w:lang w:eastAsia="ja-JP"/>
        </w:rPr>
      </w:pPr>
      <w:bookmarkStart w:id="174" w:name="_Toc292015707"/>
      <w:r w:rsidRPr="00A7727F">
        <w:rPr>
          <w:lang w:eastAsia="ja-JP"/>
        </w:rPr>
        <w:t xml:space="preserve">Table </w:t>
      </w:r>
      <w:r w:rsidR="00B82B39">
        <w:rPr>
          <w:lang w:eastAsia="ja-JP"/>
        </w:rPr>
        <w:t>24:</w:t>
      </w:r>
      <w:r w:rsidR="00375CAE">
        <w:rPr>
          <w:lang w:eastAsia="ja-JP"/>
        </w:rPr>
        <w:t xml:space="preserve"> </w:t>
      </w:r>
      <w:r w:rsidR="006A3B04">
        <w:rPr>
          <w:lang w:eastAsia="ja-JP"/>
        </w:rPr>
        <w:t>Best response during core s</w:t>
      </w:r>
      <w:r w:rsidRPr="00A7727F">
        <w:rPr>
          <w:lang w:eastAsia="ja-JP"/>
        </w:rPr>
        <w:t>tudy</w:t>
      </w:r>
      <w:bookmarkEnd w:id="174"/>
    </w:p>
    <w:tbl>
      <w:tblPr>
        <w:tblStyle w:val="TableTGAblue"/>
        <w:tblW w:w="5000" w:type="pct"/>
        <w:tblLook w:val="04A0" w:firstRow="1" w:lastRow="0" w:firstColumn="1" w:lastColumn="0" w:noHBand="0" w:noVBand="1"/>
        <w:tblDescription w:val="Table 24: Best response during core study"/>
      </w:tblPr>
      <w:tblGrid>
        <w:gridCol w:w="2431"/>
        <w:gridCol w:w="438"/>
        <w:gridCol w:w="920"/>
        <w:gridCol w:w="934"/>
        <w:gridCol w:w="438"/>
        <w:gridCol w:w="920"/>
        <w:gridCol w:w="902"/>
        <w:gridCol w:w="438"/>
        <w:gridCol w:w="920"/>
        <w:gridCol w:w="901"/>
      </w:tblGrid>
      <w:tr w:rsidR="00A7727F" w:rsidRPr="00B82B39" w14:paraId="3C35FD96" w14:textId="77777777" w:rsidTr="00B82B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4" w:type="pct"/>
            <w:vMerge w:val="restart"/>
          </w:tcPr>
          <w:p w14:paraId="414863EF" w14:textId="6D5D24ED" w:rsidR="00A7727F" w:rsidRPr="00B82B39" w:rsidRDefault="00DB50B7" w:rsidP="00B82B39">
            <w:pPr>
              <w:keepNext/>
              <w:ind w:left="0" w:right="0"/>
              <w:rPr>
                <w:sz w:val="20"/>
                <w:szCs w:val="20"/>
                <w:lang w:eastAsia="ja-JP"/>
              </w:rPr>
            </w:pPr>
            <w:r w:rsidRPr="00B82B39">
              <w:rPr>
                <w:sz w:val="20"/>
                <w:szCs w:val="20"/>
                <w:lang w:eastAsia="ja-JP"/>
              </w:rPr>
              <w:t>Best r</w:t>
            </w:r>
            <w:r w:rsidR="00A7727F" w:rsidRPr="00B82B39">
              <w:rPr>
                <w:sz w:val="20"/>
                <w:szCs w:val="20"/>
                <w:lang w:eastAsia="ja-JP"/>
              </w:rPr>
              <w:t>esponse</w:t>
            </w:r>
          </w:p>
        </w:tc>
        <w:tc>
          <w:tcPr>
            <w:tcW w:w="1162" w:type="pct"/>
            <w:gridSpan w:val="3"/>
          </w:tcPr>
          <w:p w14:paraId="112EA75C"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PAS/FAS </w:t>
            </w:r>
          </w:p>
          <w:p w14:paraId="45D73E9A" w14:textId="6B735011"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Pr="00B82B39">
              <w:rPr>
                <w:sz w:val="20"/>
                <w:szCs w:val="20"/>
                <w:lang w:eastAsia="ja-JP"/>
              </w:rPr>
              <w:t>189)</w:t>
            </w:r>
          </w:p>
        </w:tc>
        <w:tc>
          <w:tcPr>
            <w:tcW w:w="1187" w:type="pct"/>
            <w:gridSpan w:val="3"/>
          </w:tcPr>
          <w:p w14:paraId="6D896D0A"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EFS</w:t>
            </w:r>
          </w:p>
          <w:p w14:paraId="4C290355" w14:textId="6CC3154D"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Pr="00B82B39">
              <w:rPr>
                <w:sz w:val="20"/>
                <w:szCs w:val="20"/>
                <w:lang w:eastAsia="ja-JP"/>
              </w:rPr>
              <w:t>172)</w:t>
            </w:r>
          </w:p>
        </w:tc>
        <w:tc>
          <w:tcPr>
            <w:tcW w:w="1187" w:type="pct"/>
            <w:gridSpan w:val="3"/>
          </w:tcPr>
          <w:p w14:paraId="5C71A087"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PPS</w:t>
            </w:r>
          </w:p>
          <w:p w14:paraId="0E285448" w14:textId="52D9409B"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Pr="00B82B39">
              <w:rPr>
                <w:sz w:val="20"/>
                <w:szCs w:val="20"/>
                <w:lang w:eastAsia="ja-JP"/>
              </w:rPr>
              <w:t>167)</w:t>
            </w:r>
          </w:p>
        </w:tc>
      </w:tr>
      <w:tr w:rsidR="00A7727F" w:rsidRPr="00B82B39" w14:paraId="7F080503" w14:textId="77777777" w:rsidTr="00B82B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64" w:type="pct"/>
            <w:vMerge/>
          </w:tcPr>
          <w:p w14:paraId="7E4E3C81" w14:textId="77777777" w:rsidR="00A7727F" w:rsidRPr="00B82B39" w:rsidRDefault="00A7727F" w:rsidP="00B82B39">
            <w:pPr>
              <w:keepNext/>
              <w:ind w:left="0" w:right="0"/>
              <w:rPr>
                <w:sz w:val="20"/>
                <w:szCs w:val="20"/>
                <w:lang w:eastAsia="ja-JP"/>
              </w:rPr>
            </w:pPr>
          </w:p>
        </w:tc>
        <w:tc>
          <w:tcPr>
            <w:tcW w:w="173" w:type="pct"/>
          </w:tcPr>
          <w:p w14:paraId="1A7418FA"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p>
        </w:tc>
        <w:tc>
          <w:tcPr>
            <w:tcW w:w="335" w:type="pct"/>
          </w:tcPr>
          <w:p w14:paraId="72EEE8E3"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c>
          <w:tcPr>
            <w:tcW w:w="654" w:type="pct"/>
          </w:tcPr>
          <w:p w14:paraId="526943E6"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 CI</w:t>
            </w:r>
          </w:p>
        </w:tc>
        <w:tc>
          <w:tcPr>
            <w:tcW w:w="173" w:type="pct"/>
          </w:tcPr>
          <w:p w14:paraId="2B5EBD13"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p>
        </w:tc>
        <w:tc>
          <w:tcPr>
            <w:tcW w:w="377" w:type="pct"/>
          </w:tcPr>
          <w:p w14:paraId="6C8858AB"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c>
          <w:tcPr>
            <w:tcW w:w="637" w:type="pct"/>
          </w:tcPr>
          <w:p w14:paraId="45BE7EFF"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 CI</w:t>
            </w:r>
          </w:p>
        </w:tc>
        <w:tc>
          <w:tcPr>
            <w:tcW w:w="174" w:type="pct"/>
          </w:tcPr>
          <w:p w14:paraId="381AE59D"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n</w:t>
            </w:r>
          </w:p>
        </w:tc>
        <w:tc>
          <w:tcPr>
            <w:tcW w:w="377" w:type="pct"/>
          </w:tcPr>
          <w:p w14:paraId="7AE77DDD"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c>
          <w:tcPr>
            <w:tcW w:w="636" w:type="pct"/>
          </w:tcPr>
          <w:p w14:paraId="1DD49294" w14:textId="77777777" w:rsidR="00A7727F" w:rsidRPr="00B82B39" w:rsidRDefault="00A7727F" w:rsidP="00B82B39">
            <w:pPr>
              <w:keepNext/>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95% CI</w:t>
            </w:r>
          </w:p>
        </w:tc>
      </w:tr>
      <w:tr w:rsidR="00A7727F" w:rsidRPr="00B82B39" w14:paraId="624D5133"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71B54EB4" w14:textId="77777777" w:rsidR="00A7727F" w:rsidRPr="00B82B39" w:rsidRDefault="00A7727F" w:rsidP="00B82B39">
            <w:pPr>
              <w:keepNext/>
              <w:ind w:left="0" w:right="0"/>
              <w:rPr>
                <w:sz w:val="20"/>
                <w:szCs w:val="20"/>
                <w:lang w:eastAsia="ja-JP"/>
              </w:rPr>
            </w:pPr>
            <w:r w:rsidRPr="00B82B39">
              <w:rPr>
                <w:sz w:val="20"/>
                <w:szCs w:val="20"/>
                <w:lang w:eastAsia="ja-JP"/>
              </w:rPr>
              <w:t>CR/CRh*</w:t>
            </w:r>
          </w:p>
        </w:tc>
        <w:tc>
          <w:tcPr>
            <w:tcW w:w="173" w:type="pct"/>
          </w:tcPr>
          <w:p w14:paraId="5399511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82</w:t>
            </w:r>
          </w:p>
        </w:tc>
        <w:tc>
          <w:tcPr>
            <w:tcW w:w="335" w:type="pct"/>
          </w:tcPr>
          <w:p w14:paraId="3BC8C96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(43.4%)</w:t>
            </w:r>
          </w:p>
        </w:tc>
        <w:tc>
          <w:tcPr>
            <w:tcW w:w="654" w:type="pct"/>
          </w:tcPr>
          <w:p w14:paraId="20E268E7" w14:textId="1FFE570E"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(36.2</w:t>
            </w:r>
            <w:r w:rsidR="006A3B04" w:rsidRPr="00B82B39">
              <w:rPr>
                <w:sz w:val="20"/>
                <w:szCs w:val="20"/>
                <w:lang w:eastAsia="ja-JP"/>
              </w:rPr>
              <w:t xml:space="preserve"> to </w:t>
            </w:r>
            <w:r w:rsidRPr="00B82B39">
              <w:rPr>
                <w:sz w:val="20"/>
                <w:szCs w:val="20"/>
                <w:lang w:eastAsia="ja-JP"/>
              </w:rPr>
              <w:t>50.8%)</w:t>
            </w:r>
          </w:p>
        </w:tc>
        <w:tc>
          <w:tcPr>
            <w:tcW w:w="173" w:type="pct"/>
          </w:tcPr>
          <w:p w14:paraId="28DF378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82</w:t>
            </w:r>
          </w:p>
        </w:tc>
        <w:tc>
          <w:tcPr>
            <w:tcW w:w="377" w:type="pct"/>
          </w:tcPr>
          <w:p w14:paraId="1661956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(47.7%)</w:t>
            </w:r>
          </w:p>
        </w:tc>
        <w:tc>
          <w:tcPr>
            <w:tcW w:w="637" w:type="pct"/>
          </w:tcPr>
          <w:p w14:paraId="38AC5639" w14:textId="127A89F8"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(40.0</w:t>
            </w:r>
            <w:r w:rsidR="006A3B04" w:rsidRPr="00B82B39">
              <w:rPr>
                <w:sz w:val="20"/>
                <w:szCs w:val="20"/>
                <w:lang w:eastAsia="ja-JP"/>
              </w:rPr>
              <w:t xml:space="preserve"> to </w:t>
            </w:r>
            <w:r w:rsidRPr="00B82B39">
              <w:rPr>
                <w:sz w:val="20"/>
                <w:szCs w:val="20"/>
                <w:lang w:eastAsia="ja-JP"/>
              </w:rPr>
              <w:t>55.4%)</w:t>
            </w:r>
          </w:p>
        </w:tc>
        <w:tc>
          <w:tcPr>
            <w:tcW w:w="174" w:type="pct"/>
          </w:tcPr>
          <w:p w14:paraId="46749416"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68</w:t>
            </w:r>
          </w:p>
        </w:tc>
        <w:tc>
          <w:tcPr>
            <w:tcW w:w="377" w:type="pct"/>
          </w:tcPr>
          <w:p w14:paraId="0161DF7F"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(40.7%)</w:t>
            </w:r>
          </w:p>
        </w:tc>
        <w:tc>
          <w:tcPr>
            <w:tcW w:w="636" w:type="pct"/>
          </w:tcPr>
          <w:p w14:paraId="22C7B3E6" w14:textId="15BB91F1"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(33.2</w:t>
            </w:r>
            <w:r w:rsidR="006A3B04" w:rsidRPr="00B82B39">
              <w:rPr>
                <w:sz w:val="20"/>
                <w:szCs w:val="20"/>
                <w:lang w:eastAsia="ja-JP"/>
              </w:rPr>
              <w:t xml:space="preserve"> to </w:t>
            </w:r>
            <w:r w:rsidRPr="00B82B39">
              <w:rPr>
                <w:sz w:val="20"/>
                <w:szCs w:val="20"/>
                <w:lang w:eastAsia="ja-JP"/>
              </w:rPr>
              <w:t>48.6%)</w:t>
            </w:r>
          </w:p>
        </w:tc>
      </w:tr>
      <w:tr w:rsidR="00A7727F" w:rsidRPr="00B82B39" w14:paraId="2D3142B2"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4B310448" w14:textId="692996E0" w:rsidR="00A7727F" w:rsidRPr="00B82B39" w:rsidRDefault="00A7727F" w:rsidP="00B82B39">
            <w:pPr>
              <w:keepNext/>
              <w:ind w:left="0" w:right="0"/>
              <w:rPr>
                <w:sz w:val="20"/>
                <w:szCs w:val="20"/>
                <w:lang w:eastAsia="ja-JP"/>
              </w:rPr>
            </w:pPr>
            <w:r w:rsidRPr="00B82B39">
              <w:rPr>
                <w:sz w:val="20"/>
                <w:szCs w:val="20"/>
                <w:lang w:eastAsia="ja-JP"/>
              </w:rPr>
              <w:t>Complete remission (CR)</w:t>
            </w:r>
          </w:p>
        </w:tc>
        <w:tc>
          <w:tcPr>
            <w:tcW w:w="173" w:type="pct"/>
          </w:tcPr>
          <w:p w14:paraId="327E0BC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67</w:t>
            </w:r>
          </w:p>
        </w:tc>
        <w:tc>
          <w:tcPr>
            <w:tcW w:w="335" w:type="pct"/>
          </w:tcPr>
          <w:p w14:paraId="2896D86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(35.4%)</w:t>
            </w:r>
          </w:p>
        </w:tc>
        <w:tc>
          <w:tcPr>
            <w:tcW w:w="654" w:type="pct"/>
          </w:tcPr>
          <w:p w14:paraId="3DF83AE9" w14:textId="7874696D"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(28.6</w:t>
            </w:r>
            <w:r w:rsidR="006A3B04" w:rsidRPr="00B82B39">
              <w:rPr>
                <w:sz w:val="20"/>
                <w:szCs w:val="20"/>
                <w:lang w:eastAsia="ja-JP"/>
              </w:rPr>
              <w:t xml:space="preserve"> to </w:t>
            </w:r>
            <w:r w:rsidRPr="00B82B39">
              <w:rPr>
                <w:sz w:val="20"/>
                <w:szCs w:val="20"/>
                <w:lang w:eastAsia="ja-JP"/>
              </w:rPr>
              <w:t>42.7%)</w:t>
            </w:r>
          </w:p>
        </w:tc>
        <w:tc>
          <w:tcPr>
            <w:tcW w:w="173" w:type="pct"/>
          </w:tcPr>
          <w:p w14:paraId="76F8DA8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67</w:t>
            </w:r>
          </w:p>
        </w:tc>
        <w:tc>
          <w:tcPr>
            <w:tcW w:w="377" w:type="pct"/>
          </w:tcPr>
          <w:p w14:paraId="43E45DB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(39.0%)</w:t>
            </w:r>
          </w:p>
        </w:tc>
        <w:tc>
          <w:tcPr>
            <w:tcW w:w="637" w:type="pct"/>
          </w:tcPr>
          <w:p w14:paraId="2AECD655" w14:textId="27E1C450"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(31.6</w:t>
            </w:r>
            <w:r w:rsidR="006A3B04" w:rsidRPr="00B82B39">
              <w:rPr>
                <w:sz w:val="20"/>
                <w:szCs w:val="20"/>
                <w:lang w:eastAsia="ja-JP"/>
              </w:rPr>
              <w:t xml:space="preserve"> to </w:t>
            </w:r>
            <w:r w:rsidRPr="00B82B39">
              <w:rPr>
                <w:sz w:val="20"/>
                <w:szCs w:val="20"/>
                <w:lang w:eastAsia="ja-JP"/>
              </w:rPr>
              <w:t>46.7%)</w:t>
            </w:r>
          </w:p>
        </w:tc>
        <w:tc>
          <w:tcPr>
            <w:tcW w:w="174" w:type="pct"/>
          </w:tcPr>
          <w:p w14:paraId="5AE736F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55</w:t>
            </w:r>
          </w:p>
        </w:tc>
        <w:tc>
          <w:tcPr>
            <w:tcW w:w="377" w:type="pct"/>
          </w:tcPr>
          <w:p w14:paraId="7334BBD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(32.9%)</w:t>
            </w:r>
          </w:p>
        </w:tc>
        <w:tc>
          <w:tcPr>
            <w:tcW w:w="636" w:type="pct"/>
          </w:tcPr>
          <w:p w14:paraId="4917B2C0" w14:textId="59E514A3"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(25.9</w:t>
            </w:r>
            <w:r w:rsidR="006A3B04" w:rsidRPr="00B82B39">
              <w:rPr>
                <w:sz w:val="20"/>
                <w:szCs w:val="20"/>
                <w:lang w:eastAsia="ja-JP"/>
              </w:rPr>
              <w:t xml:space="preserve"> to </w:t>
            </w:r>
            <w:r w:rsidRPr="00B82B39">
              <w:rPr>
                <w:sz w:val="20"/>
                <w:szCs w:val="20"/>
                <w:lang w:eastAsia="ja-JP"/>
              </w:rPr>
              <w:t>40.6%)</w:t>
            </w:r>
          </w:p>
        </w:tc>
      </w:tr>
      <w:tr w:rsidR="00A7727F" w:rsidRPr="00B82B39" w14:paraId="10D501FD" w14:textId="77777777" w:rsidTr="006A3B04">
        <w:trPr>
          <w:trHeight w:val="178"/>
        </w:trPr>
        <w:tc>
          <w:tcPr>
            <w:cnfStyle w:val="001000000000" w:firstRow="0" w:lastRow="0" w:firstColumn="1" w:lastColumn="0" w:oddVBand="0" w:evenVBand="0" w:oddHBand="0" w:evenHBand="0" w:firstRowFirstColumn="0" w:firstRowLastColumn="0" w:lastRowFirstColumn="0" w:lastRowLastColumn="0"/>
            <w:tcW w:w="1464" w:type="pct"/>
          </w:tcPr>
          <w:p w14:paraId="55D8836D" w14:textId="7B8DFB32" w:rsidR="00A7727F" w:rsidRPr="00B82B39" w:rsidRDefault="00A7727F" w:rsidP="00B82B39">
            <w:pPr>
              <w:keepNext/>
              <w:ind w:left="0" w:right="0"/>
              <w:rPr>
                <w:sz w:val="20"/>
                <w:szCs w:val="20"/>
                <w:lang w:eastAsia="ja-JP"/>
              </w:rPr>
            </w:pPr>
            <w:r w:rsidRPr="00B82B39">
              <w:rPr>
                <w:sz w:val="20"/>
                <w:szCs w:val="20"/>
                <w:lang w:eastAsia="ja-JP"/>
              </w:rPr>
              <w:t>Complete remission with only partial h</w:t>
            </w:r>
            <w:r w:rsidR="006A3B04" w:rsidRPr="00B82B39">
              <w:rPr>
                <w:sz w:val="20"/>
                <w:szCs w:val="20"/>
                <w:lang w:eastAsia="ja-JP"/>
              </w:rPr>
              <w:t>a</w:t>
            </w:r>
            <w:r w:rsidRPr="00B82B39">
              <w:rPr>
                <w:sz w:val="20"/>
                <w:szCs w:val="20"/>
                <w:lang w:eastAsia="ja-JP"/>
              </w:rPr>
              <w:t>ematological recovery (CRh*)</w:t>
            </w:r>
          </w:p>
        </w:tc>
        <w:tc>
          <w:tcPr>
            <w:tcW w:w="173" w:type="pct"/>
          </w:tcPr>
          <w:p w14:paraId="6E36C17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p>
        </w:tc>
        <w:tc>
          <w:tcPr>
            <w:tcW w:w="335" w:type="pct"/>
          </w:tcPr>
          <w:p w14:paraId="45A9D0E5"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(7.9%)</w:t>
            </w:r>
          </w:p>
        </w:tc>
        <w:tc>
          <w:tcPr>
            <w:tcW w:w="654" w:type="pct"/>
          </w:tcPr>
          <w:p w14:paraId="1EBFBE08" w14:textId="2157032A"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(4.5</w:t>
            </w:r>
            <w:r w:rsidR="006A3B04" w:rsidRPr="00B82B39">
              <w:rPr>
                <w:sz w:val="20"/>
                <w:szCs w:val="20"/>
                <w:lang w:eastAsia="ja-JP"/>
              </w:rPr>
              <w:t xml:space="preserve"> to </w:t>
            </w:r>
            <w:r w:rsidRPr="00B82B39">
              <w:rPr>
                <w:sz w:val="20"/>
                <w:szCs w:val="20"/>
                <w:lang w:eastAsia="ja-JP"/>
              </w:rPr>
              <w:t>12.8%)</w:t>
            </w:r>
          </w:p>
        </w:tc>
        <w:tc>
          <w:tcPr>
            <w:tcW w:w="173" w:type="pct"/>
          </w:tcPr>
          <w:p w14:paraId="3CE9EE6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p>
        </w:tc>
        <w:tc>
          <w:tcPr>
            <w:tcW w:w="377" w:type="pct"/>
          </w:tcPr>
          <w:p w14:paraId="756BD9C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(8.7%)</w:t>
            </w:r>
          </w:p>
        </w:tc>
        <w:tc>
          <w:tcPr>
            <w:tcW w:w="637" w:type="pct"/>
          </w:tcPr>
          <w:p w14:paraId="458EAADE" w14:textId="6D39DD36"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(5.0</w:t>
            </w:r>
            <w:r w:rsidR="006A3B04" w:rsidRPr="00B82B39">
              <w:rPr>
                <w:sz w:val="20"/>
                <w:szCs w:val="20"/>
                <w:lang w:eastAsia="ja-JP"/>
              </w:rPr>
              <w:t xml:space="preserve"> to </w:t>
            </w:r>
            <w:r w:rsidRPr="00B82B39">
              <w:rPr>
                <w:sz w:val="20"/>
                <w:szCs w:val="20"/>
                <w:lang w:eastAsia="ja-JP"/>
              </w:rPr>
              <w:t>14.0%)</w:t>
            </w:r>
          </w:p>
        </w:tc>
        <w:tc>
          <w:tcPr>
            <w:tcW w:w="174" w:type="pct"/>
          </w:tcPr>
          <w:p w14:paraId="0D3DDEFE"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13</w:t>
            </w:r>
          </w:p>
        </w:tc>
        <w:tc>
          <w:tcPr>
            <w:tcW w:w="377" w:type="pct"/>
          </w:tcPr>
          <w:p w14:paraId="19A06FA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(7.8%)</w:t>
            </w:r>
          </w:p>
        </w:tc>
        <w:tc>
          <w:tcPr>
            <w:tcW w:w="636" w:type="pct"/>
          </w:tcPr>
          <w:p w14:paraId="3AE8D235" w14:textId="708F4D5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(4.2</w:t>
            </w:r>
            <w:r w:rsidR="006A3B04" w:rsidRPr="00B82B39">
              <w:rPr>
                <w:sz w:val="20"/>
                <w:szCs w:val="20"/>
                <w:lang w:eastAsia="ja-JP"/>
              </w:rPr>
              <w:t xml:space="preserve"> to </w:t>
            </w:r>
            <w:r w:rsidRPr="00B82B39">
              <w:rPr>
                <w:sz w:val="20"/>
                <w:szCs w:val="20"/>
                <w:lang w:eastAsia="ja-JP"/>
              </w:rPr>
              <w:t>12.9%)</w:t>
            </w:r>
          </w:p>
        </w:tc>
      </w:tr>
      <w:tr w:rsidR="00A7727F" w:rsidRPr="00B82B39" w14:paraId="76814B3A"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56BA0C5E" w14:textId="77777777" w:rsidR="00A7727F" w:rsidRPr="00B82B39" w:rsidRDefault="00A7727F" w:rsidP="00B82B39">
            <w:pPr>
              <w:keepNext/>
              <w:ind w:left="0" w:right="0"/>
              <w:rPr>
                <w:sz w:val="20"/>
                <w:szCs w:val="20"/>
                <w:lang w:eastAsia="ja-JP"/>
              </w:rPr>
            </w:pPr>
            <w:r w:rsidRPr="00B82B39">
              <w:rPr>
                <w:sz w:val="20"/>
                <w:szCs w:val="20"/>
                <w:lang w:eastAsia="ja-JP"/>
              </w:rPr>
              <w:t>Blast free hypoplastic or aplastic bone marrow</w:t>
            </w:r>
          </w:p>
        </w:tc>
        <w:tc>
          <w:tcPr>
            <w:tcW w:w="173" w:type="pct"/>
          </w:tcPr>
          <w:p w14:paraId="3A795A9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17</w:t>
            </w:r>
          </w:p>
        </w:tc>
        <w:tc>
          <w:tcPr>
            <w:tcW w:w="335" w:type="pct"/>
          </w:tcPr>
          <w:p w14:paraId="5C95815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(9.0%)</w:t>
            </w:r>
          </w:p>
        </w:tc>
        <w:tc>
          <w:tcPr>
            <w:tcW w:w="654" w:type="pct"/>
          </w:tcPr>
          <w:p w14:paraId="6E90A832" w14:textId="708A2E90"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(5.3</w:t>
            </w:r>
            <w:r w:rsidR="006A3B04" w:rsidRPr="00B82B39">
              <w:rPr>
                <w:sz w:val="20"/>
                <w:szCs w:val="20"/>
                <w:lang w:eastAsia="ja-JP"/>
              </w:rPr>
              <w:t xml:space="preserve"> to </w:t>
            </w:r>
            <w:r w:rsidRPr="00B82B39">
              <w:rPr>
                <w:sz w:val="20"/>
                <w:szCs w:val="20"/>
                <w:lang w:eastAsia="ja-JP"/>
              </w:rPr>
              <w:t>14.0%)</w:t>
            </w:r>
          </w:p>
        </w:tc>
        <w:tc>
          <w:tcPr>
            <w:tcW w:w="173" w:type="pct"/>
          </w:tcPr>
          <w:p w14:paraId="3E917715"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17</w:t>
            </w:r>
          </w:p>
        </w:tc>
        <w:tc>
          <w:tcPr>
            <w:tcW w:w="377" w:type="pct"/>
          </w:tcPr>
          <w:p w14:paraId="6D923046"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(9.9%)</w:t>
            </w:r>
          </w:p>
        </w:tc>
        <w:tc>
          <w:tcPr>
            <w:tcW w:w="637" w:type="pct"/>
          </w:tcPr>
          <w:p w14:paraId="1C52F0DB" w14:textId="4725C96D"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(5.9</w:t>
            </w:r>
            <w:r w:rsidR="006A3B04" w:rsidRPr="00B82B39">
              <w:rPr>
                <w:sz w:val="20"/>
                <w:szCs w:val="20"/>
                <w:lang w:eastAsia="ja-JP"/>
              </w:rPr>
              <w:t xml:space="preserve"> to </w:t>
            </w:r>
            <w:r w:rsidRPr="00B82B39">
              <w:rPr>
                <w:sz w:val="20"/>
                <w:szCs w:val="20"/>
                <w:lang w:eastAsia="ja-JP"/>
              </w:rPr>
              <w:t>15.4%)</w:t>
            </w:r>
          </w:p>
        </w:tc>
        <w:tc>
          <w:tcPr>
            <w:tcW w:w="174" w:type="pct"/>
          </w:tcPr>
          <w:p w14:paraId="34EECC1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16</w:t>
            </w:r>
          </w:p>
        </w:tc>
        <w:tc>
          <w:tcPr>
            <w:tcW w:w="377" w:type="pct"/>
          </w:tcPr>
          <w:p w14:paraId="4819441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(9.6%)</w:t>
            </w:r>
          </w:p>
        </w:tc>
        <w:tc>
          <w:tcPr>
            <w:tcW w:w="636" w:type="pct"/>
          </w:tcPr>
          <w:p w14:paraId="0C56BC45" w14:textId="04511AC6"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(5.6</w:t>
            </w:r>
            <w:r w:rsidR="006A3B04" w:rsidRPr="00B82B39">
              <w:rPr>
                <w:sz w:val="20"/>
                <w:szCs w:val="20"/>
                <w:lang w:eastAsia="ja-JP"/>
              </w:rPr>
              <w:t xml:space="preserve"> to </w:t>
            </w:r>
            <w:r w:rsidRPr="00B82B39">
              <w:rPr>
                <w:sz w:val="20"/>
                <w:szCs w:val="20"/>
                <w:lang w:eastAsia="ja-JP"/>
              </w:rPr>
              <w:t>15.1%)</w:t>
            </w:r>
          </w:p>
        </w:tc>
      </w:tr>
      <w:tr w:rsidR="00A7727F" w:rsidRPr="00B82B39" w14:paraId="19EE33A8"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592FD7B2" w14:textId="77777777" w:rsidR="00A7727F" w:rsidRPr="00B82B39" w:rsidRDefault="00A7727F" w:rsidP="00B82B39">
            <w:pPr>
              <w:keepNext/>
              <w:ind w:left="0" w:right="0"/>
              <w:rPr>
                <w:sz w:val="20"/>
                <w:szCs w:val="20"/>
                <w:lang w:eastAsia="ja-JP"/>
              </w:rPr>
            </w:pPr>
            <w:r w:rsidRPr="00B82B39">
              <w:rPr>
                <w:sz w:val="20"/>
                <w:szCs w:val="20"/>
                <w:lang w:eastAsia="ja-JP"/>
              </w:rPr>
              <w:t>Partial remission</w:t>
            </w:r>
          </w:p>
        </w:tc>
        <w:tc>
          <w:tcPr>
            <w:tcW w:w="173" w:type="pct"/>
          </w:tcPr>
          <w:p w14:paraId="1B72A99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335" w:type="pct"/>
          </w:tcPr>
          <w:p w14:paraId="18E1159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(2.6%)</w:t>
            </w:r>
          </w:p>
        </w:tc>
        <w:tc>
          <w:tcPr>
            <w:tcW w:w="654" w:type="pct"/>
          </w:tcPr>
          <w:p w14:paraId="0E05445B" w14:textId="6D15B8FA"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(0.9</w:t>
            </w:r>
            <w:r w:rsidR="006A3B04" w:rsidRPr="00B82B39">
              <w:rPr>
                <w:sz w:val="20"/>
                <w:szCs w:val="20"/>
                <w:lang w:eastAsia="ja-JP"/>
              </w:rPr>
              <w:t xml:space="preserve"> to </w:t>
            </w:r>
            <w:r w:rsidRPr="00B82B39">
              <w:rPr>
                <w:sz w:val="20"/>
                <w:szCs w:val="20"/>
                <w:lang w:eastAsia="ja-JP"/>
              </w:rPr>
              <w:t>6.1%)</w:t>
            </w:r>
          </w:p>
        </w:tc>
        <w:tc>
          <w:tcPr>
            <w:tcW w:w="173" w:type="pct"/>
          </w:tcPr>
          <w:p w14:paraId="7B1C010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377" w:type="pct"/>
          </w:tcPr>
          <w:p w14:paraId="7C5FEBD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(2.9%)</w:t>
            </w:r>
          </w:p>
        </w:tc>
        <w:tc>
          <w:tcPr>
            <w:tcW w:w="637" w:type="pct"/>
          </w:tcPr>
          <w:p w14:paraId="06E86F68" w14:textId="6F7F9BAF"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(1.0</w:t>
            </w:r>
            <w:r w:rsidR="006A3B04" w:rsidRPr="00B82B39">
              <w:rPr>
                <w:sz w:val="20"/>
                <w:szCs w:val="20"/>
                <w:lang w:eastAsia="ja-JP"/>
              </w:rPr>
              <w:t xml:space="preserve"> to </w:t>
            </w:r>
            <w:r w:rsidRPr="00B82B39">
              <w:rPr>
                <w:sz w:val="20"/>
                <w:szCs w:val="20"/>
                <w:lang w:eastAsia="ja-JP"/>
              </w:rPr>
              <w:t>6.7%)</w:t>
            </w:r>
          </w:p>
        </w:tc>
        <w:tc>
          <w:tcPr>
            <w:tcW w:w="174" w:type="pct"/>
          </w:tcPr>
          <w:p w14:paraId="1E068E7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377" w:type="pct"/>
          </w:tcPr>
          <w:p w14:paraId="7C94797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(3.0%)</w:t>
            </w:r>
          </w:p>
        </w:tc>
        <w:tc>
          <w:tcPr>
            <w:tcW w:w="636" w:type="pct"/>
          </w:tcPr>
          <w:p w14:paraId="6703DACF" w14:textId="2BF6C04A"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(1.0</w:t>
            </w:r>
            <w:r w:rsidR="006A3B04" w:rsidRPr="00B82B39">
              <w:rPr>
                <w:sz w:val="20"/>
                <w:szCs w:val="20"/>
                <w:lang w:eastAsia="ja-JP"/>
              </w:rPr>
              <w:t xml:space="preserve"> to </w:t>
            </w:r>
            <w:r w:rsidRPr="00B82B39">
              <w:rPr>
                <w:sz w:val="20"/>
                <w:szCs w:val="20"/>
                <w:lang w:eastAsia="ja-JP"/>
              </w:rPr>
              <w:t>6.8%)</w:t>
            </w:r>
          </w:p>
        </w:tc>
      </w:tr>
      <w:tr w:rsidR="00A7727F" w:rsidRPr="00B82B39" w14:paraId="7C877FBD"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6240828E" w14:textId="2F3E6455" w:rsidR="00A7727F" w:rsidRPr="00B82B39" w:rsidRDefault="00DB50B7" w:rsidP="00B82B39">
            <w:pPr>
              <w:keepNext/>
              <w:ind w:left="0" w:right="0"/>
              <w:rPr>
                <w:sz w:val="20"/>
                <w:szCs w:val="20"/>
                <w:lang w:eastAsia="ja-JP"/>
              </w:rPr>
            </w:pPr>
            <w:r w:rsidRPr="00B82B39">
              <w:rPr>
                <w:sz w:val="20"/>
                <w:szCs w:val="20"/>
                <w:lang w:eastAsia="ja-JP"/>
              </w:rPr>
              <w:t xml:space="preserve">Nonresponders during the </w:t>
            </w:r>
            <w:r w:rsidR="00A7727F" w:rsidRPr="00B82B39">
              <w:rPr>
                <w:sz w:val="20"/>
                <w:szCs w:val="20"/>
                <w:lang w:eastAsia="ja-JP"/>
              </w:rPr>
              <w:t>core study</w:t>
            </w:r>
          </w:p>
        </w:tc>
        <w:tc>
          <w:tcPr>
            <w:tcW w:w="173" w:type="pct"/>
          </w:tcPr>
          <w:p w14:paraId="5FDD6936"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35" w:type="pct"/>
          </w:tcPr>
          <w:p w14:paraId="4C1A1E7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54" w:type="pct"/>
          </w:tcPr>
          <w:p w14:paraId="210FEA5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3" w:type="pct"/>
          </w:tcPr>
          <w:p w14:paraId="7A9DD20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77" w:type="pct"/>
          </w:tcPr>
          <w:p w14:paraId="138F9996"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37" w:type="pct"/>
          </w:tcPr>
          <w:p w14:paraId="0703BBC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4" w:type="pct"/>
          </w:tcPr>
          <w:p w14:paraId="3547822F"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77" w:type="pct"/>
          </w:tcPr>
          <w:p w14:paraId="135A041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36" w:type="pct"/>
          </w:tcPr>
          <w:p w14:paraId="7F5BB6FA"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A7727F" w:rsidRPr="00B82B39" w14:paraId="78E99498"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753C7DA7" w14:textId="77777777" w:rsidR="00A7727F" w:rsidRPr="00B82B39" w:rsidRDefault="00A7727F" w:rsidP="00B82B39">
            <w:pPr>
              <w:keepNext/>
              <w:ind w:left="0" w:right="0"/>
              <w:rPr>
                <w:sz w:val="20"/>
                <w:szCs w:val="20"/>
                <w:lang w:eastAsia="ja-JP"/>
              </w:rPr>
            </w:pPr>
            <w:r w:rsidRPr="00B82B39">
              <w:rPr>
                <w:sz w:val="20"/>
                <w:szCs w:val="20"/>
                <w:lang w:eastAsia="ja-JP"/>
              </w:rPr>
              <w:t>Progressive disease</w:t>
            </w:r>
          </w:p>
        </w:tc>
        <w:tc>
          <w:tcPr>
            <w:tcW w:w="173" w:type="pct"/>
          </w:tcPr>
          <w:p w14:paraId="2CAD6395"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28</w:t>
            </w:r>
          </w:p>
        </w:tc>
        <w:tc>
          <w:tcPr>
            <w:tcW w:w="335" w:type="pct"/>
          </w:tcPr>
          <w:p w14:paraId="12D224F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(14.8%)</w:t>
            </w:r>
          </w:p>
        </w:tc>
        <w:tc>
          <w:tcPr>
            <w:tcW w:w="654" w:type="pct"/>
          </w:tcPr>
          <w:p w14:paraId="22E10FC5"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3" w:type="pct"/>
          </w:tcPr>
          <w:p w14:paraId="2F26AB9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28</w:t>
            </w:r>
          </w:p>
        </w:tc>
        <w:tc>
          <w:tcPr>
            <w:tcW w:w="377" w:type="pct"/>
          </w:tcPr>
          <w:p w14:paraId="7991B471"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(16.3%)</w:t>
            </w:r>
          </w:p>
        </w:tc>
        <w:tc>
          <w:tcPr>
            <w:tcW w:w="637" w:type="pct"/>
          </w:tcPr>
          <w:p w14:paraId="65C4452A"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4" w:type="pct"/>
          </w:tcPr>
          <w:p w14:paraId="359E4EAD"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26</w:t>
            </w:r>
          </w:p>
        </w:tc>
        <w:tc>
          <w:tcPr>
            <w:tcW w:w="377" w:type="pct"/>
          </w:tcPr>
          <w:p w14:paraId="153D045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(15.6%)</w:t>
            </w:r>
          </w:p>
        </w:tc>
        <w:tc>
          <w:tcPr>
            <w:tcW w:w="636" w:type="pct"/>
          </w:tcPr>
          <w:p w14:paraId="60DC27A3"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A7727F" w:rsidRPr="00B82B39" w14:paraId="7624F51B"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33F67924" w14:textId="77777777" w:rsidR="00A7727F" w:rsidRPr="00B82B39" w:rsidRDefault="00A7727F" w:rsidP="00B82B39">
            <w:pPr>
              <w:keepNext/>
              <w:ind w:left="0" w:right="0"/>
              <w:rPr>
                <w:sz w:val="20"/>
                <w:szCs w:val="20"/>
                <w:lang w:eastAsia="ja-JP"/>
              </w:rPr>
            </w:pPr>
            <w:r w:rsidRPr="00B82B39">
              <w:rPr>
                <w:sz w:val="20"/>
                <w:szCs w:val="20"/>
                <w:lang w:eastAsia="ja-JP"/>
              </w:rPr>
              <w:t>Nonresponse</w:t>
            </w:r>
          </w:p>
        </w:tc>
        <w:tc>
          <w:tcPr>
            <w:tcW w:w="173" w:type="pct"/>
          </w:tcPr>
          <w:p w14:paraId="11921F8A"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40</w:t>
            </w:r>
          </w:p>
        </w:tc>
        <w:tc>
          <w:tcPr>
            <w:tcW w:w="335" w:type="pct"/>
          </w:tcPr>
          <w:p w14:paraId="2DD0B33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(21.2%)</w:t>
            </w:r>
          </w:p>
        </w:tc>
        <w:tc>
          <w:tcPr>
            <w:tcW w:w="654" w:type="pct"/>
          </w:tcPr>
          <w:p w14:paraId="3A784D2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3" w:type="pct"/>
          </w:tcPr>
          <w:p w14:paraId="3433A00A"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40</w:t>
            </w:r>
          </w:p>
        </w:tc>
        <w:tc>
          <w:tcPr>
            <w:tcW w:w="377" w:type="pct"/>
          </w:tcPr>
          <w:p w14:paraId="3B8F6A30"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(23.3%)</w:t>
            </w:r>
          </w:p>
        </w:tc>
        <w:tc>
          <w:tcPr>
            <w:tcW w:w="637" w:type="pct"/>
          </w:tcPr>
          <w:p w14:paraId="07E98304" w14:textId="02B906B7" w:rsidR="00A7727F" w:rsidRPr="00B82B39" w:rsidRDefault="00C3708C" w:rsidP="00B82B39">
            <w:pPr>
              <w:keepNext/>
              <w:tabs>
                <w:tab w:val="left" w:pos="673"/>
              </w:tabs>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ab/>
            </w:r>
          </w:p>
        </w:tc>
        <w:tc>
          <w:tcPr>
            <w:tcW w:w="174" w:type="pct"/>
          </w:tcPr>
          <w:p w14:paraId="2453E02F"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36</w:t>
            </w:r>
          </w:p>
        </w:tc>
        <w:tc>
          <w:tcPr>
            <w:tcW w:w="377" w:type="pct"/>
          </w:tcPr>
          <w:p w14:paraId="40CC3999"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(21.6%)</w:t>
            </w:r>
          </w:p>
        </w:tc>
        <w:tc>
          <w:tcPr>
            <w:tcW w:w="636" w:type="pct"/>
          </w:tcPr>
          <w:p w14:paraId="75CA8A34"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A7727F" w:rsidRPr="00B82B39" w14:paraId="40378942" w14:textId="77777777" w:rsidTr="006A3B04">
        <w:tc>
          <w:tcPr>
            <w:cnfStyle w:val="001000000000" w:firstRow="0" w:lastRow="0" w:firstColumn="1" w:lastColumn="0" w:oddVBand="0" w:evenVBand="0" w:oddHBand="0" w:evenHBand="0" w:firstRowFirstColumn="0" w:firstRowLastColumn="0" w:lastRowFirstColumn="0" w:lastRowLastColumn="0"/>
            <w:tcW w:w="1464" w:type="pct"/>
          </w:tcPr>
          <w:p w14:paraId="02DC15B5" w14:textId="77777777" w:rsidR="00A7727F" w:rsidRPr="00B82B39" w:rsidRDefault="00A7727F" w:rsidP="00B82B39">
            <w:pPr>
              <w:keepNext/>
              <w:ind w:left="0" w:right="0"/>
              <w:rPr>
                <w:sz w:val="20"/>
                <w:szCs w:val="20"/>
                <w:lang w:eastAsia="ja-JP"/>
              </w:rPr>
            </w:pPr>
            <w:r w:rsidRPr="00B82B39">
              <w:rPr>
                <w:sz w:val="20"/>
                <w:szCs w:val="20"/>
                <w:lang w:eastAsia="ja-JP"/>
              </w:rPr>
              <w:t>No response data</w:t>
            </w:r>
          </w:p>
        </w:tc>
        <w:tc>
          <w:tcPr>
            <w:tcW w:w="173" w:type="pct"/>
          </w:tcPr>
          <w:p w14:paraId="50396ED6"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17</w:t>
            </w:r>
          </w:p>
        </w:tc>
        <w:tc>
          <w:tcPr>
            <w:tcW w:w="335" w:type="pct"/>
          </w:tcPr>
          <w:p w14:paraId="465DD66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(9.0%)</w:t>
            </w:r>
          </w:p>
        </w:tc>
        <w:tc>
          <w:tcPr>
            <w:tcW w:w="654" w:type="pct"/>
          </w:tcPr>
          <w:p w14:paraId="18F7AD13"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3" w:type="pct"/>
          </w:tcPr>
          <w:p w14:paraId="70B78273"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0</w:t>
            </w:r>
          </w:p>
        </w:tc>
        <w:tc>
          <w:tcPr>
            <w:tcW w:w="377" w:type="pct"/>
          </w:tcPr>
          <w:p w14:paraId="4B1459BB"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(0.0%)</w:t>
            </w:r>
          </w:p>
        </w:tc>
        <w:tc>
          <w:tcPr>
            <w:tcW w:w="637" w:type="pct"/>
          </w:tcPr>
          <w:p w14:paraId="66C340C2"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74" w:type="pct"/>
          </w:tcPr>
          <w:p w14:paraId="6B984CE8"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16</w:t>
            </w:r>
          </w:p>
        </w:tc>
        <w:tc>
          <w:tcPr>
            <w:tcW w:w="377" w:type="pct"/>
          </w:tcPr>
          <w:p w14:paraId="4CCB58D7"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(9.6%)</w:t>
            </w:r>
          </w:p>
        </w:tc>
        <w:tc>
          <w:tcPr>
            <w:tcW w:w="636" w:type="pct"/>
          </w:tcPr>
          <w:p w14:paraId="301C13FC" w14:textId="77777777" w:rsidR="00A7727F" w:rsidRPr="00B82B39" w:rsidRDefault="00A7727F" w:rsidP="00B82B39">
            <w:pPr>
              <w:keepNext/>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bl>
    <w:p w14:paraId="2D99733B" w14:textId="0C996791" w:rsidR="00A7727F" w:rsidRPr="00A7727F" w:rsidRDefault="00A7727F" w:rsidP="00C3708C">
      <w:pPr>
        <w:pStyle w:val="TableDescription"/>
        <w:keepNext/>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 EFS</w:t>
      </w:r>
      <w:r w:rsidR="00375CAE">
        <w:rPr>
          <w:lang w:eastAsia="ja-JP"/>
        </w:rPr>
        <w:t xml:space="preserve"> </w:t>
      </w:r>
      <w:r w:rsidR="00423768">
        <w:rPr>
          <w:lang w:eastAsia="ja-JP"/>
        </w:rPr>
        <w:t>=</w:t>
      </w:r>
      <w:r w:rsidR="00375CAE">
        <w:rPr>
          <w:lang w:eastAsia="ja-JP"/>
        </w:rPr>
        <w:t xml:space="preserve"> </w:t>
      </w:r>
      <w:r w:rsidRPr="00A7727F">
        <w:rPr>
          <w:lang w:eastAsia="ja-JP"/>
        </w:rPr>
        <w:t>Efficacy Set; FAS</w:t>
      </w:r>
      <w:r w:rsidR="00375CAE">
        <w:rPr>
          <w:lang w:eastAsia="ja-JP"/>
        </w:rPr>
        <w:t xml:space="preserve"> </w:t>
      </w:r>
      <w:r w:rsidR="00423768">
        <w:rPr>
          <w:lang w:eastAsia="ja-JP"/>
        </w:rPr>
        <w:t>=</w:t>
      </w:r>
      <w:r w:rsidR="00375CAE">
        <w:rPr>
          <w:lang w:eastAsia="ja-JP"/>
        </w:rPr>
        <w:t xml:space="preserve"> </w:t>
      </w:r>
      <w:r w:rsidRPr="00A7727F">
        <w:rPr>
          <w:lang w:eastAsia="ja-JP"/>
        </w:rPr>
        <w:t>Full Analysis Set; PAS</w:t>
      </w:r>
      <w:r w:rsidR="00375CAE">
        <w:rPr>
          <w:lang w:eastAsia="ja-JP"/>
        </w:rPr>
        <w:t xml:space="preserve"> </w:t>
      </w:r>
      <w:r w:rsidR="00423768">
        <w:rPr>
          <w:lang w:eastAsia="ja-JP"/>
        </w:rPr>
        <w:t>=</w:t>
      </w:r>
      <w:r w:rsidR="00375CAE">
        <w:rPr>
          <w:lang w:eastAsia="ja-JP"/>
        </w:rPr>
        <w:t xml:space="preserve"> </w:t>
      </w:r>
      <w:r w:rsidRPr="00A7727F">
        <w:rPr>
          <w:lang w:eastAsia="ja-JP"/>
        </w:rPr>
        <w:t>Primary Analysis Set; PPS</w:t>
      </w:r>
      <w:r w:rsidR="00375CAE">
        <w:rPr>
          <w:lang w:eastAsia="ja-JP"/>
        </w:rPr>
        <w:t xml:space="preserve"> </w:t>
      </w:r>
      <w:r w:rsidR="00423768">
        <w:rPr>
          <w:lang w:eastAsia="ja-JP"/>
        </w:rPr>
        <w:t>=</w:t>
      </w:r>
      <w:r w:rsidR="00375CAE">
        <w:rPr>
          <w:lang w:eastAsia="ja-JP"/>
        </w:rPr>
        <w:t xml:space="preserve"> </w:t>
      </w:r>
      <w:r w:rsidRPr="00A7727F">
        <w:rPr>
          <w:lang w:eastAsia="ja-JP"/>
        </w:rPr>
        <w:t>Per Protocol Set</w:t>
      </w:r>
      <w:r w:rsidR="006A3B04">
        <w:rPr>
          <w:lang w:eastAsia="ja-JP"/>
        </w:rPr>
        <w:t>.</w:t>
      </w:r>
    </w:p>
    <w:p w14:paraId="18A1E796" w14:textId="77777777" w:rsidR="00A7727F" w:rsidRPr="00A7727F" w:rsidRDefault="00A7727F" w:rsidP="006A3B04">
      <w:pPr>
        <w:pStyle w:val="Heading5"/>
        <w:rPr>
          <w:lang w:eastAsia="ja-JP"/>
        </w:rPr>
      </w:pPr>
      <w:r w:rsidRPr="00A7727F">
        <w:rPr>
          <w:lang w:eastAsia="ja-JP"/>
        </w:rPr>
        <w:t>Results for other efficacy outcomes</w:t>
      </w:r>
    </w:p>
    <w:p w14:paraId="163E1573" w14:textId="14AEAFC2" w:rsidR="00A7727F" w:rsidRPr="00A7727F" w:rsidRDefault="006A3B04" w:rsidP="006A3B04">
      <w:pPr>
        <w:pStyle w:val="Heading6"/>
        <w:rPr>
          <w:lang w:eastAsia="ja-JP"/>
        </w:rPr>
      </w:pPr>
      <w:r>
        <w:rPr>
          <w:lang w:eastAsia="ja-JP"/>
        </w:rPr>
        <w:t>Relapse free s</w:t>
      </w:r>
      <w:r w:rsidR="00A7727F" w:rsidRPr="00A7727F">
        <w:rPr>
          <w:lang w:eastAsia="ja-JP"/>
        </w:rPr>
        <w:t>urvival</w:t>
      </w:r>
    </w:p>
    <w:p w14:paraId="66C999D8" w14:textId="5F47E74F" w:rsidR="00A7727F" w:rsidRPr="00A7727F" w:rsidRDefault="00A7727F" w:rsidP="00A7727F">
      <w:pPr>
        <w:rPr>
          <w:lang w:eastAsia="ja-JP"/>
        </w:rPr>
      </w:pPr>
      <w:r w:rsidRPr="00A7727F">
        <w:rPr>
          <w:lang w:eastAsia="ja-JP"/>
        </w:rPr>
        <w:t>For the PAS, the median relapse</w:t>
      </w:r>
      <w:r w:rsidR="006A3B04">
        <w:rPr>
          <w:lang w:eastAsia="ja-JP"/>
        </w:rPr>
        <w:t xml:space="preserve"> free</w:t>
      </w:r>
      <w:r w:rsidRPr="00A7727F">
        <w:rPr>
          <w:lang w:eastAsia="ja-JP"/>
        </w:rPr>
        <w:t xml:space="preserve"> survival was 5.9 months (95% CI: 4.8 to 8.3 months), with a median observation time of 8.9 months. </w:t>
      </w:r>
      <w:r w:rsidR="00C3708C">
        <w:rPr>
          <w:lang w:eastAsia="ja-JP"/>
        </w:rPr>
        <w:t>37</w:t>
      </w:r>
      <w:r w:rsidRPr="00A7727F">
        <w:rPr>
          <w:lang w:eastAsia="ja-JP"/>
        </w:rPr>
        <w:t xml:space="preserve"> subjects (45.1%; 37/82) were censored for not having an event </w:t>
      </w:r>
      <w:r w:rsidR="005B0CFF">
        <w:rPr>
          <w:lang w:eastAsia="ja-JP"/>
        </w:rPr>
        <w:t>(that is,</w:t>
      </w:r>
      <w:r w:rsidRPr="00A7727F">
        <w:rPr>
          <w:lang w:eastAsia="ja-JP"/>
        </w:rPr>
        <w:t xml:space="preserve"> in remission). Median relapse</w:t>
      </w:r>
      <w:r w:rsidR="006A3B04">
        <w:rPr>
          <w:lang w:eastAsia="ja-JP"/>
        </w:rPr>
        <w:t xml:space="preserve"> free</w:t>
      </w:r>
      <w:r w:rsidRPr="00A7727F">
        <w:rPr>
          <w:lang w:eastAsia="ja-JP"/>
        </w:rPr>
        <w:t xml:space="preserve"> survival was similar when censoring at the time of HSCT (Figure 20). Relapse</w:t>
      </w:r>
      <w:r w:rsidR="006A3B04">
        <w:rPr>
          <w:lang w:eastAsia="ja-JP"/>
        </w:rPr>
        <w:t xml:space="preserve"> free</w:t>
      </w:r>
      <w:r w:rsidRPr="00A7727F">
        <w:rPr>
          <w:lang w:eastAsia="ja-JP"/>
        </w:rPr>
        <w:t xml:space="preserve"> survival was </w:t>
      </w:r>
      <w:r w:rsidR="00DB50B7">
        <w:rPr>
          <w:lang w:eastAsia="ja-JP"/>
        </w:rPr>
        <w:t>analys</w:t>
      </w:r>
      <w:r w:rsidRPr="00A7727F">
        <w:rPr>
          <w:lang w:eastAsia="ja-JP"/>
        </w:rPr>
        <w:t>ed separately for subjects who achieved a best response of CR and those who achieved a best response of CRh*. Based on the best response during the core study, the median relapse</w:t>
      </w:r>
      <w:r w:rsidR="006A3B04">
        <w:rPr>
          <w:lang w:eastAsia="ja-JP"/>
        </w:rPr>
        <w:t xml:space="preserve"> free</w:t>
      </w:r>
      <w:r w:rsidRPr="00A7727F">
        <w:rPr>
          <w:lang w:eastAsia="ja-JP"/>
        </w:rPr>
        <w:t xml:space="preserve"> survival for subjects who achieved a CR was 6.9 months (95% CI: 4.2 to 10.1 months) compared with</w:t>
      </w:r>
      <w:r w:rsidR="00DB50B7">
        <w:rPr>
          <w:lang w:eastAsia="ja-JP"/>
        </w:rPr>
        <w:t xml:space="preserve"> 2.8 months (95% CI: 1.2 to 6.1 </w:t>
      </w:r>
      <w:r w:rsidRPr="00A7727F">
        <w:rPr>
          <w:lang w:eastAsia="ja-JP"/>
        </w:rPr>
        <w:t>months) for subjects who achieved a best response of CRh*. Although relapse</w:t>
      </w:r>
      <w:r w:rsidR="006A3B04">
        <w:rPr>
          <w:lang w:eastAsia="ja-JP"/>
        </w:rPr>
        <w:t xml:space="preserve"> free</w:t>
      </w:r>
      <w:r w:rsidRPr="00A7727F">
        <w:rPr>
          <w:lang w:eastAsia="ja-JP"/>
        </w:rPr>
        <w:t xml:space="preserve"> survival was shorter for subjects who achieved CRh* compared with subjects who achieved CR, a benefit to CRh* was observed as 3 subjects who achieved CRh* within the first 2 treatment cycles eventually achieved a CR with additional blinatumomab treatment. For each response category, relapse</w:t>
      </w:r>
      <w:r w:rsidR="006A3B04">
        <w:rPr>
          <w:lang w:eastAsia="ja-JP"/>
        </w:rPr>
        <w:t xml:space="preserve"> free</w:t>
      </w:r>
      <w:r w:rsidRPr="00A7727F">
        <w:rPr>
          <w:lang w:eastAsia="ja-JP"/>
        </w:rPr>
        <w:t xml:space="preserve"> survival was similar when censoring at the time of HSCT for those subjects that underwent an HSCT.</w:t>
      </w:r>
    </w:p>
    <w:p w14:paraId="5F1FCEBB" w14:textId="5C8EB13C" w:rsidR="00A7727F" w:rsidRPr="00A7727F" w:rsidRDefault="00A7727F" w:rsidP="00DB50B7">
      <w:pPr>
        <w:pStyle w:val="FigureTitle"/>
        <w:keepNext/>
        <w:rPr>
          <w:lang w:eastAsia="ja-JP"/>
        </w:rPr>
      </w:pPr>
      <w:bookmarkStart w:id="175" w:name="_Toc292015800"/>
      <w:r w:rsidRPr="00A7727F">
        <w:rPr>
          <w:lang w:eastAsia="ja-JP"/>
        </w:rPr>
        <w:t xml:space="preserve">Figure </w:t>
      </w:r>
      <w:r w:rsidR="00B82B39">
        <w:rPr>
          <w:lang w:eastAsia="ja-JP"/>
        </w:rPr>
        <w:t>20:</w:t>
      </w:r>
      <w:r w:rsidRPr="00A7727F">
        <w:rPr>
          <w:lang w:eastAsia="ja-JP"/>
        </w:rPr>
        <w:t xml:space="preserve"> Relapse</w:t>
      </w:r>
      <w:r w:rsidR="006A3B04">
        <w:rPr>
          <w:lang w:eastAsia="ja-JP"/>
        </w:rPr>
        <w:t xml:space="preserve"> free</w:t>
      </w:r>
      <w:r w:rsidRPr="00A7727F">
        <w:rPr>
          <w:lang w:eastAsia="ja-JP"/>
        </w:rPr>
        <w:t xml:space="preserve"> </w:t>
      </w:r>
      <w:r w:rsidR="00DB50B7">
        <w:rPr>
          <w:lang w:eastAsia="ja-JP"/>
        </w:rPr>
        <w:t>survival by Kaplan-Meier m</w:t>
      </w:r>
      <w:r w:rsidRPr="00A7727F">
        <w:rPr>
          <w:lang w:eastAsia="ja-JP"/>
        </w:rPr>
        <w:t xml:space="preserve">ethod, </w:t>
      </w:r>
      <w:r w:rsidR="00DB50B7" w:rsidRPr="00A7727F">
        <w:rPr>
          <w:lang w:eastAsia="ja-JP"/>
        </w:rPr>
        <w:t>primary and secondary analyses during the core study (primary analysis set)</w:t>
      </w:r>
      <w:bookmarkEnd w:id="175"/>
    </w:p>
    <w:p w14:paraId="624ABEE9" w14:textId="77777777" w:rsidR="00A7727F" w:rsidRPr="00A7727F" w:rsidRDefault="00A7727F" w:rsidP="00DB50B7">
      <w:pPr>
        <w:keepNext/>
        <w:rPr>
          <w:lang w:eastAsia="ja-JP"/>
        </w:rPr>
      </w:pPr>
      <w:r w:rsidRPr="00A7727F">
        <w:rPr>
          <w:noProof/>
          <w:lang w:eastAsia="en-AU"/>
        </w:rPr>
        <w:drawing>
          <wp:inline distT="0" distB="0" distL="0" distR="0" wp14:anchorId="37F29D26" wp14:editId="79D6A92F">
            <wp:extent cx="5257115" cy="2409190"/>
            <wp:effectExtent l="0" t="0" r="1270" b="0"/>
            <wp:docPr id="4" name="Picture 4" descr="Figure 20: Relapse free survival by Kaplan-Meier method, primary and secondary analyses during the core study (primary analysis set)" title="Relapse free survival by Kaplan-Meier method, primary and secondary analyses during the core study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49" cy="2409526"/>
                    </a:xfrm>
                    <a:prstGeom prst="rect">
                      <a:avLst/>
                    </a:prstGeom>
                    <a:noFill/>
                    <a:ln>
                      <a:noFill/>
                    </a:ln>
                  </pic:spPr>
                </pic:pic>
              </a:graphicData>
            </a:graphic>
          </wp:inline>
        </w:drawing>
      </w:r>
    </w:p>
    <w:p w14:paraId="688AEED2" w14:textId="0EFC573F" w:rsidR="00A7727F" w:rsidRPr="00A7727F" w:rsidRDefault="00A7727F" w:rsidP="00A7727F">
      <w:pPr>
        <w:rPr>
          <w:lang w:eastAsia="ja-JP"/>
        </w:rPr>
      </w:pPr>
      <w:r w:rsidRPr="00A7727F">
        <w:rPr>
          <w:lang w:eastAsia="ja-JP"/>
        </w:rPr>
        <w:t>Relapse</w:t>
      </w:r>
      <w:r w:rsidR="006A3B04">
        <w:rPr>
          <w:lang w:eastAsia="ja-JP"/>
        </w:rPr>
        <w:t xml:space="preserve"> free</w:t>
      </w:r>
      <w:r w:rsidRPr="00A7727F">
        <w:rPr>
          <w:lang w:eastAsia="ja-JP"/>
        </w:rPr>
        <w:t xml:space="preserve"> survival is defined for subjects who reached a CR or CRh* during the core study only Primary analysis: subjects in remission (CR or CRh*) during the core study Secondary analysis: subjects in remission (CR or CRh*) during the core study and were censored for HSCT.</w:t>
      </w:r>
    </w:p>
    <w:p w14:paraId="4C35B134" w14:textId="25FF2708" w:rsidR="00A7727F" w:rsidRPr="00A7727F" w:rsidRDefault="00A7727F" w:rsidP="00A7727F">
      <w:pPr>
        <w:rPr>
          <w:lang w:eastAsia="ja-JP"/>
        </w:rPr>
      </w:pPr>
      <w:r w:rsidRPr="00A7727F">
        <w:rPr>
          <w:lang w:eastAsia="ja-JP"/>
        </w:rPr>
        <w:t>When based on the best response within the first 2 cycles, the median relapse</w:t>
      </w:r>
      <w:r w:rsidR="006A3B04">
        <w:rPr>
          <w:lang w:eastAsia="ja-JP"/>
        </w:rPr>
        <w:t xml:space="preserve"> free</w:t>
      </w:r>
      <w:r w:rsidRPr="00A7727F">
        <w:rPr>
          <w:lang w:eastAsia="ja-JP"/>
        </w:rPr>
        <w:t xml:space="preserve"> survival for subjects who achieved a best response of CR was 6.9 months (95% CI: 4.2 to 10.1 months) (N</w:t>
      </w:r>
      <w:r w:rsidR="00C3708C">
        <w:rPr>
          <w:lang w:eastAsia="ja-JP"/>
        </w:rPr>
        <w:t> </w:t>
      </w:r>
      <w:r w:rsidR="00423768">
        <w:rPr>
          <w:lang w:eastAsia="ja-JP"/>
        </w:rPr>
        <w:t>=</w:t>
      </w:r>
      <w:r w:rsidR="00C3708C">
        <w:rPr>
          <w:lang w:eastAsia="ja-JP"/>
        </w:rPr>
        <w:t> </w:t>
      </w:r>
      <w:r w:rsidRPr="00A7727F">
        <w:rPr>
          <w:lang w:eastAsia="ja-JP"/>
        </w:rPr>
        <w:t>63) compared with 5.0 months (95% CI: 1.4 to 6.2 months) for subjects who achieved a best response of CRh* (N</w:t>
      </w:r>
      <w:r w:rsidR="00375CAE">
        <w:rPr>
          <w:lang w:eastAsia="ja-JP"/>
        </w:rPr>
        <w:t xml:space="preserve"> </w:t>
      </w:r>
      <w:r w:rsidR="00423768">
        <w:rPr>
          <w:lang w:eastAsia="ja-JP"/>
        </w:rPr>
        <w:t>=</w:t>
      </w:r>
      <w:r w:rsidR="00375CAE">
        <w:rPr>
          <w:lang w:eastAsia="ja-JP"/>
        </w:rPr>
        <w:t xml:space="preserve"> </w:t>
      </w:r>
      <w:r w:rsidRPr="00A7727F">
        <w:rPr>
          <w:lang w:eastAsia="ja-JP"/>
        </w:rPr>
        <w:t>18) (</w:t>
      </w:r>
      <w:r w:rsidR="00C3708C">
        <w:rPr>
          <w:lang w:eastAsia="ja-JP"/>
        </w:rPr>
        <w:t xml:space="preserve">see </w:t>
      </w:r>
      <w:r w:rsidR="00C3708C" w:rsidRPr="00B82B39">
        <w:rPr>
          <w:lang w:eastAsia="ja-JP"/>
        </w:rPr>
        <w:t>F</w:t>
      </w:r>
      <w:r w:rsidRPr="00B82B39">
        <w:rPr>
          <w:lang w:eastAsia="ja-JP"/>
        </w:rPr>
        <w:t>igure 21</w:t>
      </w:r>
      <w:r w:rsidR="00C3708C">
        <w:rPr>
          <w:lang w:eastAsia="ja-JP"/>
        </w:rPr>
        <w:t>, below</w:t>
      </w:r>
      <w:r w:rsidRPr="00A7727F">
        <w:rPr>
          <w:lang w:eastAsia="ja-JP"/>
        </w:rPr>
        <w:t>). The median relapse</w:t>
      </w:r>
      <w:r w:rsidR="006A3B04">
        <w:rPr>
          <w:lang w:eastAsia="ja-JP"/>
        </w:rPr>
        <w:t xml:space="preserve"> free</w:t>
      </w:r>
      <w:r w:rsidRPr="00A7727F">
        <w:rPr>
          <w:lang w:eastAsia="ja-JP"/>
        </w:rPr>
        <w:t xml:space="preserve"> survival was similar when censored at the time of HSCT for those subjects that underwent an HSCT. The clinical benefit of achieving a CRh* within 2 cycles was apparent, as it could lead to an eventual conversion to CR and a prolonged relapse</w:t>
      </w:r>
      <w:r w:rsidR="006A3B04">
        <w:rPr>
          <w:lang w:eastAsia="ja-JP"/>
        </w:rPr>
        <w:t xml:space="preserve"> free</w:t>
      </w:r>
      <w:r w:rsidRPr="00A7727F">
        <w:rPr>
          <w:lang w:eastAsia="ja-JP"/>
        </w:rPr>
        <w:t xml:space="preserve"> survival.</w:t>
      </w:r>
    </w:p>
    <w:p w14:paraId="42DC025D" w14:textId="25EBDA78" w:rsidR="00A7727F" w:rsidRPr="00A7727F" w:rsidRDefault="00A7727F" w:rsidP="00C3708C">
      <w:pPr>
        <w:pStyle w:val="FigureTitle"/>
        <w:rPr>
          <w:lang w:eastAsia="ja-JP"/>
        </w:rPr>
      </w:pPr>
      <w:bookmarkStart w:id="176" w:name="_Toc292015801"/>
      <w:r w:rsidRPr="00A7727F">
        <w:rPr>
          <w:lang w:eastAsia="ja-JP"/>
        </w:rPr>
        <w:t xml:space="preserve">Figure </w:t>
      </w:r>
      <w:r w:rsidR="00B82B39">
        <w:rPr>
          <w:lang w:eastAsia="ja-JP"/>
        </w:rPr>
        <w:t>21:</w:t>
      </w:r>
      <w:r w:rsidRPr="00A7727F">
        <w:rPr>
          <w:lang w:eastAsia="ja-JP"/>
        </w:rPr>
        <w:t xml:space="preserve"> Relapse</w:t>
      </w:r>
      <w:r w:rsidR="006A3B04">
        <w:rPr>
          <w:lang w:eastAsia="ja-JP"/>
        </w:rPr>
        <w:t xml:space="preserve"> free</w:t>
      </w:r>
      <w:r w:rsidR="00A4402B">
        <w:rPr>
          <w:lang w:eastAsia="ja-JP"/>
        </w:rPr>
        <w:t xml:space="preserve"> s</w:t>
      </w:r>
      <w:r w:rsidRPr="00A7727F">
        <w:rPr>
          <w:lang w:eastAsia="ja-JP"/>
        </w:rPr>
        <w:t xml:space="preserve">urvival, </w:t>
      </w:r>
      <w:r w:rsidR="00DB50B7">
        <w:rPr>
          <w:lang w:eastAsia="ja-JP"/>
        </w:rPr>
        <w:t>estimated by Kaplan-M</w:t>
      </w:r>
      <w:r w:rsidR="00DB50B7" w:rsidRPr="00A7727F">
        <w:rPr>
          <w:lang w:eastAsia="ja-JP"/>
        </w:rPr>
        <w:t xml:space="preserve">eier method, separately for subjects who reached the best response </w:t>
      </w:r>
      <w:r w:rsidR="00DB50B7">
        <w:rPr>
          <w:lang w:eastAsia="ja-JP"/>
        </w:rPr>
        <w:t>of CR or CRh* during the first 2 c</w:t>
      </w:r>
      <w:r w:rsidRPr="00A7727F">
        <w:rPr>
          <w:lang w:eastAsia="ja-JP"/>
        </w:rPr>
        <w:t>ycles (Primary Analysis Set)</w:t>
      </w:r>
      <w:bookmarkEnd w:id="176"/>
    </w:p>
    <w:p w14:paraId="0D5387E6" w14:textId="77777777" w:rsidR="00A7727F" w:rsidRPr="00A7727F" w:rsidRDefault="00A7727F" w:rsidP="00A7727F">
      <w:pPr>
        <w:rPr>
          <w:lang w:eastAsia="ja-JP"/>
        </w:rPr>
      </w:pPr>
      <w:r w:rsidRPr="00A7727F">
        <w:rPr>
          <w:noProof/>
          <w:lang w:eastAsia="en-AU"/>
        </w:rPr>
        <w:drawing>
          <wp:inline distT="0" distB="0" distL="0" distR="0" wp14:anchorId="60156DAC" wp14:editId="40B2484D">
            <wp:extent cx="4219575" cy="2057400"/>
            <wp:effectExtent l="0" t="0" r="9525" b="0"/>
            <wp:docPr id="25" name="Picture 25" descr="Figure 21: Relapse free Survival, estimated by Kaplan-Meier method, separately for subjects who reached the best response of CR or CRh* during the first 2 cycles (Primary Analysis Set)" title="Relapse free Survival, estimated by Kaplan-Meier method, separately for subjects who reached the best response of CR or CRh* during the first 2 cycles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14:paraId="58913B6D" w14:textId="72E9BC24" w:rsidR="00A7727F" w:rsidRPr="00A7727F" w:rsidRDefault="00A7727F" w:rsidP="00A7727F">
      <w:pPr>
        <w:rPr>
          <w:lang w:eastAsia="ja-JP"/>
        </w:rPr>
      </w:pPr>
      <w:r w:rsidRPr="00A7727F">
        <w:rPr>
          <w:lang w:eastAsia="ja-JP"/>
        </w:rPr>
        <w:t>Relapse</w:t>
      </w:r>
      <w:r w:rsidR="006A3B04">
        <w:rPr>
          <w:lang w:eastAsia="ja-JP"/>
        </w:rPr>
        <w:t xml:space="preserve"> free</w:t>
      </w:r>
      <w:r w:rsidRPr="00A7727F">
        <w:rPr>
          <w:lang w:eastAsia="ja-JP"/>
        </w:rPr>
        <w:t xml:space="preserve"> survival is defined for subjects who reached CR or CRh* during the first 2 cycles only.</w:t>
      </w:r>
    </w:p>
    <w:p w14:paraId="56A19944" w14:textId="43E6B818" w:rsidR="00A7727F" w:rsidRPr="00A7727F" w:rsidRDefault="00A4402B" w:rsidP="00DB50B7">
      <w:pPr>
        <w:pStyle w:val="Heading6"/>
        <w:rPr>
          <w:lang w:eastAsia="ja-JP"/>
        </w:rPr>
      </w:pPr>
      <w:r>
        <w:rPr>
          <w:lang w:eastAsia="ja-JP"/>
        </w:rPr>
        <w:t>Time to haematological r</w:t>
      </w:r>
      <w:r w:rsidR="00DB50B7">
        <w:rPr>
          <w:lang w:eastAsia="ja-JP"/>
        </w:rPr>
        <w:t>elapse (duration of r</w:t>
      </w:r>
      <w:r w:rsidR="00A7727F" w:rsidRPr="00A7727F">
        <w:rPr>
          <w:lang w:eastAsia="ja-JP"/>
        </w:rPr>
        <w:t>esponse): Subjects with CR/CRh*</w:t>
      </w:r>
    </w:p>
    <w:p w14:paraId="1081A949" w14:textId="6C4C4E33" w:rsidR="00A7727F" w:rsidRPr="00A7727F" w:rsidRDefault="00A7727F" w:rsidP="00A7727F">
      <w:pPr>
        <w:rPr>
          <w:lang w:eastAsia="ja-JP"/>
        </w:rPr>
      </w:pPr>
      <w:r w:rsidRPr="00A7727F">
        <w:rPr>
          <w:lang w:eastAsia="ja-JP"/>
        </w:rPr>
        <w:t xml:space="preserve">Time to </w:t>
      </w:r>
      <w:r w:rsidR="00A4402B" w:rsidRPr="00A7727F">
        <w:rPr>
          <w:lang w:eastAsia="ja-JP"/>
        </w:rPr>
        <w:t>haematological</w:t>
      </w:r>
      <w:r w:rsidRPr="00A7727F">
        <w:rPr>
          <w:lang w:eastAsia="ja-JP"/>
        </w:rPr>
        <w:t xml:space="preserve"> relapse was measured only for subjects in remission (CR/CRh*), and was measured from the time the subject first achieved remission until first documented relapse or death due to disease progression. Subjects without a documented relapse (haematological or extramedullary) and who did not die were censored at the time of their last bone marrow assessment or their last survival follow-up visit confirming remission. Subjects who died without having reported haematological relapse or without showing any clinical sign of disease progression were censored on t</w:t>
      </w:r>
      <w:r w:rsidR="00DB50B7">
        <w:rPr>
          <w:lang w:eastAsia="ja-JP"/>
        </w:rPr>
        <w:t>heir date of death.</w:t>
      </w:r>
    </w:p>
    <w:p w14:paraId="5948185B" w14:textId="5F6F25C2" w:rsidR="00A7727F" w:rsidRPr="00A7727F" w:rsidRDefault="00A7727F" w:rsidP="00A7727F">
      <w:pPr>
        <w:rPr>
          <w:lang w:eastAsia="ja-JP"/>
        </w:rPr>
      </w:pPr>
      <w:r w:rsidRPr="00A7727F">
        <w:rPr>
          <w:lang w:eastAsia="ja-JP"/>
        </w:rPr>
        <w:t>For the PAS, the median time to haematological relapse was 6.7 months (95% C</w:t>
      </w:r>
      <w:r w:rsidR="00DB50B7">
        <w:rPr>
          <w:lang w:eastAsia="ja-JP"/>
        </w:rPr>
        <w:t>I: 5.1 months to not estimable (n.e.)</w:t>
      </w:r>
      <w:r w:rsidRPr="00A7727F">
        <w:rPr>
          <w:lang w:eastAsia="ja-JP"/>
        </w:rPr>
        <w:t>), with a median observation time of 8.0 months. Of the subjects who achieved a CR/CRh* during the core study, 45.1% (37/82) of subjects completed the study in remission (censored). The median time to haematological relapse was approximately 1 month earlier when censoring at the time of HSCT for those subjects who underwent an HSCT.</w:t>
      </w:r>
    </w:p>
    <w:p w14:paraId="3DDB35CC" w14:textId="4D2F78B9" w:rsidR="00A7727F" w:rsidRPr="00A7727F" w:rsidRDefault="00A7727F" w:rsidP="00A7727F">
      <w:pPr>
        <w:rPr>
          <w:lang w:eastAsia="ja-JP"/>
        </w:rPr>
      </w:pPr>
      <w:r w:rsidRPr="00A7727F">
        <w:rPr>
          <w:lang w:eastAsia="ja-JP"/>
        </w:rPr>
        <w:t>H</w:t>
      </w:r>
      <w:r w:rsidR="00DB50B7">
        <w:rPr>
          <w:lang w:eastAsia="ja-JP"/>
        </w:rPr>
        <w:t>aematological relapse was analys</w:t>
      </w:r>
      <w:r w:rsidRPr="00A7727F">
        <w:rPr>
          <w:lang w:eastAsia="ja-JP"/>
        </w:rPr>
        <w:t>ed separately for subjects who achieved a best response of CR and those who achieved a best response of CRh*. Based on the best response during the core study, the median time to haematological relapse for subjects who achieved a CR was 7.4 months (95% CI: 4.8 months to n.e.) compared with 6.1 months (95% CI: 1.2 to 6.2 months) for subjects who achieved a best response of CRh*. For each response category, time to haematologic relapse was earlier when censoring at the time of HSCT for subjects who underwent HSCT.</w:t>
      </w:r>
    </w:p>
    <w:p w14:paraId="1DABABAD" w14:textId="337EEA2C" w:rsidR="00A7727F" w:rsidRPr="00A7727F" w:rsidRDefault="00A7727F" w:rsidP="00A7727F">
      <w:pPr>
        <w:rPr>
          <w:lang w:eastAsia="ja-JP"/>
        </w:rPr>
      </w:pPr>
      <w:r w:rsidRPr="00A7727F">
        <w:rPr>
          <w:lang w:eastAsia="ja-JP"/>
        </w:rPr>
        <w:t>For subjects who achieved CR only within the first 2 cycles of treatment (N</w:t>
      </w:r>
      <w:r w:rsidR="00375CAE">
        <w:rPr>
          <w:lang w:eastAsia="ja-JP"/>
        </w:rPr>
        <w:t xml:space="preserve"> </w:t>
      </w:r>
      <w:r w:rsidR="00423768">
        <w:rPr>
          <w:lang w:eastAsia="ja-JP"/>
        </w:rPr>
        <w:t>=</w:t>
      </w:r>
      <w:r w:rsidR="00375CAE">
        <w:rPr>
          <w:lang w:eastAsia="ja-JP"/>
        </w:rPr>
        <w:t xml:space="preserve"> </w:t>
      </w:r>
      <w:r w:rsidRPr="00A7727F">
        <w:rPr>
          <w:lang w:eastAsia="ja-JP"/>
        </w:rPr>
        <w:t>63), the median time to haematological relapse was 7.7 months (95% CI: 5.4 months to n.e.). For subjects who achieved CRh* only within the first 2 cycles (N</w:t>
      </w:r>
      <w:r w:rsidR="00375CAE">
        <w:rPr>
          <w:lang w:eastAsia="ja-JP"/>
        </w:rPr>
        <w:t xml:space="preserve"> </w:t>
      </w:r>
      <w:r w:rsidR="00423768">
        <w:rPr>
          <w:lang w:eastAsia="ja-JP"/>
        </w:rPr>
        <w:t>=</w:t>
      </w:r>
      <w:r w:rsidR="00375CAE">
        <w:rPr>
          <w:lang w:eastAsia="ja-JP"/>
        </w:rPr>
        <w:t xml:space="preserve"> </w:t>
      </w:r>
      <w:r w:rsidRPr="00A7727F">
        <w:rPr>
          <w:lang w:eastAsia="ja-JP"/>
        </w:rPr>
        <w:t>18), the median time to haematological relapse was 5.0 months (95% CI: 1.4 months to n.e.).</w:t>
      </w:r>
    </w:p>
    <w:p w14:paraId="5DE5DA25" w14:textId="77777777" w:rsidR="00A7727F" w:rsidRPr="00A7727F" w:rsidRDefault="00A7727F" w:rsidP="00A7727F">
      <w:pPr>
        <w:rPr>
          <w:lang w:eastAsia="ja-JP"/>
        </w:rPr>
      </w:pPr>
      <w:r w:rsidRPr="00A7727F">
        <w:rPr>
          <w:lang w:eastAsia="ja-JP"/>
        </w:rPr>
        <w:t>For subjects who achieved CR only within the first 2 cycles and were censored for HSCT, the median time to haematological relapse was 5.4 months (95% CI: 3.8 to 7.4 months). For subjects who achieved CRh* only within the first 2 cycles and were censored for HSCT, the median time to haematological relapse was 5.0 months.</w:t>
      </w:r>
    </w:p>
    <w:p w14:paraId="55EEB686" w14:textId="2C27E0C8" w:rsidR="00A7727F" w:rsidRPr="00A7727F" w:rsidRDefault="00DB50B7" w:rsidP="00DB50B7">
      <w:pPr>
        <w:pStyle w:val="Heading6"/>
        <w:rPr>
          <w:lang w:eastAsia="ja-JP"/>
        </w:rPr>
      </w:pPr>
      <w:r>
        <w:rPr>
          <w:lang w:eastAsia="ja-JP"/>
        </w:rPr>
        <w:t>Overall s</w:t>
      </w:r>
      <w:r w:rsidR="00A7727F" w:rsidRPr="00A7727F">
        <w:rPr>
          <w:lang w:eastAsia="ja-JP"/>
        </w:rPr>
        <w:t>urvival</w:t>
      </w:r>
    </w:p>
    <w:p w14:paraId="41DD20E6" w14:textId="174DA7C0" w:rsidR="00A7727F" w:rsidRPr="00A7727F" w:rsidRDefault="00A7727F" w:rsidP="00A7727F">
      <w:pPr>
        <w:rPr>
          <w:lang w:eastAsia="ja-JP"/>
        </w:rPr>
      </w:pPr>
      <w:r w:rsidRPr="00A7727F">
        <w:rPr>
          <w:lang w:eastAsia="ja-JP"/>
        </w:rPr>
        <w:t>Overall survival was measured for all subjects from the time the subject received the first treatment of blinatumomab until death due to any cause or the date of the last follow-up. Subjects who did not die were censored. An overview of overall survival is presented</w:t>
      </w:r>
      <w:r w:rsidR="00A4402B">
        <w:rPr>
          <w:lang w:eastAsia="ja-JP"/>
        </w:rPr>
        <w:t xml:space="preserve"> below</w:t>
      </w:r>
      <w:r w:rsidRPr="00A7727F">
        <w:rPr>
          <w:lang w:eastAsia="ja-JP"/>
        </w:rPr>
        <w:t xml:space="preserve"> in </w:t>
      </w:r>
      <w:r w:rsidR="00A4402B" w:rsidRPr="0083460F">
        <w:rPr>
          <w:lang w:eastAsia="ja-JP"/>
        </w:rPr>
        <w:t>Table 25</w:t>
      </w:r>
      <w:r w:rsidRPr="0083460F">
        <w:rPr>
          <w:lang w:eastAsia="ja-JP"/>
        </w:rPr>
        <w:t>.</w:t>
      </w:r>
    </w:p>
    <w:p w14:paraId="5B43F8CF" w14:textId="77777777" w:rsidR="00A7727F" w:rsidRPr="00A7727F" w:rsidRDefault="00A7727F" w:rsidP="00A7727F">
      <w:pPr>
        <w:rPr>
          <w:lang w:eastAsia="ja-JP"/>
        </w:rPr>
      </w:pPr>
      <w:r w:rsidRPr="00A7727F">
        <w:rPr>
          <w:lang w:eastAsia="ja-JP"/>
        </w:rPr>
        <w:t xml:space="preserve">When censored for subjects with HSCT after remission induced by blinatumomab treatment, median overall survival was 5.1 months (95% CI: 4.1 to 7.1 months), with a median observation time of 6.0 months. The Kaplan-Meier curves virtually overlap despite the 1 month difference in estimations </w:t>
      </w:r>
      <w:r w:rsidRPr="0083460F">
        <w:rPr>
          <w:lang w:eastAsia="ja-JP"/>
        </w:rPr>
        <w:t>(Figure 22).</w:t>
      </w:r>
    </w:p>
    <w:p w14:paraId="59AD148F" w14:textId="14CA021A" w:rsidR="00A7727F" w:rsidRPr="00A7727F" w:rsidRDefault="00A7727F" w:rsidP="0083460F">
      <w:pPr>
        <w:pStyle w:val="Tabletitle"/>
        <w:rPr>
          <w:lang w:eastAsia="ja-JP"/>
        </w:rPr>
      </w:pPr>
      <w:bookmarkStart w:id="177" w:name="_Toc292015708"/>
      <w:r w:rsidRPr="00A7727F">
        <w:rPr>
          <w:lang w:eastAsia="ja-JP"/>
        </w:rPr>
        <w:t xml:space="preserve">Table </w:t>
      </w:r>
      <w:r w:rsidR="00B82B39">
        <w:rPr>
          <w:lang w:eastAsia="ja-JP"/>
        </w:rPr>
        <w:t>25:</w:t>
      </w:r>
      <w:r w:rsidRPr="00A7727F">
        <w:rPr>
          <w:lang w:eastAsia="ja-JP"/>
        </w:rPr>
        <w:t xml:space="preserve"> Overview of </w:t>
      </w:r>
      <w:r w:rsidR="00DB50B7">
        <w:rPr>
          <w:lang w:eastAsia="ja-JP"/>
        </w:rPr>
        <w:t>overall s</w:t>
      </w:r>
      <w:r w:rsidRPr="00A7727F">
        <w:rPr>
          <w:lang w:eastAsia="ja-JP"/>
        </w:rPr>
        <w:t>urvival (Primary Analysis Set)</w:t>
      </w:r>
      <w:bookmarkEnd w:id="177"/>
    </w:p>
    <w:tbl>
      <w:tblPr>
        <w:tblStyle w:val="TableTGAblue"/>
        <w:tblW w:w="4812" w:type="pct"/>
        <w:tblLook w:val="04A0" w:firstRow="1" w:lastRow="0" w:firstColumn="1" w:lastColumn="0" w:noHBand="0" w:noVBand="1"/>
        <w:tblDescription w:val="Table 25: Overview of overall survival (Primary Analysis Set)"/>
      </w:tblPr>
      <w:tblGrid>
        <w:gridCol w:w="5138"/>
        <w:gridCol w:w="922"/>
        <w:gridCol w:w="1432"/>
        <w:gridCol w:w="1403"/>
      </w:tblGrid>
      <w:tr w:rsidR="00DB50B7" w:rsidRPr="00B82B39" w14:paraId="77BA7B3E" w14:textId="77777777" w:rsidTr="007B270B">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2895" w:type="pct"/>
            <w:vMerge w:val="restart"/>
            <w:tcBorders>
              <w:right w:val="single" w:sz="4" w:space="0" w:color="000000"/>
            </w:tcBorders>
          </w:tcPr>
          <w:p w14:paraId="5FFA9959" w14:textId="77777777" w:rsidR="00DB50B7" w:rsidRPr="00B82B39" w:rsidRDefault="00DB50B7" w:rsidP="00B82B39"/>
        </w:tc>
        <w:tc>
          <w:tcPr>
            <w:tcW w:w="499" w:type="pct"/>
            <w:vMerge w:val="restart"/>
            <w:tcBorders>
              <w:left w:val="single" w:sz="4" w:space="0" w:color="000000"/>
              <w:right w:val="single" w:sz="4" w:space="0" w:color="000000"/>
            </w:tcBorders>
            <w:vAlign w:val="bottom"/>
          </w:tcPr>
          <w:p w14:paraId="2BD9DEA6" w14:textId="5C3BF11F" w:rsidR="00DB50B7" w:rsidRPr="00B82B39" w:rsidRDefault="00DB50B7" w:rsidP="00B82B39">
            <w:pPr>
              <w:cnfStyle w:val="100000000000" w:firstRow="1" w:lastRow="0" w:firstColumn="0" w:lastColumn="0" w:oddVBand="0" w:evenVBand="0" w:oddHBand="0" w:evenHBand="0" w:firstRowFirstColumn="0" w:firstRowLastColumn="0" w:lastRowFirstColumn="0" w:lastRowLastColumn="0"/>
            </w:pPr>
            <w:r w:rsidRPr="00B82B39">
              <w:t>N =</w:t>
            </w:r>
          </w:p>
        </w:tc>
        <w:tc>
          <w:tcPr>
            <w:tcW w:w="1606" w:type="pct"/>
            <w:gridSpan w:val="2"/>
            <w:tcBorders>
              <w:left w:val="single" w:sz="4" w:space="0" w:color="000000"/>
            </w:tcBorders>
          </w:tcPr>
          <w:p w14:paraId="603F4EAF" w14:textId="77777777" w:rsidR="00DB50B7" w:rsidRPr="00B82B39" w:rsidRDefault="00DB50B7" w:rsidP="00B82B39">
            <w:pPr>
              <w:cnfStyle w:val="100000000000" w:firstRow="1" w:lastRow="0" w:firstColumn="0" w:lastColumn="0" w:oddVBand="0" w:evenVBand="0" w:oddHBand="0" w:evenHBand="0" w:firstRowFirstColumn="0" w:firstRowLastColumn="0" w:lastRowFirstColumn="0" w:lastRowLastColumn="0"/>
            </w:pPr>
            <w:r w:rsidRPr="00B82B39">
              <w:t>Months</w:t>
            </w:r>
          </w:p>
        </w:tc>
      </w:tr>
      <w:tr w:rsidR="00DB50B7" w:rsidRPr="00B82B39" w14:paraId="797797DE" w14:textId="77777777" w:rsidTr="007B270B">
        <w:trPr>
          <w:cnfStyle w:val="100000000000" w:firstRow="1" w:lastRow="0" w:firstColumn="0" w:lastColumn="0" w:oddVBand="0" w:evenVBand="0" w:oddHBand="0" w:evenHBand="0" w:firstRowFirstColumn="0" w:firstRowLastColumn="0" w:lastRowFirstColumn="0" w:lastRowLastColumn="0"/>
          <w:trHeight w:val="642"/>
          <w:tblHeader/>
        </w:trPr>
        <w:tc>
          <w:tcPr>
            <w:cnfStyle w:val="001000000000" w:firstRow="0" w:lastRow="0" w:firstColumn="1" w:lastColumn="0" w:oddVBand="0" w:evenVBand="0" w:oddHBand="0" w:evenHBand="0" w:firstRowFirstColumn="0" w:firstRowLastColumn="0" w:lastRowFirstColumn="0" w:lastRowLastColumn="0"/>
            <w:tcW w:w="2895" w:type="pct"/>
            <w:vMerge/>
            <w:tcBorders>
              <w:right w:val="single" w:sz="4" w:space="0" w:color="000000"/>
            </w:tcBorders>
          </w:tcPr>
          <w:p w14:paraId="4816FA66" w14:textId="77777777" w:rsidR="00DB50B7" w:rsidRPr="00B82B39" w:rsidRDefault="00DB50B7" w:rsidP="00B82B39"/>
        </w:tc>
        <w:tc>
          <w:tcPr>
            <w:tcW w:w="499" w:type="pct"/>
            <w:vMerge/>
            <w:tcBorders>
              <w:left w:val="single" w:sz="4" w:space="0" w:color="000000"/>
              <w:right w:val="single" w:sz="4" w:space="0" w:color="000000"/>
            </w:tcBorders>
          </w:tcPr>
          <w:p w14:paraId="34910514" w14:textId="1493CED2" w:rsidR="00DB50B7" w:rsidRPr="00B82B39" w:rsidRDefault="00DB50B7" w:rsidP="00B82B39">
            <w:pPr>
              <w:cnfStyle w:val="100000000000" w:firstRow="1" w:lastRow="0" w:firstColumn="0" w:lastColumn="0" w:oddVBand="0" w:evenVBand="0" w:oddHBand="0" w:evenHBand="0" w:firstRowFirstColumn="0" w:firstRowLastColumn="0" w:lastRowFirstColumn="0" w:lastRowLastColumn="0"/>
            </w:pPr>
          </w:p>
        </w:tc>
        <w:tc>
          <w:tcPr>
            <w:tcW w:w="811" w:type="pct"/>
            <w:tcBorders>
              <w:left w:val="single" w:sz="4" w:space="0" w:color="000000"/>
            </w:tcBorders>
          </w:tcPr>
          <w:p w14:paraId="3A7CAAEE" w14:textId="77777777" w:rsidR="00DB50B7" w:rsidRPr="00B82B39" w:rsidRDefault="00DB50B7" w:rsidP="00B82B39">
            <w:pPr>
              <w:cnfStyle w:val="100000000000" w:firstRow="1" w:lastRow="0" w:firstColumn="0" w:lastColumn="0" w:oddVBand="0" w:evenVBand="0" w:oddHBand="0" w:evenHBand="0" w:firstRowFirstColumn="0" w:firstRowLastColumn="0" w:lastRowFirstColumn="0" w:lastRowLastColumn="0"/>
            </w:pPr>
            <w:r w:rsidRPr="00B82B39">
              <w:t>Median</w:t>
            </w:r>
          </w:p>
        </w:tc>
        <w:tc>
          <w:tcPr>
            <w:tcW w:w="795" w:type="pct"/>
          </w:tcPr>
          <w:p w14:paraId="5BB63E0E" w14:textId="77777777" w:rsidR="00DB50B7" w:rsidRPr="00B82B39" w:rsidRDefault="00DB50B7" w:rsidP="00B82B39">
            <w:pPr>
              <w:cnfStyle w:val="100000000000" w:firstRow="1" w:lastRow="0" w:firstColumn="0" w:lastColumn="0" w:oddVBand="0" w:evenVBand="0" w:oddHBand="0" w:evenHBand="0" w:firstRowFirstColumn="0" w:firstRowLastColumn="0" w:lastRowFirstColumn="0" w:lastRowLastColumn="0"/>
            </w:pPr>
            <w:r w:rsidRPr="00B82B39">
              <w:t>95% CI</w:t>
            </w:r>
          </w:p>
        </w:tc>
      </w:tr>
      <w:tr w:rsidR="00DB50B7" w:rsidRPr="00B82B39" w14:paraId="2A679EDF" w14:textId="77777777" w:rsidTr="007B270B">
        <w:trPr>
          <w:trHeight w:val="70"/>
        </w:trPr>
        <w:tc>
          <w:tcPr>
            <w:cnfStyle w:val="001000000000" w:firstRow="0" w:lastRow="0" w:firstColumn="1" w:lastColumn="0" w:oddVBand="0" w:evenVBand="0" w:oddHBand="0" w:evenHBand="0" w:firstRowFirstColumn="0" w:firstRowLastColumn="0" w:lastRowFirstColumn="0" w:lastRowLastColumn="0"/>
            <w:tcW w:w="2895" w:type="pct"/>
          </w:tcPr>
          <w:p w14:paraId="7C0A185B" w14:textId="77777777" w:rsidR="00A7727F" w:rsidRPr="00B82B39" w:rsidRDefault="00A7727F" w:rsidP="00B82B39">
            <w:r w:rsidRPr="00B82B39">
              <w:t>Overall Survival</w:t>
            </w:r>
          </w:p>
        </w:tc>
        <w:tc>
          <w:tcPr>
            <w:tcW w:w="499" w:type="pct"/>
          </w:tcPr>
          <w:p w14:paraId="2A554CE0"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189</w:t>
            </w:r>
          </w:p>
        </w:tc>
        <w:tc>
          <w:tcPr>
            <w:tcW w:w="811" w:type="pct"/>
          </w:tcPr>
          <w:p w14:paraId="257303EB"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6.1</w:t>
            </w:r>
          </w:p>
        </w:tc>
        <w:tc>
          <w:tcPr>
            <w:tcW w:w="795" w:type="pct"/>
          </w:tcPr>
          <w:p w14:paraId="486A2058"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4.2 to 7.5</w:t>
            </w:r>
          </w:p>
        </w:tc>
      </w:tr>
      <w:tr w:rsidR="00DB50B7" w:rsidRPr="00B82B39" w14:paraId="6F681C4D" w14:textId="77777777" w:rsidTr="007B270B">
        <w:trPr>
          <w:trHeight w:val="492"/>
        </w:trPr>
        <w:tc>
          <w:tcPr>
            <w:cnfStyle w:val="001000000000" w:firstRow="0" w:lastRow="0" w:firstColumn="1" w:lastColumn="0" w:oddVBand="0" w:evenVBand="0" w:oddHBand="0" w:evenHBand="0" w:firstRowFirstColumn="0" w:firstRowLastColumn="0" w:lastRowFirstColumn="0" w:lastRowLastColumn="0"/>
            <w:tcW w:w="2895" w:type="pct"/>
          </w:tcPr>
          <w:p w14:paraId="64468EC0" w14:textId="77777777" w:rsidR="00A7727F" w:rsidRPr="00B82B39" w:rsidRDefault="00A7727F" w:rsidP="00B82B39">
            <w:r w:rsidRPr="00B82B39">
              <w:t>Censored for HSCT</w:t>
            </w:r>
          </w:p>
        </w:tc>
        <w:tc>
          <w:tcPr>
            <w:tcW w:w="499" w:type="pct"/>
          </w:tcPr>
          <w:p w14:paraId="01DF4F5E"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189</w:t>
            </w:r>
          </w:p>
        </w:tc>
        <w:tc>
          <w:tcPr>
            <w:tcW w:w="811" w:type="pct"/>
          </w:tcPr>
          <w:p w14:paraId="6EF48709"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5.1</w:t>
            </w:r>
          </w:p>
        </w:tc>
        <w:tc>
          <w:tcPr>
            <w:tcW w:w="795" w:type="pct"/>
          </w:tcPr>
          <w:p w14:paraId="35ED65D3"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4.1 to 7.1</w:t>
            </w:r>
          </w:p>
        </w:tc>
      </w:tr>
      <w:tr w:rsidR="00DB50B7" w:rsidRPr="00B82B39" w14:paraId="71318786" w14:textId="77777777" w:rsidTr="007B270B">
        <w:trPr>
          <w:trHeight w:val="492"/>
        </w:trPr>
        <w:tc>
          <w:tcPr>
            <w:cnfStyle w:val="001000000000" w:firstRow="0" w:lastRow="0" w:firstColumn="1" w:lastColumn="0" w:oddVBand="0" w:evenVBand="0" w:oddHBand="0" w:evenHBand="0" w:firstRowFirstColumn="0" w:firstRowLastColumn="0" w:lastRowFirstColumn="0" w:lastRowLastColumn="0"/>
            <w:tcW w:w="2895" w:type="pct"/>
          </w:tcPr>
          <w:p w14:paraId="0812AF36" w14:textId="77777777" w:rsidR="00A7727F" w:rsidRPr="00B82B39" w:rsidRDefault="00A7727F" w:rsidP="00B82B39">
            <w:r w:rsidRPr="00B82B39">
              <w:t>Censoring at the time of first CR/CRh*</w:t>
            </w:r>
          </w:p>
        </w:tc>
        <w:tc>
          <w:tcPr>
            <w:tcW w:w="499" w:type="pct"/>
          </w:tcPr>
          <w:p w14:paraId="4FD85A32"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189</w:t>
            </w:r>
          </w:p>
        </w:tc>
        <w:tc>
          <w:tcPr>
            <w:tcW w:w="811" w:type="pct"/>
          </w:tcPr>
          <w:p w14:paraId="3A09171E"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3.5</w:t>
            </w:r>
          </w:p>
        </w:tc>
        <w:tc>
          <w:tcPr>
            <w:tcW w:w="795" w:type="pct"/>
          </w:tcPr>
          <w:p w14:paraId="09C8A368"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2.4 to 3.9</w:t>
            </w:r>
          </w:p>
        </w:tc>
      </w:tr>
      <w:tr w:rsidR="00DB50B7" w:rsidRPr="00B82B39" w14:paraId="6347D43B" w14:textId="77777777" w:rsidTr="007B270B">
        <w:trPr>
          <w:trHeight w:val="412"/>
        </w:trPr>
        <w:tc>
          <w:tcPr>
            <w:cnfStyle w:val="001000000000" w:firstRow="0" w:lastRow="0" w:firstColumn="1" w:lastColumn="0" w:oddVBand="0" w:evenVBand="0" w:oddHBand="0" w:evenHBand="0" w:firstRowFirstColumn="0" w:firstRowLastColumn="0" w:lastRowFirstColumn="0" w:lastRowLastColumn="0"/>
            <w:tcW w:w="2895" w:type="pct"/>
          </w:tcPr>
          <w:p w14:paraId="1429091B" w14:textId="429A019D" w:rsidR="00A7727F" w:rsidRPr="00B82B39" w:rsidRDefault="00A7727F" w:rsidP="00B82B39">
            <w:r w:rsidRPr="00B82B39">
              <w:t>Landmark</w:t>
            </w:r>
            <w:r w:rsidR="00375CAE" w:rsidRPr="00B82B39">
              <w:t xml:space="preserve"> </w:t>
            </w:r>
            <w:r w:rsidR="00423768" w:rsidRPr="00B82B39">
              <w:t>=</w:t>
            </w:r>
            <w:r w:rsidR="00375CAE" w:rsidRPr="00B82B39">
              <w:t xml:space="preserve"> </w:t>
            </w:r>
            <w:r w:rsidRPr="00B82B39">
              <w:t>36 days</w:t>
            </w:r>
          </w:p>
        </w:tc>
        <w:tc>
          <w:tcPr>
            <w:tcW w:w="499" w:type="pct"/>
          </w:tcPr>
          <w:p w14:paraId="054F1A2B"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p>
        </w:tc>
        <w:tc>
          <w:tcPr>
            <w:tcW w:w="811" w:type="pct"/>
          </w:tcPr>
          <w:p w14:paraId="46AB906E"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p>
        </w:tc>
        <w:tc>
          <w:tcPr>
            <w:tcW w:w="795" w:type="pct"/>
          </w:tcPr>
          <w:p w14:paraId="3ED09744"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p>
        </w:tc>
      </w:tr>
      <w:tr w:rsidR="00DB50B7" w:rsidRPr="00B82B39" w14:paraId="0EB12B4E" w14:textId="77777777" w:rsidTr="007B270B">
        <w:trPr>
          <w:trHeight w:val="492"/>
        </w:trPr>
        <w:tc>
          <w:tcPr>
            <w:cnfStyle w:val="001000000000" w:firstRow="0" w:lastRow="0" w:firstColumn="1" w:lastColumn="0" w:oddVBand="0" w:evenVBand="0" w:oddHBand="0" w:evenHBand="0" w:firstRowFirstColumn="0" w:firstRowLastColumn="0" w:lastRowFirstColumn="0" w:lastRowLastColumn="0"/>
            <w:tcW w:w="2895" w:type="pct"/>
          </w:tcPr>
          <w:p w14:paraId="55A5D50B" w14:textId="77777777" w:rsidR="00A7727F" w:rsidRPr="00B82B39" w:rsidRDefault="00A7727F" w:rsidP="00B82B39">
            <w:r w:rsidRPr="00B82B39">
              <w:t>CR/CRh*</w:t>
            </w:r>
          </w:p>
        </w:tc>
        <w:tc>
          <w:tcPr>
            <w:tcW w:w="499" w:type="pct"/>
          </w:tcPr>
          <w:p w14:paraId="55EAD944"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60</w:t>
            </w:r>
          </w:p>
        </w:tc>
        <w:tc>
          <w:tcPr>
            <w:tcW w:w="811" w:type="pct"/>
          </w:tcPr>
          <w:p w14:paraId="2D9DF07A"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11.2</w:t>
            </w:r>
          </w:p>
        </w:tc>
        <w:tc>
          <w:tcPr>
            <w:tcW w:w="795" w:type="pct"/>
          </w:tcPr>
          <w:p w14:paraId="1F1F4BF1"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7.8 to n.e.</w:t>
            </w:r>
          </w:p>
        </w:tc>
      </w:tr>
      <w:tr w:rsidR="00DB50B7" w:rsidRPr="00B82B39" w14:paraId="1C36116F" w14:textId="77777777" w:rsidTr="007B270B">
        <w:trPr>
          <w:trHeight w:val="492"/>
        </w:trPr>
        <w:tc>
          <w:tcPr>
            <w:cnfStyle w:val="001000000000" w:firstRow="0" w:lastRow="0" w:firstColumn="1" w:lastColumn="0" w:oddVBand="0" w:evenVBand="0" w:oddHBand="0" w:evenHBand="0" w:firstRowFirstColumn="0" w:firstRowLastColumn="0" w:lastRowFirstColumn="0" w:lastRowLastColumn="0"/>
            <w:tcW w:w="2895" w:type="pct"/>
          </w:tcPr>
          <w:p w14:paraId="3DD6FF24" w14:textId="77777777" w:rsidR="00A7727F" w:rsidRPr="00B82B39" w:rsidRDefault="00A7727F" w:rsidP="00B82B39">
            <w:r w:rsidRPr="00B82B39">
              <w:t>Nonresponders</w:t>
            </w:r>
          </w:p>
        </w:tc>
        <w:tc>
          <w:tcPr>
            <w:tcW w:w="499" w:type="pct"/>
          </w:tcPr>
          <w:p w14:paraId="7C06DD91"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101</w:t>
            </w:r>
          </w:p>
        </w:tc>
        <w:tc>
          <w:tcPr>
            <w:tcW w:w="811" w:type="pct"/>
          </w:tcPr>
          <w:p w14:paraId="2E6F0D8C"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3.0</w:t>
            </w:r>
          </w:p>
        </w:tc>
        <w:tc>
          <w:tcPr>
            <w:tcW w:w="795" w:type="pct"/>
          </w:tcPr>
          <w:p w14:paraId="75676FB9"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2.4 to 4.0</w:t>
            </w:r>
          </w:p>
        </w:tc>
      </w:tr>
      <w:tr w:rsidR="00DB50B7" w:rsidRPr="00B82B39" w14:paraId="44E5BFAE" w14:textId="77777777" w:rsidTr="007B270B">
        <w:trPr>
          <w:trHeight w:val="492"/>
        </w:trPr>
        <w:tc>
          <w:tcPr>
            <w:cnfStyle w:val="001000000000" w:firstRow="0" w:lastRow="0" w:firstColumn="1" w:lastColumn="0" w:oddVBand="0" w:evenVBand="0" w:oddHBand="0" w:evenHBand="0" w:firstRowFirstColumn="0" w:firstRowLastColumn="0" w:lastRowFirstColumn="0" w:lastRowLastColumn="0"/>
            <w:tcW w:w="2895" w:type="pct"/>
          </w:tcPr>
          <w:p w14:paraId="6147814D" w14:textId="71352DC9" w:rsidR="00A7727F" w:rsidRPr="00B82B39" w:rsidRDefault="00A7727F" w:rsidP="00B82B39">
            <w:r w:rsidRPr="00B82B39">
              <w:t>Landmark</w:t>
            </w:r>
            <w:r w:rsidR="00375CAE" w:rsidRPr="00B82B39">
              <w:t xml:space="preserve"> </w:t>
            </w:r>
            <w:r w:rsidR="00423768" w:rsidRPr="00B82B39">
              <w:t>=</w:t>
            </w:r>
            <w:r w:rsidR="00375CAE" w:rsidRPr="00B82B39">
              <w:t xml:space="preserve"> </w:t>
            </w:r>
            <w:r w:rsidRPr="00B82B39">
              <w:t>77 days</w:t>
            </w:r>
          </w:p>
        </w:tc>
        <w:tc>
          <w:tcPr>
            <w:tcW w:w="499" w:type="pct"/>
          </w:tcPr>
          <w:p w14:paraId="0F3846BC"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p>
        </w:tc>
        <w:tc>
          <w:tcPr>
            <w:tcW w:w="811" w:type="pct"/>
          </w:tcPr>
          <w:p w14:paraId="7CFE5304"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p>
        </w:tc>
        <w:tc>
          <w:tcPr>
            <w:tcW w:w="795" w:type="pct"/>
          </w:tcPr>
          <w:p w14:paraId="43C3AD8C"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p>
        </w:tc>
      </w:tr>
      <w:tr w:rsidR="00DB50B7" w:rsidRPr="00B82B39" w14:paraId="3415F144" w14:textId="77777777" w:rsidTr="007B270B">
        <w:trPr>
          <w:trHeight w:val="492"/>
        </w:trPr>
        <w:tc>
          <w:tcPr>
            <w:cnfStyle w:val="001000000000" w:firstRow="0" w:lastRow="0" w:firstColumn="1" w:lastColumn="0" w:oddVBand="0" w:evenVBand="0" w:oddHBand="0" w:evenHBand="0" w:firstRowFirstColumn="0" w:firstRowLastColumn="0" w:lastRowFirstColumn="0" w:lastRowLastColumn="0"/>
            <w:tcW w:w="2895" w:type="pct"/>
          </w:tcPr>
          <w:p w14:paraId="3CF75EA9" w14:textId="77777777" w:rsidR="00A7727F" w:rsidRPr="00B82B39" w:rsidRDefault="00A7727F" w:rsidP="00B82B39">
            <w:r w:rsidRPr="00B82B39">
              <w:t>CR/CRh*</w:t>
            </w:r>
          </w:p>
        </w:tc>
        <w:tc>
          <w:tcPr>
            <w:tcW w:w="499" w:type="pct"/>
          </w:tcPr>
          <w:p w14:paraId="78F75B2C"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79</w:t>
            </w:r>
          </w:p>
        </w:tc>
        <w:tc>
          <w:tcPr>
            <w:tcW w:w="811" w:type="pct"/>
          </w:tcPr>
          <w:p w14:paraId="4471A8C3"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9.9</w:t>
            </w:r>
          </w:p>
        </w:tc>
        <w:tc>
          <w:tcPr>
            <w:tcW w:w="795" w:type="pct"/>
          </w:tcPr>
          <w:p w14:paraId="57640B64" w14:textId="0985DEFE"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 xml:space="preserve">6.8 to </w:t>
            </w:r>
            <w:r w:rsidR="00A972DD" w:rsidRPr="00B82B39">
              <w:t>n.e.</w:t>
            </w:r>
          </w:p>
        </w:tc>
      </w:tr>
      <w:tr w:rsidR="00DB50B7" w:rsidRPr="00B82B39" w14:paraId="7A23E3E0" w14:textId="77777777" w:rsidTr="007B270B">
        <w:trPr>
          <w:trHeight w:val="504"/>
        </w:trPr>
        <w:tc>
          <w:tcPr>
            <w:cnfStyle w:val="001000000000" w:firstRow="0" w:lastRow="0" w:firstColumn="1" w:lastColumn="0" w:oddVBand="0" w:evenVBand="0" w:oddHBand="0" w:evenHBand="0" w:firstRowFirstColumn="0" w:firstRowLastColumn="0" w:lastRowFirstColumn="0" w:lastRowLastColumn="0"/>
            <w:tcW w:w="2895" w:type="pct"/>
          </w:tcPr>
          <w:p w14:paraId="48D593CC" w14:textId="77777777" w:rsidR="00A7727F" w:rsidRPr="00B82B39" w:rsidRDefault="00A7727F" w:rsidP="00B82B39">
            <w:r w:rsidRPr="00B82B39">
              <w:t>Nonresponders</w:t>
            </w:r>
          </w:p>
        </w:tc>
        <w:tc>
          <w:tcPr>
            <w:tcW w:w="499" w:type="pct"/>
          </w:tcPr>
          <w:p w14:paraId="4493C7A2"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50</w:t>
            </w:r>
          </w:p>
        </w:tc>
        <w:tc>
          <w:tcPr>
            <w:tcW w:w="811" w:type="pct"/>
          </w:tcPr>
          <w:p w14:paraId="745E7979"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2.7</w:t>
            </w:r>
          </w:p>
        </w:tc>
        <w:tc>
          <w:tcPr>
            <w:tcW w:w="795" w:type="pct"/>
          </w:tcPr>
          <w:p w14:paraId="67671F2D" w14:textId="77777777" w:rsidR="00A7727F" w:rsidRPr="00B82B39" w:rsidRDefault="00A7727F" w:rsidP="00B82B39">
            <w:pPr>
              <w:cnfStyle w:val="000000000000" w:firstRow="0" w:lastRow="0" w:firstColumn="0" w:lastColumn="0" w:oddVBand="0" w:evenVBand="0" w:oddHBand="0" w:evenHBand="0" w:firstRowFirstColumn="0" w:firstRowLastColumn="0" w:lastRowFirstColumn="0" w:lastRowLastColumn="0"/>
            </w:pPr>
            <w:r w:rsidRPr="00B82B39">
              <w:t>1.6 to 4.5</w:t>
            </w:r>
          </w:p>
        </w:tc>
      </w:tr>
    </w:tbl>
    <w:p w14:paraId="4DEA031B" w14:textId="04FE0A07" w:rsidR="00A7727F" w:rsidRPr="00A7727F" w:rsidRDefault="00A7727F" w:rsidP="0083460F">
      <w:pPr>
        <w:pStyle w:val="TableDescription"/>
        <w:keepNext/>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 CR</w:t>
      </w:r>
      <w:r w:rsidR="00375CAE">
        <w:rPr>
          <w:lang w:eastAsia="ja-JP"/>
        </w:rPr>
        <w:t xml:space="preserve"> </w:t>
      </w:r>
      <w:r w:rsidR="00423768">
        <w:rPr>
          <w:lang w:eastAsia="ja-JP"/>
        </w:rPr>
        <w:t>=</w:t>
      </w:r>
      <w:r w:rsidR="00375CAE">
        <w:rPr>
          <w:lang w:eastAsia="ja-JP"/>
        </w:rPr>
        <w:t xml:space="preserve"> </w:t>
      </w:r>
      <w:r w:rsidRPr="00A7727F">
        <w:rPr>
          <w:lang w:eastAsia="ja-JP"/>
        </w:rPr>
        <w:t>complete response; CRh*</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with only partial h</w:t>
      </w:r>
      <w:r w:rsidR="0083460F">
        <w:rPr>
          <w:lang w:eastAsia="ja-JP"/>
        </w:rPr>
        <w:t>a</w:t>
      </w:r>
      <w:r w:rsidRPr="00A7727F">
        <w:rPr>
          <w:lang w:eastAsia="ja-JP"/>
        </w:rPr>
        <w:t>ematological recover; HSCT</w:t>
      </w:r>
      <w:r w:rsidR="00375CAE">
        <w:rPr>
          <w:lang w:eastAsia="ja-JP"/>
        </w:rPr>
        <w:t xml:space="preserve"> </w:t>
      </w:r>
      <w:r w:rsidR="00423768">
        <w:rPr>
          <w:lang w:eastAsia="ja-JP"/>
        </w:rPr>
        <w:t>=</w:t>
      </w:r>
      <w:r w:rsidR="00375CAE">
        <w:rPr>
          <w:lang w:eastAsia="ja-JP"/>
        </w:rPr>
        <w:t xml:space="preserve"> </w:t>
      </w:r>
      <w:r w:rsidRPr="00A7727F">
        <w:rPr>
          <w:lang w:eastAsia="ja-JP"/>
        </w:rPr>
        <w:t>h</w:t>
      </w:r>
      <w:r w:rsidR="0083460F">
        <w:rPr>
          <w:lang w:eastAsia="ja-JP"/>
        </w:rPr>
        <w:t>a</w:t>
      </w:r>
      <w:r w:rsidRPr="00A7727F">
        <w:rPr>
          <w:lang w:eastAsia="ja-JP"/>
        </w:rPr>
        <w:t>ematopoietic stem cell transplant; n.e.</w:t>
      </w:r>
      <w:r w:rsidR="00375CAE">
        <w:rPr>
          <w:lang w:eastAsia="ja-JP"/>
        </w:rPr>
        <w:t xml:space="preserve"> </w:t>
      </w:r>
      <w:r w:rsidR="00423768">
        <w:rPr>
          <w:lang w:eastAsia="ja-JP"/>
        </w:rPr>
        <w:t>=</w:t>
      </w:r>
      <w:r w:rsidR="00375CAE">
        <w:rPr>
          <w:lang w:eastAsia="ja-JP"/>
        </w:rPr>
        <w:t xml:space="preserve"> </w:t>
      </w:r>
      <w:r w:rsidRPr="00A7727F">
        <w:rPr>
          <w:lang w:eastAsia="ja-JP"/>
        </w:rPr>
        <w:t>not estimable</w:t>
      </w:r>
    </w:p>
    <w:p w14:paraId="25861108" w14:textId="2FA0D45C" w:rsidR="00A7727F" w:rsidRPr="00A7727F" w:rsidRDefault="00A7727F" w:rsidP="00B82B39">
      <w:pPr>
        <w:pStyle w:val="FigureTitle"/>
        <w:keepNext/>
        <w:rPr>
          <w:lang w:eastAsia="ja-JP"/>
        </w:rPr>
      </w:pPr>
      <w:bookmarkStart w:id="178" w:name="_Toc292015802"/>
      <w:r w:rsidRPr="00A7727F">
        <w:rPr>
          <w:lang w:eastAsia="ja-JP"/>
        </w:rPr>
        <w:t xml:space="preserve">Figure </w:t>
      </w:r>
      <w:r w:rsidR="00B82B39">
        <w:rPr>
          <w:lang w:eastAsia="ja-JP"/>
        </w:rPr>
        <w:t>22:</w:t>
      </w:r>
      <w:r w:rsidR="00F67A2F">
        <w:rPr>
          <w:lang w:eastAsia="ja-JP"/>
        </w:rPr>
        <w:t xml:space="preserve"> Overall survival, estimated by Kaplan-Meier, s</w:t>
      </w:r>
      <w:r w:rsidRPr="00A7727F">
        <w:rPr>
          <w:lang w:eastAsia="ja-JP"/>
        </w:rPr>
        <w:t xml:space="preserve">econdary </w:t>
      </w:r>
      <w:r w:rsidR="00F67A2F" w:rsidRPr="00A7727F">
        <w:rPr>
          <w:lang w:eastAsia="ja-JP"/>
        </w:rPr>
        <w:t>analysis censoring subjects with</w:t>
      </w:r>
      <w:r w:rsidRPr="00A7727F">
        <w:rPr>
          <w:lang w:eastAsia="ja-JP"/>
        </w:rPr>
        <w:t xml:space="preserve"> HSCT (Primary Analysis Set)</w:t>
      </w:r>
      <w:bookmarkEnd w:id="178"/>
    </w:p>
    <w:p w14:paraId="23481ACD" w14:textId="77777777" w:rsidR="00A7727F" w:rsidRPr="00A7727F" w:rsidRDefault="00A7727F" w:rsidP="00A7727F">
      <w:pPr>
        <w:rPr>
          <w:lang w:eastAsia="ja-JP"/>
        </w:rPr>
      </w:pPr>
      <w:r w:rsidRPr="00A7727F">
        <w:rPr>
          <w:noProof/>
          <w:lang w:eastAsia="en-AU"/>
        </w:rPr>
        <w:drawing>
          <wp:inline distT="0" distB="0" distL="0" distR="0" wp14:anchorId="4B5A9DBC" wp14:editId="5FC8BD59">
            <wp:extent cx="5583615" cy="2626157"/>
            <wp:effectExtent l="0" t="0" r="0" b="3175"/>
            <wp:docPr id="30" name="Picture 30" descr="Figure 22: Overall survival, estimated by Kaplan-Meier, secondary analysis censoring subjects with HSCT (Primary Analysis Set)&#10;" title="Overall survival, estimated by Kaplan-Meier, secondary analysis censoring subjects with HSCT (Primary Analysis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7679" cy="2628069"/>
                    </a:xfrm>
                    <a:prstGeom prst="rect">
                      <a:avLst/>
                    </a:prstGeom>
                    <a:noFill/>
                    <a:ln>
                      <a:noFill/>
                    </a:ln>
                  </pic:spPr>
                </pic:pic>
              </a:graphicData>
            </a:graphic>
          </wp:inline>
        </w:drawing>
      </w:r>
    </w:p>
    <w:p w14:paraId="2038FB79" w14:textId="77777777" w:rsidR="00A7727F" w:rsidRPr="00A7727F" w:rsidRDefault="00A7727F" w:rsidP="00A7727F">
      <w:pPr>
        <w:rPr>
          <w:lang w:eastAsia="ja-JP"/>
        </w:rPr>
      </w:pPr>
      <w:r w:rsidRPr="00A7727F">
        <w:rPr>
          <w:lang w:eastAsia="ja-JP"/>
        </w:rPr>
        <w:t>Primary analysis: subjects in remission (CR or CRh*) during the core study Secondary analysis: subjects in remission (CR or CRh*) during the core study and were censored for HSCT</w:t>
      </w:r>
    </w:p>
    <w:p w14:paraId="2E033097" w14:textId="19F15D41" w:rsidR="00A7727F" w:rsidRPr="00F67A2F" w:rsidRDefault="00A7727F" w:rsidP="00A7727F">
      <w:pPr>
        <w:rPr>
          <w:lang w:eastAsia="ja-JP"/>
        </w:rPr>
      </w:pPr>
      <w:r w:rsidRPr="00A7727F">
        <w:rPr>
          <w:lang w:eastAsia="ja-JP"/>
        </w:rPr>
        <w:t>The clinical benefit of achieving remission was assessed by censoring overall survival at the time CR/CRh* was first achieved and comparing the result to the primary analysis of overall survival. When censored for time of first response, the median overall survival was 3.5 mont</w:t>
      </w:r>
      <w:r w:rsidR="0083460F">
        <w:rPr>
          <w:lang w:eastAsia="ja-JP"/>
        </w:rPr>
        <w:t xml:space="preserve">hs (95% CI: 2.4 to 3.9 months) as shown below in </w:t>
      </w:r>
      <w:r w:rsidR="0083460F" w:rsidRPr="0083460F">
        <w:rPr>
          <w:lang w:eastAsia="ja-JP"/>
        </w:rPr>
        <w:t>Figure 23</w:t>
      </w:r>
      <w:r w:rsidRPr="0083460F">
        <w:rPr>
          <w:lang w:eastAsia="ja-JP"/>
        </w:rPr>
        <w:t>.</w:t>
      </w:r>
    </w:p>
    <w:p w14:paraId="4B6BD93C" w14:textId="0C2DD28C" w:rsidR="00A7727F" w:rsidRPr="00A7727F" w:rsidRDefault="00A7727F" w:rsidP="00B82B39">
      <w:pPr>
        <w:pStyle w:val="FigureTitle"/>
        <w:keepNext/>
        <w:rPr>
          <w:lang w:eastAsia="ja-JP"/>
        </w:rPr>
      </w:pPr>
      <w:bookmarkStart w:id="179" w:name="_Toc292015803"/>
      <w:r w:rsidRPr="00A7727F">
        <w:rPr>
          <w:lang w:eastAsia="ja-JP"/>
        </w:rPr>
        <w:t xml:space="preserve">Figure </w:t>
      </w:r>
      <w:r w:rsidR="00B82B39">
        <w:rPr>
          <w:lang w:eastAsia="ja-JP"/>
        </w:rPr>
        <w:t>23:</w:t>
      </w:r>
      <w:r w:rsidR="00375CAE">
        <w:rPr>
          <w:lang w:eastAsia="ja-JP"/>
        </w:rPr>
        <w:t xml:space="preserve"> </w:t>
      </w:r>
      <w:r w:rsidR="00F67A2F">
        <w:rPr>
          <w:lang w:eastAsia="ja-JP"/>
        </w:rPr>
        <w:t>Overall s</w:t>
      </w:r>
      <w:r w:rsidRPr="00A7727F">
        <w:rPr>
          <w:lang w:eastAsia="ja-JP"/>
        </w:rPr>
        <w:t>urv</w:t>
      </w:r>
      <w:r w:rsidR="00F67A2F">
        <w:rPr>
          <w:lang w:eastAsia="ja-JP"/>
        </w:rPr>
        <w:t>ival, estimated by Kaplan-Meier, secondary analysis censoring subjects at the time of first a</w:t>
      </w:r>
      <w:r w:rsidRPr="00A7727F">
        <w:rPr>
          <w:lang w:eastAsia="ja-JP"/>
        </w:rPr>
        <w:t>chievement of CR or CRh* (Primary Analysis Set)</w:t>
      </w:r>
      <w:bookmarkEnd w:id="179"/>
    </w:p>
    <w:p w14:paraId="0379BE79" w14:textId="77777777" w:rsidR="00A7727F" w:rsidRPr="00A7727F" w:rsidRDefault="00A7727F" w:rsidP="00A7727F">
      <w:pPr>
        <w:rPr>
          <w:b/>
          <w:lang w:eastAsia="ja-JP"/>
        </w:rPr>
      </w:pPr>
      <w:r w:rsidRPr="00A7727F">
        <w:rPr>
          <w:b/>
          <w:noProof/>
          <w:lang w:eastAsia="en-AU"/>
        </w:rPr>
        <w:drawing>
          <wp:inline distT="0" distB="0" distL="0" distR="0" wp14:anchorId="43C5F98F" wp14:editId="643CE766">
            <wp:extent cx="5647376" cy="2794406"/>
            <wp:effectExtent l="0" t="0" r="0" b="6350"/>
            <wp:docPr id="5" name="Picture 5" descr="Figure 23: Overall survival, estimated by Kaplan-Meier, secondary analysis censoring subjects at the time of first achievement of CR or CRh* (Primary Analysis Set)" title="Overall survival, estimated by Kaplan-Meier, secondary analysis censoring subjects at the time of first achievement of CR or CRh*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7860" cy="2794646"/>
                    </a:xfrm>
                    <a:prstGeom prst="rect">
                      <a:avLst/>
                    </a:prstGeom>
                    <a:noFill/>
                    <a:ln>
                      <a:noFill/>
                    </a:ln>
                  </pic:spPr>
                </pic:pic>
              </a:graphicData>
            </a:graphic>
          </wp:inline>
        </w:drawing>
      </w:r>
    </w:p>
    <w:p w14:paraId="66E4E1D5" w14:textId="0E6FA9CD" w:rsidR="00A7727F" w:rsidRPr="00A7727F" w:rsidRDefault="00A7727F" w:rsidP="00F67A2F">
      <w:pPr>
        <w:pStyle w:val="FigureDescription"/>
        <w:rPr>
          <w:lang w:eastAsia="ja-JP"/>
        </w:rPr>
      </w:pPr>
      <w:r w:rsidRPr="00A7727F">
        <w:rPr>
          <w:lang w:eastAsia="ja-JP"/>
        </w:rPr>
        <w:t>Primary analysis: subjects in remission (CR</w:t>
      </w:r>
      <w:r w:rsidR="00F67A2F">
        <w:rPr>
          <w:lang w:eastAsia="ja-JP"/>
        </w:rPr>
        <w:t xml:space="preserve"> or CRh*) during the core study, </w:t>
      </w:r>
      <w:r w:rsidRPr="00A7727F">
        <w:rPr>
          <w:lang w:eastAsia="ja-JP"/>
        </w:rPr>
        <w:t>Secondary analysis: subjects in remission (CR or CRh*) during the core study and were censored for HSCT</w:t>
      </w:r>
      <w:r w:rsidR="00F67A2F">
        <w:rPr>
          <w:lang w:eastAsia="ja-JP"/>
        </w:rPr>
        <w:t>.</w:t>
      </w:r>
    </w:p>
    <w:p w14:paraId="75B8831D" w14:textId="3CD7571E" w:rsidR="00A7727F" w:rsidRPr="00A7727F" w:rsidRDefault="00F67A2F" w:rsidP="00F67A2F">
      <w:pPr>
        <w:pStyle w:val="Heading6"/>
        <w:rPr>
          <w:lang w:eastAsia="ja-JP"/>
        </w:rPr>
      </w:pPr>
      <w:r>
        <w:rPr>
          <w:lang w:eastAsia="ja-JP"/>
        </w:rPr>
        <w:t>Overall survival: Landmark a</w:t>
      </w:r>
      <w:r w:rsidR="0083460F">
        <w:rPr>
          <w:lang w:eastAsia="ja-JP"/>
        </w:rPr>
        <w:t>nalyses</w:t>
      </w:r>
    </w:p>
    <w:p w14:paraId="428AEE77" w14:textId="1561E753" w:rsidR="00A7727F" w:rsidRPr="00A7727F" w:rsidRDefault="0083460F" w:rsidP="0083460F">
      <w:pPr>
        <w:rPr>
          <w:lang w:eastAsia="ja-JP"/>
        </w:rPr>
      </w:pPr>
      <w:r>
        <w:rPr>
          <w:lang w:eastAsia="ja-JP"/>
        </w:rPr>
        <w:t>Note, l</w:t>
      </w:r>
      <w:r w:rsidR="00A7727F" w:rsidRPr="00A7727F">
        <w:rPr>
          <w:lang w:eastAsia="ja-JP"/>
        </w:rPr>
        <w:t>andmark</w:t>
      </w:r>
      <w:r w:rsidR="00375CAE">
        <w:rPr>
          <w:lang w:eastAsia="ja-JP"/>
        </w:rPr>
        <w:t xml:space="preserve"> </w:t>
      </w:r>
      <w:r w:rsidR="00423768">
        <w:rPr>
          <w:lang w:eastAsia="ja-JP"/>
        </w:rPr>
        <w:t>=</w:t>
      </w:r>
      <w:r w:rsidR="00375CAE">
        <w:rPr>
          <w:lang w:eastAsia="ja-JP"/>
        </w:rPr>
        <w:t xml:space="preserve"> </w:t>
      </w:r>
      <w:r w:rsidR="00A7727F" w:rsidRPr="00A7727F">
        <w:rPr>
          <w:lang w:eastAsia="ja-JP"/>
        </w:rPr>
        <w:t>Day 77</w:t>
      </w:r>
      <w:r w:rsidR="00435783">
        <w:rPr>
          <w:lang w:eastAsia="ja-JP"/>
        </w:rPr>
        <w:t xml:space="preserve"> of this study.</w:t>
      </w:r>
    </w:p>
    <w:p w14:paraId="66EB19AE" w14:textId="3555D209" w:rsidR="00A7727F" w:rsidRPr="00A7727F" w:rsidRDefault="00A7727F" w:rsidP="00A7727F">
      <w:pPr>
        <w:rPr>
          <w:lang w:eastAsia="ja-JP"/>
        </w:rPr>
      </w:pPr>
      <w:r w:rsidRPr="00A7727F">
        <w:rPr>
          <w:lang w:eastAsia="ja-JP"/>
        </w:rPr>
        <w:t>Am</w:t>
      </w:r>
      <w:r w:rsidR="00F67A2F">
        <w:rPr>
          <w:lang w:eastAsia="ja-JP"/>
        </w:rPr>
        <w:t>ong subjects who were alive by D</w:t>
      </w:r>
      <w:r w:rsidRPr="00A7727F">
        <w:rPr>
          <w:lang w:eastAsia="ja-JP"/>
        </w:rPr>
        <w:t xml:space="preserve">ay 77, median overall survival was 9.9 months (95% CI: 6.8 months to </w:t>
      </w:r>
      <w:r w:rsidR="005B0CFF">
        <w:rPr>
          <w:lang w:eastAsia="ja-JP"/>
        </w:rPr>
        <w:t>that is,</w:t>
      </w:r>
      <w:r w:rsidRPr="00A7727F">
        <w:rPr>
          <w:lang w:eastAsia="ja-JP"/>
        </w:rPr>
        <w:t>) for subjects who achieved CR/CRh* on or before day 77 (N</w:t>
      </w:r>
      <w:r w:rsidR="00375CAE">
        <w:rPr>
          <w:lang w:eastAsia="ja-JP"/>
        </w:rPr>
        <w:t xml:space="preserve"> </w:t>
      </w:r>
      <w:r w:rsidR="00423768">
        <w:rPr>
          <w:lang w:eastAsia="ja-JP"/>
        </w:rPr>
        <w:t>=</w:t>
      </w:r>
      <w:r w:rsidR="00375CAE">
        <w:rPr>
          <w:lang w:eastAsia="ja-JP"/>
        </w:rPr>
        <w:t xml:space="preserve"> </w:t>
      </w:r>
      <w:r w:rsidRPr="00A7727F">
        <w:rPr>
          <w:lang w:eastAsia="ja-JP"/>
        </w:rPr>
        <w:t>79), and 2.7 months (95% CI: 1.6 to 4.5 months) for nonresponders (N</w:t>
      </w:r>
      <w:r w:rsidR="00375CAE">
        <w:rPr>
          <w:lang w:eastAsia="ja-JP"/>
        </w:rPr>
        <w:t xml:space="preserve"> </w:t>
      </w:r>
      <w:r w:rsidR="00423768">
        <w:rPr>
          <w:lang w:eastAsia="ja-JP"/>
        </w:rPr>
        <w:t>=</w:t>
      </w:r>
      <w:r w:rsidR="00375CAE">
        <w:rPr>
          <w:lang w:eastAsia="ja-JP"/>
        </w:rPr>
        <w:t xml:space="preserve"> </w:t>
      </w:r>
      <w:r w:rsidRPr="00A7727F">
        <w:rPr>
          <w:lang w:eastAsia="ja-JP"/>
        </w:rPr>
        <w:t>50). At the time of the last follow-up for subjects in remission (CR/CRh*), 65.8% (52/79) of subjects were alive (censored) and 34.2% (27/79) of subjects had died; of the nonresponders, 28% (14/50) of subjects were alive (censored) and 72% (36/50) of subjects had died.</w:t>
      </w:r>
    </w:p>
    <w:p w14:paraId="644508DE" w14:textId="19778170" w:rsidR="00A7727F" w:rsidRPr="00A7727F" w:rsidRDefault="00A7727F" w:rsidP="00A7727F">
      <w:pPr>
        <w:rPr>
          <w:lang w:eastAsia="ja-JP"/>
        </w:rPr>
      </w:pPr>
      <w:r w:rsidRPr="00A7727F">
        <w:rPr>
          <w:lang w:eastAsia="ja-JP"/>
        </w:rPr>
        <w:t xml:space="preserve">To better understand the benefit of CRh* an ad hoc analysis was performed for subjects who were alive and achieved CRh* on or before day 77 </w:t>
      </w:r>
      <w:r w:rsidR="005B0CFF">
        <w:rPr>
          <w:lang w:eastAsia="ja-JP"/>
        </w:rPr>
        <w:t>(that is,</w:t>
      </w:r>
      <w:r w:rsidRPr="00A7727F">
        <w:rPr>
          <w:lang w:eastAsia="ja-JP"/>
        </w:rPr>
        <w:t>, subjects with CR before day 77 were excluded from the analysis). The median overall survival was 6.5 months (95% CI: 3.8 months to n.e.) for subjects who achieved CRh* (N</w:t>
      </w:r>
      <w:r w:rsidR="00375CAE">
        <w:rPr>
          <w:lang w:eastAsia="ja-JP"/>
        </w:rPr>
        <w:t xml:space="preserve"> </w:t>
      </w:r>
      <w:r w:rsidR="00423768">
        <w:rPr>
          <w:lang w:eastAsia="ja-JP"/>
        </w:rPr>
        <w:t>=</w:t>
      </w:r>
      <w:r w:rsidR="00375CAE">
        <w:rPr>
          <w:lang w:eastAsia="ja-JP"/>
        </w:rPr>
        <w:t xml:space="preserve"> </w:t>
      </w:r>
      <w:r w:rsidRPr="00A7727F">
        <w:rPr>
          <w:lang w:eastAsia="ja-JP"/>
        </w:rPr>
        <w:t>19) compared with 2.7 months (95% CI: 1.6 to 4.5 months) for nonresponders (N</w:t>
      </w:r>
      <w:r w:rsidR="00375CAE">
        <w:rPr>
          <w:lang w:eastAsia="ja-JP"/>
        </w:rPr>
        <w:t xml:space="preserve"> </w:t>
      </w:r>
      <w:r w:rsidR="00423768">
        <w:rPr>
          <w:lang w:eastAsia="ja-JP"/>
        </w:rPr>
        <w:t>=</w:t>
      </w:r>
      <w:r w:rsidR="00375CAE">
        <w:rPr>
          <w:lang w:eastAsia="ja-JP"/>
        </w:rPr>
        <w:t xml:space="preserve"> </w:t>
      </w:r>
      <w:r w:rsidRPr="00A7727F">
        <w:rPr>
          <w:lang w:eastAsia="ja-JP"/>
        </w:rPr>
        <w:t>50). The difference of approximately 4 months observed for this analysis may likely be a benefit of CRh* on survival; however, other factors cannot be ruled out (</w:t>
      </w:r>
      <w:r w:rsidR="005B0CFF">
        <w:rPr>
          <w:lang w:eastAsia="ja-JP"/>
        </w:rPr>
        <w:t>for example</w:t>
      </w:r>
      <w:r w:rsidRPr="00A7727F">
        <w:rPr>
          <w:lang w:eastAsia="ja-JP"/>
        </w:rPr>
        <w:t>, subject’s health). At the time of the last follow-up, 63.2% (12/19) of subjects who achieved CRh* were alive (censored) compared with 28% (14/50) of nonresponders who were alive (</w:t>
      </w:r>
      <w:r w:rsidRPr="00B82B39">
        <w:rPr>
          <w:lang w:eastAsia="ja-JP"/>
        </w:rPr>
        <w:t>censored) (</w:t>
      </w:r>
      <w:r w:rsidR="00435783" w:rsidRPr="00B82B39">
        <w:rPr>
          <w:lang w:eastAsia="ja-JP"/>
        </w:rPr>
        <w:t xml:space="preserve">see </w:t>
      </w:r>
      <w:r w:rsidRPr="00B82B39">
        <w:rPr>
          <w:lang w:eastAsia="ja-JP"/>
        </w:rPr>
        <w:t>Figure 24</w:t>
      </w:r>
      <w:r w:rsidR="00435783" w:rsidRPr="00B82B39">
        <w:rPr>
          <w:lang w:eastAsia="ja-JP"/>
        </w:rPr>
        <w:t>, shown below</w:t>
      </w:r>
      <w:r w:rsidRPr="00B82B39">
        <w:rPr>
          <w:lang w:eastAsia="ja-JP"/>
        </w:rPr>
        <w:t>).</w:t>
      </w:r>
    </w:p>
    <w:p w14:paraId="7E416621" w14:textId="755FAB08" w:rsidR="00A7727F" w:rsidRPr="00F67A2F" w:rsidRDefault="00A7727F" w:rsidP="00A7727F">
      <w:pPr>
        <w:rPr>
          <w:lang w:eastAsia="ja-JP"/>
        </w:rPr>
      </w:pPr>
      <w:r w:rsidRPr="00A7727F">
        <w:rPr>
          <w:lang w:eastAsia="ja-JP"/>
        </w:rPr>
        <w:t>Subjects who died or were censored by Day 77 or had reached best response</w:t>
      </w:r>
      <w:r w:rsidR="00375CAE">
        <w:rPr>
          <w:lang w:eastAsia="ja-JP"/>
        </w:rPr>
        <w:t xml:space="preserve"> </w:t>
      </w:r>
      <w:r w:rsidR="00423768">
        <w:rPr>
          <w:lang w:eastAsia="ja-JP"/>
        </w:rPr>
        <w:t>=</w:t>
      </w:r>
      <w:r w:rsidR="00375CAE">
        <w:rPr>
          <w:lang w:eastAsia="ja-JP"/>
        </w:rPr>
        <w:t xml:space="preserve"> </w:t>
      </w:r>
      <w:r w:rsidRPr="00A7727F">
        <w:rPr>
          <w:lang w:eastAsia="ja-JP"/>
        </w:rPr>
        <w:t>CR before Day 77 were excluded from the analysis. CRh* refers to the number of subjects who had reached CRh* at best response by Day 77, ‘No response’ refers to those subjects who never had reached CRh* by Day 77.</w:t>
      </w:r>
    </w:p>
    <w:p w14:paraId="2DF7F04F" w14:textId="4B4E3523" w:rsidR="00A7727F" w:rsidRPr="00A7727F" w:rsidRDefault="00A7727F" w:rsidP="00B82B39">
      <w:pPr>
        <w:pStyle w:val="FigureTitle"/>
        <w:keepNext/>
        <w:rPr>
          <w:lang w:eastAsia="ja-JP"/>
        </w:rPr>
      </w:pPr>
      <w:bookmarkStart w:id="180" w:name="_Toc292015804"/>
      <w:r w:rsidRPr="00A7727F">
        <w:rPr>
          <w:lang w:eastAsia="ja-JP"/>
        </w:rPr>
        <w:t xml:space="preserve">Figure </w:t>
      </w:r>
      <w:r w:rsidR="00B82B39">
        <w:rPr>
          <w:lang w:eastAsia="ja-JP"/>
        </w:rPr>
        <w:t>24:</w:t>
      </w:r>
      <w:r w:rsidR="00F67A2F">
        <w:rPr>
          <w:lang w:eastAsia="ja-JP"/>
        </w:rPr>
        <w:t xml:space="preserve"> Overall survival, landmark analysis u</w:t>
      </w:r>
      <w:r w:rsidRPr="00A7727F">
        <w:rPr>
          <w:lang w:eastAsia="ja-JP"/>
        </w:rPr>
        <w:t>sing Kaplan</w:t>
      </w:r>
      <w:r w:rsidR="00F67A2F">
        <w:rPr>
          <w:lang w:eastAsia="ja-JP"/>
        </w:rPr>
        <w:t xml:space="preserve">-Meier methods, stratified by CRh* status (excluding subjects with CR before Day 77); </w:t>
      </w:r>
      <w:r w:rsidRPr="00A7727F">
        <w:rPr>
          <w:lang w:eastAsia="ja-JP"/>
        </w:rPr>
        <w:t>Landmark</w:t>
      </w:r>
      <w:r w:rsidR="00375CAE">
        <w:rPr>
          <w:lang w:eastAsia="ja-JP"/>
        </w:rPr>
        <w:t xml:space="preserve"> </w:t>
      </w:r>
      <w:r w:rsidR="00423768">
        <w:rPr>
          <w:lang w:eastAsia="ja-JP"/>
        </w:rPr>
        <w:t>=</w:t>
      </w:r>
      <w:r w:rsidR="00375CAE">
        <w:rPr>
          <w:lang w:eastAsia="ja-JP"/>
        </w:rPr>
        <w:t xml:space="preserve"> </w:t>
      </w:r>
      <w:r w:rsidRPr="00A7727F">
        <w:rPr>
          <w:lang w:eastAsia="ja-JP"/>
        </w:rPr>
        <w:t>Day 77 (Primary Analysis Set)</w:t>
      </w:r>
      <w:bookmarkEnd w:id="180"/>
    </w:p>
    <w:p w14:paraId="1BCAC4F8" w14:textId="77777777" w:rsidR="00A7727F" w:rsidRPr="00A7727F" w:rsidRDefault="00A7727F" w:rsidP="00A7727F">
      <w:pPr>
        <w:rPr>
          <w:lang w:eastAsia="ja-JP"/>
        </w:rPr>
      </w:pPr>
      <w:r w:rsidRPr="00A7727F">
        <w:rPr>
          <w:noProof/>
          <w:lang w:eastAsia="en-AU"/>
        </w:rPr>
        <w:drawing>
          <wp:inline distT="0" distB="0" distL="0" distR="0" wp14:anchorId="32716E70" wp14:editId="7A811980">
            <wp:extent cx="4775835" cy="2291255"/>
            <wp:effectExtent l="0" t="0" r="5715" b="0"/>
            <wp:docPr id="84" name="Picture 84" descr="Figure 24: Overall survival, landmark analysis using Kaplan-Meier methods, stratified by CRh* status (excluding subjects with CR before Day 77); Landmark = Day 77 (Primary Analysis Set)" title="Overall survival, landmark analysis using Kaplan-Meier methods, stratified by CRh* status (excluding subjects with CR before Day 77); Landmark = Day 77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7784" cy="2296987"/>
                    </a:xfrm>
                    <a:prstGeom prst="rect">
                      <a:avLst/>
                    </a:prstGeom>
                    <a:noFill/>
                    <a:ln>
                      <a:noFill/>
                    </a:ln>
                  </pic:spPr>
                </pic:pic>
              </a:graphicData>
            </a:graphic>
          </wp:inline>
        </w:drawing>
      </w:r>
    </w:p>
    <w:p w14:paraId="4CF30F65" w14:textId="1B72554B" w:rsidR="00A7727F" w:rsidRPr="00A7727F" w:rsidRDefault="00A7727F" w:rsidP="00F67A2F">
      <w:pPr>
        <w:pStyle w:val="Heading6"/>
        <w:rPr>
          <w:lang w:eastAsia="ja-JP"/>
        </w:rPr>
      </w:pPr>
      <w:r w:rsidRPr="00A7727F">
        <w:rPr>
          <w:lang w:eastAsia="ja-JP"/>
        </w:rPr>
        <w:t>Event</w:t>
      </w:r>
      <w:r w:rsidR="006A3B04">
        <w:rPr>
          <w:lang w:eastAsia="ja-JP"/>
        </w:rPr>
        <w:t xml:space="preserve"> free</w:t>
      </w:r>
      <w:r w:rsidR="00F67A2F">
        <w:rPr>
          <w:lang w:eastAsia="ja-JP"/>
        </w:rPr>
        <w:t xml:space="preserve"> s</w:t>
      </w:r>
      <w:r w:rsidRPr="00A7727F">
        <w:rPr>
          <w:lang w:eastAsia="ja-JP"/>
        </w:rPr>
        <w:t>urvival</w:t>
      </w:r>
    </w:p>
    <w:p w14:paraId="23A28377" w14:textId="606AFE9A" w:rsidR="00A7727F" w:rsidRPr="00A7727F" w:rsidRDefault="00A7727F" w:rsidP="00A7727F">
      <w:pPr>
        <w:rPr>
          <w:lang w:eastAsia="ja-JP"/>
        </w:rPr>
      </w:pPr>
      <w:r w:rsidRPr="00A7727F">
        <w:rPr>
          <w:lang w:eastAsia="ja-JP"/>
        </w:rPr>
        <w:t>The analysis of event</w:t>
      </w:r>
      <w:r w:rsidR="006A3B04">
        <w:rPr>
          <w:lang w:eastAsia="ja-JP"/>
        </w:rPr>
        <w:t xml:space="preserve"> free</w:t>
      </w:r>
      <w:r w:rsidRPr="00A7727F">
        <w:rPr>
          <w:lang w:eastAsia="ja-JP"/>
        </w:rPr>
        <w:t xml:space="preserve"> survival was assessed for all subjects who started treatment with blinatumomab in this study. Event</w:t>
      </w:r>
      <w:r w:rsidR="006A3B04">
        <w:rPr>
          <w:lang w:eastAsia="ja-JP"/>
        </w:rPr>
        <w:t xml:space="preserve"> free</w:t>
      </w:r>
      <w:r w:rsidRPr="00A7727F">
        <w:rPr>
          <w:lang w:eastAsia="ja-JP"/>
        </w:rPr>
        <w:t xml:space="preserve"> survival was calculated relative to the start date of blinatumomab infusion in the first treatment cycle. The date of bone marrow aspiration at which haematological relapse was first detected, or the date of diagnosis on which the haematological or extramedullary relapse was documented or the date of start of any new therapy for ALL (excluding HSCT), or the date of death was used as the event date for event</w:t>
      </w:r>
      <w:r w:rsidR="006A3B04">
        <w:rPr>
          <w:lang w:eastAsia="ja-JP"/>
        </w:rPr>
        <w:t xml:space="preserve"> free</w:t>
      </w:r>
      <w:r w:rsidRPr="00A7727F">
        <w:rPr>
          <w:lang w:eastAsia="ja-JP"/>
        </w:rPr>
        <w:t xml:space="preserve"> survival, whichever was earlier. Subjects who did not achieve CR/CRh* during the core study were e</w:t>
      </w:r>
      <w:r w:rsidR="00F67A2F">
        <w:rPr>
          <w:lang w:eastAsia="ja-JP"/>
        </w:rPr>
        <w:t>valuated as having an event on D</w:t>
      </w:r>
      <w:r w:rsidRPr="00A7727F">
        <w:rPr>
          <w:lang w:eastAsia="ja-JP"/>
        </w:rPr>
        <w:t>ay 1. Subjects with CR/CRh* who did not experience haematological relapse, did not receive a new therapy for ALL (excluding HSCT), and did not die, were censored on the date of the last available bone marrow aspiration or on the last date of survival follow-up visit, whichever was later.</w:t>
      </w:r>
    </w:p>
    <w:p w14:paraId="2C9A23AE" w14:textId="0A282F9E" w:rsidR="00A7727F" w:rsidRPr="00A7727F" w:rsidRDefault="00A7727F" w:rsidP="00A7727F">
      <w:pPr>
        <w:rPr>
          <w:lang w:eastAsia="ja-JP"/>
        </w:rPr>
      </w:pPr>
      <w:r w:rsidRPr="00A7727F">
        <w:rPr>
          <w:lang w:eastAsia="ja-JP"/>
        </w:rPr>
        <w:t>The estimated median event</w:t>
      </w:r>
      <w:r w:rsidR="006A3B04">
        <w:rPr>
          <w:lang w:eastAsia="ja-JP"/>
        </w:rPr>
        <w:t xml:space="preserve"> free</w:t>
      </w:r>
      <w:r w:rsidRPr="00A7727F">
        <w:rPr>
          <w:lang w:eastAsia="ja-JP"/>
        </w:rPr>
        <w:t xml:space="preserve"> survival was not informative since more than 50% of subjects had not achieved remission and were assigned an event</w:t>
      </w:r>
      <w:r w:rsidR="006A3B04">
        <w:rPr>
          <w:lang w:eastAsia="ja-JP"/>
        </w:rPr>
        <w:t xml:space="preserve"> free</w:t>
      </w:r>
      <w:r w:rsidRPr="00A7727F">
        <w:rPr>
          <w:lang w:eastAsia="ja-JP"/>
        </w:rPr>
        <w:t xml:space="preserve"> survival of 1 day (</w:t>
      </w:r>
      <w:r w:rsidR="00435783">
        <w:rPr>
          <w:lang w:eastAsia="ja-JP"/>
        </w:rPr>
        <w:t xml:space="preserve">see </w:t>
      </w:r>
      <w:r w:rsidRPr="00435783">
        <w:rPr>
          <w:lang w:eastAsia="ja-JP"/>
        </w:rPr>
        <w:t>Figure 25</w:t>
      </w:r>
      <w:r w:rsidR="00435783" w:rsidRPr="00435783">
        <w:rPr>
          <w:lang w:eastAsia="ja-JP"/>
        </w:rPr>
        <w:t>, below</w:t>
      </w:r>
      <w:r w:rsidRPr="00435783">
        <w:rPr>
          <w:lang w:eastAsia="ja-JP"/>
        </w:rPr>
        <w:t>).</w:t>
      </w:r>
    </w:p>
    <w:p w14:paraId="30578D93" w14:textId="3C5EEB56" w:rsidR="00A7727F" w:rsidRPr="00A7727F" w:rsidRDefault="00A7727F" w:rsidP="00B82B39">
      <w:pPr>
        <w:pStyle w:val="FigureTitle"/>
        <w:keepNext/>
        <w:rPr>
          <w:lang w:eastAsia="ja-JP"/>
        </w:rPr>
      </w:pPr>
      <w:bookmarkStart w:id="181" w:name="_Toc292015805"/>
      <w:r w:rsidRPr="00A7727F">
        <w:rPr>
          <w:lang w:eastAsia="ja-JP"/>
        </w:rPr>
        <w:t xml:space="preserve">Figure </w:t>
      </w:r>
      <w:r w:rsidR="00B82B39">
        <w:rPr>
          <w:lang w:eastAsia="ja-JP"/>
        </w:rPr>
        <w:t>25:</w:t>
      </w:r>
      <w:r w:rsidRPr="00A7727F">
        <w:rPr>
          <w:lang w:eastAsia="ja-JP"/>
        </w:rPr>
        <w:t xml:space="preserve"> Event</w:t>
      </w:r>
      <w:r w:rsidR="006A3B04">
        <w:rPr>
          <w:lang w:eastAsia="ja-JP"/>
        </w:rPr>
        <w:t xml:space="preserve"> free</w:t>
      </w:r>
      <w:r w:rsidR="00F67A2F">
        <w:rPr>
          <w:lang w:eastAsia="ja-JP"/>
        </w:rPr>
        <w:t xml:space="preserve"> survival, e</w:t>
      </w:r>
      <w:r w:rsidRPr="00A7727F">
        <w:rPr>
          <w:lang w:eastAsia="ja-JP"/>
        </w:rPr>
        <w:t>stimated by Kaplan-Meier (Primary Analysis Set)</w:t>
      </w:r>
      <w:bookmarkEnd w:id="181"/>
    </w:p>
    <w:p w14:paraId="6AF0DCE1" w14:textId="02AD2B7B" w:rsidR="00A7727F" w:rsidRPr="00F67A2F" w:rsidRDefault="00A7727F" w:rsidP="00A7727F">
      <w:pPr>
        <w:rPr>
          <w:lang w:eastAsia="ja-JP"/>
        </w:rPr>
      </w:pPr>
      <w:r w:rsidRPr="00A7727F">
        <w:rPr>
          <w:noProof/>
          <w:lang w:eastAsia="en-AU"/>
        </w:rPr>
        <w:drawing>
          <wp:inline distT="0" distB="0" distL="0" distR="0" wp14:anchorId="430029B4" wp14:editId="35DC3234">
            <wp:extent cx="5099050" cy="2507478"/>
            <wp:effectExtent l="0" t="0" r="6350" b="7620"/>
            <wp:docPr id="87" name="Picture 87" descr="Figure 25: Event free survival, estimated by Kaplan-Meier (Primary Analysis Set)" title="Event free survival, estimated by Kaplan-Meier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9104" cy="2507505"/>
                    </a:xfrm>
                    <a:prstGeom prst="rect">
                      <a:avLst/>
                    </a:prstGeom>
                    <a:noFill/>
                    <a:ln>
                      <a:noFill/>
                    </a:ln>
                  </pic:spPr>
                </pic:pic>
              </a:graphicData>
            </a:graphic>
          </wp:inline>
        </w:drawing>
      </w:r>
    </w:p>
    <w:p w14:paraId="35569B06" w14:textId="6F318EC7" w:rsidR="00A7727F" w:rsidRPr="00A7727F" w:rsidRDefault="00F67A2F" w:rsidP="00197F80">
      <w:pPr>
        <w:pStyle w:val="Heading6"/>
        <w:rPr>
          <w:lang w:eastAsia="ja-JP"/>
        </w:rPr>
      </w:pPr>
      <w:r>
        <w:rPr>
          <w:lang w:eastAsia="ja-JP"/>
        </w:rPr>
        <w:t>Time to response a</w:t>
      </w:r>
      <w:r w:rsidR="00A7727F" w:rsidRPr="00A7727F">
        <w:rPr>
          <w:lang w:eastAsia="ja-JP"/>
        </w:rPr>
        <w:t>nalyses</w:t>
      </w:r>
    </w:p>
    <w:p w14:paraId="5686159D" w14:textId="11E05A0E" w:rsidR="00A7727F" w:rsidRPr="00A7727F" w:rsidRDefault="00A7727F" w:rsidP="00A7727F">
      <w:pPr>
        <w:rPr>
          <w:lang w:eastAsia="ja-JP"/>
        </w:rPr>
      </w:pPr>
      <w:r w:rsidRPr="00A7727F">
        <w:rPr>
          <w:lang w:eastAsia="ja-JP"/>
        </w:rPr>
        <w:t xml:space="preserve">The time to CR/CRh* and time to CR were calculated relative to the start date of blinatumomab infusion in the first treatment cycle until CR/CRh* was documented for the first time during the study. Subjects who did not experience CR/CRh* as best response during the study were censored at the end of core study visit. An overview of the time to response is presented in </w:t>
      </w:r>
      <w:r w:rsidRPr="00435783">
        <w:rPr>
          <w:lang w:eastAsia="ja-JP"/>
        </w:rPr>
        <w:t xml:space="preserve">Table </w:t>
      </w:r>
      <w:r w:rsidR="00435783" w:rsidRPr="00435783">
        <w:rPr>
          <w:lang w:eastAsia="ja-JP"/>
        </w:rPr>
        <w:t>26, below</w:t>
      </w:r>
      <w:r w:rsidRPr="00435783">
        <w:rPr>
          <w:lang w:eastAsia="ja-JP"/>
        </w:rPr>
        <w:t>.</w:t>
      </w:r>
    </w:p>
    <w:p w14:paraId="70F7F91B" w14:textId="49DE1487" w:rsidR="00A7727F" w:rsidRPr="00A7727F" w:rsidRDefault="00A7727F" w:rsidP="00197F80">
      <w:pPr>
        <w:pStyle w:val="Tabletitle"/>
        <w:rPr>
          <w:lang w:eastAsia="ja-JP"/>
        </w:rPr>
      </w:pPr>
      <w:bookmarkStart w:id="182" w:name="_Toc292015709"/>
      <w:r w:rsidRPr="00A7727F">
        <w:rPr>
          <w:lang w:eastAsia="ja-JP"/>
        </w:rPr>
        <w:t xml:space="preserve">Table </w:t>
      </w:r>
      <w:r w:rsidR="00B82B39">
        <w:rPr>
          <w:lang w:eastAsia="ja-JP"/>
        </w:rPr>
        <w:t>26:</w:t>
      </w:r>
      <w:r w:rsidR="00197F80">
        <w:rPr>
          <w:lang w:eastAsia="ja-JP"/>
        </w:rPr>
        <w:t xml:space="preserve"> Overview of time to r</w:t>
      </w:r>
      <w:r w:rsidRPr="00A7727F">
        <w:rPr>
          <w:lang w:eastAsia="ja-JP"/>
        </w:rPr>
        <w:t>esponse (Primary Analysis Set)</w:t>
      </w:r>
      <w:bookmarkEnd w:id="182"/>
    </w:p>
    <w:tbl>
      <w:tblPr>
        <w:tblStyle w:val="TableTGAblue"/>
        <w:tblW w:w="4775" w:type="pct"/>
        <w:tblLook w:val="04A0" w:firstRow="1" w:lastRow="0" w:firstColumn="1" w:lastColumn="0" w:noHBand="0" w:noVBand="1"/>
        <w:tblDescription w:val="Table 26: Overview of time to response (Primary Analysis Set)"/>
      </w:tblPr>
      <w:tblGrid>
        <w:gridCol w:w="1542"/>
        <w:gridCol w:w="2296"/>
        <w:gridCol w:w="1313"/>
        <w:gridCol w:w="3675"/>
      </w:tblGrid>
      <w:tr w:rsidR="00197F80" w:rsidRPr="00B82B39" w14:paraId="3655D22A" w14:textId="77777777" w:rsidTr="007B270B">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880" w:type="pct"/>
            <w:vMerge w:val="restart"/>
            <w:tcBorders>
              <w:right w:val="single" w:sz="4" w:space="0" w:color="000000"/>
            </w:tcBorders>
          </w:tcPr>
          <w:p w14:paraId="741C6F2D" w14:textId="59548742" w:rsidR="00197F80" w:rsidRPr="00B82B39" w:rsidRDefault="00197F80" w:rsidP="00A7727F">
            <w:pPr>
              <w:ind w:left="0"/>
              <w:rPr>
                <w:lang w:eastAsia="ja-JP"/>
              </w:rPr>
            </w:pPr>
            <w:r w:rsidRPr="00B82B39">
              <w:rPr>
                <w:bCs/>
                <w:lang w:eastAsia="ja-JP"/>
              </w:rPr>
              <w:t>Response</w:t>
            </w:r>
          </w:p>
        </w:tc>
        <w:tc>
          <w:tcPr>
            <w:tcW w:w="1307" w:type="pct"/>
            <w:vMerge w:val="restart"/>
            <w:tcBorders>
              <w:left w:val="single" w:sz="4" w:space="0" w:color="000000"/>
              <w:right w:val="single" w:sz="4" w:space="0" w:color="000000"/>
            </w:tcBorders>
          </w:tcPr>
          <w:p w14:paraId="01E2009F" w14:textId="7A724BCE" w:rsidR="00197F80" w:rsidRPr="00B82B39" w:rsidRDefault="00197F80" w:rsidP="00A7727F">
            <w:pPr>
              <w:ind w:lef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Response rate</w:t>
            </w:r>
          </w:p>
        </w:tc>
        <w:tc>
          <w:tcPr>
            <w:tcW w:w="2813" w:type="pct"/>
            <w:gridSpan w:val="2"/>
            <w:tcBorders>
              <w:left w:val="single" w:sz="4" w:space="0" w:color="000000"/>
            </w:tcBorders>
          </w:tcPr>
          <w:p w14:paraId="563E7D32" w14:textId="77777777" w:rsidR="00197F80" w:rsidRPr="00B82B39" w:rsidRDefault="00197F80" w:rsidP="00A7727F">
            <w:pPr>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Median Time to Response</w:t>
            </w:r>
          </w:p>
        </w:tc>
      </w:tr>
      <w:tr w:rsidR="00197F80" w:rsidRPr="00B82B39" w14:paraId="4A867EC9" w14:textId="77777777" w:rsidTr="007B270B">
        <w:trPr>
          <w:cnfStyle w:val="100000000000" w:firstRow="1" w:lastRow="0" w:firstColumn="0" w:lastColumn="0" w:oddVBand="0" w:evenVBand="0" w:oddHBand="0" w:evenHBand="0" w:firstRowFirstColumn="0" w:firstRowLastColumn="0" w:lastRowFirstColumn="0" w:lastRowLastColumn="0"/>
          <w:trHeight w:val="128"/>
          <w:tblHeader/>
        </w:trPr>
        <w:tc>
          <w:tcPr>
            <w:cnfStyle w:val="001000000000" w:firstRow="0" w:lastRow="0" w:firstColumn="1" w:lastColumn="0" w:oddVBand="0" w:evenVBand="0" w:oddHBand="0" w:evenHBand="0" w:firstRowFirstColumn="0" w:firstRowLastColumn="0" w:lastRowFirstColumn="0" w:lastRowLastColumn="0"/>
            <w:tcW w:w="880" w:type="pct"/>
            <w:vMerge/>
            <w:tcBorders>
              <w:right w:val="single" w:sz="4" w:space="0" w:color="000000"/>
            </w:tcBorders>
          </w:tcPr>
          <w:p w14:paraId="156C6E6D" w14:textId="562B61D2" w:rsidR="00197F80" w:rsidRPr="00B82B39" w:rsidRDefault="00197F80" w:rsidP="00A7727F">
            <w:pPr>
              <w:rPr>
                <w:bCs/>
                <w:lang w:eastAsia="ja-JP"/>
              </w:rPr>
            </w:pPr>
          </w:p>
        </w:tc>
        <w:tc>
          <w:tcPr>
            <w:tcW w:w="1307" w:type="pct"/>
            <w:vMerge/>
            <w:tcBorders>
              <w:left w:val="single" w:sz="4" w:space="0" w:color="000000"/>
              <w:right w:val="single" w:sz="4" w:space="0" w:color="000000"/>
            </w:tcBorders>
          </w:tcPr>
          <w:p w14:paraId="7BD504EA" w14:textId="561D2D30" w:rsidR="00197F80" w:rsidRPr="00B82B39" w:rsidRDefault="00197F80" w:rsidP="00A7727F">
            <w:pPr>
              <w:cnfStyle w:val="100000000000" w:firstRow="1" w:lastRow="0" w:firstColumn="0" w:lastColumn="0" w:oddVBand="0" w:evenVBand="0" w:oddHBand="0" w:evenHBand="0" w:firstRowFirstColumn="0" w:firstRowLastColumn="0" w:lastRowFirstColumn="0" w:lastRowLastColumn="0"/>
              <w:rPr>
                <w:bCs/>
                <w:lang w:eastAsia="ja-JP"/>
              </w:rPr>
            </w:pPr>
          </w:p>
        </w:tc>
        <w:tc>
          <w:tcPr>
            <w:tcW w:w="725" w:type="pct"/>
            <w:tcBorders>
              <w:left w:val="single" w:sz="4" w:space="0" w:color="000000"/>
            </w:tcBorders>
          </w:tcPr>
          <w:p w14:paraId="362A837D" w14:textId="77777777" w:rsidR="00197F80" w:rsidRPr="00B82B39" w:rsidRDefault="00197F80" w:rsidP="00A7727F">
            <w:pPr>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Months</w:t>
            </w:r>
          </w:p>
        </w:tc>
        <w:tc>
          <w:tcPr>
            <w:tcW w:w="2088" w:type="pct"/>
          </w:tcPr>
          <w:p w14:paraId="18031D44" w14:textId="77777777" w:rsidR="00197F80" w:rsidRPr="00B82B39" w:rsidRDefault="00197F80" w:rsidP="00A7727F">
            <w:pPr>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95% CI</w:t>
            </w:r>
          </w:p>
        </w:tc>
      </w:tr>
      <w:tr w:rsidR="00A7727F" w:rsidRPr="00A7727F" w14:paraId="6D203BC0" w14:textId="77777777" w:rsidTr="007B270B">
        <w:trPr>
          <w:trHeight w:val="62"/>
        </w:trPr>
        <w:tc>
          <w:tcPr>
            <w:cnfStyle w:val="001000000000" w:firstRow="0" w:lastRow="0" w:firstColumn="1" w:lastColumn="0" w:oddVBand="0" w:evenVBand="0" w:oddHBand="0" w:evenHBand="0" w:firstRowFirstColumn="0" w:firstRowLastColumn="0" w:lastRowFirstColumn="0" w:lastRowLastColumn="0"/>
            <w:tcW w:w="880" w:type="pct"/>
          </w:tcPr>
          <w:p w14:paraId="24BAD0FE" w14:textId="77777777" w:rsidR="00A7727F" w:rsidRPr="00A7727F" w:rsidRDefault="00A7727F" w:rsidP="00A7727F">
            <w:pPr>
              <w:rPr>
                <w:lang w:eastAsia="ja-JP"/>
              </w:rPr>
            </w:pPr>
            <w:r w:rsidRPr="00A7727F">
              <w:rPr>
                <w:lang w:eastAsia="ja-JP"/>
              </w:rPr>
              <w:t>CR/CRh*</w:t>
            </w:r>
          </w:p>
        </w:tc>
        <w:tc>
          <w:tcPr>
            <w:tcW w:w="1307" w:type="pct"/>
          </w:tcPr>
          <w:p w14:paraId="2DF0704C"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43.4% (82/189)</w:t>
            </w:r>
          </w:p>
        </w:tc>
        <w:tc>
          <w:tcPr>
            <w:tcW w:w="725" w:type="pct"/>
          </w:tcPr>
          <w:p w14:paraId="7C10ED25"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w:t>
            </w:r>
          </w:p>
        </w:tc>
        <w:tc>
          <w:tcPr>
            <w:tcW w:w="2088" w:type="pct"/>
          </w:tcPr>
          <w:p w14:paraId="3066A6F8"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1.7 to 2.3</w:t>
            </w:r>
          </w:p>
        </w:tc>
      </w:tr>
      <w:tr w:rsidR="00A7727F" w:rsidRPr="00A7727F" w14:paraId="5040975D" w14:textId="77777777" w:rsidTr="007B270B">
        <w:trPr>
          <w:trHeight w:val="451"/>
        </w:trPr>
        <w:tc>
          <w:tcPr>
            <w:cnfStyle w:val="001000000000" w:firstRow="0" w:lastRow="0" w:firstColumn="1" w:lastColumn="0" w:oddVBand="0" w:evenVBand="0" w:oddHBand="0" w:evenHBand="0" w:firstRowFirstColumn="0" w:firstRowLastColumn="0" w:lastRowFirstColumn="0" w:lastRowLastColumn="0"/>
            <w:tcW w:w="880" w:type="pct"/>
          </w:tcPr>
          <w:p w14:paraId="08A135C8" w14:textId="77777777" w:rsidR="00A7727F" w:rsidRPr="00A7727F" w:rsidRDefault="00A7727F" w:rsidP="00A7727F">
            <w:pPr>
              <w:rPr>
                <w:lang w:eastAsia="ja-JP"/>
              </w:rPr>
            </w:pPr>
            <w:r w:rsidRPr="00A7727F">
              <w:rPr>
                <w:lang w:eastAsia="ja-JP"/>
              </w:rPr>
              <w:t>CR</w:t>
            </w:r>
          </w:p>
        </w:tc>
        <w:tc>
          <w:tcPr>
            <w:tcW w:w="1307" w:type="pct"/>
          </w:tcPr>
          <w:p w14:paraId="2B98E50B"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35.4% (67/189)</w:t>
            </w:r>
          </w:p>
        </w:tc>
        <w:tc>
          <w:tcPr>
            <w:tcW w:w="725" w:type="pct"/>
          </w:tcPr>
          <w:p w14:paraId="239790FE"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2.5</w:t>
            </w:r>
          </w:p>
        </w:tc>
        <w:tc>
          <w:tcPr>
            <w:tcW w:w="2088" w:type="pct"/>
          </w:tcPr>
          <w:p w14:paraId="08A22A62" w14:textId="77777777" w:rsidR="00A7727F" w:rsidRPr="00A7727F" w:rsidRDefault="00A7727F" w:rsidP="00A7727F">
            <w:pPr>
              <w:cnfStyle w:val="000000000000" w:firstRow="0" w:lastRow="0" w:firstColumn="0" w:lastColumn="0" w:oddVBand="0" w:evenVBand="0" w:oddHBand="0" w:evenHBand="0" w:firstRowFirstColumn="0" w:firstRowLastColumn="0" w:lastRowFirstColumn="0" w:lastRowLastColumn="0"/>
              <w:rPr>
                <w:lang w:eastAsia="ja-JP"/>
              </w:rPr>
            </w:pPr>
            <w:r w:rsidRPr="00A7727F">
              <w:rPr>
                <w:lang w:eastAsia="ja-JP"/>
              </w:rPr>
              <w:t>2.3 to 4.1</w:t>
            </w:r>
          </w:p>
        </w:tc>
      </w:tr>
    </w:tbl>
    <w:p w14:paraId="58FBB99A" w14:textId="0DD30EAE" w:rsidR="00A7727F" w:rsidRPr="00A7727F" w:rsidRDefault="00A7727F" w:rsidP="00197F80">
      <w:pPr>
        <w:pStyle w:val="TableDescription"/>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 CR</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CRh*</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with only partial h</w:t>
      </w:r>
      <w:r w:rsidR="00197F80">
        <w:rPr>
          <w:lang w:eastAsia="ja-JP"/>
        </w:rPr>
        <w:t>a</w:t>
      </w:r>
      <w:r w:rsidRPr="00A7727F">
        <w:rPr>
          <w:lang w:eastAsia="ja-JP"/>
        </w:rPr>
        <w:t>ematological recovery</w:t>
      </w:r>
    </w:p>
    <w:p w14:paraId="4C0C3B96" w14:textId="511A2CBE" w:rsidR="00A7727F" w:rsidRPr="00A7727F" w:rsidRDefault="00197F80" w:rsidP="00341604">
      <w:pPr>
        <w:pStyle w:val="Heading6"/>
        <w:rPr>
          <w:lang w:eastAsia="ja-JP"/>
        </w:rPr>
      </w:pPr>
      <w:r>
        <w:rPr>
          <w:lang w:eastAsia="ja-JP"/>
        </w:rPr>
        <w:t>100 d</w:t>
      </w:r>
      <w:r w:rsidRPr="00A7727F">
        <w:rPr>
          <w:lang w:eastAsia="ja-JP"/>
        </w:rPr>
        <w:t>ay mortality after allogeneic h</w:t>
      </w:r>
      <w:r>
        <w:rPr>
          <w:lang w:eastAsia="ja-JP"/>
        </w:rPr>
        <w:t>a</w:t>
      </w:r>
      <w:r w:rsidRPr="00A7727F">
        <w:rPr>
          <w:lang w:eastAsia="ja-JP"/>
        </w:rPr>
        <w:t>ematopoietic stem cell transplant</w:t>
      </w:r>
    </w:p>
    <w:p w14:paraId="0C56BFE3" w14:textId="47B1B99B" w:rsidR="00A7727F" w:rsidRPr="00A7727F" w:rsidRDefault="00197F80" w:rsidP="00A7727F">
      <w:pPr>
        <w:rPr>
          <w:lang w:eastAsia="ja-JP"/>
        </w:rPr>
      </w:pPr>
      <w:r>
        <w:rPr>
          <w:lang w:eastAsia="ja-JP"/>
        </w:rPr>
        <w:t xml:space="preserve">The analysis of 100 </w:t>
      </w:r>
      <w:r w:rsidR="00A7727F" w:rsidRPr="00A7727F">
        <w:rPr>
          <w:lang w:eastAsia="ja-JP"/>
        </w:rPr>
        <w:t>day mortality after allogeneic HSCT was assessed for all subjects who received an allogeneic HSCT while in remission (CR/CRh*) following t</w:t>
      </w:r>
      <w:r>
        <w:rPr>
          <w:lang w:eastAsia="ja-JP"/>
        </w:rPr>
        <w:t xml:space="preserve">reatment with blinatumomab. 100 </w:t>
      </w:r>
      <w:r w:rsidR="00A7727F" w:rsidRPr="00A7727F">
        <w:rPr>
          <w:lang w:eastAsia="ja-JP"/>
        </w:rPr>
        <w:t>day mortality after allogeneic HSCT was calculated relative to the date of allogeneic HSCT.</w:t>
      </w:r>
    </w:p>
    <w:p w14:paraId="770C2B7F" w14:textId="099D52B8" w:rsidR="00A7727F" w:rsidRPr="00A7727F" w:rsidRDefault="00A7727F" w:rsidP="00A7727F">
      <w:pPr>
        <w:rPr>
          <w:lang w:eastAsia="ja-JP"/>
        </w:rPr>
      </w:pPr>
      <w:r w:rsidRPr="00A7727F">
        <w:rPr>
          <w:lang w:eastAsia="ja-JP"/>
        </w:rPr>
        <w:t xml:space="preserve">Among eligible subjects, 39.5% (32/81; 95% CI: 28.8% to 51%) received an allogeneic HSCT while in remission induced by blinatumomab and without any other subsequent anti-leukemic medication (excluding </w:t>
      </w:r>
      <w:r w:rsidR="00341604">
        <w:rPr>
          <w:lang w:eastAsia="ja-JP"/>
        </w:rPr>
        <w:t xml:space="preserve">conditioning regimens). The 100 </w:t>
      </w:r>
      <w:r w:rsidRPr="00A7727F">
        <w:rPr>
          <w:lang w:eastAsia="ja-JP"/>
        </w:rPr>
        <w:t>day mortality rate for these subjects was 11.3% (95% CI: 0% to 23.4%) (</w:t>
      </w:r>
      <w:r w:rsidR="00341604" w:rsidRPr="00B82B39">
        <w:rPr>
          <w:lang w:eastAsia="ja-JP"/>
        </w:rPr>
        <w:t xml:space="preserve">see </w:t>
      </w:r>
      <w:r w:rsidRPr="00B82B39">
        <w:rPr>
          <w:lang w:eastAsia="ja-JP"/>
        </w:rPr>
        <w:t>Figure 26).</w:t>
      </w:r>
      <w:r w:rsidRPr="00A7727F">
        <w:rPr>
          <w:lang w:eastAsia="ja-JP"/>
        </w:rPr>
        <w:t xml:space="preserve"> Thus, the survival rate was 88.7% at day 100 after transplant.</w:t>
      </w:r>
    </w:p>
    <w:p w14:paraId="28EDA4A5" w14:textId="415D8FFA" w:rsidR="00A7727F" w:rsidRPr="00A7727F" w:rsidRDefault="00A7727F" w:rsidP="00713E55">
      <w:pPr>
        <w:pStyle w:val="FigureTitle"/>
        <w:keepNext/>
        <w:rPr>
          <w:lang w:eastAsia="ja-JP"/>
        </w:rPr>
      </w:pPr>
      <w:bookmarkStart w:id="183" w:name="_Toc292015806"/>
      <w:r w:rsidRPr="00A7727F">
        <w:rPr>
          <w:lang w:eastAsia="ja-JP"/>
        </w:rPr>
        <w:t xml:space="preserve">Figure </w:t>
      </w:r>
      <w:r w:rsidR="00B82B39">
        <w:rPr>
          <w:lang w:eastAsia="ja-JP"/>
        </w:rPr>
        <w:t xml:space="preserve">26: </w:t>
      </w:r>
      <w:r w:rsidR="00197F80">
        <w:rPr>
          <w:lang w:eastAsia="ja-JP"/>
        </w:rPr>
        <w:t>100</w:t>
      </w:r>
      <w:r w:rsidR="00713E55">
        <w:rPr>
          <w:lang w:eastAsia="ja-JP"/>
        </w:rPr>
        <w:t xml:space="preserve"> d</w:t>
      </w:r>
      <w:r w:rsidRPr="00A7727F">
        <w:rPr>
          <w:lang w:eastAsia="ja-JP"/>
        </w:rPr>
        <w:t xml:space="preserve">ay </w:t>
      </w:r>
      <w:r w:rsidR="00713E55" w:rsidRPr="00A7727F">
        <w:rPr>
          <w:lang w:eastAsia="ja-JP"/>
        </w:rPr>
        <w:t xml:space="preserve">mortality after allogeneic hematopoietic stem cell transplant </w:t>
      </w:r>
      <w:r w:rsidRPr="00A7727F">
        <w:rPr>
          <w:lang w:eastAsia="ja-JP"/>
        </w:rPr>
        <w:t>(Primary Analysis Set)</w:t>
      </w:r>
      <w:bookmarkEnd w:id="183"/>
    </w:p>
    <w:p w14:paraId="3FD20B02" w14:textId="77777777" w:rsidR="00A7727F" w:rsidRPr="00A7727F" w:rsidRDefault="00A7727F" w:rsidP="00713E55">
      <w:pPr>
        <w:keepNext/>
        <w:rPr>
          <w:lang w:eastAsia="ja-JP"/>
        </w:rPr>
      </w:pPr>
      <w:r w:rsidRPr="00A7727F">
        <w:rPr>
          <w:noProof/>
          <w:lang w:eastAsia="en-AU"/>
        </w:rPr>
        <w:drawing>
          <wp:inline distT="0" distB="0" distL="0" distR="0" wp14:anchorId="309B143F" wp14:editId="089792B0">
            <wp:extent cx="5484164" cy="2604770"/>
            <wp:effectExtent l="0" t="0" r="2540" b="5080"/>
            <wp:docPr id="93" name="Picture 93" descr="Figure 26: 100 day mortality after allogeneic hematopoietic stem cell transplant (Primary Analysis Set)" title="100 day mortality after allogeneic hematopoietic stem cell transplant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4593" cy="2604974"/>
                    </a:xfrm>
                    <a:prstGeom prst="rect">
                      <a:avLst/>
                    </a:prstGeom>
                    <a:noFill/>
                    <a:ln>
                      <a:noFill/>
                    </a:ln>
                  </pic:spPr>
                </pic:pic>
              </a:graphicData>
            </a:graphic>
          </wp:inline>
        </w:drawing>
      </w:r>
    </w:p>
    <w:p w14:paraId="77FD26FC" w14:textId="4666A086" w:rsidR="00A7727F" w:rsidRPr="00A7727F" w:rsidRDefault="00713E55" w:rsidP="00713E55">
      <w:pPr>
        <w:pStyle w:val="Heading5"/>
        <w:rPr>
          <w:lang w:eastAsia="ja-JP"/>
        </w:rPr>
      </w:pPr>
      <w:r>
        <w:rPr>
          <w:lang w:eastAsia="ja-JP"/>
        </w:rPr>
        <w:t>Exploratory efficacy e</w:t>
      </w:r>
      <w:r w:rsidR="00A7727F" w:rsidRPr="00A7727F">
        <w:rPr>
          <w:lang w:eastAsia="ja-JP"/>
        </w:rPr>
        <w:t>ndpoints</w:t>
      </w:r>
    </w:p>
    <w:p w14:paraId="45CD9AE4" w14:textId="617C4176" w:rsidR="00A7727F" w:rsidRPr="00A7727F" w:rsidRDefault="00713E55" w:rsidP="00713E55">
      <w:pPr>
        <w:pStyle w:val="Heading6"/>
        <w:rPr>
          <w:lang w:eastAsia="ja-JP"/>
        </w:rPr>
      </w:pPr>
      <w:r>
        <w:rPr>
          <w:lang w:eastAsia="ja-JP"/>
        </w:rPr>
        <w:t>Rate of MRD r</w:t>
      </w:r>
      <w:r w:rsidR="00A7727F" w:rsidRPr="00A7727F">
        <w:rPr>
          <w:lang w:eastAsia="ja-JP"/>
        </w:rPr>
        <w:t xml:space="preserve">esponse </w:t>
      </w:r>
      <w:r>
        <w:rPr>
          <w:lang w:eastAsia="ja-JP"/>
        </w:rPr>
        <w:t>during the first 2 cycles of t</w:t>
      </w:r>
      <w:r w:rsidR="00A7727F" w:rsidRPr="00A7727F">
        <w:rPr>
          <w:lang w:eastAsia="ja-JP"/>
        </w:rPr>
        <w:t>reatment</w:t>
      </w:r>
    </w:p>
    <w:p w14:paraId="74A81327" w14:textId="35BAE2EA" w:rsidR="00A7727F" w:rsidRPr="00713E55" w:rsidRDefault="00A7727F" w:rsidP="00A7727F">
      <w:pPr>
        <w:rPr>
          <w:lang w:eastAsia="ja-JP"/>
        </w:rPr>
      </w:pPr>
      <w:r w:rsidRPr="00A7727F">
        <w:rPr>
          <w:lang w:eastAsia="ja-JP"/>
        </w:rPr>
        <w:t>An overview of MRD response rates during the first 2 cycles of treatment is presented</w:t>
      </w:r>
      <w:r w:rsidR="00B77E06">
        <w:rPr>
          <w:lang w:eastAsia="ja-JP"/>
        </w:rPr>
        <w:t xml:space="preserve"> below</w:t>
      </w:r>
      <w:r w:rsidRPr="00A7727F">
        <w:rPr>
          <w:lang w:eastAsia="ja-JP"/>
        </w:rPr>
        <w:t xml:space="preserve"> in </w:t>
      </w:r>
      <w:r w:rsidRPr="00B82B39">
        <w:rPr>
          <w:lang w:eastAsia="ja-JP"/>
        </w:rPr>
        <w:t xml:space="preserve">Table </w:t>
      </w:r>
      <w:r w:rsidR="00B77E06" w:rsidRPr="00B82B39">
        <w:rPr>
          <w:lang w:eastAsia="ja-JP"/>
        </w:rPr>
        <w:t>27</w:t>
      </w:r>
      <w:r w:rsidRPr="00B82B39">
        <w:rPr>
          <w:lang w:eastAsia="ja-JP"/>
        </w:rPr>
        <w:t>.</w:t>
      </w:r>
      <w:r w:rsidRPr="00A7727F">
        <w:rPr>
          <w:lang w:eastAsia="ja-JP"/>
        </w:rPr>
        <w:t xml:space="preserve"> The overall MRD and complete MRD response rates during the first 2 cycles were 34.4% and 28%, respectively. For subjects who achieved CR/CRh* within the first 2 cycle response rates improved to 74.1% and 63%, respectively. Among those subjects with MRD assessments available, MRD and complete MRD response rates for subjects who achieved a CR were similar to those observed for CR/CRh*, while response rates for subjects who achieved CRh* or blast</w:t>
      </w:r>
      <w:r w:rsidR="006A3B04">
        <w:rPr>
          <w:lang w:eastAsia="ja-JP"/>
        </w:rPr>
        <w:t xml:space="preserve"> free</w:t>
      </w:r>
      <w:r w:rsidRPr="00A7727F">
        <w:rPr>
          <w:lang w:eastAsia="ja-JP"/>
        </w:rPr>
        <w:t xml:space="preserve"> hypoplastic or aplastic bone marrow were lower than CR/CRh* and CR response rates.</w:t>
      </w:r>
    </w:p>
    <w:p w14:paraId="6EF3B6FA" w14:textId="0B9D2D54" w:rsidR="00A7727F" w:rsidRPr="00A7727F" w:rsidRDefault="00A7727F" w:rsidP="00713E55">
      <w:pPr>
        <w:pStyle w:val="Tabletitle"/>
        <w:rPr>
          <w:lang w:eastAsia="ja-JP"/>
        </w:rPr>
      </w:pPr>
      <w:bookmarkStart w:id="184" w:name="_Toc292015710"/>
      <w:r w:rsidRPr="00A7727F">
        <w:rPr>
          <w:lang w:eastAsia="ja-JP"/>
        </w:rPr>
        <w:t xml:space="preserve">Table </w:t>
      </w:r>
      <w:r w:rsidR="00B82B39">
        <w:rPr>
          <w:lang w:eastAsia="ja-JP"/>
        </w:rPr>
        <w:t>27:</w:t>
      </w:r>
      <w:r w:rsidR="00713E55">
        <w:rPr>
          <w:lang w:eastAsia="ja-JP"/>
        </w:rPr>
        <w:t xml:space="preserve"> Overview of MRD response rates during the first 2 c</w:t>
      </w:r>
      <w:r w:rsidRPr="00A7727F">
        <w:rPr>
          <w:lang w:eastAsia="ja-JP"/>
        </w:rPr>
        <w:t>ycles o</w:t>
      </w:r>
      <w:r w:rsidR="00713E55">
        <w:rPr>
          <w:lang w:eastAsia="ja-JP"/>
        </w:rPr>
        <w:t>f t</w:t>
      </w:r>
      <w:r w:rsidRPr="00A7727F">
        <w:rPr>
          <w:lang w:eastAsia="ja-JP"/>
        </w:rPr>
        <w:t>reatment (Primary Analysis Set)</w:t>
      </w:r>
      <w:bookmarkEnd w:id="184"/>
    </w:p>
    <w:tbl>
      <w:tblPr>
        <w:tblStyle w:val="TableTGAblue"/>
        <w:tblW w:w="4770" w:type="pct"/>
        <w:tblLook w:val="04A0" w:firstRow="1" w:lastRow="0" w:firstColumn="1" w:lastColumn="0" w:noHBand="0" w:noVBand="1"/>
        <w:tblDescription w:val="Table 27: Overview of MRD response rates during the first 2 cycles of treatment (Primary Analysis Set)"/>
      </w:tblPr>
      <w:tblGrid>
        <w:gridCol w:w="5174"/>
        <w:gridCol w:w="831"/>
        <w:gridCol w:w="1077"/>
        <w:gridCol w:w="1735"/>
      </w:tblGrid>
      <w:tr w:rsidR="007A4611" w:rsidRPr="00B82B39" w14:paraId="55E74505" w14:textId="77777777" w:rsidTr="007B270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934" w:type="pct"/>
            <w:vMerge w:val="restart"/>
            <w:tcBorders>
              <w:right w:val="single" w:sz="4" w:space="0" w:color="000000"/>
            </w:tcBorders>
          </w:tcPr>
          <w:p w14:paraId="4B947DA8" w14:textId="4E3C66F1" w:rsidR="00A7727F" w:rsidRPr="00B82B39" w:rsidRDefault="00713E55" w:rsidP="00A7727F">
            <w:pPr>
              <w:rPr>
                <w:bCs/>
                <w:sz w:val="20"/>
                <w:szCs w:val="20"/>
                <w:lang w:eastAsia="ja-JP"/>
              </w:rPr>
            </w:pPr>
            <w:r w:rsidRPr="00B82B39">
              <w:rPr>
                <w:bCs/>
                <w:sz w:val="20"/>
                <w:szCs w:val="20"/>
                <w:lang w:eastAsia="ja-JP"/>
              </w:rPr>
              <w:t>Characteristic/</w:t>
            </w:r>
            <w:r w:rsidR="00A7727F" w:rsidRPr="00B82B39">
              <w:rPr>
                <w:bCs/>
                <w:sz w:val="20"/>
                <w:szCs w:val="20"/>
                <w:lang w:eastAsia="ja-JP"/>
              </w:rPr>
              <w:t>Category</w:t>
            </w:r>
          </w:p>
        </w:tc>
        <w:tc>
          <w:tcPr>
            <w:tcW w:w="2066" w:type="pct"/>
            <w:gridSpan w:val="3"/>
            <w:tcBorders>
              <w:left w:val="single" w:sz="4" w:space="0" w:color="000000"/>
            </w:tcBorders>
          </w:tcPr>
          <w:p w14:paraId="1AA56382" w14:textId="77777777" w:rsidR="00A7727F" w:rsidRPr="00B82B39" w:rsidRDefault="00A7727F" w:rsidP="00A7727F">
            <w:pPr>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B82B39">
              <w:rPr>
                <w:bCs/>
                <w:sz w:val="20"/>
                <w:szCs w:val="20"/>
                <w:lang w:eastAsia="ja-JP"/>
              </w:rPr>
              <w:t>MRD Response</w:t>
            </w:r>
          </w:p>
        </w:tc>
      </w:tr>
      <w:tr w:rsidR="007A4611" w:rsidRPr="00B82B39" w14:paraId="2F5B4B9D" w14:textId="77777777" w:rsidTr="007B270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934" w:type="pct"/>
            <w:vMerge/>
            <w:tcBorders>
              <w:right w:val="single" w:sz="4" w:space="0" w:color="000000"/>
            </w:tcBorders>
          </w:tcPr>
          <w:p w14:paraId="244FC602" w14:textId="77777777" w:rsidR="00A7727F" w:rsidRPr="00B82B39" w:rsidRDefault="00A7727F" w:rsidP="00A7727F">
            <w:pPr>
              <w:rPr>
                <w:b w:val="0"/>
                <w:bCs/>
                <w:sz w:val="20"/>
                <w:szCs w:val="20"/>
                <w:lang w:eastAsia="ja-JP"/>
              </w:rPr>
            </w:pPr>
          </w:p>
        </w:tc>
        <w:tc>
          <w:tcPr>
            <w:tcW w:w="471" w:type="pct"/>
            <w:tcBorders>
              <w:left w:val="single" w:sz="4" w:space="0" w:color="000000"/>
              <w:right w:val="single" w:sz="4" w:space="0" w:color="000000"/>
            </w:tcBorders>
          </w:tcPr>
          <w:p w14:paraId="236BF180" w14:textId="3F16B9C9" w:rsidR="00A7727F" w:rsidRPr="00B82B39" w:rsidRDefault="007A4611" w:rsidP="00B77E06">
            <w:pPr>
              <w:ind w:left="0"/>
              <w:cnfStyle w:val="100000000000" w:firstRow="1" w:lastRow="0" w:firstColumn="0" w:lastColumn="0" w:oddVBand="0" w:evenVBand="0" w:oddHBand="0" w:evenHBand="0" w:firstRowFirstColumn="0" w:firstRowLastColumn="0" w:lastRowFirstColumn="0" w:lastRowLastColumn="0"/>
              <w:rPr>
                <w:b w:val="0"/>
                <w:bCs/>
                <w:sz w:val="20"/>
                <w:szCs w:val="20"/>
                <w:lang w:eastAsia="ja-JP"/>
              </w:rPr>
            </w:pPr>
            <w:r w:rsidRPr="00B82B39">
              <w:rPr>
                <w:b w:val="0"/>
                <w:bCs/>
                <w:sz w:val="20"/>
                <w:szCs w:val="20"/>
                <w:lang w:eastAsia="ja-JP"/>
              </w:rPr>
              <w:t>N =</w:t>
            </w:r>
          </w:p>
        </w:tc>
        <w:tc>
          <w:tcPr>
            <w:tcW w:w="611" w:type="pct"/>
            <w:tcBorders>
              <w:left w:val="single" w:sz="4" w:space="0" w:color="000000"/>
              <w:right w:val="single" w:sz="4" w:space="0" w:color="000000"/>
            </w:tcBorders>
          </w:tcPr>
          <w:p w14:paraId="7F1C8CDE" w14:textId="77777777" w:rsidR="00A7727F" w:rsidRPr="00B82B39" w:rsidRDefault="00A7727F" w:rsidP="00A7727F">
            <w:pPr>
              <w:cnfStyle w:val="100000000000" w:firstRow="1" w:lastRow="0" w:firstColumn="0" w:lastColumn="0" w:oddVBand="0" w:evenVBand="0" w:oddHBand="0" w:evenHBand="0" w:firstRowFirstColumn="0" w:firstRowLastColumn="0" w:lastRowFirstColumn="0" w:lastRowLastColumn="0"/>
              <w:rPr>
                <w:b w:val="0"/>
                <w:bCs/>
                <w:sz w:val="20"/>
                <w:szCs w:val="20"/>
                <w:lang w:eastAsia="ja-JP"/>
              </w:rPr>
            </w:pPr>
            <w:r w:rsidRPr="00B82B39">
              <w:rPr>
                <w:b w:val="0"/>
                <w:bCs/>
                <w:sz w:val="20"/>
                <w:szCs w:val="20"/>
                <w:lang w:eastAsia="ja-JP"/>
              </w:rPr>
              <w:t>%</w:t>
            </w:r>
          </w:p>
        </w:tc>
        <w:tc>
          <w:tcPr>
            <w:tcW w:w="984" w:type="pct"/>
            <w:tcBorders>
              <w:left w:val="single" w:sz="4" w:space="0" w:color="000000"/>
            </w:tcBorders>
          </w:tcPr>
          <w:p w14:paraId="05552AE5" w14:textId="77777777" w:rsidR="00A7727F" w:rsidRPr="00B82B39" w:rsidRDefault="00A7727F" w:rsidP="00A7727F">
            <w:pPr>
              <w:cnfStyle w:val="100000000000" w:firstRow="1" w:lastRow="0" w:firstColumn="0" w:lastColumn="0" w:oddVBand="0" w:evenVBand="0" w:oddHBand="0" w:evenHBand="0" w:firstRowFirstColumn="0" w:firstRowLastColumn="0" w:lastRowFirstColumn="0" w:lastRowLastColumn="0"/>
              <w:rPr>
                <w:b w:val="0"/>
                <w:bCs/>
                <w:sz w:val="20"/>
                <w:szCs w:val="20"/>
                <w:lang w:eastAsia="ja-JP"/>
              </w:rPr>
            </w:pPr>
            <w:r w:rsidRPr="00B82B39">
              <w:rPr>
                <w:b w:val="0"/>
                <w:bCs/>
                <w:sz w:val="20"/>
                <w:szCs w:val="20"/>
                <w:lang w:eastAsia="ja-JP"/>
              </w:rPr>
              <w:t>95% CI</w:t>
            </w:r>
          </w:p>
        </w:tc>
      </w:tr>
      <w:tr w:rsidR="007A4611" w:rsidRPr="00B82B39" w14:paraId="5A593523" w14:textId="77777777" w:rsidTr="007B270B">
        <w:trPr>
          <w:trHeight w:val="70"/>
        </w:trPr>
        <w:tc>
          <w:tcPr>
            <w:cnfStyle w:val="001000000000" w:firstRow="0" w:lastRow="0" w:firstColumn="1" w:lastColumn="0" w:oddVBand="0" w:evenVBand="0" w:oddHBand="0" w:evenHBand="0" w:firstRowFirstColumn="0" w:firstRowLastColumn="0" w:lastRowFirstColumn="0" w:lastRowLastColumn="0"/>
            <w:tcW w:w="2934" w:type="pct"/>
          </w:tcPr>
          <w:p w14:paraId="5C709742" w14:textId="15E235CF" w:rsidR="00A7727F" w:rsidRPr="00B82B39" w:rsidRDefault="007A4611" w:rsidP="007A4611">
            <w:pPr>
              <w:ind w:left="0" w:right="0"/>
              <w:rPr>
                <w:sz w:val="20"/>
                <w:szCs w:val="20"/>
                <w:vertAlign w:val="superscript"/>
                <w:lang w:eastAsia="ja-JP"/>
              </w:rPr>
            </w:pPr>
            <w:r w:rsidRPr="00B82B39">
              <w:rPr>
                <w:sz w:val="20"/>
                <w:szCs w:val="20"/>
                <w:lang w:eastAsia="ja-JP"/>
              </w:rPr>
              <w:t>Within first 2 cycles with MRD a</w:t>
            </w:r>
            <w:r w:rsidR="00A7727F" w:rsidRPr="00B82B39">
              <w:rPr>
                <w:sz w:val="20"/>
                <w:szCs w:val="20"/>
                <w:lang w:eastAsia="ja-JP"/>
              </w:rPr>
              <w:t>ssessments (N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00A7727F" w:rsidRPr="00B82B39">
              <w:rPr>
                <w:sz w:val="20"/>
                <w:szCs w:val="20"/>
                <w:lang w:eastAsia="ja-JP"/>
              </w:rPr>
              <w:t>181</w:t>
            </w:r>
            <w:r w:rsidRPr="00B82B39">
              <w:rPr>
                <w:sz w:val="20"/>
                <w:szCs w:val="20"/>
                <w:lang w:eastAsia="ja-JP"/>
              </w:rPr>
              <w:t>)</w:t>
            </w:r>
            <w:r w:rsidRPr="00B82B39">
              <w:rPr>
                <w:sz w:val="20"/>
                <w:szCs w:val="20"/>
                <w:vertAlign w:val="superscript"/>
                <w:lang w:eastAsia="ja-JP"/>
              </w:rPr>
              <w:t>a</w:t>
            </w:r>
          </w:p>
        </w:tc>
        <w:tc>
          <w:tcPr>
            <w:tcW w:w="471" w:type="pct"/>
            <w:tcBorders>
              <w:right w:val="single" w:sz="4" w:space="0" w:color="000000"/>
            </w:tcBorders>
          </w:tcPr>
          <w:p w14:paraId="666794EB"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Borders>
              <w:left w:val="single" w:sz="4" w:space="0" w:color="000000"/>
              <w:right w:val="single" w:sz="4" w:space="0" w:color="000000"/>
            </w:tcBorders>
          </w:tcPr>
          <w:p w14:paraId="2EC8E25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Borders>
              <w:left w:val="single" w:sz="4" w:space="0" w:color="000000"/>
            </w:tcBorders>
          </w:tcPr>
          <w:p w14:paraId="6B9F53A8"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3AEF6A40" w14:textId="77777777" w:rsidTr="007B270B">
        <w:trPr>
          <w:trHeight w:val="132"/>
        </w:trPr>
        <w:tc>
          <w:tcPr>
            <w:cnfStyle w:val="001000000000" w:firstRow="0" w:lastRow="0" w:firstColumn="1" w:lastColumn="0" w:oddVBand="0" w:evenVBand="0" w:oddHBand="0" w:evenHBand="0" w:firstRowFirstColumn="0" w:firstRowLastColumn="0" w:lastRowFirstColumn="0" w:lastRowLastColumn="0"/>
            <w:tcW w:w="2934" w:type="pct"/>
          </w:tcPr>
          <w:p w14:paraId="2B586924" w14:textId="73AED424"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79C6535B"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65</w:t>
            </w:r>
          </w:p>
        </w:tc>
        <w:tc>
          <w:tcPr>
            <w:tcW w:w="611" w:type="pct"/>
          </w:tcPr>
          <w:p w14:paraId="4878BCA0"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35.9%</w:t>
            </w:r>
          </w:p>
        </w:tc>
        <w:tc>
          <w:tcPr>
            <w:tcW w:w="984" w:type="pct"/>
          </w:tcPr>
          <w:p w14:paraId="5AE9159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0CB3420E"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2934" w:type="pct"/>
          </w:tcPr>
          <w:p w14:paraId="0DCBEBE6" w14:textId="3AD9CCD6"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63259771"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53</w:t>
            </w:r>
          </w:p>
        </w:tc>
        <w:tc>
          <w:tcPr>
            <w:tcW w:w="611" w:type="pct"/>
          </w:tcPr>
          <w:p w14:paraId="342FAF6E"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29.3%</w:t>
            </w:r>
          </w:p>
        </w:tc>
        <w:tc>
          <w:tcPr>
            <w:tcW w:w="984" w:type="pct"/>
          </w:tcPr>
          <w:p w14:paraId="2469DF96"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72DA0144"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2934" w:type="pct"/>
          </w:tcPr>
          <w:p w14:paraId="53F9CE47" w14:textId="1D7A735C" w:rsidR="00A7727F" w:rsidRPr="00B82B39" w:rsidRDefault="007A4611" w:rsidP="007A4611">
            <w:pPr>
              <w:ind w:left="0" w:right="0"/>
              <w:rPr>
                <w:sz w:val="20"/>
                <w:szCs w:val="20"/>
                <w:lang w:eastAsia="ja-JP"/>
              </w:rPr>
            </w:pPr>
            <w:r w:rsidRPr="00B82B39">
              <w:rPr>
                <w:sz w:val="20"/>
                <w:szCs w:val="20"/>
                <w:lang w:eastAsia="ja-JP"/>
              </w:rPr>
              <w:t>Within first 2 c</w:t>
            </w:r>
            <w:r w:rsidR="00A7727F" w:rsidRPr="00B82B39">
              <w:rPr>
                <w:sz w:val="20"/>
                <w:szCs w:val="20"/>
                <w:lang w:eastAsia="ja-JP"/>
              </w:rPr>
              <w:t>ycles (N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00A7727F" w:rsidRPr="00B82B39">
              <w:rPr>
                <w:sz w:val="20"/>
                <w:szCs w:val="20"/>
                <w:lang w:eastAsia="ja-JP"/>
              </w:rPr>
              <w:t>189)</w:t>
            </w:r>
          </w:p>
        </w:tc>
        <w:tc>
          <w:tcPr>
            <w:tcW w:w="471" w:type="pct"/>
          </w:tcPr>
          <w:p w14:paraId="316B66AA"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Pr>
          <w:p w14:paraId="004E5EAE"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Pr>
          <w:p w14:paraId="5992E14C"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6A86E501"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2934" w:type="pct"/>
          </w:tcPr>
          <w:p w14:paraId="306F8211" w14:textId="50940BC7"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40DDA376"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65</w:t>
            </w:r>
          </w:p>
        </w:tc>
        <w:tc>
          <w:tcPr>
            <w:tcW w:w="611" w:type="pct"/>
          </w:tcPr>
          <w:p w14:paraId="11D4C52E"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34.4%</w:t>
            </w:r>
          </w:p>
        </w:tc>
        <w:tc>
          <w:tcPr>
            <w:tcW w:w="984" w:type="pct"/>
          </w:tcPr>
          <w:p w14:paraId="2A9D2AFD" w14:textId="6E7C3775"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(27.6</w:t>
            </w:r>
            <w:r w:rsidR="006A3B04" w:rsidRPr="00B82B39">
              <w:rPr>
                <w:sz w:val="20"/>
                <w:szCs w:val="20"/>
                <w:lang w:eastAsia="ja-JP"/>
              </w:rPr>
              <w:t xml:space="preserve"> to </w:t>
            </w:r>
            <w:r w:rsidRPr="00B82B39">
              <w:rPr>
                <w:sz w:val="20"/>
                <w:szCs w:val="20"/>
                <w:lang w:eastAsia="ja-JP"/>
              </w:rPr>
              <w:t>41.6%)</w:t>
            </w:r>
          </w:p>
        </w:tc>
      </w:tr>
      <w:tr w:rsidR="007A4611" w:rsidRPr="00B82B39" w14:paraId="3687F184"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2934" w:type="pct"/>
          </w:tcPr>
          <w:p w14:paraId="540C40F0" w14:textId="5A94A98F"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75240E67"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53</w:t>
            </w:r>
          </w:p>
        </w:tc>
        <w:tc>
          <w:tcPr>
            <w:tcW w:w="611" w:type="pct"/>
          </w:tcPr>
          <w:p w14:paraId="03496FB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28.0%</w:t>
            </w:r>
          </w:p>
        </w:tc>
        <w:tc>
          <w:tcPr>
            <w:tcW w:w="984" w:type="pct"/>
          </w:tcPr>
          <w:p w14:paraId="33509C46" w14:textId="7901FA66"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(21.8</w:t>
            </w:r>
            <w:r w:rsidR="006A3B04" w:rsidRPr="00B82B39">
              <w:rPr>
                <w:sz w:val="20"/>
                <w:szCs w:val="20"/>
                <w:lang w:eastAsia="ja-JP"/>
              </w:rPr>
              <w:t xml:space="preserve"> to </w:t>
            </w:r>
            <w:r w:rsidRPr="00B82B39">
              <w:rPr>
                <w:sz w:val="20"/>
                <w:szCs w:val="20"/>
                <w:lang w:eastAsia="ja-JP"/>
              </w:rPr>
              <w:t>35.0%)</w:t>
            </w:r>
          </w:p>
        </w:tc>
      </w:tr>
      <w:tr w:rsidR="007A4611" w:rsidRPr="00B82B39" w14:paraId="65C9FD56" w14:textId="77777777" w:rsidTr="007B270B">
        <w:trPr>
          <w:trHeight w:val="760"/>
        </w:trPr>
        <w:tc>
          <w:tcPr>
            <w:cnfStyle w:val="001000000000" w:firstRow="0" w:lastRow="0" w:firstColumn="1" w:lastColumn="0" w:oddVBand="0" w:evenVBand="0" w:oddHBand="0" w:evenHBand="0" w:firstRowFirstColumn="0" w:firstRowLastColumn="0" w:lastRowFirstColumn="0" w:lastRowLastColumn="0"/>
            <w:tcW w:w="2934" w:type="pct"/>
          </w:tcPr>
          <w:p w14:paraId="18491565" w14:textId="0085B172" w:rsidR="00A7727F" w:rsidRPr="00B82B39" w:rsidRDefault="007A4611" w:rsidP="007A4611">
            <w:pPr>
              <w:ind w:left="0" w:right="0"/>
              <w:rPr>
                <w:sz w:val="20"/>
                <w:szCs w:val="20"/>
                <w:lang w:eastAsia="ja-JP"/>
              </w:rPr>
            </w:pPr>
            <w:r w:rsidRPr="00B82B39">
              <w:rPr>
                <w:sz w:val="20"/>
                <w:szCs w:val="20"/>
                <w:lang w:eastAsia="ja-JP"/>
              </w:rPr>
              <w:t>CR/CRh* within first 2 cycles with MRD a</w:t>
            </w:r>
            <w:r w:rsidR="00A7727F" w:rsidRPr="00B82B39">
              <w:rPr>
                <w:sz w:val="20"/>
                <w:szCs w:val="20"/>
                <w:lang w:eastAsia="ja-JP"/>
              </w:rPr>
              <w:t>ssessments (N</w:t>
            </w:r>
            <w:r w:rsidRPr="00B82B39">
              <w:rPr>
                <w:sz w:val="20"/>
                <w:szCs w:val="20"/>
                <w:lang w:eastAsia="ja-JP"/>
              </w:rPr>
              <w:t> </w:t>
            </w:r>
            <w:r w:rsidR="00423768" w:rsidRPr="00B82B39">
              <w:rPr>
                <w:sz w:val="20"/>
                <w:szCs w:val="20"/>
                <w:lang w:eastAsia="ja-JP"/>
              </w:rPr>
              <w:t>=</w:t>
            </w:r>
            <w:r w:rsidRPr="00B82B39">
              <w:rPr>
                <w:sz w:val="20"/>
                <w:szCs w:val="20"/>
                <w:lang w:eastAsia="ja-JP"/>
              </w:rPr>
              <w:t> 73)</w:t>
            </w:r>
            <w:r w:rsidR="00A7727F" w:rsidRPr="00B82B39">
              <w:rPr>
                <w:sz w:val="20"/>
                <w:szCs w:val="20"/>
                <w:vertAlign w:val="superscript"/>
                <w:lang w:eastAsia="ja-JP"/>
              </w:rPr>
              <w:t>a</w:t>
            </w:r>
          </w:p>
        </w:tc>
        <w:tc>
          <w:tcPr>
            <w:tcW w:w="471" w:type="pct"/>
          </w:tcPr>
          <w:p w14:paraId="46C67F42"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Pr>
          <w:p w14:paraId="480CF05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Pr>
          <w:p w14:paraId="336C88D4"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4F8BF0A2"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2934" w:type="pct"/>
          </w:tcPr>
          <w:p w14:paraId="1108C1A8" w14:textId="401E0B7E"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17FA15B6"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60</w:t>
            </w:r>
          </w:p>
        </w:tc>
        <w:tc>
          <w:tcPr>
            <w:tcW w:w="611" w:type="pct"/>
          </w:tcPr>
          <w:p w14:paraId="701FAC20"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82.2%</w:t>
            </w:r>
          </w:p>
        </w:tc>
        <w:tc>
          <w:tcPr>
            <w:tcW w:w="984" w:type="pct"/>
          </w:tcPr>
          <w:p w14:paraId="0A1B2CA2" w14:textId="24DCAA1A"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(71.5</w:t>
            </w:r>
            <w:r w:rsidR="006A3B04" w:rsidRPr="00B82B39">
              <w:rPr>
                <w:sz w:val="20"/>
                <w:szCs w:val="20"/>
                <w:lang w:eastAsia="ja-JP"/>
              </w:rPr>
              <w:t xml:space="preserve"> to </w:t>
            </w:r>
            <w:r w:rsidRPr="00B82B39">
              <w:rPr>
                <w:sz w:val="20"/>
                <w:szCs w:val="20"/>
                <w:lang w:eastAsia="ja-JP"/>
              </w:rPr>
              <w:t>90.2%)</w:t>
            </w:r>
          </w:p>
        </w:tc>
      </w:tr>
      <w:tr w:rsidR="007A4611" w:rsidRPr="00B82B39" w14:paraId="0D90D3E2" w14:textId="77777777" w:rsidTr="007B270B">
        <w:trPr>
          <w:trHeight w:val="482"/>
        </w:trPr>
        <w:tc>
          <w:tcPr>
            <w:cnfStyle w:val="001000000000" w:firstRow="0" w:lastRow="0" w:firstColumn="1" w:lastColumn="0" w:oddVBand="0" w:evenVBand="0" w:oddHBand="0" w:evenHBand="0" w:firstRowFirstColumn="0" w:firstRowLastColumn="0" w:lastRowFirstColumn="0" w:lastRowLastColumn="0"/>
            <w:tcW w:w="2934" w:type="pct"/>
          </w:tcPr>
          <w:p w14:paraId="469B5004" w14:textId="57BE71BC"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4F59892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51</w:t>
            </w:r>
          </w:p>
        </w:tc>
        <w:tc>
          <w:tcPr>
            <w:tcW w:w="611" w:type="pct"/>
          </w:tcPr>
          <w:p w14:paraId="38EEDBD5"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69.9%</w:t>
            </w:r>
          </w:p>
        </w:tc>
        <w:tc>
          <w:tcPr>
            <w:tcW w:w="984" w:type="pct"/>
          </w:tcPr>
          <w:p w14:paraId="3E74453C" w14:textId="1BE34F5C"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(58.0</w:t>
            </w:r>
            <w:r w:rsidR="006A3B04" w:rsidRPr="00B82B39">
              <w:rPr>
                <w:sz w:val="20"/>
                <w:szCs w:val="20"/>
                <w:lang w:eastAsia="ja-JP"/>
              </w:rPr>
              <w:t xml:space="preserve"> to </w:t>
            </w:r>
            <w:r w:rsidRPr="00B82B39">
              <w:rPr>
                <w:sz w:val="20"/>
                <w:szCs w:val="20"/>
                <w:lang w:eastAsia="ja-JP"/>
              </w:rPr>
              <w:t>80.1%)</w:t>
            </w:r>
          </w:p>
        </w:tc>
      </w:tr>
      <w:tr w:rsidR="007A4611" w:rsidRPr="00B82B39" w14:paraId="027EA2D4" w14:textId="77777777" w:rsidTr="007B270B">
        <w:trPr>
          <w:trHeight w:val="470"/>
        </w:trPr>
        <w:tc>
          <w:tcPr>
            <w:cnfStyle w:val="001000000000" w:firstRow="0" w:lastRow="0" w:firstColumn="1" w:lastColumn="0" w:oddVBand="0" w:evenVBand="0" w:oddHBand="0" w:evenHBand="0" w:firstRowFirstColumn="0" w:firstRowLastColumn="0" w:lastRowFirstColumn="0" w:lastRowLastColumn="0"/>
            <w:tcW w:w="2934" w:type="pct"/>
          </w:tcPr>
          <w:p w14:paraId="081D4AB7" w14:textId="367A4D06" w:rsidR="00A7727F" w:rsidRPr="00B82B39" w:rsidRDefault="00A7727F" w:rsidP="007A4611">
            <w:pPr>
              <w:ind w:left="0" w:right="0"/>
              <w:rPr>
                <w:sz w:val="20"/>
                <w:szCs w:val="20"/>
                <w:lang w:eastAsia="ja-JP"/>
              </w:rPr>
            </w:pPr>
            <w:r w:rsidRPr="00B82B39">
              <w:rPr>
                <w:sz w:val="20"/>
                <w:szCs w:val="20"/>
                <w:lang w:eastAsia="ja-JP"/>
              </w:rPr>
              <w:t>CR/CRh* Within First 2 Cycles (N</w:t>
            </w:r>
            <w:r w:rsidR="00375CAE" w:rsidRPr="00B82B39">
              <w:rPr>
                <w:sz w:val="20"/>
                <w:szCs w:val="20"/>
                <w:lang w:eastAsia="ja-JP"/>
              </w:rPr>
              <w:t xml:space="preserve"> </w:t>
            </w:r>
            <w:r w:rsidR="00423768" w:rsidRPr="00B82B39">
              <w:rPr>
                <w:sz w:val="20"/>
                <w:szCs w:val="20"/>
                <w:lang w:eastAsia="ja-JP"/>
              </w:rPr>
              <w:t>=</w:t>
            </w:r>
            <w:r w:rsidR="00375CAE" w:rsidRPr="00B82B39">
              <w:rPr>
                <w:sz w:val="20"/>
                <w:szCs w:val="20"/>
                <w:lang w:eastAsia="ja-JP"/>
              </w:rPr>
              <w:t xml:space="preserve"> </w:t>
            </w:r>
            <w:r w:rsidRPr="00B82B39">
              <w:rPr>
                <w:sz w:val="20"/>
                <w:szCs w:val="20"/>
                <w:lang w:eastAsia="ja-JP"/>
              </w:rPr>
              <w:t>81)</w:t>
            </w:r>
          </w:p>
        </w:tc>
        <w:tc>
          <w:tcPr>
            <w:tcW w:w="471" w:type="pct"/>
          </w:tcPr>
          <w:p w14:paraId="66C7F82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Pr>
          <w:p w14:paraId="2087569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Pr>
          <w:p w14:paraId="0312C790"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2CC05586" w14:textId="77777777" w:rsidTr="007B270B">
        <w:trPr>
          <w:trHeight w:val="470"/>
        </w:trPr>
        <w:tc>
          <w:tcPr>
            <w:cnfStyle w:val="001000000000" w:firstRow="0" w:lastRow="0" w:firstColumn="1" w:lastColumn="0" w:oddVBand="0" w:evenVBand="0" w:oddHBand="0" w:evenHBand="0" w:firstRowFirstColumn="0" w:firstRowLastColumn="0" w:lastRowFirstColumn="0" w:lastRowLastColumn="0"/>
            <w:tcW w:w="2934" w:type="pct"/>
          </w:tcPr>
          <w:p w14:paraId="4F394561" w14:textId="7857B4C2"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63278B1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60</w:t>
            </w:r>
          </w:p>
        </w:tc>
        <w:tc>
          <w:tcPr>
            <w:tcW w:w="611" w:type="pct"/>
          </w:tcPr>
          <w:p w14:paraId="7F0F3F3A"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74.1%</w:t>
            </w:r>
          </w:p>
        </w:tc>
        <w:tc>
          <w:tcPr>
            <w:tcW w:w="984" w:type="pct"/>
          </w:tcPr>
          <w:p w14:paraId="06F9806C" w14:textId="0C66A0AF"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(63.1</w:t>
            </w:r>
            <w:r w:rsidR="006A3B04" w:rsidRPr="00B82B39">
              <w:rPr>
                <w:sz w:val="20"/>
                <w:szCs w:val="20"/>
                <w:lang w:eastAsia="ja-JP"/>
              </w:rPr>
              <w:t xml:space="preserve"> to </w:t>
            </w:r>
            <w:r w:rsidRPr="00B82B39">
              <w:rPr>
                <w:sz w:val="20"/>
                <w:szCs w:val="20"/>
                <w:lang w:eastAsia="ja-JP"/>
              </w:rPr>
              <w:t>83.2%)</w:t>
            </w:r>
          </w:p>
        </w:tc>
      </w:tr>
      <w:tr w:rsidR="007A4611" w:rsidRPr="00B82B39" w14:paraId="1B5AFFF7" w14:textId="77777777" w:rsidTr="007B270B">
        <w:trPr>
          <w:trHeight w:val="482"/>
        </w:trPr>
        <w:tc>
          <w:tcPr>
            <w:cnfStyle w:val="001000000000" w:firstRow="0" w:lastRow="0" w:firstColumn="1" w:lastColumn="0" w:oddVBand="0" w:evenVBand="0" w:oddHBand="0" w:evenHBand="0" w:firstRowFirstColumn="0" w:firstRowLastColumn="0" w:lastRowFirstColumn="0" w:lastRowLastColumn="0"/>
            <w:tcW w:w="2934" w:type="pct"/>
          </w:tcPr>
          <w:p w14:paraId="699DC88C" w14:textId="3D18B800"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65239F0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51</w:t>
            </w:r>
          </w:p>
        </w:tc>
        <w:tc>
          <w:tcPr>
            <w:tcW w:w="611" w:type="pct"/>
          </w:tcPr>
          <w:p w14:paraId="22983578"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63.0%</w:t>
            </w:r>
          </w:p>
        </w:tc>
        <w:tc>
          <w:tcPr>
            <w:tcW w:w="984" w:type="pct"/>
          </w:tcPr>
          <w:p w14:paraId="44480E57" w14:textId="20B57628"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(51.5</w:t>
            </w:r>
            <w:r w:rsidR="006A3B04" w:rsidRPr="00B82B39">
              <w:rPr>
                <w:sz w:val="20"/>
                <w:szCs w:val="20"/>
                <w:lang w:eastAsia="ja-JP"/>
              </w:rPr>
              <w:t xml:space="preserve"> to </w:t>
            </w:r>
            <w:r w:rsidRPr="00B82B39">
              <w:rPr>
                <w:sz w:val="20"/>
                <w:szCs w:val="20"/>
                <w:lang w:eastAsia="ja-JP"/>
              </w:rPr>
              <w:t>73.4%)</w:t>
            </w:r>
          </w:p>
        </w:tc>
      </w:tr>
      <w:tr w:rsidR="007A4611" w:rsidRPr="00B82B39" w14:paraId="18015869" w14:textId="77777777" w:rsidTr="007B270B">
        <w:trPr>
          <w:trHeight w:val="470"/>
        </w:trPr>
        <w:tc>
          <w:tcPr>
            <w:cnfStyle w:val="001000000000" w:firstRow="0" w:lastRow="0" w:firstColumn="1" w:lastColumn="0" w:oddVBand="0" w:evenVBand="0" w:oddHBand="0" w:evenHBand="0" w:firstRowFirstColumn="0" w:firstRowLastColumn="0" w:lastRowFirstColumn="0" w:lastRowLastColumn="0"/>
            <w:tcW w:w="2934" w:type="pct"/>
          </w:tcPr>
          <w:p w14:paraId="0D1A70D7" w14:textId="6D806C5D" w:rsidR="00A7727F" w:rsidRPr="00B82B39" w:rsidRDefault="00FA5F21" w:rsidP="007A4611">
            <w:pPr>
              <w:ind w:left="0" w:right="0"/>
              <w:rPr>
                <w:sz w:val="20"/>
                <w:szCs w:val="20"/>
                <w:lang w:eastAsia="ja-JP"/>
              </w:rPr>
            </w:pPr>
            <w:r w:rsidRPr="00B82B39">
              <w:rPr>
                <w:sz w:val="20"/>
                <w:szCs w:val="20"/>
                <w:lang w:eastAsia="ja-JP"/>
              </w:rPr>
              <w:t>CR within first 2 cycles with MRD a</w:t>
            </w:r>
            <w:r w:rsidR="00A7727F" w:rsidRPr="00B82B39">
              <w:rPr>
                <w:sz w:val="20"/>
                <w:szCs w:val="20"/>
                <w:lang w:eastAsia="ja-JP"/>
              </w:rPr>
              <w:t>ssessments (N</w:t>
            </w:r>
            <w:r w:rsidR="007A4611" w:rsidRPr="00B82B39">
              <w:rPr>
                <w:sz w:val="20"/>
                <w:szCs w:val="20"/>
                <w:lang w:eastAsia="ja-JP"/>
              </w:rPr>
              <w:t> </w:t>
            </w:r>
            <w:r w:rsidRPr="00B82B39">
              <w:rPr>
                <w:sz w:val="20"/>
                <w:szCs w:val="20"/>
                <w:lang w:eastAsia="ja-JP"/>
              </w:rPr>
              <w:t xml:space="preserve">= </w:t>
            </w:r>
            <w:r w:rsidR="007A4611" w:rsidRPr="00B82B39">
              <w:rPr>
                <w:sz w:val="20"/>
                <w:szCs w:val="20"/>
                <w:lang w:eastAsia="ja-JP"/>
              </w:rPr>
              <w:t>58)</w:t>
            </w:r>
            <w:r w:rsidR="00A7727F" w:rsidRPr="00B82B39">
              <w:rPr>
                <w:sz w:val="20"/>
                <w:szCs w:val="20"/>
                <w:vertAlign w:val="superscript"/>
                <w:lang w:eastAsia="ja-JP"/>
              </w:rPr>
              <w:t>b</w:t>
            </w:r>
          </w:p>
        </w:tc>
        <w:tc>
          <w:tcPr>
            <w:tcW w:w="471" w:type="pct"/>
          </w:tcPr>
          <w:p w14:paraId="4A678DDE"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Pr>
          <w:p w14:paraId="01BA6C79"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Pr>
          <w:p w14:paraId="67E003DE"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4EC05669" w14:textId="77777777" w:rsidTr="007B270B">
        <w:trPr>
          <w:trHeight w:val="482"/>
        </w:trPr>
        <w:tc>
          <w:tcPr>
            <w:cnfStyle w:val="001000000000" w:firstRow="0" w:lastRow="0" w:firstColumn="1" w:lastColumn="0" w:oddVBand="0" w:evenVBand="0" w:oddHBand="0" w:evenHBand="0" w:firstRowFirstColumn="0" w:firstRowLastColumn="0" w:lastRowFirstColumn="0" w:lastRowLastColumn="0"/>
            <w:tcW w:w="2934" w:type="pct"/>
          </w:tcPr>
          <w:p w14:paraId="06A968D3" w14:textId="356D4C66"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2C270E5E"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50</w:t>
            </w:r>
          </w:p>
        </w:tc>
        <w:tc>
          <w:tcPr>
            <w:tcW w:w="611" w:type="pct"/>
          </w:tcPr>
          <w:p w14:paraId="715EE9F6"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86.2%</w:t>
            </w:r>
          </w:p>
        </w:tc>
        <w:tc>
          <w:tcPr>
            <w:tcW w:w="984" w:type="pct"/>
          </w:tcPr>
          <w:p w14:paraId="61427CF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542E1CEB" w14:textId="77777777" w:rsidTr="007B270B">
        <w:trPr>
          <w:trHeight w:val="470"/>
        </w:trPr>
        <w:tc>
          <w:tcPr>
            <w:cnfStyle w:val="001000000000" w:firstRow="0" w:lastRow="0" w:firstColumn="1" w:lastColumn="0" w:oddVBand="0" w:evenVBand="0" w:oddHBand="0" w:evenHBand="0" w:firstRowFirstColumn="0" w:firstRowLastColumn="0" w:lastRowFirstColumn="0" w:lastRowLastColumn="0"/>
            <w:tcW w:w="2934" w:type="pct"/>
          </w:tcPr>
          <w:p w14:paraId="43BFD5B5" w14:textId="63AB15B9"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3176593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43</w:t>
            </w:r>
          </w:p>
        </w:tc>
        <w:tc>
          <w:tcPr>
            <w:tcW w:w="611" w:type="pct"/>
          </w:tcPr>
          <w:p w14:paraId="244A8D38"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74.1%</w:t>
            </w:r>
          </w:p>
        </w:tc>
        <w:tc>
          <w:tcPr>
            <w:tcW w:w="984" w:type="pct"/>
          </w:tcPr>
          <w:p w14:paraId="5B18742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1639D5A9" w14:textId="77777777" w:rsidTr="007B270B">
        <w:trPr>
          <w:trHeight w:val="470"/>
        </w:trPr>
        <w:tc>
          <w:tcPr>
            <w:cnfStyle w:val="001000000000" w:firstRow="0" w:lastRow="0" w:firstColumn="1" w:lastColumn="0" w:oddVBand="0" w:evenVBand="0" w:oddHBand="0" w:evenHBand="0" w:firstRowFirstColumn="0" w:firstRowLastColumn="0" w:lastRowFirstColumn="0" w:lastRowLastColumn="0"/>
            <w:tcW w:w="2934" w:type="pct"/>
          </w:tcPr>
          <w:p w14:paraId="08184827" w14:textId="4F17F0E6" w:rsidR="00A7727F" w:rsidRPr="00B82B39" w:rsidRDefault="007A4611" w:rsidP="007A4611">
            <w:pPr>
              <w:ind w:left="0" w:right="0"/>
              <w:rPr>
                <w:sz w:val="20"/>
                <w:szCs w:val="20"/>
                <w:lang w:eastAsia="ja-JP"/>
              </w:rPr>
            </w:pPr>
            <w:r w:rsidRPr="00B82B39">
              <w:rPr>
                <w:sz w:val="20"/>
                <w:szCs w:val="20"/>
                <w:lang w:eastAsia="ja-JP"/>
              </w:rPr>
              <w:t>CRh* within f</w:t>
            </w:r>
            <w:r w:rsidR="00A7727F" w:rsidRPr="00B82B39">
              <w:rPr>
                <w:sz w:val="20"/>
                <w:szCs w:val="20"/>
                <w:lang w:eastAsia="ja-JP"/>
              </w:rPr>
              <w:t>ir</w:t>
            </w:r>
            <w:r w:rsidR="00FA5F21" w:rsidRPr="00B82B39">
              <w:rPr>
                <w:sz w:val="20"/>
                <w:szCs w:val="20"/>
                <w:lang w:eastAsia="ja-JP"/>
              </w:rPr>
              <w:t>st 2 cycles with MRD a</w:t>
            </w:r>
            <w:r w:rsidR="00A7727F" w:rsidRPr="00B82B39">
              <w:rPr>
                <w:sz w:val="20"/>
                <w:szCs w:val="20"/>
                <w:lang w:eastAsia="ja-JP"/>
              </w:rPr>
              <w:t>ssessments (N</w:t>
            </w:r>
            <w:r w:rsidR="00FA5F21" w:rsidRPr="00B82B39">
              <w:rPr>
                <w:sz w:val="20"/>
                <w:szCs w:val="20"/>
                <w:lang w:eastAsia="ja-JP"/>
              </w:rPr>
              <w:t> </w:t>
            </w:r>
            <w:r w:rsidR="00423768" w:rsidRPr="00B82B39">
              <w:rPr>
                <w:sz w:val="20"/>
                <w:szCs w:val="20"/>
                <w:lang w:eastAsia="ja-JP"/>
              </w:rPr>
              <w:t>=</w:t>
            </w:r>
            <w:r w:rsidR="00FA5F21" w:rsidRPr="00B82B39">
              <w:rPr>
                <w:sz w:val="20"/>
                <w:szCs w:val="20"/>
                <w:lang w:eastAsia="ja-JP"/>
              </w:rPr>
              <w:t> </w:t>
            </w:r>
            <w:r w:rsidR="00A7727F" w:rsidRPr="00B82B39">
              <w:rPr>
                <w:sz w:val="20"/>
                <w:szCs w:val="20"/>
                <w:lang w:eastAsia="ja-JP"/>
              </w:rPr>
              <w:t xml:space="preserve">15) </w:t>
            </w:r>
            <w:r w:rsidR="00A7727F" w:rsidRPr="00B82B39">
              <w:rPr>
                <w:sz w:val="20"/>
                <w:szCs w:val="20"/>
                <w:vertAlign w:val="superscript"/>
                <w:lang w:eastAsia="ja-JP"/>
              </w:rPr>
              <w:t>c</w:t>
            </w:r>
          </w:p>
        </w:tc>
        <w:tc>
          <w:tcPr>
            <w:tcW w:w="471" w:type="pct"/>
          </w:tcPr>
          <w:p w14:paraId="2694BF69"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Pr>
          <w:p w14:paraId="337FDE4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Pr>
          <w:p w14:paraId="4B805B42"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0978E575" w14:textId="77777777" w:rsidTr="007B270B">
        <w:trPr>
          <w:trHeight w:val="536"/>
        </w:trPr>
        <w:tc>
          <w:tcPr>
            <w:cnfStyle w:val="001000000000" w:firstRow="0" w:lastRow="0" w:firstColumn="1" w:lastColumn="0" w:oddVBand="0" w:evenVBand="0" w:oddHBand="0" w:evenHBand="0" w:firstRowFirstColumn="0" w:firstRowLastColumn="0" w:lastRowFirstColumn="0" w:lastRowLastColumn="0"/>
            <w:tcW w:w="2934" w:type="pct"/>
          </w:tcPr>
          <w:p w14:paraId="43C67056" w14:textId="1DDDDE6F"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2ED07912"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10</w:t>
            </w:r>
          </w:p>
        </w:tc>
        <w:tc>
          <w:tcPr>
            <w:tcW w:w="611" w:type="pct"/>
          </w:tcPr>
          <w:p w14:paraId="0EC17B9D"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66.7%</w:t>
            </w:r>
          </w:p>
        </w:tc>
        <w:tc>
          <w:tcPr>
            <w:tcW w:w="984" w:type="pct"/>
          </w:tcPr>
          <w:p w14:paraId="2FAFE1DF"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49156A03" w14:textId="77777777" w:rsidTr="007B270B">
        <w:trPr>
          <w:trHeight w:val="470"/>
        </w:trPr>
        <w:tc>
          <w:tcPr>
            <w:cnfStyle w:val="001000000000" w:firstRow="0" w:lastRow="0" w:firstColumn="1" w:lastColumn="0" w:oddVBand="0" w:evenVBand="0" w:oddHBand="0" w:evenHBand="0" w:firstRowFirstColumn="0" w:firstRowLastColumn="0" w:lastRowFirstColumn="0" w:lastRowLastColumn="0"/>
            <w:tcW w:w="2934" w:type="pct"/>
          </w:tcPr>
          <w:p w14:paraId="7E076AE1" w14:textId="2041F843"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7D9C2E79"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8</w:t>
            </w:r>
          </w:p>
        </w:tc>
        <w:tc>
          <w:tcPr>
            <w:tcW w:w="611" w:type="pct"/>
          </w:tcPr>
          <w:p w14:paraId="6BAFD828"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53.3%</w:t>
            </w:r>
          </w:p>
        </w:tc>
        <w:tc>
          <w:tcPr>
            <w:tcW w:w="984" w:type="pct"/>
          </w:tcPr>
          <w:p w14:paraId="54046EA4"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6969BB49" w14:textId="77777777" w:rsidTr="007B270B">
        <w:trPr>
          <w:trHeight w:val="712"/>
        </w:trPr>
        <w:tc>
          <w:tcPr>
            <w:cnfStyle w:val="001000000000" w:firstRow="0" w:lastRow="0" w:firstColumn="1" w:lastColumn="0" w:oddVBand="0" w:evenVBand="0" w:oddHBand="0" w:evenHBand="0" w:firstRowFirstColumn="0" w:firstRowLastColumn="0" w:lastRowFirstColumn="0" w:lastRowLastColumn="0"/>
            <w:tcW w:w="2934" w:type="pct"/>
          </w:tcPr>
          <w:p w14:paraId="2E0F0144" w14:textId="5B08266D" w:rsidR="00A7727F" w:rsidRPr="00B82B39" w:rsidRDefault="00A7727F" w:rsidP="007A4611">
            <w:pPr>
              <w:ind w:left="0" w:right="0"/>
              <w:rPr>
                <w:sz w:val="20"/>
                <w:szCs w:val="20"/>
                <w:lang w:eastAsia="ja-JP"/>
              </w:rPr>
            </w:pPr>
            <w:r w:rsidRPr="00B82B39">
              <w:rPr>
                <w:sz w:val="20"/>
                <w:szCs w:val="20"/>
                <w:lang w:eastAsia="ja-JP"/>
              </w:rPr>
              <w:t xml:space="preserve">Blast </w:t>
            </w:r>
            <w:r w:rsidR="007A4611" w:rsidRPr="00B82B39">
              <w:rPr>
                <w:sz w:val="20"/>
                <w:szCs w:val="20"/>
                <w:lang w:eastAsia="ja-JP"/>
              </w:rPr>
              <w:t xml:space="preserve">free hypoplastic or aplastic bone marrow within first 2 cycles with MRD assessments </w:t>
            </w:r>
            <w:r w:rsidRPr="00B82B39">
              <w:rPr>
                <w:sz w:val="20"/>
                <w:szCs w:val="20"/>
                <w:lang w:eastAsia="ja-JP"/>
              </w:rPr>
              <w:t>(N</w:t>
            </w:r>
            <w:r w:rsidR="00423768" w:rsidRPr="00B82B39">
              <w:rPr>
                <w:sz w:val="20"/>
                <w:szCs w:val="20"/>
                <w:lang w:eastAsia="ja-JP"/>
              </w:rPr>
              <w:t xml:space="preserve"> =</w:t>
            </w:r>
            <w:r w:rsidR="00375CAE" w:rsidRPr="00B82B39">
              <w:rPr>
                <w:sz w:val="20"/>
                <w:szCs w:val="20"/>
                <w:lang w:eastAsia="ja-JP"/>
              </w:rPr>
              <w:t xml:space="preserve"> </w:t>
            </w:r>
            <w:r w:rsidR="00FA5F21" w:rsidRPr="00B82B39">
              <w:rPr>
                <w:sz w:val="20"/>
                <w:szCs w:val="20"/>
                <w:lang w:eastAsia="ja-JP"/>
              </w:rPr>
              <w:t>10)</w:t>
            </w:r>
            <w:r w:rsidRPr="00B82B39">
              <w:rPr>
                <w:sz w:val="20"/>
                <w:szCs w:val="20"/>
                <w:vertAlign w:val="superscript"/>
                <w:lang w:eastAsia="ja-JP"/>
              </w:rPr>
              <w:t>d</w:t>
            </w:r>
          </w:p>
        </w:tc>
        <w:tc>
          <w:tcPr>
            <w:tcW w:w="471" w:type="pct"/>
          </w:tcPr>
          <w:p w14:paraId="10B05689"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11" w:type="pct"/>
          </w:tcPr>
          <w:p w14:paraId="57F48E86"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984" w:type="pct"/>
          </w:tcPr>
          <w:p w14:paraId="5C0C92D4"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7A4611" w:rsidRPr="00B82B39" w14:paraId="7E4C66BB" w14:textId="77777777" w:rsidTr="007B270B">
        <w:trPr>
          <w:trHeight w:val="482"/>
        </w:trPr>
        <w:tc>
          <w:tcPr>
            <w:cnfStyle w:val="001000000000" w:firstRow="0" w:lastRow="0" w:firstColumn="1" w:lastColumn="0" w:oddVBand="0" w:evenVBand="0" w:oddHBand="0" w:evenHBand="0" w:firstRowFirstColumn="0" w:firstRowLastColumn="0" w:lastRowFirstColumn="0" w:lastRowLastColumn="0"/>
            <w:tcW w:w="2934" w:type="pct"/>
          </w:tcPr>
          <w:p w14:paraId="1842CB6B" w14:textId="37599B66" w:rsidR="00A7727F" w:rsidRPr="00B82B39" w:rsidRDefault="00A7727F" w:rsidP="007A4611">
            <w:pPr>
              <w:ind w:left="0" w:right="0"/>
              <w:rPr>
                <w:sz w:val="20"/>
                <w:szCs w:val="20"/>
                <w:lang w:eastAsia="ja-JP"/>
              </w:rPr>
            </w:pPr>
            <w:r w:rsidRPr="00B82B39">
              <w:rPr>
                <w:sz w:val="20"/>
                <w:szCs w:val="20"/>
                <w:lang w:eastAsia="ja-JP"/>
              </w:rPr>
              <w:t>MRD response</w:t>
            </w:r>
          </w:p>
        </w:tc>
        <w:tc>
          <w:tcPr>
            <w:tcW w:w="471" w:type="pct"/>
          </w:tcPr>
          <w:p w14:paraId="558290ED"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611" w:type="pct"/>
          </w:tcPr>
          <w:p w14:paraId="0CFEB1C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50.0%</w:t>
            </w:r>
          </w:p>
        </w:tc>
        <w:tc>
          <w:tcPr>
            <w:tcW w:w="984" w:type="pct"/>
          </w:tcPr>
          <w:p w14:paraId="21F63B44"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r w:rsidR="007A4611" w:rsidRPr="00B82B39" w14:paraId="61ED4560" w14:textId="77777777" w:rsidTr="007B270B">
        <w:trPr>
          <w:trHeight w:val="482"/>
        </w:trPr>
        <w:tc>
          <w:tcPr>
            <w:cnfStyle w:val="001000000000" w:firstRow="0" w:lastRow="0" w:firstColumn="1" w:lastColumn="0" w:oddVBand="0" w:evenVBand="0" w:oddHBand="0" w:evenHBand="0" w:firstRowFirstColumn="0" w:firstRowLastColumn="0" w:lastRowFirstColumn="0" w:lastRowLastColumn="0"/>
            <w:tcW w:w="2934" w:type="pct"/>
          </w:tcPr>
          <w:p w14:paraId="540E1BA1" w14:textId="6963DE72" w:rsidR="00A7727F" w:rsidRPr="00B82B39" w:rsidRDefault="00A7727F" w:rsidP="007A4611">
            <w:pPr>
              <w:ind w:left="0" w:right="0"/>
              <w:rPr>
                <w:sz w:val="20"/>
                <w:szCs w:val="20"/>
                <w:lang w:eastAsia="ja-JP"/>
              </w:rPr>
            </w:pPr>
            <w:r w:rsidRPr="00B82B39">
              <w:rPr>
                <w:sz w:val="20"/>
                <w:szCs w:val="20"/>
                <w:lang w:eastAsia="ja-JP"/>
              </w:rPr>
              <w:t>Complete MRD response</w:t>
            </w:r>
          </w:p>
        </w:tc>
        <w:tc>
          <w:tcPr>
            <w:tcW w:w="471" w:type="pct"/>
          </w:tcPr>
          <w:p w14:paraId="3C46C788"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w:t>
            </w:r>
          </w:p>
        </w:tc>
        <w:tc>
          <w:tcPr>
            <w:tcW w:w="611" w:type="pct"/>
          </w:tcPr>
          <w:p w14:paraId="0261704C"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20.0%</w:t>
            </w:r>
          </w:p>
        </w:tc>
        <w:tc>
          <w:tcPr>
            <w:tcW w:w="984" w:type="pct"/>
          </w:tcPr>
          <w:p w14:paraId="6F1DB673" w14:textId="77777777" w:rsidR="00A7727F" w:rsidRPr="00B82B39" w:rsidRDefault="00A7727F" w:rsidP="007A4611">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w:t>
            </w:r>
          </w:p>
        </w:tc>
      </w:tr>
    </w:tbl>
    <w:p w14:paraId="44CD71DD" w14:textId="7468B51F" w:rsidR="00A7727F" w:rsidRPr="00A7727F" w:rsidRDefault="00A7727F" w:rsidP="00FA5F21">
      <w:pPr>
        <w:pStyle w:val="TableDescription"/>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 CR</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CRh*</w:t>
      </w:r>
      <w:r w:rsidR="00375CAE">
        <w:rPr>
          <w:lang w:eastAsia="ja-JP"/>
        </w:rPr>
        <w:t xml:space="preserve"> </w:t>
      </w:r>
      <w:r w:rsidR="00423768">
        <w:rPr>
          <w:lang w:eastAsia="ja-JP"/>
        </w:rPr>
        <w:t>=</w:t>
      </w:r>
      <w:r w:rsidR="00375CAE">
        <w:rPr>
          <w:lang w:eastAsia="ja-JP"/>
        </w:rPr>
        <w:t xml:space="preserve"> </w:t>
      </w:r>
      <w:r w:rsidRPr="00A7727F">
        <w:rPr>
          <w:lang w:eastAsia="ja-JP"/>
        </w:rPr>
        <w:t>complete remission with only partial h</w:t>
      </w:r>
      <w:r w:rsidR="00FA5F21">
        <w:rPr>
          <w:lang w:eastAsia="ja-JP"/>
        </w:rPr>
        <w:t>a</w:t>
      </w:r>
      <w:r w:rsidRPr="00A7727F">
        <w:rPr>
          <w:lang w:eastAsia="ja-JP"/>
        </w:rPr>
        <w:t>ematological recovery; MRD</w:t>
      </w:r>
      <w:r w:rsidR="00375CAE">
        <w:rPr>
          <w:lang w:eastAsia="ja-JP"/>
        </w:rPr>
        <w:t xml:space="preserve"> </w:t>
      </w:r>
      <w:r w:rsidR="00423768">
        <w:rPr>
          <w:lang w:eastAsia="ja-JP"/>
        </w:rPr>
        <w:t>=</w:t>
      </w:r>
      <w:r w:rsidR="00375CAE">
        <w:rPr>
          <w:lang w:eastAsia="ja-JP"/>
        </w:rPr>
        <w:t xml:space="preserve"> </w:t>
      </w:r>
      <w:r w:rsidRPr="00A7727F">
        <w:rPr>
          <w:lang w:eastAsia="ja-JP"/>
        </w:rPr>
        <w:t>minimal residual disease; -</w:t>
      </w:r>
      <w:r w:rsidR="00375CAE">
        <w:rPr>
          <w:lang w:eastAsia="ja-JP"/>
        </w:rPr>
        <w:t xml:space="preserve"> </w:t>
      </w:r>
      <w:r w:rsidR="00423768">
        <w:rPr>
          <w:lang w:eastAsia="ja-JP"/>
        </w:rPr>
        <w:t>=</w:t>
      </w:r>
      <w:r w:rsidR="00375CAE">
        <w:rPr>
          <w:lang w:eastAsia="ja-JP"/>
        </w:rPr>
        <w:t xml:space="preserve"> </w:t>
      </w:r>
      <w:r w:rsidR="00FA5F21">
        <w:rPr>
          <w:lang w:eastAsia="ja-JP"/>
        </w:rPr>
        <w:t xml:space="preserve">not reported. </w:t>
      </w:r>
      <w:r w:rsidRPr="00A7727F">
        <w:rPr>
          <w:lang w:eastAsia="ja-JP"/>
        </w:rPr>
        <w:t>MRD response: MRD</w:t>
      </w:r>
      <w:r w:rsidR="00375CAE">
        <w:rPr>
          <w:lang w:eastAsia="ja-JP"/>
        </w:rPr>
        <w:t xml:space="preserve"> </w:t>
      </w:r>
      <w:r w:rsidR="00423768">
        <w:rPr>
          <w:lang w:eastAsia="ja-JP"/>
        </w:rPr>
        <w:t>&lt;</w:t>
      </w:r>
      <w:r w:rsidR="00375CAE">
        <w:rPr>
          <w:lang w:eastAsia="ja-JP"/>
        </w:rPr>
        <w:t xml:space="preserve"> </w:t>
      </w:r>
      <w:r w:rsidRPr="00A7727F">
        <w:rPr>
          <w:lang w:eastAsia="ja-JP"/>
        </w:rPr>
        <w:t>10-4 measured by PCR</w:t>
      </w:r>
      <w:r w:rsidR="00FA5F21">
        <w:rPr>
          <w:lang w:eastAsia="ja-JP"/>
        </w:rPr>
        <w:t xml:space="preserve">; </w:t>
      </w:r>
      <w:r w:rsidRPr="00A7727F">
        <w:rPr>
          <w:lang w:eastAsia="ja-JP"/>
        </w:rPr>
        <w:t xml:space="preserve">MRD complete response: no PCR amplification of individual rearrangements of immunoglobulin- or </w:t>
      </w:r>
      <w:r w:rsidR="00A972DD" w:rsidRPr="00A7727F">
        <w:rPr>
          <w:lang w:eastAsia="ja-JP"/>
        </w:rPr>
        <w:t>TCR</w:t>
      </w:r>
      <w:r w:rsidR="00A972DD">
        <w:rPr>
          <w:lang w:eastAsia="ja-JP"/>
        </w:rPr>
        <w:t xml:space="preserve"> </w:t>
      </w:r>
      <w:r w:rsidR="00A972DD" w:rsidRPr="00A7727F">
        <w:rPr>
          <w:lang w:eastAsia="ja-JP"/>
        </w:rPr>
        <w:t>genes</w:t>
      </w:r>
      <w:r w:rsidRPr="00A7727F">
        <w:rPr>
          <w:lang w:eastAsia="ja-JP"/>
        </w:rPr>
        <w:t xml:space="preserve"> could be detected. Sensitivity and quantitative measurement range of assay need to be at least 10</w:t>
      </w:r>
      <w:r w:rsidRPr="00A7727F">
        <w:rPr>
          <w:vertAlign w:val="superscript"/>
          <w:lang w:eastAsia="ja-JP"/>
        </w:rPr>
        <w:t>-4</w:t>
      </w:r>
      <w:r w:rsidRPr="00A7727F">
        <w:rPr>
          <w:lang w:eastAsia="ja-JP"/>
        </w:rPr>
        <w:t>.</w:t>
      </w:r>
      <w:r w:rsidR="00FA5F21">
        <w:rPr>
          <w:lang w:eastAsia="ja-JP"/>
        </w:rPr>
        <w:t xml:space="preserve"> a) </w:t>
      </w:r>
      <w:r w:rsidRPr="00A7727F">
        <w:rPr>
          <w:lang w:eastAsia="ja-JP"/>
        </w:rPr>
        <w:t>Excludes subjects with no MRD data: n</w:t>
      </w:r>
      <w:r w:rsidR="00375CAE">
        <w:rPr>
          <w:lang w:eastAsia="ja-JP"/>
        </w:rPr>
        <w:t xml:space="preserve"> </w:t>
      </w:r>
      <w:r w:rsidR="00423768">
        <w:rPr>
          <w:lang w:eastAsia="ja-JP"/>
        </w:rPr>
        <w:t>=</w:t>
      </w:r>
      <w:r w:rsidR="00375CAE">
        <w:rPr>
          <w:lang w:eastAsia="ja-JP"/>
        </w:rPr>
        <w:t xml:space="preserve"> </w:t>
      </w:r>
      <w:r w:rsidRPr="00A7727F">
        <w:rPr>
          <w:lang w:eastAsia="ja-JP"/>
        </w:rPr>
        <w:t>8</w:t>
      </w:r>
      <w:r w:rsidR="00FA5F21">
        <w:rPr>
          <w:lang w:eastAsia="ja-JP"/>
        </w:rPr>
        <w:t>; b) e</w:t>
      </w:r>
      <w:r w:rsidRPr="00A7727F">
        <w:rPr>
          <w:lang w:eastAsia="ja-JP"/>
        </w:rPr>
        <w:t>xcludes subjects with no MRD data: n</w:t>
      </w:r>
      <w:r w:rsidR="00375CAE">
        <w:rPr>
          <w:lang w:eastAsia="ja-JP"/>
        </w:rPr>
        <w:t xml:space="preserve"> </w:t>
      </w:r>
      <w:r w:rsidR="00423768">
        <w:rPr>
          <w:lang w:eastAsia="ja-JP"/>
        </w:rPr>
        <w:t>=</w:t>
      </w:r>
      <w:r w:rsidR="00375CAE">
        <w:rPr>
          <w:lang w:eastAsia="ja-JP"/>
        </w:rPr>
        <w:t xml:space="preserve"> </w:t>
      </w:r>
      <w:r w:rsidR="00FA5F21">
        <w:rPr>
          <w:lang w:eastAsia="ja-JP"/>
        </w:rPr>
        <w:t>5; c = e</w:t>
      </w:r>
      <w:r w:rsidRPr="00A7727F">
        <w:rPr>
          <w:lang w:eastAsia="ja-JP"/>
        </w:rPr>
        <w:t>xcludes subjects with no MRD data: n</w:t>
      </w:r>
      <w:r w:rsidR="00375CAE">
        <w:rPr>
          <w:lang w:eastAsia="ja-JP"/>
        </w:rPr>
        <w:t xml:space="preserve"> </w:t>
      </w:r>
      <w:r w:rsidR="00423768">
        <w:rPr>
          <w:lang w:eastAsia="ja-JP"/>
        </w:rPr>
        <w:t>=</w:t>
      </w:r>
      <w:r w:rsidR="00375CAE">
        <w:rPr>
          <w:lang w:eastAsia="ja-JP"/>
        </w:rPr>
        <w:t xml:space="preserve"> </w:t>
      </w:r>
      <w:r w:rsidRPr="00A7727F">
        <w:rPr>
          <w:lang w:eastAsia="ja-JP"/>
        </w:rPr>
        <w:t>3</w:t>
      </w:r>
      <w:r w:rsidR="00FA5F21">
        <w:rPr>
          <w:lang w:eastAsia="ja-JP"/>
        </w:rPr>
        <w:t>; d = e</w:t>
      </w:r>
      <w:r w:rsidRPr="00A7727F">
        <w:rPr>
          <w:lang w:eastAsia="ja-JP"/>
        </w:rPr>
        <w:t>xcludes subjects with no MRD data: n</w:t>
      </w:r>
      <w:r w:rsidR="00375CAE">
        <w:rPr>
          <w:lang w:eastAsia="ja-JP"/>
        </w:rPr>
        <w:t xml:space="preserve"> </w:t>
      </w:r>
      <w:r w:rsidR="00423768">
        <w:rPr>
          <w:lang w:eastAsia="ja-JP"/>
        </w:rPr>
        <w:t>=</w:t>
      </w:r>
      <w:r w:rsidR="00375CAE">
        <w:rPr>
          <w:lang w:eastAsia="ja-JP"/>
        </w:rPr>
        <w:t xml:space="preserve"> </w:t>
      </w:r>
      <w:r w:rsidRPr="00A7727F">
        <w:rPr>
          <w:lang w:eastAsia="ja-JP"/>
        </w:rPr>
        <w:t>7</w:t>
      </w:r>
      <w:r w:rsidR="00FA5F21">
        <w:rPr>
          <w:lang w:eastAsia="ja-JP"/>
        </w:rPr>
        <w:t>.</w:t>
      </w:r>
    </w:p>
    <w:p w14:paraId="189614F0" w14:textId="4735141A" w:rsidR="00A7727F" w:rsidRPr="00A7727F" w:rsidRDefault="00FA5F21" w:rsidP="00FA5F21">
      <w:pPr>
        <w:pStyle w:val="Heading5"/>
        <w:rPr>
          <w:lang w:eastAsia="ja-JP"/>
        </w:rPr>
      </w:pPr>
      <w:r>
        <w:rPr>
          <w:lang w:eastAsia="ja-JP"/>
        </w:rPr>
        <w:t>Conclusions</w:t>
      </w:r>
    </w:p>
    <w:p w14:paraId="50ADF302" w14:textId="7FEFB97A" w:rsidR="00A7727F" w:rsidRPr="00A7727F" w:rsidRDefault="00A7727F" w:rsidP="00FA5F21">
      <w:pPr>
        <w:pStyle w:val="ListBullet"/>
        <w:rPr>
          <w:lang w:eastAsia="ja-JP"/>
        </w:rPr>
      </w:pPr>
      <w:r w:rsidRPr="00A7727F">
        <w:rPr>
          <w:lang w:eastAsia="ja-JP"/>
        </w:rPr>
        <w:t xml:space="preserve">Primary endpoint of the study was met with 42.9% (CR 33.3%, CRh* 9.5%) of subjects achieving CR/CRh* within 2 </w:t>
      </w:r>
      <w:r w:rsidR="00FA5F21">
        <w:rPr>
          <w:lang w:eastAsia="ja-JP"/>
        </w:rPr>
        <w:t>cycles of blinatumomab therapy.</w:t>
      </w:r>
    </w:p>
    <w:p w14:paraId="3C5079EE" w14:textId="77777777" w:rsidR="00A7727F" w:rsidRPr="00A7727F" w:rsidRDefault="00A7727F" w:rsidP="00FA5F21">
      <w:pPr>
        <w:pStyle w:val="ListBullet"/>
        <w:rPr>
          <w:lang w:eastAsia="ja-JP"/>
        </w:rPr>
      </w:pPr>
      <w:r w:rsidRPr="00A7727F">
        <w:rPr>
          <w:lang w:eastAsia="ja-JP"/>
        </w:rPr>
        <w:t>Primary endpoint was supported by key secondary endpoints including:</w:t>
      </w:r>
    </w:p>
    <w:p w14:paraId="76627001" w14:textId="59EDF9B5" w:rsidR="00A7727F" w:rsidRPr="00A7727F" w:rsidRDefault="00A7727F" w:rsidP="00FA5F21">
      <w:pPr>
        <w:pStyle w:val="ListBullet2"/>
        <w:rPr>
          <w:lang w:eastAsia="ja-JP"/>
        </w:rPr>
      </w:pPr>
      <w:r w:rsidRPr="00A7727F">
        <w:rPr>
          <w:lang w:eastAsia="ja-JP"/>
        </w:rPr>
        <w:t>Median relapse</w:t>
      </w:r>
      <w:r w:rsidR="006A3B04">
        <w:rPr>
          <w:lang w:eastAsia="ja-JP"/>
        </w:rPr>
        <w:t xml:space="preserve"> free</w:t>
      </w:r>
      <w:r w:rsidRPr="00A7727F">
        <w:rPr>
          <w:lang w:eastAsia="ja-JP"/>
        </w:rPr>
        <w:t xml:space="preserve"> survival was 5.9 months and nearly 40% of subjects who achieved C</w:t>
      </w:r>
      <w:r w:rsidR="00FA5F21">
        <w:rPr>
          <w:lang w:eastAsia="ja-JP"/>
        </w:rPr>
        <w:t>R/CRh* proceeded to transplant.</w:t>
      </w:r>
    </w:p>
    <w:p w14:paraId="140B590B" w14:textId="5D9FF8B5" w:rsidR="00A7727F" w:rsidRPr="00FA5F21" w:rsidRDefault="00A7727F" w:rsidP="00A7727F">
      <w:pPr>
        <w:pStyle w:val="ListBullet"/>
        <w:rPr>
          <w:lang w:eastAsia="ja-JP"/>
        </w:rPr>
      </w:pPr>
      <w:r w:rsidRPr="00A7727F">
        <w:rPr>
          <w:lang w:eastAsia="ja-JP"/>
        </w:rPr>
        <w:t>This study showed a high remission rate in adult patients with heavily pre-treated and/or aggressive relapsed/refractory</w:t>
      </w:r>
      <w:r w:rsidR="00B77E06">
        <w:rPr>
          <w:lang w:eastAsia="ja-JP"/>
        </w:rPr>
        <w:t xml:space="preserve"> </w:t>
      </w:r>
      <w:r w:rsidRPr="00A7727F">
        <w:rPr>
          <w:lang w:eastAsia="ja-JP"/>
        </w:rPr>
        <w:t>B-precursor ALL at the target dose of 28</w:t>
      </w:r>
      <w:r w:rsidR="00375CAE">
        <w:rPr>
          <w:lang w:eastAsia="ja-JP"/>
        </w:rPr>
        <w:t xml:space="preserve"> </w:t>
      </w:r>
      <w:r w:rsidR="0018721C">
        <w:rPr>
          <w:lang w:eastAsia="ja-JP"/>
        </w:rPr>
        <w:t>µg</w:t>
      </w:r>
      <w:r w:rsidRPr="00A7727F">
        <w:rPr>
          <w:lang w:eastAsia="ja-JP"/>
        </w:rPr>
        <w:t>/day.</w:t>
      </w:r>
    </w:p>
    <w:p w14:paraId="1263A8B5" w14:textId="77777777" w:rsidR="00A7727F" w:rsidRPr="00A7727F" w:rsidRDefault="00A7727F" w:rsidP="00FA5F21">
      <w:pPr>
        <w:pStyle w:val="Heading4"/>
      </w:pPr>
      <w:bookmarkStart w:id="185" w:name="_Ref243301615"/>
      <w:bookmarkStart w:id="186" w:name="_Ref271040927"/>
      <w:bookmarkStart w:id="187" w:name="_Ref271040932"/>
      <w:bookmarkStart w:id="188" w:name="_Toc272414653"/>
      <w:bookmarkStart w:id="189" w:name="_Toc290846275"/>
      <w:bookmarkStart w:id="190" w:name="_Ref348862805"/>
      <w:bookmarkStart w:id="191" w:name="_Ref348863167"/>
      <w:bookmarkStart w:id="192" w:name="_Ref348864025"/>
      <w:bookmarkStart w:id="193" w:name="_Ref348864123"/>
      <w:bookmarkStart w:id="194" w:name="_Ref348864124"/>
      <w:bookmarkStart w:id="195" w:name="_Ref348864407"/>
      <w:bookmarkStart w:id="196" w:name="_Toc292015606"/>
      <w:r w:rsidRPr="00A7727F">
        <w:t xml:space="preserve">Study </w:t>
      </w:r>
      <w:bookmarkEnd w:id="185"/>
      <w:bookmarkEnd w:id="186"/>
      <w:bookmarkEnd w:id="187"/>
      <w:bookmarkEnd w:id="188"/>
      <w:bookmarkEnd w:id="189"/>
      <w:bookmarkEnd w:id="190"/>
      <w:bookmarkEnd w:id="191"/>
      <w:bookmarkEnd w:id="192"/>
      <w:bookmarkEnd w:id="193"/>
      <w:bookmarkEnd w:id="194"/>
      <w:bookmarkEnd w:id="195"/>
      <w:r w:rsidRPr="00A7727F">
        <w:t>MT103-206</w:t>
      </w:r>
      <w:bookmarkEnd w:id="196"/>
    </w:p>
    <w:p w14:paraId="144BD397" w14:textId="5421653A" w:rsidR="00A7727F" w:rsidRPr="00A7727F" w:rsidRDefault="00A7727F" w:rsidP="00A7727F">
      <w:pPr>
        <w:rPr>
          <w:lang w:eastAsia="ja-JP"/>
        </w:rPr>
      </w:pPr>
      <w:r w:rsidRPr="00A7727F">
        <w:rPr>
          <w:lang w:eastAsia="ja-JP"/>
        </w:rPr>
        <w:t xml:space="preserve">An </w:t>
      </w:r>
      <w:r w:rsidR="00070E8B">
        <w:rPr>
          <w:lang w:eastAsia="ja-JP"/>
        </w:rPr>
        <w:t>open label</w:t>
      </w:r>
      <w:r w:rsidRPr="00A7727F">
        <w:rPr>
          <w:lang w:eastAsia="ja-JP"/>
        </w:rPr>
        <w:t>, multi</w:t>
      </w:r>
      <w:r w:rsidR="00070E8B">
        <w:rPr>
          <w:lang w:eastAsia="ja-JP"/>
        </w:rPr>
        <w:t>centre</w:t>
      </w:r>
      <w:r w:rsidRPr="00A7727F">
        <w:rPr>
          <w:lang w:eastAsia="ja-JP"/>
        </w:rPr>
        <w:t xml:space="preserve">, exploratory, </w:t>
      </w:r>
      <w:r w:rsidR="0018721C">
        <w:rPr>
          <w:lang w:eastAsia="ja-JP"/>
        </w:rPr>
        <w:t>Phase II</w:t>
      </w:r>
      <w:r w:rsidRPr="00A7727F">
        <w:rPr>
          <w:lang w:eastAsia="ja-JP"/>
        </w:rPr>
        <w:t xml:space="preserve"> study to evaluate the efficacy, safety, and tolerability of the BiTE antibody blinatumomab in adult subjects with relapsed and/or refractory B-precursor ALL at 2 target dose levels of 15</w:t>
      </w:r>
      <w:r w:rsidR="00375CAE">
        <w:rPr>
          <w:lang w:eastAsia="ja-JP"/>
        </w:rPr>
        <w:t xml:space="preserve"> </w:t>
      </w:r>
      <w:r w:rsidR="0018721C">
        <w:rPr>
          <w:lang w:eastAsia="ja-JP"/>
        </w:rPr>
        <w:t>µg</w:t>
      </w:r>
      <w:r w:rsidRPr="00A7727F">
        <w:rPr>
          <w:lang w:eastAsia="ja-JP"/>
        </w:rPr>
        <w:t xml:space="preserve"> and 30</w:t>
      </w:r>
      <w:r w:rsidR="00375CAE">
        <w:rPr>
          <w:lang w:eastAsia="ja-JP"/>
        </w:rPr>
        <w:t xml:space="preserve"> </w:t>
      </w:r>
      <w:r w:rsidR="0018721C">
        <w:rPr>
          <w:lang w:eastAsia="ja-JP"/>
        </w:rPr>
        <w:t>µg</w:t>
      </w:r>
      <w:r w:rsidRPr="00A7727F">
        <w:rPr>
          <w:lang w:eastAsia="ja-JP"/>
        </w:rPr>
        <w:t xml:space="preserve"> using a Simon’s 2-stage design (Figure 27 and Figure 28).</w:t>
      </w:r>
    </w:p>
    <w:p w14:paraId="3C01054C" w14:textId="77777777" w:rsidR="00A7727F" w:rsidRPr="00A7727F" w:rsidRDefault="00A7727F" w:rsidP="00FA5F21">
      <w:pPr>
        <w:pStyle w:val="Heading4"/>
      </w:pPr>
      <w:r w:rsidRPr="00A7727F">
        <w:t>Study design, objectives, locations and dates</w:t>
      </w:r>
    </w:p>
    <w:p w14:paraId="0E350C5B" w14:textId="77777777" w:rsidR="00A7727F" w:rsidRPr="00A7727F" w:rsidRDefault="00A7727F" w:rsidP="00A7727F">
      <w:pPr>
        <w:rPr>
          <w:lang w:eastAsia="ja-JP"/>
        </w:rPr>
      </w:pPr>
      <w:r w:rsidRPr="00A7727F">
        <w:rPr>
          <w:lang w:eastAsia="ja-JP"/>
        </w:rPr>
        <w:t>This was a double blind, multicentre, randomised, active controlled study conducted in 32 centres in the USA between May 2009 and June 2011.</w:t>
      </w:r>
    </w:p>
    <w:p w14:paraId="2427A713" w14:textId="42A71AFE" w:rsidR="00A7727F" w:rsidRPr="00A7727F" w:rsidRDefault="00B77E06" w:rsidP="00A7727F">
      <w:pPr>
        <w:rPr>
          <w:lang w:eastAsia="ja-JP"/>
        </w:rPr>
      </w:pPr>
      <w:r>
        <w:rPr>
          <w:lang w:eastAsia="ja-JP"/>
        </w:rPr>
        <w:t>The p</w:t>
      </w:r>
      <w:r w:rsidR="00A7727F" w:rsidRPr="00B77E06">
        <w:rPr>
          <w:lang w:eastAsia="ja-JP"/>
        </w:rPr>
        <w:t>rimary objective</w:t>
      </w:r>
      <w:r w:rsidR="00A7727F" w:rsidRPr="00A7727F">
        <w:rPr>
          <w:lang w:eastAsia="ja-JP"/>
        </w:rPr>
        <w:t xml:space="preserve"> was to evaluate the efficacy of blinatumomab in subjects with relapsed/refractory B-precursor ALL.</w:t>
      </w:r>
    </w:p>
    <w:p w14:paraId="2041373B" w14:textId="17241CAB" w:rsidR="00A7727F" w:rsidRPr="00B77E06" w:rsidRDefault="00B77E06" w:rsidP="00A7727F">
      <w:pPr>
        <w:rPr>
          <w:lang w:eastAsia="ja-JP"/>
        </w:rPr>
      </w:pPr>
      <w:r w:rsidRPr="00B77E06">
        <w:rPr>
          <w:lang w:eastAsia="ja-JP"/>
        </w:rPr>
        <w:t>The s</w:t>
      </w:r>
      <w:r w:rsidR="00A7727F" w:rsidRPr="00B77E06">
        <w:rPr>
          <w:lang w:eastAsia="ja-JP"/>
        </w:rPr>
        <w:t>econdary objectives</w:t>
      </w:r>
      <w:r w:rsidRPr="00B77E06">
        <w:rPr>
          <w:lang w:eastAsia="ja-JP"/>
        </w:rPr>
        <w:t xml:space="preserve"> were as follows</w:t>
      </w:r>
      <w:r w:rsidR="00A7727F" w:rsidRPr="00B77E06">
        <w:rPr>
          <w:lang w:eastAsia="ja-JP"/>
        </w:rPr>
        <w:t>:</w:t>
      </w:r>
    </w:p>
    <w:p w14:paraId="00F0962C" w14:textId="77777777" w:rsidR="00A7727F" w:rsidRPr="00A7727F" w:rsidRDefault="00A7727F" w:rsidP="00B77E06">
      <w:pPr>
        <w:pStyle w:val="ListBullet"/>
        <w:rPr>
          <w:lang w:eastAsia="ja-JP"/>
        </w:rPr>
      </w:pPr>
      <w:r w:rsidRPr="00A7727F">
        <w:rPr>
          <w:lang w:eastAsia="ja-JP"/>
        </w:rPr>
        <w:t>To evaluate safety and tolerability of blinatumomab in subjects with relapsed/refractory B-precursor ALL</w:t>
      </w:r>
    </w:p>
    <w:p w14:paraId="28BDD141" w14:textId="77777777" w:rsidR="00A7727F" w:rsidRPr="00A7727F" w:rsidRDefault="00A7727F" w:rsidP="00B77E06">
      <w:pPr>
        <w:pStyle w:val="ListBullet"/>
        <w:rPr>
          <w:lang w:eastAsia="ja-JP"/>
        </w:rPr>
      </w:pPr>
      <w:r w:rsidRPr="00A7727F">
        <w:rPr>
          <w:lang w:eastAsia="ja-JP"/>
        </w:rPr>
        <w:t>To evaluate pharmacokinetics (PK) and pharmacodynamics (PD) of blinatumomab.</w:t>
      </w:r>
    </w:p>
    <w:p w14:paraId="5A38E8A7" w14:textId="5B7C2A0A" w:rsidR="00A7727F" w:rsidRPr="00A7727F" w:rsidRDefault="00A7727F" w:rsidP="00A7727F">
      <w:pPr>
        <w:rPr>
          <w:lang w:eastAsia="ja-JP"/>
        </w:rPr>
      </w:pPr>
      <w:r w:rsidRPr="00A7727F">
        <w:rPr>
          <w:lang w:eastAsia="ja-JP"/>
        </w:rPr>
        <w:t>This study is ongoing and will end when the last subject has had the last protocol mandated visit. Results of the primary analysis (conducted when the last subject completed the core study; data</w:t>
      </w:r>
      <w:r w:rsidR="00B77E06">
        <w:rPr>
          <w:lang w:eastAsia="ja-JP"/>
        </w:rPr>
        <w:t xml:space="preserve"> c</w:t>
      </w:r>
      <w:r w:rsidRPr="00A7727F">
        <w:rPr>
          <w:lang w:eastAsia="ja-JP"/>
        </w:rPr>
        <w:t>ut-off date of 15 October 2012) were presented in the clinical study report.</w:t>
      </w:r>
    </w:p>
    <w:p w14:paraId="09A43E98" w14:textId="0C509E75" w:rsidR="00A7727F" w:rsidRPr="00A7727F" w:rsidRDefault="00A7727F" w:rsidP="007B270B">
      <w:pPr>
        <w:pStyle w:val="FigureTitle"/>
        <w:keepNext/>
        <w:rPr>
          <w:lang w:eastAsia="ja-JP"/>
        </w:rPr>
      </w:pPr>
      <w:bookmarkStart w:id="197" w:name="_Toc292015807"/>
      <w:r w:rsidRPr="00A7727F">
        <w:t xml:space="preserve">Figure </w:t>
      </w:r>
      <w:r w:rsidR="00B82B39">
        <w:t>27:</w:t>
      </w:r>
      <w:r w:rsidRPr="00A7727F">
        <w:t xml:space="preserve"> </w:t>
      </w:r>
      <w:r w:rsidR="00DF6B20" w:rsidRPr="00A7727F">
        <w:t>Study MT103-206</w:t>
      </w:r>
      <w:r w:rsidR="00DF6B20">
        <w:t xml:space="preserve"> </w:t>
      </w:r>
      <w:r w:rsidRPr="00A7727F">
        <w:rPr>
          <w:lang w:eastAsia="ja-JP"/>
        </w:rPr>
        <w:t xml:space="preserve">Study </w:t>
      </w:r>
      <w:r w:rsidR="00B77E06">
        <w:rPr>
          <w:lang w:eastAsia="ja-JP"/>
        </w:rPr>
        <w:t>d</w:t>
      </w:r>
      <w:r w:rsidRPr="00A7727F">
        <w:rPr>
          <w:lang w:eastAsia="ja-JP"/>
        </w:rPr>
        <w:t>esign</w:t>
      </w:r>
      <w:bookmarkEnd w:id="197"/>
    </w:p>
    <w:p w14:paraId="09B65447" w14:textId="5E16010C" w:rsidR="00A7727F" w:rsidRPr="00FA5F21" w:rsidRDefault="00A7727F" w:rsidP="00A7727F">
      <w:pPr>
        <w:rPr>
          <w:lang w:eastAsia="ja-JP"/>
        </w:rPr>
      </w:pPr>
      <w:r w:rsidRPr="00A7727F">
        <w:rPr>
          <w:noProof/>
          <w:lang w:eastAsia="en-AU"/>
        </w:rPr>
        <w:drawing>
          <wp:inline distT="0" distB="0" distL="0" distR="0" wp14:anchorId="54234E7C" wp14:editId="5584E1E0">
            <wp:extent cx="5286770" cy="2759710"/>
            <wp:effectExtent l="0" t="0" r="9525" b="2540"/>
            <wp:docPr id="95" name="Picture 95" descr="Figure 27: Study MT103-206 Study design. Following screening and enrolment, patients entered the first stage, which consisted of 3 cohorts (Cohort 1, 2a and 2b), eached planned to enrol 5 patients. Following the first stage, 10 patients (patients from Cohort 1 and 2a) were to enter a one arm second stage and to recieve further treatment according to recommendations of investigators/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7131" cy="2759898"/>
                    </a:xfrm>
                    <a:prstGeom prst="rect">
                      <a:avLst/>
                    </a:prstGeom>
                    <a:noFill/>
                    <a:ln>
                      <a:noFill/>
                    </a:ln>
                  </pic:spPr>
                </pic:pic>
              </a:graphicData>
            </a:graphic>
          </wp:inline>
        </w:drawing>
      </w:r>
    </w:p>
    <w:p w14:paraId="32CBEE60" w14:textId="30A55BC3" w:rsidR="00A7727F" w:rsidRPr="00A7727F" w:rsidRDefault="00A7727F" w:rsidP="00C25609">
      <w:pPr>
        <w:keepNext/>
        <w:rPr>
          <w:b/>
          <w:lang w:eastAsia="ja-JP"/>
        </w:rPr>
      </w:pPr>
      <w:bookmarkStart w:id="198" w:name="_Toc292015808"/>
      <w:r w:rsidRPr="00A7727F">
        <w:rPr>
          <w:b/>
          <w:lang w:eastAsia="ja-JP"/>
        </w:rPr>
        <w:t xml:space="preserve">Figure </w:t>
      </w:r>
      <w:r w:rsidR="00B82B39">
        <w:rPr>
          <w:b/>
          <w:lang w:eastAsia="ja-JP"/>
        </w:rPr>
        <w:t xml:space="preserve">28: </w:t>
      </w:r>
      <w:r w:rsidR="00575CB4">
        <w:rPr>
          <w:b/>
          <w:lang w:eastAsia="ja-JP"/>
        </w:rPr>
        <w:t>Study s</w:t>
      </w:r>
      <w:r w:rsidRPr="00A7727F">
        <w:rPr>
          <w:b/>
          <w:lang w:eastAsia="ja-JP"/>
        </w:rPr>
        <w:t>chema (</w:t>
      </w:r>
      <w:r w:rsidR="00C25609" w:rsidRPr="00A7727F">
        <w:rPr>
          <w:b/>
          <w:lang w:eastAsia="ja-JP"/>
        </w:rPr>
        <w:t>visual representation of study periods</w:t>
      </w:r>
      <w:r w:rsidRPr="00A7727F">
        <w:rPr>
          <w:b/>
          <w:lang w:eastAsia="ja-JP"/>
        </w:rPr>
        <w:t>)</w:t>
      </w:r>
      <w:bookmarkEnd w:id="198"/>
    </w:p>
    <w:p w14:paraId="5484B6C2" w14:textId="77777777" w:rsidR="00A7727F" w:rsidRPr="00A7727F" w:rsidRDefault="00A7727F" w:rsidP="00A7727F">
      <w:pPr>
        <w:rPr>
          <w:lang w:eastAsia="ja-JP"/>
        </w:rPr>
      </w:pPr>
      <w:r w:rsidRPr="00A7727F">
        <w:rPr>
          <w:noProof/>
          <w:lang w:eastAsia="en-AU"/>
        </w:rPr>
        <w:drawing>
          <wp:inline distT="0" distB="0" distL="0" distR="0" wp14:anchorId="7241C9E0" wp14:editId="580DD35A">
            <wp:extent cx="4940481" cy="3336290"/>
            <wp:effectExtent l="0" t="0" r="0" b="0"/>
            <wp:docPr id="96" name="Picture 96" descr="Figure 28: Study schema (visual representation of study periods)Core study duration consisted of up to 5 cycles with blinatumomab given at 15 or 30 mcg according to BSA, with dosing given at Day 1, and the first day of each subsequent cycle. Each cycle lasted a total of 4 weeks, with the first cycle having an inpatient duration of 1 week and subsequent cycles having a 3 day inpatient stage of the start of each cycle. The time between cycles was 3 weeks. Efficacy follow-up was at every 3 months until month 12, every 6 months until month 24, then survival follow up every 6 months via phone. Administration of subsequent cycles (all in all, max of 5 cycles) occured in case of CR or CR*, with discontinuation of treatment in case of PD." title="Study schema (visual representation of study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1161" cy="3336749"/>
                    </a:xfrm>
                    <a:prstGeom prst="rect">
                      <a:avLst/>
                    </a:prstGeom>
                    <a:noFill/>
                    <a:ln>
                      <a:noFill/>
                    </a:ln>
                  </pic:spPr>
                </pic:pic>
              </a:graphicData>
            </a:graphic>
          </wp:inline>
        </w:drawing>
      </w:r>
    </w:p>
    <w:p w14:paraId="0264212C" w14:textId="77777777" w:rsidR="00A7727F" w:rsidRPr="00A7727F" w:rsidRDefault="00A7727F" w:rsidP="00FA5F21">
      <w:pPr>
        <w:pStyle w:val="Heading5"/>
      </w:pPr>
      <w:r w:rsidRPr="00A7727F">
        <w:t>Inclusion and exclusion criteria</w:t>
      </w:r>
    </w:p>
    <w:p w14:paraId="56594FA7" w14:textId="77777777" w:rsidR="00A7727F" w:rsidRPr="00A7727F" w:rsidRDefault="00A7727F" w:rsidP="00A7727F">
      <w:pPr>
        <w:rPr>
          <w:lang w:eastAsia="ja-JP"/>
        </w:rPr>
      </w:pPr>
      <w:r w:rsidRPr="00E516A8">
        <w:t>Inclusion:</w:t>
      </w:r>
      <w:r w:rsidRPr="00A7727F">
        <w:rPr>
          <w:lang w:eastAsia="ja-JP"/>
        </w:rPr>
        <w:t xml:space="preserve"> A subject was eligible for study participation only if all of the following criteria applied:</w:t>
      </w:r>
    </w:p>
    <w:p w14:paraId="3B519C20" w14:textId="30122BE0" w:rsidR="00A7727F" w:rsidRPr="00A7727F" w:rsidRDefault="00A7727F" w:rsidP="006C667A">
      <w:pPr>
        <w:pStyle w:val="ListBullet"/>
        <w:rPr>
          <w:lang w:eastAsia="ja-JP"/>
        </w:rPr>
      </w:pPr>
      <w:r w:rsidRPr="00A7727F">
        <w:rPr>
          <w:lang w:eastAsia="ja-JP"/>
        </w:rPr>
        <w:t>Patients with B-precursor ALL relapsed after at least induction and consolidation or having refractory disease</w:t>
      </w:r>
      <w:r w:rsidR="006C667A">
        <w:rPr>
          <w:lang w:eastAsia="ja-JP"/>
        </w:rPr>
        <w:t>:</w:t>
      </w:r>
    </w:p>
    <w:p w14:paraId="44DF5C07" w14:textId="77777777" w:rsidR="00A7727F" w:rsidRPr="00A7727F" w:rsidRDefault="00A7727F" w:rsidP="006C667A">
      <w:pPr>
        <w:pStyle w:val="ListBullet2"/>
        <w:rPr>
          <w:lang w:eastAsia="ja-JP"/>
        </w:rPr>
      </w:pPr>
      <w:r w:rsidRPr="00A7727F">
        <w:rPr>
          <w:lang w:eastAsia="ja-JP"/>
        </w:rPr>
        <w:t>Relapse was defined as reappearance of disease after CR having at least lasted for 28 days</w:t>
      </w:r>
    </w:p>
    <w:p w14:paraId="47DA61AB" w14:textId="77777777" w:rsidR="00A7727F" w:rsidRPr="00A7727F" w:rsidRDefault="00A7727F" w:rsidP="006C667A">
      <w:pPr>
        <w:pStyle w:val="ListBullet2"/>
        <w:rPr>
          <w:lang w:eastAsia="ja-JP"/>
        </w:rPr>
      </w:pPr>
      <w:r w:rsidRPr="00A7727F">
        <w:rPr>
          <w:lang w:eastAsia="ja-JP"/>
        </w:rPr>
        <w:t>Refractory disease was defined as not having achieved CR after induction and/or consolidation I</w:t>
      </w:r>
    </w:p>
    <w:p w14:paraId="1FE1B0E5" w14:textId="77777777" w:rsidR="00A7727F" w:rsidRPr="00A7727F" w:rsidRDefault="00A7727F" w:rsidP="006C667A">
      <w:pPr>
        <w:pStyle w:val="ListBullet"/>
        <w:rPr>
          <w:lang w:eastAsia="ja-JP"/>
        </w:rPr>
      </w:pPr>
      <w:r w:rsidRPr="00A7727F">
        <w:rPr>
          <w:lang w:eastAsia="ja-JP"/>
        </w:rPr>
        <w:t>More than 5% blasts in bone marrow</w:t>
      </w:r>
    </w:p>
    <w:p w14:paraId="304BF784" w14:textId="0158202B" w:rsidR="00A7727F" w:rsidRPr="00A7727F" w:rsidRDefault="00A7727F" w:rsidP="006C667A">
      <w:pPr>
        <w:pStyle w:val="ListBullet"/>
        <w:rPr>
          <w:lang w:eastAsia="ja-JP"/>
        </w:rPr>
      </w:pPr>
      <w:r w:rsidRPr="00A7727F">
        <w:rPr>
          <w:lang w:eastAsia="ja-JP"/>
        </w:rPr>
        <w:t>ECOG performance status</w:t>
      </w:r>
      <w:r w:rsidR="00375CAE">
        <w:rPr>
          <w:lang w:eastAsia="ja-JP"/>
        </w:rPr>
        <w:t xml:space="preserve"> </w:t>
      </w:r>
      <w:r w:rsidR="00423768">
        <w:rPr>
          <w:lang w:eastAsia="ja-JP"/>
        </w:rPr>
        <w:t>≤</w:t>
      </w:r>
      <w:r w:rsidR="00375CAE">
        <w:rPr>
          <w:lang w:eastAsia="ja-JP"/>
        </w:rPr>
        <w:t xml:space="preserve"> </w:t>
      </w:r>
      <w:r w:rsidRPr="00A7727F">
        <w:rPr>
          <w:lang w:eastAsia="ja-JP"/>
        </w:rPr>
        <w:t>2</w:t>
      </w:r>
    </w:p>
    <w:p w14:paraId="6D6350E0" w14:textId="190A5869" w:rsidR="00A7727F" w:rsidRPr="00A7727F" w:rsidRDefault="00A7727F" w:rsidP="006C667A">
      <w:pPr>
        <w:pStyle w:val="ListBullet"/>
        <w:rPr>
          <w:lang w:eastAsia="ja-JP"/>
        </w:rPr>
      </w:pPr>
      <w:r w:rsidRPr="00A7727F">
        <w:rPr>
          <w:lang w:eastAsia="ja-JP"/>
        </w:rPr>
        <w:t>Age</w:t>
      </w:r>
      <w:r w:rsidR="00375CAE">
        <w:rPr>
          <w:lang w:eastAsia="ja-JP"/>
        </w:rPr>
        <w:t xml:space="preserve"> </w:t>
      </w:r>
      <w:r w:rsidR="00423768">
        <w:rPr>
          <w:lang w:eastAsia="ja-JP"/>
        </w:rPr>
        <w:t>≥</w:t>
      </w:r>
      <w:r w:rsidR="00375CAE">
        <w:rPr>
          <w:lang w:eastAsia="ja-JP"/>
        </w:rPr>
        <w:t xml:space="preserve"> </w:t>
      </w:r>
      <w:r w:rsidRPr="00A7727F">
        <w:rPr>
          <w:lang w:eastAsia="ja-JP"/>
        </w:rPr>
        <w:t>18 years</w:t>
      </w:r>
    </w:p>
    <w:p w14:paraId="16229DFC" w14:textId="46120B8D" w:rsidR="00A7727F" w:rsidRPr="00A7727F" w:rsidRDefault="00A7727F" w:rsidP="006C667A">
      <w:pPr>
        <w:pStyle w:val="ListBullet"/>
        <w:rPr>
          <w:lang w:eastAsia="ja-JP"/>
        </w:rPr>
      </w:pPr>
      <w:r w:rsidRPr="00A7727F">
        <w:rPr>
          <w:lang w:eastAsia="ja-JP"/>
        </w:rPr>
        <w:t>Life expectancy of</w:t>
      </w:r>
      <w:r w:rsidR="00375CAE">
        <w:rPr>
          <w:lang w:eastAsia="ja-JP"/>
        </w:rPr>
        <w:t xml:space="preserve"> </w:t>
      </w:r>
      <w:r w:rsidR="00423768">
        <w:rPr>
          <w:lang w:eastAsia="ja-JP"/>
        </w:rPr>
        <w:t>≥</w:t>
      </w:r>
      <w:r w:rsidR="00375CAE">
        <w:rPr>
          <w:lang w:eastAsia="ja-JP"/>
        </w:rPr>
        <w:t xml:space="preserve"> </w:t>
      </w:r>
      <w:r w:rsidRPr="00A7727F">
        <w:rPr>
          <w:lang w:eastAsia="ja-JP"/>
        </w:rPr>
        <w:t>12 weeks</w:t>
      </w:r>
    </w:p>
    <w:p w14:paraId="491382B8" w14:textId="77777777" w:rsidR="00A7727F" w:rsidRPr="00A7727F" w:rsidRDefault="00A7727F" w:rsidP="006C667A">
      <w:pPr>
        <w:pStyle w:val="ListBullet"/>
        <w:rPr>
          <w:lang w:eastAsia="ja-JP"/>
        </w:rPr>
      </w:pPr>
      <w:r w:rsidRPr="00A7727F">
        <w:rPr>
          <w:lang w:eastAsia="ja-JP"/>
        </w:rPr>
        <w:t>Ability to understand and willingness to sign a written informed consent</w:t>
      </w:r>
    </w:p>
    <w:p w14:paraId="0C8AB333" w14:textId="77777777" w:rsidR="00A7727F" w:rsidRPr="00A7727F" w:rsidRDefault="00A7727F" w:rsidP="006C667A">
      <w:pPr>
        <w:pStyle w:val="ListBullet"/>
        <w:rPr>
          <w:lang w:eastAsia="ja-JP"/>
        </w:rPr>
      </w:pPr>
      <w:r w:rsidRPr="00A7727F">
        <w:rPr>
          <w:lang w:eastAsia="ja-JP"/>
        </w:rPr>
        <w:t>Signed and dated written informed consent was available</w:t>
      </w:r>
    </w:p>
    <w:p w14:paraId="400963A6" w14:textId="77777777" w:rsidR="00A7727F" w:rsidRPr="00A7727F" w:rsidRDefault="00A7727F" w:rsidP="006C667A">
      <w:pPr>
        <w:rPr>
          <w:lang w:eastAsia="ja-JP"/>
        </w:rPr>
      </w:pPr>
      <w:r w:rsidRPr="00E516A8">
        <w:t>Exclusion:</w:t>
      </w:r>
      <w:r w:rsidRPr="00A7727F">
        <w:rPr>
          <w:b/>
          <w:lang w:eastAsia="ja-JP"/>
        </w:rPr>
        <w:t xml:space="preserve"> </w:t>
      </w:r>
      <w:r w:rsidRPr="00A7727F">
        <w:rPr>
          <w:lang w:eastAsia="ja-JP"/>
        </w:rPr>
        <w:t>A subject was not eligible to participate in this study, if any of the following criteria applied:</w:t>
      </w:r>
    </w:p>
    <w:p w14:paraId="4340B304" w14:textId="77777777" w:rsidR="00A7727F" w:rsidRPr="00A7727F" w:rsidRDefault="00A7727F" w:rsidP="006C667A">
      <w:pPr>
        <w:pStyle w:val="ListBullet"/>
        <w:rPr>
          <w:lang w:eastAsia="ja-JP"/>
        </w:rPr>
      </w:pPr>
      <w:r w:rsidRPr="00A7727F">
        <w:rPr>
          <w:lang w:eastAsia="ja-JP"/>
        </w:rPr>
        <w:t>History or presence of clinically relevant central nervous system (CNS) pathology, such as epilepsy, seizure, paresis, aphasia, stroke, severe brain injuries, dementia, Parkinson’s disease, cerebellar disease, organic brain syndrome, psychosis</w:t>
      </w:r>
    </w:p>
    <w:p w14:paraId="242086E2" w14:textId="77777777" w:rsidR="00A7727F" w:rsidRPr="00A7727F" w:rsidRDefault="00A7727F" w:rsidP="006C667A">
      <w:pPr>
        <w:pStyle w:val="ListBullet"/>
        <w:rPr>
          <w:lang w:eastAsia="ja-JP"/>
        </w:rPr>
      </w:pPr>
      <w:r w:rsidRPr="00A7727F">
        <w:rPr>
          <w:lang w:eastAsia="ja-JP"/>
        </w:rPr>
        <w:t>Infiltration of cerebrospinal fluid (CSF) and/or testis by ALL</w:t>
      </w:r>
    </w:p>
    <w:p w14:paraId="0EE34B32" w14:textId="77777777" w:rsidR="00A7727F" w:rsidRPr="00A7727F" w:rsidRDefault="00A7727F" w:rsidP="006C667A">
      <w:pPr>
        <w:pStyle w:val="ListBullet"/>
        <w:rPr>
          <w:lang w:eastAsia="ja-JP"/>
        </w:rPr>
      </w:pPr>
      <w:r w:rsidRPr="00A7727F">
        <w:rPr>
          <w:lang w:eastAsia="ja-JP"/>
        </w:rPr>
        <w:t>History of autoimmune disease with potential CNS involvement or current autoimmune disease</w:t>
      </w:r>
    </w:p>
    <w:p w14:paraId="40C86E64" w14:textId="77777777" w:rsidR="00A7727F" w:rsidRPr="00A7727F" w:rsidRDefault="00A7727F" w:rsidP="006C667A">
      <w:pPr>
        <w:pStyle w:val="ListBullet"/>
        <w:rPr>
          <w:lang w:eastAsia="ja-JP"/>
        </w:rPr>
      </w:pPr>
      <w:r w:rsidRPr="00A7727F">
        <w:rPr>
          <w:lang w:eastAsia="ja-JP"/>
        </w:rPr>
        <w:t>Autologous HSCT within 6 weeks prior to start of blinatumomab treatment</w:t>
      </w:r>
    </w:p>
    <w:p w14:paraId="643FD921" w14:textId="77777777" w:rsidR="00A7727F" w:rsidRPr="00A7727F" w:rsidRDefault="00A7727F" w:rsidP="006C667A">
      <w:pPr>
        <w:pStyle w:val="ListBullet"/>
        <w:rPr>
          <w:lang w:eastAsia="ja-JP"/>
        </w:rPr>
      </w:pPr>
      <w:r w:rsidRPr="00A7727F">
        <w:rPr>
          <w:lang w:eastAsia="ja-JP"/>
        </w:rPr>
        <w:t>Allogeneic HSCT within 3 months prior to start of blinatumomab treatment</w:t>
      </w:r>
    </w:p>
    <w:p w14:paraId="0079A8EC" w14:textId="4B085591" w:rsidR="00A7727F" w:rsidRPr="00A7727F" w:rsidRDefault="00A7727F" w:rsidP="006C667A">
      <w:pPr>
        <w:pStyle w:val="ListBullet"/>
        <w:rPr>
          <w:lang w:eastAsia="ja-JP"/>
        </w:rPr>
      </w:pPr>
      <w:r w:rsidRPr="00A7727F">
        <w:rPr>
          <w:lang w:eastAsia="ja-JP"/>
        </w:rPr>
        <w:t xml:space="preserve">Eligibility for allogeneic HSCT at the time of </w:t>
      </w:r>
      <w:r w:rsidR="00A972DD" w:rsidRPr="00A7727F">
        <w:rPr>
          <w:lang w:eastAsia="ja-JP"/>
        </w:rPr>
        <w:t>enrolment</w:t>
      </w:r>
      <w:r w:rsidRPr="00A7727F">
        <w:rPr>
          <w:lang w:eastAsia="ja-JP"/>
        </w:rPr>
        <w:t xml:space="preserve"> (as defined by disease status, performance status and availability of donor)</w:t>
      </w:r>
    </w:p>
    <w:p w14:paraId="565228B8" w14:textId="77777777" w:rsidR="00A7727F" w:rsidRPr="00A7727F" w:rsidRDefault="00A7727F" w:rsidP="006C667A">
      <w:pPr>
        <w:pStyle w:val="ListBullet"/>
        <w:rPr>
          <w:lang w:eastAsia="ja-JP"/>
        </w:rPr>
      </w:pPr>
      <w:r w:rsidRPr="00A7727F">
        <w:rPr>
          <w:lang w:eastAsia="ja-JP"/>
        </w:rPr>
        <w:t>Active Graft-versus-Host Disease (GvHD)</w:t>
      </w:r>
    </w:p>
    <w:p w14:paraId="28F10385" w14:textId="77777777" w:rsidR="00A7727F" w:rsidRPr="00A7727F" w:rsidRDefault="00A7727F" w:rsidP="006C667A">
      <w:pPr>
        <w:pStyle w:val="ListBullet"/>
        <w:rPr>
          <w:lang w:eastAsia="ja-JP"/>
        </w:rPr>
      </w:pPr>
      <w:r w:rsidRPr="00A7727F">
        <w:rPr>
          <w:lang w:eastAsia="ja-JP"/>
        </w:rPr>
        <w:t>Immunosuppressive therapy against GvHD within 1 week prior to start of blinatumomab treatment</w:t>
      </w:r>
    </w:p>
    <w:p w14:paraId="4120E11B" w14:textId="77777777" w:rsidR="00A7727F" w:rsidRPr="00A7727F" w:rsidRDefault="00A7727F" w:rsidP="006C667A">
      <w:pPr>
        <w:pStyle w:val="ListBullet"/>
        <w:rPr>
          <w:lang w:eastAsia="ja-JP"/>
        </w:rPr>
      </w:pPr>
      <w:r w:rsidRPr="00A7727F">
        <w:rPr>
          <w:lang w:eastAsia="ja-JP"/>
        </w:rPr>
        <w:t>Patients with Philadelphia positive (Ph+) ALL eligible for treatment with dasatinib or imatinib</w:t>
      </w:r>
    </w:p>
    <w:p w14:paraId="25688FD8" w14:textId="0A63BDFA" w:rsidR="00A7727F" w:rsidRPr="00A7727F" w:rsidRDefault="00A7727F" w:rsidP="006C667A">
      <w:pPr>
        <w:pStyle w:val="ListBullet"/>
        <w:rPr>
          <w:lang w:eastAsia="ja-JP"/>
        </w:rPr>
      </w:pPr>
      <w:r w:rsidRPr="00A7727F">
        <w:rPr>
          <w:lang w:eastAsia="ja-JP"/>
        </w:rPr>
        <w:t>Cancer chemotherapy within 2 weeks prior to start of blinatumomab treatment and tyrosine kinase inhibitors (TKIs) within 72 hours (hrs) prior to start of blinatumomab treatment (intrathecal prophylaxis and/or steroids (</w:t>
      </w:r>
      <w:r w:rsidR="00423768">
        <w:rPr>
          <w:lang w:eastAsia="ja-JP"/>
        </w:rPr>
        <w:t>≤</w:t>
      </w:r>
      <w:r w:rsidR="00375CAE">
        <w:rPr>
          <w:lang w:eastAsia="ja-JP"/>
        </w:rPr>
        <w:t xml:space="preserve"> </w:t>
      </w:r>
      <w:r w:rsidRPr="00A7727F">
        <w:rPr>
          <w:lang w:eastAsia="ja-JP"/>
        </w:rPr>
        <w:t>24 mg/day) were allowed until start of blinatumomab treatment.</w:t>
      </w:r>
    </w:p>
    <w:p w14:paraId="37630C70" w14:textId="77777777" w:rsidR="00A7727F" w:rsidRPr="00A7727F" w:rsidRDefault="00A7727F" w:rsidP="006C667A">
      <w:pPr>
        <w:pStyle w:val="ListBullet"/>
        <w:rPr>
          <w:lang w:eastAsia="ja-JP"/>
        </w:rPr>
      </w:pPr>
      <w:r w:rsidRPr="00A7727F">
        <w:rPr>
          <w:lang w:eastAsia="ja-JP"/>
        </w:rPr>
        <w:t>Radiotherapy within 4 weeks prior to start of blinatumomab treatment</w:t>
      </w:r>
    </w:p>
    <w:p w14:paraId="6DE0FCA7" w14:textId="7D76F993" w:rsidR="00A7727F" w:rsidRPr="00A7727F" w:rsidRDefault="00A7727F" w:rsidP="006C667A">
      <w:pPr>
        <w:pStyle w:val="ListBullet"/>
        <w:rPr>
          <w:lang w:eastAsia="ja-JP"/>
        </w:rPr>
      </w:pPr>
      <w:r w:rsidRPr="00A7727F">
        <w:rPr>
          <w:lang w:eastAsia="ja-JP"/>
        </w:rPr>
        <w:t xml:space="preserve">Immunotherapy </w:t>
      </w:r>
      <w:r w:rsidR="00E516A8">
        <w:rPr>
          <w:lang w:eastAsia="ja-JP"/>
        </w:rPr>
        <w:t>(for example</w:t>
      </w:r>
      <w:r w:rsidRPr="00A7727F">
        <w:rPr>
          <w:lang w:eastAsia="ja-JP"/>
        </w:rPr>
        <w:t>, rituximab) within 4 weeks prior to start of blinatumomab treatment</w:t>
      </w:r>
    </w:p>
    <w:p w14:paraId="6B4975F2" w14:textId="77777777" w:rsidR="00A7727F" w:rsidRPr="00A7727F" w:rsidRDefault="00A7727F" w:rsidP="006C667A">
      <w:pPr>
        <w:pStyle w:val="ListBullet"/>
        <w:rPr>
          <w:lang w:eastAsia="ja-JP"/>
        </w:rPr>
      </w:pPr>
      <w:r w:rsidRPr="00A7727F">
        <w:rPr>
          <w:lang w:eastAsia="ja-JP"/>
        </w:rPr>
        <w:t>Any investigational anti-leukemic product within 4 weeks prior to start of blinatumomab treatment</w:t>
      </w:r>
    </w:p>
    <w:p w14:paraId="7C3EB8AD" w14:textId="77777777" w:rsidR="00A7727F" w:rsidRPr="00A7727F" w:rsidRDefault="00A7727F" w:rsidP="006C667A">
      <w:pPr>
        <w:pStyle w:val="ListBullet"/>
        <w:rPr>
          <w:lang w:eastAsia="ja-JP"/>
        </w:rPr>
      </w:pPr>
      <w:r w:rsidRPr="00A7727F">
        <w:rPr>
          <w:lang w:eastAsia="ja-JP"/>
        </w:rPr>
        <w:t>Treatment with any other investigational product after signature of informed consent</w:t>
      </w:r>
    </w:p>
    <w:p w14:paraId="0D3FB71E" w14:textId="77777777" w:rsidR="00A7727F" w:rsidRPr="00A7727F" w:rsidRDefault="00A7727F" w:rsidP="006C667A">
      <w:pPr>
        <w:pStyle w:val="ListBullet"/>
        <w:rPr>
          <w:lang w:eastAsia="ja-JP"/>
        </w:rPr>
      </w:pPr>
      <w:r w:rsidRPr="00A7727F">
        <w:rPr>
          <w:lang w:eastAsia="ja-JP"/>
        </w:rPr>
        <w:t>Known hypersensitivity to immunoglobulins or to any other component of the study drug formulation</w:t>
      </w:r>
    </w:p>
    <w:p w14:paraId="6060AD86" w14:textId="77777777" w:rsidR="00A7727F" w:rsidRPr="00A7727F" w:rsidRDefault="00A7727F" w:rsidP="006C667A">
      <w:pPr>
        <w:pStyle w:val="ListBullet"/>
        <w:rPr>
          <w:lang w:eastAsia="ja-JP"/>
        </w:rPr>
      </w:pPr>
      <w:r w:rsidRPr="00A7727F">
        <w:rPr>
          <w:lang w:eastAsia="ja-JP"/>
        </w:rPr>
        <w:t>Presence of human anti-murine antibodies (HAMA)</w:t>
      </w:r>
    </w:p>
    <w:p w14:paraId="77EDCD49" w14:textId="77777777" w:rsidR="00A7727F" w:rsidRPr="00A7727F" w:rsidRDefault="00A7727F" w:rsidP="006C667A">
      <w:pPr>
        <w:pStyle w:val="ListBullet"/>
        <w:rPr>
          <w:lang w:eastAsia="ja-JP"/>
        </w:rPr>
      </w:pPr>
      <w:r w:rsidRPr="00A7727F">
        <w:rPr>
          <w:lang w:eastAsia="ja-JP"/>
        </w:rPr>
        <w:t>Abnormal laboratory values as defined below:</w:t>
      </w:r>
    </w:p>
    <w:p w14:paraId="78E96107" w14:textId="5492E56E" w:rsidR="00A7727F" w:rsidRPr="00A7727F" w:rsidRDefault="00A7727F" w:rsidP="006C667A">
      <w:pPr>
        <w:pStyle w:val="ListBullet2"/>
        <w:rPr>
          <w:lang w:eastAsia="ja-JP"/>
        </w:rPr>
      </w:pPr>
      <w:r w:rsidRPr="00A7727F">
        <w:rPr>
          <w:lang w:eastAsia="ja-JP"/>
        </w:rPr>
        <w:t>Aspartate aminotransferase (AST; SGOT) and/or alanine aminotransferase (ALT; SGPT) and/or alkaline phosphatase (AP)</w:t>
      </w:r>
      <w:r w:rsidR="00375CAE">
        <w:rPr>
          <w:lang w:eastAsia="ja-JP"/>
        </w:rPr>
        <w:t xml:space="preserve"> </w:t>
      </w:r>
      <w:r w:rsidR="00423768">
        <w:rPr>
          <w:lang w:eastAsia="ja-JP"/>
        </w:rPr>
        <w:t>≥</w:t>
      </w:r>
      <w:r w:rsidR="00375CAE">
        <w:rPr>
          <w:lang w:eastAsia="ja-JP"/>
        </w:rPr>
        <w:t xml:space="preserve"> </w:t>
      </w:r>
      <w:r w:rsidRPr="00A7727F">
        <w:rPr>
          <w:lang w:eastAsia="ja-JP"/>
        </w:rPr>
        <w:t>5 x upper limit of normal (ULN)</w:t>
      </w:r>
    </w:p>
    <w:p w14:paraId="2C3C3EF5" w14:textId="2C656277" w:rsidR="00A7727F" w:rsidRPr="00A7727F" w:rsidRDefault="00A7727F" w:rsidP="006C667A">
      <w:pPr>
        <w:pStyle w:val="ListBullet2"/>
        <w:rPr>
          <w:lang w:eastAsia="ja-JP"/>
        </w:rPr>
      </w:pPr>
      <w:r w:rsidRPr="00A7727F">
        <w:rPr>
          <w:lang w:eastAsia="ja-JP"/>
        </w:rPr>
        <w:t>Total bilirubin</w:t>
      </w:r>
      <w:r w:rsidR="00375CAE">
        <w:rPr>
          <w:lang w:eastAsia="ja-JP"/>
        </w:rPr>
        <w:t xml:space="preserve"> </w:t>
      </w:r>
      <w:r w:rsidR="00423768">
        <w:rPr>
          <w:lang w:eastAsia="ja-JP"/>
        </w:rPr>
        <w:t>≥</w:t>
      </w:r>
      <w:r w:rsidR="00375CAE">
        <w:rPr>
          <w:lang w:eastAsia="ja-JP"/>
        </w:rPr>
        <w:t xml:space="preserve"> </w:t>
      </w:r>
      <w:r w:rsidRPr="00A7727F">
        <w:rPr>
          <w:lang w:eastAsia="ja-JP"/>
        </w:rPr>
        <w:t>1.5 x ULN</w:t>
      </w:r>
    </w:p>
    <w:p w14:paraId="1E4808C2" w14:textId="74C4A569" w:rsidR="00A7727F" w:rsidRPr="00A7727F" w:rsidRDefault="00A7727F" w:rsidP="006C667A">
      <w:pPr>
        <w:pStyle w:val="ListBullet2"/>
        <w:rPr>
          <w:lang w:eastAsia="ja-JP"/>
        </w:rPr>
      </w:pPr>
      <w:r w:rsidRPr="00A7727F">
        <w:rPr>
          <w:lang w:eastAsia="ja-JP"/>
        </w:rPr>
        <w:t>Creatinine clearance</w:t>
      </w:r>
      <w:r w:rsidR="00375CAE">
        <w:rPr>
          <w:lang w:eastAsia="ja-JP"/>
        </w:rPr>
        <w:t xml:space="preserve"> </w:t>
      </w:r>
      <w:r w:rsidR="00423768">
        <w:rPr>
          <w:lang w:eastAsia="ja-JP"/>
        </w:rPr>
        <w:t>&lt;</w:t>
      </w:r>
      <w:r w:rsidR="00375CAE">
        <w:rPr>
          <w:lang w:eastAsia="ja-JP"/>
        </w:rPr>
        <w:t xml:space="preserve"> </w:t>
      </w:r>
      <w:r w:rsidRPr="00A7727F">
        <w:rPr>
          <w:lang w:eastAsia="ja-JP"/>
        </w:rPr>
        <w:t>50 ml/min (calculated)</w:t>
      </w:r>
    </w:p>
    <w:p w14:paraId="4C84C674" w14:textId="1FF9D775" w:rsidR="00A7727F" w:rsidRPr="00A7727F" w:rsidRDefault="00A7727F" w:rsidP="006C667A">
      <w:pPr>
        <w:pStyle w:val="ListBullet2"/>
        <w:rPr>
          <w:lang w:eastAsia="ja-JP"/>
        </w:rPr>
      </w:pPr>
      <w:r w:rsidRPr="00A7727F">
        <w:rPr>
          <w:lang w:eastAsia="ja-JP"/>
        </w:rPr>
        <w:t>Hb</w:t>
      </w:r>
      <w:r w:rsidR="00375CAE">
        <w:rPr>
          <w:lang w:eastAsia="ja-JP"/>
        </w:rPr>
        <w:t xml:space="preserve"> </w:t>
      </w:r>
      <w:r w:rsidR="00423768">
        <w:rPr>
          <w:lang w:eastAsia="ja-JP"/>
        </w:rPr>
        <w:t>≤</w:t>
      </w:r>
      <w:r w:rsidR="00375CAE">
        <w:rPr>
          <w:lang w:eastAsia="ja-JP"/>
        </w:rPr>
        <w:t xml:space="preserve"> </w:t>
      </w:r>
      <w:r w:rsidRPr="00A7727F">
        <w:rPr>
          <w:lang w:eastAsia="ja-JP"/>
        </w:rPr>
        <w:t>9 g/dl (transfusion allowed)</w:t>
      </w:r>
    </w:p>
    <w:p w14:paraId="1CBE3106" w14:textId="255466D9" w:rsidR="00A7727F" w:rsidRPr="00A7727F" w:rsidRDefault="00A7727F" w:rsidP="006C667A">
      <w:pPr>
        <w:pStyle w:val="ListBullet"/>
        <w:rPr>
          <w:lang w:eastAsia="ja-JP"/>
        </w:rPr>
      </w:pPr>
      <w:r w:rsidRPr="00A7727F">
        <w:rPr>
          <w:lang w:eastAsia="ja-JP"/>
        </w:rPr>
        <w:t>Pathological findings of international normal</w:t>
      </w:r>
      <w:r w:rsidR="00D50F7E">
        <w:rPr>
          <w:lang w:eastAsia="ja-JP"/>
        </w:rPr>
        <w:t>ised</w:t>
      </w:r>
      <w:r w:rsidRPr="00A7727F">
        <w:rPr>
          <w:lang w:eastAsia="ja-JP"/>
        </w:rPr>
        <w:t xml:space="preserve"> ratio (INR) or partial thromboplastin time (PTT)</w:t>
      </w:r>
      <w:r w:rsidR="00375CAE">
        <w:rPr>
          <w:lang w:eastAsia="ja-JP"/>
        </w:rPr>
        <w:t xml:space="preserve"> </w:t>
      </w:r>
      <w:r w:rsidR="00423768">
        <w:rPr>
          <w:lang w:eastAsia="ja-JP"/>
        </w:rPr>
        <w:t>&gt;</w:t>
      </w:r>
      <w:r w:rsidR="00375CAE">
        <w:rPr>
          <w:lang w:eastAsia="ja-JP"/>
        </w:rPr>
        <w:t xml:space="preserve"> </w:t>
      </w:r>
      <w:r w:rsidRPr="00A7727F">
        <w:rPr>
          <w:lang w:eastAsia="ja-JP"/>
        </w:rPr>
        <w:t>1.5 x ULN</w:t>
      </w:r>
    </w:p>
    <w:p w14:paraId="476B87B3" w14:textId="77777777" w:rsidR="00A7727F" w:rsidRPr="00A7727F" w:rsidRDefault="00A7727F" w:rsidP="006C667A">
      <w:pPr>
        <w:pStyle w:val="ListBullet"/>
        <w:rPr>
          <w:lang w:eastAsia="ja-JP"/>
        </w:rPr>
      </w:pPr>
      <w:r w:rsidRPr="00A7727F">
        <w:rPr>
          <w:lang w:eastAsia="ja-JP"/>
        </w:rPr>
        <w:t>Symptoms or signs of disseminated intravascular coagulation (DIC)</w:t>
      </w:r>
    </w:p>
    <w:p w14:paraId="0341B3AD" w14:textId="77777777" w:rsidR="00A7727F" w:rsidRPr="00A7727F" w:rsidRDefault="00A7727F" w:rsidP="006C667A">
      <w:pPr>
        <w:pStyle w:val="ListBullet"/>
        <w:rPr>
          <w:lang w:eastAsia="ja-JP"/>
        </w:rPr>
      </w:pPr>
      <w:r w:rsidRPr="00A7727F">
        <w:rPr>
          <w:lang w:eastAsia="ja-JP"/>
        </w:rPr>
        <w:t>History of malignancy other than ALL within 5 years prior to start of blinatumomab treatment with the exception of basal cell or squamous cell carcinoma of the skin, or carcinoma “in situ” of the cervix</w:t>
      </w:r>
    </w:p>
    <w:p w14:paraId="0A969891" w14:textId="77777777" w:rsidR="00A7727F" w:rsidRPr="00A7727F" w:rsidRDefault="00A7727F" w:rsidP="006C667A">
      <w:pPr>
        <w:pStyle w:val="ListBullet"/>
        <w:rPr>
          <w:lang w:eastAsia="ja-JP"/>
        </w:rPr>
      </w:pPr>
      <w:r w:rsidRPr="00A7727F">
        <w:rPr>
          <w:lang w:eastAsia="ja-JP"/>
        </w:rPr>
        <w:t>Active infection, any other concurrent disease, or medical condition that is deemed to interfere with the conduct of the study as judged by the investigator</w:t>
      </w:r>
    </w:p>
    <w:p w14:paraId="4E67A64E" w14:textId="77777777" w:rsidR="00A7727F" w:rsidRPr="00A7727F" w:rsidRDefault="00A7727F" w:rsidP="006C667A">
      <w:pPr>
        <w:pStyle w:val="ListBullet"/>
        <w:rPr>
          <w:lang w:eastAsia="ja-JP"/>
        </w:rPr>
      </w:pPr>
      <w:r w:rsidRPr="00A7727F">
        <w:rPr>
          <w:lang w:eastAsia="ja-JP"/>
        </w:rPr>
        <w:t>Infection with human immunodeficiency virus (HIV) or chronic infection with hepatitis B virus (HBsAg positive) or hepatitis C virus (anti-HCV positive)</w:t>
      </w:r>
    </w:p>
    <w:p w14:paraId="7963CE92" w14:textId="77777777" w:rsidR="00A7727F" w:rsidRPr="00A7727F" w:rsidRDefault="00A7727F" w:rsidP="006C667A">
      <w:pPr>
        <w:pStyle w:val="ListBullet"/>
        <w:rPr>
          <w:lang w:eastAsia="ja-JP"/>
        </w:rPr>
      </w:pPr>
      <w:r w:rsidRPr="00A7727F">
        <w:rPr>
          <w:lang w:eastAsia="ja-JP"/>
        </w:rPr>
        <w:t>Pregnant or nursing women</w:t>
      </w:r>
    </w:p>
    <w:p w14:paraId="04F8BC91" w14:textId="77777777" w:rsidR="00A7727F" w:rsidRPr="00A7727F" w:rsidRDefault="00A7727F" w:rsidP="006C667A">
      <w:pPr>
        <w:pStyle w:val="ListBullet"/>
        <w:rPr>
          <w:lang w:eastAsia="ja-JP"/>
        </w:rPr>
      </w:pPr>
      <w:r w:rsidRPr="00A7727F">
        <w:rPr>
          <w:lang w:eastAsia="ja-JP"/>
        </w:rPr>
        <w:t>Women of childbearing potential not willing to use an effective form of contraception during participation in the study and at least 3 months thereafter. Male subjects not willing to ensure not to beget a child during participation in the study and at least 3 months thereafter</w:t>
      </w:r>
    </w:p>
    <w:p w14:paraId="5566AE29" w14:textId="77777777" w:rsidR="00A7727F" w:rsidRPr="00A7727F" w:rsidRDefault="00A7727F" w:rsidP="006C667A">
      <w:pPr>
        <w:pStyle w:val="ListBullet"/>
        <w:rPr>
          <w:lang w:eastAsia="ja-JP"/>
        </w:rPr>
      </w:pPr>
      <w:r w:rsidRPr="00A7727F">
        <w:rPr>
          <w:lang w:eastAsia="ja-JP"/>
        </w:rPr>
        <w:t>Previous treatment with blinatumomab.</w:t>
      </w:r>
    </w:p>
    <w:p w14:paraId="5F345088" w14:textId="77777777" w:rsidR="00A7727F" w:rsidRPr="00A7727F" w:rsidRDefault="00A7727F" w:rsidP="006C667A">
      <w:pPr>
        <w:pStyle w:val="Heading5"/>
        <w:rPr>
          <w:lang w:eastAsia="ja-JP"/>
        </w:rPr>
      </w:pPr>
      <w:r w:rsidRPr="00A7727F">
        <w:rPr>
          <w:lang w:eastAsia="ja-JP"/>
        </w:rPr>
        <w:t>Study treatments</w:t>
      </w:r>
    </w:p>
    <w:p w14:paraId="750251FC" w14:textId="77777777" w:rsidR="00A7727F" w:rsidRPr="00A7727F" w:rsidRDefault="00A7727F" w:rsidP="00A7727F">
      <w:pPr>
        <w:rPr>
          <w:lang w:eastAsia="ja-JP"/>
        </w:rPr>
      </w:pPr>
      <w:r w:rsidRPr="00A7727F">
        <w:rPr>
          <w:lang w:eastAsia="ja-JP"/>
        </w:rPr>
        <w:t>The planned dosing schedule by cohort is described in Table 31. The decision regarding the cohort 3 dosing schedule was made after the completion of cohort 1 and 2a/b and was designated as the same dosing regimen as cohort 2a; thus, because of an additional cohort for dose evaluation, the number of subjects in this study who were treated with blinatumomab was 36.</w:t>
      </w:r>
    </w:p>
    <w:p w14:paraId="751035EB" w14:textId="239553FB" w:rsidR="00A7727F" w:rsidRPr="00A7727F" w:rsidRDefault="00A7727F" w:rsidP="006C667A">
      <w:pPr>
        <w:pStyle w:val="Tabletitle"/>
        <w:rPr>
          <w:lang w:eastAsia="ja-JP"/>
        </w:rPr>
      </w:pPr>
      <w:bookmarkStart w:id="199" w:name="_Toc292015711"/>
      <w:r w:rsidRPr="00A7727F">
        <w:rPr>
          <w:lang w:eastAsia="ja-JP"/>
        </w:rPr>
        <w:t xml:space="preserve">Table </w:t>
      </w:r>
      <w:r w:rsidR="00B82B39">
        <w:rPr>
          <w:lang w:eastAsia="ja-JP"/>
        </w:rPr>
        <w:t>28:</w:t>
      </w:r>
      <w:r w:rsidRPr="00A7727F">
        <w:rPr>
          <w:lang w:eastAsia="ja-JP"/>
        </w:rPr>
        <w:t xml:space="preserve"> Planned dosing schedule</w:t>
      </w:r>
      <w:bookmarkEnd w:id="199"/>
    </w:p>
    <w:tbl>
      <w:tblPr>
        <w:tblStyle w:val="TableTGAblue"/>
        <w:tblW w:w="0" w:type="auto"/>
        <w:tblLook w:val="04A0" w:firstRow="1" w:lastRow="0" w:firstColumn="1" w:lastColumn="0" w:noHBand="0" w:noVBand="1"/>
        <w:tblDescription w:val="Table 28: Planned dosing schedule"/>
      </w:tblPr>
      <w:tblGrid>
        <w:gridCol w:w="1355"/>
        <w:gridCol w:w="1550"/>
        <w:gridCol w:w="1793"/>
        <w:gridCol w:w="1980"/>
        <w:gridCol w:w="1980"/>
      </w:tblGrid>
      <w:tr w:rsidR="002D32DD" w:rsidRPr="00B82B39" w14:paraId="16EF4BC2" w14:textId="77777777" w:rsidTr="007B7D09">
        <w:trPr>
          <w:cnfStyle w:val="100000000000" w:firstRow="1" w:lastRow="0" w:firstColumn="0" w:lastColumn="0" w:oddVBand="0" w:evenVBand="0" w:oddHBand="0" w:evenHBand="0" w:firstRowFirstColumn="0" w:firstRowLastColumn="0" w:lastRowFirstColumn="0" w:lastRowLastColumn="0"/>
          <w:trHeight w:val="835"/>
          <w:tblHeader/>
        </w:trPr>
        <w:tc>
          <w:tcPr>
            <w:cnfStyle w:val="001000000000" w:firstRow="0" w:lastRow="0" w:firstColumn="1" w:lastColumn="0" w:oddVBand="0" w:evenVBand="0" w:oddHBand="0" w:evenHBand="0" w:firstRowFirstColumn="0" w:firstRowLastColumn="0" w:lastRowFirstColumn="0" w:lastRowLastColumn="0"/>
            <w:tcW w:w="1355" w:type="dxa"/>
          </w:tcPr>
          <w:p w14:paraId="09F15E81" w14:textId="77777777" w:rsidR="00A7727F" w:rsidRPr="00B82B39" w:rsidRDefault="00A7727F" w:rsidP="00A7727F">
            <w:pPr>
              <w:rPr>
                <w:sz w:val="20"/>
                <w:szCs w:val="20"/>
                <w:lang w:eastAsia="ja-JP"/>
              </w:rPr>
            </w:pPr>
            <w:r w:rsidRPr="00B82B39">
              <w:rPr>
                <w:sz w:val="20"/>
                <w:szCs w:val="20"/>
                <w:lang w:eastAsia="ja-JP"/>
              </w:rPr>
              <w:t>Cohort</w:t>
            </w:r>
          </w:p>
        </w:tc>
        <w:tc>
          <w:tcPr>
            <w:tcW w:w="1550" w:type="dxa"/>
          </w:tcPr>
          <w:p w14:paraId="5768AD36" w14:textId="64402FB8" w:rsidR="00A7727F" w:rsidRPr="00B82B39" w:rsidRDefault="00A7727F" w:rsidP="002D32DD">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Evaluable</w:t>
            </w:r>
            <w:r w:rsidR="002D32DD" w:rsidRPr="00B82B39">
              <w:rPr>
                <w:sz w:val="20"/>
                <w:szCs w:val="20"/>
                <w:lang w:eastAsia="ja-JP"/>
              </w:rPr>
              <w:t xml:space="preserve"> s</w:t>
            </w:r>
            <w:r w:rsidRPr="00B82B39">
              <w:rPr>
                <w:sz w:val="20"/>
                <w:szCs w:val="20"/>
                <w:lang w:eastAsia="ja-JP"/>
              </w:rPr>
              <w:t>ubjects</w:t>
            </w:r>
          </w:p>
        </w:tc>
        <w:tc>
          <w:tcPr>
            <w:tcW w:w="1793" w:type="dxa"/>
          </w:tcPr>
          <w:p w14:paraId="65C9D1CC" w14:textId="43A85B81" w:rsidR="00A7727F" w:rsidRPr="00B82B39" w:rsidRDefault="002D32DD" w:rsidP="00A7727F">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Initial d</w:t>
            </w:r>
            <w:r w:rsidR="00A7727F" w:rsidRPr="00B82B39">
              <w:rPr>
                <w:sz w:val="20"/>
                <w:szCs w:val="20"/>
                <w:lang w:eastAsia="ja-JP"/>
              </w:rPr>
              <w:t xml:space="preserve">ose </w:t>
            </w:r>
            <w:r w:rsidR="007D46D6" w:rsidRPr="00B82B39">
              <w:rPr>
                <w:sz w:val="20"/>
                <w:szCs w:val="20"/>
                <w:lang w:eastAsia="ja-JP"/>
              </w:rPr>
              <w:t>Week 1</w:t>
            </w:r>
          </w:p>
        </w:tc>
        <w:tc>
          <w:tcPr>
            <w:tcW w:w="1980" w:type="dxa"/>
          </w:tcPr>
          <w:p w14:paraId="0A826F81" w14:textId="27FE04B8" w:rsidR="00A7727F" w:rsidRPr="00B82B39" w:rsidRDefault="00A7727F" w:rsidP="00A7727F">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 xml:space="preserve">Dose </w:t>
            </w:r>
            <w:r w:rsidR="007D46D6" w:rsidRPr="00B82B39">
              <w:rPr>
                <w:sz w:val="20"/>
                <w:szCs w:val="20"/>
                <w:lang w:eastAsia="ja-JP"/>
              </w:rPr>
              <w:t>Week 2</w:t>
            </w:r>
          </w:p>
        </w:tc>
        <w:tc>
          <w:tcPr>
            <w:tcW w:w="1980" w:type="dxa"/>
          </w:tcPr>
          <w:p w14:paraId="48FC6D06" w14:textId="2A730F41" w:rsidR="00A7727F" w:rsidRPr="00B82B39" w:rsidRDefault="002D32DD" w:rsidP="002D32DD">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Target d</w:t>
            </w:r>
            <w:r w:rsidR="00A7727F" w:rsidRPr="00B82B39">
              <w:rPr>
                <w:sz w:val="20"/>
                <w:szCs w:val="20"/>
                <w:lang w:eastAsia="ja-JP"/>
              </w:rPr>
              <w:t xml:space="preserve">ose </w:t>
            </w:r>
            <w:r w:rsidRPr="00B82B39">
              <w:rPr>
                <w:sz w:val="20"/>
                <w:szCs w:val="20"/>
                <w:lang w:eastAsia="ja-JP"/>
              </w:rPr>
              <w:t>l</w:t>
            </w:r>
            <w:r w:rsidR="00A7727F" w:rsidRPr="00B82B39">
              <w:rPr>
                <w:sz w:val="20"/>
                <w:szCs w:val="20"/>
                <w:lang w:eastAsia="ja-JP"/>
              </w:rPr>
              <w:t>evel</w:t>
            </w:r>
          </w:p>
        </w:tc>
      </w:tr>
      <w:tr w:rsidR="002D32DD" w:rsidRPr="00B82B39" w14:paraId="03C6EE66" w14:textId="77777777" w:rsidTr="002D32DD">
        <w:tc>
          <w:tcPr>
            <w:cnfStyle w:val="001000000000" w:firstRow="0" w:lastRow="0" w:firstColumn="1" w:lastColumn="0" w:oddVBand="0" w:evenVBand="0" w:oddHBand="0" w:evenHBand="0" w:firstRowFirstColumn="0" w:firstRowLastColumn="0" w:lastRowFirstColumn="0" w:lastRowLastColumn="0"/>
            <w:tcW w:w="1355" w:type="dxa"/>
          </w:tcPr>
          <w:p w14:paraId="753A1D60" w14:textId="77777777" w:rsidR="00A7727F" w:rsidRPr="00B82B39" w:rsidRDefault="00A7727F" w:rsidP="00A7727F">
            <w:pPr>
              <w:rPr>
                <w:sz w:val="20"/>
                <w:szCs w:val="20"/>
                <w:lang w:eastAsia="ja-JP"/>
              </w:rPr>
            </w:pPr>
            <w:r w:rsidRPr="00B82B39">
              <w:rPr>
                <w:sz w:val="20"/>
                <w:szCs w:val="20"/>
                <w:lang w:eastAsia="ja-JP"/>
              </w:rPr>
              <w:t>1</w:t>
            </w:r>
          </w:p>
        </w:tc>
        <w:tc>
          <w:tcPr>
            <w:tcW w:w="1550" w:type="dxa"/>
          </w:tcPr>
          <w:p w14:paraId="5185EC27" w14:textId="77777777"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1793" w:type="dxa"/>
          </w:tcPr>
          <w:p w14:paraId="19C16CD0" w14:textId="6856E5BF"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2C781678" w14:textId="109AD6E8"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1602C832" w14:textId="0D79646F"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r>
      <w:tr w:rsidR="002D32DD" w:rsidRPr="00B82B39" w14:paraId="42477FE3" w14:textId="77777777" w:rsidTr="002D32DD">
        <w:tc>
          <w:tcPr>
            <w:cnfStyle w:val="001000000000" w:firstRow="0" w:lastRow="0" w:firstColumn="1" w:lastColumn="0" w:oddVBand="0" w:evenVBand="0" w:oddHBand="0" w:evenHBand="0" w:firstRowFirstColumn="0" w:firstRowLastColumn="0" w:lastRowFirstColumn="0" w:lastRowLastColumn="0"/>
            <w:tcW w:w="1355" w:type="dxa"/>
          </w:tcPr>
          <w:p w14:paraId="01B4766E" w14:textId="77777777" w:rsidR="00A7727F" w:rsidRPr="00B82B39" w:rsidRDefault="00A7727F" w:rsidP="00A7727F">
            <w:pPr>
              <w:rPr>
                <w:sz w:val="20"/>
                <w:szCs w:val="20"/>
                <w:lang w:eastAsia="ja-JP"/>
              </w:rPr>
            </w:pPr>
            <w:r w:rsidRPr="00B82B39">
              <w:rPr>
                <w:sz w:val="20"/>
                <w:szCs w:val="20"/>
                <w:lang w:eastAsia="ja-JP"/>
              </w:rPr>
              <w:t>2a</w:t>
            </w:r>
          </w:p>
        </w:tc>
        <w:tc>
          <w:tcPr>
            <w:tcW w:w="1550" w:type="dxa"/>
          </w:tcPr>
          <w:p w14:paraId="0330165B" w14:textId="77777777"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1793" w:type="dxa"/>
          </w:tcPr>
          <w:p w14:paraId="66D663F8" w14:textId="1D7E1BB1"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49C619CC" w14:textId="342B50F0"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4FD89135" w14:textId="583859DD"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r>
      <w:tr w:rsidR="002D32DD" w:rsidRPr="00B82B39" w14:paraId="3EB9CB06" w14:textId="77777777" w:rsidTr="002D32DD">
        <w:tc>
          <w:tcPr>
            <w:cnfStyle w:val="001000000000" w:firstRow="0" w:lastRow="0" w:firstColumn="1" w:lastColumn="0" w:oddVBand="0" w:evenVBand="0" w:oddHBand="0" w:evenHBand="0" w:firstRowFirstColumn="0" w:firstRowLastColumn="0" w:lastRowFirstColumn="0" w:lastRowLastColumn="0"/>
            <w:tcW w:w="1355" w:type="dxa"/>
          </w:tcPr>
          <w:p w14:paraId="4C01F4F1" w14:textId="77777777" w:rsidR="00A7727F" w:rsidRPr="00B82B39" w:rsidRDefault="00A7727F" w:rsidP="00A7727F">
            <w:pPr>
              <w:rPr>
                <w:sz w:val="20"/>
                <w:szCs w:val="20"/>
                <w:lang w:eastAsia="ja-JP"/>
              </w:rPr>
            </w:pPr>
            <w:r w:rsidRPr="00B82B39">
              <w:rPr>
                <w:sz w:val="20"/>
                <w:szCs w:val="20"/>
                <w:lang w:eastAsia="ja-JP"/>
              </w:rPr>
              <w:t>2b</w:t>
            </w:r>
          </w:p>
        </w:tc>
        <w:tc>
          <w:tcPr>
            <w:tcW w:w="1550" w:type="dxa"/>
          </w:tcPr>
          <w:p w14:paraId="021E945A" w14:textId="77777777"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p>
        </w:tc>
        <w:tc>
          <w:tcPr>
            <w:tcW w:w="1793" w:type="dxa"/>
          </w:tcPr>
          <w:p w14:paraId="6A2DE928" w14:textId="151CB88E"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7E5680AA" w14:textId="12ABCBDD"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5793087F" w14:textId="3D92F81D"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30</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r>
      <w:tr w:rsidR="002D32DD" w:rsidRPr="00B82B39" w14:paraId="2563B407" w14:textId="77777777" w:rsidTr="002D32DD">
        <w:tc>
          <w:tcPr>
            <w:cnfStyle w:val="001000000000" w:firstRow="0" w:lastRow="0" w:firstColumn="1" w:lastColumn="0" w:oddVBand="0" w:evenVBand="0" w:oddHBand="0" w:evenHBand="0" w:firstRowFirstColumn="0" w:firstRowLastColumn="0" w:lastRowFirstColumn="0" w:lastRowLastColumn="0"/>
            <w:tcW w:w="1355" w:type="dxa"/>
          </w:tcPr>
          <w:p w14:paraId="78AE8BAE" w14:textId="77777777" w:rsidR="00A7727F" w:rsidRPr="00B82B39" w:rsidRDefault="00A7727F" w:rsidP="00A7727F">
            <w:pPr>
              <w:rPr>
                <w:sz w:val="20"/>
                <w:szCs w:val="20"/>
                <w:lang w:eastAsia="ja-JP"/>
              </w:rPr>
            </w:pPr>
            <w:r w:rsidRPr="00B82B39">
              <w:rPr>
                <w:sz w:val="20"/>
                <w:szCs w:val="20"/>
                <w:lang w:eastAsia="ja-JP"/>
              </w:rPr>
              <w:t>3</w:t>
            </w:r>
          </w:p>
        </w:tc>
        <w:tc>
          <w:tcPr>
            <w:tcW w:w="1550" w:type="dxa"/>
          </w:tcPr>
          <w:p w14:paraId="5B317EA1" w14:textId="77777777"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10</w:t>
            </w:r>
          </w:p>
        </w:tc>
        <w:tc>
          <w:tcPr>
            <w:tcW w:w="1793" w:type="dxa"/>
          </w:tcPr>
          <w:p w14:paraId="14D3E066" w14:textId="5BE4BD58"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1F5470D7" w14:textId="5B54B2A5"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c>
          <w:tcPr>
            <w:tcW w:w="1980" w:type="dxa"/>
          </w:tcPr>
          <w:p w14:paraId="05799C09" w14:textId="1789E7F3" w:rsidR="00A7727F" w:rsidRPr="00B82B39" w:rsidRDefault="00A7727F" w:rsidP="00A7727F">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B82B39">
              <w:rPr>
                <w:sz w:val="20"/>
                <w:szCs w:val="20"/>
                <w:lang w:eastAsia="ja-JP"/>
              </w:rPr>
              <w:t>15</w:t>
            </w:r>
            <w:r w:rsidR="00375CAE" w:rsidRPr="00B82B39">
              <w:rPr>
                <w:sz w:val="20"/>
                <w:szCs w:val="20"/>
                <w:lang w:eastAsia="ja-JP"/>
              </w:rPr>
              <w:t xml:space="preserve"> </w:t>
            </w:r>
            <w:r w:rsidR="0018721C" w:rsidRPr="00B82B39">
              <w:rPr>
                <w:sz w:val="20"/>
                <w:szCs w:val="20"/>
                <w:lang w:eastAsia="ja-JP"/>
              </w:rPr>
              <w:t>µg</w:t>
            </w:r>
            <w:r w:rsidRPr="00B82B39">
              <w:rPr>
                <w:sz w:val="20"/>
                <w:szCs w:val="20"/>
                <w:lang w:eastAsia="ja-JP"/>
              </w:rPr>
              <w:t>/m²/day</w:t>
            </w:r>
          </w:p>
        </w:tc>
      </w:tr>
    </w:tbl>
    <w:p w14:paraId="7CFE3134" w14:textId="77777777" w:rsidR="00A7727F" w:rsidRPr="00A7727F" w:rsidRDefault="00A7727F" w:rsidP="006C667A">
      <w:pPr>
        <w:pStyle w:val="Heading5"/>
        <w:rPr>
          <w:lang w:eastAsia="ja-JP"/>
        </w:rPr>
      </w:pPr>
      <w:r w:rsidRPr="00A7727F">
        <w:rPr>
          <w:lang w:eastAsia="ja-JP"/>
        </w:rPr>
        <w:t>Efficacy variables and outcomes</w:t>
      </w:r>
    </w:p>
    <w:p w14:paraId="3EB28EBA" w14:textId="19F98720" w:rsidR="00A7727F" w:rsidRPr="00A7727F" w:rsidRDefault="00A7727F" w:rsidP="006C667A">
      <w:pPr>
        <w:pStyle w:val="Heading6"/>
        <w:rPr>
          <w:lang w:eastAsia="ja-JP"/>
        </w:rPr>
      </w:pPr>
      <w:r w:rsidRPr="00A7727F">
        <w:rPr>
          <w:lang w:eastAsia="ja-JP"/>
        </w:rPr>
        <w:t>Primar</w:t>
      </w:r>
      <w:r w:rsidR="006C667A">
        <w:rPr>
          <w:lang w:eastAsia="ja-JP"/>
        </w:rPr>
        <w:t>y e</w:t>
      </w:r>
      <w:r w:rsidRPr="00A7727F">
        <w:rPr>
          <w:lang w:eastAsia="ja-JP"/>
        </w:rPr>
        <w:t>ndpoint</w:t>
      </w:r>
    </w:p>
    <w:p w14:paraId="631A52B4" w14:textId="62C25407" w:rsidR="00A7727F" w:rsidRPr="00A7727F" w:rsidRDefault="00A7727F" w:rsidP="00A7727F">
      <w:pPr>
        <w:rPr>
          <w:lang w:eastAsia="ja-JP"/>
        </w:rPr>
      </w:pPr>
      <w:r w:rsidRPr="00A7727F">
        <w:rPr>
          <w:lang w:eastAsia="ja-JP"/>
        </w:rPr>
        <w:t>CR and complete response/remission with partial recovery of peripheral blood counts (CRh*) rate within the first 2 cycles of treatment with blinatumomab. CR was defined by the following criteria: less than or equal to 5% blasts in the bone marrow, no evidence of disease, and full recovery of peripheral blood counts (platelets</w:t>
      </w:r>
      <w:r w:rsidR="00375CAE">
        <w:rPr>
          <w:lang w:eastAsia="ja-JP"/>
        </w:rPr>
        <w:t xml:space="preserve"> </w:t>
      </w:r>
      <w:r w:rsidR="00423768">
        <w:rPr>
          <w:lang w:eastAsia="ja-JP"/>
        </w:rPr>
        <w:t>&gt;</w:t>
      </w:r>
      <w:r w:rsidR="00375CAE">
        <w:rPr>
          <w:lang w:eastAsia="ja-JP"/>
        </w:rPr>
        <w:t xml:space="preserve"> </w:t>
      </w:r>
      <w:r w:rsidRPr="00A7727F">
        <w:rPr>
          <w:lang w:eastAsia="ja-JP"/>
        </w:rPr>
        <w:t>100,000/</w:t>
      </w:r>
      <w:r w:rsidR="003C715A">
        <w:rPr>
          <w:lang w:eastAsia="ja-JP"/>
        </w:rPr>
        <w:t>µ</w:t>
      </w:r>
      <w:r w:rsidRPr="00A7727F">
        <w:rPr>
          <w:lang w:eastAsia="ja-JP"/>
        </w:rPr>
        <w:t>L, h</w:t>
      </w:r>
      <w:r w:rsidR="002D32DD">
        <w:rPr>
          <w:lang w:eastAsia="ja-JP"/>
        </w:rPr>
        <w:t>a</w:t>
      </w:r>
      <w:r w:rsidRPr="00A7727F">
        <w:rPr>
          <w:lang w:eastAsia="ja-JP"/>
        </w:rPr>
        <w:t>emoglobin (Hb)</w:t>
      </w:r>
      <w:r w:rsidR="00375CAE">
        <w:rPr>
          <w:lang w:eastAsia="ja-JP"/>
        </w:rPr>
        <w:t xml:space="preserve"> </w:t>
      </w:r>
      <w:r w:rsidR="00423768">
        <w:rPr>
          <w:lang w:eastAsia="ja-JP"/>
        </w:rPr>
        <w:t>≥</w:t>
      </w:r>
      <w:r w:rsidR="00375CAE">
        <w:rPr>
          <w:lang w:eastAsia="ja-JP"/>
        </w:rPr>
        <w:t xml:space="preserve"> </w:t>
      </w:r>
      <w:r w:rsidRPr="00A7727F">
        <w:rPr>
          <w:lang w:eastAsia="ja-JP"/>
        </w:rPr>
        <w:t>11 g/dL,</w:t>
      </w:r>
      <w:r w:rsidR="002D32DD">
        <w:rPr>
          <w:lang w:eastAsia="ja-JP"/>
        </w:rPr>
        <w:t xml:space="preserve"> and absolute neutrophil count (ANC)</w:t>
      </w:r>
      <w:r w:rsidR="00375CAE">
        <w:rPr>
          <w:lang w:eastAsia="ja-JP"/>
        </w:rPr>
        <w:t xml:space="preserve"> </w:t>
      </w:r>
      <w:r w:rsidR="00423768">
        <w:rPr>
          <w:lang w:eastAsia="ja-JP"/>
        </w:rPr>
        <w:t>&gt;</w:t>
      </w:r>
      <w:r w:rsidR="00375CAE">
        <w:rPr>
          <w:lang w:eastAsia="ja-JP"/>
        </w:rPr>
        <w:t xml:space="preserve"> </w:t>
      </w:r>
      <w:r w:rsidRPr="00A7727F">
        <w:rPr>
          <w:lang w:eastAsia="ja-JP"/>
        </w:rPr>
        <w:t>1,500/</w:t>
      </w:r>
      <w:r w:rsidR="003C715A">
        <w:rPr>
          <w:lang w:eastAsia="ja-JP"/>
        </w:rPr>
        <w:t>µ</w:t>
      </w:r>
      <w:r w:rsidRPr="00A7727F">
        <w:rPr>
          <w:lang w:eastAsia="ja-JP"/>
        </w:rPr>
        <w:t>L). CRh* was defined by the following criteria:</w:t>
      </w:r>
      <w:r w:rsidR="00375CAE">
        <w:rPr>
          <w:lang w:eastAsia="ja-JP"/>
        </w:rPr>
        <w:t xml:space="preserve"> </w:t>
      </w:r>
      <w:r w:rsidR="00423768">
        <w:rPr>
          <w:lang w:eastAsia="ja-JP"/>
        </w:rPr>
        <w:t>≤</w:t>
      </w:r>
      <w:r w:rsidR="00375CAE">
        <w:rPr>
          <w:lang w:eastAsia="ja-JP"/>
        </w:rPr>
        <w:t xml:space="preserve"> </w:t>
      </w:r>
      <w:r w:rsidRPr="00A7727F">
        <w:rPr>
          <w:lang w:eastAsia="ja-JP"/>
        </w:rPr>
        <w:t>5% blasts in the bone marrow, no other evidence of disease, and partial recovery of peripheral blood counts (platelets</w:t>
      </w:r>
      <w:r w:rsidR="00375CAE">
        <w:rPr>
          <w:lang w:eastAsia="ja-JP"/>
        </w:rPr>
        <w:t xml:space="preserve"> </w:t>
      </w:r>
      <w:r w:rsidR="00423768">
        <w:rPr>
          <w:lang w:eastAsia="ja-JP"/>
        </w:rPr>
        <w:t>&gt;</w:t>
      </w:r>
      <w:r w:rsidR="00375CAE">
        <w:rPr>
          <w:lang w:eastAsia="ja-JP"/>
        </w:rPr>
        <w:t xml:space="preserve"> </w:t>
      </w:r>
      <w:r w:rsidRPr="00A7727F">
        <w:rPr>
          <w:lang w:eastAsia="ja-JP"/>
        </w:rPr>
        <w:t>50,000/</w:t>
      </w:r>
      <w:r w:rsidR="003C715A">
        <w:rPr>
          <w:lang w:eastAsia="ja-JP"/>
        </w:rPr>
        <w:t>µ</w:t>
      </w:r>
      <w:r w:rsidRPr="00A7727F">
        <w:rPr>
          <w:lang w:eastAsia="ja-JP"/>
        </w:rPr>
        <w:t>L, Hb</w:t>
      </w:r>
      <w:r w:rsidR="00375CAE">
        <w:rPr>
          <w:lang w:eastAsia="ja-JP"/>
        </w:rPr>
        <w:t xml:space="preserve"> </w:t>
      </w:r>
      <w:r w:rsidR="00423768">
        <w:rPr>
          <w:lang w:eastAsia="ja-JP"/>
        </w:rPr>
        <w:t>≥</w:t>
      </w:r>
      <w:r w:rsidR="00375CAE">
        <w:rPr>
          <w:lang w:eastAsia="ja-JP"/>
        </w:rPr>
        <w:t xml:space="preserve"> </w:t>
      </w:r>
      <w:r w:rsidRPr="00A7727F">
        <w:rPr>
          <w:lang w:eastAsia="ja-JP"/>
        </w:rPr>
        <w:t>7 g/dL, and ANC</w:t>
      </w:r>
      <w:r w:rsidR="00375CAE">
        <w:rPr>
          <w:lang w:eastAsia="ja-JP"/>
        </w:rPr>
        <w:t xml:space="preserve"> </w:t>
      </w:r>
      <w:r w:rsidR="00423768">
        <w:rPr>
          <w:lang w:eastAsia="ja-JP"/>
        </w:rPr>
        <w:t>&gt;</w:t>
      </w:r>
      <w:r w:rsidR="00375CAE">
        <w:rPr>
          <w:lang w:eastAsia="ja-JP"/>
        </w:rPr>
        <w:t xml:space="preserve"> </w:t>
      </w:r>
      <w:r w:rsidRPr="00A7727F">
        <w:rPr>
          <w:lang w:eastAsia="ja-JP"/>
        </w:rPr>
        <w:t>500/</w:t>
      </w:r>
      <w:r w:rsidR="003C715A">
        <w:rPr>
          <w:lang w:eastAsia="ja-JP"/>
        </w:rPr>
        <w:t>µ</w:t>
      </w:r>
      <w:r w:rsidRPr="00A7727F">
        <w:rPr>
          <w:lang w:eastAsia="ja-JP"/>
        </w:rPr>
        <w:t>L).</w:t>
      </w:r>
    </w:p>
    <w:p w14:paraId="03E3BB21" w14:textId="5ED36503" w:rsidR="00A7727F" w:rsidRPr="00A7727F" w:rsidRDefault="006C667A" w:rsidP="006C667A">
      <w:pPr>
        <w:pStyle w:val="Heading6"/>
        <w:rPr>
          <w:lang w:eastAsia="ja-JP"/>
        </w:rPr>
      </w:pPr>
      <w:r>
        <w:rPr>
          <w:lang w:eastAsia="ja-JP"/>
        </w:rPr>
        <w:t>Secondary e</w:t>
      </w:r>
      <w:r w:rsidR="00A7727F" w:rsidRPr="00A7727F">
        <w:rPr>
          <w:lang w:eastAsia="ja-JP"/>
        </w:rPr>
        <w:t>ndpoints</w:t>
      </w:r>
    </w:p>
    <w:p w14:paraId="528E9E81" w14:textId="77777777" w:rsidR="00A7727F" w:rsidRPr="00A7727F" w:rsidRDefault="00A7727F" w:rsidP="006C667A">
      <w:pPr>
        <w:pStyle w:val="ListBullet"/>
        <w:rPr>
          <w:lang w:eastAsia="ja-JP"/>
        </w:rPr>
      </w:pPr>
      <w:r w:rsidRPr="00A7727F">
        <w:rPr>
          <w:lang w:eastAsia="ja-JP"/>
        </w:rPr>
        <w:t>CR rate</w:t>
      </w:r>
    </w:p>
    <w:p w14:paraId="44639993" w14:textId="77777777" w:rsidR="00A7727F" w:rsidRPr="00A7727F" w:rsidRDefault="00A7727F" w:rsidP="006C667A">
      <w:pPr>
        <w:pStyle w:val="ListBullet"/>
        <w:rPr>
          <w:lang w:eastAsia="ja-JP"/>
        </w:rPr>
      </w:pPr>
      <w:r w:rsidRPr="00A7727F">
        <w:rPr>
          <w:lang w:eastAsia="ja-JP"/>
        </w:rPr>
        <w:t>CRh* rate</w:t>
      </w:r>
    </w:p>
    <w:p w14:paraId="3C0766A8" w14:textId="77777777" w:rsidR="00A7727F" w:rsidRPr="00A7727F" w:rsidRDefault="00A7727F" w:rsidP="006C667A">
      <w:pPr>
        <w:pStyle w:val="ListBullet"/>
        <w:rPr>
          <w:lang w:eastAsia="ja-JP"/>
        </w:rPr>
      </w:pPr>
      <w:r w:rsidRPr="00A7727F">
        <w:rPr>
          <w:lang w:eastAsia="ja-JP"/>
        </w:rPr>
        <w:t>Partial response/remission rate</w:t>
      </w:r>
    </w:p>
    <w:p w14:paraId="02FA1519" w14:textId="04300246" w:rsidR="00A7727F" w:rsidRPr="00A7727F" w:rsidRDefault="00A7727F" w:rsidP="006C667A">
      <w:pPr>
        <w:pStyle w:val="ListBullet"/>
        <w:rPr>
          <w:lang w:eastAsia="ja-JP"/>
        </w:rPr>
      </w:pPr>
      <w:r w:rsidRPr="00A7727F">
        <w:rPr>
          <w:lang w:eastAsia="ja-JP"/>
        </w:rPr>
        <w:t>Rate of MRD response (defined as MRD</w:t>
      </w:r>
      <w:r w:rsidR="00375CAE">
        <w:rPr>
          <w:lang w:eastAsia="ja-JP"/>
        </w:rPr>
        <w:t xml:space="preserve"> </w:t>
      </w:r>
      <w:r w:rsidR="00423768">
        <w:rPr>
          <w:lang w:eastAsia="ja-JP"/>
        </w:rPr>
        <w:t>&lt;</w:t>
      </w:r>
      <w:r w:rsidR="00375CAE">
        <w:rPr>
          <w:lang w:eastAsia="ja-JP"/>
        </w:rPr>
        <w:t xml:space="preserve"> </w:t>
      </w:r>
      <w:r w:rsidRPr="00A7727F">
        <w:rPr>
          <w:lang w:eastAsia="ja-JP"/>
        </w:rPr>
        <w:t>10</w:t>
      </w:r>
      <w:r w:rsidRPr="00A7727F">
        <w:rPr>
          <w:vertAlign w:val="superscript"/>
          <w:lang w:eastAsia="ja-JP"/>
        </w:rPr>
        <w:t>-4</w:t>
      </w:r>
      <w:r w:rsidRPr="00A7727F">
        <w:rPr>
          <w:lang w:eastAsia="ja-JP"/>
        </w:rPr>
        <w:t xml:space="preserve"> blasts/nucleated cells)</w:t>
      </w:r>
    </w:p>
    <w:p w14:paraId="4F08204C" w14:textId="77777777" w:rsidR="00A7727F" w:rsidRPr="00A7727F" w:rsidRDefault="00A7727F" w:rsidP="006C667A">
      <w:pPr>
        <w:pStyle w:val="ListBullet"/>
        <w:rPr>
          <w:lang w:eastAsia="ja-JP"/>
        </w:rPr>
      </w:pPr>
      <w:r w:rsidRPr="00A7727F">
        <w:rPr>
          <w:lang w:eastAsia="ja-JP"/>
        </w:rPr>
        <w:t>Proportion of patients who undergo allogeneic HSCT after treatment with blinatumomab</w:t>
      </w:r>
    </w:p>
    <w:p w14:paraId="05CBD0A4" w14:textId="541E7BD7" w:rsidR="00A7727F" w:rsidRPr="00A7727F" w:rsidRDefault="00A7727F" w:rsidP="006C667A">
      <w:pPr>
        <w:pStyle w:val="ListBullet"/>
        <w:rPr>
          <w:lang w:eastAsia="ja-JP"/>
        </w:rPr>
      </w:pPr>
      <w:r w:rsidRPr="00A7727F">
        <w:rPr>
          <w:lang w:eastAsia="ja-JP"/>
        </w:rPr>
        <w:t>Time to h</w:t>
      </w:r>
      <w:r w:rsidR="003C715A">
        <w:rPr>
          <w:lang w:eastAsia="ja-JP"/>
        </w:rPr>
        <w:t>a</w:t>
      </w:r>
      <w:r w:rsidRPr="00A7727F">
        <w:rPr>
          <w:lang w:eastAsia="ja-JP"/>
        </w:rPr>
        <w:t>ematological relapse</w:t>
      </w:r>
    </w:p>
    <w:p w14:paraId="770FE390" w14:textId="11856AAB" w:rsidR="00A7727F" w:rsidRPr="00A7727F" w:rsidRDefault="00A7727F" w:rsidP="006C667A">
      <w:pPr>
        <w:pStyle w:val="ListBullet"/>
        <w:rPr>
          <w:lang w:eastAsia="ja-JP"/>
        </w:rPr>
      </w:pPr>
      <w:r w:rsidRPr="00A7727F">
        <w:rPr>
          <w:lang w:eastAsia="ja-JP"/>
        </w:rPr>
        <w:t>Relapse</w:t>
      </w:r>
      <w:r w:rsidR="006A3B04">
        <w:rPr>
          <w:lang w:eastAsia="ja-JP"/>
        </w:rPr>
        <w:t xml:space="preserve"> free</w:t>
      </w:r>
      <w:r w:rsidRPr="00A7727F">
        <w:rPr>
          <w:lang w:eastAsia="ja-JP"/>
        </w:rPr>
        <w:t xml:space="preserve"> survival (RPS)</w:t>
      </w:r>
    </w:p>
    <w:p w14:paraId="379A1029" w14:textId="77777777" w:rsidR="00A7727F" w:rsidRPr="00A7727F" w:rsidRDefault="00A7727F" w:rsidP="006C667A">
      <w:pPr>
        <w:pStyle w:val="ListBullet"/>
        <w:rPr>
          <w:lang w:eastAsia="ja-JP"/>
        </w:rPr>
      </w:pPr>
      <w:r w:rsidRPr="00A7727F">
        <w:rPr>
          <w:lang w:eastAsia="ja-JP"/>
        </w:rPr>
        <w:t>OS</w:t>
      </w:r>
    </w:p>
    <w:p w14:paraId="2C6AD0AF" w14:textId="77777777" w:rsidR="00A7727F" w:rsidRPr="00A7727F" w:rsidRDefault="00A7727F" w:rsidP="006C667A">
      <w:pPr>
        <w:pStyle w:val="ListBullet"/>
        <w:rPr>
          <w:lang w:eastAsia="ja-JP"/>
        </w:rPr>
      </w:pPr>
      <w:r w:rsidRPr="00A7727F">
        <w:rPr>
          <w:lang w:eastAsia="ja-JP"/>
        </w:rPr>
        <w:t>Overall incidence and severity of adverse events</w:t>
      </w:r>
    </w:p>
    <w:p w14:paraId="18D4909C" w14:textId="699C7FE2" w:rsidR="00A7727F" w:rsidRPr="00A7727F" w:rsidRDefault="00A7727F" w:rsidP="006C667A">
      <w:pPr>
        <w:pStyle w:val="ListBullet"/>
        <w:rPr>
          <w:lang w:eastAsia="ja-JP"/>
        </w:rPr>
      </w:pPr>
      <w:r w:rsidRPr="00A7727F">
        <w:rPr>
          <w:lang w:eastAsia="ja-JP"/>
        </w:rPr>
        <w:t>PK parameters: Steady state blinatumomab concentration (</w:t>
      </w:r>
      <w:r w:rsidR="005E5C58">
        <w:rPr>
          <w:lang w:eastAsia="ja-JP"/>
        </w:rPr>
        <w:t>C</w:t>
      </w:r>
      <w:r w:rsidR="005E5C58">
        <w:rPr>
          <w:vertAlign w:val="subscript"/>
          <w:lang w:eastAsia="ja-JP"/>
        </w:rPr>
        <w:t>ss</w:t>
      </w:r>
      <w:r w:rsidRPr="00A7727F">
        <w:rPr>
          <w:lang w:eastAsia="ja-JP"/>
        </w:rPr>
        <w:t>) and serum blinatumomab clearance (CL)</w:t>
      </w:r>
    </w:p>
    <w:p w14:paraId="2DBC6BA4" w14:textId="77777777" w:rsidR="00A7727F" w:rsidRPr="00A7727F" w:rsidRDefault="00A7727F" w:rsidP="006C667A">
      <w:pPr>
        <w:pStyle w:val="ListBullet"/>
        <w:rPr>
          <w:lang w:eastAsia="ja-JP"/>
        </w:rPr>
      </w:pPr>
      <w:r w:rsidRPr="00A7727F">
        <w:rPr>
          <w:lang w:eastAsia="ja-JP"/>
        </w:rPr>
        <w:t>Quantification and characterization of peripheral blood leukocyte subsets and serum cytokine concentrations</w:t>
      </w:r>
    </w:p>
    <w:p w14:paraId="307A4A8C" w14:textId="77777777" w:rsidR="00A7727F" w:rsidRPr="00A7727F" w:rsidDel="0081373E" w:rsidRDefault="00A7727F" w:rsidP="006C667A">
      <w:pPr>
        <w:pStyle w:val="Heading5"/>
        <w:rPr>
          <w:lang w:eastAsia="ja-JP"/>
        </w:rPr>
      </w:pPr>
      <w:r w:rsidRPr="00A7727F" w:rsidDel="0081373E">
        <w:rPr>
          <w:lang w:eastAsia="ja-JP"/>
        </w:rPr>
        <w:t>Sample size</w:t>
      </w:r>
    </w:p>
    <w:p w14:paraId="5E8A99C6" w14:textId="57FC495C" w:rsidR="00A7727F" w:rsidRPr="00A7727F" w:rsidDel="0081373E" w:rsidRDefault="00A7727F" w:rsidP="00A7727F">
      <w:pPr>
        <w:rPr>
          <w:lang w:eastAsia="ja-JP"/>
        </w:rPr>
      </w:pPr>
      <w:r w:rsidRPr="00A7727F">
        <w:rPr>
          <w:lang w:eastAsia="ja-JP"/>
        </w:rPr>
        <w:t>Using the statistical parameters described a</w:t>
      </w:r>
      <w:r w:rsidR="003C715A">
        <w:rPr>
          <w:lang w:eastAsia="ja-JP"/>
        </w:rPr>
        <w:t xml:space="preserve">nd under the original Simon’s 2 </w:t>
      </w:r>
      <w:r w:rsidRPr="00A7727F">
        <w:rPr>
          <w:lang w:eastAsia="ja-JP"/>
        </w:rPr>
        <w:t xml:space="preserve">stage study design, the sample size was planned to contain 20 evaluable subjects. Upon modifying the design to add a third </w:t>
      </w:r>
      <w:r w:rsidR="003C715A">
        <w:rPr>
          <w:lang w:eastAsia="ja-JP"/>
        </w:rPr>
        <w:t>S</w:t>
      </w:r>
      <w:r w:rsidRPr="00A7727F">
        <w:rPr>
          <w:lang w:eastAsia="ja-JP"/>
        </w:rPr>
        <w:t xml:space="preserve">tage 1 cohort, the sample size was planned to contain 25 </w:t>
      </w:r>
      <w:r w:rsidR="003C715A">
        <w:rPr>
          <w:lang w:eastAsia="ja-JP"/>
        </w:rPr>
        <w:t>evaluable subjects. At least 15 </w:t>
      </w:r>
      <w:r w:rsidRPr="00A7727F">
        <w:rPr>
          <w:lang w:eastAsia="ja-JP"/>
        </w:rPr>
        <w:t>subjects treated with the same dose schedule were to be included in the evaluation of the primary endpoint. Any cycle that was discontinued before 14 days of treatment with blinatumomab was defined as not evaluable for efficacy unless the infusion was stopped due to lack of efficacy (progressive disease/h</w:t>
      </w:r>
      <w:r w:rsidR="003C715A">
        <w:rPr>
          <w:lang w:eastAsia="ja-JP"/>
        </w:rPr>
        <w:t>a</w:t>
      </w:r>
      <w:r w:rsidRPr="00A7727F">
        <w:rPr>
          <w:lang w:eastAsia="ja-JP"/>
        </w:rPr>
        <w:t xml:space="preserve">ematological relapse). A cycle defined as being not evaluable could be replaced by a later cycle that was evaluable for the purpose of the evaluation of the primary endpoint and for the evaluation of response within each cycle. Treatment cycles with treatment duration of at least </w:t>
      </w:r>
      <w:r w:rsidR="00423768">
        <w:rPr>
          <w:lang w:eastAsia="ja-JP"/>
        </w:rPr>
        <w:t>2</w:t>
      </w:r>
      <w:r w:rsidRPr="00A7727F">
        <w:rPr>
          <w:lang w:eastAsia="ja-JP"/>
        </w:rPr>
        <w:t xml:space="preserve"> weeks were counted and assessed in the same way as cycles with the scheduled treatment duration of 28 days. Evaluable subjects were defined as those subjects with at least 1 evaluable cycle. For ethical and operational reasons, subjects who were already in the screening </w:t>
      </w:r>
      <w:r w:rsidR="003C715A">
        <w:rPr>
          <w:lang w:eastAsia="ja-JP"/>
        </w:rPr>
        <w:t>p</w:t>
      </w:r>
      <w:r w:rsidR="0018721C">
        <w:rPr>
          <w:lang w:eastAsia="ja-JP"/>
        </w:rPr>
        <w:t>hase</w:t>
      </w:r>
      <w:r w:rsidRPr="00A7727F">
        <w:rPr>
          <w:lang w:eastAsia="ja-JP"/>
        </w:rPr>
        <w:t xml:space="preserve"> at the time that the 25th potentially evaluable subject started treatment were also treated. Under the original study design, an over running of subject recruitment up to a total of up to approximately 30 evaluable subjects was possible. However, because of the addition of an additional cohort for dose evaluation, the number of subjects in this study who were treated with blinatumomab was 36.</w:t>
      </w:r>
    </w:p>
    <w:p w14:paraId="063A349F" w14:textId="77777777" w:rsidR="00A7727F" w:rsidRPr="00A7727F" w:rsidRDefault="00A7727F" w:rsidP="006C667A">
      <w:pPr>
        <w:pStyle w:val="Heading5"/>
        <w:rPr>
          <w:lang w:eastAsia="ja-JP"/>
        </w:rPr>
      </w:pPr>
      <w:bookmarkStart w:id="200" w:name="_Ref291771315"/>
      <w:r w:rsidRPr="00A7727F">
        <w:rPr>
          <w:lang w:eastAsia="ja-JP"/>
        </w:rPr>
        <w:t>Statistical methods</w:t>
      </w:r>
      <w:bookmarkEnd w:id="200"/>
    </w:p>
    <w:p w14:paraId="02017CA0" w14:textId="38E18221" w:rsidR="00A7727F" w:rsidRPr="00A7727F" w:rsidRDefault="00A7727F" w:rsidP="00A7727F">
      <w:pPr>
        <w:rPr>
          <w:lang w:eastAsia="ja-JP"/>
        </w:rPr>
      </w:pPr>
      <w:r w:rsidRPr="00A7727F">
        <w:rPr>
          <w:lang w:eastAsia="ja-JP"/>
        </w:rPr>
        <w:t>All documented parameters were recorded and adequately evaluated. All relevant data on subjects (CRF data, laboratory data) were listed. The data were summar</w:t>
      </w:r>
      <w:r w:rsidR="00D50F7E">
        <w:rPr>
          <w:lang w:eastAsia="ja-JP"/>
        </w:rPr>
        <w:t>ised</w:t>
      </w:r>
      <w:r w:rsidRPr="00A7727F">
        <w:rPr>
          <w:lang w:eastAsia="ja-JP"/>
        </w:rPr>
        <w:t xml:space="preserve"> per intended dose schedule using suitable descriptive measures; depending on the structure of the data, either sample statistics or frequency tables were applied. Subjects were analy</w:t>
      </w:r>
      <w:r w:rsidR="003C715A">
        <w:rPr>
          <w:lang w:eastAsia="ja-JP"/>
        </w:rPr>
        <w:t>s</w:t>
      </w:r>
      <w:r w:rsidRPr="00A7727F">
        <w:rPr>
          <w:lang w:eastAsia="ja-JP"/>
        </w:rPr>
        <w:t>ed according to the intended dose schedule. Additional analyses summar</w:t>
      </w:r>
      <w:r w:rsidR="00D50F7E">
        <w:rPr>
          <w:lang w:eastAsia="ja-JP"/>
        </w:rPr>
        <w:t>ised</w:t>
      </w:r>
      <w:r w:rsidRPr="00A7727F">
        <w:rPr>
          <w:lang w:eastAsia="ja-JP"/>
        </w:rPr>
        <w:t xml:space="preserve"> subjects by the actual dose received (in case of dose modifications were performed after treatment start). Demographics and other baseline characteristics were summar</w:t>
      </w:r>
      <w:r w:rsidR="00D50F7E">
        <w:rPr>
          <w:lang w:eastAsia="ja-JP"/>
        </w:rPr>
        <w:t>ised</w:t>
      </w:r>
      <w:r w:rsidRPr="00A7727F">
        <w:rPr>
          <w:lang w:eastAsia="ja-JP"/>
        </w:rPr>
        <w:t xml:space="preserve"> in total and by intended dose schedule by means of summary statistics (number of subjects, number of subjects with missing data, mean, standard deviations, minimum, median, maximum) for continuous variables and by frequencies for categorical variables.</w:t>
      </w:r>
    </w:p>
    <w:p w14:paraId="0E16B6D5" w14:textId="4DDA6B74" w:rsidR="00A7727F" w:rsidRPr="00A7727F" w:rsidRDefault="006C667A" w:rsidP="006C667A">
      <w:pPr>
        <w:pStyle w:val="Heading6"/>
        <w:rPr>
          <w:lang w:eastAsia="ja-JP"/>
        </w:rPr>
      </w:pPr>
      <w:r>
        <w:rPr>
          <w:lang w:eastAsia="ja-JP"/>
        </w:rPr>
        <w:t>Efficacy a</w:t>
      </w:r>
      <w:r w:rsidR="00A7727F" w:rsidRPr="00A7727F">
        <w:rPr>
          <w:lang w:eastAsia="ja-JP"/>
        </w:rPr>
        <w:t>nalyses</w:t>
      </w:r>
    </w:p>
    <w:p w14:paraId="1870BF68" w14:textId="28DFDBAF" w:rsidR="00A7727F" w:rsidRPr="00A7727F" w:rsidRDefault="00A7727F" w:rsidP="00A7727F">
      <w:pPr>
        <w:rPr>
          <w:lang w:eastAsia="ja-JP"/>
        </w:rPr>
      </w:pPr>
      <w:r w:rsidRPr="00A7727F">
        <w:rPr>
          <w:lang w:eastAsia="ja-JP"/>
        </w:rPr>
        <w:t xml:space="preserve">The study efficacy objectives were evaluated using descriptive methods. Confirmatory analyses were not performed. </w:t>
      </w:r>
      <w:r w:rsidR="00423768">
        <w:rPr>
          <w:lang w:eastAsia="ja-JP"/>
        </w:rPr>
        <w:t>2</w:t>
      </w:r>
      <w:r w:rsidRPr="00A7727F">
        <w:rPr>
          <w:lang w:eastAsia="ja-JP"/>
        </w:rPr>
        <w:t>-sided 95% confidence intervals (CIs) were calculated for response rates</w:t>
      </w:r>
      <w:r w:rsidR="006C667A">
        <w:rPr>
          <w:lang w:eastAsia="ja-JP"/>
        </w:rPr>
        <w:t>. Time-to-event data were analys</w:t>
      </w:r>
      <w:r w:rsidRPr="00A7727F">
        <w:rPr>
          <w:lang w:eastAsia="ja-JP"/>
        </w:rPr>
        <w:t>ed by Kaplan-Meier (K-M) methods. Confidence intervals for the quartiles of the K-M curves were based on the sign test.</w:t>
      </w:r>
    </w:p>
    <w:p w14:paraId="386BC1D6" w14:textId="04CC629E" w:rsidR="00A7727F" w:rsidRPr="00A7727F" w:rsidRDefault="006C667A" w:rsidP="006C667A">
      <w:pPr>
        <w:pStyle w:val="Heading6"/>
        <w:rPr>
          <w:lang w:eastAsia="ja-JP"/>
        </w:rPr>
      </w:pPr>
      <w:r>
        <w:rPr>
          <w:lang w:eastAsia="ja-JP"/>
        </w:rPr>
        <w:t>Pharmacodynamic a</w:t>
      </w:r>
      <w:r w:rsidR="00A7727F" w:rsidRPr="00A7727F">
        <w:rPr>
          <w:lang w:eastAsia="ja-JP"/>
        </w:rPr>
        <w:t>nalyses</w:t>
      </w:r>
    </w:p>
    <w:p w14:paraId="18F80C68" w14:textId="180FE886" w:rsidR="00A7727F" w:rsidRPr="00A7727F" w:rsidRDefault="00A7727F" w:rsidP="00A7727F">
      <w:pPr>
        <w:rPr>
          <w:lang w:eastAsia="ja-JP"/>
        </w:rPr>
      </w:pPr>
      <w:r w:rsidRPr="00A7727F">
        <w:rPr>
          <w:lang w:eastAsia="ja-JP"/>
        </w:rPr>
        <w:t>Descriptive statistic summary and graphical presentations were used for analy</w:t>
      </w:r>
      <w:r w:rsidR="003C715A">
        <w:rPr>
          <w:lang w:eastAsia="ja-JP"/>
        </w:rPr>
        <w:t>s</w:t>
      </w:r>
      <w:r w:rsidRPr="00A7727F">
        <w:rPr>
          <w:lang w:eastAsia="ja-JP"/>
        </w:rPr>
        <w:t xml:space="preserve">ing the PD markers </w:t>
      </w:r>
      <w:r w:rsidR="003C715A">
        <w:rPr>
          <w:lang w:eastAsia="ja-JP"/>
        </w:rPr>
        <w:t>for example</w:t>
      </w:r>
      <w:r w:rsidRPr="00A7727F">
        <w:rPr>
          <w:lang w:eastAsia="ja-JP"/>
        </w:rPr>
        <w:t>, leukocyte subpopulations, cytokines, granzyme B). Individual data were provided as listings.</w:t>
      </w:r>
    </w:p>
    <w:p w14:paraId="7F00A734" w14:textId="4685DDEB" w:rsidR="00A7727F" w:rsidRPr="00A7727F" w:rsidRDefault="006C667A" w:rsidP="006C667A">
      <w:pPr>
        <w:pStyle w:val="Heading6"/>
        <w:rPr>
          <w:lang w:eastAsia="ja-JP"/>
        </w:rPr>
      </w:pPr>
      <w:r>
        <w:rPr>
          <w:lang w:eastAsia="ja-JP"/>
        </w:rPr>
        <w:t>Pharmacokinetic data a</w:t>
      </w:r>
      <w:r w:rsidR="00A7727F" w:rsidRPr="00A7727F">
        <w:rPr>
          <w:lang w:eastAsia="ja-JP"/>
        </w:rPr>
        <w:t>nalyses</w:t>
      </w:r>
    </w:p>
    <w:p w14:paraId="571B6349" w14:textId="0E4E21C2" w:rsidR="00A7727F" w:rsidRPr="00A7727F" w:rsidRDefault="00A7727F" w:rsidP="00A7727F">
      <w:pPr>
        <w:rPr>
          <w:lang w:eastAsia="ja-JP"/>
        </w:rPr>
      </w:pPr>
      <w:r w:rsidRPr="00A7727F">
        <w:rPr>
          <w:lang w:eastAsia="ja-JP"/>
        </w:rPr>
        <w:t xml:space="preserve">PK data analyses were performed by the </w:t>
      </w:r>
      <w:r w:rsidR="003C715A">
        <w:rPr>
          <w:lang w:eastAsia="ja-JP"/>
        </w:rPr>
        <w:t>sponsor.</w:t>
      </w:r>
    </w:p>
    <w:p w14:paraId="50BCC8DA" w14:textId="49D15F52" w:rsidR="00A7727F" w:rsidRPr="00A7727F" w:rsidRDefault="006C667A" w:rsidP="006C667A">
      <w:pPr>
        <w:pStyle w:val="Heading5"/>
        <w:rPr>
          <w:lang w:eastAsia="ja-JP"/>
        </w:rPr>
      </w:pPr>
      <w:r w:rsidRPr="00A7727F">
        <w:rPr>
          <w:lang w:eastAsia="ja-JP"/>
        </w:rPr>
        <w:t>Enrolment</w:t>
      </w:r>
      <w:r>
        <w:rPr>
          <w:lang w:eastAsia="ja-JP"/>
        </w:rPr>
        <w:t xml:space="preserve"> of s</w:t>
      </w:r>
      <w:r w:rsidR="00A7727F" w:rsidRPr="00A7727F">
        <w:rPr>
          <w:lang w:eastAsia="ja-JP"/>
        </w:rPr>
        <w:t>ubjects</w:t>
      </w:r>
    </w:p>
    <w:p w14:paraId="75722B28" w14:textId="0D206281" w:rsidR="00A7727F" w:rsidRPr="00A7727F" w:rsidRDefault="00A7727F" w:rsidP="00A7727F">
      <w:pPr>
        <w:rPr>
          <w:lang w:eastAsia="ja-JP"/>
        </w:rPr>
      </w:pPr>
      <w:r w:rsidRPr="00A7727F">
        <w:rPr>
          <w:lang w:eastAsia="ja-JP"/>
        </w:rPr>
        <w:t>A total of 50 subjects were screened; 36 subjects were enrolled in the study and received blinatumomab, and were included in the SAF (</w:t>
      </w:r>
      <w:r w:rsidR="003C715A">
        <w:rPr>
          <w:lang w:eastAsia="ja-JP"/>
        </w:rPr>
        <w:t xml:space="preserve">see </w:t>
      </w:r>
      <w:r w:rsidRPr="00A7727F">
        <w:rPr>
          <w:lang w:eastAsia="ja-JP"/>
        </w:rPr>
        <w:t xml:space="preserve">Table </w:t>
      </w:r>
      <w:r w:rsidR="003C715A">
        <w:rPr>
          <w:lang w:eastAsia="ja-JP"/>
        </w:rPr>
        <w:t>29, below</w:t>
      </w:r>
      <w:r w:rsidRPr="00A7727F">
        <w:rPr>
          <w:lang w:eastAsia="ja-JP"/>
        </w:rPr>
        <w:t>). Overall, 50% (18/36) of SAF subjects completed the core study and 75% (27/36) of subjects entered long-term follow-up (</w:t>
      </w:r>
      <w:r w:rsidR="003C715A">
        <w:rPr>
          <w:lang w:eastAsia="ja-JP"/>
        </w:rPr>
        <w:t xml:space="preserve">see </w:t>
      </w:r>
      <w:r w:rsidRPr="00A7727F">
        <w:rPr>
          <w:lang w:eastAsia="ja-JP"/>
        </w:rPr>
        <w:t>Table 3</w:t>
      </w:r>
      <w:r w:rsidR="003C715A">
        <w:rPr>
          <w:lang w:eastAsia="ja-JP"/>
        </w:rPr>
        <w:t>0, below</w:t>
      </w:r>
      <w:r w:rsidRPr="00A7727F">
        <w:rPr>
          <w:lang w:eastAsia="ja-JP"/>
        </w:rPr>
        <w:t>).</w:t>
      </w:r>
    </w:p>
    <w:p w14:paraId="37EEA72D" w14:textId="43043D14" w:rsidR="00A7727F" w:rsidRPr="00A7727F" w:rsidRDefault="00A7727F" w:rsidP="006C667A">
      <w:pPr>
        <w:pStyle w:val="Tabletitle"/>
        <w:rPr>
          <w:lang w:eastAsia="ja-JP"/>
        </w:rPr>
      </w:pPr>
      <w:bookmarkStart w:id="201" w:name="_Toc292015712"/>
      <w:r w:rsidRPr="00A7727F">
        <w:rPr>
          <w:lang w:eastAsia="ja-JP"/>
        </w:rPr>
        <w:t xml:space="preserve">Table </w:t>
      </w:r>
      <w:r w:rsidR="00B82B39">
        <w:rPr>
          <w:lang w:eastAsia="ja-JP"/>
        </w:rPr>
        <w:t>29:</w:t>
      </w:r>
      <w:r w:rsidRPr="00A7727F">
        <w:rPr>
          <w:lang w:eastAsia="ja-JP"/>
        </w:rPr>
        <w:t xml:space="preserve"> Number </w:t>
      </w:r>
      <w:r w:rsidR="006C667A" w:rsidRPr="00A7727F">
        <w:rPr>
          <w:lang w:eastAsia="ja-JP"/>
        </w:rPr>
        <w:t>of</w:t>
      </w:r>
      <w:r w:rsidR="006C667A">
        <w:rPr>
          <w:lang w:eastAsia="ja-JP"/>
        </w:rPr>
        <w:t xml:space="preserve"> subjects in each analysis set</w:t>
      </w:r>
      <w:r w:rsidR="006C667A" w:rsidRPr="00A7727F">
        <w:rPr>
          <w:lang w:eastAsia="ja-JP"/>
        </w:rPr>
        <w:t xml:space="preserve"> </w:t>
      </w:r>
      <w:r w:rsidR="006C667A">
        <w:rPr>
          <w:lang w:eastAsia="ja-JP"/>
        </w:rPr>
        <w:t xml:space="preserve">(SAF/FAS, </w:t>
      </w:r>
      <w:r w:rsidRPr="00A7727F">
        <w:rPr>
          <w:lang w:eastAsia="ja-JP"/>
        </w:rPr>
        <w:t>by intended dose cohort schedule)</w:t>
      </w:r>
      <w:bookmarkEnd w:id="201"/>
    </w:p>
    <w:tbl>
      <w:tblPr>
        <w:tblStyle w:val="TableTGAblue"/>
        <w:tblW w:w="4727" w:type="pct"/>
        <w:tblLook w:val="04A0" w:firstRow="1" w:lastRow="0" w:firstColumn="1" w:lastColumn="0" w:noHBand="0" w:noVBand="1"/>
        <w:tblDescription w:val="Table 29: Number of subjects in each analysis set (SAF/FAS, by intended dose cohort schedule)"/>
      </w:tblPr>
      <w:tblGrid>
        <w:gridCol w:w="1172"/>
        <w:gridCol w:w="413"/>
        <w:gridCol w:w="1031"/>
        <w:gridCol w:w="548"/>
        <w:gridCol w:w="1031"/>
        <w:gridCol w:w="558"/>
        <w:gridCol w:w="1031"/>
        <w:gridCol w:w="546"/>
        <w:gridCol w:w="810"/>
        <w:gridCol w:w="677"/>
        <w:gridCol w:w="920"/>
      </w:tblGrid>
      <w:tr w:rsidR="00087EDC" w:rsidRPr="00A7727F" w14:paraId="3D1875A6" w14:textId="77777777" w:rsidTr="007B7D09">
        <w:trPr>
          <w:cnfStyle w:val="100000000000" w:firstRow="1" w:lastRow="0" w:firstColumn="0" w:lastColumn="0" w:oddVBand="0" w:evenVBand="0" w:oddHBand="0" w:evenHBand="0" w:firstRowFirstColumn="0" w:firstRowLastColumn="0" w:lastRowFirstColumn="0" w:lastRowLastColumn="0"/>
          <w:trHeight w:val="1494"/>
          <w:tblHeader/>
        </w:trPr>
        <w:tc>
          <w:tcPr>
            <w:cnfStyle w:val="001000000000" w:firstRow="0" w:lastRow="0" w:firstColumn="1" w:lastColumn="0" w:oddVBand="0" w:evenVBand="0" w:oddHBand="0" w:evenHBand="0" w:firstRowFirstColumn="0" w:firstRowLastColumn="0" w:lastRowFirstColumn="0" w:lastRowLastColumn="0"/>
            <w:tcW w:w="690" w:type="pct"/>
          </w:tcPr>
          <w:p w14:paraId="599036BF" w14:textId="77777777" w:rsidR="00A7727F" w:rsidRPr="00A7727F" w:rsidRDefault="00A7727F" w:rsidP="006C667A">
            <w:pPr>
              <w:ind w:left="0" w:right="0"/>
              <w:rPr>
                <w:lang w:eastAsia="ja-JP"/>
              </w:rPr>
            </w:pPr>
          </w:p>
        </w:tc>
        <w:tc>
          <w:tcPr>
            <w:tcW w:w="818" w:type="pct"/>
            <w:gridSpan w:val="2"/>
          </w:tcPr>
          <w:p w14:paraId="0C912F95" w14:textId="77777777"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Cohort 1</w:t>
            </w:r>
          </w:p>
          <w:p w14:paraId="38DB13B6" w14:textId="111B75D9" w:rsidR="00A7727F" w:rsidRPr="00A7727F" w:rsidRDefault="006C667A"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Pr>
                <w:b w:val="0"/>
                <w:bCs/>
                <w:lang w:eastAsia="ja-JP"/>
              </w:rPr>
              <w:t>(</w:t>
            </w:r>
            <w:r w:rsidR="00A7727F" w:rsidRPr="00A7727F">
              <w:rPr>
                <w:b w:val="0"/>
                <w:bCs/>
                <w:lang w:eastAsia="ja-JP"/>
              </w:rPr>
              <w:t>15</w:t>
            </w:r>
            <w:r w:rsidR="00375CAE">
              <w:rPr>
                <w:b w:val="0"/>
                <w:bCs/>
                <w:lang w:eastAsia="ja-JP"/>
              </w:rPr>
              <w:t xml:space="preserve"> </w:t>
            </w:r>
            <w:r w:rsidR="0018721C">
              <w:rPr>
                <w:b w:val="0"/>
                <w:bCs/>
                <w:lang w:eastAsia="ja-JP"/>
              </w:rPr>
              <w:t>µg</w:t>
            </w:r>
            <w:r>
              <w:rPr>
                <w:b w:val="0"/>
                <w:bCs/>
                <w:lang w:eastAsia="ja-JP"/>
              </w:rPr>
              <w:t>/m²/day)</w:t>
            </w:r>
          </w:p>
          <w:p w14:paraId="479009E1" w14:textId="2CFBFA7F"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(N</w:t>
            </w:r>
            <w:r w:rsidR="00423768">
              <w:rPr>
                <w:b w:val="0"/>
                <w:bCs/>
                <w:lang w:eastAsia="ja-JP"/>
              </w:rPr>
              <w:t xml:space="preserve"> = </w:t>
            </w:r>
            <w:r w:rsidRPr="00A7727F">
              <w:rPr>
                <w:b w:val="0"/>
                <w:bCs/>
                <w:lang w:eastAsia="ja-JP"/>
              </w:rPr>
              <w:t>7)</w:t>
            </w:r>
          </w:p>
        </w:tc>
        <w:tc>
          <w:tcPr>
            <w:tcW w:w="896" w:type="pct"/>
            <w:gridSpan w:val="2"/>
          </w:tcPr>
          <w:p w14:paraId="7BD7D1A1" w14:textId="77777777"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Cohort 2a/3</w:t>
            </w:r>
          </w:p>
          <w:p w14:paraId="219205FA" w14:textId="584F7245" w:rsidR="00A7727F" w:rsidRPr="00A7727F" w:rsidRDefault="006C667A"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Pr>
                <w:b w:val="0"/>
                <w:bCs/>
                <w:lang w:eastAsia="ja-JP"/>
              </w:rPr>
              <w:t>(</w:t>
            </w:r>
            <w:r w:rsidR="00A7727F" w:rsidRPr="00A7727F">
              <w:rPr>
                <w:b w:val="0"/>
                <w:bCs/>
                <w:lang w:eastAsia="ja-JP"/>
              </w:rPr>
              <w:t>5</w:t>
            </w:r>
            <w:r>
              <w:rPr>
                <w:b w:val="0"/>
                <w:bCs/>
                <w:lang w:eastAsia="ja-JP"/>
              </w:rPr>
              <w:t xml:space="preserve"> to </w:t>
            </w:r>
            <w:r w:rsidR="00A7727F" w:rsidRPr="00A7727F">
              <w:rPr>
                <w:b w:val="0"/>
                <w:bCs/>
                <w:lang w:eastAsia="ja-JP"/>
              </w:rPr>
              <w:t>15</w:t>
            </w:r>
            <w:r w:rsidR="00375CAE">
              <w:rPr>
                <w:b w:val="0"/>
                <w:bCs/>
                <w:lang w:eastAsia="ja-JP"/>
              </w:rPr>
              <w:t xml:space="preserve"> </w:t>
            </w:r>
            <w:r w:rsidR="0018721C">
              <w:rPr>
                <w:b w:val="0"/>
                <w:bCs/>
                <w:lang w:eastAsia="ja-JP"/>
              </w:rPr>
              <w:t>µg</w:t>
            </w:r>
            <w:r>
              <w:rPr>
                <w:b w:val="0"/>
                <w:bCs/>
                <w:lang w:eastAsia="ja-JP"/>
              </w:rPr>
              <w:t>/m²/day)</w:t>
            </w:r>
          </w:p>
          <w:p w14:paraId="79FBFE4A" w14:textId="10D2ACC8"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(N</w:t>
            </w:r>
            <w:r w:rsidR="00423768">
              <w:rPr>
                <w:b w:val="0"/>
                <w:bCs/>
                <w:lang w:eastAsia="ja-JP"/>
              </w:rPr>
              <w:t xml:space="preserve"> = </w:t>
            </w:r>
            <w:r w:rsidRPr="00A7727F">
              <w:rPr>
                <w:b w:val="0"/>
                <w:bCs/>
                <w:lang w:eastAsia="ja-JP"/>
              </w:rPr>
              <w:t>23)</w:t>
            </w:r>
          </w:p>
        </w:tc>
        <w:tc>
          <w:tcPr>
            <w:tcW w:w="901" w:type="pct"/>
            <w:gridSpan w:val="2"/>
          </w:tcPr>
          <w:p w14:paraId="53575F1B" w14:textId="77777777"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Cohort 2b</w:t>
            </w:r>
          </w:p>
          <w:p w14:paraId="59E88352" w14:textId="646431D8" w:rsidR="00A7727F" w:rsidRPr="00A7727F" w:rsidRDefault="006C667A"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Pr>
                <w:b w:val="0"/>
                <w:bCs/>
                <w:lang w:eastAsia="ja-JP"/>
              </w:rPr>
              <w:t xml:space="preserve">(5 to 15 to </w:t>
            </w:r>
            <w:r w:rsidR="00A7727F" w:rsidRPr="00A7727F">
              <w:rPr>
                <w:b w:val="0"/>
                <w:bCs/>
                <w:lang w:eastAsia="ja-JP"/>
              </w:rPr>
              <w:t>30</w:t>
            </w:r>
            <w:r w:rsidR="00375CAE">
              <w:rPr>
                <w:b w:val="0"/>
                <w:bCs/>
                <w:lang w:eastAsia="ja-JP"/>
              </w:rPr>
              <w:t xml:space="preserve"> </w:t>
            </w:r>
            <w:r w:rsidR="0018721C">
              <w:rPr>
                <w:b w:val="0"/>
                <w:bCs/>
                <w:lang w:eastAsia="ja-JP"/>
              </w:rPr>
              <w:t>µg</w:t>
            </w:r>
            <w:r>
              <w:rPr>
                <w:b w:val="0"/>
                <w:bCs/>
                <w:lang w:eastAsia="ja-JP"/>
              </w:rPr>
              <w:t>/m²/day)</w:t>
            </w:r>
          </w:p>
          <w:p w14:paraId="4802CBF0" w14:textId="5FF5A3BD"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(N</w:t>
            </w:r>
            <w:r w:rsidR="00423768">
              <w:rPr>
                <w:b w:val="0"/>
                <w:bCs/>
                <w:lang w:eastAsia="ja-JP"/>
              </w:rPr>
              <w:t xml:space="preserve"> = </w:t>
            </w:r>
            <w:r w:rsidRPr="00A7727F">
              <w:rPr>
                <w:b w:val="0"/>
                <w:bCs/>
                <w:lang w:eastAsia="ja-JP"/>
              </w:rPr>
              <w:t>6)</w:t>
            </w:r>
          </w:p>
        </w:tc>
        <w:tc>
          <w:tcPr>
            <w:tcW w:w="786" w:type="pct"/>
            <w:gridSpan w:val="2"/>
          </w:tcPr>
          <w:p w14:paraId="486A7F07" w14:textId="3B2035A1"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Screening</w:t>
            </w:r>
            <w:r w:rsidR="006C667A">
              <w:rPr>
                <w:b w:val="0"/>
                <w:bCs/>
                <w:lang w:eastAsia="ja-JP"/>
              </w:rPr>
              <w:t xml:space="preserve"> f</w:t>
            </w:r>
            <w:r w:rsidRPr="00A7727F">
              <w:rPr>
                <w:b w:val="0"/>
                <w:bCs/>
                <w:lang w:eastAsia="ja-JP"/>
              </w:rPr>
              <w:t>ailures</w:t>
            </w:r>
          </w:p>
          <w:p w14:paraId="38980796" w14:textId="67E1885B"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(N</w:t>
            </w:r>
            <w:r w:rsidR="00423768">
              <w:rPr>
                <w:b w:val="0"/>
                <w:bCs/>
                <w:lang w:eastAsia="ja-JP"/>
              </w:rPr>
              <w:t xml:space="preserve"> = </w:t>
            </w:r>
            <w:r w:rsidRPr="00A7727F">
              <w:rPr>
                <w:b w:val="0"/>
                <w:bCs/>
                <w:lang w:eastAsia="ja-JP"/>
              </w:rPr>
              <w:t>14)</w:t>
            </w:r>
          </w:p>
        </w:tc>
        <w:tc>
          <w:tcPr>
            <w:tcW w:w="909" w:type="pct"/>
            <w:gridSpan w:val="2"/>
          </w:tcPr>
          <w:p w14:paraId="3B67C961" w14:textId="77777777"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Overall</w:t>
            </w:r>
          </w:p>
          <w:p w14:paraId="17A55772" w14:textId="6C479680" w:rsidR="00A7727F" w:rsidRPr="00A7727F" w:rsidRDefault="00A7727F" w:rsidP="006C667A">
            <w:pPr>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A7727F">
              <w:rPr>
                <w:b w:val="0"/>
                <w:bCs/>
                <w:lang w:eastAsia="ja-JP"/>
              </w:rPr>
              <w:t>(N</w:t>
            </w:r>
            <w:r w:rsidR="00423768">
              <w:rPr>
                <w:b w:val="0"/>
                <w:bCs/>
                <w:lang w:eastAsia="ja-JP"/>
              </w:rPr>
              <w:t xml:space="preserve"> = </w:t>
            </w:r>
            <w:r w:rsidRPr="00A7727F">
              <w:rPr>
                <w:b w:val="0"/>
                <w:bCs/>
                <w:lang w:eastAsia="ja-JP"/>
              </w:rPr>
              <w:t>50)</w:t>
            </w:r>
          </w:p>
        </w:tc>
      </w:tr>
      <w:tr w:rsidR="00087EDC" w:rsidRPr="00A7727F" w14:paraId="5D8AA2C8" w14:textId="77777777" w:rsidTr="007B270B">
        <w:trPr>
          <w:trHeight w:val="690"/>
        </w:trPr>
        <w:tc>
          <w:tcPr>
            <w:cnfStyle w:val="001000000000" w:firstRow="0" w:lastRow="0" w:firstColumn="1" w:lastColumn="0" w:oddVBand="0" w:evenVBand="0" w:oddHBand="0" w:evenHBand="0" w:firstRowFirstColumn="0" w:firstRowLastColumn="0" w:lastRowFirstColumn="0" w:lastRowLastColumn="0"/>
            <w:tcW w:w="690" w:type="pct"/>
          </w:tcPr>
          <w:p w14:paraId="6E6634D9" w14:textId="77777777" w:rsidR="00A7727F" w:rsidRPr="006C667A" w:rsidRDefault="00A7727F" w:rsidP="00087EDC">
            <w:pPr>
              <w:ind w:left="0" w:right="0"/>
              <w:rPr>
                <w:sz w:val="20"/>
                <w:lang w:eastAsia="ja-JP"/>
              </w:rPr>
            </w:pPr>
          </w:p>
        </w:tc>
        <w:tc>
          <w:tcPr>
            <w:tcW w:w="256" w:type="pct"/>
          </w:tcPr>
          <w:p w14:paraId="620656FA" w14:textId="6FCF91F0" w:rsidR="00A7727F" w:rsidRPr="006C667A" w:rsidRDefault="00087EDC"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N</w:t>
            </w:r>
            <w:r>
              <w:rPr>
                <w:sz w:val="20"/>
                <w:lang w:eastAsia="ja-JP"/>
              </w:rPr>
              <w:t xml:space="preserve"> =</w:t>
            </w:r>
          </w:p>
        </w:tc>
        <w:tc>
          <w:tcPr>
            <w:tcW w:w="563" w:type="pct"/>
          </w:tcPr>
          <w:p w14:paraId="28438F43"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w:t>
            </w:r>
          </w:p>
        </w:tc>
        <w:tc>
          <w:tcPr>
            <w:tcW w:w="333" w:type="pct"/>
          </w:tcPr>
          <w:p w14:paraId="42DBBA08"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n</w:t>
            </w:r>
          </w:p>
        </w:tc>
        <w:tc>
          <w:tcPr>
            <w:tcW w:w="563" w:type="pct"/>
          </w:tcPr>
          <w:p w14:paraId="027CA3B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w:t>
            </w:r>
          </w:p>
        </w:tc>
        <w:tc>
          <w:tcPr>
            <w:tcW w:w="339" w:type="pct"/>
          </w:tcPr>
          <w:p w14:paraId="02A08E87"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n</w:t>
            </w:r>
          </w:p>
        </w:tc>
        <w:tc>
          <w:tcPr>
            <w:tcW w:w="563" w:type="pct"/>
          </w:tcPr>
          <w:p w14:paraId="6488809F"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w:t>
            </w:r>
          </w:p>
        </w:tc>
        <w:tc>
          <w:tcPr>
            <w:tcW w:w="332" w:type="pct"/>
          </w:tcPr>
          <w:p w14:paraId="63BB51B6"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n</w:t>
            </w:r>
          </w:p>
        </w:tc>
        <w:tc>
          <w:tcPr>
            <w:tcW w:w="454" w:type="pct"/>
          </w:tcPr>
          <w:p w14:paraId="243A9247"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w:t>
            </w:r>
          </w:p>
        </w:tc>
        <w:tc>
          <w:tcPr>
            <w:tcW w:w="407" w:type="pct"/>
          </w:tcPr>
          <w:p w14:paraId="760A7B7E"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n</w:t>
            </w:r>
          </w:p>
        </w:tc>
        <w:tc>
          <w:tcPr>
            <w:tcW w:w="502" w:type="pct"/>
          </w:tcPr>
          <w:p w14:paraId="0B30787A"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w:t>
            </w:r>
          </w:p>
        </w:tc>
      </w:tr>
      <w:tr w:rsidR="00087EDC" w:rsidRPr="00A7727F" w14:paraId="0542F45A" w14:textId="77777777" w:rsidTr="007B270B">
        <w:trPr>
          <w:trHeight w:val="690"/>
        </w:trPr>
        <w:tc>
          <w:tcPr>
            <w:cnfStyle w:val="001000000000" w:firstRow="0" w:lastRow="0" w:firstColumn="1" w:lastColumn="0" w:oddVBand="0" w:evenVBand="0" w:oddHBand="0" w:evenHBand="0" w:firstRowFirstColumn="0" w:firstRowLastColumn="0" w:lastRowFirstColumn="0" w:lastRowLastColumn="0"/>
            <w:tcW w:w="690" w:type="pct"/>
          </w:tcPr>
          <w:p w14:paraId="7EF6EE2D" w14:textId="67669B12" w:rsidR="00A7727F" w:rsidRPr="006C667A" w:rsidRDefault="00A7727F" w:rsidP="00087EDC">
            <w:pPr>
              <w:ind w:left="0" w:right="0"/>
              <w:rPr>
                <w:sz w:val="20"/>
                <w:lang w:eastAsia="ja-JP"/>
              </w:rPr>
            </w:pPr>
            <w:r w:rsidRPr="006C667A">
              <w:rPr>
                <w:sz w:val="20"/>
                <w:lang w:eastAsia="ja-JP"/>
              </w:rPr>
              <w:t>Screened</w:t>
            </w:r>
            <w:r w:rsidR="00087EDC">
              <w:rPr>
                <w:sz w:val="20"/>
                <w:lang w:eastAsia="ja-JP"/>
              </w:rPr>
              <w:t xml:space="preserve"> </w:t>
            </w:r>
            <w:r w:rsidRPr="006C667A">
              <w:rPr>
                <w:sz w:val="20"/>
                <w:lang w:eastAsia="ja-JP"/>
              </w:rPr>
              <w:t>subjects</w:t>
            </w:r>
          </w:p>
        </w:tc>
        <w:tc>
          <w:tcPr>
            <w:tcW w:w="256" w:type="pct"/>
          </w:tcPr>
          <w:p w14:paraId="621C2723"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7</w:t>
            </w:r>
          </w:p>
        </w:tc>
        <w:tc>
          <w:tcPr>
            <w:tcW w:w="563" w:type="pct"/>
          </w:tcPr>
          <w:p w14:paraId="6D164E0B"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33" w:type="pct"/>
          </w:tcPr>
          <w:p w14:paraId="0BBCDE28"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23</w:t>
            </w:r>
          </w:p>
        </w:tc>
        <w:tc>
          <w:tcPr>
            <w:tcW w:w="563" w:type="pct"/>
          </w:tcPr>
          <w:p w14:paraId="67A35635"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39" w:type="pct"/>
          </w:tcPr>
          <w:p w14:paraId="002F198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6</w:t>
            </w:r>
          </w:p>
        </w:tc>
        <w:tc>
          <w:tcPr>
            <w:tcW w:w="563" w:type="pct"/>
          </w:tcPr>
          <w:p w14:paraId="29F2331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32" w:type="pct"/>
          </w:tcPr>
          <w:p w14:paraId="4B9DFEC6"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14</w:t>
            </w:r>
          </w:p>
        </w:tc>
        <w:tc>
          <w:tcPr>
            <w:tcW w:w="454" w:type="pct"/>
          </w:tcPr>
          <w:p w14:paraId="0743D3DD"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07" w:type="pct"/>
          </w:tcPr>
          <w:p w14:paraId="50238845"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50</w:t>
            </w:r>
          </w:p>
        </w:tc>
        <w:tc>
          <w:tcPr>
            <w:tcW w:w="502" w:type="pct"/>
          </w:tcPr>
          <w:p w14:paraId="7E2FA7BD"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087EDC" w:rsidRPr="00A7727F" w14:paraId="3542A957" w14:textId="77777777" w:rsidTr="007B270B">
        <w:trPr>
          <w:trHeight w:val="690"/>
        </w:trPr>
        <w:tc>
          <w:tcPr>
            <w:cnfStyle w:val="001000000000" w:firstRow="0" w:lastRow="0" w:firstColumn="1" w:lastColumn="0" w:oddVBand="0" w:evenVBand="0" w:oddHBand="0" w:evenHBand="0" w:firstRowFirstColumn="0" w:firstRowLastColumn="0" w:lastRowFirstColumn="0" w:lastRowLastColumn="0"/>
            <w:tcW w:w="690" w:type="pct"/>
          </w:tcPr>
          <w:p w14:paraId="70CE8047" w14:textId="5608ED12" w:rsidR="00A7727F" w:rsidRPr="006C667A" w:rsidRDefault="00A7727F" w:rsidP="00087EDC">
            <w:pPr>
              <w:ind w:left="0" w:right="0"/>
              <w:rPr>
                <w:sz w:val="20"/>
                <w:lang w:eastAsia="ja-JP"/>
              </w:rPr>
            </w:pPr>
            <w:r w:rsidRPr="006C667A">
              <w:rPr>
                <w:sz w:val="20"/>
                <w:lang w:eastAsia="ja-JP"/>
              </w:rPr>
              <w:t>Screening</w:t>
            </w:r>
            <w:r w:rsidR="00087EDC">
              <w:rPr>
                <w:sz w:val="20"/>
                <w:lang w:eastAsia="ja-JP"/>
              </w:rPr>
              <w:t xml:space="preserve"> </w:t>
            </w:r>
            <w:r w:rsidRPr="006C667A">
              <w:rPr>
                <w:sz w:val="20"/>
                <w:lang w:eastAsia="ja-JP"/>
              </w:rPr>
              <w:t>failure</w:t>
            </w:r>
          </w:p>
        </w:tc>
        <w:tc>
          <w:tcPr>
            <w:tcW w:w="256" w:type="pct"/>
          </w:tcPr>
          <w:p w14:paraId="3D1C0F51"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w:t>
            </w:r>
          </w:p>
        </w:tc>
        <w:tc>
          <w:tcPr>
            <w:tcW w:w="563" w:type="pct"/>
          </w:tcPr>
          <w:p w14:paraId="78846313"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33" w:type="pct"/>
          </w:tcPr>
          <w:p w14:paraId="09D9C924"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w:t>
            </w:r>
          </w:p>
        </w:tc>
        <w:tc>
          <w:tcPr>
            <w:tcW w:w="563" w:type="pct"/>
          </w:tcPr>
          <w:p w14:paraId="030619A9"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39" w:type="pct"/>
          </w:tcPr>
          <w:p w14:paraId="1C1328FC"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w:t>
            </w:r>
          </w:p>
        </w:tc>
        <w:tc>
          <w:tcPr>
            <w:tcW w:w="563" w:type="pct"/>
          </w:tcPr>
          <w:p w14:paraId="2618150E"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32" w:type="pct"/>
          </w:tcPr>
          <w:p w14:paraId="04EC8BD6"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14</w:t>
            </w:r>
          </w:p>
        </w:tc>
        <w:tc>
          <w:tcPr>
            <w:tcW w:w="454" w:type="pct"/>
          </w:tcPr>
          <w:p w14:paraId="01BD4ABE"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07" w:type="pct"/>
          </w:tcPr>
          <w:p w14:paraId="55E8FEC3"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14</w:t>
            </w:r>
          </w:p>
        </w:tc>
        <w:tc>
          <w:tcPr>
            <w:tcW w:w="502" w:type="pct"/>
          </w:tcPr>
          <w:p w14:paraId="66827155"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087EDC" w:rsidRPr="00A7727F" w14:paraId="61EB081B" w14:textId="77777777" w:rsidTr="007B270B">
        <w:trPr>
          <w:trHeight w:val="468"/>
        </w:trPr>
        <w:tc>
          <w:tcPr>
            <w:cnfStyle w:val="001000000000" w:firstRow="0" w:lastRow="0" w:firstColumn="1" w:lastColumn="0" w:oddVBand="0" w:evenVBand="0" w:oddHBand="0" w:evenHBand="0" w:firstRowFirstColumn="0" w:firstRowLastColumn="0" w:lastRowFirstColumn="0" w:lastRowLastColumn="0"/>
            <w:tcW w:w="690" w:type="pct"/>
          </w:tcPr>
          <w:p w14:paraId="596731D1" w14:textId="77777777" w:rsidR="00A7727F" w:rsidRPr="006C667A" w:rsidRDefault="00A7727F" w:rsidP="00087EDC">
            <w:pPr>
              <w:ind w:left="0" w:right="0"/>
              <w:rPr>
                <w:sz w:val="20"/>
                <w:lang w:eastAsia="ja-JP"/>
              </w:rPr>
            </w:pPr>
            <w:r w:rsidRPr="006C667A">
              <w:rPr>
                <w:sz w:val="20"/>
                <w:lang w:eastAsia="ja-JP"/>
              </w:rPr>
              <w:t>Safety set</w:t>
            </w:r>
          </w:p>
        </w:tc>
        <w:tc>
          <w:tcPr>
            <w:tcW w:w="256" w:type="pct"/>
          </w:tcPr>
          <w:p w14:paraId="66EEF624"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7</w:t>
            </w:r>
          </w:p>
        </w:tc>
        <w:tc>
          <w:tcPr>
            <w:tcW w:w="563" w:type="pct"/>
          </w:tcPr>
          <w:p w14:paraId="7865AD66"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(100.0%)</w:t>
            </w:r>
          </w:p>
        </w:tc>
        <w:tc>
          <w:tcPr>
            <w:tcW w:w="333" w:type="pct"/>
          </w:tcPr>
          <w:p w14:paraId="6FBA1897"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23</w:t>
            </w:r>
          </w:p>
        </w:tc>
        <w:tc>
          <w:tcPr>
            <w:tcW w:w="563" w:type="pct"/>
          </w:tcPr>
          <w:p w14:paraId="514E407B"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(100.0%)</w:t>
            </w:r>
          </w:p>
        </w:tc>
        <w:tc>
          <w:tcPr>
            <w:tcW w:w="339" w:type="pct"/>
          </w:tcPr>
          <w:p w14:paraId="420C909D"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6</w:t>
            </w:r>
          </w:p>
        </w:tc>
        <w:tc>
          <w:tcPr>
            <w:tcW w:w="563" w:type="pct"/>
          </w:tcPr>
          <w:p w14:paraId="7714C06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(100.0%)</w:t>
            </w:r>
          </w:p>
        </w:tc>
        <w:tc>
          <w:tcPr>
            <w:tcW w:w="332" w:type="pct"/>
          </w:tcPr>
          <w:p w14:paraId="72255846"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w:t>
            </w:r>
          </w:p>
        </w:tc>
        <w:tc>
          <w:tcPr>
            <w:tcW w:w="454" w:type="pct"/>
          </w:tcPr>
          <w:p w14:paraId="1DB86C3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(0.0%)</w:t>
            </w:r>
          </w:p>
        </w:tc>
        <w:tc>
          <w:tcPr>
            <w:tcW w:w="407" w:type="pct"/>
          </w:tcPr>
          <w:p w14:paraId="471B69E5"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36</w:t>
            </w:r>
          </w:p>
        </w:tc>
        <w:tc>
          <w:tcPr>
            <w:tcW w:w="502" w:type="pct"/>
          </w:tcPr>
          <w:p w14:paraId="01BA44B8"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(72.0%)</w:t>
            </w:r>
          </w:p>
        </w:tc>
      </w:tr>
      <w:tr w:rsidR="00087EDC" w:rsidRPr="00A7727F" w14:paraId="4DF41FBF" w14:textId="77777777" w:rsidTr="007B270B">
        <w:trPr>
          <w:trHeight w:val="690"/>
        </w:trPr>
        <w:tc>
          <w:tcPr>
            <w:cnfStyle w:val="001000000000" w:firstRow="0" w:lastRow="0" w:firstColumn="1" w:lastColumn="0" w:oddVBand="0" w:evenVBand="0" w:oddHBand="0" w:evenHBand="0" w:firstRowFirstColumn="0" w:firstRowLastColumn="0" w:lastRowFirstColumn="0" w:lastRowLastColumn="0"/>
            <w:tcW w:w="690" w:type="pct"/>
          </w:tcPr>
          <w:p w14:paraId="10A2D5AC" w14:textId="77777777" w:rsidR="00A7727F" w:rsidRPr="006C667A" w:rsidRDefault="00A7727F" w:rsidP="00087EDC">
            <w:pPr>
              <w:ind w:left="0" w:right="0"/>
              <w:rPr>
                <w:sz w:val="20"/>
                <w:lang w:eastAsia="ja-JP"/>
              </w:rPr>
            </w:pPr>
            <w:r w:rsidRPr="006C667A">
              <w:rPr>
                <w:sz w:val="20"/>
                <w:lang w:eastAsia="ja-JP"/>
              </w:rPr>
              <w:t>Full analysis set</w:t>
            </w:r>
          </w:p>
        </w:tc>
        <w:tc>
          <w:tcPr>
            <w:tcW w:w="256" w:type="pct"/>
          </w:tcPr>
          <w:p w14:paraId="51EBD424"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7</w:t>
            </w:r>
          </w:p>
        </w:tc>
        <w:tc>
          <w:tcPr>
            <w:tcW w:w="563" w:type="pct"/>
          </w:tcPr>
          <w:p w14:paraId="5F364CCE"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(100.0%)</w:t>
            </w:r>
          </w:p>
        </w:tc>
        <w:tc>
          <w:tcPr>
            <w:tcW w:w="333" w:type="pct"/>
          </w:tcPr>
          <w:p w14:paraId="412D71F9"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23</w:t>
            </w:r>
          </w:p>
        </w:tc>
        <w:tc>
          <w:tcPr>
            <w:tcW w:w="563" w:type="pct"/>
          </w:tcPr>
          <w:p w14:paraId="077A2FF5"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(100.0%)</w:t>
            </w:r>
          </w:p>
        </w:tc>
        <w:tc>
          <w:tcPr>
            <w:tcW w:w="339" w:type="pct"/>
          </w:tcPr>
          <w:p w14:paraId="758E7CF4"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6</w:t>
            </w:r>
          </w:p>
        </w:tc>
        <w:tc>
          <w:tcPr>
            <w:tcW w:w="563" w:type="pct"/>
          </w:tcPr>
          <w:p w14:paraId="765C8A4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(100.0%)</w:t>
            </w:r>
          </w:p>
        </w:tc>
        <w:tc>
          <w:tcPr>
            <w:tcW w:w="332" w:type="pct"/>
          </w:tcPr>
          <w:p w14:paraId="5730FC4A"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w:t>
            </w:r>
          </w:p>
        </w:tc>
        <w:tc>
          <w:tcPr>
            <w:tcW w:w="454" w:type="pct"/>
          </w:tcPr>
          <w:p w14:paraId="0D4B7588"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(0.0%)</w:t>
            </w:r>
          </w:p>
        </w:tc>
        <w:tc>
          <w:tcPr>
            <w:tcW w:w="407" w:type="pct"/>
          </w:tcPr>
          <w:p w14:paraId="22E8A34C"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36</w:t>
            </w:r>
          </w:p>
        </w:tc>
        <w:tc>
          <w:tcPr>
            <w:tcW w:w="502" w:type="pct"/>
          </w:tcPr>
          <w:p w14:paraId="51CD59A0"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(72.0%)</w:t>
            </w:r>
          </w:p>
        </w:tc>
      </w:tr>
      <w:tr w:rsidR="00087EDC" w:rsidRPr="00A7727F" w14:paraId="06F3E1D1" w14:textId="77777777" w:rsidTr="007B270B">
        <w:trPr>
          <w:trHeight w:val="701"/>
        </w:trPr>
        <w:tc>
          <w:tcPr>
            <w:cnfStyle w:val="001000000000" w:firstRow="0" w:lastRow="0" w:firstColumn="1" w:lastColumn="0" w:oddVBand="0" w:evenVBand="0" w:oddHBand="0" w:evenHBand="0" w:firstRowFirstColumn="0" w:firstRowLastColumn="0" w:lastRowFirstColumn="0" w:lastRowLastColumn="0"/>
            <w:tcW w:w="690" w:type="pct"/>
          </w:tcPr>
          <w:p w14:paraId="2972CD50" w14:textId="77777777" w:rsidR="00A7727F" w:rsidRPr="006C667A" w:rsidRDefault="00A7727F" w:rsidP="00087EDC">
            <w:pPr>
              <w:ind w:left="0" w:right="0"/>
              <w:rPr>
                <w:sz w:val="20"/>
                <w:lang w:eastAsia="ja-JP"/>
              </w:rPr>
            </w:pPr>
            <w:r w:rsidRPr="006C667A">
              <w:rPr>
                <w:sz w:val="20"/>
                <w:lang w:eastAsia="ja-JP"/>
              </w:rPr>
              <w:t>Per protocol set</w:t>
            </w:r>
          </w:p>
        </w:tc>
        <w:tc>
          <w:tcPr>
            <w:tcW w:w="256" w:type="pct"/>
          </w:tcPr>
          <w:p w14:paraId="343B3142"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4</w:t>
            </w:r>
          </w:p>
        </w:tc>
        <w:tc>
          <w:tcPr>
            <w:tcW w:w="563" w:type="pct"/>
          </w:tcPr>
          <w:p w14:paraId="5DDD777C"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(57.1%)</w:t>
            </w:r>
          </w:p>
        </w:tc>
        <w:tc>
          <w:tcPr>
            <w:tcW w:w="333" w:type="pct"/>
          </w:tcPr>
          <w:p w14:paraId="143DA6F7"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18</w:t>
            </w:r>
          </w:p>
        </w:tc>
        <w:tc>
          <w:tcPr>
            <w:tcW w:w="563" w:type="pct"/>
          </w:tcPr>
          <w:p w14:paraId="1C3B202F"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(78.3%)</w:t>
            </w:r>
          </w:p>
        </w:tc>
        <w:tc>
          <w:tcPr>
            <w:tcW w:w="339" w:type="pct"/>
          </w:tcPr>
          <w:p w14:paraId="234E655F"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4</w:t>
            </w:r>
          </w:p>
        </w:tc>
        <w:tc>
          <w:tcPr>
            <w:tcW w:w="563" w:type="pct"/>
          </w:tcPr>
          <w:p w14:paraId="1193AD21"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(66.7%)</w:t>
            </w:r>
          </w:p>
        </w:tc>
        <w:tc>
          <w:tcPr>
            <w:tcW w:w="332" w:type="pct"/>
          </w:tcPr>
          <w:p w14:paraId="696586A1"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w:t>
            </w:r>
          </w:p>
        </w:tc>
        <w:tc>
          <w:tcPr>
            <w:tcW w:w="454" w:type="pct"/>
          </w:tcPr>
          <w:p w14:paraId="76EABECE"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(0.0%)</w:t>
            </w:r>
          </w:p>
        </w:tc>
        <w:tc>
          <w:tcPr>
            <w:tcW w:w="407" w:type="pct"/>
          </w:tcPr>
          <w:p w14:paraId="26A6C964"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26</w:t>
            </w:r>
          </w:p>
        </w:tc>
        <w:tc>
          <w:tcPr>
            <w:tcW w:w="502" w:type="pct"/>
          </w:tcPr>
          <w:p w14:paraId="6788D22C" w14:textId="77777777" w:rsidR="00A7727F" w:rsidRPr="006C667A"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6C667A">
              <w:rPr>
                <w:sz w:val="20"/>
                <w:lang w:eastAsia="ja-JP"/>
              </w:rPr>
              <w:t>(52.0%)</w:t>
            </w:r>
          </w:p>
        </w:tc>
      </w:tr>
    </w:tbl>
    <w:p w14:paraId="63BE831B" w14:textId="77FFD44A" w:rsidR="00A7727F" w:rsidRPr="00A7727F" w:rsidRDefault="00A7727F" w:rsidP="00087EDC">
      <w:pPr>
        <w:pStyle w:val="TableDescription"/>
        <w:rPr>
          <w:lang w:eastAsia="ja-JP"/>
        </w:rPr>
      </w:pPr>
      <w:r w:rsidRPr="00A7727F">
        <w:rPr>
          <w:lang w:eastAsia="ja-JP"/>
        </w:rPr>
        <w:t>Per protocol set: all patients from the full analysis set, who have reasonably adhered to relevant protocol conditions</w:t>
      </w:r>
      <w:r w:rsidR="00087EDC">
        <w:rPr>
          <w:lang w:eastAsia="ja-JP"/>
        </w:rPr>
        <w:t xml:space="preserve">; </w:t>
      </w:r>
      <w:r w:rsidRPr="00A7727F">
        <w:rPr>
          <w:lang w:eastAsia="ja-JP"/>
        </w:rPr>
        <w:t>FAS: Full Analysis Set; SAF: Safety Analysis Set.</w:t>
      </w:r>
    </w:p>
    <w:p w14:paraId="1EB89587" w14:textId="0E232370" w:rsidR="00A7727F" w:rsidRPr="00A7727F" w:rsidRDefault="00A7727F" w:rsidP="00087EDC">
      <w:pPr>
        <w:pStyle w:val="Tabletitle"/>
        <w:rPr>
          <w:lang w:eastAsia="ja-JP"/>
        </w:rPr>
      </w:pPr>
      <w:bookmarkStart w:id="202" w:name="_Toc292015713"/>
      <w:r w:rsidRPr="00A7727F">
        <w:rPr>
          <w:lang w:eastAsia="ja-JP"/>
        </w:rPr>
        <w:t xml:space="preserve">Table </w:t>
      </w:r>
      <w:r w:rsidR="00B82B39">
        <w:rPr>
          <w:lang w:eastAsia="ja-JP"/>
        </w:rPr>
        <w:t>30:</w:t>
      </w:r>
      <w:r w:rsidRPr="00A7727F">
        <w:rPr>
          <w:lang w:eastAsia="ja-JP"/>
        </w:rPr>
        <w:t xml:space="preserve"> Dis</w:t>
      </w:r>
      <w:r w:rsidR="003C715A">
        <w:rPr>
          <w:lang w:eastAsia="ja-JP"/>
        </w:rPr>
        <w:t>position of s</w:t>
      </w:r>
      <w:r w:rsidR="00087EDC">
        <w:rPr>
          <w:lang w:eastAsia="ja-JP"/>
        </w:rPr>
        <w:t xml:space="preserve">ubjects (SAF/FAS, </w:t>
      </w:r>
      <w:r w:rsidRPr="00A7727F">
        <w:rPr>
          <w:lang w:eastAsia="ja-JP"/>
        </w:rPr>
        <w:t>by intended dose cohort schedule)</w:t>
      </w:r>
      <w:bookmarkEnd w:id="202"/>
    </w:p>
    <w:tbl>
      <w:tblPr>
        <w:tblStyle w:val="TableTGAblue"/>
        <w:tblW w:w="4775" w:type="pct"/>
        <w:tblLook w:val="04A0" w:firstRow="1" w:lastRow="0" w:firstColumn="1" w:lastColumn="0" w:noHBand="0" w:noVBand="1"/>
        <w:tblDescription w:val="Table 30: Disposition of subjects (SAF/FAS, by intended dose cohort schedule)"/>
      </w:tblPr>
      <w:tblGrid>
        <w:gridCol w:w="2678"/>
        <w:gridCol w:w="535"/>
        <w:gridCol w:w="1053"/>
        <w:gridCol w:w="489"/>
        <w:gridCol w:w="1061"/>
        <w:gridCol w:w="420"/>
        <w:gridCol w:w="1232"/>
        <w:gridCol w:w="438"/>
        <w:gridCol w:w="920"/>
      </w:tblGrid>
      <w:tr w:rsidR="00A7727F" w:rsidRPr="00A7727F" w14:paraId="4593245A" w14:textId="77777777" w:rsidTr="007B270B">
        <w:trPr>
          <w:cnfStyle w:val="100000000000" w:firstRow="1" w:lastRow="0" w:firstColumn="0" w:lastColumn="0" w:oddVBand="0" w:evenVBand="0" w:oddHBand="0" w:evenHBand="0" w:firstRowFirstColumn="0" w:firstRowLastColumn="0" w:lastRowFirstColumn="0" w:lastRowLastColumn="0"/>
          <w:trHeight w:val="1722"/>
          <w:tblHeader/>
        </w:trPr>
        <w:tc>
          <w:tcPr>
            <w:cnfStyle w:val="001000000000" w:firstRow="0" w:lastRow="0" w:firstColumn="1" w:lastColumn="0" w:oddVBand="0" w:evenVBand="0" w:oddHBand="0" w:evenHBand="0" w:firstRowFirstColumn="0" w:firstRowLastColumn="0" w:lastRowFirstColumn="0" w:lastRowLastColumn="0"/>
            <w:tcW w:w="1519" w:type="pct"/>
          </w:tcPr>
          <w:p w14:paraId="2A4D130B" w14:textId="77777777" w:rsidR="00A7727F" w:rsidRPr="00B82B39" w:rsidRDefault="00A7727F" w:rsidP="00087EDC">
            <w:pPr>
              <w:ind w:left="0" w:right="0"/>
              <w:rPr>
                <w:lang w:eastAsia="ja-JP"/>
              </w:rPr>
            </w:pPr>
          </w:p>
        </w:tc>
        <w:tc>
          <w:tcPr>
            <w:tcW w:w="903" w:type="pct"/>
            <w:gridSpan w:val="2"/>
          </w:tcPr>
          <w:p w14:paraId="69E04CE8" w14:textId="77777777"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Cohort 1</w:t>
            </w:r>
          </w:p>
          <w:p w14:paraId="5CF35E29" w14:textId="646DF381" w:rsidR="00A7727F" w:rsidRPr="00B82B39" w:rsidRDefault="00614E90"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w:t>
            </w:r>
            <w:r w:rsidR="00A7727F" w:rsidRPr="00B82B39">
              <w:rPr>
                <w:bCs/>
                <w:lang w:eastAsia="ja-JP"/>
              </w:rPr>
              <w:t>15</w:t>
            </w:r>
            <w:r w:rsidR="00375CAE" w:rsidRPr="00B82B39">
              <w:rPr>
                <w:bCs/>
                <w:lang w:eastAsia="ja-JP"/>
              </w:rPr>
              <w:t xml:space="preserve"> </w:t>
            </w:r>
            <w:r w:rsidR="0018721C" w:rsidRPr="00B82B39">
              <w:rPr>
                <w:bCs/>
                <w:lang w:eastAsia="ja-JP"/>
              </w:rPr>
              <w:t>µg</w:t>
            </w:r>
            <w:r w:rsidRPr="00B82B39">
              <w:rPr>
                <w:bCs/>
                <w:lang w:eastAsia="ja-JP"/>
              </w:rPr>
              <w:t>/m²/day)</w:t>
            </w:r>
          </w:p>
          <w:p w14:paraId="7F702AB9" w14:textId="012FAEB7"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(N</w:t>
            </w:r>
            <w:r w:rsidR="00423768" w:rsidRPr="00B82B39">
              <w:rPr>
                <w:bCs/>
                <w:lang w:eastAsia="ja-JP"/>
              </w:rPr>
              <w:t xml:space="preserve"> = </w:t>
            </w:r>
            <w:r w:rsidRPr="00B82B39">
              <w:rPr>
                <w:bCs/>
                <w:lang w:eastAsia="ja-JP"/>
              </w:rPr>
              <w:t>7)</w:t>
            </w:r>
          </w:p>
        </w:tc>
        <w:tc>
          <w:tcPr>
            <w:tcW w:w="881" w:type="pct"/>
            <w:gridSpan w:val="2"/>
          </w:tcPr>
          <w:p w14:paraId="0D2407A0" w14:textId="77777777"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Cohort 2a/3</w:t>
            </w:r>
          </w:p>
          <w:p w14:paraId="3A4547E3" w14:textId="511AF39B" w:rsidR="00A7727F" w:rsidRPr="00B82B39" w:rsidRDefault="00614E90"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 xml:space="preserve">(5 to </w:t>
            </w:r>
            <w:r w:rsidR="00A7727F" w:rsidRPr="00B82B39">
              <w:rPr>
                <w:bCs/>
                <w:lang w:eastAsia="ja-JP"/>
              </w:rPr>
              <w:t>15</w:t>
            </w:r>
            <w:r w:rsidR="00375CAE" w:rsidRPr="00B82B39">
              <w:rPr>
                <w:bCs/>
                <w:lang w:eastAsia="ja-JP"/>
              </w:rPr>
              <w:t xml:space="preserve"> </w:t>
            </w:r>
            <w:r w:rsidR="0018721C" w:rsidRPr="00B82B39">
              <w:rPr>
                <w:bCs/>
                <w:lang w:eastAsia="ja-JP"/>
              </w:rPr>
              <w:t>µg</w:t>
            </w:r>
            <w:r w:rsidRPr="00B82B39">
              <w:rPr>
                <w:bCs/>
                <w:lang w:eastAsia="ja-JP"/>
              </w:rPr>
              <w:t>/m²/day)</w:t>
            </w:r>
          </w:p>
          <w:p w14:paraId="0EE3A33D" w14:textId="6180C6F6"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(N</w:t>
            </w:r>
            <w:r w:rsidR="00423768" w:rsidRPr="00B82B39">
              <w:rPr>
                <w:bCs/>
                <w:lang w:eastAsia="ja-JP"/>
              </w:rPr>
              <w:t xml:space="preserve"> = </w:t>
            </w:r>
            <w:r w:rsidRPr="00B82B39">
              <w:rPr>
                <w:bCs/>
                <w:lang w:eastAsia="ja-JP"/>
              </w:rPr>
              <w:t>23)</w:t>
            </w:r>
          </w:p>
        </w:tc>
        <w:tc>
          <w:tcPr>
            <w:tcW w:w="938" w:type="pct"/>
            <w:gridSpan w:val="2"/>
          </w:tcPr>
          <w:p w14:paraId="4DFA117C" w14:textId="77777777"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Cohort 2b</w:t>
            </w:r>
          </w:p>
          <w:p w14:paraId="0D7D8FFA" w14:textId="636177C0" w:rsidR="00A7727F" w:rsidRPr="00B82B39" w:rsidRDefault="00614E90"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 xml:space="preserve">(5 to 15 to </w:t>
            </w:r>
            <w:r w:rsidR="00A7727F" w:rsidRPr="00B82B39">
              <w:rPr>
                <w:bCs/>
                <w:lang w:eastAsia="ja-JP"/>
              </w:rPr>
              <w:t>30</w:t>
            </w:r>
            <w:r w:rsidR="00375CAE" w:rsidRPr="00B82B39">
              <w:rPr>
                <w:bCs/>
                <w:lang w:eastAsia="ja-JP"/>
              </w:rPr>
              <w:t xml:space="preserve"> </w:t>
            </w:r>
            <w:r w:rsidR="0018721C" w:rsidRPr="00B82B39">
              <w:rPr>
                <w:bCs/>
                <w:lang w:eastAsia="ja-JP"/>
              </w:rPr>
              <w:t>µg</w:t>
            </w:r>
            <w:r w:rsidRPr="00B82B39">
              <w:rPr>
                <w:bCs/>
                <w:lang w:eastAsia="ja-JP"/>
              </w:rPr>
              <w:t>/m²/day)</w:t>
            </w:r>
          </w:p>
          <w:p w14:paraId="250919B4" w14:textId="37C721C1"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(N</w:t>
            </w:r>
            <w:r w:rsidR="00423768" w:rsidRPr="00B82B39">
              <w:rPr>
                <w:bCs/>
                <w:lang w:eastAsia="ja-JP"/>
              </w:rPr>
              <w:t xml:space="preserve"> = </w:t>
            </w:r>
            <w:r w:rsidRPr="00B82B39">
              <w:rPr>
                <w:bCs/>
                <w:lang w:eastAsia="ja-JP"/>
              </w:rPr>
              <w:t>6)</w:t>
            </w:r>
          </w:p>
        </w:tc>
        <w:tc>
          <w:tcPr>
            <w:tcW w:w="758" w:type="pct"/>
            <w:gridSpan w:val="2"/>
          </w:tcPr>
          <w:p w14:paraId="692BC47D" w14:textId="77777777"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Overall</w:t>
            </w:r>
          </w:p>
          <w:p w14:paraId="4F1DCECB" w14:textId="1B09D40A" w:rsidR="00A7727F" w:rsidRPr="00B82B39" w:rsidRDefault="00A7727F" w:rsidP="00087EDC">
            <w:pPr>
              <w:ind w:left="0" w:right="0"/>
              <w:cnfStyle w:val="100000000000" w:firstRow="1" w:lastRow="0" w:firstColumn="0" w:lastColumn="0" w:oddVBand="0" w:evenVBand="0" w:oddHBand="0" w:evenHBand="0" w:firstRowFirstColumn="0" w:firstRowLastColumn="0" w:lastRowFirstColumn="0" w:lastRowLastColumn="0"/>
              <w:rPr>
                <w:bCs/>
                <w:lang w:eastAsia="ja-JP"/>
              </w:rPr>
            </w:pPr>
            <w:r w:rsidRPr="00B82B39">
              <w:rPr>
                <w:bCs/>
                <w:lang w:eastAsia="ja-JP"/>
              </w:rPr>
              <w:t>(N</w:t>
            </w:r>
            <w:r w:rsidR="00423768" w:rsidRPr="00B82B39">
              <w:rPr>
                <w:bCs/>
                <w:lang w:eastAsia="ja-JP"/>
              </w:rPr>
              <w:t xml:space="preserve"> = </w:t>
            </w:r>
            <w:r w:rsidRPr="00B82B39">
              <w:rPr>
                <w:bCs/>
                <w:lang w:eastAsia="ja-JP"/>
              </w:rPr>
              <w:t>36)</w:t>
            </w:r>
          </w:p>
        </w:tc>
      </w:tr>
      <w:tr w:rsidR="00A7727F" w:rsidRPr="00A7727F" w14:paraId="09C56B3D" w14:textId="77777777" w:rsidTr="007B270B">
        <w:trPr>
          <w:trHeight w:val="539"/>
        </w:trPr>
        <w:tc>
          <w:tcPr>
            <w:cnfStyle w:val="001000000000" w:firstRow="0" w:lastRow="0" w:firstColumn="1" w:lastColumn="0" w:oddVBand="0" w:evenVBand="0" w:oddHBand="0" w:evenHBand="0" w:firstRowFirstColumn="0" w:firstRowLastColumn="0" w:lastRowFirstColumn="0" w:lastRowLastColumn="0"/>
            <w:tcW w:w="1519" w:type="pct"/>
          </w:tcPr>
          <w:p w14:paraId="38E66C09" w14:textId="77777777" w:rsidR="00A7727F" w:rsidRPr="00867C77" w:rsidRDefault="00A7727F" w:rsidP="00087EDC">
            <w:pPr>
              <w:ind w:left="0" w:right="0"/>
              <w:rPr>
                <w:sz w:val="20"/>
                <w:lang w:eastAsia="ja-JP"/>
              </w:rPr>
            </w:pPr>
          </w:p>
        </w:tc>
        <w:tc>
          <w:tcPr>
            <w:tcW w:w="305" w:type="pct"/>
          </w:tcPr>
          <w:p w14:paraId="7ACB58D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n</w:t>
            </w:r>
          </w:p>
        </w:tc>
        <w:tc>
          <w:tcPr>
            <w:tcW w:w="598" w:type="pct"/>
          </w:tcPr>
          <w:p w14:paraId="661C9D4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w:t>
            </w:r>
          </w:p>
        </w:tc>
        <w:tc>
          <w:tcPr>
            <w:tcW w:w="279" w:type="pct"/>
          </w:tcPr>
          <w:p w14:paraId="72C99C6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n</w:t>
            </w:r>
          </w:p>
        </w:tc>
        <w:tc>
          <w:tcPr>
            <w:tcW w:w="602" w:type="pct"/>
          </w:tcPr>
          <w:p w14:paraId="3B821AC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w:t>
            </w:r>
          </w:p>
        </w:tc>
        <w:tc>
          <w:tcPr>
            <w:tcW w:w="239" w:type="pct"/>
          </w:tcPr>
          <w:p w14:paraId="094AD5D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n</w:t>
            </w:r>
          </w:p>
        </w:tc>
        <w:tc>
          <w:tcPr>
            <w:tcW w:w="699" w:type="pct"/>
          </w:tcPr>
          <w:p w14:paraId="16FB12E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w:t>
            </w:r>
          </w:p>
        </w:tc>
        <w:tc>
          <w:tcPr>
            <w:tcW w:w="241" w:type="pct"/>
          </w:tcPr>
          <w:p w14:paraId="39118B7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n</w:t>
            </w:r>
          </w:p>
        </w:tc>
        <w:tc>
          <w:tcPr>
            <w:tcW w:w="518" w:type="pct"/>
          </w:tcPr>
          <w:p w14:paraId="7120937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w:t>
            </w:r>
          </w:p>
        </w:tc>
      </w:tr>
      <w:tr w:rsidR="00A7727F" w:rsidRPr="00A7727F" w14:paraId="72449ED7" w14:textId="77777777" w:rsidTr="007B270B">
        <w:trPr>
          <w:trHeight w:val="539"/>
        </w:trPr>
        <w:tc>
          <w:tcPr>
            <w:cnfStyle w:val="001000000000" w:firstRow="0" w:lastRow="0" w:firstColumn="1" w:lastColumn="0" w:oddVBand="0" w:evenVBand="0" w:oddHBand="0" w:evenHBand="0" w:firstRowFirstColumn="0" w:firstRowLastColumn="0" w:lastRowFirstColumn="0" w:lastRowLastColumn="0"/>
            <w:tcW w:w="1519" w:type="pct"/>
          </w:tcPr>
          <w:p w14:paraId="75AFA925" w14:textId="77777777" w:rsidR="00A7727F" w:rsidRPr="00867C77" w:rsidRDefault="00A7727F" w:rsidP="00087EDC">
            <w:pPr>
              <w:ind w:left="0" w:right="0"/>
              <w:rPr>
                <w:sz w:val="20"/>
                <w:lang w:eastAsia="ja-JP"/>
              </w:rPr>
            </w:pPr>
            <w:r w:rsidRPr="00867C77">
              <w:rPr>
                <w:sz w:val="20"/>
                <w:lang w:eastAsia="ja-JP"/>
              </w:rPr>
              <w:t>Completed core study</w:t>
            </w:r>
          </w:p>
        </w:tc>
        <w:tc>
          <w:tcPr>
            <w:tcW w:w="305" w:type="pct"/>
          </w:tcPr>
          <w:p w14:paraId="6EF8F42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598" w:type="pct"/>
          </w:tcPr>
          <w:p w14:paraId="5FBBD5A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(28.6%)</w:t>
            </w:r>
          </w:p>
        </w:tc>
        <w:tc>
          <w:tcPr>
            <w:tcW w:w="279" w:type="pct"/>
          </w:tcPr>
          <w:p w14:paraId="4401801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13</w:t>
            </w:r>
          </w:p>
        </w:tc>
        <w:tc>
          <w:tcPr>
            <w:tcW w:w="602" w:type="pct"/>
          </w:tcPr>
          <w:p w14:paraId="089C440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(56.5%)</w:t>
            </w:r>
          </w:p>
        </w:tc>
        <w:tc>
          <w:tcPr>
            <w:tcW w:w="239" w:type="pct"/>
          </w:tcPr>
          <w:p w14:paraId="6DE9BD0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3</w:t>
            </w:r>
          </w:p>
        </w:tc>
        <w:tc>
          <w:tcPr>
            <w:tcW w:w="699" w:type="pct"/>
          </w:tcPr>
          <w:p w14:paraId="3B06314D"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(50.0%)</w:t>
            </w:r>
          </w:p>
        </w:tc>
        <w:tc>
          <w:tcPr>
            <w:tcW w:w="241" w:type="pct"/>
          </w:tcPr>
          <w:p w14:paraId="779E3CC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18</w:t>
            </w:r>
          </w:p>
        </w:tc>
        <w:tc>
          <w:tcPr>
            <w:tcW w:w="518" w:type="pct"/>
          </w:tcPr>
          <w:p w14:paraId="0C8F588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(50.0%)</w:t>
            </w:r>
          </w:p>
        </w:tc>
      </w:tr>
      <w:tr w:rsidR="00A7727F" w:rsidRPr="00A7727F" w14:paraId="7893AD8C" w14:textId="77777777" w:rsidTr="007B270B">
        <w:trPr>
          <w:trHeight w:val="829"/>
        </w:trPr>
        <w:tc>
          <w:tcPr>
            <w:cnfStyle w:val="001000000000" w:firstRow="0" w:lastRow="0" w:firstColumn="1" w:lastColumn="0" w:oddVBand="0" w:evenVBand="0" w:oddHBand="0" w:evenHBand="0" w:firstRowFirstColumn="0" w:firstRowLastColumn="0" w:lastRowFirstColumn="0" w:lastRowLastColumn="0"/>
            <w:tcW w:w="1519" w:type="pct"/>
          </w:tcPr>
          <w:p w14:paraId="4D8E8FD9" w14:textId="77777777" w:rsidR="00A7727F" w:rsidRPr="00867C77" w:rsidRDefault="00A7727F" w:rsidP="00087EDC">
            <w:pPr>
              <w:ind w:left="0" w:right="0"/>
              <w:rPr>
                <w:sz w:val="20"/>
                <w:lang w:eastAsia="ja-JP"/>
              </w:rPr>
            </w:pPr>
            <w:r w:rsidRPr="00867C77">
              <w:rPr>
                <w:sz w:val="20"/>
                <w:lang w:eastAsia="ja-JP"/>
              </w:rPr>
              <w:t>Terminated core study prematurely</w:t>
            </w:r>
          </w:p>
        </w:tc>
        <w:tc>
          <w:tcPr>
            <w:tcW w:w="305" w:type="pct"/>
          </w:tcPr>
          <w:p w14:paraId="7131477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w:t>
            </w:r>
          </w:p>
        </w:tc>
        <w:tc>
          <w:tcPr>
            <w:tcW w:w="598" w:type="pct"/>
          </w:tcPr>
          <w:p w14:paraId="0A9016C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(71.4%)</w:t>
            </w:r>
          </w:p>
        </w:tc>
        <w:tc>
          <w:tcPr>
            <w:tcW w:w="279" w:type="pct"/>
          </w:tcPr>
          <w:p w14:paraId="54C567F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10</w:t>
            </w:r>
          </w:p>
        </w:tc>
        <w:tc>
          <w:tcPr>
            <w:tcW w:w="602" w:type="pct"/>
          </w:tcPr>
          <w:p w14:paraId="3431582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(43.5%)</w:t>
            </w:r>
          </w:p>
        </w:tc>
        <w:tc>
          <w:tcPr>
            <w:tcW w:w="239" w:type="pct"/>
          </w:tcPr>
          <w:p w14:paraId="640E99B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3</w:t>
            </w:r>
          </w:p>
        </w:tc>
        <w:tc>
          <w:tcPr>
            <w:tcW w:w="699" w:type="pct"/>
          </w:tcPr>
          <w:p w14:paraId="1F2BF65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(50.0%)</w:t>
            </w:r>
          </w:p>
        </w:tc>
        <w:tc>
          <w:tcPr>
            <w:tcW w:w="241" w:type="pct"/>
          </w:tcPr>
          <w:p w14:paraId="74975BC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18</w:t>
            </w:r>
          </w:p>
        </w:tc>
        <w:tc>
          <w:tcPr>
            <w:tcW w:w="518" w:type="pct"/>
          </w:tcPr>
          <w:p w14:paraId="6DA89CC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(50.0%)</w:t>
            </w:r>
          </w:p>
        </w:tc>
      </w:tr>
      <w:tr w:rsidR="00A7727F" w:rsidRPr="00A7727F" w14:paraId="795897D6" w14:textId="77777777" w:rsidTr="007B270B">
        <w:trPr>
          <w:trHeight w:val="539"/>
        </w:trPr>
        <w:tc>
          <w:tcPr>
            <w:cnfStyle w:val="001000000000" w:firstRow="0" w:lastRow="0" w:firstColumn="1" w:lastColumn="0" w:oddVBand="0" w:evenVBand="0" w:oddHBand="0" w:evenHBand="0" w:firstRowFirstColumn="0" w:firstRowLastColumn="0" w:lastRowFirstColumn="0" w:lastRowLastColumn="0"/>
            <w:tcW w:w="1519" w:type="pct"/>
          </w:tcPr>
          <w:p w14:paraId="5475CEAA" w14:textId="107F671E" w:rsidR="00A7727F" w:rsidRPr="00867C77" w:rsidRDefault="00867C77" w:rsidP="00087EDC">
            <w:pPr>
              <w:ind w:left="0" w:right="0"/>
              <w:rPr>
                <w:sz w:val="20"/>
                <w:lang w:eastAsia="ja-JP"/>
              </w:rPr>
            </w:pPr>
            <w:r>
              <w:rPr>
                <w:sz w:val="20"/>
                <w:lang w:eastAsia="ja-JP"/>
              </w:rPr>
              <w:t xml:space="preserve">Entered long </w:t>
            </w:r>
            <w:r w:rsidR="00A7727F" w:rsidRPr="00867C77">
              <w:rPr>
                <w:sz w:val="20"/>
                <w:lang w:eastAsia="ja-JP"/>
              </w:rPr>
              <w:t>term follow-up</w:t>
            </w:r>
          </w:p>
        </w:tc>
        <w:tc>
          <w:tcPr>
            <w:tcW w:w="305" w:type="pct"/>
          </w:tcPr>
          <w:p w14:paraId="468644D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6</w:t>
            </w:r>
          </w:p>
        </w:tc>
        <w:tc>
          <w:tcPr>
            <w:tcW w:w="598" w:type="pct"/>
          </w:tcPr>
          <w:p w14:paraId="280CF52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(85.7%)</w:t>
            </w:r>
          </w:p>
        </w:tc>
        <w:tc>
          <w:tcPr>
            <w:tcW w:w="279" w:type="pct"/>
          </w:tcPr>
          <w:p w14:paraId="1426BB3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16</w:t>
            </w:r>
          </w:p>
        </w:tc>
        <w:tc>
          <w:tcPr>
            <w:tcW w:w="602" w:type="pct"/>
          </w:tcPr>
          <w:p w14:paraId="2CE89D6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(69.6%)</w:t>
            </w:r>
          </w:p>
        </w:tc>
        <w:tc>
          <w:tcPr>
            <w:tcW w:w="239" w:type="pct"/>
          </w:tcPr>
          <w:p w14:paraId="72EB0DE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w:t>
            </w:r>
          </w:p>
        </w:tc>
        <w:tc>
          <w:tcPr>
            <w:tcW w:w="699" w:type="pct"/>
          </w:tcPr>
          <w:p w14:paraId="3E81F59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(83.3%)</w:t>
            </w:r>
          </w:p>
        </w:tc>
        <w:tc>
          <w:tcPr>
            <w:tcW w:w="241" w:type="pct"/>
          </w:tcPr>
          <w:p w14:paraId="1AB7A09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27</w:t>
            </w:r>
          </w:p>
        </w:tc>
        <w:tc>
          <w:tcPr>
            <w:tcW w:w="518" w:type="pct"/>
          </w:tcPr>
          <w:p w14:paraId="11976DB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(75.0%)</w:t>
            </w:r>
          </w:p>
        </w:tc>
      </w:tr>
      <w:tr w:rsidR="00A7727F" w:rsidRPr="00A7727F" w14:paraId="159189EC" w14:textId="77777777" w:rsidTr="007B270B">
        <w:trPr>
          <w:trHeight w:val="539"/>
        </w:trPr>
        <w:tc>
          <w:tcPr>
            <w:cnfStyle w:val="001000000000" w:firstRow="0" w:lastRow="0" w:firstColumn="1" w:lastColumn="0" w:oddVBand="0" w:evenVBand="0" w:oddHBand="0" w:evenHBand="0" w:firstRowFirstColumn="0" w:firstRowLastColumn="0" w:lastRowFirstColumn="0" w:lastRowLastColumn="0"/>
            <w:tcW w:w="1519" w:type="pct"/>
          </w:tcPr>
          <w:p w14:paraId="56C5D9D6" w14:textId="5DB33130" w:rsidR="00A7727F" w:rsidRPr="00867C77" w:rsidRDefault="00867C77" w:rsidP="00087EDC">
            <w:pPr>
              <w:ind w:left="0" w:right="0"/>
              <w:rPr>
                <w:sz w:val="20"/>
                <w:lang w:eastAsia="ja-JP"/>
              </w:rPr>
            </w:pPr>
            <w:r>
              <w:rPr>
                <w:sz w:val="20"/>
                <w:lang w:eastAsia="ja-JP"/>
              </w:rPr>
              <w:t>Started re</w:t>
            </w:r>
            <w:r w:rsidR="00A7727F" w:rsidRPr="00867C77">
              <w:rPr>
                <w:sz w:val="20"/>
                <w:lang w:eastAsia="ja-JP"/>
              </w:rPr>
              <w:t>treatment cycles</w:t>
            </w:r>
          </w:p>
        </w:tc>
        <w:tc>
          <w:tcPr>
            <w:tcW w:w="305" w:type="pct"/>
          </w:tcPr>
          <w:p w14:paraId="7F42D28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598" w:type="pct"/>
          </w:tcPr>
          <w:p w14:paraId="4194C6C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(28.6%)</w:t>
            </w:r>
          </w:p>
        </w:tc>
        <w:tc>
          <w:tcPr>
            <w:tcW w:w="279" w:type="pct"/>
          </w:tcPr>
          <w:p w14:paraId="039A08C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474F56E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49C637A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545304E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0FEFBA9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518" w:type="pct"/>
          </w:tcPr>
          <w:p w14:paraId="7AD697F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(5.6%)</w:t>
            </w:r>
          </w:p>
        </w:tc>
      </w:tr>
      <w:tr w:rsidR="00A7727F" w:rsidRPr="00A7727F" w14:paraId="0326CC5C" w14:textId="77777777" w:rsidTr="007B270B">
        <w:trPr>
          <w:trHeight w:val="829"/>
        </w:trPr>
        <w:tc>
          <w:tcPr>
            <w:cnfStyle w:val="001000000000" w:firstRow="0" w:lastRow="0" w:firstColumn="1" w:lastColumn="0" w:oddVBand="0" w:evenVBand="0" w:oddHBand="0" w:evenHBand="0" w:firstRowFirstColumn="0" w:firstRowLastColumn="0" w:lastRowFirstColumn="0" w:lastRowLastColumn="0"/>
            <w:tcW w:w="1519" w:type="pct"/>
          </w:tcPr>
          <w:p w14:paraId="0B64E174" w14:textId="77777777" w:rsidR="00A7727F" w:rsidRPr="00867C77" w:rsidRDefault="00A7727F" w:rsidP="00087EDC">
            <w:pPr>
              <w:ind w:left="0" w:right="0"/>
              <w:rPr>
                <w:sz w:val="20"/>
                <w:lang w:eastAsia="ja-JP"/>
              </w:rPr>
            </w:pPr>
            <w:r w:rsidRPr="00867C77">
              <w:rPr>
                <w:sz w:val="20"/>
                <w:lang w:eastAsia="ja-JP"/>
              </w:rPr>
              <w:t>Reasons for premature termination of core study</w:t>
            </w:r>
          </w:p>
        </w:tc>
        <w:tc>
          <w:tcPr>
            <w:tcW w:w="305" w:type="pct"/>
          </w:tcPr>
          <w:p w14:paraId="3829D3E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98" w:type="pct"/>
          </w:tcPr>
          <w:p w14:paraId="37B2A6D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79" w:type="pct"/>
          </w:tcPr>
          <w:p w14:paraId="5BB8991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02" w:type="pct"/>
          </w:tcPr>
          <w:p w14:paraId="53D51C2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9" w:type="pct"/>
          </w:tcPr>
          <w:p w14:paraId="31A520F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99" w:type="pct"/>
          </w:tcPr>
          <w:p w14:paraId="26EE6AB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41" w:type="pct"/>
          </w:tcPr>
          <w:p w14:paraId="237FBC4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18" w:type="pct"/>
          </w:tcPr>
          <w:p w14:paraId="7667B20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A7727F" w:rsidRPr="00A7727F" w14:paraId="2425347D" w14:textId="77777777" w:rsidTr="007B270B">
        <w:trPr>
          <w:trHeight w:val="552"/>
        </w:trPr>
        <w:tc>
          <w:tcPr>
            <w:cnfStyle w:val="001000000000" w:firstRow="0" w:lastRow="0" w:firstColumn="1" w:lastColumn="0" w:oddVBand="0" w:evenVBand="0" w:oddHBand="0" w:evenHBand="0" w:firstRowFirstColumn="0" w:firstRowLastColumn="0" w:lastRowFirstColumn="0" w:lastRowLastColumn="0"/>
            <w:tcW w:w="1519" w:type="pct"/>
          </w:tcPr>
          <w:p w14:paraId="027A8FE9" w14:textId="77777777" w:rsidR="00A7727F" w:rsidRPr="00867C77" w:rsidRDefault="00A7727F" w:rsidP="00087EDC">
            <w:pPr>
              <w:ind w:left="0" w:right="0"/>
              <w:rPr>
                <w:sz w:val="20"/>
                <w:lang w:eastAsia="ja-JP"/>
              </w:rPr>
            </w:pPr>
            <w:r w:rsidRPr="00867C77">
              <w:rPr>
                <w:sz w:val="20"/>
                <w:lang w:eastAsia="ja-JP"/>
              </w:rPr>
              <w:t>Adverse Event</w:t>
            </w:r>
          </w:p>
        </w:tc>
        <w:tc>
          <w:tcPr>
            <w:tcW w:w="305" w:type="pct"/>
          </w:tcPr>
          <w:p w14:paraId="32EF90C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4</w:t>
            </w:r>
          </w:p>
        </w:tc>
        <w:tc>
          <w:tcPr>
            <w:tcW w:w="598" w:type="pct"/>
          </w:tcPr>
          <w:p w14:paraId="2B90DB9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(57.1%)</w:t>
            </w:r>
          </w:p>
        </w:tc>
        <w:tc>
          <w:tcPr>
            <w:tcW w:w="279" w:type="pct"/>
          </w:tcPr>
          <w:p w14:paraId="6F449A0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3</w:t>
            </w:r>
          </w:p>
        </w:tc>
        <w:tc>
          <w:tcPr>
            <w:tcW w:w="602" w:type="pct"/>
          </w:tcPr>
          <w:p w14:paraId="35D6C40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(13.0%)</w:t>
            </w:r>
          </w:p>
        </w:tc>
        <w:tc>
          <w:tcPr>
            <w:tcW w:w="239" w:type="pct"/>
          </w:tcPr>
          <w:p w14:paraId="0B2B428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699" w:type="pct"/>
          </w:tcPr>
          <w:p w14:paraId="15A4ADF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(16.7%)</w:t>
            </w:r>
          </w:p>
        </w:tc>
        <w:tc>
          <w:tcPr>
            <w:tcW w:w="241" w:type="pct"/>
          </w:tcPr>
          <w:p w14:paraId="69B2533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8</w:t>
            </w:r>
          </w:p>
        </w:tc>
        <w:tc>
          <w:tcPr>
            <w:tcW w:w="518" w:type="pct"/>
          </w:tcPr>
          <w:p w14:paraId="792F3C3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(22.2%)</w:t>
            </w:r>
          </w:p>
        </w:tc>
      </w:tr>
      <w:tr w:rsidR="00A7727F" w:rsidRPr="00A7727F" w14:paraId="4AE995D6"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425B6FA9" w14:textId="77777777" w:rsidR="00A7727F" w:rsidRPr="00867C77" w:rsidRDefault="00A7727F" w:rsidP="00087EDC">
            <w:pPr>
              <w:ind w:left="0" w:right="0"/>
              <w:rPr>
                <w:sz w:val="20"/>
                <w:lang w:eastAsia="ja-JP"/>
              </w:rPr>
            </w:pPr>
            <w:r w:rsidRPr="00867C77">
              <w:rPr>
                <w:sz w:val="20"/>
                <w:lang w:eastAsia="ja-JP"/>
              </w:rPr>
              <w:t>Subject withdraws informed consent</w:t>
            </w:r>
          </w:p>
        </w:tc>
        <w:tc>
          <w:tcPr>
            <w:tcW w:w="305" w:type="pct"/>
          </w:tcPr>
          <w:p w14:paraId="48D76E7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0BB60E1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62487FE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125F5CB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6F74C13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6D25CBB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5E05699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10AFFF8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05213D6C"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7E25FF64" w14:textId="77777777" w:rsidR="00A7727F" w:rsidRPr="00867C77" w:rsidRDefault="00A7727F" w:rsidP="00087EDC">
            <w:pPr>
              <w:ind w:left="0" w:right="0"/>
              <w:rPr>
                <w:sz w:val="20"/>
                <w:lang w:eastAsia="ja-JP"/>
              </w:rPr>
            </w:pPr>
            <w:r w:rsidRPr="00867C77">
              <w:rPr>
                <w:sz w:val="20"/>
                <w:lang w:eastAsia="ja-JP"/>
              </w:rPr>
              <w:t>Subject is lost to follow up</w:t>
            </w:r>
          </w:p>
        </w:tc>
        <w:tc>
          <w:tcPr>
            <w:tcW w:w="305" w:type="pct"/>
          </w:tcPr>
          <w:p w14:paraId="12C3989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74C0A24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1D1D7E9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0F8D4A5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3A69678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78B6BA2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150F746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0CF098C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2FFD8C31"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673DFDC5" w14:textId="77777777" w:rsidR="00A7727F" w:rsidRPr="00867C77" w:rsidRDefault="00A7727F" w:rsidP="00087EDC">
            <w:pPr>
              <w:ind w:left="0" w:right="0"/>
              <w:rPr>
                <w:sz w:val="20"/>
                <w:lang w:eastAsia="ja-JP"/>
              </w:rPr>
            </w:pPr>
            <w:r w:rsidRPr="00867C77">
              <w:rPr>
                <w:sz w:val="20"/>
                <w:lang w:eastAsia="ja-JP"/>
              </w:rPr>
              <w:t>Subject is not compliant</w:t>
            </w:r>
          </w:p>
        </w:tc>
        <w:tc>
          <w:tcPr>
            <w:tcW w:w="305" w:type="pct"/>
          </w:tcPr>
          <w:p w14:paraId="503D6ED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5FD22D1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1D19607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71959DA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13CDD7E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5AE0704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6F40A9A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1EB8BB7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0E5AD8AB"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2CF80F37" w14:textId="00C98FF6" w:rsidR="00A7727F" w:rsidRPr="00867C77" w:rsidRDefault="00A972DD" w:rsidP="00087EDC">
            <w:pPr>
              <w:ind w:left="0" w:right="0"/>
              <w:rPr>
                <w:sz w:val="20"/>
                <w:lang w:eastAsia="ja-JP"/>
              </w:rPr>
            </w:pPr>
            <w:r w:rsidRPr="00867C77">
              <w:rPr>
                <w:sz w:val="20"/>
                <w:lang w:eastAsia="ja-JP"/>
              </w:rPr>
              <w:t>Haematological</w:t>
            </w:r>
            <w:r w:rsidR="00A7727F" w:rsidRPr="00867C77">
              <w:rPr>
                <w:sz w:val="20"/>
                <w:lang w:eastAsia="ja-JP"/>
              </w:rPr>
              <w:t xml:space="preserve"> relapse subsequent to CR/CRh* on protocol</w:t>
            </w:r>
          </w:p>
          <w:p w14:paraId="436C7B89" w14:textId="77777777" w:rsidR="00A7727F" w:rsidRPr="00867C77" w:rsidRDefault="00A7727F" w:rsidP="00087EDC">
            <w:pPr>
              <w:ind w:left="0" w:right="0"/>
              <w:rPr>
                <w:sz w:val="20"/>
                <w:lang w:eastAsia="ja-JP"/>
              </w:rPr>
            </w:pPr>
            <w:r w:rsidRPr="00867C77">
              <w:rPr>
                <w:sz w:val="20"/>
                <w:lang w:eastAsia="ja-JP"/>
              </w:rPr>
              <w:t>treatment</w:t>
            </w:r>
          </w:p>
        </w:tc>
        <w:tc>
          <w:tcPr>
            <w:tcW w:w="305" w:type="pct"/>
          </w:tcPr>
          <w:p w14:paraId="33CC065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351C341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1606185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602" w:type="pct"/>
          </w:tcPr>
          <w:p w14:paraId="02E082D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(4.3%)</w:t>
            </w:r>
          </w:p>
        </w:tc>
        <w:tc>
          <w:tcPr>
            <w:tcW w:w="239" w:type="pct"/>
          </w:tcPr>
          <w:p w14:paraId="7A09608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699" w:type="pct"/>
          </w:tcPr>
          <w:p w14:paraId="54C8173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(16.7%)</w:t>
            </w:r>
          </w:p>
        </w:tc>
        <w:tc>
          <w:tcPr>
            <w:tcW w:w="241" w:type="pct"/>
          </w:tcPr>
          <w:p w14:paraId="1B30A95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518" w:type="pct"/>
          </w:tcPr>
          <w:p w14:paraId="34DC9C0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(5.6%)</w:t>
            </w:r>
          </w:p>
        </w:tc>
      </w:tr>
      <w:tr w:rsidR="00A7727F" w:rsidRPr="00A7727F" w14:paraId="53107ACB"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4E36D1F7" w14:textId="77777777" w:rsidR="00A7727F" w:rsidRPr="00867C77" w:rsidRDefault="00A7727F" w:rsidP="00087EDC">
            <w:pPr>
              <w:ind w:left="0" w:right="0"/>
              <w:rPr>
                <w:sz w:val="20"/>
                <w:lang w:eastAsia="ja-JP"/>
              </w:rPr>
            </w:pPr>
            <w:r w:rsidRPr="00867C77">
              <w:rPr>
                <w:sz w:val="20"/>
                <w:lang w:eastAsia="ja-JP"/>
              </w:rPr>
              <w:t>Failure to achieve CR/CRh* within 2 complete treatment cycles</w:t>
            </w:r>
          </w:p>
        </w:tc>
        <w:tc>
          <w:tcPr>
            <w:tcW w:w="305" w:type="pct"/>
          </w:tcPr>
          <w:p w14:paraId="2821D34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598" w:type="pct"/>
          </w:tcPr>
          <w:p w14:paraId="34B285B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(14.3%)</w:t>
            </w:r>
          </w:p>
        </w:tc>
        <w:tc>
          <w:tcPr>
            <w:tcW w:w="279" w:type="pct"/>
          </w:tcPr>
          <w:p w14:paraId="3FC05ED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3</w:t>
            </w:r>
          </w:p>
        </w:tc>
        <w:tc>
          <w:tcPr>
            <w:tcW w:w="602" w:type="pct"/>
          </w:tcPr>
          <w:p w14:paraId="520297F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(13.0%)</w:t>
            </w:r>
          </w:p>
        </w:tc>
        <w:tc>
          <w:tcPr>
            <w:tcW w:w="239" w:type="pct"/>
          </w:tcPr>
          <w:p w14:paraId="488D04B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699" w:type="pct"/>
          </w:tcPr>
          <w:p w14:paraId="64FA075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(16.7%)</w:t>
            </w:r>
          </w:p>
        </w:tc>
        <w:tc>
          <w:tcPr>
            <w:tcW w:w="241" w:type="pct"/>
          </w:tcPr>
          <w:p w14:paraId="66F7826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w:t>
            </w:r>
          </w:p>
        </w:tc>
        <w:tc>
          <w:tcPr>
            <w:tcW w:w="518" w:type="pct"/>
          </w:tcPr>
          <w:p w14:paraId="4053347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(13.9%)</w:t>
            </w:r>
          </w:p>
        </w:tc>
      </w:tr>
      <w:tr w:rsidR="00A7727F" w:rsidRPr="00A7727F" w14:paraId="3DBD0D3B"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3A43951D" w14:textId="77777777" w:rsidR="00A7727F" w:rsidRPr="00867C77" w:rsidRDefault="00A7727F" w:rsidP="00087EDC">
            <w:pPr>
              <w:ind w:left="0" w:right="0"/>
              <w:rPr>
                <w:sz w:val="20"/>
                <w:lang w:eastAsia="ja-JP"/>
              </w:rPr>
            </w:pPr>
            <w:r w:rsidRPr="00867C77">
              <w:rPr>
                <w:sz w:val="20"/>
                <w:lang w:eastAsia="ja-JP"/>
              </w:rPr>
              <w:t>Investigator's decision</w:t>
            </w:r>
          </w:p>
        </w:tc>
        <w:tc>
          <w:tcPr>
            <w:tcW w:w="305" w:type="pct"/>
          </w:tcPr>
          <w:p w14:paraId="4DBC4B6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4BA6A94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53B80AD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602" w:type="pct"/>
          </w:tcPr>
          <w:p w14:paraId="5684A6F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(8.7%)</w:t>
            </w:r>
          </w:p>
        </w:tc>
        <w:tc>
          <w:tcPr>
            <w:tcW w:w="239" w:type="pct"/>
          </w:tcPr>
          <w:p w14:paraId="3A06D2F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32D7F0C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213D9C4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518" w:type="pct"/>
          </w:tcPr>
          <w:p w14:paraId="53A00A6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(5.6%)</w:t>
            </w:r>
          </w:p>
        </w:tc>
      </w:tr>
      <w:tr w:rsidR="00A7727F" w:rsidRPr="00A7727F" w14:paraId="0671F4AE"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18B16029" w14:textId="77777777" w:rsidR="00A7727F" w:rsidRPr="00867C77" w:rsidRDefault="00A7727F" w:rsidP="00087EDC">
            <w:pPr>
              <w:ind w:left="0" w:right="0"/>
              <w:rPr>
                <w:sz w:val="20"/>
                <w:lang w:eastAsia="ja-JP"/>
              </w:rPr>
            </w:pPr>
            <w:r w:rsidRPr="00867C77">
              <w:rPr>
                <w:sz w:val="20"/>
                <w:lang w:eastAsia="ja-JP"/>
              </w:rPr>
              <w:t>Administration of non-permitted concomitant medication(s)</w:t>
            </w:r>
          </w:p>
        </w:tc>
        <w:tc>
          <w:tcPr>
            <w:tcW w:w="305" w:type="pct"/>
          </w:tcPr>
          <w:p w14:paraId="67C2C28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35AED49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0F1EB39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27DCA90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574D777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51EBF43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64054E8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3AA27BB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5C15A466"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5CC463B8" w14:textId="77777777" w:rsidR="00A7727F" w:rsidRPr="00867C77" w:rsidRDefault="00A7727F" w:rsidP="00087EDC">
            <w:pPr>
              <w:ind w:left="0" w:right="0"/>
              <w:rPr>
                <w:sz w:val="20"/>
                <w:lang w:eastAsia="ja-JP"/>
              </w:rPr>
            </w:pPr>
            <w:r w:rsidRPr="00867C77">
              <w:rPr>
                <w:sz w:val="20"/>
                <w:lang w:eastAsia="ja-JP"/>
              </w:rPr>
              <w:t>Other</w:t>
            </w:r>
          </w:p>
        </w:tc>
        <w:tc>
          <w:tcPr>
            <w:tcW w:w="305" w:type="pct"/>
          </w:tcPr>
          <w:p w14:paraId="75325FA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288BC93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15B3AE2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602" w:type="pct"/>
          </w:tcPr>
          <w:p w14:paraId="292DFB1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(4.3%)</w:t>
            </w:r>
          </w:p>
        </w:tc>
        <w:tc>
          <w:tcPr>
            <w:tcW w:w="239" w:type="pct"/>
          </w:tcPr>
          <w:p w14:paraId="6405ABA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4896A51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56476BF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w:t>
            </w:r>
          </w:p>
        </w:tc>
        <w:tc>
          <w:tcPr>
            <w:tcW w:w="518" w:type="pct"/>
          </w:tcPr>
          <w:p w14:paraId="0D06E1E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(2.8%)</w:t>
            </w:r>
          </w:p>
        </w:tc>
      </w:tr>
      <w:tr w:rsidR="00A7727F" w:rsidRPr="00A7727F" w14:paraId="34DC6277"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4550C774" w14:textId="77777777" w:rsidR="00A7727F" w:rsidRPr="00867C77" w:rsidRDefault="00A7727F" w:rsidP="00087EDC">
            <w:pPr>
              <w:ind w:left="0" w:right="0"/>
              <w:rPr>
                <w:sz w:val="20"/>
                <w:lang w:eastAsia="ja-JP"/>
              </w:rPr>
            </w:pPr>
            <w:r w:rsidRPr="00867C77">
              <w:rPr>
                <w:sz w:val="20"/>
                <w:lang w:eastAsia="ja-JP"/>
              </w:rPr>
              <w:t>Primary reason for study termination</w:t>
            </w:r>
          </w:p>
        </w:tc>
        <w:tc>
          <w:tcPr>
            <w:tcW w:w="305" w:type="pct"/>
          </w:tcPr>
          <w:p w14:paraId="4700844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98" w:type="pct"/>
          </w:tcPr>
          <w:p w14:paraId="79DFA18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79" w:type="pct"/>
          </w:tcPr>
          <w:p w14:paraId="1343F2E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02" w:type="pct"/>
          </w:tcPr>
          <w:p w14:paraId="30C9AF4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9" w:type="pct"/>
          </w:tcPr>
          <w:p w14:paraId="4456153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99" w:type="pct"/>
          </w:tcPr>
          <w:p w14:paraId="357840A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41" w:type="pct"/>
          </w:tcPr>
          <w:p w14:paraId="6154716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18" w:type="pct"/>
          </w:tcPr>
          <w:p w14:paraId="7F8F3B2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A7727F" w:rsidRPr="00A7727F" w14:paraId="18623486"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05BA4447" w14:textId="77777777" w:rsidR="00A7727F" w:rsidRPr="00867C77" w:rsidRDefault="00A7727F" w:rsidP="00087EDC">
            <w:pPr>
              <w:ind w:left="0" w:right="0"/>
              <w:rPr>
                <w:sz w:val="20"/>
                <w:lang w:eastAsia="ja-JP"/>
              </w:rPr>
            </w:pPr>
            <w:r w:rsidRPr="00867C77">
              <w:rPr>
                <w:sz w:val="20"/>
                <w:lang w:eastAsia="ja-JP"/>
              </w:rPr>
              <w:t>End of follow-up period (efficacy F/U and safety F/U)</w:t>
            </w:r>
          </w:p>
        </w:tc>
        <w:tc>
          <w:tcPr>
            <w:tcW w:w="305" w:type="pct"/>
          </w:tcPr>
          <w:p w14:paraId="55DA117D"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29DDBD0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3AA8ABF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73DA5CC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1B2618A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1F8CC14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75DF3E8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106F497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483BD242"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0A85A770" w14:textId="77777777" w:rsidR="00A7727F" w:rsidRPr="00867C77" w:rsidRDefault="00A7727F" w:rsidP="00087EDC">
            <w:pPr>
              <w:ind w:left="0" w:right="0"/>
              <w:rPr>
                <w:sz w:val="20"/>
                <w:lang w:eastAsia="ja-JP"/>
              </w:rPr>
            </w:pPr>
            <w:r w:rsidRPr="00867C77">
              <w:rPr>
                <w:sz w:val="20"/>
                <w:lang w:eastAsia="ja-JP"/>
              </w:rPr>
              <w:t>Subject died</w:t>
            </w:r>
          </w:p>
        </w:tc>
        <w:tc>
          <w:tcPr>
            <w:tcW w:w="305" w:type="pct"/>
          </w:tcPr>
          <w:p w14:paraId="4475345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7</w:t>
            </w:r>
          </w:p>
        </w:tc>
        <w:tc>
          <w:tcPr>
            <w:tcW w:w="598" w:type="pct"/>
          </w:tcPr>
          <w:p w14:paraId="5F66312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(100.0%)</w:t>
            </w:r>
          </w:p>
        </w:tc>
        <w:tc>
          <w:tcPr>
            <w:tcW w:w="279" w:type="pct"/>
          </w:tcPr>
          <w:p w14:paraId="6E791B9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13</w:t>
            </w:r>
          </w:p>
        </w:tc>
        <w:tc>
          <w:tcPr>
            <w:tcW w:w="602" w:type="pct"/>
          </w:tcPr>
          <w:p w14:paraId="3724F31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(56.5%)</w:t>
            </w:r>
          </w:p>
        </w:tc>
        <w:tc>
          <w:tcPr>
            <w:tcW w:w="239" w:type="pct"/>
          </w:tcPr>
          <w:p w14:paraId="1F8F3EE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w:t>
            </w:r>
          </w:p>
        </w:tc>
        <w:tc>
          <w:tcPr>
            <w:tcW w:w="699" w:type="pct"/>
          </w:tcPr>
          <w:p w14:paraId="556E0E6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(33.3%)</w:t>
            </w:r>
          </w:p>
        </w:tc>
        <w:tc>
          <w:tcPr>
            <w:tcW w:w="241" w:type="pct"/>
          </w:tcPr>
          <w:p w14:paraId="7A2C168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22</w:t>
            </w:r>
          </w:p>
        </w:tc>
        <w:tc>
          <w:tcPr>
            <w:tcW w:w="518" w:type="pct"/>
          </w:tcPr>
          <w:p w14:paraId="08693C5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(61.1%)</w:t>
            </w:r>
          </w:p>
        </w:tc>
      </w:tr>
      <w:tr w:rsidR="00A7727F" w:rsidRPr="00A7727F" w14:paraId="46EAAB13"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39FDF7DB" w14:textId="77777777" w:rsidR="00A7727F" w:rsidRPr="00867C77" w:rsidRDefault="00A7727F" w:rsidP="00087EDC">
            <w:pPr>
              <w:ind w:left="0" w:right="0"/>
              <w:rPr>
                <w:sz w:val="20"/>
                <w:lang w:eastAsia="ja-JP"/>
              </w:rPr>
            </w:pPr>
            <w:r w:rsidRPr="00867C77">
              <w:rPr>
                <w:sz w:val="20"/>
                <w:lang w:eastAsia="ja-JP"/>
              </w:rPr>
              <w:t>Subject withdraws informed consent</w:t>
            </w:r>
          </w:p>
        </w:tc>
        <w:tc>
          <w:tcPr>
            <w:tcW w:w="305" w:type="pct"/>
          </w:tcPr>
          <w:p w14:paraId="5F1A6A2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1366E24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6D02EF7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24AA95B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3F3F0292"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6F527A7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4A3243B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055C746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189A9369"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33B1C3F5" w14:textId="77777777" w:rsidR="00A7727F" w:rsidRPr="00867C77" w:rsidRDefault="00A7727F" w:rsidP="00087EDC">
            <w:pPr>
              <w:ind w:left="0" w:right="0"/>
              <w:rPr>
                <w:sz w:val="20"/>
                <w:lang w:eastAsia="ja-JP"/>
              </w:rPr>
            </w:pPr>
            <w:r w:rsidRPr="00867C77">
              <w:rPr>
                <w:sz w:val="20"/>
                <w:lang w:eastAsia="ja-JP"/>
              </w:rPr>
              <w:t>Subject is lost to follow up</w:t>
            </w:r>
          </w:p>
        </w:tc>
        <w:tc>
          <w:tcPr>
            <w:tcW w:w="305" w:type="pct"/>
          </w:tcPr>
          <w:p w14:paraId="45B74F7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2471652C"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2D431F0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030930ED"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12A6931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1B66C76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50FBD12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67934A6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529C79BD"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7D15E0E2" w14:textId="77777777" w:rsidR="00A7727F" w:rsidRPr="00867C77" w:rsidRDefault="00A7727F" w:rsidP="00087EDC">
            <w:pPr>
              <w:ind w:left="0" w:right="0"/>
              <w:rPr>
                <w:sz w:val="20"/>
                <w:lang w:eastAsia="ja-JP"/>
              </w:rPr>
            </w:pPr>
            <w:r w:rsidRPr="00867C77">
              <w:rPr>
                <w:sz w:val="20"/>
                <w:lang w:eastAsia="ja-JP"/>
              </w:rPr>
              <w:t>Subject is not compliant</w:t>
            </w:r>
          </w:p>
        </w:tc>
        <w:tc>
          <w:tcPr>
            <w:tcW w:w="305" w:type="pct"/>
          </w:tcPr>
          <w:p w14:paraId="4B6131B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6ABD1DCF"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742D705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0E3C2AF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354888AA"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3AAFBA2D"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028610B7"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6C3BF11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25EF6293"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57F72099" w14:textId="77777777" w:rsidR="00A7727F" w:rsidRPr="00867C77" w:rsidRDefault="00A7727F" w:rsidP="00087EDC">
            <w:pPr>
              <w:ind w:left="0" w:right="0"/>
              <w:rPr>
                <w:sz w:val="20"/>
                <w:lang w:eastAsia="ja-JP"/>
              </w:rPr>
            </w:pPr>
            <w:r w:rsidRPr="00867C77">
              <w:rPr>
                <w:sz w:val="20"/>
                <w:lang w:eastAsia="ja-JP"/>
              </w:rPr>
              <w:t>Investigator's decision</w:t>
            </w:r>
          </w:p>
        </w:tc>
        <w:tc>
          <w:tcPr>
            <w:tcW w:w="305" w:type="pct"/>
          </w:tcPr>
          <w:p w14:paraId="3EAA7EB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2DCC63B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151920AB"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00070FC6"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29F4D5A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30B44BE5"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0FD05F78"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47EB38D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r w:rsidR="00A7727F" w:rsidRPr="00A7727F" w14:paraId="5E97B65A" w14:textId="77777777" w:rsidTr="007B270B">
        <w:trPr>
          <w:trHeight w:val="164"/>
        </w:trPr>
        <w:tc>
          <w:tcPr>
            <w:cnfStyle w:val="001000000000" w:firstRow="0" w:lastRow="0" w:firstColumn="1" w:lastColumn="0" w:oddVBand="0" w:evenVBand="0" w:oddHBand="0" w:evenHBand="0" w:firstRowFirstColumn="0" w:firstRowLastColumn="0" w:lastRowFirstColumn="0" w:lastRowLastColumn="0"/>
            <w:tcW w:w="1519" w:type="pct"/>
          </w:tcPr>
          <w:p w14:paraId="6BA5612A" w14:textId="77777777" w:rsidR="00A7727F" w:rsidRPr="00867C77" w:rsidRDefault="00A7727F" w:rsidP="00087EDC">
            <w:pPr>
              <w:ind w:left="0" w:right="0"/>
              <w:rPr>
                <w:sz w:val="20"/>
                <w:lang w:eastAsia="ja-JP"/>
              </w:rPr>
            </w:pPr>
            <w:r w:rsidRPr="00867C77">
              <w:rPr>
                <w:sz w:val="20"/>
                <w:lang w:eastAsia="ja-JP"/>
              </w:rPr>
              <w:t>Other</w:t>
            </w:r>
          </w:p>
        </w:tc>
        <w:tc>
          <w:tcPr>
            <w:tcW w:w="305" w:type="pct"/>
          </w:tcPr>
          <w:p w14:paraId="428D7833"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98" w:type="pct"/>
          </w:tcPr>
          <w:p w14:paraId="484924C1"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79" w:type="pct"/>
          </w:tcPr>
          <w:p w14:paraId="3913CCF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02" w:type="pct"/>
          </w:tcPr>
          <w:p w14:paraId="47ABEDB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39" w:type="pct"/>
          </w:tcPr>
          <w:p w14:paraId="29CA425E"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699" w:type="pct"/>
          </w:tcPr>
          <w:p w14:paraId="4F60EA49"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c>
          <w:tcPr>
            <w:tcW w:w="241" w:type="pct"/>
          </w:tcPr>
          <w:p w14:paraId="5408E010"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w:t>
            </w:r>
          </w:p>
        </w:tc>
        <w:tc>
          <w:tcPr>
            <w:tcW w:w="518" w:type="pct"/>
          </w:tcPr>
          <w:p w14:paraId="7388B514" w14:textId="77777777" w:rsidR="00A7727F" w:rsidRPr="00867C77" w:rsidRDefault="00A7727F" w:rsidP="00087EDC">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867C77">
              <w:rPr>
                <w:sz w:val="20"/>
                <w:lang w:eastAsia="ja-JP"/>
              </w:rPr>
              <w:t>(0.0%)</w:t>
            </w:r>
          </w:p>
        </w:tc>
      </w:tr>
    </w:tbl>
    <w:p w14:paraId="6E796BDA" w14:textId="57B1DB07" w:rsidR="00A7727F" w:rsidRPr="00A7727F" w:rsidRDefault="00A7727F" w:rsidP="00867C77">
      <w:pPr>
        <w:pStyle w:val="TableDescription"/>
        <w:rPr>
          <w:lang w:eastAsia="ja-JP"/>
        </w:rPr>
      </w:pPr>
      <w:r w:rsidRPr="00A7727F">
        <w:rPr>
          <w:lang w:eastAsia="ja-JP"/>
        </w:rPr>
        <w:t>Note: Subjects who entered long-term follow-up includes subjects who had a survival follow-up visit or an efficacy follow-up visit.</w:t>
      </w:r>
      <w:r w:rsidR="00867C77">
        <w:rPr>
          <w:lang w:eastAsia="ja-JP"/>
        </w:rPr>
        <w:t xml:space="preserve"> </w:t>
      </w:r>
      <w:r w:rsidRPr="00A7727F">
        <w:rPr>
          <w:lang w:eastAsia="ja-JP"/>
        </w:rPr>
        <w:t>CR: complete remission; CRh*: Complete response/remission with partial recovery of peripheral blood counts; FAS: Full Analysis Set; F/U: follow-up; SAF: Safety Analysis Set</w:t>
      </w:r>
    </w:p>
    <w:p w14:paraId="432B72B8" w14:textId="77777777" w:rsidR="00A7727F" w:rsidRPr="00A7727F" w:rsidRDefault="00A7727F" w:rsidP="008D7B39">
      <w:pPr>
        <w:pStyle w:val="Heading5"/>
        <w:rPr>
          <w:lang w:eastAsia="ja-JP"/>
        </w:rPr>
      </w:pPr>
      <w:r w:rsidRPr="00A7727F">
        <w:rPr>
          <w:lang w:eastAsia="ja-JP"/>
        </w:rPr>
        <w:t>Major protocol violations/deviations</w:t>
      </w:r>
    </w:p>
    <w:p w14:paraId="74DCE5AA" w14:textId="77777777" w:rsidR="00A7727F" w:rsidRPr="00A7727F" w:rsidRDefault="00A7727F" w:rsidP="00A7727F">
      <w:pPr>
        <w:rPr>
          <w:lang w:eastAsia="ja-JP"/>
        </w:rPr>
      </w:pPr>
      <w:r w:rsidRPr="00A7727F">
        <w:rPr>
          <w:lang w:eastAsia="ja-JP"/>
        </w:rPr>
        <w:t>Overall, the most frequently reported protocol deviations were major deviations from treatment schedule with respect to efficacy assessments (17%), cerebrospinal fluid (CSF) prophylaxis not administered before start of new blinatumomab cycle (14%), and non-permitted nonsteroidal anti-inflammatory drug (NSAID) concomitant treatment. None of the protocol deviations in this study were expected to influence the efficacy results of this study or affect the safety of any of the study subjects.</w:t>
      </w:r>
    </w:p>
    <w:p w14:paraId="5963AF61" w14:textId="77777777" w:rsidR="00A7727F" w:rsidRPr="00A7727F" w:rsidRDefault="00A7727F" w:rsidP="008D7B39">
      <w:pPr>
        <w:pStyle w:val="Heading5"/>
        <w:rPr>
          <w:lang w:eastAsia="ja-JP"/>
        </w:rPr>
      </w:pPr>
      <w:r w:rsidRPr="00A7727F">
        <w:rPr>
          <w:lang w:eastAsia="ja-JP"/>
        </w:rPr>
        <w:t>Baseline data</w:t>
      </w:r>
    </w:p>
    <w:p w14:paraId="604C098F" w14:textId="5AC0D77E" w:rsidR="00A7727F" w:rsidRPr="00A7727F" w:rsidRDefault="00A7727F" w:rsidP="00A7727F">
      <w:pPr>
        <w:rPr>
          <w:lang w:eastAsia="ja-JP"/>
        </w:rPr>
      </w:pPr>
      <w:r w:rsidRPr="00A7727F">
        <w:rPr>
          <w:lang w:eastAsia="ja-JP"/>
        </w:rPr>
        <w:t xml:space="preserve">Demographic and general baseline characteristics are shown in </w:t>
      </w:r>
      <w:r w:rsidRPr="00A972DD">
        <w:rPr>
          <w:lang w:eastAsia="ja-JP"/>
        </w:rPr>
        <w:t>Table 3</w:t>
      </w:r>
      <w:r w:rsidR="00233FF5" w:rsidRPr="00A972DD">
        <w:rPr>
          <w:lang w:eastAsia="ja-JP"/>
        </w:rPr>
        <w:t>1</w:t>
      </w:r>
      <w:r w:rsidRPr="00A972DD">
        <w:rPr>
          <w:lang w:eastAsia="ja-JP"/>
        </w:rPr>
        <w:t>.</w:t>
      </w:r>
    </w:p>
    <w:p w14:paraId="60178D50" w14:textId="72994A02" w:rsidR="00A7727F" w:rsidRPr="00A7727F" w:rsidRDefault="00A7727F" w:rsidP="00233FF5">
      <w:pPr>
        <w:pStyle w:val="Tabletitle"/>
        <w:rPr>
          <w:lang w:eastAsia="ja-JP"/>
        </w:rPr>
      </w:pPr>
      <w:bookmarkStart w:id="203" w:name="_Toc292015714"/>
      <w:r w:rsidRPr="00A7727F">
        <w:rPr>
          <w:lang w:eastAsia="ja-JP"/>
        </w:rPr>
        <w:t xml:space="preserve">Table </w:t>
      </w:r>
      <w:r w:rsidR="00B82B39">
        <w:rPr>
          <w:lang w:eastAsia="ja-JP"/>
        </w:rPr>
        <w:t>31:</w:t>
      </w:r>
      <w:r w:rsidR="008D7B39">
        <w:rPr>
          <w:lang w:eastAsia="ja-JP"/>
        </w:rPr>
        <w:t xml:space="preserve"> Subject c</w:t>
      </w:r>
      <w:r w:rsidRPr="00A7727F">
        <w:rPr>
          <w:lang w:eastAsia="ja-JP"/>
        </w:rPr>
        <w:t>haracteristics at Baseli</w:t>
      </w:r>
      <w:r w:rsidR="008D7B39">
        <w:rPr>
          <w:lang w:eastAsia="ja-JP"/>
        </w:rPr>
        <w:t xml:space="preserve">ne (SAF/FAS, </w:t>
      </w:r>
      <w:r w:rsidRPr="00A7727F">
        <w:rPr>
          <w:lang w:eastAsia="ja-JP"/>
        </w:rPr>
        <w:t>by intended dose cohort)</w:t>
      </w:r>
      <w:bookmarkEnd w:id="203"/>
    </w:p>
    <w:tbl>
      <w:tblPr>
        <w:tblStyle w:val="TableTGAblue"/>
        <w:tblW w:w="4832" w:type="pct"/>
        <w:tblLook w:val="04A0" w:firstRow="1" w:lastRow="0" w:firstColumn="1" w:lastColumn="0" w:noHBand="0" w:noVBand="1"/>
        <w:tblDescription w:val="Table 31: Subject characteristics at Baseline (SAF/FAS, by intended dose cohort)"/>
      </w:tblPr>
      <w:tblGrid>
        <w:gridCol w:w="1531"/>
        <w:gridCol w:w="662"/>
        <w:gridCol w:w="1273"/>
        <w:gridCol w:w="662"/>
        <w:gridCol w:w="1170"/>
        <w:gridCol w:w="662"/>
        <w:gridCol w:w="1278"/>
        <w:gridCol w:w="662"/>
        <w:gridCol w:w="1031"/>
      </w:tblGrid>
      <w:tr w:rsidR="008D7B39" w:rsidRPr="00CB21D3" w14:paraId="195D76D9" w14:textId="77777777" w:rsidTr="007B270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860" w:type="pct"/>
            <w:vMerge w:val="restart"/>
          </w:tcPr>
          <w:p w14:paraId="02951227" w14:textId="77777777" w:rsidR="008D7B39" w:rsidRPr="00CB21D3" w:rsidRDefault="008D7B39" w:rsidP="00CB21D3">
            <w:pPr>
              <w:ind w:left="0" w:right="0"/>
              <w:rPr>
                <w:sz w:val="20"/>
                <w:szCs w:val="20"/>
                <w:lang w:eastAsia="ja-JP"/>
              </w:rPr>
            </w:pPr>
          </w:p>
        </w:tc>
        <w:tc>
          <w:tcPr>
            <w:tcW w:w="1088" w:type="pct"/>
            <w:gridSpan w:val="2"/>
          </w:tcPr>
          <w:p w14:paraId="2BE61EB6"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Cohort 1</w:t>
            </w:r>
          </w:p>
          <w:p w14:paraId="3634FCF8" w14:textId="47CB396E"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(15 µg/m²/day)</w:t>
            </w:r>
          </w:p>
          <w:p w14:paraId="29D98033" w14:textId="33B37716"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 = 7)</w:t>
            </w:r>
          </w:p>
        </w:tc>
        <w:tc>
          <w:tcPr>
            <w:tcW w:w="1030" w:type="pct"/>
            <w:gridSpan w:val="2"/>
          </w:tcPr>
          <w:p w14:paraId="1817F0A8"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Cohort 2a/3</w:t>
            </w:r>
          </w:p>
          <w:p w14:paraId="6978257C" w14:textId="02A0A0D3"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(5 to 15 µg/m²/day)</w:t>
            </w:r>
          </w:p>
          <w:p w14:paraId="4142F8B0" w14:textId="32AAFB50"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 = 23)</w:t>
            </w:r>
          </w:p>
        </w:tc>
        <w:tc>
          <w:tcPr>
            <w:tcW w:w="1091" w:type="pct"/>
            <w:gridSpan w:val="2"/>
          </w:tcPr>
          <w:p w14:paraId="414B4E54"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Cohort 2b</w:t>
            </w:r>
          </w:p>
          <w:p w14:paraId="4B29A626" w14:textId="235F00A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(5 to 15 to 30 µg/m²/day)</w:t>
            </w:r>
          </w:p>
          <w:p w14:paraId="17D7E32A" w14:textId="6C3F3850"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 = 6)</w:t>
            </w:r>
          </w:p>
        </w:tc>
        <w:tc>
          <w:tcPr>
            <w:tcW w:w="930" w:type="pct"/>
            <w:gridSpan w:val="2"/>
          </w:tcPr>
          <w:p w14:paraId="50327BA7"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Overall</w:t>
            </w:r>
          </w:p>
          <w:p w14:paraId="3BBE94C1" w14:textId="159ADE2B"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 = 36)</w:t>
            </w:r>
          </w:p>
        </w:tc>
      </w:tr>
      <w:tr w:rsidR="008D7B39" w:rsidRPr="00CB21D3" w14:paraId="5D4EAAB7" w14:textId="77777777" w:rsidTr="007B270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860" w:type="pct"/>
            <w:vMerge/>
          </w:tcPr>
          <w:p w14:paraId="31A5284B" w14:textId="77777777" w:rsidR="008D7B39" w:rsidRPr="00CB21D3" w:rsidRDefault="008D7B39" w:rsidP="00CB21D3">
            <w:pPr>
              <w:ind w:left="0" w:right="0"/>
              <w:rPr>
                <w:sz w:val="20"/>
                <w:szCs w:val="20"/>
                <w:lang w:eastAsia="ja-JP"/>
              </w:rPr>
            </w:pPr>
          </w:p>
        </w:tc>
        <w:tc>
          <w:tcPr>
            <w:tcW w:w="373" w:type="pct"/>
          </w:tcPr>
          <w:p w14:paraId="28078756"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w:t>
            </w:r>
          </w:p>
        </w:tc>
        <w:tc>
          <w:tcPr>
            <w:tcW w:w="715" w:type="pct"/>
          </w:tcPr>
          <w:p w14:paraId="43DFA9A9"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w:t>
            </w:r>
          </w:p>
        </w:tc>
        <w:tc>
          <w:tcPr>
            <w:tcW w:w="373" w:type="pct"/>
          </w:tcPr>
          <w:p w14:paraId="767C93CE"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w:t>
            </w:r>
          </w:p>
        </w:tc>
        <w:tc>
          <w:tcPr>
            <w:tcW w:w="657" w:type="pct"/>
          </w:tcPr>
          <w:p w14:paraId="243F36C1"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w:t>
            </w:r>
          </w:p>
        </w:tc>
        <w:tc>
          <w:tcPr>
            <w:tcW w:w="373" w:type="pct"/>
          </w:tcPr>
          <w:p w14:paraId="282459C4"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w:t>
            </w:r>
          </w:p>
        </w:tc>
        <w:tc>
          <w:tcPr>
            <w:tcW w:w="718" w:type="pct"/>
          </w:tcPr>
          <w:p w14:paraId="15946AE7"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w:t>
            </w:r>
          </w:p>
        </w:tc>
        <w:tc>
          <w:tcPr>
            <w:tcW w:w="373" w:type="pct"/>
          </w:tcPr>
          <w:p w14:paraId="79D5EA52"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n</w:t>
            </w:r>
          </w:p>
        </w:tc>
        <w:tc>
          <w:tcPr>
            <w:tcW w:w="558" w:type="pct"/>
          </w:tcPr>
          <w:p w14:paraId="1E8B33CB" w14:textId="77777777" w:rsidR="008D7B39" w:rsidRPr="00CB21D3" w:rsidRDefault="008D7B39" w:rsidP="00CB21D3">
            <w:pPr>
              <w:ind w:left="0" w:right="0"/>
              <w:cnfStyle w:val="100000000000" w:firstRow="1" w:lastRow="0" w:firstColumn="0" w:lastColumn="0" w:oddVBand="0" w:evenVBand="0" w:oddHBand="0" w:evenHBand="0" w:firstRowFirstColumn="0" w:firstRowLastColumn="0" w:lastRowFirstColumn="0" w:lastRowLastColumn="0"/>
              <w:rPr>
                <w:bCs/>
                <w:sz w:val="20"/>
                <w:szCs w:val="20"/>
                <w:lang w:eastAsia="ja-JP"/>
              </w:rPr>
            </w:pPr>
            <w:r w:rsidRPr="00CB21D3">
              <w:rPr>
                <w:bCs/>
                <w:sz w:val="20"/>
                <w:szCs w:val="20"/>
                <w:lang w:eastAsia="ja-JP"/>
              </w:rPr>
              <w:t>(%)</w:t>
            </w:r>
          </w:p>
        </w:tc>
      </w:tr>
      <w:tr w:rsidR="00B82B39" w:rsidRPr="00CB21D3" w14:paraId="6DDABFC9"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5000" w:type="pct"/>
            <w:gridSpan w:val="9"/>
          </w:tcPr>
          <w:p w14:paraId="4634ACEC" w14:textId="2A7F05EB" w:rsidR="00B82B39" w:rsidRPr="00CB21D3" w:rsidRDefault="00B82B39" w:rsidP="00CB21D3">
            <w:pPr>
              <w:ind w:left="0" w:right="0"/>
              <w:rPr>
                <w:sz w:val="20"/>
                <w:szCs w:val="20"/>
                <w:lang w:eastAsia="ja-JP"/>
              </w:rPr>
            </w:pPr>
            <w:r w:rsidRPr="00CB21D3">
              <w:rPr>
                <w:b/>
                <w:sz w:val="20"/>
                <w:szCs w:val="20"/>
                <w:lang w:eastAsia="ja-JP"/>
              </w:rPr>
              <w:t>Gender</w:t>
            </w:r>
          </w:p>
        </w:tc>
      </w:tr>
      <w:tr w:rsidR="00A7727F" w:rsidRPr="00CB21D3" w14:paraId="745F6526"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7BFC6AFE" w14:textId="29FCB263" w:rsidR="00A7727F" w:rsidRPr="00CB21D3" w:rsidRDefault="00A7727F" w:rsidP="00CB21D3">
            <w:pPr>
              <w:ind w:left="0" w:right="0"/>
              <w:rPr>
                <w:sz w:val="20"/>
                <w:szCs w:val="20"/>
                <w:lang w:eastAsia="ja-JP"/>
              </w:rPr>
            </w:pPr>
            <w:r w:rsidRPr="00CB21D3">
              <w:rPr>
                <w:sz w:val="20"/>
                <w:szCs w:val="20"/>
                <w:lang w:eastAsia="ja-JP"/>
              </w:rPr>
              <w:t>Male</w:t>
            </w:r>
          </w:p>
        </w:tc>
        <w:tc>
          <w:tcPr>
            <w:tcW w:w="373" w:type="pct"/>
          </w:tcPr>
          <w:p w14:paraId="1DA17E8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w:t>
            </w:r>
          </w:p>
        </w:tc>
        <w:tc>
          <w:tcPr>
            <w:tcW w:w="715" w:type="pct"/>
          </w:tcPr>
          <w:p w14:paraId="5780867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(57.1%)</w:t>
            </w:r>
          </w:p>
        </w:tc>
        <w:tc>
          <w:tcPr>
            <w:tcW w:w="373" w:type="pct"/>
          </w:tcPr>
          <w:p w14:paraId="78B3799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14</w:t>
            </w:r>
          </w:p>
        </w:tc>
        <w:tc>
          <w:tcPr>
            <w:tcW w:w="657" w:type="pct"/>
          </w:tcPr>
          <w:p w14:paraId="184D7BF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(60.9%)</w:t>
            </w:r>
          </w:p>
        </w:tc>
        <w:tc>
          <w:tcPr>
            <w:tcW w:w="373" w:type="pct"/>
          </w:tcPr>
          <w:p w14:paraId="6F98826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w:t>
            </w:r>
          </w:p>
        </w:tc>
        <w:tc>
          <w:tcPr>
            <w:tcW w:w="718" w:type="pct"/>
          </w:tcPr>
          <w:p w14:paraId="48D05A1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(66.7%)</w:t>
            </w:r>
          </w:p>
        </w:tc>
        <w:tc>
          <w:tcPr>
            <w:tcW w:w="373" w:type="pct"/>
          </w:tcPr>
          <w:p w14:paraId="7C1C7A0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22</w:t>
            </w:r>
          </w:p>
        </w:tc>
        <w:tc>
          <w:tcPr>
            <w:tcW w:w="558" w:type="pct"/>
          </w:tcPr>
          <w:p w14:paraId="6B81F9F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(61.1%)</w:t>
            </w:r>
          </w:p>
        </w:tc>
      </w:tr>
      <w:tr w:rsidR="00A7727F" w:rsidRPr="00CB21D3" w14:paraId="3115BA76"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0AB85CB7" w14:textId="5E543910" w:rsidR="00A7727F" w:rsidRPr="00CB21D3" w:rsidRDefault="00A7727F" w:rsidP="00CB21D3">
            <w:pPr>
              <w:ind w:left="0" w:right="0"/>
              <w:rPr>
                <w:sz w:val="20"/>
                <w:szCs w:val="20"/>
                <w:lang w:eastAsia="ja-JP"/>
              </w:rPr>
            </w:pPr>
            <w:r w:rsidRPr="00CB21D3">
              <w:rPr>
                <w:sz w:val="20"/>
                <w:szCs w:val="20"/>
                <w:lang w:eastAsia="ja-JP"/>
              </w:rPr>
              <w:t>Female</w:t>
            </w:r>
          </w:p>
        </w:tc>
        <w:tc>
          <w:tcPr>
            <w:tcW w:w="373" w:type="pct"/>
          </w:tcPr>
          <w:p w14:paraId="5DC9A05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715" w:type="pct"/>
          </w:tcPr>
          <w:p w14:paraId="1B18E48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(42.9%)</w:t>
            </w:r>
          </w:p>
        </w:tc>
        <w:tc>
          <w:tcPr>
            <w:tcW w:w="373" w:type="pct"/>
          </w:tcPr>
          <w:p w14:paraId="2502D38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9</w:t>
            </w:r>
          </w:p>
        </w:tc>
        <w:tc>
          <w:tcPr>
            <w:tcW w:w="657" w:type="pct"/>
          </w:tcPr>
          <w:p w14:paraId="78789689"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(39.1%)</w:t>
            </w:r>
          </w:p>
        </w:tc>
        <w:tc>
          <w:tcPr>
            <w:tcW w:w="373" w:type="pct"/>
          </w:tcPr>
          <w:p w14:paraId="4533F91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8" w:type="pct"/>
          </w:tcPr>
          <w:p w14:paraId="75E7897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(33.3%)</w:t>
            </w:r>
          </w:p>
        </w:tc>
        <w:tc>
          <w:tcPr>
            <w:tcW w:w="373" w:type="pct"/>
          </w:tcPr>
          <w:p w14:paraId="4E90CD0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14</w:t>
            </w:r>
          </w:p>
        </w:tc>
        <w:tc>
          <w:tcPr>
            <w:tcW w:w="558" w:type="pct"/>
          </w:tcPr>
          <w:p w14:paraId="241768A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(38.9%)</w:t>
            </w:r>
          </w:p>
        </w:tc>
      </w:tr>
      <w:tr w:rsidR="00A7727F" w:rsidRPr="00CB21D3" w14:paraId="1917A205"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299F0FC5" w14:textId="77777777" w:rsidR="00A7727F" w:rsidRPr="00CB21D3" w:rsidRDefault="00A7727F" w:rsidP="00CB21D3">
            <w:pPr>
              <w:ind w:left="0" w:right="0"/>
              <w:rPr>
                <w:b/>
                <w:sz w:val="20"/>
                <w:szCs w:val="20"/>
                <w:lang w:eastAsia="ja-JP"/>
              </w:rPr>
            </w:pPr>
            <w:r w:rsidRPr="00CB21D3">
              <w:rPr>
                <w:b/>
                <w:sz w:val="20"/>
                <w:szCs w:val="20"/>
                <w:lang w:eastAsia="ja-JP"/>
              </w:rPr>
              <w:t>Age group</w:t>
            </w:r>
          </w:p>
        </w:tc>
        <w:tc>
          <w:tcPr>
            <w:tcW w:w="373" w:type="pct"/>
          </w:tcPr>
          <w:p w14:paraId="562CB64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715" w:type="pct"/>
          </w:tcPr>
          <w:p w14:paraId="0C5AC1F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73" w:type="pct"/>
          </w:tcPr>
          <w:p w14:paraId="10CF6B89"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657" w:type="pct"/>
          </w:tcPr>
          <w:p w14:paraId="005D1B99"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73" w:type="pct"/>
          </w:tcPr>
          <w:p w14:paraId="0EF8723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718" w:type="pct"/>
          </w:tcPr>
          <w:p w14:paraId="6C431D5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373" w:type="pct"/>
          </w:tcPr>
          <w:p w14:paraId="65CAA8D9"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558" w:type="pct"/>
          </w:tcPr>
          <w:p w14:paraId="2ABC691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A7727F" w:rsidRPr="00CB21D3" w14:paraId="2CAEDB6D"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3AAF626C" w14:textId="4FD039EC" w:rsidR="00A7727F" w:rsidRPr="00CB21D3" w:rsidRDefault="008D7B39" w:rsidP="00CB21D3">
            <w:pPr>
              <w:ind w:left="0" w:right="0"/>
              <w:rPr>
                <w:sz w:val="20"/>
                <w:szCs w:val="20"/>
                <w:lang w:eastAsia="ja-JP"/>
              </w:rPr>
            </w:pPr>
            <w:r w:rsidRPr="00CB21D3">
              <w:rPr>
                <w:sz w:val="20"/>
                <w:szCs w:val="20"/>
                <w:lang w:eastAsia="ja-JP"/>
              </w:rPr>
              <w:t>≤</w:t>
            </w:r>
            <w:r w:rsidR="00423768" w:rsidRPr="00CB21D3">
              <w:rPr>
                <w:sz w:val="20"/>
                <w:szCs w:val="20"/>
                <w:lang w:eastAsia="ja-JP"/>
              </w:rPr>
              <w:t xml:space="preserve"> </w:t>
            </w:r>
            <w:r w:rsidR="00A7727F" w:rsidRPr="00CB21D3">
              <w:rPr>
                <w:sz w:val="20"/>
                <w:szCs w:val="20"/>
                <w:lang w:eastAsia="ja-JP"/>
              </w:rPr>
              <w:t>60 years</w:t>
            </w:r>
          </w:p>
        </w:tc>
        <w:tc>
          <w:tcPr>
            <w:tcW w:w="373" w:type="pct"/>
          </w:tcPr>
          <w:p w14:paraId="755FA37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w:t>
            </w:r>
          </w:p>
        </w:tc>
        <w:tc>
          <w:tcPr>
            <w:tcW w:w="715" w:type="pct"/>
          </w:tcPr>
          <w:p w14:paraId="710E40E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(71.4%)</w:t>
            </w:r>
          </w:p>
        </w:tc>
        <w:tc>
          <w:tcPr>
            <w:tcW w:w="373" w:type="pct"/>
          </w:tcPr>
          <w:p w14:paraId="4ADDAF5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20</w:t>
            </w:r>
          </w:p>
        </w:tc>
        <w:tc>
          <w:tcPr>
            <w:tcW w:w="657" w:type="pct"/>
          </w:tcPr>
          <w:p w14:paraId="359BB3E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(87.0%)</w:t>
            </w:r>
          </w:p>
        </w:tc>
        <w:tc>
          <w:tcPr>
            <w:tcW w:w="373" w:type="pct"/>
          </w:tcPr>
          <w:p w14:paraId="315294D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w:t>
            </w:r>
          </w:p>
        </w:tc>
        <w:tc>
          <w:tcPr>
            <w:tcW w:w="718" w:type="pct"/>
          </w:tcPr>
          <w:p w14:paraId="4823EA3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(66.7%)</w:t>
            </w:r>
          </w:p>
        </w:tc>
        <w:tc>
          <w:tcPr>
            <w:tcW w:w="373" w:type="pct"/>
          </w:tcPr>
          <w:p w14:paraId="24DD4D7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29</w:t>
            </w:r>
          </w:p>
        </w:tc>
        <w:tc>
          <w:tcPr>
            <w:tcW w:w="558" w:type="pct"/>
          </w:tcPr>
          <w:p w14:paraId="58F0E5D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(80.6%)</w:t>
            </w:r>
          </w:p>
        </w:tc>
      </w:tr>
      <w:tr w:rsidR="00A7727F" w:rsidRPr="00CB21D3" w14:paraId="7B25D4F5"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4B24A868" w14:textId="11F4D776" w:rsidR="00A7727F" w:rsidRPr="00CB21D3" w:rsidRDefault="00423768" w:rsidP="00CB21D3">
            <w:pPr>
              <w:ind w:left="0" w:right="0"/>
              <w:rPr>
                <w:sz w:val="20"/>
                <w:szCs w:val="20"/>
                <w:lang w:eastAsia="ja-JP"/>
              </w:rPr>
            </w:pPr>
            <w:r w:rsidRPr="00CB21D3">
              <w:rPr>
                <w:sz w:val="20"/>
                <w:szCs w:val="20"/>
                <w:lang w:eastAsia="ja-JP"/>
              </w:rPr>
              <w:t xml:space="preserve">&gt; </w:t>
            </w:r>
            <w:r w:rsidR="00A7727F" w:rsidRPr="00CB21D3">
              <w:rPr>
                <w:sz w:val="20"/>
                <w:szCs w:val="20"/>
                <w:lang w:eastAsia="ja-JP"/>
              </w:rPr>
              <w:t>60 years</w:t>
            </w:r>
          </w:p>
        </w:tc>
        <w:tc>
          <w:tcPr>
            <w:tcW w:w="373" w:type="pct"/>
          </w:tcPr>
          <w:p w14:paraId="585D866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5" w:type="pct"/>
          </w:tcPr>
          <w:p w14:paraId="16F926F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(28.6%)</w:t>
            </w:r>
          </w:p>
        </w:tc>
        <w:tc>
          <w:tcPr>
            <w:tcW w:w="373" w:type="pct"/>
          </w:tcPr>
          <w:p w14:paraId="6F58582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657" w:type="pct"/>
          </w:tcPr>
          <w:p w14:paraId="2B3B81A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(13.0%)</w:t>
            </w:r>
          </w:p>
        </w:tc>
        <w:tc>
          <w:tcPr>
            <w:tcW w:w="373" w:type="pct"/>
          </w:tcPr>
          <w:p w14:paraId="24E9AC4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8" w:type="pct"/>
          </w:tcPr>
          <w:p w14:paraId="3382D3A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(33.3%)</w:t>
            </w:r>
          </w:p>
        </w:tc>
        <w:tc>
          <w:tcPr>
            <w:tcW w:w="373" w:type="pct"/>
          </w:tcPr>
          <w:p w14:paraId="3CFE2F1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7</w:t>
            </w:r>
          </w:p>
        </w:tc>
        <w:tc>
          <w:tcPr>
            <w:tcW w:w="558" w:type="pct"/>
          </w:tcPr>
          <w:p w14:paraId="7E61708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(19.4%)</w:t>
            </w:r>
          </w:p>
        </w:tc>
      </w:tr>
      <w:tr w:rsidR="00B82B39" w:rsidRPr="00CB21D3" w14:paraId="0874C863"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5000" w:type="pct"/>
            <w:gridSpan w:val="9"/>
          </w:tcPr>
          <w:p w14:paraId="4C87953B" w14:textId="4CAA6904" w:rsidR="00B82B39" w:rsidRPr="00CB21D3" w:rsidRDefault="00B82B39" w:rsidP="00CB21D3">
            <w:pPr>
              <w:ind w:left="0" w:right="0"/>
              <w:rPr>
                <w:sz w:val="20"/>
                <w:szCs w:val="20"/>
                <w:lang w:eastAsia="ja-JP"/>
              </w:rPr>
            </w:pPr>
            <w:r w:rsidRPr="00CB21D3">
              <w:rPr>
                <w:b/>
                <w:sz w:val="20"/>
                <w:szCs w:val="20"/>
                <w:lang w:eastAsia="ja-JP"/>
              </w:rPr>
              <w:t>Relapsed/ refractory status</w:t>
            </w:r>
          </w:p>
        </w:tc>
      </w:tr>
      <w:tr w:rsidR="00A7727F" w:rsidRPr="00CB21D3" w14:paraId="7F1E8627"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03382A2D" w14:textId="409C60DB" w:rsidR="00A7727F" w:rsidRPr="00CB21D3" w:rsidRDefault="00A7727F" w:rsidP="00CB21D3">
            <w:pPr>
              <w:ind w:left="0" w:right="0"/>
              <w:rPr>
                <w:sz w:val="20"/>
                <w:szCs w:val="20"/>
                <w:lang w:eastAsia="ja-JP"/>
              </w:rPr>
            </w:pPr>
            <w:r w:rsidRPr="00CB21D3">
              <w:rPr>
                <w:sz w:val="20"/>
                <w:szCs w:val="20"/>
                <w:lang w:eastAsia="ja-JP"/>
              </w:rPr>
              <w:t>Primary Refractory</w:t>
            </w:r>
          </w:p>
        </w:tc>
        <w:tc>
          <w:tcPr>
            <w:tcW w:w="373" w:type="pct"/>
          </w:tcPr>
          <w:p w14:paraId="1CB6BA4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5" w:type="pct"/>
          </w:tcPr>
          <w:p w14:paraId="2914AC3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191F2E2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657" w:type="pct"/>
          </w:tcPr>
          <w:p w14:paraId="5C3A007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(8.7%)</w:t>
            </w:r>
          </w:p>
        </w:tc>
        <w:tc>
          <w:tcPr>
            <w:tcW w:w="373" w:type="pct"/>
          </w:tcPr>
          <w:p w14:paraId="3830592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31D80B8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483FDB6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558" w:type="pct"/>
          </w:tcPr>
          <w:p w14:paraId="54D15E6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(8.3%)</w:t>
            </w:r>
          </w:p>
        </w:tc>
      </w:tr>
      <w:tr w:rsidR="00A7727F" w:rsidRPr="00CB21D3" w14:paraId="4BB1D699"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860" w:type="pct"/>
          </w:tcPr>
          <w:p w14:paraId="510D7AFB" w14:textId="4A3C78BD" w:rsidR="00A7727F" w:rsidRPr="00CB21D3" w:rsidRDefault="00A7727F" w:rsidP="00CB21D3">
            <w:pPr>
              <w:ind w:left="0" w:right="0"/>
              <w:rPr>
                <w:sz w:val="20"/>
                <w:szCs w:val="20"/>
                <w:lang w:eastAsia="ja-JP"/>
              </w:rPr>
            </w:pPr>
            <w:r w:rsidRPr="00CB21D3">
              <w:rPr>
                <w:sz w:val="20"/>
                <w:szCs w:val="20"/>
                <w:lang w:eastAsia="ja-JP"/>
              </w:rPr>
              <w:t>Relapsed</w:t>
            </w:r>
          </w:p>
        </w:tc>
        <w:tc>
          <w:tcPr>
            <w:tcW w:w="373" w:type="pct"/>
          </w:tcPr>
          <w:p w14:paraId="0D33CFE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7</w:t>
            </w:r>
          </w:p>
        </w:tc>
        <w:tc>
          <w:tcPr>
            <w:tcW w:w="715" w:type="pct"/>
          </w:tcPr>
          <w:p w14:paraId="17BC30F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(100.0%)</w:t>
            </w:r>
          </w:p>
        </w:tc>
        <w:tc>
          <w:tcPr>
            <w:tcW w:w="373" w:type="pct"/>
          </w:tcPr>
          <w:p w14:paraId="29AEDE8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21</w:t>
            </w:r>
          </w:p>
        </w:tc>
        <w:tc>
          <w:tcPr>
            <w:tcW w:w="657" w:type="pct"/>
          </w:tcPr>
          <w:p w14:paraId="349BAB5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(91.3%)</w:t>
            </w:r>
          </w:p>
        </w:tc>
        <w:tc>
          <w:tcPr>
            <w:tcW w:w="373" w:type="pct"/>
          </w:tcPr>
          <w:p w14:paraId="530A3C8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w:t>
            </w:r>
          </w:p>
        </w:tc>
        <w:tc>
          <w:tcPr>
            <w:tcW w:w="718" w:type="pct"/>
          </w:tcPr>
          <w:p w14:paraId="4AC182F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(83.3%)</w:t>
            </w:r>
          </w:p>
        </w:tc>
        <w:tc>
          <w:tcPr>
            <w:tcW w:w="373" w:type="pct"/>
          </w:tcPr>
          <w:p w14:paraId="7CC9980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33</w:t>
            </w:r>
          </w:p>
        </w:tc>
        <w:tc>
          <w:tcPr>
            <w:tcW w:w="558" w:type="pct"/>
          </w:tcPr>
          <w:p w14:paraId="5CDAA9D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(91.7%)</w:t>
            </w:r>
          </w:p>
        </w:tc>
      </w:tr>
      <w:tr w:rsidR="00B82B39" w:rsidRPr="00CB21D3" w14:paraId="7CC375D1" w14:textId="77777777" w:rsidTr="007B270B">
        <w:trPr>
          <w:trHeight w:val="144"/>
        </w:trPr>
        <w:tc>
          <w:tcPr>
            <w:cnfStyle w:val="001000000000" w:firstRow="0" w:lastRow="0" w:firstColumn="1" w:lastColumn="0" w:oddVBand="0" w:evenVBand="0" w:oddHBand="0" w:evenHBand="0" w:firstRowFirstColumn="0" w:firstRowLastColumn="0" w:lastRowFirstColumn="0" w:lastRowLastColumn="0"/>
            <w:tcW w:w="5000" w:type="pct"/>
            <w:gridSpan w:val="9"/>
          </w:tcPr>
          <w:p w14:paraId="7418F6DD" w14:textId="1AB1A110" w:rsidR="00B82B39" w:rsidRPr="00CB21D3" w:rsidRDefault="00B82B39" w:rsidP="00CB21D3">
            <w:pPr>
              <w:ind w:left="0" w:right="0"/>
              <w:rPr>
                <w:sz w:val="20"/>
                <w:szCs w:val="20"/>
                <w:lang w:eastAsia="ja-JP"/>
              </w:rPr>
            </w:pPr>
            <w:r w:rsidRPr="00CB21D3">
              <w:rPr>
                <w:b/>
                <w:sz w:val="20"/>
                <w:szCs w:val="20"/>
                <w:lang w:eastAsia="ja-JP"/>
              </w:rPr>
              <w:t>Number of prior relapses at study entry</w:t>
            </w:r>
          </w:p>
        </w:tc>
      </w:tr>
      <w:tr w:rsidR="00A7727F" w:rsidRPr="00CB21D3" w14:paraId="677E3B3B"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860" w:type="pct"/>
          </w:tcPr>
          <w:p w14:paraId="718BC4BD" w14:textId="0E1BA21B" w:rsidR="00A7727F" w:rsidRPr="00CB21D3" w:rsidRDefault="00A7727F" w:rsidP="00CB21D3">
            <w:pPr>
              <w:ind w:left="0" w:right="0"/>
              <w:rPr>
                <w:sz w:val="20"/>
                <w:szCs w:val="20"/>
                <w:lang w:eastAsia="ja-JP"/>
              </w:rPr>
            </w:pPr>
            <w:r w:rsidRPr="00CB21D3">
              <w:rPr>
                <w:sz w:val="20"/>
                <w:szCs w:val="20"/>
                <w:lang w:eastAsia="ja-JP"/>
              </w:rPr>
              <w:t>0</w:t>
            </w:r>
          </w:p>
        </w:tc>
        <w:tc>
          <w:tcPr>
            <w:tcW w:w="373" w:type="pct"/>
          </w:tcPr>
          <w:p w14:paraId="1A07839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5" w:type="pct"/>
          </w:tcPr>
          <w:p w14:paraId="2D4F23B9"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501A461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657" w:type="pct"/>
          </w:tcPr>
          <w:p w14:paraId="1AFF26E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(8.7%)</w:t>
            </w:r>
          </w:p>
        </w:tc>
        <w:tc>
          <w:tcPr>
            <w:tcW w:w="373" w:type="pct"/>
          </w:tcPr>
          <w:p w14:paraId="4983A01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59A1731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21C8FFF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558" w:type="pct"/>
          </w:tcPr>
          <w:p w14:paraId="370F781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(8.3%)</w:t>
            </w:r>
          </w:p>
        </w:tc>
      </w:tr>
      <w:tr w:rsidR="00A7727F" w:rsidRPr="00CB21D3" w14:paraId="46D26E28" w14:textId="77777777" w:rsidTr="007B270B">
        <w:trPr>
          <w:trHeight w:val="471"/>
        </w:trPr>
        <w:tc>
          <w:tcPr>
            <w:cnfStyle w:val="001000000000" w:firstRow="0" w:lastRow="0" w:firstColumn="1" w:lastColumn="0" w:oddVBand="0" w:evenVBand="0" w:oddHBand="0" w:evenHBand="0" w:firstRowFirstColumn="0" w:firstRowLastColumn="0" w:lastRowFirstColumn="0" w:lastRowLastColumn="0"/>
            <w:tcW w:w="860" w:type="pct"/>
          </w:tcPr>
          <w:p w14:paraId="70B32777" w14:textId="5526AC17" w:rsidR="00A7727F" w:rsidRPr="00CB21D3" w:rsidRDefault="00A7727F" w:rsidP="00CB21D3">
            <w:pPr>
              <w:ind w:left="0" w:right="0"/>
              <w:rPr>
                <w:sz w:val="20"/>
                <w:szCs w:val="20"/>
                <w:lang w:eastAsia="ja-JP"/>
              </w:rPr>
            </w:pPr>
            <w:r w:rsidRPr="00CB21D3">
              <w:rPr>
                <w:sz w:val="20"/>
                <w:szCs w:val="20"/>
                <w:lang w:eastAsia="ja-JP"/>
              </w:rPr>
              <w:t>1</w:t>
            </w:r>
          </w:p>
        </w:tc>
        <w:tc>
          <w:tcPr>
            <w:tcW w:w="373" w:type="pct"/>
          </w:tcPr>
          <w:p w14:paraId="23FDE2B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w:t>
            </w:r>
          </w:p>
        </w:tc>
        <w:tc>
          <w:tcPr>
            <w:tcW w:w="715" w:type="pct"/>
          </w:tcPr>
          <w:p w14:paraId="5DEE477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(71.4%)</w:t>
            </w:r>
          </w:p>
        </w:tc>
        <w:tc>
          <w:tcPr>
            <w:tcW w:w="373" w:type="pct"/>
          </w:tcPr>
          <w:p w14:paraId="1939602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15</w:t>
            </w:r>
          </w:p>
        </w:tc>
        <w:tc>
          <w:tcPr>
            <w:tcW w:w="657" w:type="pct"/>
          </w:tcPr>
          <w:p w14:paraId="492B690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(65.2%)</w:t>
            </w:r>
          </w:p>
        </w:tc>
        <w:tc>
          <w:tcPr>
            <w:tcW w:w="373" w:type="pct"/>
          </w:tcPr>
          <w:p w14:paraId="2169F53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718" w:type="pct"/>
          </w:tcPr>
          <w:p w14:paraId="78F1CCA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(50.0%)</w:t>
            </w:r>
          </w:p>
        </w:tc>
        <w:tc>
          <w:tcPr>
            <w:tcW w:w="373" w:type="pct"/>
          </w:tcPr>
          <w:p w14:paraId="6F44CB9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23</w:t>
            </w:r>
          </w:p>
        </w:tc>
        <w:tc>
          <w:tcPr>
            <w:tcW w:w="558" w:type="pct"/>
          </w:tcPr>
          <w:p w14:paraId="3D42CD8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(63.9%)</w:t>
            </w:r>
          </w:p>
        </w:tc>
      </w:tr>
      <w:tr w:rsidR="00A7727F" w:rsidRPr="00CB21D3" w14:paraId="77931932"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860" w:type="pct"/>
          </w:tcPr>
          <w:p w14:paraId="11D8D963" w14:textId="47A4D6BB" w:rsidR="00A7727F" w:rsidRPr="00CB21D3" w:rsidRDefault="00A7727F" w:rsidP="00CB21D3">
            <w:pPr>
              <w:ind w:left="0" w:right="0"/>
              <w:rPr>
                <w:sz w:val="20"/>
                <w:szCs w:val="20"/>
                <w:lang w:eastAsia="ja-JP"/>
              </w:rPr>
            </w:pPr>
            <w:r w:rsidRPr="00CB21D3">
              <w:rPr>
                <w:sz w:val="20"/>
                <w:szCs w:val="20"/>
                <w:lang w:eastAsia="ja-JP"/>
              </w:rPr>
              <w:t>2</w:t>
            </w:r>
          </w:p>
        </w:tc>
        <w:tc>
          <w:tcPr>
            <w:tcW w:w="373" w:type="pct"/>
          </w:tcPr>
          <w:p w14:paraId="4718712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5" w:type="pct"/>
          </w:tcPr>
          <w:p w14:paraId="0FBA866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(28.6%)</w:t>
            </w:r>
          </w:p>
        </w:tc>
        <w:tc>
          <w:tcPr>
            <w:tcW w:w="373" w:type="pct"/>
          </w:tcPr>
          <w:p w14:paraId="01C2894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w:t>
            </w:r>
          </w:p>
        </w:tc>
        <w:tc>
          <w:tcPr>
            <w:tcW w:w="657" w:type="pct"/>
          </w:tcPr>
          <w:p w14:paraId="1F18AE8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(26.1%)</w:t>
            </w:r>
          </w:p>
        </w:tc>
        <w:tc>
          <w:tcPr>
            <w:tcW w:w="373" w:type="pct"/>
          </w:tcPr>
          <w:p w14:paraId="10EB323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29F1CD3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3C5B303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9</w:t>
            </w:r>
          </w:p>
        </w:tc>
        <w:tc>
          <w:tcPr>
            <w:tcW w:w="558" w:type="pct"/>
          </w:tcPr>
          <w:p w14:paraId="1154A6E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(25.0%)</w:t>
            </w:r>
          </w:p>
        </w:tc>
      </w:tr>
      <w:tr w:rsidR="00A7727F" w:rsidRPr="00CB21D3" w14:paraId="3AE20E44" w14:textId="77777777" w:rsidTr="007B270B">
        <w:trPr>
          <w:trHeight w:val="471"/>
        </w:trPr>
        <w:tc>
          <w:tcPr>
            <w:cnfStyle w:val="001000000000" w:firstRow="0" w:lastRow="0" w:firstColumn="1" w:lastColumn="0" w:oddVBand="0" w:evenVBand="0" w:oddHBand="0" w:evenHBand="0" w:firstRowFirstColumn="0" w:firstRowLastColumn="0" w:lastRowFirstColumn="0" w:lastRowLastColumn="0"/>
            <w:tcW w:w="860" w:type="pct"/>
          </w:tcPr>
          <w:p w14:paraId="613A7EFC" w14:textId="19CE9EC0" w:rsidR="00A7727F" w:rsidRPr="00CB21D3" w:rsidRDefault="00A7727F" w:rsidP="00CB21D3">
            <w:pPr>
              <w:ind w:left="0" w:right="0"/>
              <w:rPr>
                <w:sz w:val="20"/>
                <w:szCs w:val="20"/>
                <w:lang w:eastAsia="ja-JP"/>
              </w:rPr>
            </w:pPr>
            <w:r w:rsidRPr="00CB21D3">
              <w:rPr>
                <w:sz w:val="20"/>
                <w:szCs w:val="20"/>
                <w:lang w:eastAsia="ja-JP"/>
              </w:rPr>
              <w:t>3</w:t>
            </w:r>
          </w:p>
        </w:tc>
        <w:tc>
          <w:tcPr>
            <w:tcW w:w="373" w:type="pct"/>
          </w:tcPr>
          <w:p w14:paraId="1C26721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5" w:type="pct"/>
          </w:tcPr>
          <w:p w14:paraId="09F3054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4B1EBF2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657" w:type="pct"/>
          </w:tcPr>
          <w:p w14:paraId="7598EC4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06AD2BD9"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3C77E56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5EA82B0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558" w:type="pct"/>
          </w:tcPr>
          <w:p w14:paraId="7488B05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(2.8%)</w:t>
            </w:r>
          </w:p>
        </w:tc>
      </w:tr>
      <w:tr w:rsidR="00A7727F" w:rsidRPr="00CB21D3" w14:paraId="74BDBC59"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860" w:type="pct"/>
          </w:tcPr>
          <w:p w14:paraId="0D4A0892" w14:textId="26ACE4EC" w:rsidR="00A7727F" w:rsidRPr="00CB21D3" w:rsidRDefault="00A7727F" w:rsidP="00CB21D3">
            <w:pPr>
              <w:ind w:left="0" w:right="0"/>
              <w:rPr>
                <w:sz w:val="20"/>
                <w:szCs w:val="20"/>
                <w:lang w:eastAsia="ja-JP"/>
              </w:rPr>
            </w:pPr>
            <w:r w:rsidRPr="00CB21D3">
              <w:rPr>
                <w:sz w:val="20"/>
                <w:szCs w:val="20"/>
                <w:lang w:eastAsia="ja-JP"/>
              </w:rPr>
              <w:t>4</w:t>
            </w:r>
          </w:p>
        </w:tc>
        <w:tc>
          <w:tcPr>
            <w:tcW w:w="373" w:type="pct"/>
          </w:tcPr>
          <w:p w14:paraId="6C376F8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5" w:type="pct"/>
          </w:tcPr>
          <w:p w14:paraId="25BF5C0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3939358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657" w:type="pct"/>
          </w:tcPr>
          <w:p w14:paraId="62C676F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72CEF18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8" w:type="pct"/>
          </w:tcPr>
          <w:p w14:paraId="0814449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0C986DF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558" w:type="pct"/>
          </w:tcPr>
          <w:p w14:paraId="4EBE472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r>
      <w:tr w:rsidR="00B82B39" w:rsidRPr="00CB21D3" w14:paraId="70A746D4" w14:textId="77777777" w:rsidTr="007B270B">
        <w:trPr>
          <w:trHeight w:val="471"/>
        </w:trPr>
        <w:tc>
          <w:tcPr>
            <w:cnfStyle w:val="001000000000" w:firstRow="0" w:lastRow="0" w:firstColumn="1" w:lastColumn="0" w:oddVBand="0" w:evenVBand="0" w:oddHBand="0" w:evenHBand="0" w:firstRowFirstColumn="0" w:firstRowLastColumn="0" w:lastRowFirstColumn="0" w:lastRowLastColumn="0"/>
            <w:tcW w:w="5000" w:type="pct"/>
            <w:gridSpan w:val="9"/>
          </w:tcPr>
          <w:p w14:paraId="2844C0DB" w14:textId="7AEF55B0" w:rsidR="00B82B39" w:rsidRPr="00CB21D3" w:rsidRDefault="00B82B39" w:rsidP="00CB21D3">
            <w:pPr>
              <w:ind w:left="0" w:right="0"/>
              <w:rPr>
                <w:sz w:val="20"/>
                <w:szCs w:val="20"/>
                <w:lang w:eastAsia="ja-JP"/>
              </w:rPr>
            </w:pPr>
            <w:r w:rsidRPr="00CB21D3">
              <w:rPr>
                <w:b/>
                <w:sz w:val="20"/>
                <w:szCs w:val="20"/>
                <w:lang w:eastAsia="ja-JP"/>
              </w:rPr>
              <w:t>Prior allogeneic HSCT</w:t>
            </w:r>
          </w:p>
        </w:tc>
      </w:tr>
      <w:tr w:rsidR="00A7727F" w:rsidRPr="00CB21D3" w14:paraId="21A84A46" w14:textId="77777777" w:rsidTr="007B270B">
        <w:trPr>
          <w:trHeight w:val="713"/>
        </w:trPr>
        <w:tc>
          <w:tcPr>
            <w:cnfStyle w:val="001000000000" w:firstRow="0" w:lastRow="0" w:firstColumn="1" w:lastColumn="0" w:oddVBand="0" w:evenVBand="0" w:oddHBand="0" w:evenHBand="0" w:firstRowFirstColumn="0" w:firstRowLastColumn="0" w:lastRowFirstColumn="0" w:lastRowLastColumn="0"/>
            <w:tcW w:w="860" w:type="pct"/>
          </w:tcPr>
          <w:p w14:paraId="5C5538D6" w14:textId="51D6FBEA" w:rsidR="00A7727F" w:rsidRPr="00CB21D3" w:rsidRDefault="00A7727F" w:rsidP="00CB21D3">
            <w:pPr>
              <w:ind w:left="0" w:right="0"/>
              <w:rPr>
                <w:sz w:val="20"/>
                <w:szCs w:val="20"/>
                <w:lang w:eastAsia="ja-JP"/>
              </w:rPr>
            </w:pPr>
            <w:r w:rsidRPr="00CB21D3">
              <w:rPr>
                <w:sz w:val="20"/>
                <w:szCs w:val="20"/>
                <w:lang w:eastAsia="ja-JP"/>
              </w:rPr>
              <w:t>Prior allogeneic HSCT</w:t>
            </w:r>
          </w:p>
        </w:tc>
        <w:tc>
          <w:tcPr>
            <w:tcW w:w="373" w:type="pct"/>
          </w:tcPr>
          <w:p w14:paraId="4C72537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715" w:type="pct"/>
          </w:tcPr>
          <w:p w14:paraId="58F8E16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(42.9%)</w:t>
            </w:r>
          </w:p>
        </w:tc>
        <w:tc>
          <w:tcPr>
            <w:tcW w:w="373" w:type="pct"/>
          </w:tcPr>
          <w:p w14:paraId="5EEB4EA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10</w:t>
            </w:r>
          </w:p>
        </w:tc>
        <w:tc>
          <w:tcPr>
            <w:tcW w:w="657" w:type="pct"/>
          </w:tcPr>
          <w:p w14:paraId="0436608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(43.5%)</w:t>
            </w:r>
          </w:p>
        </w:tc>
        <w:tc>
          <w:tcPr>
            <w:tcW w:w="373" w:type="pct"/>
          </w:tcPr>
          <w:p w14:paraId="3520C89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8" w:type="pct"/>
          </w:tcPr>
          <w:p w14:paraId="45BB5A1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(33.3%)</w:t>
            </w:r>
          </w:p>
        </w:tc>
        <w:tc>
          <w:tcPr>
            <w:tcW w:w="373" w:type="pct"/>
          </w:tcPr>
          <w:p w14:paraId="3F7CD28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15</w:t>
            </w:r>
          </w:p>
        </w:tc>
        <w:tc>
          <w:tcPr>
            <w:tcW w:w="558" w:type="pct"/>
          </w:tcPr>
          <w:p w14:paraId="32A5E75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(41.7%)</w:t>
            </w:r>
          </w:p>
        </w:tc>
      </w:tr>
      <w:tr w:rsidR="00A7727F" w:rsidRPr="00CB21D3" w14:paraId="5AB7BEA1" w14:textId="77777777" w:rsidTr="007B270B">
        <w:trPr>
          <w:trHeight w:val="713"/>
        </w:trPr>
        <w:tc>
          <w:tcPr>
            <w:cnfStyle w:val="001000000000" w:firstRow="0" w:lastRow="0" w:firstColumn="1" w:lastColumn="0" w:oddVBand="0" w:evenVBand="0" w:oddHBand="0" w:evenHBand="0" w:firstRowFirstColumn="0" w:firstRowLastColumn="0" w:lastRowFirstColumn="0" w:lastRowLastColumn="0"/>
            <w:tcW w:w="860" w:type="pct"/>
          </w:tcPr>
          <w:p w14:paraId="50362137" w14:textId="3F8B131B" w:rsidR="00A7727F" w:rsidRPr="00CB21D3" w:rsidRDefault="00A7727F" w:rsidP="00CB21D3">
            <w:pPr>
              <w:ind w:left="0" w:right="0"/>
              <w:rPr>
                <w:sz w:val="20"/>
                <w:szCs w:val="20"/>
                <w:lang w:eastAsia="ja-JP"/>
              </w:rPr>
            </w:pPr>
            <w:r w:rsidRPr="00CB21D3">
              <w:rPr>
                <w:sz w:val="20"/>
                <w:szCs w:val="20"/>
                <w:lang w:eastAsia="ja-JP"/>
              </w:rPr>
              <w:t>Sibling (last HSCT)</w:t>
            </w:r>
          </w:p>
        </w:tc>
        <w:tc>
          <w:tcPr>
            <w:tcW w:w="373" w:type="pct"/>
          </w:tcPr>
          <w:p w14:paraId="47A5274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5" w:type="pct"/>
          </w:tcPr>
          <w:p w14:paraId="25DFAE2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(14.3%)</w:t>
            </w:r>
          </w:p>
        </w:tc>
        <w:tc>
          <w:tcPr>
            <w:tcW w:w="373" w:type="pct"/>
          </w:tcPr>
          <w:p w14:paraId="1128B0DD"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657" w:type="pct"/>
          </w:tcPr>
          <w:p w14:paraId="6115C59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(4.3%)</w:t>
            </w:r>
          </w:p>
        </w:tc>
        <w:tc>
          <w:tcPr>
            <w:tcW w:w="373" w:type="pct"/>
          </w:tcPr>
          <w:p w14:paraId="1B49C0E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777ABE6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3AE756C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558" w:type="pct"/>
          </w:tcPr>
          <w:p w14:paraId="57F7DBC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(8.3%)</w:t>
            </w:r>
          </w:p>
        </w:tc>
      </w:tr>
      <w:tr w:rsidR="00A7727F" w:rsidRPr="00CB21D3" w14:paraId="2CC2B6CD"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860" w:type="pct"/>
          </w:tcPr>
          <w:p w14:paraId="5619160E" w14:textId="5568B724" w:rsidR="00A7727F" w:rsidRPr="00CB21D3" w:rsidRDefault="00A7727F" w:rsidP="00CB21D3">
            <w:pPr>
              <w:ind w:left="0" w:right="0"/>
              <w:rPr>
                <w:sz w:val="20"/>
                <w:szCs w:val="20"/>
                <w:lang w:eastAsia="ja-JP"/>
              </w:rPr>
            </w:pPr>
            <w:r w:rsidRPr="00CB21D3">
              <w:rPr>
                <w:sz w:val="20"/>
                <w:szCs w:val="20"/>
                <w:lang w:eastAsia="ja-JP"/>
              </w:rPr>
              <w:t>Unrelated</w:t>
            </w:r>
          </w:p>
        </w:tc>
        <w:tc>
          <w:tcPr>
            <w:tcW w:w="373" w:type="pct"/>
          </w:tcPr>
          <w:p w14:paraId="1B7002A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5" w:type="pct"/>
          </w:tcPr>
          <w:p w14:paraId="3323C71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(28.6%)</w:t>
            </w:r>
          </w:p>
        </w:tc>
        <w:tc>
          <w:tcPr>
            <w:tcW w:w="373" w:type="pct"/>
          </w:tcPr>
          <w:p w14:paraId="7E9AB80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9</w:t>
            </w:r>
          </w:p>
        </w:tc>
        <w:tc>
          <w:tcPr>
            <w:tcW w:w="657" w:type="pct"/>
          </w:tcPr>
          <w:p w14:paraId="1093584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(39.1%)</w:t>
            </w:r>
          </w:p>
        </w:tc>
        <w:tc>
          <w:tcPr>
            <w:tcW w:w="373" w:type="pct"/>
          </w:tcPr>
          <w:p w14:paraId="7FAEBDB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6DB0DD1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351F6DE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12</w:t>
            </w:r>
          </w:p>
        </w:tc>
        <w:tc>
          <w:tcPr>
            <w:tcW w:w="558" w:type="pct"/>
          </w:tcPr>
          <w:p w14:paraId="11C77AE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(33.3%)</w:t>
            </w:r>
          </w:p>
        </w:tc>
      </w:tr>
      <w:tr w:rsidR="00A7727F" w:rsidRPr="00CB21D3" w14:paraId="597C3AED" w14:textId="77777777" w:rsidTr="007B270B">
        <w:trPr>
          <w:trHeight w:val="1197"/>
        </w:trPr>
        <w:tc>
          <w:tcPr>
            <w:cnfStyle w:val="001000000000" w:firstRow="0" w:lastRow="0" w:firstColumn="1" w:lastColumn="0" w:oddVBand="0" w:evenVBand="0" w:oddHBand="0" w:evenHBand="0" w:firstRowFirstColumn="0" w:firstRowLastColumn="0" w:lastRowFirstColumn="0" w:lastRowLastColumn="0"/>
            <w:tcW w:w="860" w:type="pct"/>
          </w:tcPr>
          <w:p w14:paraId="44EBA9DE" w14:textId="74DBAD38" w:rsidR="00A7727F" w:rsidRPr="00CB21D3" w:rsidRDefault="00A972DD" w:rsidP="00CB21D3">
            <w:pPr>
              <w:ind w:left="0" w:right="0"/>
              <w:rPr>
                <w:sz w:val="20"/>
                <w:szCs w:val="20"/>
                <w:lang w:eastAsia="ja-JP"/>
              </w:rPr>
            </w:pPr>
            <w:r w:rsidRPr="00CB21D3">
              <w:rPr>
                <w:sz w:val="20"/>
                <w:szCs w:val="20"/>
                <w:lang w:eastAsia="ja-JP"/>
              </w:rPr>
              <w:t>Haploidentical (mother/ father) (last HSCT)</w:t>
            </w:r>
          </w:p>
        </w:tc>
        <w:tc>
          <w:tcPr>
            <w:tcW w:w="373" w:type="pct"/>
          </w:tcPr>
          <w:p w14:paraId="1FE089D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5" w:type="pct"/>
          </w:tcPr>
          <w:p w14:paraId="0415791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46D33BB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657" w:type="pct"/>
          </w:tcPr>
          <w:p w14:paraId="30A7164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150E751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718" w:type="pct"/>
          </w:tcPr>
          <w:p w14:paraId="66AFB2C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c>
          <w:tcPr>
            <w:tcW w:w="373" w:type="pct"/>
          </w:tcPr>
          <w:p w14:paraId="7D6A3C9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w:t>
            </w:r>
          </w:p>
        </w:tc>
        <w:tc>
          <w:tcPr>
            <w:tcW w:w="558" w:type="pct"/>
          </w:tcPr>
          <w:p w14:paraId="6FA2F41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(0.0%)</w:t>
            </w:r>
          </w:p>
        </w:tc>
      </w:tr>
      <w:tr w:rsidR="00A7727F" w:rsidRPr="00CB21D3" w14:paraId="62AD26D1" w14:textId="77777777" w:rsidTr="007B270B">
        <w:trPr>
          <w:trHeight w:val="1070"/>
        </w:trPr>
        <w:tc>
          <w:tcPr>
            <w:cnfStyle w:val="001000000000" w:firstRow="0" w:lastRow="0" w:firstColumn="1" w:lastColumn="0" w:oddVBand="0" w:evenVBand="0" w:oddHBand="0" w:evenHBand="0" w:firstRowFirstColumn="0" w:firstRowLastColumn="0" w:lastRowFirstColumn="0" w:lastRowLastColumn="0"/>
            <w:tcW w:w="860" w:type="pct"/>
          </w:tcPr>
          <w:p w14:paraId="0DED8512" w14:textId="39F76F64" w:rsidR="00A7727F" w:rsidRPr="00CB21D3" w:rsidRDefault="00375CAE" w:rsidP="00CB21D3">
            <w:pPr>
              <w:ind w:left="0" w:right="0"/>
              <w:rPr>
                <w:sz w:val="20"/>
                <w:szCs w:val="20"/>
                <w:lang w:eastAsia="ja-JP"/>
              </w:rPr>
            </w:pPr>
            <w:r w:rsidRPr="00CB21D3">
              <w:rPr>
                <w:sz w:val="20"/>
                <w:szCs w:val="20"/>
                <w:lang w:eastAsia="ja-JP"/>
              </w:rPr>
              <w:t xml:space="preserve"> </w:t>
            </w:r>
            <w:r w:rsidR="00A7727F" w:rsidRPr="00CB21D3">
              <w:rPr>
                <w:sz w:val="20"/>
                <w:szCs w:val="20"/>
                <w:lang w:eastAsia="ja-JP"/>
              </w:rPr>
              <w:t>No prior allogeneic</w:t>
            </w:r>
          </w:p>
          <w:p w14:paraId="6C16B763" w14:textId="77777777" w:rsidR="00A7727F" w:rsidRPr="00CB21D3" w:rsidRDefault="00A7727F" w:rsidP="00CB21D3">
            <w:pPr>
              <w:ind w:left="0" w:right="0"/>
              <w:rPr>
                <w:sz w:val="20"/>
                <w:szCs w:val="20"/>
                <w:lang w:eastAsia="ja-JP"/>
              </w:rPr>
            </w:pPr>
            <w:r w:rsidRPr="00CB21D3">
              <w:rPr>
                <w:sz w:val="20"/>
                <w:szCs w:val="20"/>
                <w:lang w:eastAsia="ja-JP"/>
              </w:rPr>
              <w:t>HSCT</w:t>
            </w:r>
          </w:p>
        </w:tc>
        <w:tc>
          <w:tcPr>
            <w:tcW w:w="373" w:type="pct"/>
          </w:tcPr>
          <w:p w14:paraId="3E86457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w:t>
            </w:r>
          </w:p>
        </w:tc>
        <w:tc>
          <w:tcPr>
            <w:tcW w:w="715" w:type="pct"/>
          </w:tcPr>
          <w:p w14:paraId="4024448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(57.1%)</w:t>
            </w:r>
          </w:p>
        </w:tc>
        <w:tc>
          <w:tcPr>
            <w:tcW w:w="373" w:type="pct"/>
          </w:tcPr>
          <w:p w14:paraId="4A665F9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13</w:t>
            </w:r>
          </w:p>
        </w:tc>
        <w:tc>
          <w:tcPr>
            <w:tcW w:w="657" w:type="pct"/>
          </w:tcPr>
          <w:p w14:paraId="546CF3B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(56.5%)</w:t>
            </w:r>
          </w:p>
        </w:tc>
        <w:tc>
          <w:tcPr>
            <w:tcW w:w="373" w:type="pct"/>
          </w:tcPr>
          <w:p w14:paraId="72CDF27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w:t>
            </w:r>
          </w:p>
        </w:tc>
        <w:tc>
          <w:tcPr>
            <w:tcW w:w="718" w:type="pct"/>
          </w:tcPr>
          <w:p w14:paraId="61DABFC7"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(66.7%)</w:t>
            </w:r>
          </w:p>
        </w:tc>
        <w:tc>
          <w:tcPr>
            <w:tcW w:w="373" w:type="pct"/>
          </w:tcPr>
          <w:p w14:paraId="1FFC105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21</w:t>
            </w:r>
          </w:p>
        </w:tc>
        <w:tc>
          <w:tcPr>
            <w:tcW w:w="558" w:type="pct"/>
          </w:tcPr>
          <w:p w14:paraId="240B5AF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(58.3%)</w:t>
            </w:r>
          </w:p>
        </w:tc>
      </w:tr>
      <w:tr w:rsidR="00B82B39" w:rsidRPr="00CB21D3" w14:paraId="22AF056A"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5000" w:type="pct"/>
            <w:gridSpan w:val="9"/>
          </w:tcPr>
          <w:p w14:paraId="60D9E83B" w14:textId="4C4BA646" w:rsidR="00B82B39" w:rsidRPr="00CB21D3" w:rsidRDefault="00B82B39" w:rsidP="00CB21D3">
            <w:pPr>
              <w:ind w:left="0" w:right="0"/>
              <w:rPr>
                <w:sz w:val="20"/>
                <w:szCs w:val="20"/>
                <w:lang w:eastAsia="ja-JP"/>
              </w:rPr>
            </w:pPr>
            <w:r w:rsidRPr="00CB21D3">
              <w:rPr>
                <w:b/>
                <w:sz w:val="20"/>
                <w:szCs w:val="20"/>
                <w:lang w:eastAsia="ja-JP"/>
              </w:rPr>
              <w:t>B-precursor ALL</w:t>
            </w:r>
          </w:p>
        </w:tc>
      </w:tr>
      <w:tr w:rsidR="00A7727F" w:rsidRPr="00CB21D3" w14:paraId="0A5F9DD3" w14:textId="77777777" w:rsidTr="007B270B">
        <w:trPr>
          <w:trHeight w:val="471"/>
        </w:trPr>
        <w:tc>
          <w:tcPr>
            <w:cnfStyle w:val="001000000000" w:firstRow="0" w:lastRow="0" w:firstColumn="1" w:lastColumn="0" w:oddVBand="0" w:evenVBand="0" w:oddHBand="0" w:evenHBand="0" w:firstRowFirstColumn="0" w:firstRowLastColumn="0" w:lastRowFirstColumn="0" w:lastRowLastColumn="0"/>
            <w:tcW w:w="860" w:type="pct"/>
          </w:tcPr>
          <w:p w14:paraId="2F6F6F27" w14:textId="0EA8B953" w:rsidR="00A7727F" w:rsidRPr="00CB21D3" w:rsidRDefault="00A7727F" w:rsidP="00CB21D3">
            <w:pPr>
              <w:ind w:left="0" w:right="0"/>
              <w:rPr>
                <w:sz w:val="20"/>
                <w:szCs w:val="20"/>
                <w:lang w:eastAsia="ja-JP"/>
              </w:rPr>
            </w:pPr>
            <w:r w:rsidRPr="00CB21D3">
              <w:rPr>
                <w:sz w:val="20"/>
                <w:szCs w:val="20"/>
                <w:lang w:eastAsia="ja-JP"/>
              </w:rPr>
              <w:t>Yes</w:t>
            </w:r>
          </w:p>
        </w:tc>
        <w:tc>
          <w:tcPr>
            <w:tcW w:w="373" w:type="pct"/>
          </w:tcPr>
          <w:p w14:paraId="6107F51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7</w:t>
            </w:r>
          </w:p>
        </w:tc>
        <w:tc>
          <w:tcPr>
            <w:tcW w:w="715" w:type="pct"/>
          </w:tcPr>
          <w:p w14:paraId="09538AD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(100.0%)</w:t>
            </w:r>
          </w:p>
        </w:tc>
        <w:tc>
          <w:tcPr>
            <w:tcW w:w="373" w:type="pct"/>
          </w:tcPr>
          <w:p w14:paraId="6501449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23</w:t>
            </w:r>
          </w:p>
        </w:tc>
        <w:tc>
          <w:tcPr>
            <w:tcW w:w="657" w:type="pct"/>
          </w:tcPr>
          <w:p w14:paraId="7CB279A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(100.0%)</w:t>
            </w:r>
          </w:p>
        </w:tc>
        <w:tc>
          <w:tcPr>
            <w:tcW w:w="373" w:type="pct"/>
          </w:tcPr>
          <w:p w14:paraId="65F1D91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w:t>
            </w:r>
          </w:p>
        </w:tc>
        <w:tc>
          <w:tcPr>
            <w:tcW w:w="718" w:type="pct"/>
          </w:tcPr>
          <w:p w14:paraId="0A22A7C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(100.0%)</w:t>
            </w:r>
          </w:p>
        </w:tc>
        <w:tc>
          <w:tcPr>
            <w:tcW w:w="373" w:type="pct"/>
          </w:tcPr>
          <w:p w14:paraId="6E8AE49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36</w:t>
            </w:r>
          </w:p>
        </w:tc>
        <w:tc>
          <w:tcPr>
            <w:tcW w:w="558" w:type="pct"/>
          </w:tcPr>
          <w:p w14:paraId="616F6AC3"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(100.0%)</w:t>
            </w:r>
          </w:p>
        </w:tc>
      </w:tr>
      <w:tr w:rsidR="00A7727F" w:rsidRPr="00CB21D3" w14:paraId="74F17589" w14:textId="77777777" w:rsidTr="007B270B">
        <w:trPr>
          <w:trHeight w:val="471"/>
        </w:trPr>
        <w:tc>
          <w:tcPr>
            <w:cnfStyle w:val="001000000000" w:firstRow="0" w:lastRow="0" w:firstColumn="1" w:lastColumn="0" w:oddVBand="0" w:evenVBand="0" w:oddHBand="0" w:evenHBand="0" w:firstRowFirstColumn="0" w:firstRowLastColumn="0" w:lastRowFirstColumn="0" w:lastRowLastColumn="0"/>
            <w:tcW w:w="860" w:type="pct"/>
          </w:tcPr>
          <w:p w14:paraId="1136591C" w14:textId="77777777" w:rsidR="00A7727F" w:rsidRPr="00CB21D3" w:rsidRDefault="00A7727F" w:rsidP="00CB21D3">
            <w:pPr>
              <w:ind w:left="0" w:right="0"/>
              <w:rPr>
                <w:sz w:val="20"/>
                <w:szCs w:val="20"/>
                <w:lang w:eastAsia="ja-JP"/>
              </w:rPr>
            </w:pPr>
            <w:r w:rsidRPr="00CB21D3">
              <w:rPr>
                <w:sz w:val="20"/>
                <w:szCs w:val="20"/>
                <w:lang w:eastAsia="ja-JP"/>
              </w:rPr>
              <w:t>Pro-B-ALL</w:t>
            </w:r>
          </w:p>
        </w:tc>
        <w:tc>
          <w:tcPr>
            <w:tcW w:w="373" w:type="pct"/>
          </w:tcPr>
          <w:p w14:paraId="6D053626"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w:t>
            </w:r>
          </w:p>
        </w:tc>
        <w:tc>
          <w:tcPr>
            <w:tcW w:w="715" w:type="pct"/>
          </w:tcPr>
          <w:p w14:paraId="7BFB4BB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(57.1%)</w:t>
            </w:r>
          </w:p>
        </w:tc>
        <w:tc>
          <w:tcPr>
            <w:tcW w:w="373" w:type="pct"/>
          </w:tcPr>
          <w:p w14:paraId="729555E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657" w:type="pct"/>
          </w:tcPr>
          <w:p w14:paraId="660E047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(8.7%)</w:t>
            </w:r>
          </w:p>
        </w:tc>
        <w:tc>
          <w:tcPr>
            <w:tcW w:w="373" w:type="pct"/>
          </w:tcPr>
          <w:p w14:paraId="42CF33C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w:t>
            </w:r>
          </w:p>
        </w:tc>
        <w:tc>
          <w:tcPr>
            <w:tcW w:w="718" w:type="pct"/>
          </w:tcPr>
          <w:p w14:paraId="2203647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(50.0%)</w:t>
            </w:r>
          </w:p>
        </w:tc>
        <w:tc>
          <w:tcPr>
            <w:tcW w:w="373" w:type="pct"/>
          </w:tcPr>
          <w:p w14:paraId="7732020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9</w:t>
            </w:r>
          </w:p>
        </w:tc>
        <w:tc>
          <w:tcPr>
            <w:tcW w:w="558" w:type="pct"/>
          </w:tcPr>
          <w:p w14:paraId="54845D0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(25.0%)</w:t>
            </w:r>
          </w:p>
        </w:tc>
      </w:tr>
      <w:tr w:rsidR="00A7727F" w:rsidRPr="00CB21D3" w14:paraId="325F4FCF"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860" w:type="pct"/>
          </w:tcPr>
          <w:p w14:paraId="6E36F81C" w14:textId="77777777" w:rsidR="00A7727F" w:rsidRPr="00CB21D3" w:rsidRDefault="00A7727F" w:rsidP="00CB21D3">
            <w:pPr>
              <w:ind w:left="0" w:right="0"/>
              <w:rPr>
                <w:sz w:val="20"/>
                <w:szCs w:val="20"/>
                <w:lang w:eastAsia="ja-JP"/>
              </w:rPr>
            </w:pPr>
            <w:r w:rsidRPr="00CB21D3">
              <w:rPr>
                <w:sz w:val="20"/>
                <w:szCs w:val="20"/>
                <w:lang w:eastAsia="ja-JP"/>
              </w:rPr>
              <w:t>C-ALL</w:t>
            </w:r>
          </w:p>
        </w:tc>
        <w:tc>
          <w:tcPr>
            <w:tcW w:w="373" w:type="pct"/>
          </w:tcPr>
          <w:p w14:paraId="4DD94760"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5" w:type="pct"/>
          </w:tcPr>
          <w:p w14:paraId="23941BC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(14.3%)</w:t>
            </w:r>
          </w:p>
        </w:tc>
        <w:tc>
          <w:tcPr>
            <w:tcW w:w="373" w:type="pct"/>
          </w:tcPr>
          <w:p w14:paraId="03FB267F"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14</w:t>
            </w:r>
          </w:p>
        </w:tc>
        <w:tc>
          <w:tcPr>
            <w:tcW w:w="657" w:type="pct"/>
          </w:tcPr>
          <w:p w14:paraId="5500914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(60.9%)</w:t>
            </w:r>
          </w:p>
        </w:tc>
        <w:tc>
          <w:tcPr>
            <w:tcW w:w="373" w:type="pct"/>
          </w:tcPr>
          <w:p w14:paraId="11D15085"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w:t>
            </w:r>
          </w:p>
        </w:tc>
        <w:tc>
          <w:tcPr>
            <w:tcW w:w="718" w:type="pct"/>
          </w:tcPr>
          <w:p w14:paraId="260AB2FE"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(16.7%)</w:t>
            </w:r>
          </w:p>
        </w:tc>
        <w:tc>
          <w:tcPr>
            <w:tcW w:w="373" w:type="pct"/>
          </w:tcPr>
          <w:p w14:paraId="0381885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16</w:t>
            </w:r>
          </w:p>
        </w:tc>
        <w:tc>
          <w:tcPr>
            <w:tcW w:w="558" w:type="pct"/>
          </w:tcPr>
          <w:p w14:paraId="1B58A28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(44.4%)</w:t>
            </w:r>
          </w:p>
        </w:tc>
      </w:tr>
      <w:tr w:rsidR="00A7727F" w:rsidRPr="00CB21D3" w14:paraId="6319AB91" w14:textId="77777777" w:rsidTr="007B270B">
        <w:trPr>
          <w:trHeight w:val="483"/>
        </w:trPr>
        <w:tc>
          <w:tcPr>
            <w:cnfStyle w:val="001000000000" w:firstRow="0" w:lastRow="0" w:firstColumn="1" w:lastColumn="0" w:oddVBand="0" w:evenVBand="0" w:oddHBand="0" w:evenHBand="0" w:firstRowFirstColumn="0" w:firstRowLastColumn="0" w:lastRowFirstColumn="0" w:lastRowLastColumn="0"/>
            <w:tcW w:w="860" w:type="pct"/>
          </w:tcPr>
          <w:p w14:paraId="0D859856" w14:textId="77777777" w:rsidR="00A7727F" w:rsidRPr="00CB21D3" w:rsidRDefault="00A7727F" w:rsidP="00CB21D3">
            <w:pPr>
              <w:ind w:left="0" w:right="0"/>
              <w:rPr>
                <w:sz w:val="20"/>
                <w:szCs w:val="20"/>
                <w:lang w:eastAsia="ja-JP"/>
              </w:rPr>
            </w:pPr>
            <w:r w:rsidRPr="00CB21D3">
              <w:rPr>
                <w:sz w:val="20"/>
                <w:szCs w:val="20"/>
                <w:lang w:eastAsia="ja-JP"/>
              </w:rPr>
              <w:t>Pre-B-ALL</w:t>
            </w:r>
          </w:p>
        </w:tc>
        <w:tc>
          <w:tcPr>
            <w:tcW w:w="373" w:type="pct"/>
          </w:tcPr>
          <w:p w14:paraId="5931D071"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5" w:type="pct"/>
          </w:tcPr>
          <w:p w14:paraId="6716578A"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(28.6%)</w:t>
            </w:r>
          </w:p>
        </w:tc>
        <w:tc>
          <w:tcPr>
            <w:tcW w:w="373" w:type="pct"/>
          </w:tcPr>
          <w:p w14:paraId="5F2936D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7</w:t>
            </w:r>
          </w:p>
        </w:tc>
        <w:tc>
          <w:tcPr>
            <w:tcW w:w="657" w:type="pct"/>
          </w:tcPr>
          <w:p w14:paraId="4B2939DB"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(30.4%)</w:t>
            </w:r>
          </w:p>
        </w:tc>
        <w:tc>
          <w:tcPr>
            <w:tcW w:w="373" w:type="pct"/>
          </w:tcPr>
          <w:p w14:paraId="079D7468"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2</w:t>
            </w:r>
          </w:p>
        </w:tc>
        <w:tc>
          <w:tcPr>
            <w:tcW w:w="718" w:type="pct"/>
          </w:tcPr>
          <w:p w14:paraId="3E877832"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(33.3%)</w:t>
            </w:r>
          </w:p>
        </w:tc>
        <w:tc>
          <w:tcPr>
            <w:tcW w:w="373" w:type="pct"/>
          </w:tcPr>
          <w:p w14:paraId="6E1AFBC4"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11</w:t>
            </w:r>
          </w:p>
        </w:tc>
        <w:tc>
          <w:tcPr>
            <w:tcW w:w="558" w:type="pct"/>
          </w:tcPr>
          <w:p w14:paraId="1C3973BC" w14:textId="77777777" w:rsidR="00A7727F" w:rsidRPr="00CB21D3" w:rsidRDefault="00A7727F" w:rsidP="00CB21D3">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CB21D3">
              <w:rPr>
                <w:sz w:val="20"/>
                <w:szCs w:val="20"/>
                <w:lang w:eastAsia="ja-JP"/>
              </w:rPr>
              <w:t>(30.6%)</w:t>
            </w:r>
          </w:p>
        </w:tc>
      </w:tr>
    </w:tbl>
    <w:p w14:paraId="6AD7C353" w14:textId="597B0A0E" w:rsidR="00A7727F" w:rsidRPr="00A7727F" w:rsidRDefault="00A7727F" w:rsidP="008D7B39">
      <w:pPr>
        <w:pStyle w:val="TableDescription"/>
        <w:rPr>
          <w:lang w:eastAsia="ja-JP"/>
        </w:rPr>
      </w:pPr>
      <w:r w:rsidRPr="00A7727F">
        <w:rPr>
          <w:lang w:eastAsia="ja-JP"/>
        </w:rPr>
        <w:t>ALL: Acute lymphoblastic leuk</w:t>
      </w:r>
      <w:r w:rsidR="008D7B39">
        <w:rPr>
          <w:lang w:eastAsia="ja-JP"/>
        </w:rPr>
        <w:t>a</w:t>
      </w:r>
      <w:r w:rsidRPr="00A7727F">
        <w:rPr>
          <w:lang w:eastAsia="ja-JP"/>
        </w:rPr>
        <w:t>emia; C-ALL: common type; FAS: Full Analysis Set; HSCT: hematopoietic stem cell transplantation; Pro-B-ALL: immunophenotypic subtype of adult B-Precursor ALL; Pre-B-ALL: immunophenotypic subtype of adult B-Precursor ALL; SAF: Safety Analysis Set</w:t>
      </w:r>
      <w:r w:rsidR="008D7B39">
        <w:rPr>
          <w:lang w:eastAsia="ja-JP"/>
        </w:rPr>
        <w:t>.</w:t>
      </w:r>
    </w:p>
    <w:p w14:paraId="726D2556" w14:textId="77777777" w:rsidR="00A7727F" w:rsidRPr="00A7727F" w:rsidRDefault="00A7727F" w:rsidP="008D7B39">
      <w:pPr>
        <w:pStyle w:val="Heading5"/>
        <w:rPr>
          <w:lang w:eastAsia="ja-JP"/>
        </w:rPr>
      </w:pPr>
      <w:r w:rsidRPr="00A7727F">
        <w:rPr>
          <w:lang w:eastAsia="ja-JP"/>
        </w:rPr>
        <w:t>Results for the primary efficacy outcome</w:t>
      </w:r>
    </w:p>
    <w:p w14:paraId="603E3A85" w14:textId="2C952AB7" w:rsidR="00A7727F" w:rsidRPr="00A7727F" w:rsidRDefault="00A7727F" w:rsidP="00A7727F">
      <w:pPr>
        <w:rPr>
          <w:lang w:eastAsia="ja-JP"/>
        </w:rPr>
      </w:pPr>
      <w:r w:rsidRPr="00A7727F">
        <w:rPr>
          <w:lang w:eastAsia="ja-JP"/>
        </w:rPr>
        <w:t>Results for the primary efficacy endpoint of CR and CRh* rate within 2 cycles of treatment with blinatumomab are presented in Table 3</w:t>
      </w:r>
      <w:r w:rsidR="00233FF5">
        <w:rPr>
          <w:lang w:eastAsia="ja-JP"/>
        </w:rPr>
        <w:t>2, below</w:t>
      </w:r>
      <w:r w:rsidRPr="00A7727F">
        <w:rPr>
          <w:lang w:eastAsia="ja-JP"/>
        </w:rPr>
        <w:t>. The CR + CRh* rate within the first 2 cycles of treatment with blinatumomab was 69% in subjects overall</w:t>
      </w:r>
      <w:r w:rsidR="008D7B39">
        <w:rPr>
          <w:lang w:eastAsia="ja-JP"/>
        </w:rPr>
        <w:t xml:space="preserve"> (25/36 subjects; 95% CI: 51.9 to</w:t>
      </w:r>
      <w:r w:rsidRPr="00A7727F">
        <w:rPr>
          <w:lang w:eastAsia="ja-JP"/>
        </w:rPr>
        <w:t xml:space="preserve"> 83.7) (CR</w:t>
      </w:r>
      <w:r w:rsidR="00375CAE">
        <w:rPr>
          <w:lang w:eastAsia="ja-JP"/>
        </w:rPr>
        <w:t xml:space="preserve"> </w:t>
      </w:r>
      <w:r w:rsidR="00423768">
        <w:rPr>
          <w:lang w:eastAsia="ja-JP"/>
        </w:rPr>
        <w:t>=</w:t>
      </w:r>
      <w:r w:rsidR="00375CAE">
        <w:rPr>
          <w:lang w:eastAsia="ja-JP"/>
        </w:rPr>
        <w:t xml:space="preserve"> </w:t>
      </w:r>
      <w:r w:rsidR="008D7B39">
        <w:rPr>
          <w:lang w:eastAsia="ja-JP"/>
        </w:rPr>
        <w:t>42% (</w:t>
      </w:r>
      <w:r w:rsidRPr="00A7727F">
        <w:rPr>
          <w:lang w:eastAsia="ja-JP"/>
        </w:rPr>
        <w:t>15/</w:t>
      </w:r>
      <w:r w:rsidR="008D7B39">
        <w:rPr>
          <w:lang w:eastAsia="ja-JP"/>
        </w:rPr>
        <w:t>36 subjects; 95% CI: 25.5 to 59.2)</w:t>
      </w:r>
      <w:r w:rsidRPr="00A7727F">
        <w:rPr>
          <w:lang w:eastAsia="ja-JP"/>
        </w:rPr>
        <w:t>; CRh*</w:t>
      </w:r>
      <w:r w:rsidR="00375CAE">
        <w:rPr>
          <w:lang w:eastAsia="ja-JP"/>
        </w:rPr>
        <w:t xml:space="preserve"> </w:t>
      </w:r>
      <w:r w:rsidR="00423768">
        <w:rPr>
          <w:lang w:eastAsia="ja-JP"/>
        </w:rPr>
        <w:t>=</w:t>
      </w:r>
      <w:r w:rsidR="00375CAE">
        <w:rPr>
          <w:lang w:eastAsia="ja-JP"/>
        </w:rPr>
        <w:t xml:space="preserve"> </w:t>
      </w:r>
      <w:r w:rsidRPr="00A7727F">
        <w:rPr>
          <w:lang w:eastAsia="ja-JP"/>
        </w:rPr>
        <w:t>28%</w:t>
      </w:r>
      <w:r w:rsidR="00EF5254">
        <w:rPr>
          <w:lang w:eastAsia="ja-JP"/>
        </w:rPr>
        <w:t xml:space="preserve"> (10/36 subjects; 95% CI: 14.2 to 45.2%)</w:t>
      </w:r>
      <w:r w:rsidRPr="00A7727F">
        <w:rPr>
          <w:lang w:eastAsia="ja-JP"/>
        </w:rPr>
        <w:t>). In cohort 1, the CR + CRh* rate within the first 2 cycles of treatment with blinatumomab for subjects was 7</w:t>
      </w:r>
      <w:r w:rsidR="00EF5254">
        <w:rPr>
          <w:lang w:eastAsia="ja-JP"/>
        </w:rPr>
        <w:t>2% (5/7 subjects; 95% CI: 29.0 to</w:t>
      </w:r>
      <w:r w:rsidRPr="00A7727F">
        <w:rPr>
          <w:lang w:eastAsia="ja-JP"/>
        </w:rPr>
        <w:t xml:space="preserve"> 96.3) (CR</w:t>
      </w:r>
      <w:r w:rsidR="00375CAE">
        <w:rPr>
          <w:lang w:eastAsia="ja-JP"/>
        </w:rPr>
        <w:t xml:space="preserve"> </w:t>
      </w:r>
      <w:r w:rsidR="00423768">
        <w:rPr>
          <w:lang w:eastAsia="ja-JP"/>
        </w:rPr>
        <w:t>=</w:t>
      </w:r>
      <w:r w:rsidR="00375CAE">
        <w:rPr>
          <w:lang w:eastAsia="ja-JP"/>
        </w:rPr>
        <w:t xml:space="preserve"> </w:t>
      </w:r>
      <w:r w:rsidR="00EF5254">
        <w:rPr>
          <w:lang w:eastAsia="ja-JP"/>
        </w:rPr>
        <w:t>14% (</w:t>
      </w:r>
      <w:r w:rsidRPr="00A7727F">
        <w:rPr>
          <w:lang w:eastAsia="ja-JP"/>
        </w:rPr>
        <w:t>1/7 subjects</w:t>
      </w:r>
      <w:r w:rsidR="00EF5254">
        <w:rPr>
          <w:lang w:eastAsia="ja-JP"/>
        </w:rPr>
        <w:t>; 95% CI: 0.4 – 57.9)</w:t>
      </w:r>
      <w:r w:rsidRPr="00A7727F">
        <w:rPr>
          <w:lang w:eastAsia="ja-JP"/>
        </w:rPr>
        <w:t>; CRh*</w:t>
      </w:r>
      <w:r w:rsidR="00EF5254">
        <w:rPr>
          <w:lang w:eastAsia="ja-JP"/>
        </w:rPr>
        <w:t> </w:t>
      </w:r>
      <w:r w:rsidR="00423768">
        <w:rPr>
          <w:lang w:eastAsia="ja-JP"/>
        </w:rPr>
        <w:t>=</w:t>
      </w:r>
      <w:r w:rsidR="00EF5254">
        <w:rPr>
          <w:lang w:eastAsia="ja-JP"/>
        </w:rPr>
        <w:t> 57% (4/7 subjects; 95% CI: 18.4 to 90.1)</w:t>
      </w:r>
      <w:r w:rsidRPr="00A7727F">
        <w:rPr>
          <w:lang w:eastAsia="ja-JP"/>
        </w:rPr>
        <w:t>). In cohort 2a/3, the CR + CRh* rate within the first 2 cycles of treatment with blinatumomab for subjects was 70%</w:t>
      </w:r>
      <w:r w:rsidR="00EF5254">
        <w:rPr>
          <w:lang w:eastAsia="ja-JP"/>
        </w:rPr>
        <w:t xml:space="preserve"> (16/23 subjects; 95% CI: 47.1 to</w:t>
      </w:r>
      <w:r w:rsidRPr="00A7727F">
        <w:rPr>
          <w:lang w:eastAsia="ja-JP"/>
        </w:rPr>
        <w:t xml:space="preserve"> 86.8) (CR</w:t>
      </w:r>
      <w:r w:rsidR="00375CAE">
        <w:rPr>
          <w:lang w:eastAsia="ja-JP"/>
        </w:rPr>
        <w:t xml:space="preserve"> </w:t>
      </w:r>
      <w:r w:rsidR="00423768">
        <w:rPr>
          <w:lang w:eastAsia="ja-JP"/>
        </w:rPr>
        <w:t>=</w:t>
      </w:r>
      <w:r w:rsidR="00375CAE">
        <w:rPr>
          <w:lang w:eastAsia="ja-JP"/>
        </w:rPr>
        <w:t xml:space="preserve"> </w:t>
      </w:r>
      <w:r w:rsidRPr="00A7727F">
        <w:rPr>
          <w:lang w:eastAsia="ja-JP"/>
        </w:rPr>
        <w:t>44% [10/23 subjects; 95% CI</w:t>
      </w:r>
      <w:r w:rsidR="00EF5254">
        <w:rPr>
          <w:lang w:eastAsia="ja-JP"/>
        </w:rPr>
        <w:t>: 23.2 to 65.5)</w:t>
      </w:r>
      <w:r w:rsidRPr="00A7727F">
        <w:rPr>
          <w:lang w:eastAsia="ja-JP"/>
        </w:rPr>
        <w:t>; CRh*</w:t>
      </w:r>
      <w:r w:rsidR="00375CAE">
        <w:rPr>
          <w:lang w:eastAsia="ja-JP"/>
        </w:rPr>
        <w:t xml:space="preserve"> </w:t>
      </w:r>
      <w:r w:rsidR="00423768">
        <w:rPr>
          <w:lang w:eastAsia="ja-JP"/>
        </w:rPr>
        <w:t>=</w:t>
      </w:r>
      <w:r w:rsidR="00375CAE">
        <w:rPr>
          <w:lang w:eastAsia="ja-JP"/>
        </w:rPr>
        <w:t xml:space="preserve"> </w:t>
      </w:r>
      <w:r w:rsidR="00233FF5">
        <w:rPr>
          <w:lang w:eastAsia="ja-JP"/>
        </w:rPr>
        <w:t>26% (</w:t>
      </w:r>
      <w:r w:rsidRPr="00A7727F">
        <w:rPr>
          <w:lang w:eastAsia="ja-JP"/>
        </w:rPr>
        <w:t>6/23 subjects; 95% CI: 10.2</w:t>
      </w:r>
      <w:r w:rsidR="00BA3485">
        <w:rPr>
          <w:lang w:eastAsia="ja-JP"/>
        </w:rPr>
        <w:t xml:space="preserve"> to </w:t>
      </w:r>
      <w:r w:rsidR="00233FF5">
        <w:rPr>
          <w:lang w:eastAsia="ja-JP"/>
        </w:rPr>
        <w:t>48.4)</w:t>
      </w:r>
      <w:r w:rsidRPr="00A7727F">
        <w:rPr>
          <w:lang w:eastAsia="ja-JP"/>
        </w:rPr>
        <w:t>). In cohort 2b, the CR + CRh* rate within the first 2 cycles of treatment with blinatumomab for subjects was 6</w:t>
      </w:r>
      <w:r w:rsidR="00EF5254">
        <w:rPr>
          <w:lang w:eastAsia="ja-JP"/>
        </w:rPr>
        <w:t>7% (4/6 subjects; 95% CI: 22.3 to</w:t>
      </w:r>
      <w:r w:rsidRPr="00A7727F">
        <w:rPr>
          <w:lang w:eastAsia="ja-JP"/>
        </w:rPr>
        <w:t xml:space="preserve"> 95.7) (CR</w:t>
      </w:r>
      <w:r w:rsidR="00375CAE">
        <w:rPr>
          <w:lang w:eastAsia="ja-JP"/>
        </w:rPr>
        <w:t xml:space="preserve"> </w:t>
      </w:r>
      <w:r w:rsidR="00423768">
        <w:rPr>
          <w:lang w:eastAsia="ja-JP"/>
        </w:rPr>
        <w:t>=</w:t>
      </w:r>
      <w:r w:rsidR="00375CAE">
        <w:rPr>
          <w:lang w:eastAsia="ja-JP"/>
        </w:rPr>
        <w:t xml:space="preserve"> </w:t>
      </w:r>
      <w:r w:rsidR="00EF5254">
        <w:rPr>
          <w:lang w:eastAsia="ja-JP"/>
        </w:rPr>
        <w:t>67% (4/6 subjects; 95% CI: 22.3 to</w:t>
      </w:r>
      <w:r w:rsidRPr="00A7727F">
        <w:rPr>
          <w:lang w:eastAsia="ja-JP"/>
        </w:rPr>
        <w:t xml:space="preserve"> 95.</w:t>
      </w:r>
      <w:r w:rsidR="00EF5254">
        <w:rPr>
          <w:lang w:eastAsia="ja-JP"/>
        </w:rPr>
        <w:t>7)</w:t>
      </w:r>
      <w:r w:rsidRPr="00A7727F">
        <w:rPr>
          <w:lang w:eastAsia="ja-JP"/>
        </w:rPr>
        <w:t>; CRh*</w:t>
      </w:r>
      <w:r w:rsidR="00375CAE">
        <w:rPr>
          <w:lang w:eastAsia="ja-JP"/>
        </w:rPr>
        <w:t xml:space="preserve"> </w:t>
      </w:r>
      <w:r w:rsidR="00423768">
        <w:rPr>
          <w:lang w:eastAsia="ja-JP"/>
        </w:rPr>
        <w:t>=</w:t>
      </w:r>
      <w:r w:rsidR="00375CAE">
        <w:rPr>
          <w:lang w:eastAsia="ja-JP"/>
        </w:rPr>
        <w:t xml:space="preserve"> </w:t>
      </w:r>
      <w:r w:rsidR="00EF5254">
        <w:rPr>
          <w:lang w:eastAsia="ja-JP"/>
        </w:rPr>
        <w:t>0% (0 subjects; 95% CI: 0.0 to 45.9)</w:t>
      </w:r>
      <w:r w:rsidRPr="00A7727F">
        <w:rPr>
          <w:lang w:eastAsia="ja-JP"/>
        </w:rPr>
        <w:t>). Similar results for each respective cohort were seen for best response during the first 2 cycles and during the core study across all cycles, indicating that of the subjects who were responders, most achieved their best response during the first 2 blinatumomab treatment cycles.</w:t>
      </w:r>
    </w:p>
    <w:p w14:paraId="4E57D7E8" w14:textId="54052AE9" w:rsidR="00A7727F" w:rsidRPr="00A7727F" w:rsidRDefault="00A7727F" w:rsidP="00A7727F">
      <w:pPr>
        <w:rPr>
          <w:lang w:eastAsia="ja-JP"/>
        </w:rPr>
      </w:pPr>
      <w:r w:rsidRPr="00A7727F">
        <w:rPr>
          <w:lang w:eastAsia="ja-JP"/>
        </w:rPr>
        <w:t xml:space="preserve">In subjects overall, at the end of </w:t>
      </w:r>
      <w:r w:rsidR="007D46D6">
        <w:rPr>
          <w:lang w:eastAsia="ja-JP"/>
        </w:rPr>
        <w:t>Cycle 1</w:t>
      </w:r>
      <w:r w:rsidRPr="00A7727F">
        <w:rPr>
          <w:lang w:eastAsia="ja-JP"/>
        </w:rPr>
        <w:t>, 38% (12/32) of subjects achieved CR, 16% (5/32) of subjects achieved CRh*, 6% (2/32) achieved partial response/remission, 13% (4/32) had neither remission nor relapse, 0% had h</w:t>
      </w:r>
      <w:r w:rsidR="00EF5254">
        <w:rPr>
          <w:lang w:eastAsia="ja-JP"/>
        </w:rPr>
        <w:t>a</w:t>
      </w:r>
      <w:r w:rsidRPr="00A7727F">
        <w:rPr>
          <w:lang w:eastAsia="ja-JP"/>
        </w:rPr>
        <w:t>ematological relapse, and 28% (9/32) of subjects had hypocellular bone marrow (</w:t>
      </w:r>
      <w:r w:rsidR="00233FF5">
        <w:rPr>
          <w:lang w:eastAsia="ja-JP"/>
        </w:rPr>
        <w:t xml:space="preserve">see </w:t>
      </w:r>
      <w:r w:rsidR="00233FF5" w:rsidRPr="00A972DD">
        <w:rPr>
          <w:lang w:eastAsia="ja-JP"/>
        </w:rPr>
        <w:t>Table 33, below</w:t>
      </w:r>
      <w:r w:rsidRPr="00A7727F">
        <w:rPr>
          <w:lang w:eastAsia="ja-JP"/>
        </w:rPr>
        <w:t xml:space="preserve">). At the end of </w:t>
      </w:r>
      <w:r w:rsidR="007D46D6">
        <w:rPr>
          <w:lang w:eastAsia="ja-JP"/>
        </w:rPr>
        <w:t>Cycle 2</w:t>
      </w:r>
      <w:r w:rsidRPr="00A7727F">
        <w:rPr>
          <w:lang w:eastAsia="ja-JP"/>
        </w:rPr>
        <w:t>, 30% (6/20) of subjects achieved CR, 40% (8/20) achieved CRh*, 5% (1/20) achieved partial response/remission, 5% (1/20) had neither remission nor relapse, 0% had haematological relapse, and 20% (4/20) of subjects had hypocellular bone marrow.</w:t>
      </w:r>
    </w:p>
    <w:p w14:paraId="5475F58F" w14:textId="0D1AFA31" w:rsidR="00A7727F" w:rsidRPr="00A7727F" w:rsidRDefault="00A7727F" w:rsidP="00EF5254">
      <w:pPr>
        <w:pStyle w:val="Tabletitle"/>
        <w:rPr>
          <w:lang w:eastAsia="ja-JP"/>
        </w:rPr>
      </w:pPr>
      <w:bookmarkStart w:id="204" w:name="_Toc292015715"/>
      <w:r w:rsidRPr="00A7727F">
        <w:rPr>
          <w:lang w:eastAsia="ja-JP"/>
        </w:rPr>
        <w:t xml:space="preserve">Table </w:t>
      </w:r>
      <w:r w:rsidR="00CB21D3">
        <w:rPr>
          <w:lang w:eastAsia="ja-JP"/>
        </w:rPr>
        <w:t>32:</w:t>
      </w:r>
      <w:r w:rsidR="00C16899">
        <w:rPr>
          <w:lang w:eastAsia="ja-JP"/>
        </w:rPr>
        <w:t xml:space="preserve"> Best r</w:t>
      </w:r>
      <w:r w:rsidRPr="00A7727F">
        <w:rPr>
          <w:lang w:eastAsia="ja-JP"/>
        </w:rPr>
        <w:t xml:space="preserve">esponse during </w:t>
      </w:r>
      <w:r w:rsidR="00EF5254">
        <w:rPr>
          <w:lang w:eastAsia="ja-JP"/>
        </w:rPr>
        <w:t xml:space="preserve">the first 2 cycles (SAF/FAS, </w:t>
      </w:r>
      <w:r w:rsidRPr="00A7727F">
        <w:rPr>
          <w:lang w:eastAsia="ja-JP"/>
        </w:rPr>
        <w:t>intended dose cohort schedule)</w:t>
      </w:r>
      <w:bookmarkEnd w:id="204"/>
    </w:p>
    <w:tbl>
      <w:tblPr>
        <w:tblStyle w:val="TableTGAblue"/>
        <w:tblW w:w="4924" w:type="pct"/>
        <w:tblLayout w:type="fixed"/>
        <w:tblLook w:val="04A0" w:firstRow="1" w:lastRow="0" w:firstColumn="1" w:lastColumn="0" w:noHBand="0" w:noVBand="1"/>
        <w:tblDescription w:val="Table 32: Best response during the first 2 cycles (SAF/FAS, intended dose cohort schedule)"/>
      </w:tblPr>
      <w:tblGrid>
        <w:gridCol w:w="1537"/>
        <w:gridCol w:w="387"/>
        <w:gridCol w:w="814"/>
        <w:gridCol w:w="510"/>
        <w:gridCol w:w="118"/>
        <w:gridCol w:w="388"/>
        <w:gridCol w:w="879"/>
        <w:gridCol w:w="439"/>
        <w:gridCol w:w="118"/>
        <w:gridCol w:w="424"/>
        <w:gridCol w:w="816"/>
        <w:gridCol w:w="637"/>
        <w:gridCol w:w="117"/>
        <w:gridCol w:w="388"/>
        <w:gridCol w:w="816"/>
        <w:gridCol w:w="672"/>
        <w:gridCol w:w="42"/>
      </w:tblGrid>
      <w:tr w:rsidR="00233FF5" w:rsidRPr="00A7727F" w14:paraId="37B8A4A3" w14:textId="77777777" w:rsidTr="00CB21D3">
        <w:trPr>
          <w:gridAfter w:val="1"/>
          <w:cnfStyle w:val="100000000000" w:firstRow="1" w:lastRow="0" w:firstColumn="0" w:lastColumn="0" w:oddVBand="0" w:evenVBand="0" w:oddHBand="0" w:evenHBand="0" w:firstRowFirstColumn="0" w:firstRowLastColumn="0" w:lastRowFirstColumn="0" w:lastRowLastColumn="0"/>
          <w:wAfter w:w="23" w:type="pct"/>
          <w:trHeight w:val="1517"/>
          <w:tblHeader/>
        </w:trPr>
        <w:tc>
          <w:tcPr>
            <w:cnfStyle w:val="001000000000" w:firstRow="0" w:lastRow="0" w:firstColumn="1" w:lastColumn="0" w:oddVBand="0" w:evenVBand="0" w:oddHBand="0" w:evenHBand="0" w:firstRowFirstColumn="0" w:firstRowLastColumn="0" w:lastRowFirstColumn="0" w:lastRowLastColumn="0"/>
            <w:tcW w:w="845" w:type="pct"/>
            <w:vMerge w:val="restart"/>
          </w:tcPr>
          <w:p w14:paraId="4C5A584C" w14:textId="0F1C4DF2" w:rsidR="00EF5254" w:rsidRPr="00EF5254" w:rsidRDefault="00EF5254" w:rsidP="00EF5254">
            <w:pPr>
              <w:ind w:left="0" w:right="0"/>
              <w:rPr>
                <w:sz w:val="20"/>
                <w:lang w:eastAsia="ja-JP"/>
              </w:rPr>
            </w:pPr>
            <w:r w:rsidRPr="00EF5254">
              <w:rPr>
                <w:sz w:val="20"/>
                <w:lang w:eastAsia="ja-JP"/>
              </w:rPr>
              <w:t>Best response during the first 2 cycles</w:t>
            </w:r>
          </w:p>
        </w:tc>
        <w:tc>
          <w:tcPr>
            <w:tcW w:w="940" w:type="pct"/>
            <w:gridSpan w:val="3"/>
          </w:tcPr>
          <w:p w14:paraId="40FA4449" w14:textId="77777777"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Cohort 1</w:t>
            </w:r>
          </w:p>
          <w:p w14:paraId="5C1A74D7" w14:textId="6DACFBFB"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(15 µg/m²/day)</w:t>
            </w:r>
          </w:p>
          <w:p w14:paraId="7E015184" w14:textId="43473EB6"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(N = 7)</w:t>
            </w:r>
          </w:p>
        </w:tc>
        <w:tc>
          <w:tcPr>
            <w:tcW w:w="1002" w:type="pct"/>
            <w:gridSpan w:val="4"/>
          </w:tcPr>
          <w:p w14:paraId="13A126FF" w14:textId="77777777"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Cohort 2a/3</w:t>
            </w:r>
          </w:p>
          <w:p w14:paraId="2861C9CC" w14:textId="4F11B487"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(5 to 15 µg/m²/day)</w:t>
            </w:r>
          </w:p>
          <w:p w14:paraId="4A8763B0" w14:textId="18346151"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(N = 23)</w:t>
            </w:r>
          </w:p>
        </w:tc>
        <w:tc>
          <w:tcPr>
            <w:tcW w:w="1096" w:type="pct"/>
            <w:gridSpan w:val="4"/>
          </w:tcPr>
          <w:p w14:paraId="470822D7" w14:textId="77777777"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Cohort 2b</w:t>
            </w:r>
          </w:p>
          <w:p w14:paraId="1E2D6C06" w14:textId="4315A5DC"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(5 to 15 to 30 µg/m²/day)</w:t>
            </w:r>
          </w:p>
          <w:p w14:paraId="4F95D475" w14:textId="2FB06B57"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(N = 6)</w:t>
            </w:r>
          </w:p>
        </w:tc>
        <w:tc>
          <w:tcPr>
            <w:tcW w:w="1094" w:type="pct"/>
            <w:gridSpan w:val="4"/>
          </w:tcPr>
          <w:p w14:paraId="420461C6" w14:textId="77777777"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Overall</w:t>
            </w:r>
          </w:p>
          <w:p w14:paraId="3D27B788" w14:textId="4EAC58C1" w:rsidR="00EF5254" w:rsidRPr="00EF5254"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EF5254">
              <w:rPr>
                <w:sz w:val="20"/>
                <w:lang w:eastAsia="ja-JP"/>
              </w:rPr>
              <w:t>(N = 36)</w:t>
            </w:r>
          </w:p>
        </w:tc>
      </w:tr>
      <w:tr w:rsidR="00CB21D3" w:rsidRPr="00A7727F" w14:paraId="7D08C58F" w14:textId="77777777" w:rsidTr="00CB21D3">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845" w:type="pct"/>
            <w:vMerge/>
          </w:tcPr>
          <w:p w14:paraId="5E09632E" w14:textId="1923932C" w:rsidR="00EF5254" w:rsidRPr="00EF5254" w:rsidRDefault="00EF5254" w:rsidP="00EF5254">
            <w:pPr>
              <w:ind w:left="0" w:right="0"/>
              <w:rPr>
                <w:sz w:val="20"/>
                <w:lang w:eastAsia="ja-JP"/>
              </w:rPr>
            </w:pPr>
          </w:p>
        </w:tc>
        <w:tc>
          <w:tcPr>
            <w:tcW w:w="213" w:type="pct"/>
          </w:tcPr>
          <w:p w14:paraId="292EBD7E"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n</w:t>
            </w:r>
          </w:p>
        </w:tc>
        <w:tc>
          <w:tcPr>
            <w:tcW w:w="447" w:type="pct"/>
          </w:tcPr>
          <w:p w14:paraId="01286631"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w:t>
            </w:r>
          </w:p>
        </w:tc>
        <w:tc>
          <w:tcPr>
            <w:tcW w:w="345" w:type="pct"/>
            <w:gridSpan w:val="2"/>
          </w:tcPr>
          <w:p w14:paraId="05E509FF"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95% CI</w:t>
            </w:r>
          </w:p>
        </w:tc>
        <w:tc>
          <w:tcPr>
            <w:tcW w:w="213" w:type="pct"/>
          </w:tcPr>
          <w:p w14:paraId="3EBD24D9"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n</w:t>
            </w:r>
          </w:p>
        </w:tc>
        <w:tc>
          <w:tcPr>
            <w:tcW w:w="483" w:type="pct"/>
          </w:tcPr>
          <w:p w14:paraId="793B7A6B"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w:t>
            </w:r>
          </w:p>
        </w:tc>
        <w:tc>
          <w:tcPr>
            <w:tcW w:w="306" w:type="pct"/>
            <w:gridSpan w:val="2"/>
          </w:tcPr>
          <w:p w14:paraId="79D456CD"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95% CI</w:t>
            </w:r>
          </w:p>
        </w:tc>
        <w:tc>
          <w:tcPr>
            <w:tcW w:w="233" w:type="pct"/>
          </w:tcPr>
          <w:p w14:paraId="6212E118"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n</w:t>
            </w:r>
          </w:p>
        </w:tc>
        <w:tc>
          <w:tcPr>
            <w:tcW w:w="448" w:type="pct"/>
          </w:tcPr>
          <w:p w14:paraId="095241D8"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w:t>
            </w:r>
          </w:p>
        </w:tc>
        <w:tc>
          <w:tcPr>
            <w:tcW w:w="414" w:type="pct"/>
            <w:gridSpan w:val="2"/>
          </w:tcPr>
          <w:p w14:paraId="33B4B311"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95% CI</w:t>
            </w:r>
          </w:p>
        </w:tc>
        <w:tc>
          <w:tcPr>
            <w:tcW w:w="213" w:type="pct"/>
          </w:tcPr>
          <w:p w14:paraId="36466479"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n</w:t>
            </w:r>
          </w:p>
        </w:tc>
        <w:tc>
          <w:tcPr>
            <w:tcW w:w="448" w:type="pct"/>
          </w:tcPr>
          <w:p w14:paraId="458952DE"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w:t>
            </w:r>
          </w:p>
        </w:tc>
        <w:tc>
          <w:tcPr>
            <w:tcW w:w="392" w:type="pct"/>
            <w:gridSpan w:val="2"/>
          </w:tcPr>
          <w:p w14:paraId="403CF17B" w14:textId="77777777" w:rsidR="00EF5254" w:rsidRPr="00233FF5" w:rsidRDefault="00EF5254" w:rsidP="00EF5254">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233FF5">
              <w:rPr>
                <w:sz w:val="18"/>
                <w:lang w:eastAsia="ja-JP"/>
              </w:rPr>
              <w:t>95% CI</w:t>
            </w:r>
          </w:p>
        </w:tc>
      </w:tr>
      <w:tr w:rsidR="00233FF5" w:rsidRPr="00A7727F" w14:paraId="28A5FB82" w14:textId="77777777" w:rsidTr="00CB21D3">
        <w:trPr>
          <w:trHeight w:val="1196"/>
        </w:trPr>
        <w:tc>
          <w:tcPr>
            <w:cnfStyle w:val="001000000000" w:firstRow="0" w:lastRow="0" w:firstColumn="1" w:lastColumn="0" w:oddVBand="0" w:evenVBand="0" w:oddHBand="0" w:evenHBand="0" w:firstRowFirstColumn="0" w:firstRowLastColumn="0" w:lastRowFirstColumn="0" w:lastRowLastColumn="0"/>
            <w:tcW w:w="845" w:type="pct"/>
          </w:tcPr>
          <w:p w14:paraId="549002E6" w14:textId="77777777" w:rsidR="00A7727F" w:rsidRPr="00EF5254" w:rsidRDefault="00A7727F" w:rsidP="00EF5254">
            <w:pPr>
              <w:ind w:left="0" w:right="0"/>
              <w:rPr>
                <w:sz w:val="20"/>
                <w:lang w:eastAsia="ja-JP"/>
              </w:rPr>
            </w:pPr>
            <w:r w:rsidRPr="00EF5254">
              <w:rPr>
                <w:sz w:val="20"/>
                <w:lang w:eastAsia="ja-JP"/>
              </w:rPr>
              <w:t>CR/CRh*</w:t>
            </w:r>
          </w:p>
        </w:tc>
        <w:tc>
          <w:tcPr>
            <w:tcW w:w="213" w:type="pct"/>
          </w:tcPr>
          <w:p w14:paraId="33CC067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5</w:t>
            </w:r>
          </w:p>
        </w:tc>
        <w:tc>
          <w:tcPr>
            <w:tcW w:w="447" w:type="pct"/>
          </w:tcPr>
          <w:p w14:paraId="35203BE6"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(71.4%)</w:t>
            </w:r>
          </w:p>
        </w:tc>
        <w:tc>
          <w:tcPr>
            <w:tcW w:w="345" w:type="pct"/>
            <w:gridSpan w:val="2"/>
          </w:tcPr>
          <w:p w14:paraId="30A6C364" w14:textId="67B33035"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(29.0</w:t>
            </w:r>
            <w:r w:rsidR="006A3B04" w:rsidRPr="00233FF5">
              <w:rPr>
                <w:sz w:val="18"/>
                <w:lang w:eastAsia="ja-JP"/>
              </w:rPr>
              <w:t xml:space="preserve"> to </w:t>
            </w:r>
            <w:r w:rsidRPr="00233FF5">
              <w:rPr>
                <w:sz w:val="18"/>
                <w:lang w:eastAsia="ja-JP"/>
              </w:rPr>
              <w:t>96.3%)</w:t>
            </w:r>
          </w:p>
        </w:tc>
        <w:tc>
          <w:tcPr>
            <w:tcW w:w="213" w:type="pct"/>
          </w:tcPr>
          <w:p w14:paraId="08A2AF32"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16</w:t>
            </w:r>
          </w:p>
        </w:tc>
        <w:tc>
          <w:tcPr>
            <w:tcW w:w="483" w:type="pct"/>
          </w:tcPr>
          <w:p w14:paraId="6427B8CD"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(69.6%)</w:t>
            </w:r>
          </w:p>
        </w:tc>
        <w:tc>
          <w:tcPr>
            <w:tcW w:w="306" w:type="pct"/>
            <w:gridSpan w:val="2"/>
          </w:tcPr>
          <w:p w14:paraId="62E96DAF" w14:textId="10B538CE"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(47.1</w:t>
            </w:r>
            <w:r w:rsidR="006A3B04" w:rsidRPr="00233FF5">
              <w:rPr>
                <w:sz w:val="18"/>
                <w:lang w:eastAsia="ja-JP"/>
              </w:rPr>
              <w:t xml:space="preserve"> to </w:t>
            </w:r>
            <w:r w:rsidRPr="00233FF5">
              <w:rPr>
                <w:sz w:val="18"/>
                <w:lang w:eastAsia="ja-JP"/>
              </w:rPr>
              <w:t>86.8%)</w:t>
            </w:r>
          </w:p>
        </w:tc>
        <w:tc>
          <w:tcPr>
            <w:tcW w:w="233" w:type="pct"/>
          </w:tcPr>
          <w:p w14:paraId="3021AAEA"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w:t>
            </w:r>
          </w:p>
        </w:tc>
        <w:tc>
          <w:tcPr>
            <w:tcW w:w="448" w:type="pct"/>
          </w:tcPr>
          <w:p w14:paraId="16A6B2C5"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(66.7%)</w:t>
            </w:r>
          </w:p>
        </w:tc>
        <w:tc>
          <w:tcPr>
            <w:tcW w:w="414" w:type="pct"/>
            <w:gridSpan w:val="2"/>
          </w:tcPr>
          <w:p w14:paraId="1424E84A" w14:textId="21C1162B"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(22.3</w:t>
            </w:r>
            <w:r w:rsidR="006A3B04" w:rsidRPr="00233FF5">
              <w:rPr>
                <w:sz w:val="18"/>
                <w:lang w:eastAsia="ja-JP"/>
              </w:rPr>
              <w:t xml:space="preserve"> to </w:t>
            </w:r>
            <w:r w:rsidRPr="00233FF5">
              <w:rPr>
                <w:sz w:val="18"/>
                <w:lang w:eastAsia="ja-JP"/>
              </w:rPr>
              <w:t>95.7%)</w:t>
            </w:r>
          </w:p>
        </w:tc>
        <w:tc>
          <w:tcPr>
            <w:tcW w:w="213" w:type="pct"/>
          </w:tcPr>
          <w:p w14:paraId="66F0259D"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25</w:t>
            </w:r>
          </w:p>
        </w:tc>
        <w:tc>
          <w:tcPr>
            <w:tcW w:w="448" w:type="pct"/>
          </w:tcPr>
          <w:p w14:paraId="25DFE3DC"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(69.4%)</w:t>
            </w:r>
          </w:p>
        </w:tc>
        <w:tc>
          <w:tcPr>
            <w:tcW w:w="392" w:type="pct"/>
            <w:gridSpan w:val="2"/>
          </w:tcPr>
          <w:p w14:paraId="19353103" w14:textId="433B26A6"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(51.9</w:t>
            </w:r>
            <w:r w:rsidR="006A3B04" w:rsidRPr="00233FF5">
              <w:rPr>
                <w:sz w:val="18"/>
                <w:lang w:eastAsia="ja-JP"/>
              </w:rPr>
              <w:t xml:space="preserve"> to </w:t>
            </w:r>
            <w:r w:rsidRPr="00233FF5">
              <w:rPr>
                <w:sz w:val="18"/>
                <w:lang w:eastAsia="ja-JP"/>
              </w:rPr>
              <w:t>83.7%)</w:t>
            </w:r>
          </w:p>
        </w:tc>
      </w:tr>
      <w:tr w:rsidR="00233FF5" w:rsidRPr="00A7727F" w14:paraId="05DA3AD8" w14:textId="77777777" w:rsidTr="00CB21D3">
        <w:trPr>
          <w:trHeight w:val="1196"/>
        </w:trPr>
        <w:tc>
          <w:tcPr>
            <w:cnfStyle w:val="001000000000" w:firstRow="0" w:lastRow="0" w:firstColumn="1" w:lastColumn="0" w:oddVBand="0" w:evenVBand="0" w:oddHBand="0" w:evenHBand="0" w:firstRowFirstColumn="0" w:firstRowLastColumn="0" w:lastRowFirstColumn="0" w:lastRowLastColumn="0"/>
            <w:tcW w:w="845" w:type="pct"/>
          </w:tcPr>
          <w:p w14:paraId="02AE85A5" w14:textId="77777777" w:rsidR="00A7727F" w:rsidRPr="00EF5254" w:rsidRDefault="00A7727F" w:rsidP="00EF5254">
            <w:pPr>
              <w:ind w:left="0" w:right="0"/>
              <w:rPr>
                <w:sz w:val="20"/>
                <w:lang w:eastAsia="ja-JP"/>
              </w:rPr>
            </w:pPr>
            <w:r w:rsidRPr="00EF5254">
              <w:rPr>
                <w:sz w:val="20"/>
                <w:lang w:eastAsia="ja-JP"/>
              </w:rPr>
              <w:t>CR</w:t>
            </w:r>
          </w:p>
        </w:tc>
        <w:tc>
          <w:tcPr>
            <w:tcW w:w="213" w:type="pct"/>
          </w:tcPr>
          <w:p w14:paraId="7C49AF2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w:t>
            </w:r>
          </w:p>
        </w:tc>
        <w:tc>
          <w:tcPr>
            <w:tcW w:w="447" w:type="pct"/>
          </w:tcPr>
          <w:p w14:paraId="31D07AEE"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(14.3%)</w:t>
            </w:r>
          </w:p>
        </w:tc>
        <w:tc>
          <w:tcPr>
            <w:tcW w:w="345" w:type="pct"/>
            <w:gridSpan w:val="2"/>
          </w:tcPr>
          <w:p w14:paraId="2608C345" w14:textId="5CF0A6FF"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(0.4</w:t>
            </w:r>
            <w:r w:rsidR="006A3B04" w:rsidRPr="00233FF5">
              <w:rPr>
                <w:sz w:val="18"/>
                <w:lang w:eastAsia="ja-JP"/>
              </w:rPr>
              <w:t xml:space="preserve"> to </w:t>
            </w:r>
            <w:r w:rsidRPr="00233FF5">
              <w:rPr>
                <w:sz w:val="18"/>
                <w:lang w:eastAsia="ja-JP"/>
              </w:rPr>
              <w:t>57.9%)</w:t>
            </w:r>
          </w:p>
        </w:tc>
        <w:tc>
          <w:tcPr>
            <w:tcW w:w="213" w:type="pct"/>
          </w:tcPr>
          <w:p w14:paraId="3937FA7E"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10</w:t>
            </w:r>
          </w:p>
        </w:tc>
        <w:tc>
          <w:tcPr>
            <w:tcW w:w="483" w:type="pct"/>
          </w:tcPr>
          <w:p w14:paraId="3391981A"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(43.5%)</w:t>
            </w:r>
          </w:p>
        </w:tc>
        <w:tc>
          <w:tcPr>
            <w:tcW w:w="306" w:type="pct"/>
            <w:gridSpan w:val="2"/>
          </w:tcPr>
          <w:p w14:paraId="7384FF99" w14:textId="48C7BD9A" w:rsidR="00A7727F" w:rsidRPr="00233FF5" w:rsidRDefault="00EF5254"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w:t>
            </w:r>
            <w:r w:rsidR="00A7727F" w:rsidRPr="00233FF5">
              <w:rPr>
                <w:sz w:val="18"/>
                <w:lang w:eastAsia="ja-JP"/>
              </w:rPr>
              <w:t>23.2</w:t>
            </w:r>
            <w:r w:rsidR="006A3B04" w:rsidRPr="00233FF5">
              <w:rPr>
                <w:sz w:val="18"/>
                <w:lang w:eastAsia="ja-JP"/>
              </w:rPr>
              <w:t xml:space="preserve"> to </w:t>
            </w:r>
            <w:r w:rsidR="00A7727F" w:rsidRPr="00233FF5">
              <w:rPr>
                <w:sz w:val="18"/>
                <w:lang w:eastAsia="ja-JP"/>
              </w:rPr>
              <w:t>65.5%)</w:t>
            </w:r>
          </w:p>
        </w:tc>
        <w:tc>
          <w:tcPr>
            <w:tcW w:w="233" w:type="pct"/>
          </w:tcPr>
          <w:p w14:paraId="504E8ED6"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w:t>
            </w:r>
          </w:p>
        </w:tc>
        <w:tc>
          <w:tcPr>
            <w:tcW w:w="448" w:type="pct"/>
          </w:tcPr>
          <w:p w14:paraId="70CA8420"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(66.7%)</w:t>
            </w:r>
          </w:p>
        </w:tc>
        <w:tc>
          <w:tcPr>
            <w:tcW w:w="414" w:type="pct"/>
            <w:gridSpan w:val="2"/>
          </w:tcPr>
          <w:p w14:paraId="243BBE68" w14:textId="6320B1C5"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(22.3</w:t>
            </w:r>
            <w:r w:rsidR="006A3B04" w:rsidRPr="00233FF5">
              <w:rPr>
                <w:sz w:val="18"/>
                <w:lang w:eastAsia="ja-JP"/>
              </w:rPr>
              <w:t xml:space="preserve"> to </w:t>
            </w:r>
            <w:r w:rsidRPr="00233FF5">
              <w:rPr>
                <w:sz w:val="18"/>
                <w:lang w:eastAsia="ja-JP"/>
              </w:rPr>
              <w:t>95.7%)</w:t>
            </w:r>
          </w:p>
        </w:tc>
        <w:tc>
          <w:tcPr>
            <w:tcW w:w="213" w:type="pct"/>
          </w:tcPr>
          <w:p w14:paraId="23045C26"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15</w:t>
            </w:r>
          </w:p>
        </w:tc>
        <w:tc>
          <w:tcPr>
            <w:tcW w:w="448" w:type="pct"/>
          </w:tcPr>
          <w:p w14:paraId="794FD267"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(41.7%)</w:t>
            </w:r>
          </w:p>
        </w:tc>
        <w:tc>
          <w:tcPr>
            <w:tcW w:w="392" w:type="pct"/>
            <w:gridSpan w:val="2"/>
          </w:tcPr>
          <w:p w14:paraId="0647A6E4" w14:textId="4C31D7F9"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(25.5</w:t>
            </w:r>
            <w:r w:rsidR="006A3B04" w:rsidRPr="00233FF5">
              <w:rPr>
                <w:sz w:val="18"/>
                <w:lang w:eastAsia="ja-JP"/>
              </w:rPr>
              <w:t xml:space="preserve"> to </w:t>
            </w:r>
            <w:r w:rsidRPr="00233FF5">
              <w:rPr>
                <w:sz w:val="18"/>
                <w:lang w:eastAsia="ja-JP"/>
              </w:rPr>
              <w:t>59.2%)</w:t>
            </w:r>
          </w:p>
        </w:tc>
      </w:tr>
      <w:tr w:rsidR="00233FF5" w:rsidRPr="00A7727F" w14:paraId="5F28CABF" w14:textId="77777777" w:rsidTr="00CB21D3">
        <w:trPr>
          <w:trHeight w:val="1196"/>
        </w:trPr>
        <w:tc>
          <w:tcPr>
            <w:cnfStyle w:val="001000000000" w:firstRow="0" w:lastRow="0" w:firstColumn="1" w:lastColumn="0" w:oddVBand="0" w:evenVBand="0" w:oddHBand="0" w:evenHBand="0" w:firstRowFirstColumn="0" w:firstRowLastColumn="0" w:lastRowFirstColumn="0" w:lastRowLastColumn="0"/>
            <w:tcW w:w="845" w:type="pct"/>
          </w:tcPr>
          <w:p w14:paraId="201024EC" w14:textId="77777777" w:rsidR="00A7727F" w:rsidRPr="00EF5254" w:rsidRDefault="00A7727F" w:rsidP="00EF5254">
            <w:pPr>
              <w:ind w:left="0" w:right="0"/>
              <w:rPr>
                <w:sz w:val="20"/>
                <w:lang w:eastAsia="ja-JP"/>
              </w:rPr>
            </w:pPr>
            <w:r w:rsidRPr="00EF5254">
              <w:rPr>
                <w:sz w:val="20"/>
                <w:lang w:eastAsia="ja-JP"/>
              </w:rPr>
              <w:t>CRh*</w:t>
            </w:r>
          </w:p>
        </w:tc>
        <w:tc>
          <w:tcPr>
            <w:tcW w:w="213" w:type="pct"/>
          </w:tcPr>
          <w:p w14:paraId="26652AE8"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w:t>
            </w:r>
          </w:p>
        </w:tc>
        <w:tc>
          <w:tcPr>
            <w:tcW w:w="447" w:type="pct"/>
          </w:tcPr>
          <w:p w14:paraId="122BD077"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(57.1%)</w:t>
            </w:r>
          </w:p>
        </w:tc>
        <w:tc>
          <w:tcPr>
            <w:tcW w:w="345" w:type="pct"/>
            <w:gridSpan w:val="2"/>
          </w:tcPr>
          <w:p w14:paraId="35E911F7" w14:textId="789DACEE"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(18.4</w:t>
            </w:r>
            <w:r w:rsidR="006A3B04" w:rsidRPr="00233FF5">
              <w:rPr>
                <w:sz w:val="18"/>
                <w:lang w:eastAsia="ja-JP"/>
              </w:rPr>
              <w:t xml:space="preserve"> to </w:t>
            </w:r>
            <w:r w:rsidRPr="00233FF5">
              <w:rPr>
                <w:sz w:val="18"/>
                <w:lang w:eastAsia="ja-JP"/>
              </w:rPr>
              <w:t>90.1%)</w:t>
            </w:r>
          </w:p>
        </w:tc>
        <w:tc>
          <w:tcPr>
            <w:tcW w:w="213" w:type="pct"/>
          </w:tcPr>
          <w:p w14:paraId="4962F51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6</w:t>
            </w:r>
          </w:p>
        </w:tc>
        <w:tc>
          <w:tcPr>
            <w:tcW w:w="483" w:type="pct"/>
          </w:tcPr>
          <w:p w14:paraId="746059D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(26.1%)</w:t>
            </w:r>
          </w:p>
        </w:tc>
        <w:tc>
          <w:tcPr>
            <w:tcW w:w="306" w:type="pct"/>
            <w:gridSpan w:val="2"/>
          </w:tcPr>
          <w:p w14:paraId="2F62ECE3" w14:textId="24765DE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(10.2</w:t>
            </w:r>
            <w:r w:rsidR="006A3B04" w:rsidRPr="00233FF5">
              <w:rPr>
                <w:sz w:val="18"/>
                <w:lang w:eastAsia="ja-JP"/>
              </w:rPr>
              <w:t xml:space="preserve"> to </w:t>
            </w:r>
            <w:r w:rsidRPr="00233FF5">
              <w:rPr>
                <w:sz w:val="18"/>
                <w:lang w:eastAsia="ja-JP"/>
              </w:rPr>
              <w:t>48.4%)</w:t>
            </w:r>
          </w:p>
        </w:tc>
        <w:tc>
          <w:tcPr>
            <w:tcW w:w="233" w:type="pct"/>
          </w:tcPr>
          <w:p w14:paraId="01269669"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8" w:type="pct"/>
          </w:tcPr>
          <w:p w14:paraId="4064FABC"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414" w:type="pct"/>
            <w:gridSpan w:val="2"/>
          </w:tcPr>
          <w:p w14:paraId="7CF3C7CD" w14:textId="6CA48FEA"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r w:rsidR="006A3B04" w:rsidRPr="00233FF5">
              <w:rPr>
                <w:sz w:val="18"/>
                <w:lang w:eastAsia="ja-JP"/>
              </w:rPr>
              <w:t xml:space="preserve"> to </w:t>
            </w:r>
            <w:r w:rsidRPr="00233FF5">
              <w:rPr>
                <w:sz w:val="18"/>
                <w:lang w:eastAsia="ja-JP"/>
              </w:rPr>
              <w:t>45.9%)</w:t>
            </w:r>
          </w:p>
        </w:tc>
        <w:tc>
          <w:tcPr>
            <w:tcW w:w="213" w:type="pct"/>
          </w:tcPr>
          <w:p w14:paraId="2F44F00C"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10</w:t>
            </w:r>
          </w:p>
        </w:tc>
        <w:tc>
          <w:tcPr>
            <w:tcW w:w="448" w:type="pct"/>
          </w:tcPr>
          <w:p w14:paraId="02B9B77B"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(27.8%)</w:t>
            </w:r>
          </w:p>
        </w:tc>
        <w:tc>
          <w:tcPr>
            <w:tcW w:w="392" w:type="pct"/>
            <w:gridSpan w:val="2"/>
          </w:tcPr>
          <w:p w14:paraId="29C0A939" w14:textId="187F6CE3"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(14.2</w:t>
            </w:r>
            <w:r w:rsidR="006A3B04" w:rsidRPr="00233FF5">
              <w:rPr>
                <w:sz w:val="18"/>
                <w:lang w:eastAsia="ja-JP"/>
              </w:rPr>
              <w:t xml:space="preserve"> to </w:t>
            </w:r>
            <w:r w:rsidRPr="00233FF5">
              <w:rPr>
                <w:sz w:val="18"/>
                <w:lang w:eastAsia="ja-JP"/>
              </w:rPr>
              <w:t>45.2%)</w:t>
            </w:r>
          </w:p>
        </w:tc>
      </w:tr>
      <w:tr w:rsidR="00233FF5" w:rsidRPr="00A7727F" w14:paraId="5CE807DD" w14:textId="77777777" w:rsidTr="00CB21D3">
        <w:trPr>
          <w:trHeight w:val="1196"/>
        </w:trPr>
        <w:tc>
          <w:tcPr>
            <w:cnfStyle w:val="001000000000" w:firstRow="0" w:lastRow="0" w:firstColumn="1" w:lastColumn="0" w:oddVBand="0" w:evenVBand="0" w:oddHBand="0" w:evenHBand="0" w:firstRowFirstColumn="0" w:firstRowLastColumn="0" w:lastRowFirstColumn="0" w:lastRowLastColumn="0"/>
            <w:tcW w:w="845" w:type="pct"/>
          </w:tcPr>
          <w:p w14:paraId="2CF43E58" w14:textId="6430C53C" w:rsidR="00A7727F" w:rsidRPr="00EF5254" w:rsidRDefault="00A7727F" w:rsidP="00EF5254">
            <w:pPr>
              <w:ind w:left="0" w:right="0"/>
              <w:rPr>
                <w:sz w:val="20"/>
                <w:lang w:eastAsia="ja-JP"/>
              </w:rPr>
            </w:pPr>
            <w:r w:rsidRPr="00EF5254">
              <w:rPr>
                <w:sz w:val="20"/>
                <w:lang w:eastAsia="ja-JP"/>
              </w:rPr>
              <w:t>Partial response/</w:t>
            </w:r>
            <w:r w:rsidR="00EF5254" w:rsidRPr="00EF5254">
              <w:rPr>
                <w:sz w:val="20"/>
                <w:lang w:eastAsia="ja-JP"/>
              </w:rPr>
              <w:t xml:space="preserve"> </w:t>
            </w:r>
            <w:r w:rsidRPr="00EF5254">
              <w:rPr>
                <w:sz w:val="20"/>
                <w:lang w:eastAsia="ja-JP"/>
              </w:rPr>
              <w:t>remission</w:t>
            </w:r>
          </w:p>
        </w:tc>
        <w:tc>
          <w:tcPr>
            <w:tcW w:w="213" w:type="pct"/>
          </w:tcPr>
          <w:p w14:paraId="31088B0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7" w:type="pct"/>
          </w:tcPr>
          <w:p w14:paraId="2FC9D226"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345" w:type="pct"/>
            <w:gridSpan w:val="2"/>
          </w:tcPr>
          <w:p w14:paraId="6C8FD065" w14:textId="4D746095"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r w:rsidR="006A3B04" w:rsidRPr="00233FF5">
              <w:rPr>
                <w:sz w:val="18"/>
                <w:lang w:eastAsia="ja-JP"/>
              </w:rPr>
              <w:t xml:space="preserve"> to </w:t>
            </w:r>
            <w:r w:rsidRPr="00233FF5">
              <w:rPr>
                <w:sz w:val="18"/>
                <w:lang w:eastAsia="ja-JP"/>
              </w:rPr>
              <w:t>41.0%)</w:t>
            </w:r>
          </w:p>
        </w:tc>
        <w:tc>
          <w:tcPr>
            <w:tcW w:w="213" w:type="pct"/>
          </w:tcPr>
          <w:p w14:paraId="643AB5AA"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w:t>
            </w:r>
          </w:p>
        </w:tc>
        <w:tc>
          <w:tcPr>
            <w:tcW w:w="483" w:type="pct"/>
          </w:tcPr>
          <w:p w14:paraId="3B58281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(8.7%)</w:t>
            </w:r>
          </w:p>
        </w:tc>
        <w:tc>
          <w:tcPr>
            <w:tcW w:w="306" w:type="pct"/>
            <w:gridSpan w:val="2"/>
          </w:tcPr>
          <w:p w14:paraId="400661A1" w14:textId="09658619"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(1.1</w:t>
            </w:r>
            <w:r w:rsidR="006A3B04" w:rsidRPr="00233FF5">
              <w:rPr>
                <w:sz w:val="18"/>
                <w:lang w:eastAsia="ja-JP"/>
              </w:rPr>
              <w:t xml:space="preserve"> to </w:t>
            </w:r>
            <w:r w:rsidRPr="00233FF5">
              <w:rPr>
                <w:sz w:val="18"/>
                <w:lang w:eastAsia="ja-JP"/>
              </w:rPr>
              <w:t>28.0%)</w:t>
            </w:r>
          </w:p>
        </w:tc>
        <w:tc>
          <w:tcPr>
            <w:tcW w:w="233" w:type="pct"/>
          </w:tcPr>
          <w:p w14:paraId="4FDC399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8" w:type="pct"/>
          </w:tcPr>
          <w:p w14:paraId="4E999F4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414" w:type="pct"/>
            <w:gridSpan w:val="2"/>
          </w:tcPr>
          <w:p w14:paraId="76816A8B" w14:textId="31DF4646"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r w:rsidR="006A3B04" w:rsidRPr="00233FF5">
              <w:rPr>
                <w:sz w:val="18"/>
                <w:lang w:eastAsia="ja-JP"/>
              </w:rPr>
              <w:t xml:space="preserve"> to </w:t>
            </w:r>
            <w:r w:rsidRPr="00233FF5">
              <w:rPr>
                <w:sz w:val="18"/>
                <w:lang w:eastAsia="ja-JP"/>
              </w:rPr>
              <w:t>45.9%)</w:t>
            </w:r>
          </w:p>
        </w:tc>
        <w:tc>
          <w:tcPr>
            <w:tcW w:w="213" w:type="pct"/>
          </w:tcPr>
          <w:p w14:paraId="5DE1565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w:t>
            </w:r>
          </w:p>
        </w:tc>
        <w:tc>
          <w:tcPr>
            <w:tcW w:w="448" w:type="pct"/>
          </w:tcPr>
          <w:p w14:paraId="28B9837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(5.6%)</w:t>
            </w:r>
          </w:p>
        </w:tc>
        <w:tc>
          <w:tcPr>
            <w:tcW w:w="392" w:type="pct"/>
            <w:gridSpan w:val="2"/>
          </w:tcPr>
          <w:p w14:paraId="6FF674B4" w14:textId="2215FE23"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(0.7</w:t>
            </w:r>
            <w:r w:rsidR="006A3B04" w:rsidRPr="00233FF5">
              <w:rPr>
                <w:sz w:val="18"/>
                <w:lang w:eastAsia="ja-JP"/>
              </w:rPr>
              <w:t xml:space="preserve"> to </w:t>
            </w:r>
            <w:r w:rsidRPr="00233FF5">
              <w:rPr>
                <w:sz w:val="18"/>
                <w:lang w:eastAsia="ja-JP"/>
              </w:rPr>
              <w:t>18.7%)</w:t>
            </w:r>
          </w:p>
        </w:tc>
      </w:tr>
      <w:tr w:rsidR="00233FF5" w:rsidRPr="00A7727F" w14:paraId="6F4C0F21" w14:textId="77777777" w:rsidTr="00CB21D3">
        <w:trPr>
          <w:trHeight w:val="955"/>
        </w:trPr>
        <w:tc>
          <w:tcPr>
            <w:cnfStyle w:val="001000000000" w:firstRow="0" w:lastRow="0" w:firstColumn="1" w:lastColumn="0" w:oddVBand="0" w:evenVBand="0" w:oddHBand="0" w:evenHBand="0" w:firstRowFirstColumn="0" w:firstRowLastColumn="0" w:lastRowFirstColumn="0" w:lastRowLastColumn="0"/>
            <w:tcW w:w="845" w:type="pct"/>
          </w:tcPr>
          <w:p w14:paraId="4C828778" w14:textId="38F067B3" w:rsidR="00A7727F" w:rsidRPr="00BA3485" w:rsidRDefault="00A7727F" w:rsidP="00EF5254">
            <w:pPr>
              <w:ind w:left="0" w:right="0"/>
              <w:rPr>
                <w:b/>
                <w:sz w:val="20"/>
                <w:lang w:eastAsia="ja-JP"/>
              </w:rPr>
            </w:pPr>
            <w:r w:rsidRPr="00BA3485">
              <w:rPr>
                <w:b/>
                <w:sz w:val="20"/>
                <w:lang w:eastAsia="ja-JP"/>
              </w:rPr>
              <w:t>Non-responder</w:t>
            </w:r>
            <w:r w:rsidR="00EF5254" w:rsidRPr="00BA3485">
              <w:rPr>
                <w:b/>
                <w:sz w:val="20"/>
                <w:lang w:eastAsia="ja-JP"/>
              </w:rPr>
              <w:t xml:space="preserve"> </w:t>
            </w:r>
            <w:r w:rsidRPr="00BA3485">
              <w:rPr>
                <w:b/>
                <w:sz w:val="20"/>
                <w:lang w:eastAsia="ja-JP"/>
              </w:rPr>
              <w:t>during the first 2 cycles</w:t>
            </w:r>
          </w:p>
        </w:tc>
        <w:tc>
          <w:tcPr>
            <w:tcW w:w="213" w:type="pct"/>
          </w:tcPr>
          <w:p w14:paraId="4693ECCC"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447" w:type="pct"/>
          </w:tcPr>
          <w:p w14:paraId="33F01EA9"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345" w:type="pct"/>
            <w:gridSpan w:val="2"/>
          </w:tcPr>
          <w:p w14:paraId="1DD4F6FD"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0E14073A"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483" w:type="pct"/>
          </w:tcPr>
          <w:p w14:paraId="3166023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306" w:type="pct"/>
            <w:gridSpan w:val="2"/>
          </w:tcPr>
          <w:p w14:paraId="316F5F55"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33" w:type="pct"/>
          </w:tcPr>
          <w:p w14:paraId="18A8FC9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448" w:type="pct"/>
          </w:tcPr>
          <w:p w14:paraId="25EE4BD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414" w:type="pct"/>
            <w:gridSpan w:val="2"/>
          </w:tcPr>
          <w:p w14:paraId="41DFAEE0"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3D449D5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448" w:type="pct"/>
          </w:tcPr>
          <w:p w14:paraId="0C54136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392" w:type="pct"/>
            <w:gridSpan w:val="2"/>
          </w:tcPr>
          <w:p w14:paraId="107839B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r>
      <w:tr w:rsidR="00233FF5" w:rsidRPr="00A7727F" w14:paraId="78EE19B4" w14:textId="77777777" w:rsidTr="00CB21D3">
        <w:trPr>
          <w:trHeight w:val="713"/>
        </w:trPr>
        <w:tc>
          <w:tcPr>
            <w:cnfStyle w:val="001000000000" w:firstRow="0" w:lastRow="0" w:firstColumn="1" w:lastColumn="0" w:oddVBand="0" w:evenVBand="0" w:oddHBand="0" w:evenHBand="0" w:firstRowFirstColumn="0" w:firstRowLastColumn="0" w:lastRowFirstColumn="0" w:lastRowLastColumn="0"/>
            <w:tcW w:w="845" w:type="pct"/>
          </w:tcPr>
          <w:p w14:paraId="51E601DD" w14:textId="59C7E3B5" w:rsidR="00A7727F" w:rsidRPr="00EF5254" w:rsidRDefault="00A7727F" w:rsidP="00EF5254">
            <w:pPr>
              <w:ind w:left="0" w:right="0"/>
              <w:rPr>
                <w:sz w:val="20"/>
                <w:lang w:eastAsia="ja-JP"/>
              </w:rPr>
            </w:pPr>
            <w:r w:rsidRPr="00EF5254">
              <w:rPr>
                <w:sz w:val="20"/>
                <w:lang w:eastAsia="ja-JP"/>
              </w:rPr>
              <w:t>Hypocellular bone</w:t>
            </w:r>
            <w:r w:rsidR="00EF5254" w:rsidRPr="00EF5254">
              <w:rPr>
                <w:sz w:val="20"/>
                <w:lang w:eastAsia="ja-JP"/>
              </w:rPr>
              <w:t xml:space="preserve"> </w:t>
            </w:r>
            <w:r w:rsidRPr="00EF5254">
              <w:rPr>
                <w:sz w:val="20"/>
                <w:lang w:eastAsia="ja-JP"/>
              </w:rPr>
              <w:t>marrow</w:t>
            </w:r>
          </w:p>
        </w:tc>
        <w:tc>
          <w:tcPr>
            <w:tcW w:w="213" w:type="pct"/>
          </w:tcPr>
          <w:p w14:paraId="7FE24E7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7" w:type="pct"/>
          </w:tcPr>
          <w:p w14:paraId="27E8A9C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345" w:type="pct"/>
            <w:gridSpan w:val="2"/>
          </w:tcPr>
          <w:p w14:paraId="23C732C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2BF4E30D"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w:t>
            </w:r>
          </w:p>
        </w:tc>
        <w:tc>
          <w:tcPr>
            <w:tcW w:w="483" w:type="pct"/>
          </w:tcPr>
          <w:p w14:paraId="6CB737D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(8.7%)</w:t>
            </w:r>
          </w:p>
        </w:tc>
        <w:tc>
          <w:tcPr>
            <w:tcW w:w="306" w:type="pct"/>
            <w:gridSpan w:val="2"/>
          </w:tcPr>
          <w:p w14:paraId="4BE75129"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33" w:type="pct"/>
          </w:tcPr>
          <w:p w14:paraId="04216226"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w:t>
            </w:r>
          </w:p>
        </w:tc>
        <w:tc>
          <w:tcPr>
            <w:tcW w:w="448" w:type="pct"/>
          </w:tcPr>
          <w:p w14:paraId="0FBEED87"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(16.7%)</w:t>
            </w:r>
          </w:p>
        </w:tc>
        <w:tc>
          <w:tcPr>
            <w:tcW w:w="414" w:type="pct"/>
            <w:gridSpan w:val="2"/>
          </w:tcPr>
          <w:p w14:paraId="2AAAFD7B"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7CCB1C5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3</w:t>
            </w:r>
          </w:p>
        </w:tc>
        <w:tc>
          <w:tcPr>
            <w:tcW w:w="448" w:type="pct"/>
          </w:tcPr>
          <w:p w14:paraId="170A37F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(8.3%)</w:t>
            </w:r>
          </w:p>
        </w:tc>
        <w:tc>
          <w:tcPr>
            <w:tcW w:w="392" w:type="pct"/>
            <w:gridSpan w:val="2"/>
          </w:tcPr>
          <w:p w14:paraId="7E114E19"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r>
      <w:tr w:rsidR="00233FF5" w:rsidRPr="00A7727F" w14:paraId="2CAAA74C" w14:textId="77777777" w:rsidTr="00CB21D3">
        <w:trPr>
          <w:trHeight w:val="967"/>
        </w:trPr>
        <w:tc>
          <w:tcPr>
            <w:cnfStyle w:val="001000000000" w:firstRow="0" w:lastRow="0" w:firstColumn="1" w:lastColumn="0" w:oddVBand="0" w:evenVBand="0" w:oddHBand="0" w:evenHBand="0" w:firstRowFirstColumn="0" w:firstRowLastColumn="0" w:lastRowFirstColumn="0" w:lastRowLastColumn="0"/>
            <w:tcW w:w="845" w:type="pct"/>
          </w:tcPr>
          <w:p w14:paraId="47314F8E" w14:textId="5993D5EF" w:rsidR="00A7727F" w:rsidRPr="00EF5254" w:rsidRDefault="00A7727F" w:rsidP="00EF5254">
            <w:pPr>
              <w:ind w:left="0" w:right="0"/>
              <w:rPr>
                <w:sz w:val="20"/>
                <w:lang w:eastAsia="ja-JP"/>
              </w:rPr>
            </w:pPr>
            <w:r w:rsidRPr="00EF5254">
              <w:rPr>
                <w:sz w:val="20"/>
                <w:lang w:eastAsia="ja-JP"/>
              </w:rPr>
              <w:t>Neither remission</w:t>
            </w:r>
            <w:r w:rsidR="00EF5254" w:rsidRPr="00EF5254">
              <w:rPr>
                <w:sz w:val="20"/>
                <w:lang w:eastAsia="ja-JP"/>
              </w:rPr>
              <w:t xml:space="preserve"> </w:t>
            </w:r>
            <w:r w:rsidRPr="00EF5254">
              <w:rPr>
                <w:sz w:val="20"/>
                <w:lang w:eastAsia="ja-JP"/>
              </w:rPr>
              <w:t>nor relapse</w:t>
            </w:r>
          </w:p>
        </w:tc>
        <w:tc>
          <w:tcPr>
            <w:tcW w:w="213" w:type="pct"/>
          </w:tcPr>
          <w:p w14:paraId="49C5DDA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w:t>
            </w:r>
          </w:p>
        </w:tc>
        <w:tc>
          <w:tcPr>
            <w:tcW w:w="447" w:type="pct"/>
          </w:tcPr>
          <w:p w14:paraId="46D4BB5D"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(14.3%)</w:t>
            </w:r>
          </w:p>
        </w:tc>
        <w:tc>
          <w:tcPr>
            <w:tcW w:w="345" w:type="pct"/>
            <w:gridSpan w:val="2"/>
          </w:tcPr>
          <w:p w14:paraId="6A24B00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1C8112AC"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w:t>
            </w:r>
          </w:p>
        </w:tc>
        <w:tc>
          <w:tcPr>
            <w:tcW w:w="483" w:type="pct"/>
          </w:tcPr>
          <w:p w14:paraId="1EB6111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(8.7%)</w:t>
            </w:r>
          </w:p>
        </w:tc>
        <w:tc>
          <w:tcPr>
            <w:tcW w:w="306" w:type="pct"/>
            <w:gridSpan w:val="2"/>
          </w:tcPr>
          <w:p w14:paraId="49B9CF68"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33" w:type="pct"/>
          </w:tcPr>
          <w:p w14:paraId="7856A9E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w:t>
            </w:r>
          </w:p>
        </w:tc>
        <w:tc>
          <w:tcPr>
            <w:tcW w:w="448" w:type="pct"/>
          </w:tcPr>
          <w:p w14:paraId="2FC052E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(16.7%)</w:t>
            </w:r>
          </w:p>
        </w:tc>
        <w:tc>
          <w:tcPr>
            <w:tcW w:w="414" w:type="pct"/>
            <w:gridSpan w:val="2"/>
          </w:tcPr>
          <w:p w14:paraId="0038BE30"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1BE4E43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w:t>
            </w:r>
          </w:p>
        </w:tc>
        <w:tc>
          <w:tcPr>
            <w:tcW w:w="448" w:type="pct"/>
          </w:tcPr>
          <w:p w14:paraId="3715103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(11.1%)</w:t>
            </w:r>
          </w:p>
        </w:tc>
        <w:tc>
          <w:tcPr>
            <w:tcW w:w="392" w:type="pct"/>
            <w:gridSpan w:val="2"/>
          </w:tcPr>
          <w:p w14:paraId="3E1AFEB8"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r>
      <w:tr w:rsidR="00233FF5" w:rsidRPr="00A7727F" w14:paraId="69CD77A6" w14:textId="77777777" w:rsidTr="00CB21D3">
        <w:trPr>
          <w:trHeight w:val="791"/>
        </w:trPr>
        <w:tc>
          <w:tcPr>
            <w:cnfStyle w:val="001000000000" w:firstRow="0" w:lastRow="0" w:firstColumn="1" w:lastColumn="0" w:oddVBand="0" w:evenVBand="0" w:oddHBand="0" w:evenHBand="0" w:firstRowFirstColumn="0" w:firstRowLastColumn="0" w:lastRowFirstColumn="0" w:lastRowLastColumn="0"/>
            <w:tcW w:w="845" w:type="pct"/>
          </w:tcPr>
          <w:p w14:paraId="2F882BE6" w14:textId="06AFDA2E" w:rsidR="00A7727F" w:rsidRPr="00EF5254" w:rsidRDefault="00A7727F" w:rsidP="00EF5254">
            <w:pPr>
              <w:ind w:left="0" w:right="0"/>
              <w:rPr>
                <w:sz w:val="20"/>
                <w:lang w:eastAsia="ja-JP"/>
              </w:rPr>
            </w:pPr>
            <w:r w:rsidRPr="00EF5254">
              <w:rPr>
                <w:sz w:val="20"/>
                <w:lang w:eastAsia="ja-JP"/>
              </w:rPr>
              <w:t>H</w:t>
            </w:r>
            <w:r w:rsidR="00EF5254" w:rsidRPr="00EF5254">
              <w:rPr>
                <w:sz w:val="20"/>
                <w:lang w:eastAsia="ja-JP"/>
              </w:rPr>
              <w:t>a</w:t>
            </w:r>
            <w:r w:rsidRPr="00EF5254">
              <w:rPr>
                <w:sz w:val="20"/>
                <w:lang w:eastAsia="ja-JP"/>
              </w:rPr>
              <w:t>ematological</w:t>
            </w:r>
            <w:r w:rsidR="00EF5254" w:rsidRPr="00EF5254">
              <w:rPr>
                <w:sz w:val="20"/>
                <w:lang w:eastAsia="ja-JP"/>
              </w:rPr>
              <w:t xml:space="preserve"> </w:t>
            </w:r>
            <w:r w:rsidRPr="00EF5254">
              <w:rPr>
                <w:sz w:val="20"/>
                <w:lang w:eastAsia="ja-JP"/>
              </w:rPr>
              <w:t>relapse</w:t>
            </w:r>
          </w:p>
        </w:tc>
        <w:tc>
          <w:tcPr>
            <w:tcW w:w="213" w:type="pct"/>
          </w:tcPr>
          <w:p w14:paraId="1608D23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7" w:type="pct"/>
          </w:tcPr>
          <w:p w14:paraId="6B74B87B"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345" w:type="pct"/>
            <w:gridSpan w:val="2"/>
          </w:tcPr>
          <w:p w14:paraId="77D62B3C"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6E45940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83" w:type="pct"/>
          </w:tcPr>
          <w:p w14:paraId="7E4BEA4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306" w:type="pct"/>
            <w:gridSpan w:val="2"/>
          </w:tcPr>
          <w:p w14:paraId="41670EF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33" w:type="pct"/>
          </w:tcPr>
          <w:p w14:paraId="29B4FE1B"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8" w:type="pct"/>
          </w:tcPr>
          <w:p w14:paraId="1F852162"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414" w:type="pct"/>
            <w:gridSpan w:val="2"/>
          </w:tcPr>
          <w:p w14:paraId="515E82B2"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31C8B53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8" w:type="pct"/>
          </w:tcPr>
          <w:p w14:paraId="7BDBDA0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392" w:type="pct"/>
            <w:gridSpan w:val="2"/>
          </w:tcPr>
          <w:p w14:paraId="3C4979AB"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r>
      <w:tr w:rsidR="00233FF5" w:rsidRPr="00A7727F" w14:paraId="0543FB19" w14:textId="77777777" w:rsidTr="00CB21D3">
        <w:trPr>
          <w:trHeight w:val="483"/>
        </w:trPr>
        <w:tc>
          <w:tcPr>
            <w:cnfStyle w:val="001000000000" w:firstRow="0" w:lastRow="0" w:firstColumn="1" w:lastColumn="0" w:oddVBand="0" w:evenVBand="0" w:oddHBand="0" w:evenHBand="0" w:firstRowFirstColumn="0" w:firstRowLastColumn="0" w:lastRowFirstColumn="0" w:lastRowLastColumn="0"/>
            <w:tcW w:w="845" w:type="pct"/>
          </w:tcPr>
          <w:p w14:paraId="0A74160A" w14:textId="77777777" w:rsidR="00A7727F" w:rsidRPr="00EF5254" w:rsidRDefault="00A7727F" w:rsidP="00EF5254">
            <w:pPr>
              <w:ind w:left="0" w:right="0"/>
              <w:rPr>
                <w:sz w:val="20"/>
                <w:lang w:eastAsia="ja-JP"/>
              </w:rPr>
            </w:pPr>
            <w:r w:rsidRPr="00EF5254">
              <w:rPr>
                <w:sz w:val="20"/>
                <w:lang w:eastAsia="ja-JP"/>
              </w:rPr>
              <w:t>Not available</w:t>
            </w:r>
          </w:p>
        </w:tc>
        <w:tc>
          <w:tcPr>
            <w:tcW w:w="213" w:type="pct"/>
          </w:tcPr>
          <w:p w14:paraId="227E4557"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w:t>
            </w:r>
          </w:p>
        </w:tc>
        <w:tc>
          <w:tcPr>
            <w:tcW w:w="447" w:type="pct"/>
          </w:tcPr>
          <w:p w14:paraId="6136EDED"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(14.3%)</w:t>
            </w:r>
          </w:p>
        </w:tc>
        <w:tc>
          <w:tcPr>
            <w:tcW w:w="345" w:type="pct"/>
            <w:gridSpan w:val="2"/>
          </w:tcPr>
          <w:p w14:paraId="13527657"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5D92A7E4"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1</w:t>
            </w:r>
          </w:p>
        </w:tc>
        <w:tc>
          <w:tcPr>
            <w:tcW w:w="483" w:type="pct"/>
          </w:tcPr>
          <w:p w14:paraId="5E3FD02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(4.3%)</w:t>
            </w:r>
          </w:p>
        </w:tc>
        <w:tc>
          <w:tcPr>
            <w:tcW w:w="306" w:type="pct"/>
            <w:gridSpan w:val="2"/>
          </w:tcPr>
          <w:p w14:paraId="51228CAA"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33" w:type="pct"/>
          </w:tcPr>
          <w:p w14:paraId="357B3DAF"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w:t>
            </w:r>
          </w:p>
        </w:tc>
        <w:tc>
          <w:tcPr>
            <w:tcW w:w="448" w:type="pct"/>
          </w:tcPr>
          <w:p w14:paraId="53FA39F1"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(0.0%)</w:t>
            </w:r>
          </w:p>
        </w:tc>
        <w:tc>
          <w:tcPr>
            <w:tcW w:w="414" w:type="pct"/>
            <w:gridSpan w:val="2"/>
          </w:tcPr>
          <w:p w14:paraId="418DA47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c>
          <w:tcPr>
            <w:tcW w:w="213" w:type="pct"/>
          </w:tcPr>
          <w:p w14:paraId="71EA97B5"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2</w:t>
            </w:r>
          </w:p>
        </w:tc>
        <w:tc>
          <w:tcPr>
            <w:tcW w:w="448" w:type="pct"/>
          </w:tcPr>
          <w:p w14:paraId="4FCAE2FB"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r w:rsidRPr="00233FF5">
              <w:rPr>
                <w:sz w:val="18"/>
                <w:lang w:eastAsia="ja-JP"/>
              </w:rPr>
              <w:t>(5.6%)</w:t>
            </w:r>
          </w:p>
        </w:tc>
        <w:tc>
          <w:tcPr>
            <w:tcW w:w="392" w:type="pct"/>
            <w:gridSpan w:val="2"/>
          </w:tcPr>
          <w:p w14:paraId="35728423" w14:textId="77777777" w:rsidR="00A7727F" w:rsidRPr="00233FF5" w:rsidRDefault="00A7727F" w:rsidP="00EF5254">
            <w:pPr>
              <w:ind w:left="0" w:right="0"/>
              <w:cnfStyle w:val="000000000000" w:firstRow="0" w:lastRow="0" w:firstColumn="0" w:lastColumn="0" w:oddVBand="0" w:evenVBand="0" w:oddHBand="0" w:evenHBand="0" w:firstRowFirstColumn="0" w:firstRowLastColumn="0" w:lastRowFirstColumn="0" w:lastRowLastColumn="0"/>
              <w:rPr>
                <w:sz w:val="18"/>
                <w:lang w:eastAsia="ja-JP"/>
              </w:rPr>
            </w:pPr>
          </w:p>
        </w:tc>
      </w:tr>
    </w:tbl>
    <w:p w14:paraId="1AE56B22" w14:textId="57030CF8" w:rsidR="00A7727F" w:rsidRPr="00A7727F" w:rsidRDefault="00A7727F" w:rsidP="00C16899">
      <w:pPr>
        <w:pStyle w:val="TableDescription"/>
        <w:rPr>
          <w:lang w:eastAsia="ja-JP"/>
        </w:rPr>
      </w:pPr>
      <w:r w:rsidRPr="00A7727F">
        <w:rPr>
          <w:lang w:eastAsia="ja-JP"/>
        </w:rPr>
        <w:t>Blasts were</w:t>
      </w:r>
      <w:r w:rsidR="00375CAE">
        <w:rPr>
          <w:lang w:eastAsia="ja-JP"/>
        </w:rPr>
        <w:t xml:space="preserve"> </w:t>
      </w:r>
      <w:r w:rsidR="00423768">
        <w:rPr>
          <w:lang w:eastAsia="ja-JP"/>
        </w:rPr>
        <w:t>&lt;</w:t>
      </w:r>
      <w:r w:rsidR="00375CAE">
        <w:rPr>
          <w:lang w:eastAsia="ja-JP"/>
        </w:rPr>
        <w:t xml:space="preserve"> </w:t>
      </w:r>
      <w:r w:rsidRPr="00A7727F">
        <w:rPr>
          <w:lang w:eastAsia="ja-JP"/>
        </w:rPr>
        <w:t>5% in all subjects who achieved CR/CRh*.</w:t>
      </w:r>
      <w:r w:rsidR="00C16899">
        <w:rPr>
          <w:lang w:eastAsia="ja-JP"/>
        </w:rPr>
        <w:t xml:space="preserve"> </w:t>
      </w:r>
      <w:r w:rsidRPr="00A7727F">
        <w:rPr>
          <w:lang w:eastAsia="ja-JP"/>
        </w:rPr>
        <w:t>CI: confidence interval; CR: complete remission; CRh*: Complete response/remission with partial recovery of peripheral blood counts; FAS: Full Analysis Set; SAF:</w:t>
      </w:r>
      <w:r w:rsidR="00C16899">
        <w:rPr>
          <w:lang w:eastAsia="ja-JP"/>
        </w:rPr>
        <w:t xml:space="preserve"> </w:t>
      </w:r>
      <w:r w:rsidRPr="00A7727F">
        <w:rPr>
          <w:lang w:eastAsia="ja-JP"/>
        </w:rPr>
        <w:t>Safety Analysis Set</w:t>
      </w:r>
      <w:r w:rsidR="00C16899">
        <w:rPr>
          <w:lang w:eastAsia="ja-JP"/>
        </w:rPr>
        <w:t>.</w:t>
      </w:r>
    </w:p>
    <w:p w14:paraId="7F72B3E9" w14:textId="10000236" w:rsidR="00A7727F" w:rsidRPr="00A7727F" w:rsidRDefault="00A7727F" w:rsidP="00C16899">
      <w:pPr>
        <w:pStyle w:val="Tabletitle"/>
        <w:rPr>
          <w:lang w:eastAsia="ja-JP"/>
        </w:rPr>
      </w:pPr>
      <w:bookmarkStart w:id="205" w:name="_Toc292015716"/>
      <w:r w:rsidRPr="00A7727F">
        <w:rPr>
          <w:lang w:eastAsia="ja-JP"/>
        </w:rPr>
        <w:t xml:space="preserve">Table </w:t>
      </w:r>
      <w:r w:rsidR="00CB21D3">
        <w:rPr>
          <w:lang w:eastAsia="ja-JP"/>
        </w:rPr>
        <w:t>33:</w:t>
      </w:r>
      <w:r w:rsidR="00C16899">
        <w:rPr>
          <w:lang w:eastAsia="ja-JP"/>
        </w:rPr>
        <w:t xml:space="preserve"> Response by cycle (SAF/FAS, </w:t>
      </w:r>
      <w:r w:rsidRPr="00A7727F">
        <w:rPr>
          <w:lang w:eastAsia="ja-JP"/>
        </w:rPr>
        <w:t>by intended dose cohort)</w:t>
      </w:r>
      <w:bookmarkEnd w:id="205"/>
    </w:p>
    <w:tbl>
      <w:tblPr>
        <w:tblStyle w:val="TableTGAblue"/>
        <w:tblW w:w="4813" w:type="pct"/>
        <w:tblLayout w:type="fixed"/>
        <w:tblLook w:val="04A0" w:firstRow="1" w:lastRow="0" w:firstColumn="1" w:lastColumn="0" w:noHBand="0" w:noVBand="1"/>
        <w:tblDescription w:val="Table 33: Response by cycle (SAF/FAS, by intended dose cohort)"/>
      </w:tblPr>
      <w:tblGrid>
        <w:gridCol w:w="1782"/>
        <w:gridCol w:w="340"/>
        <w:gridCol w:w="505"/>
        <w:gridCol w:w="955"/>
        <w:gridCol w:w="416"/>
        <w:gridCol w:w="607"/>
        <w:gridCol w:w="856"/>
        <w:gridCol w:w="340"/>
        <w:gridCol w:w="505"/>
        <w:gridCol w:w="955"/>
        <w:gridCol w:w="416"/>
        <w:gridCol w:w="708"/>
        <w:gridCol w:w="511"/>
      </w:tblGrid>
      <w:tr w:rsidR="00D97E10" w:rsidRPr="00C16899" w14:paraId="0D7D757A" w14:textId="77777777" w:rsidTr="007B270B">
        <w:trPr>
          <w:cnfStyle w:val="100000000000" w:firstRow="1" w:lastRow="0" w:firstColumn="0" w:lastColumn="0" w:oddVBand="0" w:evenVBand="0" w:oddHBand="0" w:evenHBand="0" w:firstRowFirstColumn="0" w:firstRowLastColumn="0" w:lastRowFirstColumn="0" w:lastRowLastColumn="0"/>
          <w:trHeight w:val="955"/>
          <w:tblHeader/>
        </w:trPr>
        <w:tc>
          <w:tcPr>
            <w:cnfStyle w:val="001000000000" w:firstRow="0" w:lastRow="0" w:firstColumn="1" w:lastColumn="0" w:oddVBand="0" w:evenVBand="0" w:oddHBand="0" w:evenHBand="0" w:firstRowFirstColumn="0" w:firstRowLastColumn="0" w:lastRowFirstColumn="0" w:lastRowLastColumn="0"/>
            <w:tcW w:w="1001" w:type="pct"/>
            <w:vMerge w:val="restart"/>
            <w:tcBorders>
              <w:right w:val="single" w:sz="4" w:space="0" w:color="000000"/>
            </w:tcBorders>
          </w:tcPr>
          <w:p w14:paraId="6E6CFDFC" w14:textId="77777777" w:rsidR="00C16899" w:rsidRPr="00C16899" w:rsidRDefault="00C16899" w:rsidP="00C16899">
            <w:pPr>
              <w:ind w:left="0" w:right="0"/>
              <w:rPr>
                <w:sz w:val="20"/>
                <w:lang w:eastAsia="ja-JP"/>
              </w:rPr>
            </w:pPr>
          </w:p>
        </w:tc>
        <w:tc>
          <w:tcPr>
            <w:tcW w:w="1012" w:type="pct"/>
            <w:gridSpan w:val="3"/>
            <w:tcBorders>
              <w:left w:val="single" w:sz="4" w:space="0" w:color="000000"/>
              <w:right w:val="single" w:sz="4" w:space="0" w:color="000000"/>
            </w:tcBorders>
          </w:tcPr>
          <w:p w14:paraId="66588EA0"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Cohort 1</w:t>
            </w:r>
          </w:p>
          <w:p w14:paraId="6E64877C" w14:textId="3C675006"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(15 µg/m²/day)</w:t>
            </w:r>
          </w:p>
          <w:p w14:paraId="21AE8773" w14:textId="54DCC2B8"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 = 7)</w:t>
            </w:r>
          </w:p>
        </w:tc>
        <w:tc>
          <w:tcPr>
            <w:tcW w:w="1056" w:type="pct"/>
            <w:gridSpan w:val="3"/>
            <w:tcBorders>
              <w:left w:val="single" w:sz="4" w:space="0" w:color="000000"/>
              <w:right w:val="single" w:sz="4" w:space="0" w:color="000000"/>
            </w:tcBorders>
          </w:tcPr>
          <w:p w14:paraId="3F8F13BB"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Cohort 2a/3</w:t>
            </w:r>
          </w:p>
          <w:p w14:paraId="6EF4B550" w14:textId="6B493619"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(5 to 15 µg/m²/day)</w:t>
            </w:r>
          </w:p>
          <w:p w14:paraId="3CDCA9BC" w14:textId="55E7DCAA"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 = 23)</w:t>
            </w:r>
          </w:p>
        </w:tc>
        <w:tc>
          <w:tcPr>
            <w:tcW w:w="1012" w:type="pct"/>
            <w:gridSpan w:val="3"/>
            <w:tcBorders>
              <w:left w:val="single" w:sz="4" w:space="0" w:color="000000"/>
              <w:right w:val="single" w:sz="4" w:space="0" w:color="000000"/>
            </w:tcBorders>
          </w:tcPr>
          <w:p w14:paraId="78686BE2"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Cohort 2b</w:t>
            </w:r>
          </w:p>
          <w:p w14:paraId="58FFAE18" w14:textId="51FEAC2D"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(5 to 15 to 30 µg/m²/day)</w:t>
            </w:r>
          </w:p>
          <w:p w14:paraId="63C6A542" w14:textId="6E46B1D4"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 = 6)</w:t>
            </w:r>
          </w:p>
        </w:tc>
        <w:tc>
          <w:tcPr>
            <w:tcW w:w="919" w:type="pct"/>
            <w:gridSpan w:val="3"/>
            <w:tcBorders>
              <w:left w:val="single" w:sz="4" w:space="0" w:color="000000"/>
            </w:tcBorders>
          </w:tcPr>
          <w:p w14:paraId="56BECD4F"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Overall</w:t>
            </w:r>
          </w:p>
          <w:p w14:paraId="70D744F6" w14:textId="7101CB56"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 = 36)</w:t>
            </w:r>
          </w:p>
        </w:tc>
      </w:tr>
      <w:tr w:rsidR="00D97E10" w:rsidRPr="00C16899" w14:paraId="157BE9AD" w14:textId="77777777" w:rsidTr="00D97E10">
        <w:trPr>
          <w:cnfStyle w:val="100000000000" w:firstRow="1" w:lastRow="0" w:firstColumn="0" w:lastColumn="0" w:oddVBand="0" w:evenVBand="0" w:oddHBand="0" w:evenHBand="0" w:firstRowFirstColumn="0" w:firstRowLastColumn="0" w:lastRowFirstColumn="0" w:lastRowLastColumn="0"/>
          <w:trHeight w:val="95"/>
          <w:tblHeader/>
        </w:trPr>
        <w:tc>
          <w:tcPr>
            <w:cnfStyle w:val="001000000000" w:firstRow="0" w:lastRow="0" w:firstColumn="1" w:lastColumn="0" w:oddVBand="0" w:evenVBand="0" w:oddHBand="0" w:evenHBand="0" w:firstRowFirstColumn="0" w:firstRowLastColumn="0" w:lastRowFirstColumn="0" w:lastRowLastColumn="0"/>
            <w:tcW w:w="1001" w:type="pct"/>
            <w:vMerge/>
            <w:tcBorders>
              <w:right w:val="single" w:sz="4" w:space="0" w:color="000000"/>
            </w:tcBorders>
          </w:tcPr>
          <w:p w14:paraId="21107036" w14:textId="77777777" w:rsidR="00C16899" w:rsidRPr="00C16899" w:rsidRDefault="00C16899" w:rsidP="00C16899">
            <w:pPr>
              <w:ind w:left="0" w:right="0"/>
              <w:rPr>
                <w:sz w:val="20"/>
                <w:lang w:eastAsia="ja-JP"/>
              </w:rPr>
            </w:pPr>
          </w:p>
        </w:tc>
        <w:tc>
          <w:tcPr>
            <w:tcW w:w="191" w:type="pct"/>
            <w:tcBorders>
              <w:left w:val="single" w:sz="4" w:space="0" w:color="000000"/>
            </w:tcBorders>
          </w:tcPr>
          <w:p w14:paraId="0EAD8583"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284" w:type="pct"/>
          </w:tcPr>
          <w:p w14:paraId="31E7A76A"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537" w:type="pct"/>
            <w:tcBorders>
              <w:right w:val="single" w:sz="4" w:space="0" w:color="000000"/>
            </w:tcBorders>
          </w:tcPr>
          <w:p w14:paraId="1F0E6986"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w:t>
            </w:r>
          </w:p>
        </w:tc>
        <w:tc>
          <w:tcPr>
            <w:tcW w:w="234" w:type="pct"/>
            <w:tcBorders>
              <w:left w:val="single" w:sz="4" w:space="0" w:color="000000"/>
            </w:tcBorders>
          </w:tcPr>
          <w:p w14:paraId="06F2EF42"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341" w:type="pct"/>
          </w:tcPr>
          <w:p w14:paraId="30D16595"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480" w:type="pct"/>
            <w:tcBorders>
              <w:right w:val="single" w:sz="4" w:space="0" w:color="000000"/>
            </w:tcBorders>
          </w:tcPr>
          <w:p w14:paraId="6C32DE37"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w:t>
            </w:r>
          </w:p>
        </w:tc>
        <w:tc>
          <w:tcPr>
            <w:tcW w:w="191" w:type="pct"/>
            <w:tcBorders>
              <w:left w:val="single" w:sz="4" w:space="0" w:color="000000"/>
            </w:tcBorders>
          </w:tcPr>
          <w:p w14:paraId="7683E30E"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284" w:type="pct"/>
          </w:tcPr>
          <w:p w14:paraId="3CAA92B0"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537" w:type="pct"/>
            <w:tcBorders>
              <w:right w:val="single" w:sz="4" w:space="0" w:color="000000"/>
            </w:tcBorders>
          </w:tcPr>
          <w:p w14:paraId="76CA347D"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w:t>
            </w:r>
          </w:p>
        </w:tc>
        <w:tc>
          <w:tcPr>
            <w:tcW w:w="234" w:type="pct"/>
            <w:tcBorders>
              <w:left w:val="single" w:sz="4" w:space="0" w:color="000000"/>
              <w:bottom w:val="single" w:sz="4" w:space="0" w:color="000000"/>
            </w:tcBorders>
          </w:tcPr>
          <w:p w14:paraId="464C9559"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398" w:type="pct"/>
          </w:tcPr>
          <w:p w14:paraId="030A4D94"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n</w:t>
            </w:r>
          </w:p>
        </w:tc>
        <w:tc>
          <w:tcPr>
            <w:tcW w:w="287" w:type="pct"/>
          </w:tcPr>
          <w:p w14:paraId="3D4EDCDD" w14:textId="77777777" w:rsidR="00C16899" w:rsidRPr="00C16899" w:rsidRDefault="00C16899" w:rsidP="00C16899">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C16899">
              <w:rPr>
                <w:sz w:val="20"/>
                <w:lang w:eastAsia="ja-JP"/>
              </w:rPr>
              <w:t>(%)</w:t>
            </w:r>
          </w:p>
        </w:tc>
      </w:tr>
      <w:tr w:rsidR="00D97E10" w:rsidRPr="00C16899" w14:paraId="6B1754A8" w14:textId="77777777" w:rsidTr="00D97E10">
        <w:trPr>
          <w:trHeight w:val="321"/>
        </w:trPr>
        <w:tc>
          <w:tcPr>
            <w:cnfStyle w:val="001000000000" w:firstRow="0" w:lastRow="0" w:firstColumn="1" w:lastColumn="0" w:oddVBand="0" w:evenVBand="0" w:oddHBand="0" w:evenHBand="0" w:firstRowFirstColumn="0" w:firstRowLastColumn="0" w:lastRowFirstColumn="0" w:lastRowLastColumn="0"/>
            <w:tcW w:w="1001" w:type="pct"/>
          </w:tcPr>
          <w:p w14:paraId="4DC03EBB" w14:textId="07C9E753" w:rsidR="00A7727F" w:rsidRPr="00C16899" w:rsidRDefault="00A7727F" w:rsidP="00C16899">
            <w:pPr>
              <w:ind w:left="0" w:right="0"/>
              <w:rPr>
                <w:sz w:val="20"/>
                <w:lang w:eastAsia="ja-JP"/>
              </w:rPr>
            </w:pPr>
            <w:r w:rsidRPr="00C16899">
              <w:rPr>
                <w:sz w:val="20"/>
                <w:lang w:eastAsia="ja-JP"/>
              </w:rPr>
              <w:t xml:space="preserve">End of </w:t>
            </w:r>
            <w:r w:rsidR="007D46D6" w:rsidRPr="00C16899">
              <w:rPr>
                <w:sz w:val="20"/>
                <w:lang w:eastAsia="ja-JP"/>
              </w:rPr>
              <w:t>Cycle 1</w:t>
            </w:r>
          </w:p>
        </w:tc>
        <w:tc>
          <w:tcPr>
            <w:tcW w:w="191" w:type="pct"/>
          </w:tcPr>
          <w:p w14:paraId="63335E3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7</w:t>
            </w:r>
          </w:p>
        </w:tc>
        <w:tc>
          <w:tcPr>
            <w:tcW w:w="284" w:type="pct"/>
          </w:tcPr>
          <w:p w14:paraId="44B1DBA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37" w:type="pct"/>
          </w:tcPr>
          <w:p w14:paraId="7644DC6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4AC743F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23</w:t>
            </w:r>
          </w:p>
        </w:tc>
        <w:tc>
          <w:tcPr>
            <w:tcW w:w="341" w:type="pct"/>
          </w:tcPr>
          <w:p w14:paraId="5988172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80" w:type="pct"/>
          </w:tcPr>
          <w:p w14:paraId="54ED0FA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91" w:type="pct"/>
          </w:tcPr>
          <w:p w14:paraId="257D72E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6</w:t>
            </w:r>
          </w:p>
        </w:tc>
        <w:tc>
          <w:tcPr>
            <w:tcW w:w="284" w:type="pct"/>
          </w:tcPr>
          <w:p w14:paraId="58ACB79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37" w:type="pct"/>
          </w:tcPr>
          <w:p w14:paraId="750D03B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Borders>
              <w:top w:val="single" w:sz="4" w:space="0" w:color="000000"/>
            </w:tcBorders>
          </w:tcPr>
          <w:p w14:paraId="0F552D4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36</w:t>
            </w:r>
          </w:p>
        </w:tc>
        <w:tc>
          <w:tcPr>
            <w:tcW w:w="398" w:type="pct"/>
          </w:tcPr>
          <w:p w14:paraId="51B59DB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7" w:type="pct"/>
          </w:tcPr>
          <w:p w14:paraId="3F70F29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D97E10" w:rsidRPr="00C16899" w14:paraId="21CE70DE" w14:textId="77777777" w:rsidTr="00D97E10">
        <w:trPr>
          <w:trHeight w:val="313"/>
        </w:trPr>
        <w:tc>
          <w:tcPr>
            <w:cnfStyle w:val="001000000000" w:firstRow="0" w:lastRow="0" w:firstColumn="1" w:lastColumn="0" w:oddVBand="0" w:evenVBand="0" w:oddHBand="0" w:evenHBand="0" w:firstRowFirstColumn="0" w:firstRowLastColumn="0" w:lastRowFirstColumn="0" w:lastRowLastColumn="0"/>
            <w:tcW w:w="1001" w:type="pct"/>
          </w:tcPr>
          <w:p w14:paraId="7917AE02" w14:textId="77777777" w:rsidR="00A7727F" w:rsidRPr="00C16899" w:rsidRDefault="00A7727F" w:rsidP="00C16899">
            <w:pPr>
              <w:ind w:left="0" w:right="0"/>
              <w:rPr>
                <w:sz w:val="20"/>
                <w:lang w:eastAsia="ja-JP"/>
              </w:rPr>
            </w:pPr>
            <w:r w:rsidRPr="00C16899">
              <w:rPr>
                <w:sz w:val="20"/>
                <w:lang w:eastAsia="ja-JP"/>
              </w:rPr>
              <w:t>CR</w:t>
            </w:r>
          </w:p>
        </w:tc>
        <w:tc>
          <w:tcPr>
            <w:tcW w:w="191" w:type="pct"/>
          </w:tcPr>
          <w:p w14:paraId="1C7B820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493837C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1/5</w:t>
            </w:r>
          </w:p>
        </w:tc>
        <w:tc>
          <w:tcPr>
            <w:tcW w:w="537" w:type="pct"/>
          </w:tcPr>
          <w:p w14:paraId="0CBFF8E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(20.0%)</w:t>
            </w:r>
          </w:p>
        </w:tc>
        <w:tc>
          <w:tcPr>
            <w:tcW w:w="234" w:type="pct"/>
          </w:tcPr>
          <w:p w14:paraId="3BBD61B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6B5A2CC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9/21</w:t>
            </w:r>
          </w:p>
        </w:tc>
        <w:tc>
          <w:tcPr>
            <w:tcW w:w="480" w:type="pct"/>
          </w:tcPr>
          <w:p w14:paraId="7D74A7D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(42.9%)</w:t>
            </w:r>
          </w:p>
        </w:tc>
        <w:tc>
          <w:tcPr>
            <w:tcW w:w="191" w:type="pct"/>
          </w:tcPr>
          <w:p w14:paraId="7F57729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58D4E1F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2/6</w:t>
            </w:r>
          </w:p>
        </w:tc>
        <w:tc>
          <w:tcPr>
            <w:tcW w:w="537" w:type="pct"/>
          </w:tcPr>
          <w:p w14:paraId="79ED1D4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(33.3%)</w:t>
            </w:r>
          </w:p>
        </w:tc>
        <w:tc>
          <w:tcPr>
            <w:tcW w:w="234" w:type="pct"/>
          </w:tcPr>
          <w:p w14:paraId="18897CF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6D8B1A7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12/32</w:t>
            </w:r>
          </w:p>
        </w:tc>
        <w:tc>
          <w:tcPr>
            <w:tcW w:w="287" w:type="pct"/>
          </w:tcPr>
          <w:p w14:paraId="0C833D2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(37.5%)</w:t>
            </w:r>
          </w:p>
        </w:tc>
      </w:tr>
      <w:tr w:rsidR="00D97E10" w:rsidRPr="00C16899" w14:paraId="3F377F81" w14:textId="77777777" w:rsidTr="00D97E10">
        <w:trPr>
          <w:trHeight w:val="313"/>
        </w:trPr>
        <w:tc>
          <w:tcPr>
            <w:cnfStyle w:val="001000000000" w:firstRow="0" w:lastRow="0" w:firstColumn="1" w:lastColumn="0" w:oddVBand="0" w:evenVBand="0" w:oddHBand="0" w:evenHBand="0" w:firstRowFirstColumn="0" w:firstRowLastColumn="0" w:lastRowFirstColumn="0" w:lastRowLastColumn="0"/>
            <w:tcW w:w="1001" w:type="pct"/>
          </w:tcPr>
          <w:p w14:paraId="07CCAAC0" w14:textId="77777777" w:rsidR="00A7727F" w:rsidRPr="00C16899" w:rsidRDefault="00A7727F" w:rsidP="00C16899">
            <w:pPr>
              <w:ind w:left="0" w:right="0"/>
              <w:rPr>
                <w:sz w:val="20"/>
                <w:lang w:eastAsia="ja-JP"/>
              </w:rPr>
            </w:pPr>
            <w:r w:rsidRPr="00C16899">
              <w:rPr>
                <w:sz w:val="20"/>
                <w:lang w:eastAsia="ja-JP"/>
              </w:rPr>
              <w:t>CRh*</w:t>
            </w:r>
          </w:p>
        </w:tc>
        <w:tc>
          <w:tcPr>
            <w:tcW w:w="191" w:type="pct"/>
          </w:tcPr>
          <w:p w14:paraId="51BF40C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3124A82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2/5</w:t>
            </w:r>
          </w:p>
        </w:tc>
        <w:tc>
          <w:tcPr>
            <w:tcW w:w="537" w:type="pct"/>
          </w:tcPr>
          <w:p w14:paraId="66547B5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(40.0%)</w:t>
            </w:r>
          </w:p>
        </w:tc>
        <w:tc>
          <w:tcPr>
            <w:tcW w:w="234" w:type="pct"/>
          </w:tcPr>
          <w:p w14:paraId="520BE2B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2D06405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2/21</w:t>
            </w:r>
          </w:p>
        </w:tc>
        <w:tc>
          <w:tcPr>
            <w:tcW w:w="480" w:type="pct"/>
          </w:tcPr>
          <w:p w14:paraId="63DFB8C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(9.5%)</w:t>
            </w:r>
          </w:p>
        </w:tc>
        <w:tc>
          <w:tcPr>
            <w:tcW w:w="191" w:type="pct"/>
          </w:tcPr>
          <w:p w14:paraId="18C07C5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2B6EEB7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1/6</w:t>
            </w:r>
          </w:p>
        </w:tc>
        <w:tc>
          <w:tcPr>
            <w:tcW w:w="537" w:type="pct"/>
          </w:tcPr>
          <w:p w14:paraId="594C60F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(16.7%)</w:t>
            </w:r>
          </w:p>
        </w:tc>
        <w:tc>
          <w:tcPr>
            <w:tcW w:w="234" w:type="pct"/>
          </w:tcPr>
          <w:p w14:paraId="622FCB2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5E925E1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5/32</w:t>
            </w:r>
          </w:p>
        </w:tc>
        <w:tc>
          <w:tcPr>
            <w:tcW w:w="287" w:type="pct"/>
          </w:tcPr>
          <w:p w14:paraId="3030123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(15.6%)</w:t>
            </w:r>
          </w:p>
        </w:tc>
      </w:tr>
      <w:tr w:rsidR="00D97E10" w:rsidRPr="00C16899" w14:paraId="0851A71F" w14:textId="77777777" w:rsidTr="00D97E10">
        <w:trPr>
          <w:trHeight w:val="482"/>
        </w:trPr>
        <w:tc>
          <w:tcPr>
            <w:cnfStyle w:val="001000000000" w:firstRow="0" w:lastRow="0" w:firstColumn="1" w:lastColumn="0" w:oddVBand="0" w:evenVBand="0" w:oddHBand="0" w:evenHBand="0" w:firstRowFirstColumn="0" w:firstRowLastColumn="0" w:lastRowFirstColumn="0" w:lastRowLastColumn="0"/>
            <w:tcW w:w="1001" w:type="pct"/>
          </w:tcPr>
          <w:p w14:paraId="4F234231" w14:textId="77777777" w:rsidR="00A7727F" w:rsidRPr="00C16899" w:rsidRDefault="00A7727F" w:rsidP="00C16899">
            <w:pPr>
              <w:ind w:left="0" w:right="0"/>
              <w:rPr>
                <w:sz w:val="20"/>
                <w:lang w:eastAsia="ja-JP"/>
              </w:rPr>
            </w:pPr>
            <w:r w:rsidRPr="00C16899">
              <w:rPr>
                <w:sz w:val="20"/>
                <w:lang w:eastAsia="ja-JP"/>
              </w:rPr>
              <w:t>Partial response/remission</w:t>
            </w:r>
          </w:p>
        </w:tc>
        <w:tc>
          <w:tcPr>
            <w:tcW w:w="191" w:type="pct"/>
          </w:tcPr>
          <w:p w14:paraId="16AF32D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5A3DF7D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16599A2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067B494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42B6AF0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2/21</w:t>
            </w:r>
          </w:p>
        </w:tc>
        <w:tc>
          <w:tcPr>
            <w:tcW w:w="480" w:type="pct"/>
          </w:tcPr>
          <w:p w14:paraId="7564E2D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(9.5%)</w:t>
            </w:r>
          </w:p>
        </w:tc>
        <w:tc>
          <w:tcPr>
            <w:tcW w:w="191" w:type="pct"/>
          </w:tcPr>
          <w:p w14:paraId="3A5F9A1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00A7368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0/6</w:t>
            </w:r>
          </w:p>
        </w:tc>
        <w:tc>
          <w:tcPr>
            <w:tcW w:w="537" w:type="pct"/>
          </w:tcPr>
          <w:p w14:paraId="29E4A30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434F1B4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4CD6996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2/32</w:t>
            </w:r>
          </w:p>
        </w:tc>
        <w:tc>
          <w:tcPr>
            <w:tcW w:w="287" w:type="pct"/>
          </w:tcPr>
          <w:p w14:paraId="5FC79FF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(6.3%)</w:t>
            </w:r>
          </w:p>
        </w:tc>
      </w:tr>
      <w:tr w:rsidR="00D97E10" w:rsidRPr="00C16899" w14:paraId="3B70D658" w14:textId="77777777" w:rsidTr="00D97E10">
        <w:trPr>
          <w:trHeight w:val="474"/>
        </w:trPr>
        <w:tc>
          <w:tcPr>
            <w:cnfStyle w:val="001000000000" w:firstRow="0" w:lastRow="0" w:firstColumn="1" w:lastColumn="0" w:oddVBand="0" w:evenVBand="0" w:oddHBand="0" w:evenHBand="0" w:firstRowFirstColumn="0" w:firstRowLastColumn="0" w:lastRowFirstColumn="0" w:lastRowLastColumn="0"/>
            <w:tcW w:w="1001" w:type="pct"/>
          </w:tcPr>
          <w:p w14:paraId="3F850D8E" w14:textId="77777777" w:rsidR="00A7727F" w:rsidRPr="00C16899" w:rsidRDefault="00A7727F" w:rsidP="00C16899">
            <w:pPr>
              <w:ind w:left="0" w:right="0"/>
              <w:rPr>
                <w:sz w:val="20"/>
                <w:lang w:eastAsia="ja-JP"/>
              </w:rPr>
            </w:pPr>
            <w:r w:rsidRPr="00C16899">
              <w:rPr>
                <w:sz w:val="20"/>
                <w:lang w:eastAsia="ja-JP"/>
              </w:rPr>
              <w:t>Neither remission nor relapse</w:t>
            </w:r>
          </w:p>
        </w:tc>
        <w:tc>
          <w:tcPr>
            <w:tcW w:w="191" w:type="pct"/>
          </w:tcPr>
          <w:p w14:paraId="6E65CA6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521234F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1/5</w:t>
            </w:r>
          </w:p>
        </w:tc>
        <w:tc>
          <w:tcPr>
            <w:tcW w:w="537" w:type="pct"/>
          </w:tcPr>
          <w:p w14:paraId="1F8600D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(20.0%)</w:t>
            </w:r>
          </w:p>
        </w:tc>
        <w:tc>
          <w:tcPr>
            <w:tcW w:w="234" w:type="pct"/>
          </w:tcPr>
          <w:p w14:paraId="72DB9C5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6E0973B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2/21</w:t>
            </w:r>
          </w:p>
        </w:tc>
        <w:tc>
          <w:tcPr>
            <w:tcW w:w="480" w:type="pct"/>
          </w:tcPr>
          <w:p w14:paraId="7BA94A0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(9.5%)</w:t>
            </w:r>
          </w:p>
        </w:tc>
        <w:tc>
          <w:tcPr>
            <w:tcW w:w="191" w:type="pct"/>
          </w:tcPr>
          <w:p w14:paraId="28892BC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316177A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1/6</w:t>
            </w:r>
          </w:p>
        </w:tc>
        <w:tc>
          <w:tcPr>
            <w:tcW w:w="537" w:type="pct"/>
          </w:tcPr>
          <w:p w14:paraId="03379C3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(16.7%)</w:t>
            </w:r>
          </w:p>
        </w:tc>
        <w:tc>
          <w:tcPr>
            <w:tcW w:w="234" w:type="pct"/>
          </w:tcPr>
          <w:p w14:paraId="077057A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7BDE5BB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4/32</w:t>
            </w:r>
          </w:p>
        </w:tc>
        <w:tc>
          <w:tcPr>
            <w:tcW w:w="287" w:type="pct"/>
          </w:tcPr>
          <w:p w14:paraId="1C7123A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(12.5%)</w:t>
            </w:r>
          </w:p>
        </w:tc>
      </w:tr>
      <w:tr w:rsidR="00D97E10" w:rsidRPr="00C16899" w14:paraId="4800F819" w14:textId="77777777" w:rsidTr="00D97E10">
        <w:trPr>
          <w:trHeight w:val="474"/>
        </w:trPr>
        <w:tc>
          <w:tcPr>
            <w:cnfStyle w:val="001000000000" w:firstRow="0" w:lastRow="0" w:firstColumn="1" w:lastColumn="0" w:oddVBand="0" w:evenVBand="0" w:oddHBand="0" w:evenHBand="0" w:firstRowFirstColumn="0" w:firstRowLastColumn="0" w:lastRowFirstColumn="0" w:lastRowLastColumn="0"/>
            <w:tcW w:w="1001" w:type="pct"/>
          </w:tcPr>
          <w:p w14:paraId="72DBB54C" w14:textId="7EA480DF" w:rsidR="00A7727F" w:rsidRPr="00C16899" w:rsidRDefault="00A7727F" w:rsidP="00C16899">
            <w:pPr>
              <w:ind w:left="0" w:right="0"/>
              <w:rPr>
                <w:sz w:val="20"/>
                <w:lang w:eastAsia="ja-JP"/>
              </w:rPr>
            </w:pPr>
            <w:r w:rsidRPr="00C16899">
              <w:rPr>
                <w:sz w:val="20"/>
                <w:lang w:eastAsia="ja-JP"/>
              </w:rPr>
              <w:t>H</w:t>
            </w:r>
            <w:r w:rsidR="00BA3485">
              <w:rPr>
                <w:sz w:val="20"/>
                <w:lang w:eastAsia="ja-JP"/>
              </w:rPr>
              <w:t>a</w:t>
            </w:r>
            <w:r w:rsidRPr="00C16899">
              <w:rPr>
                <w:sz w:val="20"/>
                <w:lang w:eastAsia="ja-JP"/>
              </w:rPr>
              <w:t>ematological relapse</w:t>
            </w:r>
          </w:p>
        </w:tc>
        <w:tc>
          <w:tcPr>
            <w:tcW w:w="191" w:type="pct"/>
          </w:tcPr>
          <w:p w14:paraId="71C721D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7F69167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7D90588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25A0356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0E2CFFC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0/21</w:t>
            </w:r>
          </w:p>
        </w:tc>
        <w:tc>
          <w:tcPr>
            <w:tcW w:w="480" w:type="pct"/>
          </w:tcPr>
          <w:p w14:paraId="6F5DC6A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191" w:type="pct"/>
          </w:tcPr>
          <w:p w14:paraId="7B9A6EB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6E97884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0/6</w:t>
            </w:r>
          </w:p>
        </w:tc>
        <w:tc>
          <w:tcPr>
            <w:tcW w:w="537" w:type="pct"/>
          </w:tcPr>
          <w:p w14:paraId="4652EA9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75FFBAD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6EAFA53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0/32</w:t>
            </w:r>
          </w:p>
        </w:tc>
        <w:tc>
          <w:tcPr>
            <w:tcW w:w="287" w:type="pct"/>
          </w:tcPr>
          <w:p w14:paraId="63622A6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r>
      <w:tr w:rsidR="00D97E10" w:rsidRPr="00C16899" w14:paraId="53558A0E" w14:textId="77777777" w:rsidTr="00D97E10">
        <w:trPr>
          <w:trHeight w:val="474"/>
        </w:trPr>
        <w:tc>
          <w:tcPr>
            <w:cnfStyle w:val="001000000000" w:firstRow="0" w:lastRow="0" w:firstColumn="1" w:lastColumn="0" w:oddVBand="0" w:evenVBand="0" w:oddHBand="0" w:evenHBand="0" w:firstRowFirstColumn="0" w:firstRowLastColumn="0" w:lastRowFirstColumn="0" w:lastRowLastColumn="0"/>
            <w:tcW w:w="1001" w:type="pct"/>
          </w:tcPr>
          <w:p w14:paraId="683AB2A4" w14:textId="77777777" w:rsidR="00A7727F" w:rsidRPr="00C16899" w:rsidRDefault="00A7727F" w:rsidP="00C16899">
            <w:pPr>
              <w:ind w:left="0" w:right="0"/>
              <w:rPr>
                <w:sz w:val="20"/>
                <w:lang w:eastAsia="ja-JP"/>
              </w:rPr>
            </w:pPr>
            <w:r w:rsidRPr="00C16899">
              <w:rPr>
                <w:sz w:val="20"/>
                <w:lang w:eastAsia="ja-JP"/>
              </w:rPr>
              <w:t>Hypocellular bone marrow</w:t>
            </w:r>
          </w:p>
        </w:tc>
        <w:tc>
          <w:tcPr>
            <w:tcW w:w="191" w:type="pct"/>
          </w:tcPr>
          <w:p w14:paraId="2EE43C6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04EF35A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1/5</w:t>
            </w:r>
          </w:p>
        </w:tc>
        <w:tc>
          <w:tcPr>
            <w:tcW w:w="537" w:type="pct"/>
          </w:tcPr>
          <w:p w14:paraId="67EA44D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(20.0%)</w:t>
            </w:r>
          </w:p>
        </w:tc>
        <w:tc>
          <w:tcPr>
            <w:tcW w:w="234" w:type="pct"/>
          </w:tcPr>
          <w:p w14:paraId="21610CD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2337125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6/21</w:t>
            </w:r>
          </w:p>
        </w:tc>
        <w:tc>
          <w:tcPr>
            <w:tcW w:w="480" w:type="pct"/>
          </w:tcPr>
          <w:p w14:paraId="12C752D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(28.6%)</w:t>
            </w:r>
          </w:p>
        </w:tc>
        <w:tc>
          <w:tcPr>
            <w:tcW w:w="191" w:type="pct"/>
          </w:tcPr>
          <w:p w14:paraId="03C20E0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469FCE3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2/6</w:t>
            </w:r>
          </w:p>
        </w:tc>
        <w:tc>
          <w:tcPr>
            <w:tcW w:w="537" w:type="pct"/>
          </w:tcPr>
          <w:p w14:paraId="7BB636D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(33.3%)</w:t>
            </w:r>
          </w:p>
        </w:tc>
        <w:tc>
          <w:tcPr>
            <w:tcW w:w="234" w:type="pct"/>
          </w:tcPr>
          <w:p w14:paraId="1862DEC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240937C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9/32</w:t>
            </w:r>
          </w:p>
        </w:tc>
        <w:tc>
          <w:tcPr>
            <w:tcW w:w="287" w:type="pct"/>
          </w:tcPr>
          <w:p w14:paraId="10ACE18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(28.1%)</w:t>
            </w:r>
          </w:p>
        </w:tc>
      </w:tr>
      <w:tr w:rsidR="00D97E10" w:rsidRPr="00C16899" w14:paraId="732BD3CD" w14:textId="77777777" w:rsidTr="00D97E10">
        <w:trPr>
          <w:trHeight w:val="321"/>
        </w:trPr>
        <w:tc>
          <w:tcPr>
            <w:cnfStyle w:val="001000000000" w:firstRow="0" w:lastRow="0" w:firstColumn="1" w:lastColumn="0" w:oddVBand="0" w:evenVBand="0" w:oddHBand="0" w:evenHBand="0" w:firstRowFirstColumn="0" w:firstRowLastColumn="0" w:lastRowFirstColumn="0" w:lastRowLastColumn="0"/>
            <w:tcW w:w="1001" w:type="pct"/>
          </w:tcPr>
          <w:p w14:paraId="139E1EE5" w14:textId="77777777" w:rsidR="00A7727F" w:rsidRPr="00C16899" w:rsidRDefault="00A7727F" w:rsidP="00C16899">
            <w:pPr>
              <w:ind w:left="0" w:right="0"/>
              <w:rPr>
                <w:sz w:val="20"/>
                <w:lang w:eastAsia="ja-JP"/>
              </w:rPr>
            </w:pPr>
            <w:r w:rsidRPr="00C16899">
              <w:rPr>
                <w:sz w:val="20"/>
                <w:lang w:eastAsia="ja-JP"/>
              </w:rPr>
              <w:t>Not available</w:t>
            </w:r>
          </w:p>
        </w:tc>
        <w:tc>
          <w:tcPr>
            <w:tcW w:w="191" w:type="pct"/>
          </w:tcPr>
          <w:p w14:paraId="3413E89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7ACDF76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w:t>
            </w:r>
          </w:p>
        </w:tc>
        <w:tc>
          <w:tcPr>
            <w:tcW w:w="537" w:type="pct"/>
          </w:tcPr>
          <w:p w14:paraId="4A99773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7C7EA35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214D02D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w:t>
            </w:r>
          </w:p>
        </w:tc>
        <w:tc>
          <w:tcPr>
            <w:tcW w:w="480" w:type="pct"/>
          </w:tcPr>
          <w:p w14:paraId="2272E1D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91" w:type="pct"/>
          </w:tcPr>
          <w:p w14:paraId="2C4E2ED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4E671FF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w:t>
            </w:r>
          </w:p>
        </w:tc>
        <w:tc>
          <w:tcPr>
            <w:tcW w:w="537" w:type="pct"/>
          </w:tcPr>
          <w:p w14:paraId="6541C28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26D0D50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3488CCB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w:t>
            </w:r>
          </w:p>
        </w:tc>
        <w:tc>
          <w:tcPr>
            <w:tcW w:w="287" w:type="pct"/>
          </w:tcPr>
          <w:p w14:paraId="7F22BFF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D97E10" w:rsidRPr="00C16899" w14:paraId="437D22E8" w14:textId="77777777" w:rsidTr="00D97E10">
        <w:trPr>
          <w:trHeight w:val="313"/>
        </w:trPr>
        <w:tc>
          <w:tcPr>
            <w:cnfStyle w:val="001000000000" w:firstRow="0" w:lastRow="0" w:firstColumn="1" w:lastColumn="0" w:oddVBand="0" w:evenVBand="0" w:oddHBand="0" w:evenHBand="0" w:firstRowFirstColumn="0" w:firstRowLastColumn="0" w:lastRowFirstColumn="0" w:lastRowLastColumn="0"/>
            <w:tcW w:w="1001" w:type="pct"/>
          </w:tcPr>
          <w:p w14:paraId="73695495" w14:textId="40B04411" w:rsidR="00A7727F" w:rsidRPr="00C16899" w:rsidRDefault="00A7727F" w:rsidP="00C16899">
            <w:pPr>
              <w:ind w:left="0" w:right="0"/>
              <w:rPr>
                <w:sz w:val="20"/>
                <w:lang w:eastAsia="ja-JP"/>
              </w:rPr>
            </w:pPr>
            <w:r w:rsidRPr="00C16899">
              <w:rPr>
                <w:sz w:val="20"/>
                <w:lang w:eastAsia="ja-JP"/>
              </w:rPr>
              <w:t xml:space="preserve">End of </w:t>
            </w:r>
            <w:r w:rsidR="007D46D6" w:rsidRPr="00C16899">
              <w:rPr>
                <w:sz w:val="20"/>
                <w:lang w:eastAsia="ja-JP"/>
              </w:rPr>
              <w:t>Cycle 2</w:t>
            </w:r>
          </w:p>
        </w:tc>
        <w:tc>
          <w:tcPr>
            <w:tcW w:w="191" w:type="pct"/>
          </w:tcPr>
          <w:p w14:paraId="2ADED4B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5</w:t>
            </w:r>
          </w:p>
        </w:tc>
        <w:tc>
          <w:tcPr>
            <w:tcW w:w="284" w:type="pct"/>
          </w:tcPr>
          <w:p w14:paraId="41940CD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37" w:type="pct"/>
          </w:tcPr>
          <w:p w14:paraId="67BD2DB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5F903D6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15</w:t>
            </w:r>
          </w:p>
        </w:tc>
        <w:tc>
          <w:tcPr>
            <w:tcW w:w="341" w:type="pct"/>
          </w:tcPr>
          <w:p w14:paraId="3B910D9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80" w:type="pct"/>
          </w:tcPr>
          <w:p w14:paraId="46C2F38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91" w:type="pct"/>
          </w:tcPr>
          <w:p w14:paraId="4006740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w:t>
            </w:r>
          </w:p>
        </w:tc>
        <w:tc>
          <w:tcPr>
            <w:tcW w:w="284" w:type="pct"/>
          </w:tcPr>
          <w:p w14:paraId="529E7B3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37" w:type="pct"/>
          </w:tcPr>
          <w:p w14:paraId="24EA208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44EDFD2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23</w:t>
            </w:r>
          </w:p>
        </w:tc>
        <w:tc>
          <w:tcPr>
            <w:tcW w:w="398" w:type="pct"/>
          </w:tcPr>
          <w:p w14:paraId="7915D0E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7" w:type="pct"/>
          </w:tcPr>
          <w:p w14:paraId="54FB306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D97E10" w:rsidRPr="00C16899" w14:paraId="2C7490C0" w14:textId="77777777" w:rsidTr="00D97E10">
        <w:trPr>
          <w:trHeight w:val="321"/>
        </w:trPr>
        <w:tc>
          <w:tcPr>
            <w:cnfStyle w:val="001000000000" w:firstRow="0" w:lastRow="0" w:firstColumn="1" w:lastColumn="0" w:oddVBand="0" w:evenVBand="0" w:oddHBand="0" w:evenHBand="0" w:firstRowFirstColumn="0" w:firstRowLastColumn="0" w:lastRowFirstColumn="0" w:lastRowLastColumn="0"/>
            <w:tcW w:w="1001" w:type="pct"/>
          </w:tcPr>
          <w:p w14:paraId="32B0F44D" w14:textId="77777777" w:rsidR="00A7727F" w:rsidRPr="00C16899" w:rsidRDefault="00A7727F" w:rsidP="00C16899">
            <w:pPr>
              <w:ind w:left="0" w:right="0"/>
              <w:rPr>
                <w:sz w:val="20"/>
                <w:lang w:eastAsia="ja-JP"/>
              </w:rPr>
            </w:pPr>
            <w:r w:rsidRPr="00C16899">
              <w:rPr>
                <w:sz w:val="20"/>
                <w:lang w:eastAsia="ja-JP"/>
              </w:rPr>
              <w:t>CR</w:t>
            </w:r>
          </w:p>
        </w:tc>
        <w:tc>
          <w:tcPr>
            <w:tcW w:w="191" w:type="pct"/>
          </w:tcPr>
          <w:p w14:paraId="4998F58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0C1027C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62D351D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5FF8713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591B197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4/13</w:t>
            </w:r>
          </w:p>
        </w:tc>
        <w:tc>
          <w:tcPr>
            <w:tcW w:w="480" w:type="pct"/>
          </w:tcPr>
          <w:p w14:paraId="7FAD2B6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(30.8%)</w:t>
            </w:r>
          </w:p>
        </w:tc>
        <w:tc>
          <w:tcPr>
            <w:tcW w:w="191" w:type="pct"/>
          </w:tcPr>
          <w:p w14:paraId="3166A5D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49F6304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2/2</w:t>
            </w:r>
          </w:p>
        </w:tc>
        <w:tc>
          <w:tcPr>
            <w:tcW w:w="537" w:type="pct"/>
          </w:tcPr>
          <w:p w14:paraId="04A8077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(100.0%)</w:t>
            </w:r>
          </w:p>
        </w:tc>
        <w:tc>
          <w:tcPr>
            <w:tcW w:w="234" w:type="pct"/>
          </w:tcPr>
          <w:p w14:paraId="3D322B2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48AD69D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6/20</w:t>
            </w:r>
          </w:p>
        </w:tc>
        <w:tc>
          <w:tcPr>
            <w:tcW w:w="287" w:type="pct"/>
          </w:tcPr>
          <w:p w14:paraId="3FC2BA5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(30.0%)</w:t>
            </w:r>
          </w:p>
        </w:tc>
      </w:tr>
      <w:tr w:rsidR="00D97E10" w:rsidRPr="00C16899" w14:paraId="2EEC4AAB" w14:textId="77777777" w:rsidTr="00D97E10">
        <w:trPr>
          <w:trHeight w:val="321"/>
        </w:trPr>
        <w:tc>
          <w:tcPr>
            <w:cnfStyle w:val="001000000000" w:firstRow="0" w:lastRow="0" w:firstColumn="1" w:lastColumn="0" w:oddVBand="0" w:evenVBand="0" w:oddHBand="0" w:evenHBand="0" w:firstRowFirstColumn="0" w:firstRowLastColumn="0" w:lastRowFirstColumn="0" w:lastRowLastColumn="0"/>
            <w:tcW w:w="1001" w:type="pct"/>
          </w:tcPr>
          <w:p w14:paraId="0EE1DF1C" w14:textId="77777777" w:rsidR="00A7727F" w:rsidRPr="00C16899" w:rsidRDefault="00A7727F" w:rsidP="00C16899">
            <w:pPr>
              <w:ind w:left="0" w:right="0"/>
              <w:rPr>
                <w:sz w:val="20"/>
                <w:lang w:eastAsia="ja-JP"/>
              </w:rPr>
            </w:pPr>
            <w:r w:rsidRPr="00C16899">
              <w:rPr>
                <w:sz w:val="20"/>
                <w:lang w:eastAsia="ja-JP"/>
              </w:rPr>
              <w:t>CRh*</w:t>
            </w:r>
          </w:p>
        </w:tc>
        <w:tc>
          <w:tcPr>
            <w:tcW w:w="191" w:type="pct"/>
          </w:tcPr>
          <w:p w14:paraId="0A38E1F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4342257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5/5</w:t>
            </w:r>
          </w:p>
        </w:tc>
        <w:tc>
          <w:tcPr>
            <w:tcW w:w="537" w:type="pct"/>
          </w:tcPr>
          <w:p w14:paraId="5BA4F4F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(100.0%)</w:t>
            </w:r>
          </w:p>
        </w:tc>
        <w:tc>
          <w:tcPr>
            <w:tcW w:w="234" w:type="pct"/>
          </w:tcPr>
          <w:p w14:paraId="625594C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083A286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3/13</w:t>
            </w:r>
          </w:p>
        </w:tc>
        <w:tc>
          <w:tcPr>
            <w:tcW w:w="480" w:type="pct"/>
          </w:tcPr>
          <w:p w14:paraId="3A2BFC0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(23.1%)</w:t>
            </w:r>
          </w:p>
        </w:tc>
        <w:tc>
          <w:tcPr>
            <w:tcW w:w="191" w:type="pct"/>
          </w:tcPr>
          <w:p w14:paraId="446FD2B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10F35ED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w:t>
            </w:r>
          </w:p>
        </w:tc>
        <w:tc>
          <w:tcPr>
            <w:tcW w:w="537" w:type="pct"/>
          </w:tcPr>
          <w:p w14:paraId="638B40D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7042676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3E86576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8/20</w:t>
            </w:r>
          </w:p>
        </w:tc>
        <w:tc>
          <w:tcPr>
            <w:tcW w:w="287" w:type="pct"/>
          </w:tcPr>
          <w:p w14:paraId="42D2E01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(40.0%)</w:t>
            </w:r>
          </w:p>
        </w:tc>
      </w:tr>
      <w:tr w:rsidR="00D97E10" w:rsidRPr="00C16899" w14:paraId="324F10DD" w14:textId="77777777" w:rsidTr="00D97E10">
        <w:trPr>
          <w:trHeight w:val="474"/>
        </w:trPr>
        <w:tc>
          <w:tcPr>
            <w:cnfStyle w:val="001000000000" w:firstRow="0" w:lastRow="0" w:firstColumn="1" w:lastColumn="0" w:oddVBand="0" w:evenVBand="0" w:oddHBand="0" w:evenHBand="0" w:firstRowFirstColumn="0" w:firstRowLastColumn="0" w:lastRowFirstColumn="0" w:lastRowLastColumn="0"/>
            <w:tcW w:w="1001" w:type="pct"/>
          </w:tcPr>
          <w:p w14:paraId="39F95A50" w14:textId="77777777" w:rsidR="00A7727F" w:rsidRPr="00C16899" w:rsidRDefault="00A7727F" w:rsidP="00C16899">
            <w:pPr>
              <w:ind w:left="0" w:right="0"/>
              <w:rPr>
                <w:sz w:val="20"/>
                <w:lang w:eastAsia="ja-JP"/>
              </w:rPr>
            </w:pPr>
            <w:r w:rsidRPr="00C16899">
              <w:rPr>
                <w:sz w:val="20"/>
                <w:lang w:eastAsia="ja-JP"/>
              </w:rPr>
              <w:t>Partial response/remission</w:t>
            </w:r>
          </w:p>
        </w:tc>
        <w:tc>
          <w:tcPr>
            <w:tcW w:w="191" w:type="pct"/>
          </w:tcPr>
          <w:p w14:paraId="2E0A80E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63FF456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531752F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40D5DA6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6728FFC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1/13</w:t>
            </w:r>
          </w:p>
        </w:tc>
        <w:tc>
          <w:tcPr>
            <w:tcW w:w="480" w:type="pct"/>
          </w:tcPr>
          <w:p w14:paraId="2AEA5FD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(7.7%)</w:t>
            </w:r>
          </w:p>
        </w:tc>
        <w:tc>
          <w:tcPr>
            <w:tcW w:w="191" w:type="pct"/>
          </w:tcPr>
          <w:p w14:paraId="7C6CC64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73FF6A9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w:t>
            </w:r>
          </w:p>
        </w:tc>
        <w:tc>
          <w:tcPr>
            <w:tcW w:w="537" w:type="pct"/>
          </w:tcPr>
          <w:p w14:paraId="28A8B96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6BDDBE8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34E3CCB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1/20</w:t>
            </w:r>
          </w:p>
        </w:tc>
        <w:tc>
          <w:tcPr>
            <w:tcW w:w="287" w:type="pct"/>
          </w:tcPr>
          <w:p w14:paraId="22304EE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(5.0%)</w:t>
            </w:r>
          </w:p>
        </w:tc>
      </w:tr>
      <w:tr w:rsidR="00D97E10" w:rsidRPr="00C16899" w14:paraId="6B63EE22" w14:textId="77777777" w:rsidTr="00D97E10">
        <w:trPr>
          <w:trHeight w:val="474"/>
        </w:trPr>
        <w:tc>
          <w:tcPr>
            <w:cnfStyle w:val="001000000000" w:firstRow="0" w:lastRow="0" w:firstColumn="1" w:lastColumn="0" w:oddVBand="0" w:evenVBand="0" w:oddHBand="0" w:evenHBand="0" w:firstRowFirstColumn="0" w:firstRowLastColumn="0" w:lastRowFirstColumn="0" w:lastRowLastColumn="0"/>
            <w:tcW w:w="1001" w:type="pct"/>
          </w:tcPr>
          <w:p w14:paraId="1E46C32E" w14:textId="77777777" w:rsidR="00A7727F" w:rsidRPr="00C16899" w:rsidRDefault="00A7727F" w:rsidP="00C16899">
            <w:pPr>
              <w:ind w:left="0" w:right="0"/>
              <w:rPr>
                <w:sz w:val="20"/>
                <w:lang w:eastAsia="ja-JP"/>
              </w:rPr>
            </w:pPr>
            <w:r w:rsidRPr="00C16899">
              <w:rPr>
                <w:sz w:val="20"/>
                <w:lang w:eastAsia="ja-JP"/>
              </w:rPr>
              <w:t>Neither remission nor relapse</w:t>
            </w:r>
          </w:p>
        </w:tc>
        <w:tc>
          <w:tcPr>
            <w:tcW w:w="191" w:type="pct"/>
          </w:tcPr>
          <w:p w14:paraId="1BBA8DD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5EE0013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529B76D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312B0A7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5B3D7AC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1/13</w:t>
            </w:r>
          </w:p>
        </w:tc>
        <w:tc>
          <w:tcPr>
            <w:tcW w:w="480" w:type="pct"/>
          </w:tcPr>
          <w:p w14:paraId="609D092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(7.7%)</w:t>
            </w:r>
          </w:p>
        </w:tc>
        <w:tc>
          <w:tcPr>
            <w:tcW w:w="191" w:type="pct"/>
          </w:tcPr>
          <w:p w14:paraId="0375E31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5C9661E4"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w:t>
            </w:r>
          </w:p>
        </w:tc>
        <w:tc>
          <w:tcPr>
            <w:tcW w:w="537" w:type="pct"/>
          </w:tcPr>
          <w:p w14:paraId="103654E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0F64CD8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292EA90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1/20</w:t>
            </w:r>
          </w:p>
        </w:tc>
        <w:tc>
          <w:tcPr>
            <w:tcW w:w="287" w:type="pct"/>
          </w:tcPr>
          <w:p w14:paraId="7E17A00C"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(5.0%)</w:t>
            </w:r>
          </w:p>
        </w:tc>
      </w:tr>
      <w:tr w:rsidR="00D97E10" w:rsidRPr="00C16899" w14:paraId="7908BF1C" w14:textId="77777777" w:rsidTr="00D97E10">
        <w:trPr>
          <w:trHeight w:val="482"/>
        </w:trPr>
        <w:tc>
          <w:tcPr>
            <w:cnfStyle w:val="001000000000" w:firstRow="0" w:lastRow="0" w:firstColumn="1" w:lastColumn="0" w:oddVBand="0" w:evenVBand="0" w:oddHBand="0" w:evenHBand="0" w:firstRowFirstColumn="0" w:firstRowLastColumn="0" w:lastRowFirstColumn="0" w:lastRowLastColumn="0"/>
            <w:tcW w:w="1001" w:type="pct"/>
          </w:tcPr>
          <w:p w14:paraId="73B37F44" w14:textId="67D3959D" w:rsidR="00A7727F" w:rsidRPr="00C16899" w:rsidRDefault="00A7727F" w:rsidP="00C16899">
            <w:pPr>
              <w:ind w:left="0" w:right="0"/>
              <w:rPr>
                <w:sz w:val="20"/>
                <w:lang w:eastAsia="ja-JP"/>
              </w:rPr>
            </w:pPr>
            <w:r w:rsidRPr="00C16899">
              <w:rPr>
                <w:sz w:val="20"/>
                <w:lang w:eastAsia="ja-JP"/>
              </w:rPr>
              <w:t>H</w:t>
            </w:r>
            <w:r w:rsidR="00C16899">
              <w:rPr>
                <w:sz w:val="20"/>
                <w:lang w:eastAsia="ja-JP"/>
              </w:rPr>
              <w:t>a</w:t>
            </w:r>
            <w:r w:rsidRPr="00C16899">
              <w:rPr>
                <w:sz w:val="20"/>
                <w:lang w:eastAsia="ja-JP"/>
              </w:rPr>
              <w:t>ematological relapse</w:t>
            </w:r>
          </w:p>
        </w:tc>
        <w:tc>
          <w:tcPr>
            <w:tcW w:w="191" w:type="pct"/>
          </w:tcPr>
          <w:p w14:paraId="482649B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7FE6CE9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549154C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666DED9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2240CCD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0/13</w:t>
            </w:r>
          </w:p>
        </w:tc>
        <w:tc>
          <w:tcPr>
            <w:tcW w:w="480" w:type="pct"/>
          </w:tcPr>
          <w:p w14:paraId="2B0022A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191" w:type="pct"/>
          </w:tcPr>
          <w:p w14:paraId="3F3E883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5CFC38C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w:t>
            </w:r>
          </w:p>
        </w:tc>
        <w:tc>
          <w:tcPr>
            <w:tcW w:w="537" w:type="pct"/>
          </w:tcPr>
          <w:p w14:paraId="531B6790"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5D60D268"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6674CA7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0/20</w:t>
            </w:r>
          </w:p>
        </w:tc>
        <w:tc>
          <w:tcPr>
            <w:tcW w:w="287" w:type="pct"/>
          </w:tcPr>
          <w:p w14:paraId="29889D5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r>
      <w:tr w:rsidR="00D97E10" w:rsidRPr="00C16899" w14:paraId="34C5FF18" w14:textId="77777777" w:rsidTr="00D97E10">
        <w:trPr>
          <w:trHeight w:val="474"/>
        </w:trPr>
        <w:tc>
          <w:tcPr>
            <w:cnfStyle w:val="001000000000" w:firstRow="0" w:lastRow="0" w:firstColumn="1" w:lastColumn="0" w:oddVBand="0" w:evenVBand="0" w:oddHBand="0" w:evenHBand="0" w:firstRowFirstColumn="0" w:firstRowLastColumn="0" w:lastRowFirstColumn="0" w:lastRowLastColumn="0"/>
            <w:tcW w:w="1001" w:type="pct"/>
          </w:tcPr>
          <w:p w14:paraId="5F989154" w14:textId="77777777" w:rsidR="00A7727F" w:rsidRPr="00C16899" w:rsidRDefault="00A7727F" w:rsidP="00C16899">
            <w:pPr>
              <w:ind w:left="0" w:right="0"/>
              <w:rPr>
                <w:sz w:val="20"/>
                <w:lang w:eastAsia="ja-JP"/>
              </w:rPr>
            </w:pPr>
            <w:r w:rsidRPr="00C16899">
              <w:rPr>
                <w:sz w:val="20"/>
                <w:lang w:eastAsia="ja-JP"/>
              </w:rPr>
              <w:t>Hypocellular bone marrow</w:t>
            </w:r>
          </w:p>
        </w:tc>
        <w:tc>
          <w:tcPr>
            <w:tcW w:w="191" w:type="pct"/>
          </w:tcPr>
          <w:p w14:paraId="7B0C1C9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1AB23F0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0/5</w:t>
            </w:r>
          </w:p>
        </w:tc>
        <w:tc>
          <w:tcPr>
            <w:tcW w:w="537" w:type="pct"/>
          </w:tcPr>
          <w:p w14:paraId="4328A56B"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095EC45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41" w:type="pct"/>
          </w:tcPr>
          <w:p w14:paraId="139F794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4/13</w:t>
            </w:r>
          </w:p>
        </w:tc>
        <w:tc>
          <w:tcPr>
            <w:tcW w:w="480" w:type="pct"/>
          </w:tcPr>
          <w:p w14:paraId="67FD592F"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(30.8%)</w:t>
            </w:r>
          </w:p>
        </w:tc>
        <w:tc>
          <w:tcPr>
            <w:tcW w:w="191" w:type="pct"/>
          </w:tcPr>
          <w:p w14:paraId="7D535496"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4" w:type="pct"/>
          </w:tcPr>
          <w:p w14:paraId="00E0E9A5"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0/2</w:t>
            </w:r>
          </w:p>
        </w:tc>
        <w:tc>
          <w:tcPr>
            <w:tcW w:w="537" w:type="pct"/>
          </w:tcPr>
          <w:p w14:paraId="4F7008D3"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(0.0%)</w:t>
            </w:r>
          </w:p>
        </w:tc>
        <w:tc>
          <w:tcPr>
            <w:tcW w:w="234" w:type="pct"/>
          </w:tcPr>
          <w:p w14:paraId="180F751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98" w:type="pct"/>
          </w:tcPr>
          <w:p w14:paraId="240C1B5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4/20</w:t>
            </w:r>
          </w:p>
        </w:tc>
        <w:tc>
          <w:tcPr>
            <w:tcW w:w="287" w:type="pct"/>
          </w:tcPr>
          <w:p w14:paraId="7F81E1F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(20.0%)</w:t>
            </w:r>
          </w:p>
        </w:tc>
      </w:tr>
      <w:tr w:rsidR="00D97E10" w:rsidRPr="00C16899" w14:paraId="0D4CB792" w14:textId="77777777" w:rsidTr="00D97E10">
        <w:trPr>
          <w:trHeight w:val="321"/>
        </w:trPr>
        <w:tc>
          <w:tcPr>
            <w:cnfStyle w:val="001000000000" w:firstRow="0" w:lastRow="0" w:firstColumn="1" w:lastColumn="0" w:oddVBand="0" w:evenVBand="0" w:oddHBand="0" w:evenHBand="0" w:firstRowFirstColumn="0" w:firstRowLastColumn="0" w:lastRowFirstColumn="0" w:lastRowLastColumn="0"/>
            <w:tcW w:w="1001" w:type="pct"/>
          </w:tcPr>
          <w:p w14:paraId="2AD81110" w14:textId="77777777" w:rsidR="00A7727F" w:rsidRPr="00C16899" w:rsidRDefault="00A7727F" w:rsidP="00C16899">
            <w:pPr>
              <w:ind w:left="0" w:right="0"/>
              <w:rPr>
                <w:sz w:val="20"/>
                <w:lang w:eastAsia="ja-JP"/>
              </w:rPr>
            </w:pPr>
            <w:r w:rsidRPr="00C16899">
              <w:rPr>
                <w:sz w:val="20"/>
                <w:lang w:eastAsia="ja-JP"/>
              </w:rPr>
              <w:t>Not available</w:t>
            </w:r>
          </w:p>
        </w:tc>
        <w:tc>
          <w:tcPr>
            <w:tcW w:w="191" w:type="pct"/>
          </w:tcPr>
          <w:p w14:paraId="3E13686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0</w:t>
            </w:r>
          </w:p>
        </w:tc>
        <w:tc>
          <w:tcPr>
            <w:tcW w:w="284" w:type="pct"/>
          </w:tcPr>
          <w:p w14:paraId="09983BB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37" w:type="pct"/>
          </w:tcPr>
          <w:p w14:paraId="3037933A"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5F17F74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2</w:t>
            </w:r>
          </w:p>
        </w:tc>
        <w:tc>
          <w:tcPr>
            <w:tcW w:w="341" w:type="pct"/>
          </w:tcPr>
          <w:p w14:paraId="3577400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80" w:type="pct"/>
          </w:tcPr>
          <w:p w14:paraId="3ADF49F2"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91" w:type="pct"/>
          </w:tcPr>
          <w:p w14:paraId="23248BC1"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1</w:t>
            </w:r>
          </w:p>
        </w:tc>
        <w:tc>
          <w:tcPr>
            <w:tcW w:w="284" w:type="pct"/>
          </w:tcPr>
          <w:p w14:paraId="4C121F7D"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537" w:type="pct"/>
          </w:tcPr>
          <w:p w14:paraId="6E4ED6F9"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34" w:type="pct"/>
          </w:tcPr>
          <w:p w14:paraId="619A031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C16899">
              <w:rPr>
                <w:sz w:val="20"/>
                <w:lang w:eastAsia="ja-JP"/>
              </w:rPr>
              <w:t>3</w:t>
            </w:r>
          </w:p>
        </w:tc>
        <w:tc>
          <w:tcPr>
            <w:tcW w:w="398" w:type="pct"/>
          </w:tcPr>
          <w:p w14:paraId="6C768F0E"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287" w:type="pct"/>
          </w:tcPr>
          <w:p w14:paraId="1B5B0147" w14:textId="77777777" w:rsidR="00A7727F" w:rsidRPr="00C16899" w:rsidRDefault="00A7727F" w:rsidP="00C16899">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bl>
    <w:p w14:paraId="677F71DE" w14:textId="07F0E48D" w:rsidR="00A7727F" w:rsidRPr="00A7727F" w:rsidRDefault="00A7727F" w:rsidP="00BA3485">
      <w:pPr>
        <w:pStyle w:val="TableDescription"/>
        <w:rPr>
          <w:lang w:eastAsia="ja-JP"/>
        </w:rPr>
      </w:pPr>
      <w:r w:rsidRPr="00A7727F">
        <w:rPr>
          <w:lang w:eastAsia="ja-JP"/>
        </w:rPr>
        <w:t>CR: complete remission; CRh*: Complete response/remission with partial recovery of peripheral blood counts; FAS: Full Analysis Set; SAF: Safety Analysis Set</w:t>
      </w:r>
      <w:r w:rsidR="00BA3485">
        <w:rPr>
          <w:lang w:eastAsia="ja-JP"/>
        </w:rPr>
        <w:t>.</w:t>
      </w:r>
    </w:p>
    <w:p w14:paraId="7F3B04C3" w14:textId="77777777" w:rsidR="00A7727F" w:rsidRPr="00A7727F" w:rsidRDefault="00A7727F" w:rsidP="00C16899">
      <w:pPr>
        <w:pStyle w:val="Tabletitle"/>
        <w:rPr>
          <w:lang w:eastAsia="ja-JP"/>
        </w:rPr>
      </w:pPr>
      <w:r w:rsidRPr="00A7727F">
        <w:rPr>
          <w:lang w:eastAsia="ja-JP"/>
        </w:rPr>
        <w:t>Results for other efficacy outcomes</w:t>
      </w:r>
    </w:p>
    <w:p w14:paraId="1632B9C8" w14:textId="77777777" w:rsidR="00A7727F" w:rsidRPr="00C16899" w:rsidRDefault="00A7727F" w:rsidP="00C16899">
      <w:pPr>
        <w:pStyle w:val="Heading6"/>
      </w:pPr>
      <w:r w:rsidRPr="00A7727F">
        <w:rPr>
          <w:lang w:eastAsia="ja-JP"/>
        </w:rPr>
        <w:t>Rate of MRD Response</w:t>
      </w:r>
    </w:p>
    <w:p w14:paraId="330DFAC2" w14:textId="05BBB61B" w:rsidR="00A7727F" w:rsidRPr="00A7727F" w:rsidRDefault="00A7727F" w:rsidP="00A7727F">
      <w:pPr>
        <w:rPr>
          <w:lang w:eastAsia="ja-JP"/>
        </w:rPr>
      </w:pPr>
      <w:r w:rsidRPr="00A7727F">
        <w:rPr>
          <w:lang w:eastAsia="ja-JP"/>
        </w:rPr>
        <w:t>An MRD response at any time during the core study was reached in 69% (25/36; 95% CI: 51.9</w:t>
      </w:r>
      <w:r w:rsidR="00BA3485">
        <w:rPr>
          <w:lang w:eastAsia="ja-JP"/>
        </w:rPr>
        <w:t xml:space="preserve"> to </w:t>
      </w:r>
      <w:r w:rsidRPr="00A7727F">
        <w:rPr>
          <w:lang w:eastAsia="ja-JP"/>
        </w:rPr>
        <w:t>83.7) of subjects o</w:t>
      </w:r>
      <w:r w:rsidR="00233FF5">
        <w:rPr>
          <w:lang w:eastAsia="ja-JP"/>
        </w:rPr>
        <w:t>verall, 71% (5/7; 95% CI: 29.0 to</w:t>
      </w:r>
      <w:r w:rsidRPr="00A7727F">
        <w:rPr>
          <w:lang w:eastAsia="ja-JP"/>
        </w:rPr>
        <w:t xml:space="preserve"> 96.3) of subjects in coho</w:t>
      </w:r>
      <w:r w:rsidR="00233FF5">
        <w:rPr>
          <w:lang w:eastAsia="ja-JP"/>
        </w:rPr>
        <w:t>rt 1, 74% (17/23; 95% CI: 51.6 to</w:t>
      </w:r>
      <w:r w:rsidRPr="00A7727F">
        <w:rPr>
          <w:lang w:eastAsia="ja-JP"/>
        </w:rPr>
        <w:t xml:space="preserve"> 8</w:t>
      </w:r>
      <w:r w:rsidR="003B3EB1">
        <w:rPr>
          <w:lang w:eastAsia="ja-JP"/>
        </w:rPr>
        <w:t>9.8) of subjects in C</w:t>
      </w:r>
      <w:r w:rsidRPr="00A7727F">
        <w:rPr>
          <w:lang w:eastAsia="ja-JP"/>
        </w:rPr>
        <w:t>ohort 2a</w:t>
      </w:r>
      <w:r w:rsidR="003B3EB1">
        <w:rPr>
          <w:lang w:eastAsia="ja-JP"/>
        </w:rPr>
        <w:t>/3, and 50% (3/6; 95% CI: 11.8 to</w:t>
      </w:r>
      <w:r w:rsidRPr="00A7727F">
        <w:rPr>
          <w:lang w:eastAsia="ja-JP"/>
        </w:rPr>
        <w:t xml:space="preserve"> 88.2) of subjects in </w:t>
      </w:r>
      <w:r w:rsidR="003B3EB1">
        <w:rPr>
          <w:lang w:eastAsia="ja-JP"/>
        </w:rPr>
        <w:t>C</w:t>
      </w:r>
      <w:r w:rsidRPr="00A7727F">
        <w:rPr>
          <w:lang w:eastAsia="ja-JP"/>
        </w:rPr>
        <w:t>ohort 2b. Of the subjects who achieved h</w:t>
      </w:r>
      <w:r w:rsidR="00233FF5">
        <w:rPr>
          <w:lang w:eastAsia="ja-JP"/>
        </w:rPr>
        <w:t>a</w:t>
      </w:r>
      <w:r w:rsidRPr="00A7727F">
        <w:rPr>
          <w:lang w:eastAsia="ja-JP"/>
        </w:rPr>
        <w:t>ematological remission (CR/CRh*), 88% (22/25) achieved an MRD response.</w:t>
      </w:r>
    </w:p>
    <w:p w14:paraId="3A59BACB" w14:textId="4EC747DD" w:rsidR="00A7727F" w:rsidRPr="00A7727F" w:rsidRDefault="00A7727F" w:rsidP="00A7727F">
      <w:pPr>
        <w:rPr>
          <w:lang w:eastAsia="ja-JP"/>
        </w:rPr>
      </w:pPr>
      <w:r w:rsidRPr="00A7727F">
        <w:rPr>
          <w:lang w:eastAsia="ja-JP"/>
        </w:rPr>
        <w:t xml:space="preserve">An MRD response was reached at the end of </w:t>
      </w:r>
      <w:r w:rsidR="007D46D6">
        <w:rPr>
          <w:lang w:eastAsia="ja-JP"/>
        </w:rPr>
        <w:t>Cycle 1</w:t>
      </w:r>
      <w:r w:rsidRPr="00A7727F">
        <w:rPr>
          <w:lang w:eastAsia="ja-JP"/>
        </w:rPr>
        <w:t xml:space="preserve"> in 63% (19/30) of subjects overall, 40% (2/5) of subjects in </w:t>
      </w:r>
      <w:r w:rsidR="003B3EB1">
        <w:rPr>
          <w:lang w:eastAsia="ja-JP"/>
        </w:rPr>
        <w:t>C</w:t>
      </w:r>
      <w:r w:rsidRPr="00A7727F">
        <w:rPr>
          <w:lang w:eastAsia="ja-JP"/>
        </w:rPr>
        <w:t xml:space="preserve">ohort 1, in 74% (14/19) of subjects in cohort 2a/3, and 50% (3/6) of subjects in </w:t>
      </w:r>
      <w:r w:rsidR="003B3EB1">
        <w:rPr>
          <w:lang w:eastAsia="ja-JP"/>
        </w:rPr>
        <w:t>C</w:t>
      </w:r>
      <w:r w:rsidRPr="00A7727F">
        <w:rPr>
          <w:lang w:eastAsia="ja-JP"/>
        </w:rPr>
        <w:t xml:space="preserve">ohort 2b. At the end of </w:t>
      </w:r>
      <w:r w:rsidR="007D46D6">
        <w:rPr>
          <w:lang w:eastAsia="ja-JP"/>
        </w:rPr>
        <w:t>Cycle 2</w:t>
      </w:r>
      <w:r w:rsidRPr="00A7727F">
        <w:rPr>
          <w:lang w:eastAsia="ja-JP"/>
        </w:rPr>
        <w:t xml:space="preserve">, an MRD response was reached in 79% (15/19) of subjects overall, 100% (5/5) of subjects in </w:t>
      </w:r>
      <w:r w:rsidR="003B3EB1">
        <w:rPr>
          <w:lang w:eastAsia="ja-JP"/>
        </w:rPr>
        <w:t>C</w:t>
      </w:r>
      <w:r w:rsidRPr="00A7727F">
        <w:rPr>
          <w:lang w:eastAsia="ja-JP"/>
        </w:rPr>
        <w:t xml:space="preserve">ohort 1, 67% (8/12) of subjects in cohort 2a/3, and 100% (2/2) of subjects in cohort 2b. In MRD responders, MRD relapse at any time after MRD response was reported in 12% (3/25) of subjects overall, 0% (0/5) of subjects in </w:t>
      </w:r>
      <w:r w:rsidR="003B3EB1">
        <w:rPr>
          <w:lang w:eastAsia="ja-JP"/>
        </w:rPr>
        <w:t>C</w:t>
      </w:r>
      <w:r w:rsidRPr="00A7727F">
        <w:rPr>
          <w:lang w:eastAsia="ja-JP"/>
        </w:rPr>
        <w:t xml:space="preserve">ohort 1, 12% (2/17) of subjects in </w:t>
      </w:r>
      <w:r w:rsidR="003B3EB1">
        <w:rPr>
          <w:lang w:eastAsia="ja-JP"/>
        </w:rPr>
        <w:t>C</w:t>
      </w:r>
      <w:r w:rsidRPr="00A7727F">
        <w:rPr>
          <w:lang w:eastAsia="ja-JP"/>
        </w:rPr>
        <w:t>ohort 2a/3, and 33%</w:t>
      </w:r>
      <w:r w:rsidR="00233FF5">
        <w:rPr>
          <w:lang w:eastAsia="ja-JP"/>
        </w:rPr>
        <w:t xml:space="preserve"> (1/3) of subjects in cohort 2b. </w:t>
      </w:r>
      <w:r w:rsidRPr="00A7727F">
        <w:rPr>
          <w:lang w:eastAsia="ja-JP"/>
        </w:rPr>
        <w:t xml:space="preserve">No subjects in the study had MRD progression at any time after MRD response. As of the data cut-off date, there were 2 evaluable subjects in </w:t>
      </w:r>
      <w:r w:rsidR="003B3EB1">
        <w:rPr>
          <w:lang w:eastAsia="ja-JP"/>
        </w:rPr>
        <w:t>C</w:t>
      </w:r>
      <w:r w:rsidRPr="00A7727F">
        <w:rPr>
          <w:lang w:eastAsia="ja-JP"/>
        </w:rPr>
        <w:t>ohort 3 who had best response of hypocellular bone marrow who also achieved MRD response.</w:t>
      </w:r>
    </w:p>
    <w:p w14:paraId="1F5FE12E" w14:textId="77777777" w:rsidR="00A7727F" w:rsidRPr="00A7727F" w:rsidRDefault="00A7727F" w:rsidP="00BA3485">
      <w:pPr>
        <w:pStyle w:val="Heading6"/>
        <w:rPr>
          <w:lang w:eastAsia="ja-JP"/>
        </w:rPr>
      </w:pPr>
      <w:r w:rsidRPr="00A7727F">
        <w:rPr>
          <w:lang w:eastAsia="ja-JP"/>
        </w:rPr>
        <w:t>Allogeneic HSCT</w:t>
      </w:r>
    </w:p>
    <w:p w14:paraId="3C4E569C" w14:textId="7E78EB4C" w:rsidR="00A7727F" w:rsidRPr="00A7727F" w:rsidRDefault="00A7727F" w:rsidP="00A7727F">
      <w:pPr>
        <w:rPr>
          <w:lang w:eastAsia="ja-JP"/>
        </w:rPr>
      </w:pPr>
      <w:r w:rsidRPr="00A7727F">
        <w:rPr>
          <w:lang w:eastAsia="ja-JP"/>
        </w:rPr>
        <w:t xml:space="preserve">Overall, 50% (18/36) of subjects underwent allogeneic HSCT after treatment with blinatumomab. In cohort 1, 43% (3/7) of subjects underwent allogeneic HSCT after blinatumomab treatment including 100% (1/1) of CR subjects and 25% (1/4) of CRh* subjects. In </w:t>
      </w:r>
      <w:r w:rsidR="003B3EB1">
        <w:rPr>
          <w:lang w:eastAsia="ja-JP"/>
        </w:rPr>
        <w:t>C</w:t>
      </w:r>
      <w:r w:rsidRPr="00A7727F">
        <w:rPr>
          <w:lang w:eastAsia="ja-JP"/>
        </w:rPr>
        <w:t>ohort 2a/3, 61% (14/23) of subjects underwent allogeneic HSCT after blinatumomab treatment including 75% (9/12) of CR subjects, 50% (2/4) of CRh* subjects, 0% (0/2) of partial response/remission subjects, and 100% (3/3) of hypocellular bone marrow subjects. In cohort 2b, 17% (1/6) of subjects underwent allogeneic HSCT after blinatumomab treatment including 0% (0/1) of hypocellular bone marrow subjects. There were 2 subjects who achieved remission and underwent an allogeneic HSCT after relapsing.</w:t>
      </w:r>
    </w:p>
    <w:p w14:paraId="245D81A7" w14:textId="77777777" w:rsidR="00A7727F" w:rsidRPr="00A7727F" w:rsidRDefault="00A7727F" w:rsidP="00BA3485">
      <w:pPr>
        <w:pStyle w:val="Heading6"/>
        <w:rPr>
          <w:lang w:eastAsia="ja-JP"/>
        </w:rPr>
      </w:pPr>
      <w:r w:rsidRPr="00A7727F">
        <w:rPr>
          <w:lang w:eastAsia="ja-JP"/>
        </w:rPr>
        <w:t>Time to CR/CRh*</w:t>
      </w:r>
    </w:p>
    <w:p w14:paraId="6B7C5963" w14:textId="34795F42" w:rsidR="00A7727F" w:rsidRPr="00BA3485" w:rsidRDefault="00A7727F" w:rsidP="00A7727F">
      <w:pPr>
        <w:rPr>
          <w:lang w:eastAsia="ja-JP"/>
        </w:rPr>
      </w:pPr>
      <w:r w:rsidRPr="00A7727F">
        <w:rPr>
          <w:lang w:eastAsia="ja-JP"/>
        </w:rPr>
        <w:t xml:space="preserve">The median time to CR/CRh* from the K-M analysis was 29 days in subjects overall and in subjects in </w:t>
      </w:r>
      <w:r w:rsidR="003B3EB1">
        <w:rPr>
          <w:lang w:eastAsia="ja-JP"/>
        </w:rPr>
        <w:t>C</w:t>
      </w:r>
      <w:r w:rsidRPr="00A7727F">
        <w:rPr>
          <w:lang w:eastAsia="ja-JP"/>
        </w:rPr>
        <w:t>ohorts 1, 2a/3, and 2b (</w:t>
      </w:r>
      <w:r w:rsidR="00725E03">
        <w:rPr>
          <w:lang w:eastAsia="ja-JP"/>
        </w:rPr>
        <w:t xml:space="preserve">shown in </w:t>
      </w:r>
      <w:r w:rsidRPr="003B3EB1">
        <w:rPr>
          <w:lang w:eastAsia="ja-JP"/>
        </w:rPr>
        <w:t>Figure 29</w:t>
      </w:r>
      <w:r w:rsidR="00725E03" w:rsidRPr="003B3EB1">
        <w:rPr>
          <w:lang w:eastAsia="ja-JP"/>
        </w:rPr>
        <w:t>,</w:t>
      </w:r>
      <w:r w:rsidR="00725E03">
        <w:rPr>
          <w:lang w:eastAsia="ja-JP"/>
        </w:rPr>
        <w:t xml:space="preserve"> below</w:t>
      </w:r>
      <w:r w:rsidRPr="00A7727F">
        <w:rPr>
          <w:lang w:eastAsia="ja-JP"/>
        </w:rPr>
        <w:t>).</w:t>
      </w:r>
    </w:p>
    <w:p w14:paraId="2EA709D1" w14:textId="1A1E7A28" w:rsidR="00A7727F" w:rsidRPr="00BA3485" w:rsidRDefault="00A7727F" w:rsidP="007B270B">
      <w:pPr>
        <w:pStyle w:val="FigureTitle"/>
        <w:keepNext/>
        <w:rPr>
          <w:lang w:eastAsia="ja-JP"/>
        </w:rPr>
      </w:pPr>
      <w:bookmarkStart w:id="206" w:name="_Toc292015809"/>
      <w:r w:rsidRPr="00A7727F">
        <w:rPr>
          <w:lang w:eastAsia="ja-JP"/>
        </w:rPr>
        <w:t xml:space="preserve">Figure </w:t>
      </w:r>
      <w:r w:rsidR="00CB21D3">
        <w:rPr>
          <w:lang w:eastAsia="ja-JP"/>
        </w:rPr>
        <w:t>29:</w:t>
      </w:r>
      <w:r w:rsidR="00BA3485">
        <w:rPr>
          <w:lang w:eastAsia="ja-JP"/>
        </w:rPr>
        <w:t xml:space="preserve"> Time to CR/CRh* (SAF/FAS, by intended dose schedule; </w:t>
      </w:r>
      <w:r w:rsidRPr="00A7727F">
        <w:rPr>
          <w:lang w:eastAsia="ja-JP"/>
        </w:rPr>
        <w:t>Kaplan-Meier curves stratified)</w:t>
      </w:r>
      <w:bookmarkEnd w:id="206"/>
    </w:p>
    <w:p w14:paraId="59305C9C" w14:textId="77777777" w:rsidR="00A7727F" w:rsidRPr="00A7727F" w:rsidRDefault="00A7727F" w:rsidP="00A7727F">
      <w:pPr>
        <w:rPr>
          <w:lang w:eastAsia="ja-JP"/>
        </w:rPr>
      </w:pPr>
      <w:r w:rsidRPr="00A7727F">
        <w:rPr>
          <w:noProof/>
          <w:lang w:eastAsia="en-AU"/>
        </w:rPr>
        <w:drawing>
          <wp:inline distT="0" distB="0" distL="0" distR="0" wp14:anchorId="21520C84" wp14:editId="2AA890FF">
            <wp:extent cx="4819650" cy="2850331"/>
            <wp:effectExtent l="0" t="0" r="0" b="7620"/>
            <wp:docPr id="97" name="Picture 97" descr="Figure 29: Time to CR/CRh* (SAF/FAS, by intended dose schedule; Kaplan-Meier curves stratified)" title="Time to CR/CRh*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0457" cy="2850809"/>
                    </a:xfrm>
                    <a:prstGeom prst="rect">
                      <a:avLst/>
                    </a:prstGeom>
                    <a:noFill/>
                    <a:ln>
                      <a:noFill/>
                    </a:ln>
                  </pic:spPr>
                </pic:pic>
              </a:graphicData>
            </a:graphic>
          </wp:inline>
        </w:drawing>
      </w:r>
    </w:p>
    <w:p w14:paraId="365C862D" w14:textId="0B7C23BC" w:rsidR="00A7727F" w:rsidRPr="00A7727F" w:rsidRDefault="00A7727F" w:rsidP="00E92AF4">
      <w:pPr>
        <w:pStyle w:val="FigureDescription"/>
        <w:rPr>
          <w:lang w:eastAsia="ja-JP"/>
        </w:rPr>
      </w:pPr>
      <w:r w:rsidRPr="00A7727F">
        <w:rPr>
          <w:lang w:eastAsia="ja-JP"/>
        </w:rPr>
        <w:t>Note: Results displayed for subjects by intended study cohorts only. Results for subjects overall not displayed.</w:t>
      </w:r>
      <w:r w:rsidR="00BA3485">
        <w:rPr>
          <w:lang w:eastAsia="ja-JP"/>
        </w:rPr>
        <w:t xml:space="preserve"> </w:t>
      </w:r>
      <w:r w:rsidRPr="00A7727F">
        <w:rPr>
          <w:lang w:eastAsia="ja-JP"/>
        </w:rPr>
        <w:t>CR: complete remission; CRh*: Complete response/remission with partial recovery of peripheral blood counts; FAS: Full Analysis Set; SAF: Safety Analysis Set</w:t>
      </w:r>
      <w:r w:rsidR="00E92AF4">
        <w:rPr>
          <w:lang w:eastAsia="ja-JP"/>
        </w:rPr>
        <w:t>.</w:t>
      </w:r>
    </w:p>
    <w:p w14:paraId="169448E3" w14:textId="347394AD" w:rsidR="00A7727F" w:rsidRPr="00A7727F" w:rsidRDefault="00A7727F" w:rsidP="00E92AF4">
      <w:pPr>
        <w:pStyle w:val="Heading6"/>
        <w:rPr>
          <w:lang w:eastAsia="ja-JP"/>
        </w:rPr>
      </w:pPr>
      <w:r w:rsidRPr="00A7727F">
        <w:rPr>
          <w:lang w:eastAsia="ja-JP"/>
        </w:rPr>
        <w:t>Time to h</w:t>
      </w:r>
      <w:r w:rsidR="00E92AF4">
        <w:rPr>
          <w:lang w:eastAsia="ja-JP"/>
        </w:rPr>
        <w:t>a</w:t>
      </w:r>
      <w:r w:rsidRPr="00A7727F">
        <w:rPr>
          <w:lang w:eastAsia="ja-JP"/>
        </w:rPr>
        <w:t>ematological relapse</w:t>
      </w:r>
    </w:p>
    <w:p w14:paraId="51BCEC74" w14:textId="50274106" w:rsidR="00A7727F" w:rsidRPr="00A7727F" w:rsidRDefault="00A7727F" w:rsidP="00A7727F">
      <w:pPr>
        <w:rPr>
          <w:lang w:eastAsia="ja-JP"/>
        </w:rPr>
      </w:pPr>
      <w:r w:rsidRPr="00A7727F">
        <w:rPr>
          <w:lang w:eastAsia="ja-JP"/>
        </w:rPr>
        <w:t>Time to h</w:t>
      </w:r>
      <w:r w:rsidR="00DA5A1C">
        <w:rPr>
          <w:lang w:eastAsia="ja-JP"/>
        </w:rPr>
        <w:t>a</w:t>
      </w:r>
      <w:r w:rsidRPr="00A7727F">
        <w:rPr>
          <w:lang w:eastAsia="ja-JP"/>
        </w:rPr>
        <w:t>ematological relapse was measured only for subjects who achieved a CR or CRh* during the core study and was measured from the time the subject first achieved remission until first documented relapse or death due to disease progression. Patients without a documented relapse (h</w:t>
      </w:r>
      <w:r w:rsidR="00DA5A1C">
        <w:rPr>
          <w:lang w:eastAsia="ja-JP"/>
        </w:rPr>
        <w:t>a</w:t>
      </w:r>
      <w:r w:rsidRPr="00A7727F">
        <w:rPr>
          <w:lang w:eastAsia="ja-JP"/>
        </w:rPr>
        <w:t>ematological or extramedullary) and who did not die were censored at the time of their last bone marrow assessment or their last survival follow-up visit confirming remission. Patients who died without having reported h</w:t>
      </w:r>
      <w:r w:rsidR="00DA5A1C">
        <w:rPr>
          <w:lang w:eastAsia="ja-JP"/>
        </w:rPr>
        <w:t>a</w:t>
      </w:r>
      <w:r w:rsidRPr="00A7727F">
        <w:rPr>
          <w:lang w:eastAsia="ja-JP"/>
        </w:rPr>
        <w:t>ematological relapse or without showing any clinical sign of disease progression were censored on their day of death.</w:t>
      </w:r>
    </w:p>
    <w:p w14:paraId="2E3361D7" w14:textId="5019209C" w:rsidR="00A7727F" w:rsidRPr="00DA5A1C" w:rsidRDefault="00A7727F" w:rsidP="00A7727F">
      <w:pPr>
        <w:rPr>
          <w:lang w:eastAsia="ja-JP"/>
        </w:rPr>
      </w:pPr>
      <w:r w:rsidRPr="00A7727F">
        <w:rPr>
          <w:lang w:eastAsia="ja-JP"/>
        </w:rPr>
        <w:t>The median time to h</w:t>
      </w:r>
      <w:r w:rsidR="00DA5A1C">
        <w:rPr>
          <w:lang w:eastAsia="ja-JP"/>
        </w:rPr>
        <w:t>a</w:t>
      </w:r>
      <w:r w:rsidRPr="00A7727F">
        <w:rPr>
          <w:lang w:eastAsia="ja-JP"/>
        </w:rPr>
        <w:t>ematological relapse was 270 days (8.9 months) in resp</w:t>
      </w:r>
      <w:r w:rsidR="00DA5A1C">
        <w:rPr>
          <w:lang w:eastAsia="ja-JP"/>
        </w:rPr>
        <w:t>onders overall and 240 days in C</w:t>
      </w:r>
      <w:r w:rsidRPr="00A7727F">
        <w:rPr>
          <w:lang w:eastAsia="ja-JP"/>
        </w:rPr>
        <w:t xml:space="preserve">ohort 1 responders and was not reached in </w:t>
      </w:r>
      <w:r w:rsidR="003B3EB1">
        <w:rPr>
          <w:lang w:eastAsia="ja-JP"/>
        </w:rPr>
        <w:t>C</w:t>
      </w:r>
      <w:r w:rsidRPr="00A7727F">
        <w:rPr>
          <w:lang w:eastAsia="ja-JP"/>
        </w:rPr>
        <w:t>ohort 2a/3 and 2b</w:t>
      </w:r>
      <w:r w:rsidR="00DA5A1C">
        <w:rPr>
          <w:lang w:eastAsia="ja-JP"/>
        </w:rPr>
        <w:t xml:space="preserve"> </w:t>
      </w:r>
      <w:r w:rsidRPr="00A7727F">
        <w:rPr>
          <w:lang w:eastAsia="ja-JP"/>
        </w:rPr>
        <w:t xml:space="preserve">responders. </w:t>
      </w:r>
      <w:r w:rsidR="003B3EB1">
        <w:rPr>
          <w:lang w:eastAsia="ja-JP"/>
        </w:rPr>
        <w:t>1 </w:t>
      </w:r>
      <w:r w:rsidRPr="00A7727F">
        <w:rPr>
          <w:lang w:eastAsia="ja-JP"/>
        </w:rPr>
        <w:t>year probabilit</w:t>
      </w:r>
      <w:r w:rsidR="00DA5A1C">
        <w:rPr>
          <w:lang w:eastAsia="ja-JP"/>
        </w:rPr>
        <w:t>y rates were 47% (95% CI: 21.6 to</w:t>
      </w:r>
      <w:r w:rsidRPr="00A7727F">
        <w:rPr>
          <w:lang w:eastAsia="ja-JP"/>
        </w:rPr>
        <w:t xml:space="preserve"> 71.9) in respond</w:t>
      </w:r>
      <w:r w:rsidR="00DA5A1C">
        <w:rPr>
          <w:lang w:eastAsia="ja-JP"/>
        </w:rPr>
        <w:t>ers overall, 0% for C</w:t>
      </w:r>
      <w:r w:rsidRPr="00A7727F">
        <w:rPr>
          <w:lang w:eastAsia="ja-JP"/>
        </w:rPr>
        <w:t>ohort 1</w:t>
      </w:r>
      <w:r w:rsidR="00DA5A1C">
        <w:rPr>
          <w:lang w:eastAsia="ja-JP"/>
        </w:rPr>
        <w:t xml:space="preserve"> responders, 62% (95% CI: 34.2 to 89.6) for C</w:t>
      </w:r>
      <w:r w:rsidRPr="00A7727F">
        <w:rPr>
          <w:lang w:eastAsia="ja-JP"/>
        </w:rPr>
        <w:t>ohort 2a/3 re</w:t>
      </w:r>
      <w:r w:rsidR="00DA5A1C">
        <w:rPr>
          <w:lang w:eastAsia="ja-JP"/>
        </w:rPr>
        <w:t>sponders, and 50% (95% CI: 1.0 to 99.0) for C</w:t>
      </w:r>
      <w:r w:rsidRPr="00A7727F">
        <w:rPr>
          <w:lang w:eastAsia="ja-JP"/>
        </w:rPr>
        <w:t>ohort 2b responders (</w:t>
      </w:r>
      <w:r w:rsidR="003B3EB1">
        <w:rPr>
          <w:lang w:eastAsia="ja-JP"/>
        </w:rPr>
        <w:t xml:space="preserve">see </w:t>
      </w:r>
      <w:r w:rsidRPr="00A7727F">
        <w:rPr>
          <w:lang w:eastAsia="ja-JP"/>
        </w:rPr>
        <w:t>Figure 30</w:t>
      </w:r>
      <w:r w:rsidR="003B3EB1">
        <w:rPr>
          <w:lang w:eastAsia="ja-JP"/>
        </w:rPr>
        <w:t>, below</w:t>
      </w:r>
      <w:r w:rsidRPr="00A7727F">
        <w:rPr>
          <w:lang w:eastAsia="ja-JP"/>
        </w:rPr>
        <w:t>).</w:t>
      </w:r>
    </w:p>
    <w:p w14:paraId="3B2D9813" w14:textId="0C3D3F05" w:rsidR="00A7727F" w:rsidRPr="00A7727F" w:rsidRDefault="00A7727F" w:rsidP="00D85843">
      <w:pPr>
        <w:pStyle w:val="FigureTitle"/>
        <w:keepNext/>
        <w:rPr>
          <w:lang w:eastAsia="ja-JP"/>
        </w:rPr>
      </w:pPr>
      <w:bookmarkStart w:id="207" w:name="_Toc292015810"/>
      <w:r w:rsidRPr="00A7727F">
        <w:rPr>
          <w:lang w:eastAsia="ja-JP"/>
        </w:rPr>
        <w:t xml:space="preserve">Figure </w:t>
      </w:r>
      <w:r w:rsidR="00CB21D3">
        <w:rPr>
          <w:lang w:eastAsia="ja-JP"/>
        </w:rPr>
        <w:t>30:</w:t>
      </w:r>
      <w:r w:rsidR="00DA5A1C">
        <w:rPr>
          <w:lang w:eastAsia="ja-JP"/>
        </w:rPr>
        <w:t xml:space="preserve"> Time to haematological relapse of s</w:t>
      </w:r>
      <w:r w:rsidRPr="00A7727F">
        <w:rPr>
          <w:lang w:eastAsia="ja-JP"/>
        </w:rPr>
        <w:t>ubjects with CR or CRh</w:t>
      </w:r>
      <w:r w:rsidR="00DA5A1C">
        <w:rPr>
          <w:lang w:eastAsia="ja-JP"/>
        </w:rPr>
        <w:t xml:space="preserve">* during core study, (SAF/FAS, by intended dose schedule; Kaplan-Meier curves, </w:t>
      </w:r>
      <w:r w:rsidRPr="00A7727F">
        <w:rPr>
          <w:lang w:eastAsia="ja-JP"/>
        </w:rPr>
        <w:t>stratified)</w:t>
      </w:r>
      <w:bookmarkEnd w:id="207"/>
    </w:p>
    <w:p w14:paraId="5F2FE87E" w14:textId="77777777" w:rsidR="00A7727F" w:rsidRPr="00A7727F" w:rsidRDefault="00A7727F" w:rsidP="00D85843">
      <w:pPr>
        <w:keepNext/>
        <w:rPr>
          <w:lang w:eastAsia="ja-JP"/>
        </w:rPr>
      </w:pPr>
      <w:r w:rsidRPr="00A7727F">
        <w:rPr>
          <w:noProof/>
          <w:lang w:eastAsia="en-AU"/>
        </w:rPr>
        <w:drawing>
          <wp:inline distT="0" distB="0" distL="0" distR="0" wp14:anchorId="7C13DEDB" wp14:editId="69F39DAA">
            <wp:extent cx="4749800" cy="2860095"/>
            <wp:effectExtent l="0" t="0" r="0" b="0"/>
            <wp:docPr id="98" name="Picture 98" descr="Figure 30: Time to haematological relapse of subjects with CR or CRh* during core study, (SAF/FAS, by intended dose schedule; Kaplan-Meier curves, stratified)" title="Time to haematological relapse of subjects with CR or CRh* during core study,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0832" cy="2860717"/>
                    </a:xfrm>
                    <a:prstGeom prst="rect">
                      <a:avLst/>
                    </a:prstGeom>
                    <a:noFill/>
                    <a:ln>
                      <a:noFill/>
                    </a:ln>
                  </pic:spPr>
                </pic:pic>
              </a:graphicData>
            </a:graphic>
          </wp:inline>
        </w:drawing>
      </w:r>
    </w:p>
    <w:p w14:paraId="6043B955" w14:textId="79333508" w:rsidR="00A7727F" w:rsidRPr="00A7727F" w:rsidRDefault="00A7727F" w:rsidP="00D85843">
      <w:pPr>
        <w:pStyle w:val="FigureDescription"/>
        <w:rPr>
          <w:lang w:eastAsia="ja-JP"/>
        </w:rPr>
      </w:pPr>
      <w:r w:rsidRPr="00A7727F">
        <w:rPr>
          <w:lang w:eastAsia="ja-JP"/>
        </w:rPr>
        <w:t>Note: Results displayed for subjects by intended study cohorts only. Results for subjects overall not displayed.</w:t>
      </w:r>
      <w:r w:rsidR="00D85843">
        <w:rPr>
          <w:lang w:eastAsia="ja-JP"/>
        </w:rPr>
        <w:t xml:space="preserve"> </w:t>
      </w:r>
      <w:r w:rsidRPr="00A7727F">
        <w:rPr>
          <w:lang w:eastAsia="ja-JP"/>
        </w:rPr>
        <w:t>CR: complete remission; CRh*: Complete response/remission with partial recovery of peripheral blood counts; FAS: Full Analysis Set; SAF: Safety Analysis Set</w:t>
      </w:r>
    </w:p>
    <w:p w14:paraId="2129DB3B" w14:textId="25EB725A" w:rsidR="00A7727F" w:rsidRPr="00A7727F" w:rsidRDefault="00A7727F" w:rsidP="00A7727F">
      <w:pPr>
        <w:rPr>
          <w:lang w:eastAsia="ja-JP"/>
        </w:rPr>
      </w:pPr>
      <w:r w:rsidRPr="00A7727F">
        <w:rPr>
          <w:lang w:eastAsia="ja-JP"/>
        </w:rPr>
        <w:t>In subjects who achieved CR during the core study, the median time to haematological relapse was not reached in subjects overall (N</w:t>
      </w:r>
      <w:r w:rsidR="00375CAE">
        <w:rPr>
          <w:lang w:eastAsia="ja-JP"/>
        </w:rPr>
        <w:t xml:space="preserve"> </w:t>
      </w:r>
      <w:r w:rsidR="00423768">
        <w:rPr>
          <w:lang w:eastAsia="ja-JP"/>
        </w:rPr>
        <w:t>=</w:t>
      </w:r>
      <w:r w:rsidR="00375CAE">
        <w:rPr>
          <w:lang w:eastAsia="ja-JP"/>
        </w:rPr>
        <w:t xml:space="preserve"> </w:t>
      </w:r>
      <w:r w:rsidRPr="00A7727F">
        <w:rPr>
          <w:lang w:eastAsia="ja-JP"/>
        </w:rPr>
        <w:t>17) nor in</w:t>
      </w:r>
      <w:r w:rsidR="00D85843">
        <w:rPr>
          <w:lang w:eastAsia="ja-JP"/>
        </w:rPr>
        <w:t xml:space="preserve"> C</w:t>
      </w:r>
      <w:r w:rsidRPr="00A7727F">
        <w:rPr>
          <w:lang w:eastAsia="ja-JP"/>
        </w:rPr>
        <w:t>ohorts 1, 2a/3, or 2b.</w:t>
      </w:r>
      <w:r w:rsidR="00D85843">
        <w:rPr>
          <w:lang w:eastAsia="ja-JP"/>
        </w:rPr>
        <w:t xml:space="preserve"> In subjects who achieved CR, 1 </w:t>
      </w:r>
      <w:r w:rsidRPr="00A7727F">
        <w:rPr>
          <w:lang w:eastAsia="ja-JP"/>
        </w:rPr>
        <w:t>year probabilit</w:t>
      </w:r>
      <w:r w:rsidR="00D85843">
        <w:rPr>
          <w:lang w:eastAsia="ja-JP"/>
        </w:rPr>
        <w:t>y rates were 63% (95% CI: 35.9 to</w:t>
      </w:r>
      <w:r w:rsidRPr="00A7727F">
        <w:rPr>
          <w:lang w:eastAsia="ja-JP"/>
        </w:rPr>
        <w:t xml:space="preserve"> 89.2) in subjects overall</w:t>
      </w:r>
      <w:r w:rsidR="00D85843">
        <w:rPr>
          <w:lang w:eastAsia="ja-JP"/>
        </w:rPr>
        <w:t>, not estimable in subjects in Cohort 1, 66% (95% CI: 34.4 to 98.2) in subjects in C</w:t>
      </w:r>
      <w:r w:rsidRPr="00A7727F">
        <w:rPr>
          <w:lang w:eastAsia="ja-JP"/>
        </w:rPr>
        <w:t>oh</w:t>
      </w:r>
      <w:r w:rsidR="00D85843">
        <w:rPr>
          <w:lang w:eastAsia="ja-JP"/>
        </w:rPr>
        <w:t>ort 2a/3, and 50% (95% CI: 1.0 to</w:t>
      </w:r>
      <w:r w:rsidRPr="00A7727F">
        <w:rPr>
          <w:lang w:eastAsia="ja-JP"/>
        </w:rPr>
        <w:t xml:space="preserve"> 99.0) in </w:t>
      </w:r>
      <w:r w:rsidR="00D85843">
        <w:rPr>
          <w:lang w:eastAsia="ja-JP"/>
        </w:rPr>
        <w:t>subjects in C</w:t>
      </w:r>
      <w:r w:rsidRPr="00A7727F">
        <w:rPr>
          <w:lang w:eastAsia="ja-JP"/>
        </w:rPr>
        <w:t>ohort 2b (</w:t>
      </w:r>
      <w:r w:rsidR="003B3EB1">
        <w:rPr>
          <w:lang w:eastAsia="ja-JP"/>
        </w:rPr>
        <w:t xml:space="preserve">see </w:t>
      </w:r>
      <w:r w:rsidRPr="003B3EB1">
        <w:rPr>
          <w:lang w:eastAsia="ja-JP"/>
        </w:rPr>
        <w:t>Figure 31</w:t>
      </w:r>
      <w:r w:rsidR="003B3EB1" w:rsidRPr="003B3EB1">
        <w:rPr>
          <w:lang w:eastAsia="ja-JP"/>
        </w:rPr>
        <w:t>, below</w:t>
      </w:r>
      <w:r w:rsidRPr="003B3EB1">
        <w:rPr>
          <w:lang w:eastAsia="ja-JP"/>
        </w:rPr>
        <w:t>).</w:t>
      </w:r>
    </w:p>
    <w:p w14:paraId="5DCC28BE" w14:textId="48255C85" w:rsidR="00A7727F" w:rsidRPr="00A7727F" w:rsidRDefault="00A7727F" w:rsidP="00A7727F">
      <w:pPr>
        <w:rPr>
          <w:b/>
          <w:lang w:eastAsia="ja-JP"/>
        </w:rPr>
      </w:pPr>
      <w:bookmarkStart w:id="208" w:name="_Toc292015811"/>
      <w:r w:rsidRPr="00A7727F">
        <w:rPr>
          <w:b/>
          <w:lang w:eastAsia="ja-JP"/>
        </w:rPr>
        <w:t xml:space="preserve">Figure </w:t>
      </w:r>
      <w:r w:rsidR="00CB21D3">
        <w:rPr>
          <w:b/>
          <w:lang w:eastAsia="ja-JP"/>
        </w:rPr>
        <w:t>31:</w:t>
      </w:r>
      <w:r w:rsidR="00D85843">
        <w:rPr>
          <w:b/>
          <w:lang w:eastAsia="ja-JP"/>
        </w:rPr>
        <w:t xml:space="preserve"> Time to haematological relapse of subjects who reached CR during core study, (SAF/FAS, by intended dose schedule; Kaplan-Meier curves, </w:t>
      </w:r>
      <w:r w:rsidRPr="00A7727F">
        <w:rPr>
          <w:b/>
          <w:lang w:eastAsia="ja-JP"/>
        </w:rPr>
        <w:t>stratified)</w:t>
      </w:r>
      <w:bookmarkEnd w:id="208"/>
    </w:p>
    <w:p w14:paraId="7C43F7B5" w14:textId="77777777" w:rsidR="00A7727F" w:rsidRPr="00A7727F" w:rsidRDefault="00A7727F" w:rsidP="00A7727F">
      <w:pPr>
        <w:rPr>
          <w:lang w:eastAsia="ja-JP"/>
        </w:rPr>
      </w:pPr>
      <w:r w:rsidRPr="00A7727F">
        <w:rPr>
          <w:noProof/>
          <w:lang w:eastAsia="en-AU"/>
        </w:rPr>
        <w:drawing>
          <wp:inline distT="0" distB="0" distL="0" distR="0" wp14:anchorId="0200923F" wp14:editId="5F321A22">
            <wp:extent cx="4819650" cy="2872540"/>
            <wp:effectExtent l="0" t="0" r="0" b="4445"/>
            <wp:docPr id="99" name="Picture 99" descr="Figure 31: Time to haematological relapse of subjects who reached CR during core study, (SAF/FAS, by intended dose schedule; Kaplan-Meier curves, stratified)&#10;" title="Time to haematological relapse of subjects who reached CR during core study, (SAF/FAS, by intended dose schedule; Kaplan-Meier curves, strat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0686" cy="2873158"/>
                    </a:xfrm>
                    <a:prstGeom prst="rect">
                      <a:avLst/>
                    </a:prstGeom>
                    <a:noFill/>
                    <a:ln>
                      <a:noFill/>
                    </a:ln>
                  </pic:spPr>
                </pic:pic>
              </a:graphicData>
            </a:graphic>
          </wp:inline>
        </w:drawing>
      </w:r>
    </w:p>
    <w:p w14:paraId="7378CD5F" w14:textId="66A9B85D" w:rsidR="00A7727F" w:rsidRPr="00A7727F" w:rsidRDefault="00A7727F" w:rsidP="00D85843">
      <w:pPr>
        <w:pStyle w:val="FigureDescription"/>
        <w:rPr>
          <w:lang w:eastAsia="ja-JP"/>
        </w:rPr>
      </w:pPr>
      <w:r w:rsidRPr="00A7727F">
        <w:rPr>
          <w:lang w:eastAsia="ja-JP"/>
        </w:rPr>
        <w:t>Note: Results displayed for subjects by intended study cohorts only. Results for subjects overall not displayed.</w:t>
      </w:r>
      <w:r w:rsidR="00D85843">
        <w:rPr>
          <w:lang w:eastAsia="ja-JP"/>
        </w:rPr>
        <w:t xml:space="preserve"> C</w:t>
      </w:r>
      <w:r w:rsidRPr="00A7727F">
        <w:rPr>
          <w:lang w:eastAsia="ja-JP"/>
        </w:rPr>
        <w:t>R: complete remission; FAS: Full Analysis Set; SAF: Safety Analysis Set</w:t>
      </w:r>
      <w:r w:rsidR="00D85843">
        <w:rPr>
          <w:lang w:eastAsia="ja-JP"/>
        </w:rPr>
        <w:t>.</w:t>
      </w:r>
    </w:p>
    <w:p w14:paraId="7C6BA7D9" w14:textId="7BE739AC" w:rsidR="00A7727F" w:rsidRPr="00A7727F" w:rsidRDefault="00A7727F" w:rsidP="00A7727F">
      <w:pPr>
        <w:rPr>
          <w:lang w:eastAsia="ja-JP"/>
        </w:rPr>
      </w:pPr>
      <w:r w:rsidRPr="00A7727F">
        <w:rPr>
          <w:lang w:eastAsia="ja-JP"/>
        </w:rPr>
        <w:t>In subjects with best response of CRh* during the core study, the median time to h</w:t>
      </w:r>
      <w:r w:rsidR="00D85843">
        <w:rPr>
          <w:lang w:eastAsia="ja-JP"/>
        </w:rPr>
        <w:t>a</w:t>
      </w:r>
      <w:r w:rsidRPr="00A7727F">
        <w:rPr>
          <w:lang w:eastAsia="ja-JP"/>
        </w:rPr>
        <w:t>ematological relapse was 240 days (7.7 months) in subjects overall (N</w:t>
      </w:r>
      <w:r w:rsidR="00375CAE">
        <w:rPr>
          <w:lang w:eastAsia="ja-JP"/>
        </w:rPr>
        <w:t xml:space="preserve"> </w:t>
      </w:r>
      <w:r w:rsidR="00423768">
        <w:rPr>
          <w:lang w:eastAsia="ja-JP"/>
        </w:rPr>
        <w:t>=</w:t>
      </w:r>
      <w:r w:rsidR="00375CAE">
        <w:rPr>
          <w:lang w:eastAsia="ja-JP"/>
        </w:rPr>
        <w:t xml:space="preserve"> </w:t>
      </w:r>
      <w:r w:rsidR="00D85843">
        <w:rPr>
          <w:lang w:eastAsia="ja-JP"/>
        </w:rPr>
        <w:t>8) and in C</w:t>
      </w:r>
      <w:r w:rsidRPr="00A7727F">
        <w:rPr>
          <w:lang w:eastAsia="ja-JP"/>
        </w:rPr>
        <w:t>o</w:t>
      </w:r>
      <w:r w:rsidR="00D85843">
        <w:rPr>
          <w:lang w:eastAsia="ja-JP"/>
        </w:rPr>
        <w:t>hort 1, and was not reached in Cohort 2a/3. No subjects in C</w:t>
      </w:r>
      <w:r w:rsidRPr="00A7727F">
        <w:rPr>
          <w:lang w:eastAsia="ja-JP"/>
        </w:rPr>
        <w:t>ohort 2b had best response of CRh*. In subjects who achieved a CR/CRh* during the core study, the median time to h</w:t>
      </w:r>
      <w:r w:rsidR="00D85843">
        <w:rPr>
          <w:lang w:eastAsia="ja-JP"/>
        </w:rPr>
        <w:t>a</w:t>
      </w:r>
      <w:r w:rsidRPr="00A7727F">
        <w:rPr>
          <w:lang w:eastAsia="ja-JP"/>
        </w:rPr>
        <w:t>ematological relapse, censoring subjects with allogeneic HSCT at the time of HSCT, was 240 days (7.7 months) in subjects overall (N</w:t>
      </w:r>
      <w:r w:rsidR="00375CAE">
        <w:rPr>
          <w:lang w:eastAsia="ja-JP"/>
        </w:rPr>
        <w:t xml:space="preserve"> </w:t>
      </w:r>
      <w:r w:rsidR="00423768">
        <w:rPr>
          <w:lang w:eastAsia="ja-JP"/>
        </w:rPr>
        <w:t>=</w:t>
      </w:r>
      <w:r w:rsidR="00375CAE">
        <w:rPr>
          <w:lang w:eastAsia="ja-JP"/>
        </w:rPr>
        <w:t xml:space="preserve"> </w:t>
      </w:r>
      <w:r w:rsidR="00D85843">
        <w:rPr>
          <w:lang w:eastAsia="ja-JP"/>
        </w:rPr>
        <w:t>25) and in C</w:t>
      </w:r>
      <w:r w:rsidRPr="00A7727F">
        <w:rPr>
          <w:lang w:eastAsia="ja-JP"/>
        </w:rPr>
        <w:t>ohort 1, and was not reached in cohorts 2a/3 and 2b. One-year probabilit</w:t>
      </w:r>
      <w:r w:rsidR="00D85843">
        <w:rPr>
          <w:lang w:eastAsia="ja-JP"/>
        </w:rPr>
        <w:t>y rates were 32% (95% CI: -2.5 to</w:t>
      </w:r>
      <w:r w:rsidRPr="00A7727F">
        <w:rPr>
          <w:lang w:eastAsia="ja-JP"/>
        </w:rPr>
        <w:t xml:space="preserve"> 66.2) in subjects overall who</w:t>
      </w:r>
      <w:r w:rsidR="00D85843">
        <w:rPr>
          <w:lang w:eastAsia="ja-JP"/>
        </w:rPr>
        <w:t xml:space="preserve"> achieved a CR/CRh*, was 0% in Cohort 1, was not estimable in Cohort 2a/3, and was 50% in C</w:t>
      </w:r>
      <w:r w:rsidRPr="00A7727F">
        <w:rPr>
          <w:lang w:eastAsia="ja-JP"/>
        </w:rPr>
        <w:t>ohort 2b (</w:t>
      </w:r>
      <w:r w:rsidR="003B3EB1">
        <w:rPr>
          <w:lang w:eastAsia="ja-JP"/>
        </w:rPr>
        <w:t>see Figure </w:t>
      </w:r>
      <w:r w:rsidRPr="00A7727F">
        <w:rPr>
          <w:lang w:eastAsia="ja-JP"/>
        </w:rPr>
        <w:t>32</w:t>
      </w:r>
      <w:r w:rsidR="003B3EB1">
        <w:rPr>
          <w:lang w:eastAsia="ja-JP"/>
        </w:rPr>
        <w:t>, below</w:t>
      </w:r>
      <w:r w:rsidRPr="00A7727F">
        <w:rPr>
          <w:lang w:eastAsia="ja-JP"/>
        </w:rPr>
        <w:t>). Censoring subjects who underwent an HSCT resulted in shorter times to haematological relapse compared to the primary analysis results.</w:t>
      </w:r>
    </w:p>
    <w:p w14:paraId="4913373A" w14:textId="30828480" w:rsidR="00A7727F" w:rsidRPr="00A7727F" w:rsidRDefault="00A7727F" w:rsidP="00D85843">
      <w:pPr>
        <w:pStyle w:val="FigureTitle"/>
        <w:rPr>
          <w:lang w:eastAsia="ja-JP"/>
        </w:rPr>
      </w:pPr>
      <w:bookmarkStart w:id="209" w:name="_Toc292015812"/>
      <w:r w:rsidRPr="00A7727F">
        <w:rPr>
          <w:lang w:eastAsia="ja-JP"/>
        </w:rPr>
        <w:t xml:space="preserve">Figure </w:t>
      </w:r>
      <w:r w:rsidR="00CB21D3">
        <w:rPr>
          <w:lang w:eastAsia="ja-JP"/>
        </w:rPr>
        <w:t>32:</w:t>
      </w:r>
      <w:r w:rsidR="00D85843">
        <w:rPr>
          <w:lang w:eastAsia="ja-JP"/>
        </w:rPr>
        <w:t xml:space="preserve"> Time to haematological relapse of subjects with CR/CRh* during core study censoring subjects with allogeneic HSCT at time of HSCT (SAF/FAS, by intended dose schedule; Kaplan-Meier curves, </w:t>
      </w:r>
      <w:r w:rsidRPr="00A7727F">
        <w:rPr>
          <w:lang w:eastAsia="ja-JP"/>
        </w:rPr>
        <w:t>stratified)</w:t>
      </w:r>
      <w:bookmarkEnd w:id="209"/>
    </w:p>
    <w:p w14:paraId="013A8E9B" w14:textId="77777777" w:rsidR="00A7727F" w:rsidRPr="00A7727F" w:rsidRDefault="00A7727F" w:rsidP="00A7727F">
      <w:pPr>
        <w:rPr>
          <w:lang w:eastAsia="ja-JP"/>
        </w:rPr>
      </w:pPr>
      <w:r w:rsidRPr="00A7727F">
        <w:rPr>
          <w:noProof/>
          <w:lang w:eastAsia="en-AU"/>
        </w:rPr>
        <w:drawing>
          <wp:inline distT="0" distB="0" distL="0" distR="0" wp14:anchorId="27A098A0" wp14:editId="5E71F7FC">
            <wp:extent cx="4330700" cy="2552138"/>
            <wp:effectExtent l="0" t="0" r="0" b="635"/>
            <wp:docPr id="100" name="Picture 100" descr="Figure 32: Time to haematological relapse of subjects with CR/CRh* during core study censoring subjects with allogeneic HSCT at time of HSCT (SAF/FAS, by intended dose schedule; Kaplan-Meier curves, stratified)&#10;" title="Time to haematological relapse of subjects with CR/CRh* during core study censoring subjects with allogeneic HSCT at time of HSCT (SAF/FAS, by intended dose schedule; Kaplan-Meier curves, strat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2541" cy="2553223"/>
                    </a:xfrm>
                    <a:prstGeom prst="rect">
                      <a:avLst/>
                    </a:prstGeom>
                    <a:noFill/>
                    <a:ln>
                      <a:noFill/>
                    </a:ln>
                  </pic:spPr>
                </pic:pic>
              </a:graphicData>
            </a:graphic>
          </wp:inline>
        </w:drawing>
      </w:r>
    </w:p>
    <w:p w14:paraId="3E7D7E51" w14:textId="2939C18C" w:rsidR="00A7727F" w:rsidRPr="00A7727F" w:rsidRDefault="00A7727F" w:rsidP="00D85843">
      <w:pPr>
        <w:pStyle w:val="FigureDescription"/>
        <w:rPr>
          <w:lang w:eastAsia="ja-JP"/>
        </w:rPr>
      </w:pPr>
      <w:r w:rsidRPr="00A7727F">
        <w:rPr>
          <w:lang w:eastAsia="ja-JP"/>
        </w:rPr>
        <w:t>Only allogeneic HSCT as consolidation of CR induced by blinatumomab treatment are considered CR: complete remission; CRh*: Complete response/remission with partial recovery of peripheral blood counts; FAS: Full Analysis Set; HSCT: hematopoietic stem cell transplantation; SAF: Safety Analysis Set</w:t>
      </w:r>
      <w:r w:rsidR="00D85843">
        <w:rPr>
          <w:lang w:eastAsia="ja-JP"/>
        </w:rPr>
        <w:t>.</w:t>
      </w:r>
    </w:p>
    <w:p w14:paraId="6F63B121" w14:textId="3AAA0A12" w:rsidR="00A7727F" w:rsidRPr="00A7727F" w:rsidRDefault="00A7727F" w:rsidP="00A7727F">
      <w:pPr>
        <w:rPr>
          <w:lang w:eastAsia="ja-JP"/>
        </w:rPr>
      </w:pPr>
      <w:r w:rsidRPr="00A7727F">
        <w:rPr>
          <w:lang w:eastAsia="ja-JP"/>
        </w:rPr>
        <w:t>Relapse</w:t>
      </w:r>
      <w:r w:rsidR="006A3B04">
        <w:rPr>
          <w:lang w:eastAsia="ja-JP"/>
        </w:rPr>
        <w:t xml:space="preserve"> free</w:t>
      </w:r>
      <w:r w:rsidRPr="00A7727F">
        <w:rPr>
          <w:lang w:eastAsia="ja-JP"/>
        </w:rPr>
        <w:t xml:space="preserve"> survival was measured only for subjects who achieved a CR or CRh* during the core study and was measured from the time the subject first achieved remission until first documented relapse or death due to any cause. Subjects without a documented relapse (h</w:t>
      </w:r>
      <w:r w:rsidR="003B3EB1">
        <w:rPr>
          <w:lang w:eastAsia="ja-JP"/>
        </w:rPr>
        <w:t>a</w:t>
      </w:r>
      <w:r w:rsidRPr="00A7727F">
        <w:rPr>
          <w:lang w:eastAsia="ja-JP"/>
        </w:rPr>
        <w:t>ematological or extramedullary) or who did not die were censored at the time of their last bone marrow assessment or their last survival follow-up visit confirming remission.</w:t>
      </w:r>
    </w:p>
    <w:p w14:paraId="3935C403" w14:textId="4AD22EEA" w:rsidR="00A7727F" w:rsidRPr="00C279C4" w:rsidRDefault="00A7727F" w:rsidP="00A7727F">
      <w:pPr>
        <w:rPr>
          <w:lang w:eastAsia="ja-JP"/>
        </w:rPr>
      </w:pPr>
      <w:r w:rsidRPr="00A7727F">
        <w:rPr>
          <w:lang w:eastAsia="ja-JP"/>
        </w:rPr>
        <w:t>The median relapse</w:t>
      </w:r>
      <w:r w:rsidR="006A3B04">
        <w:rPr>
          <w:lang w:eastAsia="ja-JP"/>
        </w:rPr>
        <w:t xml:space="preserve"> free</w:t>
      </w:r>
      <w:r w:rsidRPr="00A7727F">
        <w:rPr>
          <w:lang w:eastAsia="ja-JP"/>
        </w:rPr>
        <w:t xml:space="preserve"> survival of subjects with CR or CRh* during core study in subjects over</w:t>
      </w:r>
      <w:r w:rsidR="00C279C4">
        <w:rPr>
          <w:lang w:eastAsia="ja-JP"/>
        </w:rPr>
        <w:t xml:space="preserve">all was 233 days (7.6 months;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Pr="00A7727F">
        <w:rPr>
          <w:lang w:eastAsia="ja-JP"/>
        </w:rPr>
        <w:t>25%), 137 days (4.6 months; 1-year probability rate</w:t>
      </w:r>
      <w:r w:rsidR="00375CAE">
        <w:rPr>
          <w:lang w:eastAsia="ja-JP"/>
        </w:rPr>
        <w:t xml:space="preserve"> </w:t>
      </w:r>
      <w:r w:rsidR="00423768">
        <w:rPr>
          <w:lang w:eastAsia="ja-JP"/>
        </w:rPr>
        <w:t>=</w:t>
      </w:r>
      <w:r w:rsidR="00375CAE">
        <w:rPr>
          <w:lang w:eastAsia="ja-JP"/>
        </w:rPr>
        <w:t xml:space="preserve"> </w:t>
      </w:r>
      <w:r w:rsidR="00C279C4">
        <w:rPr>
          <w:lang w:eastAsia="ja-JP"/>
        </w:rPr>
        <w:t>0%) in C</w:t>
      </w:r>
      <w:r w:rsidRPr="00A7727F">
        <w:rPr>
          <w:lang w:eastAsia="ja-JP"/>
        </w:rPr>
        <w:t>o</w:t>
      </w:r>
      <w:r w:rsidR="00C279C4">
        <w:rPr>
          <w:lang w:eastAsia="ja-JP"/>
        </w:rPr>
        <w:t>hort 1, 268 days (8.8 months; 1</w:t>
      </w:r>
      <w:r w:rsidRPr="00A7727F">
        <w:rPr>
          <w:lang w:eastAsia="ja-JP"/>
        </w:rPr>
        <w:t xml:space="preserve"> year probability rate</w:t>
      </w:r>
      <w:r w:rsidR="00375CAE">
        <w:rPr>
          <w:lang w:eastAsia="ja-JP"/>
        </w:rPr>
        <w:t xml:space="preserve"> </w:t>
      </w:r>
      <w:r w:rsidR="00423768">
        <w:rPr>
          <w:lang w:eastAsia="ja-JP"/>
        </w:rPr>
        <w:t>=</w:t>
      </w:r>
      <w:r w:rsidR="00375CAE">
        <w:rPr>
          <w:lang w:eastAsia="ja-JP"/>
        </w:rPr>
        <w:t xml:space="preserve"> </w:t>
      </w:r>
      <w:r w:rsidR="00C279C4">
        <w:rPr>
          <w:lang w:eastAsia="ja-JP"/>
        </w:rPr>
        <w:t>25%) in C</w:t>
      </w:r>
      <w:r w:rsidRPr="00A7727F">
        <w:rPr>
          <w:lang w:eastAsia="ja-JP"/>
        </w:rPr>
        <w:t xml:space="preserve">ohort 2a/3, and not </w:t>
      </w:r>
      <w:r w:rsidR="00C279C4">
        <w:rPr>
          <w:lang w:eastAsia="ja-JP"/>
        </w:rPr>
        <w:t xml:space="preserve">estimable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00C279C4">
        <w:rPr>
          <w:lang w:eastAsia="ja-JP"/>
        </w:rPr>
        <w:t>50%) in C</w:t>
      </w:r>
      <w:r w:rsidRPr="00A7727F">
        <w:rPr>
          <w:lang w:eastAsia="ja-JP"/>
        </w:rPr>
        <w:t>ohort 2b (</w:t>
      </w:r>
      <w:r w:rsidR="003B3EB1">
        <w:rPr>
          <w:lang w:eastAsia="ja-JP"/>
        </w:rPr>
        <w:t xml:space="preserve">see </w:t>
      </w:r>
      <w:r w:rsidRPr="00A7727F">
        <w:rPr>
          <w:lang w:eastAsia="ja-JP"/>
        </w:rPr>
        <w:t>Figure 33</w:t>
      </w:r>
      <w:r w:rsidR="003B3EB1">
        <w:rPr>
          <w:lang w:eastAsia="ja-JP"/>
        </w:rPr>
        <w:t>, below</w:t>
      </w:r>
      <w:r w:rsidRPr="00A7727F">
        <w:rPr>
          <w:lang w:eastAsia="ja-JP"/>
        </w:rPr>
        <w:t>).</w:t>
      </w:r>
    </w:p>
    <w:p w14:paraId="5EAD8400" w14:textId="221D06D6" w:rsidR="00A7727F" w:rsidRPr="00A7727F" w:rsidRDefault="00A7727F" w:rsidP="00C279C4">
      <w:pPr>
        <w:pStyle w:val="FigureTitle"/>
        <w:keepNext/>
        <w:rPr>
          <w:lang w:eastAsia="ja-JP"/>
        </w:rPr>
      </w:pPr>
      <w:bookmarkStart w:id="210" w:name="_Toc292015813"/>
      <w:r w:rsidRPr="00A7727F">
        <w:rPr>
          <w:lang w:eastAsia="ja-JP"/>
        </w:rPr>
        <w:t xml:space="preserve">Figure </w:t>
      </w:r>
      <w:r w:rsidR="00CB21D3">
        <w:rPr>
          <w:lang w:eastAsia="ja-JP"/>
        </w:rPr>
        <w:t>33:</w:t>
      </w:r>
      <w:r w:rsidRPr="00A7727F">
        <w:rPr>
          <w:lang w:eastAsia="ja-JP"/>
        </w:rPr>
        <w:t xml:space="preserve"> Relapse</w:t>
      </w:r>
      <w:r w:rsidR="006A3B04">
        <w:rPr>
          <w:lang w:eastAsia="ja-JP"/>
        </w:rPr>
        <w:t xml:space="preserve"> </w:t>
      </w:r>
      <w:r w:rsidR="00C279C4">
        <w:rPr>
          <w:lang w:eastAsia="ja-JP"/>
        </w:rPr>
        <w:t>free</w:t>
      </w:r>
      <w:r w:rsidR="00C279C4" w:rsidRPr="00A7727F">
        <w:rPr>
          <w:lang w:eastAsia="ja-JP"/>
        </w:rPr>
        <w:t xml:space="preserve"> survival of subjects with </w:t>
      </w:r>
      <w:r w:rsidRPr="00A7727F">
        <w:rPr>
          <w:lang w:eastAsia="ja-JP"/>
        </w:rPr>
        <w:t xml:space="preserve">CR or CRh* during </w:t>
      </w:r>
      <w:r w:rsidR="00C279C4">
        <w:rPr>
          <w:lang w:eastAsia="ja-JP"/>
        </w:rPr>
        <w:t xml:space="preserve">core study (SAF/FAS, by intended dose schedule; Kaplan-Meier curves, </w:t>
      </w:r>
      <w:r w:rsidRPr="00A7727F">
        <w:rPr>
          <w:lang w:eastAsia="ja-JP"/>
        </w:rPr>
        <w:t>stratified)</w:t>
      </w:r>
      <w:bookmarkEnd w:id="210"/>
    </w:p>
    <w:p w14:paraId="41ADD6D5" w14:textId="77777777" w:rsidR="00A7727F" w:rsidRPr="00A7727F" w:rsidRDefault="00A7727F" w:rsidP="00C279C4">
      <w:pPr>
        <w:keepNext/>
        <w:rPr>
          <w:lang w:eastAsia="ja-JP"/>
        </w:rPr>
      </w:pPr>
      <w:r w:rsidRPr="00A7727F">
        <w:rPr>
          <w:noProof/>
          <w:lang w:eastAsia="en-AU"/>
        </w:rPr>
        <w:drawing>
          <wp:inline distT="0" distB="0" distL="0" distR="0" wp14:anchorId="01A471E5" wp14:editId="453CD017">
            <wp:extent cx="5002221" cy="2856230"/>
            <wp:effectExtent l="0" t="0" r="8255" b="1270"/>
            <wp:docPr id="101" name="Picture 101" descr="Figure 33: Relapse free survival of subjects with CR or CRh* during core study (SAF/FAS, by intended dose schedule; Kaplan-Meier curves, stratified)" title="Relapse free survival of subjects with CR or CRh* during core study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2691" cy="2856498"/>
                    </a:xfrm>
                    <a:prstGeom prst="rect">
                      <a:avLst/>
                    </a:prstGeom>
                    <a:noFill/>
                    <a:ln>
                      <a:noFill/>
                    </a:ln>
                  </pic:spPr>
                </pic:pic>
              </a:graphicData>
            </a:graphic>
          </wp:inline>
        </w:drawing>
      </w:r>
    </w:p>
    <w:p w14:paraId="45177342" w14:textId="77777777" w:rsidR="00A7727F" w:rsidRPr="00A7727F" w:rsidRDefault="00A7727F" w:rsidP="00C279C4">
      <w:pPr>
        <w:pStyle w:val="FigureDescription"/>
        <w:rPr>
          <w:lang w:eastAsia="ja-JP"/>
        </w:rPr>
      </w:pPr>
      <w:r w:rsidRPr="00A7727F">
        <w:rPr>
          <w:lang w:eastAsia="ja-JP"/>
        </w:rPr>
        <w:t>CR: complete remission; CRh*: Complete response/remission with partial recovery of peripheral blood counts; FAS: Full Analysis Set; SAF: Safety Analysis Set</w:t>
      </w:r>
    </w:p>
    <w:p w14:paraId="2FAD8890" w14:textId="46C2206E" w:rsidR="00A7727F" w:rsidRPr="00044F04" w:rsidRDefault="00A7727F" w:rsidP="00A7727F">
      <w:pPr>
        <w:rPr>
          <w:lang w:eastAsia="ja-JP"/>
        </w:rPr>
      </w:pPr>
      <w:r w:rsidRPr="00A7727F">
        <w:rPr>
          <w:lang w:eastAsia="ja-JP"/>
        </w:rPr>
        <w:t>The median relapse</w:t>
      </w:r>
      <w:r w:rsidR="006A3B04">
        <w:rPr>
          <w:lang w:eastAsia="ja-JP"/>
        </w:rPr>
        <w:t xml:space="preserve"> free</w:t>
      </w:r>
      <w:r w:rsidRPr="00A7727F">
        <w:rPr>
          <w:lang w:eastAsia="ja-JP"/>
        </w:rPr>
        <w:t xml:space="preserve"> survival of subjects with CR during core st</w:t>
      </w:r>
      <w:r w:rsidR="00C279C4">
        <w:rPr>
          <w:lang w:eastAsia="ja-JP"/>
        </w:rPr>
        <w:t xml:space="preserve">udy was 233 days (7.6 months; 1 </w:t>
      </w:r>
      <w:r w:rsidRPr="00A7727F">
        <w:rPr>
          <w:lang w:eastAsia="ja-JP"/>
        </w:rPr>
        <w:t xml:space="preserve">year probability </w:t>
      </w:r>
      <w:r w:rsidRPr="00044F04">
        <w:rPr>
          <w:lang w:eastAsia="ja-JP"/>
        </w:rPr>
        <w:t>rate</w:t>
      </w:r>
      <w:r w:rsidR="00375CAE" w:rsidRPr="00044F04">
        <w:rPr>
          <w:lang w:eastAsia="ja-JP"/>
        </w:rPr>
        <w:t xml:space="preserve"> </w:t>
      </w:r>
      <w:r w:rsidR="00423768" w:rsidRPr="00044F04">
        <w:rPr>
          <w:lang w:eastAsia="ja-JP"/>
        </w:rPr>
        <w:t>=</w:t>
      </w:r>
      <w:r w:rsidR="00375CAE" w:rsidRPr="00044F04">
        <w:rPr>
          <w:lang w:eastAsia="ja-JP"/>
        </w:rPr>
        <w:t xml:space="preserve"> </w:t>
      </w:r>
      <w:r w:rsidRPr="00044F04">
        <w:rPr>
          <w:lang w:eastAsia="ja-JP"/>
        </w:rPr>
        <w:t xml:space="preserve">29%) in subjects </w:t>
      </w:r>
      <w:r w:rsidR="00C279C4" w:rsidRPr="00044F04">
        <w:rPr>
          <w:lang w:eastAsia="ja-JP"/>
        </w:rPr>
        <w:t xml:space="preserve">overall, 70 days (2.3 months; 1 </w:t>
      </w:r>
      <w:r w:rsidRPr="00044F04">
        <w:rPr>
          <w:lang w:eastAsia="ja-JP"/>
        </w:rPr>
        <w:t>year probability rate</w:t>
      </w:r>
      <w:r w:rsidR="00C279C4" w:rsidRPr="00044F04">
        <w:rPr>
          <w:lang w:eastAsia="ja-JP"/>
        </w:rPr>
        <w:t> </w:t>
      </w:r>
      <w:r w:rsidR="00423768" w:rsidRPr="00044F04">
        <w:rPr>
          <w:lang w:eastAsia="ja-JP"/>
        </w:rPr>
        <w:t>=</w:t>
      </w:r>
      <w:r w:rsidR="00C279C4" w:rsidRPr="00044F04">
        <w:rPr>
          <w:lang w:eastAsia="ja-JP"/>
        </w:rPr>
        <w:t> 0%) in C</w:t>
      </w:r>
      <w:r w:rsidRPr="00044F04">
        <w:rPr>
          <w:lang w:eastAsia="ja-JP"/>
        </w:rPr>
        <w:t>oh</w:t>
      </w:r>
      <w:r w:rsidR="00C279C4" w:rsidRPr="00044F04">
        <w:rPr>
          <w:lang w:eastAsia="ja-JP"/>
        </w:rPr>
        <w:t xml:space="preserve">ort 1, 268 days (8.8 months) (1 </w:t>
      </w:r>
      <w:r w:rsidRPr="00044F04">
        <w:rPr>
          <w:lang w:eastAsia="ja-JP"/>
        </w:rPr>
        <w:t>year probability rate</w:t>
      </w:r>
      <w:r w:rsidR="00375CAE" w:rsidRPr="00044F04">
        <w:rPr>
          <w:lang w:eastAsia="ja-JP"/>
        </w:rPr>
        <w:t xml:space="preserve"> </w:t>
      </w:r>
      <w:r w:rsidR="00423768" w:rsidRPr="00044F04">
        <w:rPr>
          <w:lang w:eastAsia="ja-JP"/>
        </w:rPr>
        <w:t>=</w:t>
      </w:r>
      <w:r w:rsidR="00375CAE" w:rsidRPr="00044F04">
        <w:rPr>
          <w:lang w:eastAsia="ja-JP"/>
        </w:rPr>
        <w:t xml:space="preserve"> </w:t>
      </w:r>
      <w:r w:rsidR="00C279C4" w:rsidRPr="00044F04">
        <w:rPr>
          <w:lang w:eastAsia="ja-JP"/>
        </w:rPr>
        <w:t>17%) in C</w:t>
      </w:r>
      <w:r w:rsidRPr="00044F04">
        <w:rPr>
          <w:lang w:eastAsia="ja-JP"/>
        </w:rPr>
        <w:t>o</w:t>
      </w:r>
      <w:r w:rsidR="00C279C4" w:rsidRPr="00044F04">
        <w:rPr>
          <w:lang w:eastAsia="ja-JP"/>
        </w:rPr>
        <w:t xml:space="preserve">hort 2a/3, and not estimable (1 </w:t>
      </w:r>
      <w:r w:rsidRPr="00044F04">
        <w:rPr>
          <w:lang w:eastAsia="ja-JP"/>
        </w:rPr>
        <w:t>year probability rate</w:t>
      </w:r>
      <w:r w:rsidR="00375CAE" w:rsidRPr="00044F04">
        <w:rPr>
          <w:lang w:eastAsia="ja-JP"/>
        </w:rPr>
        <w:t xml:space="preserve"> </w:t>
      </w:r>
      <w:r w:rsidR="00423768" w:rsidRPr="00044F04">
        <w:rPr>
          <w:lang w:eastAsia="ja-JP"/>
        </w:rPr>
        <w:t>=</w:t>
      </w:r>
      <w:r w:rsidR="00375CAE" w:rsidRPr="00044F04">
        <w:rPr>
          <w:lang w:eastAsia="ja-JP"/>
        </w:rPr>
        <w:t xml:space="preserve"> </w:t>
      </w:r>
      <w:r w:rsidR="00C279C4" w:rsidRPr="00044F04">
        <w:rPr>
          <w:lang w:eastAsia="ja-JP"/>
        </w:rPr>
        <w:t>50%) in C</w:t>
      </w:r>
      <w:r w:rsidRPr="00044F04">
        <w:rPr>
          <w:lang w:eastAsia="ja-JP"/>
        </w:rPr>
        <w:t>ohort 2b (</w:t>
      </w:r>
      <w:r w:rsidR="00044F04">
        <w:rPr>
          <w:lang w:eastAsia="ja-JP"/>
        </w:rPr>
        <w:t xml:space="preserve">see </w:t>
      </w:r>
      <w:r w:rsidRPr="00044F04">
        <w:rPr>
          <w:lang w:eastAsia="ja-JP"/>
        </w:rPr>
        <w:t>Figure 34</w:t>
      </w:r>
      <w:r w:rsidR="00044F04">
        <w:rPr>
          <w:lang w:eastAsia="ja-JP"/>
        </w:rPr>
        <w:t>, below</w:t>
      </w:r>
      <w:r w:rsidRPr="00044F04">
        <w:rPr>
          <w:lang w:eastAsia="ja-JP"/>
        </w:rPr>
        <w:t>).</w:t>
      </w:r>
    </w:p>
    <w:p w14:paraId="2F5CD122" w14:textId="0DDE9DC5" w:rsidR="00A7727F" w:rsidRPr="00A7727F" w:rsidRDefault="00A7727F" w:rsidP="00A7727F">
      <w:pPr>
        <w:rPr>
          <w:lang w:eastAsia="ja-JP"/>
        </w:rPr>
      </w:pPr>
      <w:r w:rsidRPr="00044F04">
        <w:rPr>
          <w:lang w:eastAsia="ja-JP"/>
        </w:rPr>
        <w:t>The median relapse free survival of subjects with CR/CRh* during core study censoring subjects with HSCT at time of H</w:t>
      </w:r>
      <w:r w:rsidR="00C279C4" w:rsidRPr="00044F04">
        <w:rPr>
          <w:lang w:eastAsia="ja-JP"/>
        </w:rPr>
        <w:t xml:space="preserve">SCT was 240 days (7.7 months; 1 </w:t>
      </w:r>
      <w:r w:rsidRPr="00044F04">
        <w:rPr>
          <w:lang w:eastAsia="ja-JP"/>
        </w:rPr>
        <w:t>year probability rate</w:t>
      </w:r>
      <w:r w:rsidR="00375CAE" w:rsidRPr="00044F04">
        <w:rPr>
          <w:lang w:eastAsia="ja-JP"/>
        </w:rPr>
        <w:t xml:space="preserve"> </w:t>
      </w:r>
      <w:r w:rsidR="00423768" w:rsidRPr="00044F04">
        <w:rPr>
          <w:lang w:eastAsia="ja-JP"/>
        </w:rPr>
        <w:t>=</w:t>
      </w:r>
      <w:r w:rsidR="00375CAE" w:rsidRPr="00044F04">
        <w:rPr>
          <w:lang w:eastAsia="ja-JP"/>
        </w:rPr>
        <w:t xml:space="preserve"> </w:t>
      </w:r>
      <w:r w:rsidRPr="00044F04">
        <w:rPr>
          <w:lang w:eastAsia="ja-JP"/>
        </w:rPr>
        <w:t>27%) in subjects overall, 240 days (7.7 months; 1-year probability rate</w:t>
      </w:r>
      <w:r w:rsidR="00375CAE" w:rsidRPr="00044F04">
        <w:rPr>
          <w:lang w:eastAsia="ja-JP"/>
        </w:rPr>
        <w:t xml:space="preserve"> </w:t>
      </w:r>
      <w:r w:rsidR="00423768" w:rsidRPr="00044F04">
        <w:rPr>
          <w:lang w:eastAsia="ja-JP"/>
        </w:rPr>
        <w:t>=</w:t>
      </w:r>
      <w:r w:rsidR="00375CAE" w:rsidRPr="00044F04">
        <w:rPr>
          <w:lang w:eastAsia="ja-JP"/>
        </w:rPr>
        <w:t xml:space="preserve"> </w:t>
      </w:r>
      <w:r w:rsidR="00C279C4" w:rsidRPr="00044F04">
        <w:rPr>
          <w:lang w:eastAsia="ja-JP"/>
        </w:rPr>
        <w:t>0%) in C</w:t>
      </w:r>
      <w:r w:rsidRPr="00044F04">
        <w:rPr>
          <w:lang w:eastAsia="ja-JP"/>
        </w:rPr>
        <w:t>oh</w:t>
      </w:r>
      <w:r w:rsidR="00C279C4" w:rsidRPr="00044F04">
        <w:rPr>
          <w:lang w:eastAsia="ja-JP"/>
        </w:rPr>
        <w:t>ort 1, 175 days (5.7 months) (1 </w:t>
      </w:r>
      <w:r w:rsidRPr="00044F04">
        <w:rPr>
          <w:lang w:eastAsia="ja-JP"/>
        </w:rPr>
        <w:t>year probability rate</w:t>
      </w:r>
      <w:r w:rsidR="00375CAE" w:rsidRPr="00044F04">
        <w:rPr>
          <w:lang w:eastAsia="ja-JP"/>
        </w:rPr>
        <w:t xml:space="preserve"> </w:t>
      </w:r>
      <w:r w:rsidR="00423768" w:rsidRPr="00044F04">
        <w:rPr>
          <w:lang w:eastAsia="ja-JP"/>
        </w:rPr>
        <w:t>=</w:t>
      </w:r>
      <w:r w:rsidR="00375CAE" w:rsidRPr="00044F04">
        <w:rPr>
          <w:lang w:eastAsia="ja-JP"/>
        </w:rPr>
        <w:t xml:space="preserve"> </w:t>
      </w:r>
      <w:r w:rsidR="00C279C4" w:rsidRPr="00044F04">
        <w:rPr>
          <w:lang w:eastAsia="ja-JP"/>
        </w:rPr>
        <w:t>not estimable) in C</w:t>
      </w:r>
      <w:r w:rsidRPr="00044F04">
        <w:rPr>
          <w:lang w:eastAsia="ja-JP"/>
        </w:rPr>
        <w:t>o</w:t>
      </w:r>
      <w:r w:rsidR="00C279C4" w:rsidRPr="00044F04">
        <w:rPr>
          <w:lang w:eastAsia="ja-JP"/>
        </w:rPr>
        <w:t xml:space="preserve">hort 2a/3, and not estimable (1 </w:t>
      </w:r>
      <w:r w:rsidRPr="00044F04">
        <w:rPr>
          <w:lang w:eastAsia="ja-JP"/>
        </w:rPr>
        <w:t>year probability rate</w:t>
      </w:r>
      <w:r w:rsidR="00C279C4" w:rsidRPr="00044F04">
        <w:rPr>
          <w:lang w:eastAsia="ja-JP"/>
        </w:rPr>
        <w:t> </w:t>
      </w:r>
      <w:r w:rsidR="00423768" w:rsidRPr="00044F04">
        <w:rPr>
          <w:lang w:eastAsia="ja-JP"/>
        </w:rPr>
        <w:t>=</w:t>
      </w:r>
      <w:r w:rsidR="00375CAE" w:rsidRPr="00044F04">
        <w:rPr>
          <w:lang w:eastAsia="ja-JP"/>
        </w:rPr>
        <w:t xml:space="preserve"> </w:t>
      </w:r>
      <w:r w:rsidR="00C279C4" w:rsidRPr="00044F04">
        <w:rPr>
          <w:lang w:eastAsia="ja-JP"/>
        </w:rPr>
        <w:t>50%) in C</w:t>
      </w:r>
      <w:r w:rsidRPr="00044F04">
        <w:rPr>
          <w:lang w:eastAsia="ja-JP"/>
        </w:rPr>
        <w:t>ohort 2b (</w:t>
      </w:r>
      <w:r w:rsidR="00044F04">
        <w:rPr>
          <w:lang w:eastAsia="ja-JP"/>
        </w:rPr>
        <w:t xml:space="preserve">see </w:t>
      </w:r>
      <w:r w:rsidRPr="00044F04">
        <w:rPr>
          <w:lang w:eastAsia="ja-JP"/>
        </w:rPr>
        <w:t>Figure 35</w:t>
      </w:r>
      <w:r w:rsidR="00044F04">
        <w:rPr>
          <w:lang w:eastAsia="ja-JP"/>
        </w:rPr>
        <w:t>, below</w:t>
      </w:r>
      <w:r w:rsidRPr="00044F04">
        <w:rPr>
          <w:lang w:eastAsia="ja-JP"/>
        </w:rPr>
        <w:t>). Results of censoring subjects for HSCT were similar to the primary analysis results for relapse free</w:t>
      </w:r>
      <w:r w:rsidRPr="00A7727F">
        <w:rPr>
          <w:lang w:eastAsia="ja-JP"/>
        </w:rPr>
        <w:t xml:space="preserve"> survival.</w:t>
      </w:r>
    </w:p>
    <w:p w14:paraId="16CFD082" w14:textId="2FAD0CB1" w:rsidR="00A7727F" w:rsidRPr="00A7727F" w:rsidRDefault="00A7727F" w:rsidP="00C279C4">
      <w:pPr>
        <w:pStyle w:val="FigureTitle"/>
        <w:rPr>
          <w:lang w:eastAsia="ja-JP"/>
        </w:rPr>
      </w:pPr>
      <w:bookmarkStart w:id="211" w:name="_Toc292015814"/>
      <w:r w:rsidRPr="00A7727F">
        <w:rPr>
          <w:lang w:eastAsia="ja-JP"/>
        </w:rPr>
        <w:t xml:space="preserve">Figure </w:t>
      </w:r>
      <w:r w:rsidR="00CB21D3">
        <w:rPr>
          <w:lang w:eastAsia="ja-JP"/>
        </w:rPr>
        <w:t>34:</w:t>
      </w:r>
      <w:r w:rsidRPr="00A7727F">
        <w:rPr>
          <w:lang w:eastAsia="ja-JP"/>
        </w:rPr>
        <w:t xml:space="preserve"> Relapse</w:t>
      </w:r>
      <w:r w:rsidR="006A3B04">
        <w:rPr>
          <w:lang w:eastAsia="ja-JP"/>
        </w:rPr>
        <w:t xml:space="preserve"> free</w:t>
      </w:r>
      <w:r w:rsidRPr="00A7727F">
        <w:rPr>
          <w:lang w:eastAsia="ja-JP"/>
        </w:rPr>
        <w:t xml:space="preserve"> </w:t>
      </w:r>
      <w:r w:rsidR="00C279C4" w:rsidRPr="00A7727F">
        <w:rPr>
          <w:lang w:eastAsia="ja-JP"/>
        </w:rPr>
        <w:t xml:space="preserve">survival of subjects with </w:t>
      </w:r>
      <w:r w:rsidRPr="00A7727F">
        <w:rPr>
          <w:lang w:eastAsia="ja-JP"/>
        </w:rPr>
        <w:t xml:space="preserve">CR during </w:t>
      </w:r>
      <w:r w:rsidR="00C279C4" w:rsidRPr="00A7727F">
        <w:rPr>
          <w:lang w:eastAsia="ja-JP"/>
        </w:rPr>
        <w:t xml:space="preserve">core study </w:t>
      </w:r>
      <w:r w:rsidR="00C279C4">
        <w:rPr>
          <w:lang w:eastAsia="ja-JP"/>
        </w:rPr>
        <w:t xml:space="preserve">(SAF/FAS, by intended dose schedule; Kaplan-Meier curves, </w:t>
      </w:r>
      <w:r w:rsidRPr="00A7727F">
        <w:rPr>
          <w:lang w:eastAsia="ja-JP"/>
        </w:rPr>
        <w:t>stratified)</w:t>
      </w:r>
      <w:bookmarkEnd w:id="211"/>
    </w:p>
    <w:p w14:paraId="3D7EC5D2" w14:textId="77777777" w:rsidR="00A7727F" w:rsidRPr="00A7727F" w:rsidRDefault="00A7727F" w:rsidP="00A7727F">
      <w:pPr>
        <w:rPr>
          <w:lang w:eastAsia="ja-JP"/>
        </w:rPr>
      </w:pPr>
      <w:r w:rsidRPr="00A7727F">
        <w:rPr>
          <w:noProof/>
          <w:lang w:eastAsia="en-AU"/>
        </w:rPr>
        <w:drawing>
          <wp:inline distT="0" distB="0" distL="0" distR="0" wp14:anchorId="73600131" wp14:editId="4FDCB002">
            <wp:extent cx="4217035" cy="2391561"/>
            <wp:effectExtent l="0" t="0" r="0" b="8890"/>
            <wp:docPr id="102" name="Picture 102" descr="Figure 34: Relapse free survival of subjects with CR during core study (SAF/FAS, by intended dose schedule; Kaplan-Meier curves, stratified)" title="Relapse free survival of subjects with CR during core study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9178" cy="2392776"/>
                    </a:xfrm>
                    <a:prstGeom prst="rect">
                      <a:avLst/>
                    </a:prstGeom>
                    <a:noFill/>
                    <a:ln>
                      <a:noFill/>
                    </a:ln>
                  </pic:spPr>
                </pic:pic>
              </a:graphicData>
            </a:graphic>
          </wp:inline>
        </w:drawing>
      </w:r>
    </w:p>
    <w:p w14:paraId="4377E4C7" w14:textId="3066E5C1" w:rsidR="00A7727F" w:rsidRPr="00A7727F" w:rsidRDefault="00A7727F" w:rsidP="00C279C4">
      <w:pPr>
        <w:pStyle w:val="FigureDescription"/>
        <w:rPr>
          <w:lang w:eastAsia="ja-JP"/>
        </w:rPr>
      </w:pPr>
      <w:r w:rsidRPr="00A7727F">
        <w:rPr>
          <w:lang w:eastAsia="ja-JP"/>
        </w:rPr>
        <w:t>CR: complete remission; FAS: Full Analysis Set; SAF: Safety Analysis Set</w:t>
      </w:r>
      <w:r w:rsidR="00C279C4">
        <w:rPr>
          <w:lang w:eastAsia="ja-JP"/>
        </w:rPr>
        <w:t>.</w:t>
      </w:r>
    </w:p>
    <w:p w14:paraId="699077D0" w14:textId="7397370D" w:rsidR="00A7727F" w:rsidRPr="00A7727F" w:rsidRDefault="00A7727F" w:rsidP="00C279C4">
      <w:pPr>
        <w:pStyle w:val="FigureTitle"/>
        <w:rPr>
          <w:lang w:eastAsia="ja-JP"/>
        </w:rPr>
      </w:pPr>
      <w:bookmarkStart w:id="212" w:name="_Toc292015815"/>
      <w:r w:rsidRPr="00A7727F">
        <w:rPr>
          <w:lang w:eastAsia="ja-JP"/>
        </w:rPr>
        <w:t xml:space="preserve">Figure </w:t>
      </w:r>
      <w:r w:rsidR="00CB21D3">
        <w:rPr>
          <w:lang w:eastAsia="ja-JP"/>
        </w:rPr>
        <w:t>35:</w:t>
      </w:r>
      <w:r w:rsidRPr="00A7727F">
        <w:rPr>
          <w:lang w:eastAsia="ja-JP"/>
        </w:rPr>
        <w:t xml:space="preserve"> Relapse</w:t>
      </w:r>
      <w:r w:rsidR="006A3B04">
        <w:rPr>
          <w:lang w:eastAsia="ja-JP"/>
        </w:rPr>
        <w:t xml:space="preserve"> free</w:t>
      </w:r>
      <w:r w:rsidR="00C279C4">
        <w:rPr>
          <w:lang w:eastAsia="ja-JP"/>
        </w:rPr>
        <w:t xml:space="preserve"> survival of subjects with CR/CRh* during core study c</w:t>
      </w:r>
      <w:r w:rsidRPr="00A7727F">
        <w:rPr>
          <w:lang w:eastAsia="ja-JP"/>
        </w:rPr>
        <w:t xml:space="preserve">ensoring </w:t>
      </w:r>
      <w:r w:rsidR="00C279C4">
        <w:rPr>
          <w:lang w:eastAsia="ja-JP"/>
        </w:rPr>
        <w:t xml:space="preserve">subjects with allogeneic HSCT at time of HSCT (SAF/FAS, by intended dose schedule; Kaplan-Meier curves, </w:t>
      </w:r>
      <w:r w:rsidRPr="00A7727F">
        <w:rPr>
          <w:lang w:eastAsia="ja-JP"/>
        </w:rPr>
        <w:t>stratified)</w:t>
      </w:r>
      <w:bookmarkEnd w:id="212"/>
    </w:p>
    <w:p w14:paraId="66515860" w14:textId="77777777" w:rsidR="00A7727F" w:rsidRPr="00A7727F" w:rsidRDefault="00A7727F" w:rsidP="00A7727F">
      <w:pPr>
        <w:rPr>
          <w:lang w:eastAsia="ja-JP"/>
        </w:rPr>
      </w:pPr>
      <w:r w:rsidRPr="00A7727F">
        <w:rPr>
          <w:noProof/>
          <w:lang w:eastAsia="en-AU"/>
        </w:rPr>
        <w:drawing>
          <wp:inline distT="0" distB="0" distL="0" distR="0" wp14:anchorId="2BD41244" wp14:editId="47D0CC67">
            <wp:extent cx="4610100" cy="2649244"/>
            <wp:effectExtent l="0" t="0" r="0" b="0"/>
            <wp:docPr id="103" name="Picture 103" descr="Figure 35: Relapse free survival of subjects with CR/CRh* during core study censoring subjects with allogeneic HSCT at time of HSCT (SAF/FAS, by intended dose schedule; Kaplan-Meier curves, stratified)" title="Relapse free survival of subjects with CR/CRh* during core study censoring subjects with allogeneic HSCT at time of HSCT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1971" cy="2650319"/>
                    </a:xfrm>
                    <a:prstGeom prst="rect">
                      <a:avLst/>
                    </a:prstGeom>
                    <a:noFill/>
                    <a:ln>
                      <a:noFill/>
                    </a:ln>
                  </pic:spPr>
                </pic:pic>
              </a:graphicData>
            </a:graphic>
          </wp:inline>
        </w:drawing>
      </w:r>
    </w:p>
    <w:p w14:paraId="59B857B4" w14:textId="5CF28F53" w:rsidR="00A7727F" w:rsidRPr="00A7727F" w:rsidRDefault="00A7727F" w:rsidP="00C279C4">
      <w:pPr>
        <w:pStyle w:val="FigureDescription"/>
        <w:rPr>
          <w:lang w:eastAsia="ja-JP"/>
        </w:rPr>
      </w:pPr>
      <w:r w:rsidRPr="00A7727F">
        <w:rPr>
          <w:lang w:eastAsia="ja-JP"/>
        </w:rPr>
        <w:t>Only allogeneic HSCT as consolidation of CR induced by blinatumomab treatment are considered CR: complete remission; CRh*: Complete response/remission with partial recovery of peripheral blood counts; FAS: Full Analysis Set; HSCT: hematopoietic stem cell transplantation; SAF: Safety Analysis Set</w:t>
      </w:r>
      <w:r w:rsidR="00C279C4">
        <w:rPr>
          <w:lang w:eastAsia="ja-JP"/>
        </w:rPr>
        <w:t>.</w:t>
      </w:r>
    </w:p>
    <w:p w14:paraId="100985C3" w14:textId="74B07D42" w:rsidR="00A7727F" w:rsidRPr="00A7727F" w:rsidRDefault="00A7727F" w:rsidP="00C279C4">
      <w:pPr>
        <w:pStyle w:val="Heading6"/>
        <w:rPr>
          <w:lang w:eastAsia="ja-JP"/>
        </w:rPr>
      </w:pPr>
      <w:r w:rsidRPr="00A7727F">
        <w:rPr>
          <w:lang w:eastAsia="ja-JP"/>
        </w:rPr>
        <w:t>Event</w:t>
      </w:r>
      <w:r w:rsidR="006A3B04">
        <w:rPr>
          <w:lang w:eastAsia="ja-JP"/>
        </w:rPr>
        <w:t xml:space="preserve"> free</w:t>
      </w:r>
      <w:r w:rsidR="00C279C4">
        <w:rPr>
          <w:lang w:eastAsia="ja-JP"/>
        </w:rPr>
        <w:t xml:space="preserve"> s</w:t>
      </w:r>
      <w:r w:rsidRPr="00A7727F">
        <w:rPr>
          <w:lang w:eastAsia="ja-JP"/>
        </w:rPr>
        <w:t>urvival</w:t>
      </w:r>
    </w:p>
    <w:p w14:paraId="585D367F" w14:textId="19B47EDE" w:rsidR="00A7727F" w:rsidRPr="00A7727F" w:rsidRDefault="00A7727F" w:rsidP="00A7727F">
      <w:pPr>
        <w:rPr>
          <w:lang w:eastAsia="ja-JP"/>
        </w:rPr>
      </w:pPr>
      <w:r w:rsidRPr="00A7727F">
        <w:rPr>
          <w:lang w:eastAsia="ja-JP"/>
        </w:rPr>
        <w:t>The analysis of event</w:t>
      </w:r>
      <w:r w:rsidR="006A3B04">
        <w:rPr>
          <w:lang w:eastAsia="ja-JP"/>
        </w:rPr>
        <w:t xml:space="preserve"> free</w:t>
      </w:r>
      <w:r w:rsidRPr="00A7727F">
        <w:rPr>
          <w:lang w:eastAsia="ja-JP"/>
        </w:rPr>
        <w:t xml:space="preserve"> survival was carried out for all patients who started therapy with blinatumomab in this study. Event</w:t>
      </w:r>
      <w:r w:rsidR="006A3B04">
        <w:rPr>
          <w:lang w:eastAsia="ja-JP"/>
        </w:rPr>
        <w:t xml:space="preserve"> free</w:t>
      </w:r>
      <w:r w:rsidRPr="00A7727F">
        <w:rPr>
          <w:lang w:eastAsia="ja-JP"/>
        </w:rPr>
        <w:t xml:space="preserve"> survival was calculated relative to the start date of blinatumomab infusion in the first treatment cycle. The date of bone marrow aspiration at which h</w:t>
      </w:r>
      <w:r w:rsidR="00C279C4">
        <w:rPr>
          <w:lang w:eastAsia="ja-JP"/>
        </w:rPr>
        <w:t>a</w:t>
      </w:r>
      <w:r w:rsidRPr="00A7727F">
        <w:rPr>
          <w:lang w:eastAsia="ja-JP"/>
        </w:rPr>
        <w:t>ematological relapse was first detected or the date of diagnosis on which the h</w:t>
      </w:r>
      <w:r w:rsidR="00C279C4">
        <w:rPr>
          <w:lang w:eastAsia="ja-JP"/>
        </w:rPr>
        <w:t>a</w:t>
      </w:r>
      <w:r w:rsidRPr="00A7727F">
        <w:rPr>
          <w:lang w:eastAsia="ja-JP"/>
        </w:rPr>
        <w:t>ematological or extra medullary relapse was documented or the date of start of any new therapy for ALL (excluding HSCT) or the date of death was used as the event date for relapse</w:t>
      </w:r>
      <w:r w:rsidR="006A3B04">
        <w:rPr>
          <w:lang w:eastAsia="ja-JP"/>
        </w:rPr>
        <w:t xml:space="preserve"> free</w:t>
      </w:r>
      <w:r w:rsidRPr="00A7727F">
        <w:rPr>
          <w:lang w:eastAsia="ja-JP"/>
        </w:rPr>
        <w:t xml:space="preserve"> survival, whichever is earlier. Patients who did not achieve CR or CRh* during the core study were e</w:t>
      </w:r>
      <w:r w:rsidR="00C279C4">
        <w:rPr>
          <w:lang w:eastAsia="ja-JP"/>
        </w:rPr>
        <w:t>valuated as having an event on D</w:t>
      </w:r>
      <w:r w:rsidRPr="00A7727F">
        <w:rPr>
          <w:lang w:eastAsia="ja-JP"/>
        </w:rPr>
        <w:t>ay 1.</w:t>
      </w:r>
    </w:p>
    <w:p w14:paraId="0B0089DF" w14:textId="3C73D162" w:rsidR="00A7727F" w:rsidRPr="00A7727F" w:rsidRDefault="00A7727F" w:rsidP="00A7727F">
      <w:pPr>
        <w:rPr>
          <w:lang w:eastAsia="ja-JP"/>
        </w:rPr>
      </w:pPr>
      <w:r w:rsidRPr="00A7727F">
        <w:rPr>
          <w:lang w:eastAsia="ja-JP"/>
        </w:rPr>
        <w:t>Patients with CR or CRh* who did not experience h</w:t>
      </w:r>
      <w:r w:rsidR="00C279C4">
        <w:rPr>
          <w:lang w:eastAsia="ja-JP"/>
        </w:rPr>
        <w:t>a</w:t>
      </w:r>
      <w:r w:rsidRPr="00A7727F">
        <w:rPr>
          <w:lang w:eastAsia="ja-JP"/>
        </w:rPr>
        <w:t>ematological relapse, did not receive a new therapy for ALL (excluding HSCT), and did not die were censored on the date of the last available bone marrow aspiration or on the last date of survival follow-up visit, whichever was later.</w:t>
      </w:r>
    </w:p>
    <w:p w14:paraId="118933BC" w14:textId="12EA7126" w:rsidR="00A7727F" w:rsidRPr="00C279C4" w:rsidRDefault="00A7727F" w:rsidP="00A7727F">
      <w:pPr>
        <w:rPr>
          <w:lang w:eastAsia="ja-JP"/>
        </w:rPr>
      </w:pPr>
      <w:r w:rsidRPr="00A7727F">
        <w:rPr>
          <w:lang w:eastAsia="ja-JP"/>
        </w:rPr>
        <w:t>The median event</w:t>
      </w:r>
      <w:r w:rsidR="006A3B04">
        <w:rPr>
          <w:lang w:eastAsia="ja-JP"/>
        </w:rPr>
        <w:t xml:space="preserve"> free</w:t>
      </w:r>
      <w:r w:rsidRPr="00A7727F">
        <w:rPr>
          <w:lang w:eastAsia="ja-JP"/>
        </w:rPr>
        <w:t xml:space="preserve"> survival of subje</w:t>
      </w:r>
      <w:r w:rsidR="00C279C4">
        <w:rPr>
          <w:lang w:eastAsia="ja-JP"/>
        </w:rPr>
        <w:t xml:space="preserve">cts was 165 days (5.4 months; 1 </w:t>
      </w:r>
      <w:r w:rsidRPr="00A7727F">
        <w:rPr>
          <w:lang w:eastAsia="ja-JP"/>
        </w:rPr>
        <w:t>year probability rate</w:t>
      </w:r>
      <w:r w:rsidR="00C279C4">
        <w:rPr>
          <w:lang w:eastAsia="ja-JP"/>
        </w:rPr>
        <w:t> </w:t>
      </w:r>
      <w:r w:rsidR="00423768">
        <w:rPr>
          <w:lang w:eastAsia="ja-JP"/>
        </w:rPr>
        <w:t>=</w:t>
      </w:r>
      <w:r w:rsidR="00C279C4">
        <w:rPr>
          <w:lang w:eastAsia="ja-JP"/>
        </w:rPr>
        <w:t> </w:t>
      </w:r>
      <w:r w:rsidRPr="00A7727F">
        <w:rPr>
          <w:lang w:eastAsia="ja-JP"/>
        </w:rPr>
        <w:t xml:space="preserve">18%) in subjects </w:t>
      </w:r>
      <w:r w:rsidR="00C279C4">
        <w:rPr>
          <w:lang w:eastAsia="ja-JP"/>
        </w:rPr>
        <w:t xml:space="preserve">overall, 98 days (3.3 months;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00C279C4">
        <w:rPr>
          <w:lang w:eastAsia="ja-JP"/>
        </w:rPr>
        <w:t>0%) in cohort 1, 247 </w:t>
      </w:r>
      <w:r w:rsidR="0019795D">
        <w:rPr>
          <w:lang w:eastAsia="ja-JP"/>
        </w:rPr>
        <w:t xml:space="preserve">days (8.1 months;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00C279C4">
        <w:rPr>
          <w:lang w:eastAsia="ja-JP"/>
        </w:rPr>
        <w:t>19%) in C</w:t>
      </w:r>
      <w:r w:rsidRPr="00A7727F">
        <w:rPr>
          <w:lang w:eastAsia="ja-JP"/>
        </w:rPr>
        <w:t>ohort 2a/3, and 134 d</w:t>
      </w:r>
      <w:r w:rsidR="00C279C4">
        <w:rPr>
          <w:lang w:eastAsia="ja-JP"/>
        </w:rPr>
        <w:t>ays (4.6 months;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00C279C4">
        <w:rPr>
          <w:lang w:eastAsia="ja-JP"/>
        </w:rPr>
        <w:t>33%) in C</w:t>
      </w:r>
      <w:r w:rsidRPr="00A7727F">
        <w:rPr>
          <w:lang w:eastAsia="ja-JP"/>
        </w:rPr>
        <w:t xml:space="preserve">ohort 2b </w:t>
      </w:r>
      <w:r w:rsidRPr="00912BF3">
        <w:rPr>
          <w:lang w:eastAsia="ja-JP"/>
        </w:rPr>
        <w:t>(</w:t>
      </w:r>
      <w:r w:rsidR="00912BF3" w:rsidRPr="00912BF3">
        <w:rPr>
          <w:lang w:eastAsia="ja-JP"/>
        </w:rPr>
        <w:t xml:space="preserve">see </w:t>
      </w:r>
      <w:r w:rsidRPr="00912BF3">
        <w:rPr>
          <w:lang w:eastAsia="ja-JP"/>
        </w:rPr>
        <w:t>Figure 36</w:t>
      </w:r>
      <w:r w:rsidR="00912BF3" w:rsidRPr="00912BF3">
        <w:rPr>
          <w:lang w:eastAsia="ja-JP"/>
        </w:rPr>
        <w:t>, below</w:t>
      </w:r>
      <w:r w:rsidRPr="00912BF3">
        <w:rPr>
          <w:lang w:eastAsia="ja-JP"/>
        </w:rPr>
        <w:t>).</w:t>
      </w:r>
    </w:p>
    <w:p w14:paraId="5792663F" w14:textId="1507D879" w:rsidR="00A7727F" w:rsidRPr="00A7727F" w:rsidRDefault="00A7727F" w:rsidP="0019795D">
      <w:pPr>
        <w:pStyle w:val="FigureTitle"/>
        <w:keepNext/>
        <w:rPr>
          <w:lang w:eastAsia="ja-JP"/>
        </w:rPr>
      </w:pPr>
      <w:bookmarkStart w:id="213" w:name="_Toc292015816"/>
      <w:r w:rsidRPr="00A7727F">
        <w:rPr>
          <w:lang w:eastAsia="ja-JP"/>
        </w:rPr>
        <w:t xml:space="preserve">Figure </w:t>
      </w:r>
      <w:r w:rsidR="00CB21D3">
        <w:rPr>
          <w:lang w:eastAsia="ja-JP"/>
        </w:rPr>
        <w:t>36:</w:t>
      </w:r>
      <w:r w:rsidRPr="00A7727F">
        <w:rPr>
          <w:lang w:eastAsia="ja-JP"/>
        </w:rPr>
        <w:t xml:space="preserve"> Event</w:t>
      </w:r>
      <w:r w:rsidR="006A3B04">
        <w:rPr>
          <w:lang w:eastAsia="ja-JP"/>
        </w:rPr>
        <w:t xml:space="preserve"> free</w:t>
      </w:r>
      <w:r w:rsidR="0019795D">
        <w:rPr>
          <w:lang w:eastAsia="ja-JP"/>
        </w:rPr>
        <w:t xml:space="preserve"> survival of all subjects (SAF/FAS, by intended dose schedule; Kaplan-Meier curves, </w:t>
      </w:r>
      <w:r w:rsidRPr="00A7727F">
        <w:rPr>
          <w:lang w:eastAsia="ja-JP"/>
        </w:rPr>
        <w:t>stratified)</w:t>
      </w:r>
      <w:bookmarkEnd w:id="213"/>
    </w:p>
    <w:p w14:paraId="26696C82" w14:textId="77777777" w:rsidR="00A7727F" w:rsidRPr="00A7727F" w:rsidRDefault="00A7727F" w:rsidP="0019795D">
      <w:pPr>
        <w:keepNext/>
        <w:rPr>
          <w:lang w:eastAsia="ja-JP"/>
        </w:rPr>
      </w:pPr>
      <w:r w:rsidRPr="00A7727F">
        <w:rPr>
          <w:noProof/>
          <w:lang w:eastAsia="en-AU"/>
        </w:rPr>
        <w:drawing>
          <wp:inline distT="0" distB="0" distL="0" distR="0" wp14:anchorId="45D41529" wp14:editId="5D3C5C4F">
            <wp:extent cx="4470400" cy="2591035"/>
            <wp:effectExtent l="0" t="0" r="6350" b="0"/>
            <wp:docPr id="104" name="Picture 104" descr="Figure 36: Event free survival of all subjects (SAF/FAS, by intended dose schedule; Kaplan-Meier curves, stratified)" title="Event free survival of all subjects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1627" cy="2591746"/>
                    </a:xfrm>
                    <a:prstGeom prst="rect">
                      <a:avLst/>
                    </a:prstGeom>
                    <a:noFill/>
                    <a:ln>
                      <a:noFill/>
                    </a:ln>
                  </pic:spPr>
                </pic:pic>
              </a:graphicData>
            </a:graphic>
          </wp:inline>
        </w:drawing>
      </w:r>
    </w:p>
    <w:p w14:paraId="3574871A" w14:textId="1B69D24E" w:rsidR="00A7727F" w:rsidRPr="00A7727F" w:rsidRDefault="00A7727F" w:rsidP="0019795D">
      <w:pPr>
        <w:pStyle w:val="FigureDescription"/>
        <w:rPr>
          <w:lang w:eastAsia="ja-JP"/>
        </w:rPr>
      </w:pPr>
      <w:r w:rsidRPr="00A7727F">
        <w:rPr>
          <w:lang w:eastAsia="ja-JP"/>
        </w:rPr>
        <w:t>FAS: Full Analysis Set; SAF: Safety Analysis Set</w:t>
      </w:r>
      <w:r w:rsidR="0019795D">
        <w:rPr>
          <w:lang w:eastAsia="ja-JP"/>
        </w:rPr>
        <w:t>.</w:t>
      </w:r>
    </w:p>
    <w:p w14:paraId="526FBC0C" w14:textId="67ED9E4F" w:rsidR="00A7727F" w:rsidRPr="00A7727F" w:rsidRDefault="0019795D" w:rsidP="0019795D">
      <w:pPr>
        <w:pStyle w:val="Heading6"/>
        <w:rPr>
          <w:lang w:eastAsia="ja-JP"/>
        </w:rPr>
      </w:pPr>
      <w:r>
        <w:rPr>
          <w:lang w:eastAsia="ja-JP"/>
        </w:rPr>
        <w:t>Overall s</w:t>
      </w:r>
      <w:r w:rsidR="00A7727F" w:rsidRPr="00A7727F">
        <w:rPr>
          <w:lang w:eastAsia="ja-JP"/>
        </w:rPr>
        <w:t>urvival</w:t>
      </w:r>
    </w:p>
    <w:p w14:paraId="238DFCC4" w14:textId="653D84E8" w:rsidR="00A7727F" w:rsidRPr="00A7727F" w:rsidRDefault="00A7727F" w:rsidP="00A7727F">
      <w:pPr>
        <w:rPr>
          <w:lang w:eastAsia="ja-JP"/>
        </w:rPr>
      </w:pPr>
      <w:r w:rsidRPr="00A7727F">
        <w:rPr>
          <w:lang w:eastAsia="ja-JP"/>
        </w:rPr>
        <w:t>Overall survival was measured for all patients from the date of first infusion of blinatumomab until the date of death due to any cause. Patients who did not die were censored on the last documented visit date. The median OS of subje</w:t>
      </w:r>
      <w:r w:rsidR="0019795D">
        <w:rPr>
          <w:lang w:eastAsia="ja-JP"/>
        </w:rPr>
        <w:t xml:space="preserve">cts was 300 days (9.8 months;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Pr="00A7727F">
        <w:rPr>
          <w:lang w:eastAsia="ja-JP"/>
        </w:rPr>
        <w:t>42%) in subjects o</w:t>
      </w:r>
      <w:r w:rsidR="0019795D">
        <w:rPr>
          <w:lang w:eastAsia="ja-JP"/>
        </w:rPr>
        <w:t>verall, 269 days (9.0 months; 1</w:t>
      </w:r>
      <w:r w:rsidRPr="00A7727F">
        <w:rPr>
          <w:lang w:eastAsia="ja-JP"/>
        </w:rPr>
        <w:t xml:space="preserve"> year probability rate</w:t>
      </w:r>
      <w:r w:rsidR="00375CAE">
        <w:rPr>
          <w:lang w:eastAsia="ja-JP"/>
        </w:rPr>
        <w:t xml:space="preserve"> </w:t>
      </w:r>
      <w:r w:rsidR="00423768">
        <w:rPr>
          <w:lang w:eastAsia="ja-JP"/>
        </w:rPr>
        <w:t>=</w:t>
      </w:r>
      <w:r w:rsidR="00375CAE">
        <w:rPr>
          <w:lang w:eastAsia="ja-JP"/>
        </w:rPr>
        <w:t xml:space="preserve"> </w:t>
      </w:r>
      <w:r w:rsidR="0019795D">
        <w:rPr>
          <w:lang w:eastAsia="ja-JP"/>
        </w:rPr>
        <w:t>43%) in C</w:t>
      </w:r>
      <w:r w:rsidRPr="00A7727F">
        <w:rPr>
          <w:lang w:eastAsia="ja-JP"/>
        </w:rPr>
        <w:t>o</w:t>
      </w:r>
      <w:r w:rsidR="0019795D">
        <w:rPr>
          <w:lang w:eastAsia="ja-JP"/>
        </w:rPr>
        <w:t xml:space="preserve">hort 1, 300 days (9.8 months; 1 </w:t>
      </w:r>
      <w:r w:rsidRPr="00A7727F">
        <w:rPr>
          <w:lang w:eastAsia="ja-JP"/>
        </w:rPr>
        <w:t>year probability rate</w:t>
      </w:r>
      <w:r w:rsidR="00375CAE">
        <w:rPr>
          <w:lang w:eastAsia="ja-JP"/>
        </w:rPr>
        <w:t xml:space="preserve"> </w:t>
      </w:r>
      <w:r w:rsidR="00423768">
        <w:rPr>
          <w:lang w:eastAsia="ja-JP"/>
        </w:rPr>
        <w:t>=</w:t>
      </w:r>
      <w:r w:rsidR="00375CAE">
        <w:rPr>
          <w:lang w:eastAsia="ja-JP"/>
        </w:rPr>
        <w:t xml:space="preserve"> </w:t>
      </w:r>
      <w:r w:rsidR="0019795D">
        <w:rPr>
          <w:lang w:eastAsia="ja-JP"/>
        </w:rPr>
        <w:t>32%) in C</w:t>
      </w:r>
      <w:r w:rsidRPr="00A7727F">
        <w:rPr>
          <w:lang w:eastAsia="ja-JP"/>
        </w:rPr>
        <w:t>o</w:t>
      </w:r>
      <w:r w:rsidR="0019795D">
        <w:rPr>
          <w:lang w:eastAsia="ja-JP"/>
        </w:rPr>
        <w:t xml:space="preserve">hort 2a/3, and not estimable (1 </w:t>
      </w:r>
      <w:r w:rsidRPr="00A7727F">
        <w:rPr>
          <w:lang w:eastAsia="ja-JP"/>
        </w:rPr>
        <w:t>year probability rate</w:t>
      </w:r>
      <w:r w:rsidR="0019795D">
        <w:rPr>
          <w:lang w:eastAsia="ja-JP"/>
        </w:rPr>
        <w:t> </w:t>
      </w:r>
      <w:r w:rsidR="00423768">
        <w:rPr>
          <w:lang w:eastAsia="ja-JP"/>
        </w:rPr>
        <w:t>=</w:t>
      </w:r>
      <w:r w:rsidR="0019795D">
        <w:rPr>
          <w:lang w:eastAsia="ja-JP"/>
        </w:rPr>
        <w:t> 63%) in C</w:t>
      </w:r>
      <w:r w:rsidRPr="00A7727F">
        <w:rPr>
          <w:lang w:eastAsia="ja-JP"/>
        </w:rPr>
        <w:t>ohort 2b (</w:t>
      </w:r>
      <w:r w:rsidR="00912BF3" w:rsidRPr="00912BF3">
        <w:rPr>
          <w:lang w:eastAsia="ja-JP"/>
        </w:rPr>
        <w:t xml:space="preserve">see </w:t>
      </w:r>
      <w:r w:rsidRPr="00912BF3">
        <w:rPr>
          <w:lang w:eastAsia="ja-JP"/>
        </w:rPr>
        <w:t>Figure 37</w:t>
      </w:r>
      <w:r w:rsidR="00912BF3" w:rsidRPr="00912BF3">
        <w:rPr>
          <w:lang w:eastAsia="ja-JP"/>
        </w:rPr>
        <w:t>, below</w:t>
      </w:r>
      <w:r w:rsidRPr="00912BF3">
        <w:rPr>
          <w:lang w:eastAsia="ja-JP"/>
        </w:rPr>
        <w:t>).</w:t>
      </w:r>
    </w:p>
    <w:p w14:paraId="1926ADF8" w14:textId="048B2B9E" w:rsidR="00A7727F" w:rsidRPr="00A7727F" w:rsidRDefault="00A7727F" w:rsidP="0019795D">
      <w:pPr>
        <w:pStyle w:val="FigureTitle"/>
        <w:rPr>
          <w:lang w:eastAsia="ja-JP"/>
        </w:rPr>
      </w:pPr>
      <w:bookmarkStart w:id="214" w:name="_Toc292015817"/>
      <w:r w:rsidRPr="00A7727F">
        <w:rPr>
          <w:lang w:eastAsia="ja-JP"/>
        </w:rPr>
        <w:t>Figure</w:t>
      </w:r>
      <w:r w:rsidR="00CB21D3">
        <w:rPr>
          <w:lang w:eastAsia="ja-JP"/>
        </w:rPr>
        <w:t xml:space="preserve">37: </w:t>
      </w:r>
      <w:r w:rsidR="0019795D">
        <w:rPr>
          <w:lang w:eastAsia="ja-JP"/>
        </w:rPr>
        <w:t xml:space="preserve">Overall Survival (SAF/FAS, by intended dose schedule; Kaplan-Meier curves, </w:t>
      </w:r>
      <w:r w:rsidRPr="00A7727F">
        <w:rPr>
          <w:lang w:eastAsia="ja-JP"/>
        </w:rPr>
        <w:t>stratified)</w:t>
      </w:r>
      <w:bookmarkEnd w:id="214"/>
    </w:p>
    <w:p w14:paraId="7BECB07F" w14:textId="77777777" w:rsidR="00A7727F" w:rsidRPr="00A7727F" w:rsidRDefault="00A7727F" w:rsidP="00A7727F">
      <w:pPr>
        <w:rPr>
          <w:lang w:eastAsia="ja-JP"/>
        </w:rPr>
      </w:pPr>
      <w:r w:rsidRPr="00A7727F">
        <w:rPr>
          <w:noProof/>
          <w:lang w:eastAsia="en-AU"/>
        </w:rPr>
        <w:drawing>
          <wp:inline distT="0" distB="0" distL="0" distR="0" wp14:anchorId="55783015" wp14:editId="57246598">
            <wp:extent cx="4540250" cy="2605062"/>
            <wp:effectExtent l="0" t="0" r="0" b="5080"/>
            <wp:docPr id="106" name="Picture 106" descr="Figure 37: Overall Survival (SAF/FAS, by intended dose schedule; Kaplan-Meier curves, stratified)" title="Overall Survival (SAF/FAS, by intended dose schedule; Kaplan-Meier curves, stra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0875" cy="2605420"/>
                    </a:xfrm>
                    <a:prstGeom prst="rect">
                      <a:avLst/>
                    </a:prstGeom>
                    <a:noFill/>
                    <a:ln>
                      <a:noFill/>
                    </a:ln>
                  </pic:spPr>
                </pic:pic>
              </a:graphicData>
            </a:graphic>
          </wp:inline>
        </w:drawing>
      </w:r>
    </w:p>
    <w:p w14:paraId="423BFB30" w14:textId="77777777" w:rsidR="00A7727F" w:rsidRPr="00A7727F" w:rsidRDefault="00A7727F" w:rsidP="0019795D">
      <w:pPr>
        <w:pStyle w:val="FigureDescription"/>
        <w:rPr>
          <w:lang w:eastAsia="ja-JP"/>
        </w:rPr>
      </w:pPr>
      <w:r w:rsidRPr="00A7727F">
        <w:rPr>
          <w:lang w:eastAsia="ja-JP"/>
        </w:rPr>
        <w:t>FAS: Full Analysis Set; SAF: Safety Analysis Set</w:t>
      </w:r>
    </w:p>
    <w:p w14:paraId="12202E71" w14:textId="77777777" w:rsidR="00A7727F" w:rsidRPr="00A7727F" w:rsidRDefault="00A7727F" w:rsidP="0019795D">
      <w:pPr>
        <w:pStyle w:val="Heading5"/>
        <w:rPr>
          <w:lang w:eastAsia="ja-JP"/>
        </w:rPr>
      </w:pPr>
      <w:r w:rsidRPr="00A7727F">
        <w:rPr>
          <w:lang w:eastAsia="ja-JP"/>
        </w:rPr>
        <w:t>Conclusions</w:t>
      </w:r>
    </w:p>
    <w:p w14:paraId="77A25BE5" w14:textId="77614F4E" w:rsidR="00A7727F" w:rsidRPr="00A7727F" w:rsidRDefault="00A7727F" w:rsidP="0019795D">
      <w:pPr>
        <w:pStyle w:val="ListBullet"/>
        <w:rPr>
          <w:lang w:eastAsia="ja-JP"/>
        </w:rPr>
      </w:pPr>
      <w:r w:rsidRPr="00A7727F">
        <w:rPr>
          <w:lang w:eastAsia="ja-JP"/>
        </w:rPr>
        <w:t>Results from Study MT103-206 showed an improved safety profile at a starting dose of 5</w:t>
      </w:r>
      <w:r w:rsidR="000741E7">
        <w:rPr>
          <w:lang w:eastAsia="ja-JP"/>
        </w:rPr>
        <w:t> </w:t>
      </w:r>
      <w:r w:rsidR="0018721C">
        <w:rPr>
          <w:lang w:eastAsia="ja-JP"/>
        </w:rPr>
        <w:t>µg</w:t>
      </w:r>
      <w:r w:rsidRPr="00A7727F">
        <w:rPr>
          <w:lang w:eastAsia="ja-JP"/>
        </w:rPr>
        <w:t>/m²/day with escalation to 15</w:t>
      </w:r>
      <w:r w:rsidR="00375CAE">
        <w:rPr>
          <w:lang w:eastAsia="ja-JP"/>
        </w:rPr>
        <w:t xml:space="preserve"> </w:t>
      </w:r>
      <w:r w:rsidR="0018721C">
        <w:rPr>
          <w:lang w:eastAsia="ja-JP"/>
        </w:rPr>
        <w:t>µg</w:t>
      </w:r>
      <w:r w:rsidRPr="00A7727F">
        <w:rPr>
          <w:lang w:eastAsia="ja-JP"/>
        </w:rPr>
        <w:t>/m²/day after 1 week of treatment as compared with a constant dosing of 15</w:t>
      </w:r>
      <w:r w:rsidR="0018721C">
        <w:rPr>
          <w:lang w:eastAsia="ja-JP"/>
        </w:rPr>
        <w:t xml:space="preserve"> µg</w:t>
      </w:r>
      <w:r w:rsidRPr="00A7727F">
        <w:rPr>
          <w:lang w:eastAsia="ja-JP"/>
        </w:rPr>
        <w:t>/m²/day.</w:t>
      </w:r>
    </w:p>
    <w:p w14:paraId="2AAC5EE6" w14:textId="77777777" w:rsidR="00A7727F" w:rsidRPr="00A7727F" w:rsidRDefault="00A7727F" w:rsidP="0019795D">
      <w:pPr>
        <w:pStyle w:val="ListBullet"/>
        <w:rPr>
          <w:lang w:eastAsia="ja-JP"/>
        </w:rPr>
      </w:pPr>
      <w:r w:rsidRPr="00A7727F">
        <w:rPr>
          <w:lang w:eastAsia="ja-JP"/>
        </w:rPr>
        <w:t>A similar haematological CR + CRh* rate with the 3 dosing algorithms in adult patients with relapsed/refractory ALL.</w:t>
      </w:r>
    </w:p>
    <w:p w14:paraId="6134673B" w14:textId="4311DAFB" w:rsidR="00A7727F" w:rsidRPr="00A7727F" w:rsidRDefault="00A7727F" w:rsidP="00A7727F">
      <w:pPr>
        <w:pStyle w:val="ListBullet"/>
        <w:rPr>
          <w:lang w:eastAsia="ja-JP"/>
        </w:rPr>
      </w:pPr>
      <w:r w:rsidRPr="00A7727F">
        <w:rPr>
          <w:lang w:eastAsia="ja-JP"/>
        </w:rPr>
        <w:t>Blinatumomab showed single-agent activity in subjects with relapsed/refractory B-precursor ALL.</w:t>
      </w:r>
    </w:p>
    <w:p w14:paraId="07B320FB" w14:textId="174FE156" w:rsidR="00A7727F" w:rsidRPr="00A7727F" w:rsidRDefault="0019795D" w:rsidP="0019795D">
      <w:pPr>
        <w:pStyle w:val="Comment"/>
        <w:rPr>
          <w:lang w:eastAsia="ja-JP"/>
        </w:rPr>
      </w:pPr>
      <w:r w:rsidRPr="0019795D">
        <w:rPr>
          <w:b/>
          <w:lang w:eastAsia="ja-JP"/>
        </w:rPr>
        <w:t>C</w:t>
      </w:r>
      <w:r w:rsidR="00A7727F" w:rsidRPr="0019795D">
        <w:rPr>
          <w:b/>
          <w:lang w:eastAsia="ja-JP"/>
        </w:rPr>
        <w:t>omment:</w:t>
      </w:r>
      <w:r w:rsidRPr="0019795D">
        <w:rPr>
          <w:b/>
          <w:lang w:eastAsia="ja-JP"/>
        </w:rPr>
        <w:t xml:space="preserve"> </w:t>
      </w:r>
      <w:r w:rsidR="00A7727F" w:rsidRPr="0019795D">
        <w:rPr>
          <w:b/>
          <w:lang w:eastAsia="ja-JP"/>
        </w:rPr>
        <w:t xml:space="preserve"> </w:t>
      </w:r>
      <w:r w:rsidR="00A7727F" w:rsidRPr="00A7727F">
        <w:rPr>
          <w:lang w:eastAsia="ja-JP"/>
        </w:rPr>
        <w:t xml:space="preserve">The study population in </w:t>
      </w:r>
      <w:r>
        <w:rPr>
          <w:lang w:eastAsia="ja-JP"/>
        </w:rPr>
        <w:t>Study MT</w:t>
      </w:r>
      <w:r w:rsidR="00A7727F" w:rsidRPr="00A7727F">
        <w:rPr>
          <w:lang w:eastAsia="ja-JP"/>
        </w:rPr>
        <w:t xml:space="preserve">103-206 is </w:t>
      </w:r>
      <w:r>
        <w:rPr>
          <w:lang w:eastAsia="ja-JP"/>
        </w:rPr>
        <w:t>not directly comparable with Study MT</w:t>
      </w:r>
      <w:r w:rsidR="00A7727F" w:rsidRPr="00A7727F">
        <w:rPr>
          <w:lang w:eastAsia="ja-JP"/>
        </w:rPr>
        <w:t xml:space="preserve">103-211. The </w:t>
      </w:r>
      <w:r w:rsidR="00423768">
        <w:rPr>
          <w:lang w:eastAsia="ja-JP"/>
        </w:rPr>
        <w:t>2</w:t>
      </w:r>
      <w:r w:rsidR="00A7727F" w:rsidRPr="00A7727F">
        <w:rPr>
          <w:lang w:eastAsia="ja-JP"/>
        </w:rPr>
        <w:t xml:space="preserve"> di</w:t>
      </w:r>
      <w:r>
        <w:rPr>
          <w:lang w:eastAsia="ja-JP"/>
        </w:rPr>
        <w:t>fferences in the Study MT</w:t>
      </w:r>
      <w:r w:rsidR="00A7727F" w:rsidRPr="00A7727F">
        <w:rPr>
          <w:lang w:eastAsia="ja-JP"/>
        </w:rPr>
        <w:t>103-206 study popu</w:t>
      </w:r>
      <w:r>
        <w:rPr>
          <w:lang w:eastAsia="ja-JP"/>
        </w:rPr>
        <w:t>lation compared to the pivotal Study MT</w:t>
      </w:r>
      <w:r w:rsidR="00A7727F" w:rsidRPr="00A7727F">
        <w:rPr>
          <w:lang w:eastAsia="ja-JP"/>
        </w:rPr>
        <w:t>103-211 were the inclusion of 4 Ph+ B-precursor ALL patients and 6 patients who had had late-relapses, of which the second group generally have a more favourable outcome.</w:t>
      </w:r>
    </w:p>
    <w:p w14:paraId="7E04FBBF" w14:textId="500A4D02" w:rsidR="00A7727F" w:rsidRPr="00A7727F" w:rsidRDefault="0019795D" w:rsidP="0019795D">
      <w:pPr>
        <w:pStyle w:val="Heading3"/>
      </w:pPr>
      <w:bookmarkStart w:id="215" w:name="_Toc292015607"/>
      <w:bookmarkStart w:id="216" w:name="_Toc505762982"/>
      <w:bookmarkStart w:id="217" w:name="_Toc241374312"/>
      <w:bookmarkStart w:id="218" w:name="_Toc272414656"/>
      <w:bookmarkStart w:id="219" w:name="_Toc290846281"/>
      <w:r>
        <w:t>O</w:t>
      </w:r>
      <w:r w:rsidRPr="00A7727F">
        <w:t>ther clinical studies in acute lymphoblastic leukaemia</w:t>
      </w:r>
      <w:bookmarkEnd w:id="215"/>
      <w:bookmarkEnd w:id="216"/>
    </w:p>
    <w:bookmarkEnd w:id="217"/>
    <w:bookmarkEnd w:id="218"/>
    <w:bookmarkEnd w:id="219"/>
    <w:p w14:paraId="203AC1EE" w14:textId="20BCD944" w:rsidR="00A7727F" w:rsidRPr="00A7727F" w:rsidRDefault="00A7727F" w:rsidP="00A7727F">
      <w:pPr>
        <w:rPr>
          <w:lang w:eastAsia="ja-JP"/>
        </w:rPr>
      </w:pPr>
      <w:r w:rsidRPr="00A7727F">
        <w:rPr>
          <w:lang w:eastAsia="ja-JP"/>
        </w:rPr>
        <w:t xml:space="preserve">The sponsor has provided additional data from </w:t>
      </w:r>
      <w:r w:rsidR="00423768">
        <w:rPr>
          <w:lang w:eastAsia="ja-JP"/>
        </w:rPr>
        <w:t>2</w:t>
      </w:r>
      <w:r w:rsidRPr="00A7727F">
        <w:rPr>
          <w:lang w:eastAsia="ja-JP"/>
        </w:rPr>
        <w:t xml:space="preserve"> </w:t>
      </w:r>
      <w:r w:rsidR="0018721C">
        <w:rPr>
          <w:lang w:eastAsia="ja-JP"/>
        </w:rPr>
        <w:t>Phase II</w:t>
      </w:r>
      <w:r w:rsidRPr="00A7727F">
        <w:rPr>
          <w:lang w:eastAsia="ja-JP"/>
        </w:rPr>
        <w:t xml:space="preserve"> studies in adult subjects with</w:t>
      </w:r>
      <w:r w:rsidR="0019795D">
        <w:rPr>
          <w:lang w:eastAsia="ja-JP"/>
        </w:rPr>
        <w:t xml:space="preserve"> minimal residual disease (MRD) </w:t>
      </w:r>
      <w:r w:rsidRPr="00A7727F">
        <w:rPr>
          <w:lang w:eastAsia="ja-JP"/>
        </w:rPr>
        <w:t xml:space="preserve">positive B-precursor ALL (Study MT103-202; Study MT103-203, based on interim data) and data from the </w:t>
      </w:r>
      <w:r w:rsidR="0018721C">
        <w:rPr>
          <w:lang w:eastAsia="ja-JP"/>
        </w:rPr>
        <w:t>Phase I/II</w:t>
      </w:r>
      <w:r w:rsidR="000741E7">
        <w:rPr>
          <w:lang w:eastAsia="ja-JP"/>
        </w:rPr>
        <w:t xml:space="preserve"> S</w:t>
      </w:r>
      <w:r w:rsidRPr="00A7727F">
        <w:rPr>
          <w:lang w:eastAsia="ja-JP"/>
        </w:rPr>
        <w:t>tudy MT103-205 in p</w:t>
      </w:r>
      <w:r w:rsidR="0019795D">
        <w:rPr>
          <w:lang w:eastAsia="ja-JP"/>
        </w:rPr>
        <w:t>a</w:t>
      </w:r>
      <w:r w:rsidRPr="00A7727F">
        <w:rPr>
          <w:lang w:eastAsia="ja-JP"/>
        </w:rPr>
        <w:t>ediatric subjects (based on interim data) with relapsed/refractory ALL.</w:t>
      </w:r>
    </w:p>
    <w:p w14:paraId="092E7E89" w14:textId="36391D9E" w:rsidR="00A7727F" w:rsidRPr="00A7727F" w:rsidRDefault="00A7727F" w:rsidP="0019795D">
      <w:pPr>
        <w:pStyle w:val="Heading4"/>
      </w:pPr>
      <w:bookmarkStart w:id="220" w:name="_Toc292015608"/>
      <w:r w:rsidRPr="00A7727F">
        <w:t>Study MT103-202</w:t>
      </w:r>
      <w:bookmarkEnd w:id="220"/>
    </w:p>
    <w:p w14:paraId="57B914A7" w14:textId="23865056" w:rsidR="00A7727F" w:rsidRPr="00A7727F" w:rsidRDefault="0019795D" w:rsidP="00A7727F">
      <w:pPr>
        <w:rPr>
          <w:lang w:eastAsia="ja-JP"/>
        </w:rPr>
      </w:pPr>
      <w:r>
        <w:rPr>
          <w:lang w:eastAsia="ja-JP"/>
        </w:rPr>
        <w:t xml:space="preserve">This was </w:t>
      </w:r>
      <w:r w:rsidRPr="00A7727F">
        <w:rPr>
          <w:lang w:eastAsia="ja-JP"/>
        </w:rPr>
        <w:t xml:space="preserve">an </w:t>
      </w:r>
      <w:r>
        <w:rPr>
          <w:lang w:eastAsia="ja-JP"/>
        </w:rPr>
        <w:t>open label</w:t>
      </w:r>
      <w:r w:rsidRPr="00A7727F">
        <w:rPr>
          <w:lang w:eastAsia="ja-JP"/>
        </w:rPr>
        <w:t>, multi</w:t>
      </w:r>
      <w:r>
        <w:rPr>
          <w:lang w:eastAsia="ja-JP"/>
        </w:rPr>
        <w:t>centre</w:t>
      </w:r>
      <w:r w:rsidRPr="00A7727F">
        <w:rPr>
          <w:lang w:eastAsia="ja-JP"/>
        </w:rPr>
        <w:t xml:space="preserve"> </w:t>
      </w:r>
      <w:r>
        <w:rPr>
          <w:lang w:eastAsia="ja-JP"/>
        </w:rPr>
        <w:t>Phase II</w:t>
      </w:r>
      <w:r w:rsidRPr="00A7727F">
        <w:rPr>
          <w:lang w:eastAsia="ja-JP"/>
        </w:rPr>
        <w:t xml:space="preserve"> study to investigate the efficacy, safety, and t</w:t>
      </w:r>
      <w:r w:rsidR="00A13978">
        <w:rPr>
          <w:lang w:eastAsia="ja-JP"/>
        </w:rPr>
        <w:t xml:space="preserve">olerability of the bi-specific </w:t>
      </w:r>
      <w:r w:rsidR="00586C19">
        <w:rPr>
          <w:lang w:eastAsia="ja-JP"/>
        </w:rPr>
        <w:t>T cell</w:t>
      </w:r>
      <w:r w:rsidR="00A13978">
        <w:rPr>
          <w:lang w:eastAsia="ja-JP"/>
        </w:rPr>
        <w:t xml:space="preserve"> engager (BiTE</w:t>
      </w:r>
      <w:r w:rsidRPr="00A7727F">
        <w:rPr>
          <w:lang w:eastAsia="ja-JP"/>
        </w:rPr>
        <w:t xml:space="preserve">) </w:t>
      </w:r>
      <w:r w:rsidR="00A13978">
        <w:rPr>
          <w:lang w:eastAsia="ja-JP"/>
        </w:rPr>
        <w:t>MT</w:t>
      </w:r>
      <w:r w:rsidRPr="00A7727F">
        <w:rPr>
          <w:lang w:eastAsia="ja-JP"/>
        </w:rPr>
        <w:t>103 in patients with minimal residual disease (</w:t>
      </w:r>
      <w:r w:rsidR="00A13978">
        <w:rPr>
          <w:lang w:eastAsia="ja-JP"/>
        </w:rPr>
        <w:t>MRD) of positive B</w:t>
      </w:r>
      <w:r w:rsidRPr="00A7727F">
        <w:rPr>
          <w:lang w:eastAsia="ja-JP"/>
        </w:rPr>
        <w:t xml:space="preserve">-precursor acute lymphoblastic </w:t>
      </w:r>
      <w:r w:rsidR="00A972DD" w:rsidRPr="00A7727F">
        <w:rPr>
          <w:lang w:eastAsia="ja-JP"/>
        </w:rPr>
        <w:t>leukaemia</w:t>
      </w:r>
      <w:r w:rsidRPr="00A7727F">
        <w:rPr>
          <w:lang w:eastAsia="ja-JP"/>
        </w:rPr>
        <w:t xml:space="preserve"> (</w:t>
      </w:r>
      <w:r w:rsidR="00A13978">
        <w:rPr>
          <w:lang w:eastAsia="ja-JP"/>
        </w:rPr>
        <w:t>ALL).</w:t>
      </w:r>
    </w:p>
    <w:p w14:paraId="725A1E0F" w14:textId="77777777" w:rsidR="00A7727F" w:rsidRPr="00A7727F" w:rsidRDefault="00A7727F" w:rsidP="00A13978">
      <w:pPr>
        <w:pStyle w:val="Heading5"/>
        <w:rPr>
          <w:lang w:eastAsia="ja-JP"/>
        </w:rPr>
      </w:pPr>
      <w:r w:rsidRPr="00A7727F">
        <w:rPr>
          <w:lang w:eastAsia="ja-JP"/>
        </w:rPr>
        <w:t>Objectives:</w:t>
      </w:r>
    </w:p>
    <w:p w14:paraId="06402C06" w14:textId="08546AC6" w:rsidR="00A7727F" w:rsidRPr="00A7727F" w:rsidRDefault="00A13978" w:rsidP="00A13978">
      <w:pPr>
        <w:pStyle w:val="Heading6"/>
        <w:rPr>
          <w:lang w:eastAsia="ja-JP"/>
        </w:rPr>
      </w:pPr>
      <w:r>
        <w:rPr>
          <w:lang w:eastAsia="ja-JP"/>
        </w:rPr>
        <w:t>Primary o</w:t>
      </w:r>
      <w:r w:rsidR="00A7727F" w:rsidRPr="00A7727F">
        <w:rPr>
          <w:lang w:eastAsia="ja-JP"/>
        </w:rPr>
        <w:t>bjective:</w:t>
      </w:r>
    </w:p>
    <w:p w14:paraId="66E59E58" w14:textId="77777777" w:rsidR="00A7727F" w:rsidRPr="00A7727F" w:rsidRDefault="00A7727F" w:rsidP="00A13978">
      <w:pPr>
        <w:pStyle w:val="ListBullet"/>
        <w:rPr>
          <w:lang w:eastAsia="ja-JP"/>
        </w:rPr>
      </w:pPr>
      <w:r w:rsidRPr="00A7727F">
        <w:rPr>
          <w:lang w:eastAsia="ja-JP"/>
        </w:rPr>
        <w:t>To assess the efficacy of blinatumomab as defined by the effect on minimal residual disease (MRD)</w:t>
      </w:r>
    </w:p>
    <w:p w14:paraId="11F890B4" w14:textId="35DF278F" w:rsidR="00A7727F" w:rsidRPr="00A7727F" w:rsidRDefault="00A13978" w:rsidP="00A13978">
      <w:pPr>
        <w:pStyle w:val="Heading6"/>
        <w:rPr>
          <w:lang w:eastAsia="ja-JP"/>
        </w:rPr>
      </w:pPr>
      <w:r>
        <w:rPr>
          <w:lang w:eastAsia="ja-JP"/>
        </w:rPr>
        <w:t>Secondary o</w:t>
      </w:r>
      <w:r w:rsidR="00A7727F" w:rsidRPr="00A7727F">
        <w:rPr>
          <w:lang w:eastAsia="ja-JP"/>
        </w:rPr>
        <w:t>bjectives:</w:t>
      </w:r>
    </w:p>
    <w:p w14:paraId="07D4111A" w14:textId="4CFD6227" w:rsidR="00A7727F" w:rsidRPr="00A7727F" w:rsidRDefault="00A7727F" w:rsidP="00A13978">
      <w:pPr>
        <w:pStyle w:val="ListBullet"/>
        <w:rPr>
          <w:lang w:eastAsia="ja-JP"/>
        </w:rPr>
      </w:pPr>
      <w:r w:rsidRPr="00A7727F">
        <w:rPr>
          <w:lang w:eastAsia="ja-JP"/>
        </w:rPr>
        <w:t>To assess the effect of blinatumomab on duration of complete h</w:t>
      </w:r>
      <w:r w:rsidR="00A13978">
        <w:rPr>
          <w:lang w:eastAsia="ja-JP"/>
        </w:rPr>
        <w:t>a</w:t>
      </w:r>
      <w:r w:rsidRPr="00A7727F">
        <w:rPr>
          <w:lang w:eastAsia="ja-JP"/>
        </w:rPr>
        <w:t>ematological remission</w:t>
      </w:r>
    </w:p>
    <w:p w14:paraId="6DA0BF66" w14:textId="77777777" w:rsidR="00A7727F" w:rsidRPr="00A7727F" w:rsidRDefault="00A7727F" w:rsidP="00A13978">
      <w:pPr>
        <w:pStyle w:val="ListBullet"/>
        <w:rPr>
          <w:lang w:eastAsia="ja-JP"/>
        </w:rPr>
      </w:pPr>
      <w:r w:rsidRPr="00A7727F">
        <w:rPr>
          <w:lang w:eastAsia="ja-JP"/>
        </w:rPr>
        <w:t>To assess the impact of blinatumomab on the level of MRD</w:t>
      </w:r>
    </w:p>
    <w:p w14:paraId="4ADBABA8" w14:textId="77777777" w:rsidR="00A7727F" w:rsidRPr="00A7727F" w:rsidRDefault="00A7727F" w:rsidP="00A13978">
      <w:pPr>
        <w:pStyle w:val="ListBullet"/>
        <w:rPr>
          <w:lang w:eastAsia="ja-JP"/>
        </w:rPr>
      </w:pPr>
      <w:r w:rsidRPr="00A7727F">
        <w:rPr>
          <w:lang w:eastAsia="ja-JP"/>
        </w:rPr>
        <w:t>To assess the effect of blinatumomab on duration of MRD negativity</w:t>
      </w:r>
    </w:p>
    <w:p w14:paraId="685532C1" w14:textId="77777777" w:rsidR="00A7727F" w:rsidRPr="00A7727F" w:rsidRDefault="00A7727F" w:rsidP="00A13978">
      <w:pPr>
        <w:pStyle w:val="ListBullet"/>
        <w:rPr>
          <w:lang w:eastAsia="ja-JP"/>
        </w:rPr>
      </w:pPr>
      <w:r w:rsidRPr="00A7727F">
        <w:rPr>
          <w:lang w:eastAsia="ja-JP"/>
        </w:rPr>
        <w:t>To evaluate the safety and tolerability of blinatumomab</w:t>
      </w:r>
    </w:p>
    <w:p w14:paraId="27891771" w14:textId="77777777" w:rsidR="00A7727F" w:rsidRPr="00A7727F" w:rsidRDefault="00A7727F" w:rsidP="00A13978">
      <w:pPr>
        <w:pStyle w:val="ListBullet"/>
        <w:rPr>
          <w:lang w:eastAsia="ja-JP"/>
        </w:rPr>
      </w:pPr>
      <w:r w:rsidRPr="00A7727F">
        <w:rPr>
          <w:lang w:eastAsia="ja-JP"/>
        </w:rPr>
        <w:t>To evaluate the pharmacodynamics (PD) of blinatumomab</w:t>
      </w:r>
    </w:p>
    <w:p w14:paraId="51551128" w14:textId="77777777" w:rsidR="00A7727F" w:rsidRPr="00A7727F" w:rsidRDefault="00A7727F" w:rsidP="00A13978">
      <w:pPr>
        <w:pStyle w:val="ListBullet"/>
        <w:rPr>
          <w:lang w:eastAsia="ja-JP"/>
        </w:rPr>
      </w:pPr>
      <w:r w:rsidRPr="00A7727F">
        <w:rPr>
          <w:lang w:eastAsia="ja-JP"/>
        </w:rPr>
        <w:t>To evaluate the pharmacokinetics (PK) of blinatumomab</w:t>
      </w:r>
    </w:p>
    <w:p w14:paraId="478013D5" w14:textId="633387B1" w:rsidR="00A7727F" w:rsidRPr="00A7727F" w:rsidRDefault="00A13978" w:rsidP="00A13978">
      <w:pPr>
        <w:pStyle w:val="Heading6"/>
        <w:rPr>
          <w:lang w:eastAsia="ja-JP"/>
        </w:rPr>
      </w:pPr>
      <w:r>
        <w:rPr>
          <w:lang w:eastAsia="ja-JP"/>
        </w:rPr>
        <w:t>Study period</w:t>
      </w:r>
    </w:p>
    <w:p w14:paraId="1785A63A" w14:textId="4AE98CC8" w:rsidR="00A7727F" w:rsidRPr="00A7727F" w:rsidRDefault="00A7727F" w:rsidP="00A7727F">
      <w:pPr>
        <w:rPr>
          <w:lang w:eastAsia="ja-JP"/>
        </w:rPr>
      </w:pPr>
      <w:r w:rsidRPr="00A7727F">
        <w:rPr>
          <w:lang w:eastAsia="ja-JP"/>
        </w:rPr>
        <w:t>January 2008 (first subject enrolled; first subject was treated May 2008) to January 2010 (data cut-off date for primary analysis; follow-up part of the study is ongoing)</w:t>
      </w:r>
      <w:r w:rsidR="00A13978">
        <w:rPr>
          <w:lang w:eastAsia="ja-JP"/>
        </w:rPr>
        <w:t>.</w:t>
      </w:r>
    </w:p>
    <w:p w14:paraId="7D46BC5C" w14:textId="63632442" w:rsidR="00A7727F" w:rsidRPr="00A7727F" w:rsidRDefault="00A13978" w:rsidP="00A13978">
      <w:pPr>
        <w:pStyle w:val="Heading5"/>
        <w:rPr>
          <w:lang w:eastAsia="ja-JP"/>
        </w:rPr>
      </w:pPr>
      <w:r>
        <w:rPr>
          <w:lang w:eastAsia="ja-JP"/>
        </w:rPr>
        <w:t>Diagnosis and main criteria for e</w:t>
      </w:r>
      <w:r w:rsidR="00A7727F" w:rsidRPr="00A7727F">
        <w:rPr>
          <w:lang w:eastAsia="ja-JP"/>
        </w:rPr>
        <w:t>ligibility</w:t>
      </w:r>
    </w:p>
    <w:p w14:paraId="1DB50598" w14:textId="042094BF" w:rsidR="00A7727F" w:rsidRPr="00A7727F" w:rsidRDefault="00A7727F" w:rsidP="00A7727F">
      <w:pPr>
        <w:rPr>
          <w:lang w:eastAsia="ja-JP"/>
        </w:rPr>
      </w:pPr>
      <w:r w:rsidRPr="00A7727F">
        <w:rPr>
          <w:lang w:eastAsia="ja-JP"/>
        </w:rPr>
        <w:t xml:space="preserve">Adult patients with B-precursor ALL in complete hematologic complete remission (CR) were eligible if their ALL was either molecularly refractory </w:t>
      </w:r>
      <w:r w:rsidR="005B0CFF">
        <w:rPr>
          <w:lang w:eastAsia="ja-JP"/>
        </w:rPr>
        <w:t>(that is</w:t>
      </w:r>
      <w:r w:rsidRPr="00A7727F">
        <w:rPr>
          <w:lang w:eastAsia="ja-JP"/>
        </w:rPr>
        <w:t xml:space="preserve">, had never achieved an </w:t>
      </w:r>
      <w:r w:rsidR="00803B89">
        <w:rPr>
          <w:lang w:eastAsia="ja-JP"/>
        </w:rPr>
        <w:t xml:space="preserve">MRD </w:t>
      </w:r>
      <w:r w:rsidRPr="00A7727F">
        <w:rPr>
          <w:lang w:eastAsia="ja-JP"/>
        </w:rPr>
        <w:t xml:space="preserve">negativity status before blinatumomab) or was in a molecular relapse </w:t>
      </w:r>
      <w:r w:rsidR="005B0CFF">
        <w:rPr>
          <w:lang w:eastAsia="ja-JP"/>
        </w:rPr>
        <w:t>(that is,</w:t>
      </w:r>
      <w:r w:rsidRPr="00A7727F">
        <w:rPr>
          <w:lang w:eastAsia="ja-JP"/>
        </w:rPr>
        <w:t xml:space="preserve"> became MRD positive after having been MRD negative) with quantifiable MRD load of</w:t>
      </w:r>
      <w:r w:rsidR="00375CAE">
        <w:rPr>
          <w:lang w:eastAsia="ja-JP"/>
        </w:rPr>
        <w:t xml:space="preserve"> </w:t>
      </w:r>
      <w:r w:rsidR="00423768">
        <w:rPr>
          <w:lang w:eastAsia="ja-JP"/>
        </w:rPr>
        <w:t>≥</w:t>
      </w:r>
      <w:r w:rsidR="00375CAE">
        <w:rPr>
          <w:lang w:eastAsia="ja-JP"/>
        </w:rPr>
        <w:t xml:space="preserve"> </w:t>
      </w:r>
      <w:r w:rsidRPr="00A7727F">
        <w:rPr>
          <w:lang w:eastAsia="ja-JP"/>
        </w:rPr>
        <w:t>1 x 10</w:t>
      </w:r>
      <w:r w:rsidRPr="00A7727F">
        <w:rPr>
          <w:vertAlign w:val="superscript"/>
          <w:lang w:eastAsia="ja-JP"/>
        </w:rPr>
        <w:t>-4</w:t>
      </w:r>
      <w:r w:rsidRPr="00A7727F">
        <w:rPr>
          <w:lang w:eastAsia="ja-JP"/>
        </w:rPr>
        <w:t xml:space="preserve"> starting at any time point after established standard induction/consolidation therapy of ALL.</w:t>
      </w:r>
    </w:p>
    <w:p w14:paraId="44A4488C" w14:textId="6F0CC43D" w:rsidR="00A7727F" w:rsidRPr="00A7727F" w:rsidRDefault="00A13978" w:rsidP="00A13978">
      <w:pPr>
        <w:pStyle w:val="Heading5"/>
        <w:rPr>
          <w:lang w:eastAsia="ja-JP"/>
        </w:rPr>
      </w:pPr>
      <w:r>
        <w:rPr>
          <w:lang w:eastAsia="ja-JP"/>
        </w:rPr>
        <w:t>Duration of treatment</w:t>
      </w:r>
    </w:p>
    <w:p w14:paraId="6D8002C4" w14:textId="5309A463" w:rsidR="00A7727F" w:rsidRPr="00A7727F" w:rsidRDefault="00A7727F" w:rsidP="00A7727F">
      <w:pPr>
        <w:rPr>
          <w:lang w:eastAsia="ja-JP"/>
        </w:rPr>
      </w:pPr>
      <w:r w:rsidRPr="00A7727F">
        <w:rPr>
          <w:lang w:eastAsia="ja-JP"/>
        </w:rPr>
        <w:t>Blinatumomab was administered as a continuous intravenous infusion at a dose of 15</w:t>
      </w:r>
      <w:r w:rsidR="00912BF3">
        <w:rPr>
          <w:lang w:eastAsia="ja-JP"/>
        </w:rPr>
        <w:t> </w:t>
      </w:r>
      <w:r w:rsidR="0018721C">
        <w:rPr>
          <w:lang w:eastAsia="ja-JP"/>
        </w:rPr>
        <w:t>µg</w:t>
      </w:r>
      <w:r w:rsidRPr="00A7727F">
        <w:rPr>
          <w:lang w:eastAsia="ja-JP"/>
        </w:rPr>
        <w:t>/m</w:t>
      </w:r>
      <w:r w:rsidRPr="00A7727F">
        <w:rPr>
          <w:vertAlign w:val="superscript"/>
          <w:lang w:eastAsia="ja-JP"/>
        </w:rPr>
        <w:t>2</w:t>
      </w:r>
      <w:r w:rsidRPr="00A7727F">
        <w:rPr>
          <w:lang w:eastAsia="ja-JP"/>
        </w:rPr>
        <w:t>/day over 4 weeks followed by a treatment</w:t>
      </w:r>
      <w:r w:rsidR="006A3B04">
        <w:rPr>
          <w:lang w:eastAsia="ja-JP"/>
        </w:rPr>
        <w:t xml:space="preserve"> free</w:t>
      </w:r>
      <w:r w:rsidRPr="00A7727F">
        <w:rPr>
          <w:lang w:eastAsia="ja-JP"/>
        </w:rPr>
        <w:t xml:space="preserve"> period of 2 weeks; nonresponders could have had their dose increased to blinatumomab 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if at least 1 subject did not respond within the first 4 cycles or at least 1 subject relapsed after MRD response within 2 years after completion of treatment. The duration of core study participation for each </w:t>
      </w:r>
      <w:r w:rsidR="000741E7">
        <w:rPr>
          <w:lang w:eastAsia="ja-JP"/>
        </w:rPr>
        <w:t xml:space="preserve">subject was up to 62 weeks: a 2 </w:t>
      </w:r>
      <w:r w:rsidRPr="00A7727F">
        <w:rPr>
          <w:lang w:eastAsia="ja-JP"/>
        </w:rPr>
        <w:t xml:space="preserve">week screening period, followed by a maximum of </w:t>
      </w:r>
      <w:r w:rsidR="00423768">
        <w:rPr>
          <w:lang w:eastAsia="ja-JP"/>
        </w:rPr>
        <w:t>10 x</w:t>
      </w:r>
      <w:r w:rsidR="000741E7">
        <w:rPr>
          <w:lang w:eastAsia="ja-JP"/>
        </w:rPr>
        <w:t xml:space="preserve"> 6 </w:t>
      </w:r>
      <w:r w:rsidRPr="00A7727F">
        <w:rPr>
          <w:lang w:eastAsia="ja-JP"/>
        </w:rPr>
        <w:t>week cycles. In addition, after the end of the last treatment cycle, subjects were to be followed-up at regular intervals until h</w:t>
      </w:r>
      <w:r w:rsidR="00A13978">
        <w:rPr>
          <w:lang w:eastAsia="ja-JP"/>
        </w:rPr>
        <w:t>ae</w:t>
      </w:r>
      <w:r w:rsidRPr="00A7727F">
        <w:rPr>
          <w:lang w:eastAsia="ja-JP"/>
        </w:rPr>
        <w:t>matological relapse but not longer than 5 years after the subject finished the last treatment cycle with blinatumomab in a post study segment. The core study ended at the date of the end of study visit (2 weeks after last infusion of the last treatment cycle) of the last subject undergoing the study.</w:t>
      </w:r>
    </w:p>
    <w:p w14:paraId="62F70639" w14:textId="10957872" w:rsidR="00A7727F" w:rsidRPr="00A7727F" w:rsidRDefault="00A13978" w:rsidP="00A13978">
      <w:pPr>
        <w:pStyle w:val="Heading5"/>
        <w:rPr>
          <w:lang w:eastAsia="ja-JP"/>
        </w:rPr>
      </w:pPr>
      <w:r>
        <w:rPr>
          <w:lang w:eastAsia="ja-JP"/>
        </w:rPr>
        <w:t>Study e</w:t>
      </w:r>
      <w:r w:rsidR="00A7727F" w:rsidRPr="00A7727F">
        <w:rPr>
          <w:lang w:eastAsia="ja-JP"/>
        </w:rPr>
        <w:t>ndpoints</w:t>
      </w:r>
    </w:p>
    <w:p w14:paraId="39B69DA3" w14:textId="77777777" w:rsidR="00A7727F" w:rsidRPr="00A7727F" w:rsidRDefault="00A7727F" w:rsidP="00A7727F">
      <w:pPr>
        <w:rPr>
          <w:lang w:eastAsia="ja-JP"/>
        </w:rPr>
      </w:pPr>
      <w:r w:rsidRPr="00A7727F">
        <w:rPr>
          <w:lang w:eastAsia="ja-JP"/>
        </w:rPr>
        <w:t xml:space="preserve">The primary endpoint was MRD response rate, which was defined by the incidence of MRD negativity within 4 cycles of treatment with blinatumomab. MRD negativity was defined as </w:t>
      </w:r>
      <w:r w:rsidRPr="00BB1431">
        <w:rPr>
          <w:lang w:eastAsia="ja-JP"/>
        </w:rPr>
        <w:t>bcr/abl</w:t>
      </w:r>
      <w:r w:rsidRPr="00A7727F">
        <w:rPr>
          <w:lang w:eastAsia="ja-JP"/>
        </w:rPr>
        <w:t xml:space="preserve"> and/or t(4;11) translocation below detection limit and/or by individual rearrangements of immunoglobulin or TCR-genes below 10</w:t>
      </w:r>
      <w:r w:rsidRPr="00A7727F">
        <w:rPr>
          <w:vertAlign w:val="superscript"/>
          <w:lang w:eastAsia="ja-JP"/>
        </w:rPr>
        <w:t>-4</w:t>
      </w:r>
      <w:r w:rsidRPr="00A7727F">
        <w:rPr>
          <w:lang w:eastAsia="ja-JP"/>
        </w:rPr>
        <w:t>.</w:t>
      </w:r>
    </w:p>
    <w:p w14:paraId="2DCA4364" w14:textId="77777777" w:rsidR="00A7727F" w:rsidRPr="00A7727F" w:rsidRDefault="00A7727F" w:rsidP="00A7727F">
      <w:pPr>
        <w:rPr>
          <w:lang w:eastAsia="ja-JP"/>
        </w:rPr>
      </w:pPr>
      <w:r w:rsidRPr="00A7727F">
        <w:rPr>
          <w:lang w:eastAsia="ja-JP"/>
        </w:rPr>
        <w:t>Secondary endpoints were as follows:</w:t>
      </w:r>
    </w:p>
    <w:p w14:paraId="4388309D" w14:textId="77777777" w:rsidR="00A7727F" w:rsidRPr="00A7727F" w:rsidRDefault="00A7727F" w:rsidP="00A13978">
      <w:pPr>
        <w:pStyle w:val="ListBullet"/>
        <w:rPr>
          <w:lang w:eastAsia="ja-JP"/>
        </w:rPr>
      </w:pPr>
      <w:r w:rsidRPr="00A7727F">
        <w:rPr>
          <w:lang w:eastAsia="ja-JP"/>
        </w:rPr>
        <w:t>MRD response rate, defined by the incidence of MRD negativity after any treatment cycle</w:t>
      </w:r>
    </w:p>
    <w:p w14:paraId="5ABDD658" w14:textId="513A64DD" w:rsidR="00A7727F" w:rsidRPr="00A7727F" w:rsidRDefault="00A7727F" w:rsidP="00A13978">
      <w:pPr>
        <w:pStyle w:val="ListBullet"/>
        <w:rPr>
          <w:lang w:eastAsia="ja-JP"/>
        </w:rPr>
      </w:pPr>
      <w:r w:rsidRPr="00A7727F">
        <w:rPr>
          <w:lang w:eastAsia="ja-JP"/>
        </w:rPr>
        <w:t>Time to h</w:t>
      </w:r>
      <w:r w:rsidR="00A13978">
        <w:rPr>
          <w:lang w:eastAsia="ja-JP"/>
        </w:rPr>
        <w:t>a</w:t>
      </w:r>
      <w:r w:rsidRPr="00A7727F">
        <w:rPr>
          <w:lang w:eastAsia="ja-JP"/>
        </w:rPr>
        <w:t>ematological relapse</w:t>
      </w:r>
    </w:p>
    <w:p w14:paraId="3FD4C99B" w14:textId="77777777" w:rsidR="00A7727F" w:rsidRPr="00A7727F" w:rsidRDefault="00A7727F" w:rsidP="00A13978">
      <w:pPr>
        <w:pStyle w:val="ListBullet"/>
        <w:rPr>
          <w:lang w:eastAsia="ja-JP"/>
        </w:rPr>
      </w:pPr>
      <w:r w:rsidRPr="00A7727F">
        <w:rPr>
          <w:lang w:eastAsia="ja-JP"/>
        </w:rPr>
        <w:t>Time to change in MRD level (MRD progression)</w:t>
      </w:r>
    </w:p>
    <w:p w14:paraId="61471EC4" w14:textId="77777777" w:rsidR="00A7727F" w:rsidRPr="00A7727F" w:rsidRDefault="00A7727F" w:rsidP="00A13978">
      <w:pPr>
        <w:pStyle w:val="ListBullet"/>
        <w:rPr>
          <w:lang w:eastAsia="ja-JP"/>
        </w:rPr>
      </w:pPr>
      <w:r w:rsidRPr="00A7727F">
        <w:rPr>
          <w:lang w:eastAsia="ja-JP"/>
        </w:rPr>
        <w:t>Time to molecular relapse (MRD relapse)</w:t>
      </w:r>
    </w:p>
    <w:p w14:paraId="00742EC8" w14:textId="77777777" w:rsidR="00A7727F" w:rsidRPr="00A7727F" w:rsidRDefault="00A7727F" w:rsidP="00A13978">
      <w:pPr>
        <w:pStyle w:val="ListBullet"/>
        <w:rPr>
          <w:lang w:eastAsia="ja-JP"/>
        </w:rPr>
      </w:pPr>
      <w:r w:rsidRPr="00A7727F">
        <w:rPr>
          <w:lang w:eastAsia="ja-JP"/>
        </w:rPr>
        <w:t>Overall incidence and severity of adverse events</w:t>
      </w:r>
    </w:p>
    <w:p w14:paraId="04335F83" w14:textId="4A9C1C48" w:rsidR="00A7727F" w:rsidRPr="00A7727F" w:rsidRDefault="00A13978" w:rsidP="00A13978">
      <w:pPr>
        <w:pStyle w:val="ListBullet"/>
        <w:rPr>
          <w:lang w:eastAsia="ja-JP"/>
        </w:rPr>
      </w:pPr>
      <w:r>
        <w:rPr>
          <w:lang w:eastAsia="ja-JP"/>
        </w:rPr>
        <w:t>Quantification and characteris</w:t>
      </w:r>
      <w:r w:rsidR="00A7727F" w:rsidRPr="00A7727F">
        <w:rPr>
          <w:lang w:eastAsia="ja-JP"/>
        </w:rPr>
        <w:t>ation of peripheral blood lymphocytes</w:t>
      </w:r>
    </w:p>
    <w:p w14:paraId="41E3E88D" w14:textId="61F5C8F3" w:rsidR="00A7727F" w:rsidRPr="00A7727F" w:rsidRDefault="00A7727F" w:rsidP="00A13978">
      <w:pPr>
        <w:pStyle w:val="ListBullet"/>
        <w:rPr>
          <w:lang w:eastAsia="ja-JP"/>
        </w:rPr>
      </w:pPr>
      <w:r w:rsidRPr="00A7727F">
        <w:rPr>
          <w:lang w:eastAsia="ja-JP"/>
        </w:rPr>
        <w:t>Cytokine serum concentrations</w:t>
      </w:r>
      <w:r w:rsidR="00A13978">
        <w:rPr>
          <w:lang w:eastAsia="ja-JP"/>
        </w:rPr>
        <w:t>.</w:t>
      </w:r>
    </w:p>
    <w:p w14:paraId="5F5D44E4" w14:textId="77777777" w:rsidR="00A7727F" w:rsidRPr="00A7727F" w:rsidRDefault="00A7727F" w:rsidP="00A13978">
      <w:pPr>
        <w:pStyle w:val="Heading5"/>
        <w:rPr>
          <w:lang w:eastAsia="ja-JP"/>
        </w:rPr>
      </w:pPr>
      <w:r w:rsidRPr="00A7727F">
        <w:rPr>
          <w:lang w:eastAsia="ja-JP"/>
        </w:rPr>
        <w:t>Summary of Results</w:t>
      </w:r>
    </w:p>
    <w:p w14:paraId="1828CD5A" w14:textId="66CA3D5D" w:rsidR="00A7727F" w:rsidRPr="00A7727F" w:rsidRDefault="00A13978" w:rsidP="00A13978">
      <w:pPr>
        <w:pStyle w:val="Heading6"/>
        <w:rPr>
          <w:lang w:eastAsia="ja-JP"/>
        </w:rPr>
      </w:pPr>
      <w:r>
        <w:rPr>
          <w:lang w:eastAsia="ja-JP"/>
        </w:rPr>
        <w:t>Subject d</w:t>
      </w:r>
      <w:r w:rsidR="00A7727F" w:rsidRPr="00A7727F">
        <w:rPr>
          <w:lang w:eastAsia="ja-JP"/>
        </w:rPr>
        <w:t>isposition</w:t>
      </w:r>
    </w:p>
    <w:p w14:paraId="705AA619" w14:textId="400AB764" w:rsidR="00A7727F" w:rsidRPr="00A7727F" w:rsidRDefault="00A7727F" w:rsidP="00A7727F">
      <w:pPr>
        <w:rPr>
          <w:lang w:eastAsia="ja-JP"/>
        </w:rPr>
      </w:pPr>
      <w:r w:rsidRPr="00A7727F">
        <w:rPr>
          <w:lang w:eastAsia="ja-JP"/>
        </w:rPr>
        <w:t>32 subjects enrolled; 21 subjects received</w:t>
      </w:r>
      <w:r w:rsidR="00375CAE">
        <w:rPr>
          <w:lang w:eastAsia="ja-JP"/>
        </w:rPr>
        <w:t xml:space="preserve"> </w:t>
      </w:r>
      <w:r w:rsidR="00423768">
        <w:rPr>
          <w:lang w:eastAsia="ja-JP"/>
        </w:rPr>
        <w:t>≥</w:t>
      </w:r>
      <w:r w:rsidR="00375CAE">
        <w:rPr>
          <w:lang w:eastAsia="ja-JP"/>
        </w:rPr>
        <w:t xml:space="preserve"> </w:t>
      </w:r>
      <w:r w:rsidRPr="00A7727F">
        <w:rPr>
          <w:lang w:eastAsia="ja-JP"/>
        </w:rPr>
        <w:t>1 infusion of investigational product and were included in the Safety Analysis Set (SAF); 20 subjects also had MRD response assessment data available and were included in the Full Analysis Set (FAS); 50% (10/20) of FAS subjects completed the study.</w:t>
      </w:r>
    </w:p>
    <w:p w14:paraId="60A2F3F5" w14:textId="7903A231" w:rsidR="00A7727F" w:rsidRPr="00A7727F" w:rsidRDefault="00A13978" w:rsidP="00A13978">
      <w:pPr>
        <w:pStyle w:val="Heading6"/>
        <w:rPr>
          <w:lang w:eastAsia="ja-JP"/>
        </w:rPr>
      </w:pPr>
      <w:r>
        <w:rPr>
          <w:lang w:eastAsia="ja-JP"/>
        </w:rPr>
        <w:t>Efficacy r</w:t>
      </w:r>
      <w:r w:rsidR="00A7727F" w:rsidRPr="00A7727F">
        <w:rPr>
          <w:lang w:eastAsia="ja-JP"/>
        </w:rPr>
        <w:t>esults</w:t>
      </w:r>
    </w:p>
    <w:p w14:paraId="6675E6FA" w14:textId="117BF300" w:rsidR="00A7727F" w:rsidRPr="00A7727F" w:rsidRDefault="00A7727F" w:rsidP="00A7727F">
      <w:pPr>
        <w:rPr>
          <w:lang w:eastAsia="ja-JP"/>
        </w:rPr>
      </w:pPr>
      <w:r w:rsidRPr="00A7727F">
        <w:rPr>
          <w:lang w:eastAsia="ja-JP"/>
        </w:rPr>
        <w:t xml:space="preserve">MRD response was achieved within the first 4 cycles in 80% (16/20) of subjects in the FAS, with all MRD responses having been observed within </w:t>
      </w:r>
      <w:r w:rsidR="007D46D6">
        <w:rPr>
          <w:lang w:eastAsia="ja-JP"/>
        </w:rPr>
        <w:t>Cycle 1</w:t>
      </w:r>
      <w:r w:rsidRPr="00A7727F">
        <w:rPr>
          <w:lang w:eastAsia="ja-JP"/>
        </w:rPr>
        <w:t>. By dose cohort, MRD response was achieved in 88% (15/17) of responders who received a constant dose of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and in 33% (1/3) of nonresponders after dose increase to 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(Table 37). By baseline genetic alteration, MRD response was achieved in 92% (12/13) of subjects with only rearrangements (immunoglobulin or TCR-genes) and 57% (4/7) of subjects with translocations and rearrangements </w:t>
      </w:r>
      <w:r w:rsidR="00A13978">
        <w:rPr>
          <w:lang w:eastAsia="ja-JP"/>
        </w:rPr>
        <w:t>(that is</w:t>
      </w:r>
      <w:r w:rsidRPr="00A7727F">
        <w:rPr>
          <w:lang w:eastAsia="ja-JP"/>
        </w:rPr>
        <w:t>, translocations with or without r</w:t>
      </w:r>
      <w:r w:rsidR="00A13978">
        <w:rPr>
          <w:lang w:eastAsia="ja-JP"/>
        </w:rPr>
        <w:t>earrangements: bcr/abl and/or t(4;11)</w:t>
      </w:r>
      <w:r w:rsidRPr="00A7727F">
        <w:rPr>
          <w:lang w:eastAsia="ja-JP"/>
        </w:rPr>
        <w:t xml:space="preserve"> genes). By refractory and relapsed MRD, MRD response was achieved in 80% (12/15) of subjects with molecular refractory disease and in 80% (4/5) of subjects with molecular relapse.</w:t>
      </w:r>
    </w:p>
    <w:p w14:paraId="542AF104" w14:textId="6DE9AC9E" w:rsidR="00A7727F" w:rsidRPr="00A7727F" w:rsidRDefault="00A13978" w:rsidP="00A7727F">
      <w:pPr>
        <w:rPr>
          <w:lang w:eastAsia="ja-JP"/>
        </w:rPr>
      </w:pPr>
      <w:r>
        <w:rPr>
          <w:lang w:eastAsia="ja-JP"/>
        </w:rPr>
        <w:t>By MRD level at s</w:t>
      </w:r>
      <w:r w:rsidR="00A7727F" w:rsidRPr="00A7727F">
        <w:rPr>
          <w:lang w:eastAsia="ja-JP"/>
        </w:rPr>
        <w:t>creening, MRD response was achieved in 90% (9/10) of subjects with MRD level</w:t>
      </w:r>
      <w:r w:rsidR="00375CAE">
        <w:rPr>
          <w:lang w:eastAsia="ja-JP"/>
        </w:rPr>
        <w:t xml:space="preserve"> </w:t>
      </w:r>
      <w:r w:rsidR="00423768">
        <w:rPr>
          <w:lang w:eastAsia="ja-JP"/>
        </w:rPr>
        <w:t>≥</w:t>
      </w:r>
      <w:r>
        <w:rPr>
          <w:lang w:eastAsia="ja-JP"/>
        </w:rPr>
        <w:t> </w:t>
      </w:r>
      <w:r w:rsidR="00A7727F" w:rsidRPr="00A7727F">
        <w:rPr>
          <w:lang w:eastAsia="ja-JP"/>
        </w:rPr>
        <w:t>10</w:t>
      </w:r>
      <w:r w:rsidR="00A7727F" w:rsidRPr="00A13978">
        <w:rPr>
          <w:vertAlign w:val="superscript"/>
          <w:lang w:eastAsia="ja-JP"/>
        </w:rPr>
        <w:t>-2</w:t>
      </w:r>
      <w:r w:rsidR="00A7727F" w:rsidRPr="00A7727F">
        <w:rPr>
          <w:lang w:eastAsia="ja-JP"/>
        </w:rPr>
        <w:t>, 83% (5/6) of subjects with MRD level</w:t>
      </w:r>
      <w:r w:rsidR="00375CAE">
        <w:rPr>
          <w:lang w:eastAsia="ja-JP"/>
        </w:rPr>
        <w:t xml:space="preserve"> </w:t>
      </w:r>
      <w:r w:rsidR="00423768">
        <w:rPr>
          <w:lang w:eastAsia="ja-JP"/>
        </w:rPr>
        <w:t>&lt;</w:t>
      </w:r>
      <w:r w:rsidR="00375CAE">
        <w:rPr>
          <w:lang w:eastAsia="ja-JP"/>
        </w:rPr>
        <w:t xml:space="preserve"> </w:t>
      </w:r>
      <w:r w:rsidR="00A7727F" w:rsidRPr="00A7727F">
        <w:rPr>
          <w:lang w:eastAsia="ja-JP"/>
        </w:rPr>
        <w:t>10</w:t>
      </w:r>
      <w:r w:rsidR="00A7727F" w:rsidRPr="00A13978">
        <w:rPr>
          <w:vertAlign w:val="superscript"/>
          <w:lang w:eastAsia="ja-JP"/>
        </w:rPr>
        <w:t>-2</w:t>
      </w:r>
      <w:r w:rsidR="00A7727F" w:rsidRPr="00A7727F">
        <w:rPr>
          <w:lang w:eastAsia="ja-JP"/>
        </w:rPr>
        <w:t xml:space="preserve"> to</w:t>
      </w:r>
      <w:r w:rsidR="00375CAE">
        <w:rPr>
          <w:lang w:eastAsia="ja-JP"/>
        </w:rPr>
        <w:t xml:space="preserve"> </w:t>
      </w:r>
      <w:r w:rsidR="00423768">
        <w:rPr>
          <w:lang w:eastAsia="ja-JP"/>
        </w:rPr>
        <w:t>≥</w:t>
      </w:r>
      <w:r w:rsidR="00375CAE">
        <w:rPr>
          <w:lang w:eastAsia="ja-JP"/>
        </w:rPr>
        <w:t xml:space="preserve"> </w:t>
      </w:r>
      <w:r w:rsidR="00A7727F" w:rsidRPr="00A7727F">
        <w:rPr>
          <w:lang w:eastAsia="ja-JP"/>
        </w:rPr>
        <w:t>10</w:t>
      </w:r>
      <w:r w:rsidR="00A7727F" w:rsidRPr="00A13978">
        <w:rPr>
          <w:vertAlign w:val="superscript"/>
          <w:lang w:eastAsia="ja-JP"/>
        </w:rPr>
        <w:t>-3</w:t>
      </w:r>
      <w:r w:rsidR="00A7727F" w:rsidRPr="00A7727F">
        <w:rPr>
          <w:lang w:eastAsia="ja-JP"/>
        </w:rPr>
        <w:t>, and 50% (2/4) of subjects with MRD level</w:t>
      </w:r>
      <w:r w:rsidR="00375CAE">
        <w:rPr>
          <w:lang w:eastAsia="ja-JP"/>
        </w:rPr>
        <w:t xml:space="preserve"> </w:t>
      </w:r>
      <w:r w:rsidR="00423768">
        <w:rPr>
          <w:lang w:eastAsia="ja-JP"/>
        </w:rPr>
        <w:t>&lt;</w:t>
      </w:r>
      <w:r w:rsidR="00375CAE">
        <w:rPr>
          <w:lang w:eastAsia="ja-JP"/>
        </w:rPr>
        <w:t xml:space="preserve"> </w:t>
      </w:r>
      <w:r w:rsidR="00A7727F" w:rsidRPr="00A7727F">
        <w:rPr>
          <w:lang w:eastAsia="ja-JP"/>
        </w:rPr>
        <w:t>10</w:t>
      </w:r>
      <w:r w:rsidR="00A7727F" w:rsidRPr="00A13978">
        <w:rPr>
          <w:vertAlign w:val="superscript"/>
          <w:lang w:eastAsia="ja-JP"/>
        </w:rPr>
        <w:t>-3</w:t>
      </w:r>
      <w:r w:rsidR="00A7727F" w:rsidRPr="00A7727F">
        <w:rPr>
          <w:lang w:eastAsia="ja-JP"/>
        </w:rPr>
        <w:t xml:space="preserve"> to</w:t>
      </w:r>
      <w:r w:rsidR="00375CAE">
        <w:rPr>
          <w:lang w:eastAsia="ja-JP"/>
        </w:rPr>
        <w:t xml:space="preserve"> </w:t>
      </w:r>
      <w:r w:rsidR="00423768">
        <w:rPr>
          <w:lang w:eastAsia="ja-JP"/>
        </w:rPr>
        <w:t>≥</w:t>
      </w:r>
      <w:r w:rsidR="00375CAE">
        <w:rPr>
          <w:lang w:eastAsia="ja-JP"/>
        </w:rPr>
        <w:t xml:space="preserve"> </w:t>
      </w:r>
      <w:r w:rsidR="00A7727F" w:rsidRPr="00A7727F">
        <w:rPr>
          <w:lang w:eastAsia="ja-JP"/>
        </w:rPr>
        <w:t>10</w:t>
      </w:r>
      <w:r w:rsidR="00A7727F" w:rsidRPr="00A13978">
        <w:rPr>
          <w:vertAlign w:val="superscript"/>
          <w:lang w:eastAsia="ja-JP"/>
        </w:rPr>
        <w:t>-4</w:t>
      </w:r>
      <w:r w:rsidR="00A7727F" w:rsidRPr="00A7727F">
        <w:rPr>
          <w:lang w:eastAsia="ja-JP"/>
        </w:rPr>
        <w:t>. The median duration of MRD response for subjects overall was 107 days. H</w:t>
      </w:r>
      <w:r>
        <w:rPr>
          <w:lang w:eastAsia="ja-JP"/>
        </w:rPr>
        <w:t>a</w:t>
      </w:r>
      <w:r w:rsidR="00A7727F" w:rsidRPr="00A7727F">
        <w:rPr>
          <w:lang w:eastAsia="ja-JP"/>
        </w:rPr>
        <w:t>ematological relapse occurred in 4/20 subjects in the FAS. The median time to haematological relapse was not reached. None of the 4 subjects who had h</w:t>
      </w:r>
      <w:r>
        <w:rPr>
          <w:lang w:eastAsia="ja-JP"/>
        </w:rPr>
        <w:t>a</w:t>
      </w:r>
      <w:r w:rsidR="00A7727F" w:rsidRPr="00A7727F">
        <w:rPr>
          <w:lang w:eastAsia="ja-JP"/>
        </w:rPr>
        <w:t>ematological relapse received HSCT and all were receiving a constant dose of 15</w:t>
      </w:r>
      <w:r w:rsidR="00375CAE">
        <w:rPr>
          <w:lang w:eastAsia="ja-JP"/>
        </w:rPr>
        <w:t xml:space="preserve"> </w:t>
      </w:r>
      <w:r w:rsidR="0018721C">
        <w:rPr>
          <w:lang w:eastAsia="ja-JP"/>
        </w:rPr>
        <w:t>µg</w:t>
      </w:r>
      <w:r w:rsidR="00A7727F" w:rsidRPr="00A7727F">
        <w:rPr>
          <w:lang w:eastAsia="ja-JP"/>
        </w:rPr>
        <w:t>/</w:t>
      </w:r>
      <w:r w:rsidR="00586C19" w:rsidRPr="00F31F9F">
        <w:rPr>
          <w:lang w:eastAsia="ja-JP"/>
        </w:rPr>
        <w:t>m</w:t>
      </w:r>
      <w:r w:rsidR="00586C19" w:rsidRPr="00586C19">
        <w:rPr>
          <w:vertAlign w:val="superscript"/>
          <w:lang w:eastAsia="ja-JP"/>
        </w:rPr>
        <w:t>2</w:t>
      </w:r>
      <w:r w:rsidR="00A7727F" w:rsidRPr="00A7727F">
        <w:rPr>
          <w:lang w:eastAsia="ja-JP"/>
        </w:rPr>
        <w:t>/day. MRD progression occurred in 6/20 subjects in the FAS. The median time to MRD progression was 221 days. MRD relapse occurred in 4/20 subjects in the FAS. The median time to MRD relapse was not reached.</w:t>
      </w:r>
      <w:r w:rsidR="00912BF3">
        <w:rPr>
          <w:lang w:eastAsia="ja-JP"/>
        </w:rPr>
        <w:t xml:space="preserve"> MRD response within the first 4 cycles by dose cohort is shown in Table 34, below.</w:t>
      </w:r>
    </w:p>
    <w:p w14:paraId="124B5E95" w14:textId="446C51BE" w:rsidR="00A7727F" w:rsidRPr="00A7727F" w:rsidRDefault="00A7727F" w:rsidP="000741E7">
      <w:pPr>
        <w:pStyle w:val="Tabletitle"/>
        <w:rPr>
          <w:lang w:eastAsia="ja-JP"/>
        </w:rPr>
      </w:pPr>
      <w:bookmarkStart w:id="221" w:name="_Toc292015717"/>
      <w:r w:rsidRPr="00A7727F">
        <w:rPr>
          <w:lang w:eastAsia="ja-JP"/>
        </w:rPr>
        <w:t xml:space="preserve">Table </w:t>
      </w:r>
      <w:r w:rsidR="00CB21D3">
        <w:rPr>
          <w:lang w:eastAsia="ja-JP"/>
        </w:rPr>
        <w:t>34:</w:t>
      </w:r>
      <w:r w:rsidR="00375CAE">
        <w:rPr>
          <w:lang w:eastAsia="ja-JP"/>
        </w:rPr>
        <w:t xml:space="preserve"> </w:t>
      </w:r>
      <w:r w:rsidR="00A13978">
        <w:rPr>
          <w:lang w:eastAsia="ja-JP"/>
        </w:rPr>
        <w:t>MRD r</w:t>
      </w:r>
      <w:r w:rsidR="000741E7">
        <w:rPr>
          <w:lang w:eastAsia="ja-JP"/>
        </w:rPr>
        <w:t>esponse within the f</w:t>
      </w:r>
      <w:r w:rsidRPr="00A7727F">
        <w:rPr>
          <w:lang w:eastAsia="ja-JP"/>
        </w:rPr>
        <w:t xml:space="preserve">irst 4 </w:t>
      </w:r>
      <w:r w:rsidR="000741E7">
        <w:rPr>
          <w:lang w:eastAsia="ja-JP"/>
        </w:rPr>
        <w:t>cycles by dose cohort (Full analysis s</w:t>
      </w:r>
      <w:r w:rsidRPr="00A7727F">
        <w:rPr>
          <w:lang w:eastAsia="ja-JP"/>
        </w:rPr>
        <w:t>et)</w:t>
      </w:r>
      <w:bookmarkEnd w:id="221"/>
    </w:p>
    <w:tbl>
      <w:tblPr>
        <w:tblStyle w:val="TableTGAblue"/>
        <w:tblW w:w="4958" w:type="pct"/>
        <w:tblLayout w:type="fixed"/>
        <w:tblLook w:val="04A0" w:firstRow="1" w:lastRow="0" w:firstColumn="1" w:lastColumn="0" w:noHBand="0" w:noVBand="1"/>
        <w:tblDescription w:val="Table 34: MRD response within the first 4 cycles by dose cohort (Full analysis set)"/>
      </w:tblPr>
      <w:tblGrid>
        <w:gridCol w:w="1192"/>
        <w:gridCol w:w="531"/>
        <w:gridCol w:w="531"/>
        <w:gridCol w:w="531"/>
        <w:gridCol w:w="531"/>
        <w:gridCol w:w="531"/>
        <w:gridCol w:w="531"/>
        <w:gridCol w:w="532"/>
        <w:gridCol w:w="532"/>
        <w:gridCol w:w="532"/>
        <w:gridCol w:w="532"/>
        <w:gridCol w:w="532"/>
        <w:gridCol w:w="532"/>
        <w:gridCol w:w="532"/>
        <w:gridCol w:w="532"/>
        <w:gridCol w:w="530"/>
      </w:tblGrid>
      <w:tr w:rsidR="000741E7" w:rsidRPr="00A7727F" w14:paraId="7A3D5269" w14:textId="77777777" w:rsidTr="00CB2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 w:type="pct"/>
            <w:vMerge w:val="restart"/>
          </w:tcPr>
          <w:p w14:paraId="70783312" w14:textId="4A455293" w:rsidR="005314B1" w:rsidRPr="000741E7" w:rsidRDefault="005314B1" w:rsidP="000741E7">
            <w:pPr>
              <w:keepNext/>
              <w:ind w:left="0" w:right="0"/>
              <w:rPr>
                <w:sz w:val="16"/>
                <w:lang w:eastAsia="ja-JP"/>
              </w:rPr>
            </w:pPr>
            <w:r w:rsidRPr="000741E7">
              <w:rPr>
                <w:sz w:val="16"/>
                <w:lang w:eastAsia="ja-JP"/>
              </w:rPr>
              <w:t>MRD Response</w:t>
            </w:r>
          </w:p>
        </w:tc>
        <w:tc>
          <w:tcPr>
            <w:tcW w:w="1450" w:type="pct"/>
            <w:gridSpan w:val="5"/>
          </w:tcPr>
          <w:p w14:paraId="4E4C3B8A" w14:textId="665B9014"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Constant Dose (15 µg/m²/d)</w:t>
            </w:r>
          </w:p>
          <w:p w14:paraId="5D94FCAA" w14:textId="6B1101BE"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(N = 17)</w:t>
            </w:r>
          </w:p>
        </w:tc>
        <w:tc>
          <w:tcPr>
            <w:tcW w:w="1450" w:type="pct"/>
            <w:gridSpan w:val="5"/>
          </w:tcPr>
          <w:p w14:paraId="37ADF64D" w14:textId="3647686A"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Dose Increase (15/30 µg/m²/d)</w:t>
            </w:r>
          </w:p>
          <w:p w14:paraId="27CEBB12" w14:textId="7998B5D6"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(N = 3)</w:t>
            </w:r>
          </w:p>
        </w:tc>
        <w:tc>
          <w:tcPr>
            <w:tcW w:w="1450" w:type="pct"/>
            <w:gridSpan w:val="5"/>
          </w:tcPr>
          <w:p w14:paraId="40EB65E0"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Total</w:t>
            </w:r>
          </w:p>
          <w:p w14:paraId="21B00F07" w14:textId="6DD6B17D"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(N = 20)</w:t>
            </w:r>
          </w:p>
        </w:tc>
      </w:tr>
      <w:tr w:rsidR="000741E7" w:rsidRPr="00A7727F" w14:paraId="0302728D" w14:textId="77777777" w:rsidTr="00CB21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 w:type="pct"/>
            <w:vMerge/>
          </w:tcPr>
          <w:p w14:paraId="1D8F824E" w14:textId="55201152" w:rsidR="005314B1" w:rsidRPr="000741E7" w:rsidRDefault="005314B1" w:rsidP="000741E7">
            <w:pPr>
              <w:keepNext/>
              <w:ind w:left="0" w:right="0"/>
              <w:rPr>
                <w:sz w:val="16"/>
                <w:lang w:eastAsia="ja-JP"/>
              </w:rPr>
            </w:pPr>
          </w:p>
        </w:tc>
        <w:tc>
          <w:tcPr>
            <w:tcW w:w="290" w:type="pct"/>
          </w:tcPr>
          <w:p w14:paraId="25869D10" w14:textId="3EBC3257" w:rsidR="005314B1" w:rsidRPr="000741E7" w:rsidRDefault="000741E7"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Pr>
                <w:sz w:val="16"/>
                <w:lang w:eastAsia="ja-JP"/>
              </w:rPr>
              <w:t>N =</w:t>
            </w:r>
          </w:p>
        </w:tc>
        <w:tc>
          <w:tcPr>
            <w:tcW w:w="290" w:type="pct"/>
          </w:tcPr>
          <w:p w14:paraId="38444787"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w:t>
            </w:r>
          </w:p>
        </w:tc>
        <w:tc>
          <w:tcPr>
            <w:tcW w:w="290" w:type="pct"/>
          </w:tcPr>
          <w:p w14:paraId="2E78E248"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LL</w:t>
            </w:r>
            <w:r w:rsidRPr="000741E7">
              <w:rPr>
                <w:sz w:val="16"/>
                <w:vertAlign w:val="superscript"/>
                <w:lang w:eastAsia="ja-JP"/>
              </w:rPr>
              <w:t>a</w:t>
            </w:r>
            <w:r w:rsidRPr="000741E7">
              <w:rPr>
                <w:sz w:val="16"/>
                <w:lang w:eastAsia="ja-JP"/>
              </w:rPr>
              <w:t xml:space="preserve"> (%)</w:t>
            </w:r>
          </w:p>
        </w:tc>
        <w:tc>
          <w:tcPr>
            <w:tcW w:w="290" w:type="pct"/>
          </w:tcPr>
          <w:p w14:paraId="6E8DAEA2"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UL</w:t>
            </w:r>
            <w:r w:rsidRPr="000741E7">
              <w:rPr>
                <w:sz w:val="16"/>
                <w:vertAlign w:val="superscript"/>
                <w:lang w:eastAsia="ja-JP"/>
              </w:rPr>
              <w:t xml:space="preserve">a </w:t>
            </w:r>
            <w:r w:rsidRPr="000741E7">
              <w:rPr>
                <w:sz w:val="16"/>
                <w:lang w:eastAsia="ja-JP"/>
              </w:rPr>
              <w:t>(%)</w:t>
            </w:r>
          </w:p>
        </w:tc>
        <w:tc>
          <w:tcPr>
            <w:tcW w:w="290" w:type="pct"/>
          </w:tcPr>
          <w:p w14:paraId="4C716BD2" w14:textId="76C45220" w:rsidR="005314B1" w:rsidRPr="000741E7" w:rsidRDefault="000741E7"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Pr>
                <w:sz w:val="16"/>
                <w:lang w:eastAsia="ja-JP"/>
              </w:rPr>
              <w:t>P =</w:t>
            </w:r>
          </w:p>
        </w:tc>
        <w:tc>
          <w:tcPr>
            <w:tcW w:w="290" w:type="pct"/>
          </w:tcPr>
          <w:p w14:paraId="36423194" w14:textId="215C6CEA" w:rsidR="005314B1" w:rsidRPr="000741E7" w:rsidRDefault="000741E7"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Pr>
                <w:sz w:val="16"/>
                <w:lang w:eastAsia="ja-JP"/>
              </w:rPr>
              <w:t>N=</w:t>
            </w:r>
          </w:p>
        </w:tc>
        <w:tc>
          <w:tcPr>
            <w:tcW w:w="290" w:type="pct"/>
          </w:tcPr>
          <w:p w14:paraId="2474CFE3"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w:t>
            </w:r>
          </w:p>
        </w:tc>
        <w:tc>
          <w:tcPr>
            <w:tcW w:w="290" w:type="pct"/>
          </w:tcPr>
          <w:p w14:paraId="3057F821"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LL</w:t>
            </w:r>
            <w:r w:rsidRPr="000741E7">
              <w:rPr>
                <w:sz w:val="16"/>
                <w:vertAlign w:val="superscript"/>
                <w:lang w:eastAsia="ja-JP"/>
              </w:rPr>
              <w:t>a</w:t>
            </w:r>
            <w:r w:rsidRPr="000741E7">
              <w:rPr>
                <w:sz w:val="16"/>
                <w:lang w:eastAsia="ja-JP"/>
              </w:rPr>
              <w:t xml:space="preserve"> (%)</w:t>
            </w:r>
          </w:p>
        </w:tc>
        <w:tc>
          <w:tcPr>
            <w:tcW w:w="290" w:type="pct"/>
          </w:tcPr>
          <w:p w14:paraId="39D6DA76"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UL</w:t>
            </w:r>
            <w:r w:rsidRPr="000741E7">
              <w:rPr>
                <w:sz w:val="16"/>
                <w:vertAlign w:val="superscript"/>
                <w:lang w:eastAsia="ja-JP"/>
              </w:rPr>
              <w:t xml:space="preserve">a </w:t>
            </w:r>
            <w:r w:rsidRPr="000741E7">
              <w:rPr>
                <w:sz w:val="16"/>
                <w:lang w:eastAsia="ja-JP"/>
              </w:rPr>
              <w:t>(%)</w:t>
            </w:r>
          </w:p>
        </w:tc>
        <w:tc>
          <w:tcPr>
            <w:tcW w:w="290" w:type="pct"/>
          </w:tcPr>
          <w:p w14:paraId="0287BDDB" w14:textId="77620B1E" w:rsidR="005314B1" w:rsidRPr="000741E7" w:rsidRDefault="000741E7"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Pr>
                <w:sz w:val="16"/>
                <w:lang w:eastAsia="ja-JP"/>
              </w:rPr>
              <w:t>P =</w:t>
            </w:r>
          </w:p>
        </w:tc>
        <w:tc>
          <w:tcPr>
            <w:tcW w:w="290" w:type="pct"/>
          </w:tcPr>
          <w:p w14:paraId="2C8B3DFF" w14:textId="088CEC93" w:rsidR="005314B1" w:rsidRPr="000741E7" w:rsidRDefault="000741E7"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Pr>
                <w:sz w:val="16"/>
                <w:lang w:eastAsia="ja-JP"/>
              </w:rPr>
              <w:t>N =</w:t>
            </w:r>
          </w:p>
        </w:tc>
        <w:tc>
          <w:tcPr>
            <w:tcW w:w="290" w:type="pct"/>
          </w:tcPr>
          <w:p w14:paraId="74D62565"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w:t>
            </w:r>
          </w:p>
        </w:tc>
        <w:tc>
          <w:tcPr>
            <w:tcW w:w="290" w:type="pct"/>
          </w:tcPr>
          <w:p w14:paraId="566588A7"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LL</w:t>
            </w:r>
            <w:r w:rsidRPr="000741E7">
              <w:rPr>
                <w:sz w:val="16"/>
                <w:vertAlign w:val="superscript"/>
                <w:lang w:eastAsia="ja-JP"/>
              </w:rPr>
              <w:t>a</w:t>
            </w:r>
            <w:r w:rsidRPr="000741E7">
              <w:rPr>
                <w:sz w:val="16"/>
                <w:lang w:eastAsia="ja-JP"/>
              </w:rPr>
              <w:t xml:space="preserve"> (%)</w:t>
            </w:r>
          </w:p>
        </w:tc>
        <w:tc>
          <w:tcPr>
            <w:tcW w:w="290" w:type="pct"/>
          </w:tcPr>
          <w:p w14:paraId="10385D57" w14:textId="77777777" w:rsidR="005314B1" w:rsidRPr="000741E7" w:rsidRDefault="005314B1"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sidRPr="000741E7">
              <w:rPr>
                <w:sz w:val="16"/>
                <w:lang w:eastAsia="ja-JP"/>
              </w:rPr>
              <w:t>UL</w:t>
            </w:r>
            <w:r w:rsidRPr="000741E7">
              <w:rPr>
                <w:sz w:val="16"/>
                <w:vertAlign w:val="superscript"/>
                <w:lang w:eastAsia="ja-JP"/>
              </w:rPr>
              <w:t xml:space="preserve">a </w:t>
            </w:r>
            <w:r w:rsidRPr="000741E7">
              <w:rPr>
                <w:sz w:val="16"/>
                <w:lang w:eastAsia="ja-JP"/>
              </w:rPr>
              <w:t>(%)</w:t>
            </w:r>
          </w:p>
        </w:tc>
        <w:tc>
          <w:tcPr>
            <w:tcW w:w="290" w:type="pct"/>
          </w:tcPr>
          <w:p w14:paraId="5D6190F2" w14:textId="0A00D513" w:rsidR="005314B1" w:rsidRPr="000741E7" w:rsidRDefault="000741E7" w:rsidP="000741E7">
            <w:pPr>
              <w:keepNext/>
              <w:ind w:left="0" w:right="0"/>
              <w:cnfStyle w:val="100000000000" w:firstRow="1" w:lastRow="0" w:firstColumn="0" w:lastColumn="0" w:oddVBand="0" w:evenVBand="0" w:oddHBand="0" w:evenHBand="0" w:firstRowFirstColumn="0" w:firstRowLastColumn="0" w:lastRowFirstColumn="0" w:lastRowLastColumn="0"/>
              <w:rPr>
                <w:sz w:val="16"/>
                <w:lang w:eastAsia="ja-JP"/>
              </w:rPr>
            </w:pPr>
            <w:r>
              <w:rPr>
                <w:sz w:val="16"/>
                <w:lang w:eastAsia="ja-JP"/>
              </w:rPr>
              <w:t>P =</w:t>
            </w:r>
          </w:p>
        </w:tc>
      </w:tr>
      <w:tr w:rsidR="000741E7" w:rsidRPr="00A7727F" w14:paraId="34F225AE" w14:textId="77777777" w:rsidTr="000741E7">
        <w:tc>
          <w:tcPr>
            <w:cnfStyle w:val="001000000000" w:firstRow="0" w:lastRow="0" w:firstColumn="1" w:lastColumn="0" w:oddVBand="0" w:evenVBand="0" w:oddHBand="0" w:evenHBand="0" w:firstRowFirstColumn="0" w:firstRowLastColumn="0" w:lastRowFirstColumn="0" w:lastRowLastColumn="0"/>
            <w:tcW w:w="651" w:type="pct"/>
          </w:tcPr>
          <w:p w14:paraId="0FF14E83" w14:textId="367CC047" w:rsidR="00A7727F" w:rsidRPr="000741E7" w:rsidRDefault="005314B1" w:rsidP="000741E7">
            <w:pPr>
              <w:keepNext/>
              <w:ind w:left="0" w:right="0"/>
              <w:rPr>
                <w:sz w:val="16"/>
                <w:lang w:eastAsia="ja-JP"/>
              </w:rPr>
            </w:pPr>
            <w:r w:rsidRPr="000741E7">
              <w:rPr>
                <w:sz w:val="16"/>
                <w:lang w:eastAsia="ja-JP"/>
              </w:rPr>
              <w:t>MRD r</w:t>
            </w:r>
            <w:r w:rsidR="00A7727F" w:rsidRPr="000741E7">
              <w:rPr>
                <w:sz w:val="16"/>
                <w:lang w:eastAsia="ja-JP"/>
              </w:rPr>
              <w:t>esponse within the first 4 cycles</w:t>
            </w:r>
          </w:p>
        </w:tc>
        <w:tc>
          <w:tcPr>
            <w:tcW w:w="290" w:type="pct"/>
          </w:tcPr>
          <w:p w14:paraId="375DAF6A"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15</w:t>
            </w:r>
          </w:p>
        </w:tc>
        <w:tc>
          <w:tcPr>
            <w:tcW w:w="290" w:type="pct"/>
          </w:tcPr>
          <w:p w14:paraId="201F4C5A"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88.2</w:t>
            </w:r>
          </w:p>
        </w:tc>
        <w:tc>
          <w:tcPr>
            <w:tcW w:w="290" w:type="pct"/>
          </w:tcPr>
          <w:p w14:paraId="6BC0E02D"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63.6</w:t>
            </w:r>
          </w:p>
        </w:tc>
        <w:tc>
          <w:tcPr>
            <w:tcW w:w="290" w:type="pct"/>
          </w:tcPr>
          <w:p w14:paraId="61650320"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98.5</w:t>
            </w:r>
          </w:p>
        </w:tc>
        <w:tc>
          <w:tcPr>
            <w:tcW w:w="290" w:type="pct"/>
          </w:tcPr>
          <w:p w14:paraId="7B35C84D" w14:textId="2B8E9FAD"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0.00</w:t>
            </w:r>
          </w:p>
        </w:tc>
        <w:tc>
          <w:tcPr>
            <w:tcW w:w="290" w:type="pct"/>
          </w:tcPr>
          <w:p w14:paraId="59521E78"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w:t>
            </w:r>
          </w:p>
        </w:tc>
        <w:tc>
          <w:tcPr>
            <w:tcW w:w="290" w:type="pct"/>
          </w:tcPr>
          <w:p w14:paraId="3E67BC08"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33.3</w:t>
            </w:r>
          </w:p>
        </w:tc>
        <w:tc>
          <w:tcPr>
            <w:tcW w:w="290" w:type="pct"/>
          </w:tcPr>
          <w:p w14:paraId="2CA561F7"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0.8</w:t>
            </w:r>
          </w:p>
        </w:tc>
        <w:tc>
          <w:tcPr>
            <w:tcW w:w="290" w:type="pct"/>
          </w:tcPr>
          <w:p w14:paraId="5FABF926"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90.6</w:t>
            </w:r>
          </w:p>
        </w:tc>
        <w:tc>
          <w:tcPr>
            <w:tcW w:w="290" w:type="pct"/>
          </w:tcPr>
          <w:p w14:paraId="63821E63"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0.1426</w:t>
            </w:r>
          </w:p>
        </w:tc>
        <w:tc>
          <w:tcPr>
            <w:tcW w:w="290" w:type="pct"/>
          </w:tcPr>
          <w:p w14:paraId="11D4B846"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16</w:t>
            </w:r>
          </w:p>
        </w:tc>
        <w:tc>
          <w:tcPr>
            <w:tcW w:w="290" w:type="pct"/>
          </w:tcPr>
          <w:p w14:paraId="28AE1605"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80.0</w:t>
            </w:r>
          </w:p>
        </w:tc>
        <w:tc>
          <w:tcPr>
            <w:tcW w:w="290" w:type="pct"/>
          </w:tcPr>
          <w:p w14:paraId="398F8752"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56.3</w:t>
            </w:r>
          </w:p>
        </w:tc>
        <w:tc>
          <w:tcPr>
            <w:tcW w:w="290" w:type="pct"/>
          </w:tcPr>
          <w:p w14:paraId="524735E5" w14:textId="77777777"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94.3</w:t>
            </w:r>
          </w:p>
        </w:tc>
        <w:tc>
          <w:tcPr>
            <w:tcW w:w="290" w:type="pct"/>
          </w:tcPr>
          <w:p w14:paraId="10EB7B9E" w14:textId="5874FCD1" w:rsidR="00A7727F" w:rsidRPr="000741E7" w:rsidRDefault="00A7727F" w:rsidP="000741E7">
            <w:pPr>
              <w:keepNext/>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0.00</w:t>
            </w:r>
          </w:p>
        </w:tc>
      </w:tr>
      <w:tr w:rsidR="000741E7" w:rsidRPr="00A7727F" w14:paraId="56125451" w14:textId="77777777" w:rsidTr="000741E7">
        <w:tc>
          <w:tcPr>
            <w:cnfStyle w:val="001000000000" w:firstRow="0" w:lastRow="0" w:firstColumn="1" w:lastColumn="0" w:oddVBand="0" w:evenVBand="0" w:oddHBand="0" w:evenHBand="0" w:firstRowFirstColumn="0" w:firstRowLastColumn="0" w:lastRowFirstColumn="0" w:lastRowLastColumn="0"/>
            <w:tcW w:w="651" w:type="pct"/>
          </w:tcPr>
          <w:p w14:paraId="489C506A" w14:textId="7B9EF62E" w:rsidR="00A7727F" w:rsidRPr="000741E7" w:rsidRDefault="00A7727F" w:rsidP="005314B1">
            <w:pPr>
              <w:ind w:left="0" w:right="0"/>
              <w:rPr>
                <w:sz w:val="16"/>
                <w:lang w:eastAsia="ja-JP"/>
              </w:rPr>
            </w:pPr>
            <w:r w:rsidRPr="000741E7">
              <w:rPr>
                <w:sz w:val="16"/>
                <w:lang w:eastAsia="ja-JP"/>
              </w:rPr>
              <w:t xml:space="preserve">MRD negativity achieved after </w:t>
            </w:r>
            <w:r w:rsidR="007D46D6" w:rsidRPr="000741E7">
              <w:rPr>
                <w:sz w:val="16"/>
                <w:lang w:eastAsia="ja-JP"/>
              </w:rPr>
              <w:t>Cycle 1</w:t>
            </w:r>
          </w:p>
        </w:tc>
        <w:tc>
          <w:tcPr>
            <w:tcW w:w="290" w:type="pct"/>
          </w:tcPr>
          <w:p w14:paraId="2FC5C1EF"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15</w:t>
            </w:r>
          </w:p>
        </w:tc>
        <w:tc>
          <w:tcPr>
            <w:tcW w:w="290" w:type="pct"/>
          </w:tcPr>
          <w:p w14:paraId="50ADB5FB"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88.2</w:t>
            </w:r>
          </w:p>
        </w:tc>
        <w:tc>
          <w:tcPr>
            <w:tcW w:w="290" w:type="pct"/>
          </w:tcPr>
          <w:p w14:paraId="332B34F4"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63.6</w:t>
            </w:r>
          </w:p>
        </w:tc>
        <w:tc>
          <w:tcPr>
            <w:tcW w:w="290" w:type="pct"/>
          </w:tcPr>
          <w:p w14:paraId="1B9B3528"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98.5</w:t>
            </w:r>
          </w:p>
        </w:tc>
        <w:tc>
          <w:tcPr>
            <w:tcW w:w="290" w:type="pct"/>
          </w:tcPr>
          <w:p w14:paraId="2C530212"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07832B68"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w:t>
            </w:r>
          </w:p>
        </w:tc>
        <w:tc>
          <w:tcPr>
            <w:tcW w:w="290" w:type="pct"/>
          </w:tcPr>
          <w:p w14:paraId="4E24F778"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33.3</w:t>
            </w:r>
          </w:p>
        </w:tc>
        <w:tc>
          <w:tcPr>
            <w:tcW w:w="290" w:type="pct"/>
          </w:tcPr>
          <w:p w14:paraId="7B368364"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0.8</w:t>
            </w:r>
          </w:p>
        </w:tc>
        <w:tc>
          <w:tcPr>
            <w:tcW w:w="290" w:type="pct"/>
          </w:tcPr>
          <w:p w14:paraId="755B9A7F"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90.6</w:t>
            </w:r>
          </w:p>
        </w:tc>
        <w:tc>
          <w:tcPr>
            <w:tcW w:w="290" w:type="pct"/>
          </w:tcPr>
          <w:p w14:paraId="5642EE0D"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60B3428F"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16</w:t>
            </w:r>
          </w:p>
        </w:tc>
        <w:tc>
          <w:tcPr>
            <w:tcW w:w="290" w:type="pct"/>
          </w:tcPr>
          <w:p w14:paraId="580D5FFC"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80.0</w:t>
            </w:r>
          </w:p>
        </w:tc>
        <w:tc>
          <w:tcPr>
            <w:tcW w:w="290" w:type="pct"/>
          </w:tcPr>
          <w:p w14:paraId="14281FF0"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56.3</w:t>
            </w:r>
          </w:p>
        </w:tc>
        <w:tc>
          <w:tcPr>
            <w:tcW w:w="290" w:type="pct"/>
          </w:tcPr>
          <w:p w14:paraId="625E0869"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94.3</w:t>
            </w:r>
          </w:p>
        </w:tc>
        <w:tc>
          <w:tcPr>
            <w:tcW w:w="290" w:type="pct"/>
          </w:tcPr>
          <w:p w14:paraId="4C759643"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r>
      <w:tr w:rsidR="000741E7" w:rsidRPr="00A7727F" w14:paraId="40AB3483" w14:textId="77777777" w:rsidTr="000741E7">
        <w:tc>
          <w:tcPr>
            <w:cnfStyle w:val="001000000000" w:firstRow="0" w:lastRow="0" w:firstColumn="1" w:lastColumn="0" w:oddVBand="0" w:evenVBand="0" w:oddHBand="0" w:evenHBand="0" w:firstRowFirstColumn="0" w:firstRowLastColumn="0" w:lastRowFirstColumn="0" w:lastRowLastColumn="0"/>
            <w:tcW w:w="651" w:type="pct"/>
          </w:tcPr>
          <w:p w14:paraId="18398850" w14:textId="48AE43C3" w:rsidR="00A7727F" w:rsidRPr="000741E7" w:rsidRDefault="00A7727F" w:rsidP="005314B1">
            <w:pPr>
              <w:ind w:left="0" w:right="0"/>
              <w:rPr>
                <w:sz w:val="16"/>
                <w:lang w:eastAsia="ja-JP"/>
              </w:rPr>
            </w:pPr>
            <w:r w:rsidRPr="000741E7">
              <w:rPr>
                <w:sz w:val="16"/>
                <w:lang w:eastAsia="ja-JP"/>
              </w:rPr>
              <w:t xml:space="preserve">MRD negativity achieved after </w:t>
            </w:r>
            <w:r w:rsidR="007D46D6" w:rsidRPr="000741E7">
              <w:rPr>
                <w:sz w:val="16"/>
                <w:lang w:eastAsia="ja-JP"/>
              </w:rPr>
              <w:t>Cycle 2</w:t>
            </w:r>
          </w:p>
        </w:tc>
        <w:tc>
          <w:tcPr>
            <w:tcW w:w="290" w:type="pct"/>
          </w:tcPr>
          <w:p w14:paraId="722F1337"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15</w:t>
            </w:r>
          </w:p>
        </w:tc>
        <w:tc>
          <w:tcPr>
            <w:tcW w:w="290" w:type="pct"/>
          </w:tcPr>
          <w:p w14:paraId="130120FD"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88.2</w:t>
            </w:r>
          </w:p>
        </w:tc>
        <w:tc>
          <w:tcPr>
            <w:tcW w:w="290" w:type="pct"/>
          </w:tcPr>
          <w:p w14:paraId="2D5B5511"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23DB27C6"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29918C0E"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4FB6C69B"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w:t>
            </w:r>
          </w:p>
        </w:tc>
        <w:tc>
          <w:tcPr>
            <w:tcW w:w="290" w:type="pct"/>
          </w:tcPr>
          <w:p w14:paraId="31EE1A20"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33.3</w:t>
            </w:r>
          </w:p>
        </w:tc>
        <w:tc>
          <w:tcPr>
            <w:tcW w:w="290" w:type="pct"/>
          </w:tcPr>
          <w:p w14:paraId="166D1418"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71A8A7B8"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6E37373A"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574E8FCC"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16</w:t>
            </w:r>
          </w:p>
        </w:tc>
        <w:tc>
          <w:tcPr>
            <w:tcW w:w="290" w:type="pct"/>
          </w:tcPr>
          <w:p w14:paraId="7BEF7C51"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80.0</w:t>
            </w:r>
          </w:p>
        </w:tc>
        <w:tc>
          <w:tcPr>
            <w:tcW w:w="290" w:type="pct"/>
          </w:tcPr>
          <w:p w14:paraId="2D812F41"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4FFEA5F5"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77317D92"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r>
      <w:tr w:rsidR="000741E7" w:rsidRPr="00A7727F" w14:paraId="77A4D665" w14:textId="77777777" w:rsidTr="000741E7">
        <w:tc>
          <w:tcPr>
            <w:cnfStyle w:val="001000000000" w:firstRow="0" w:lastRow="0" w:firstColumn="1" w:lastColumn="0" w:oddVBand="0" w:evenVBand="0" w:oddHBand="0" w:evenHBand="0" w:firstRowFirstColumn="0" w:firstRowLastColumn="0" w:lastRowFirstColumn="0" w:lastRowLastColumn="0"/>
            <w:tcW w:w="651" w:type="pct"/>
          </w:tcPr>
          <w:p w14:paraId="030A63C7" w14:textId="271C80D1" w:rsidR="00A7727F" w:rsidRPr="000741E7" w:rsidRDefault="00A7727F" w:rsidP="005314B1">
            <w:pPr>
              <w:ind w:left="0" w:right="0"/>
              <w:rPr>
                <w:sz w:val="16"/>
                <w:lang w:eastAsia="ja-JP"/>
              </w:rPr>
            </w:pPr>
            <w:r w:rsidRPr="000741E7">
              <w:rPr>
                <w:sz w:val="16"/>
                <w:lang w:eastAsia="ja-JP"/>
              </w:rPr>
              <w:t xml:space="preserve">MRD negativity achieved after </w:t>
            </w:r>
            <w:r w:rsidR="007D46D6" w:rsidRPr="000741E7">
              <w:rPr>
                <w:sz w:val="16"/>
                <w:lang w:eastAsia="ja-JP"/>
              </w:rPr>
              <w:t>Cycle 3</w:t>
            </w:r>
          </w:p>
        </w:tc>
        <w:tc>
          <w:tcPr>
            <w:tcW w:w="290" w:type="pct"/>
          </w:tcPr>
          <w:p w14:paraId="40A28922"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15</w:t>
            </w:r>
          </w:p>
        </w:tc>
        <w:tc>
          <w:tcPr>
            <w:tcW w:w="290" w:type="pct"/>
          </w:tcPr>
          <w:p w14:paraId="3673ADE7"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88.2</w:t>
            </w:r>
          </w:p>
        </w:tc>
        <w:tc>
          <w:tcPr>
            <w:tcW w:w="290" w:type="pct"/>
          </w:tcPr>
          <w:p w14:paraId="0EE34B84"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40D4BD34"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3C6B3AD9"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78BD7131"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w:t>
            </w:r>
          </w:p>
        </w:tc>
        <w:tc>
          <w:tcPr>
            <w:tcW w:w="290" w:type="pct"/>
          </w:tcPr>
          <w:p w14:paraId="16AC6741"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33.3</w:t>
            </w:r>
          </w:p>
        </w:tc>
        <w:tc>
          <w:tcPr>
            <w:tcW w:w="290" w:type="pct"/>
          </w:tcPr>
          <w:p w14:paraId="6F01E53A"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36C3E040"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137ECC99"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027BB8CA"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16</w:t>
            </w:r>
          </w:p>
        </w:tc>
        <w:tc>
          <w:tcPr>
            <w:tcW w:w="290" w:type="pct"/>
          </w:tcPr>
          <w:p w14:paraId="5F6CE17E"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80.0</w:t>
            </w:r>
          </w:p>
        </w:tc>
        <w:tc>
          <w:tcPr>
            <w:tcW w:w="290" w:type="pct"/>
          </w:tcPr>
          <w:p w14:paraId="6F137CE2"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59AAE056"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0B6D355D"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r>
      <w:tr w:rsidR="000741E7" w:rsidRPr="00A7727F" w14:paraId="4818A9E1" w14:textId="77777777" w:rsidTr="000741E7">
        <w:tc>
          <w:tcPr>
            <w:cnfStyle w:val="001000000000" w:firstRow="0" w:lastRow="0" w:firstColumn="1" w:lastColumn="0" w:oddVBand="0" w:evenVBand="0" w:oddHBand="0" w:evenHBand="0" w:firstRowFirstColumn="0" w:firstRowLastColumn="0" w:lastRowFirstColumn="0" w:lastRowLastColumn="0"/>
            <w:tcW w:w="651" w:type="pct"/>
          </w:tcPr>
          <w:p w14:paraId="09C1E7F1" w14:textId="4D3BD549" w:rsidR="00A7727F" w:rsidRPr="000741E7" w:rsidRDefault="00A7727F" w:rsidP="005314B1">
            <w:pPr>
              <w:ind w:left="0" w:right="0"/>
              <w:rPr>
                <w:sz w:val="16"/>
                <w:lang w:eastAsia="ja-JP"/>
              </w:rPr>
            </w:pPr>
            <w:r w:rsidRPr="000741E7">
              <w:rPr>
                <w:sz w:val="16"/>
                <w:lang w:eastAsia="ja-JP"/>
              </w:rPr>
              <w:t xml:space="preserve">MRD negativity achieved after </w:t>
            </w:r>
            <w:r w:rsidR="007D46D6" w:rsidRPr="000741E7">
              <w:rPr>
                <w:sz w:val="16"/>
                <w:lang w:eastAsia="ja-JP"/>
              </w:rPr>
              <w:t>Cycle 4</w:t>
            </w:r>
          </w:p>
        </w:tc>
        <w:tc>
          <w:tcPr>
            <w:tcW w:w="290" w:type="pct"/>
          </w:tcPr>
          <w:p w14:paraId="6EEBB6C7"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15</w:t>
            </w:r>
          </w:p>
        </w:tc>
        <w:tc>
          <w:tcPr>
            <w:tcW w:w="290" w:type="pct"/>
          </w:tcPr>
          <w:p w14:paraId="63CFF344"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88.2</w:t>
            </w:r>
          </w:p>
        </w:tc>
        <w:tc>
          <w:tcPr>
            <w:tcW w:w="290" w:type="pct"/>
          </w:tcPr>
          <w:p w14:paraId="3BB46506"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1294718C"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63D4BD95"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7379E008"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w:t>
            </w:r>
          </w:p>
        </w:tc>
        <w:tc>
          <w:tcPr>
            <w:tcW w:w="290" w:type="pct"/>
          </w:tcPr>
          <w:p w14:paraId="25948A1E"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33.3</w:t>
            </w:r>
          </w:p>
        </w:tc>
        <w:tc>
          <w:tcPr>
            <w:tcW w:w="290" w:type="pct"/>
          </w:tcPr>
          <w:p w14:paraId="4E837A70"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24FCF6DA"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1796CCB5"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0F38087C"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16</w:t>
            </w:r>
          </w:p>
        </w:tc>
        <w:tc>
          <w:tcPr>
            <w:tcW w:w="290" w:type="pct"/>
          </w:tcPr>
          <w:p w14:paraId="73AA3085"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r w:rsidRPr="000741E7">
              <w:rPr>
                <w:sz w:val="16"/>
                <w:lang w:eastAsia="ja-JP"/>
              </w:rPr>
              <w:t>80.0</w:t>
            </w:r>
          </w:p>
        </w:tc>
        <w:tc>
          <w:tcPr>
            <w:tcW w:w="290" w:type="pct"/>
          </w:tcPr>
          <w:p w14:paraId="6314565A"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1E41943D"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c>
          <w:tcPr>
            <w:tcW w:w="290" w:type="pct"/>
          </w:tcPr>
          <w:p w14:paraId="54E09DF5" w14:textId="77777777" w:rsidR="00A7727F" w:rsidRPr="000741E7" w:rsidRDefault="00A7727F" w:rsidP="000741E7">
            <w:pPr>
              <w:ind w:left="0" w:right="0"/>
              <w:cnfStyle w:val="000000000000" w:firstRow="0" w:lastRow="0" w:firstColumn="0" w:lastColumn="0" w:oddVBand="0" w:evenVBand="0" w:oddHBand="0" w:evenHBand="0" w:firstRowFirstColumn="0" w:firstRowLastColumn="0" w:lastRowFirstColumn="0" w:lastRowLastColumn="0"/>
              <w:rPr>
                <w:sz w:val="16"/>
                <w:lang w:eastAsia="ja-JP"/>
              </w:rPr>
            </w:pPr>
          </w:p>
        </w:tc>
      </w:tr>
    </w:tbl>
    <w:p w14:paraId="53C6B8E0" w14:textId="48A39BE7" w:rsidR="00A7727F" w:rsidRPr="00A7727F" w:rsidRDefault="00A7727F" w:rsidP="000741E7">
      <w:pPr>
        <w:pStyle w:val="TableDescription"/>
        <w:rPr>
          <w:lang w:eastAsia="ja-JP"/>
        </w:rPr>
      </w:pPr>
      <w:r w:rsidRPr="00A7727F">
        <w:rPr>
          <w:lang w:eastAsia="ja-JP"/>
        </w:rPr>
        <w:t>Note: p-values of 0.000 are p</w:t>
      </w:r>
      <w:r w:rsidR="00375CAE">
        <w:rPr>
          <w:lang w:eastAsia="ja-JP"/>
        </w:rPr>
        <w:t xml:space="preserve"> </w:t>
      </w:r>
      <w:r w:rsidR="00423768">
        <w:rPr>
          <w:lang w:eastAsia="ja-JP"/>
        </w:rPr>
        <w:t>&lt;</w:t>
      </w:r>
      <w:r w:rsidR="00375CAE">
        <w:rPr>
          <w:lang w:eastAsia="ja-JP"/>
        </w:rPr>
        <w:t xml:space="preserve"> </w:t>
      </w:r>
      <w:r w:rsidRPr="00A7727F">
        <w:rPr>
          <w:lang w:eastAsia="ja-JP"/>
        </w:rPr>
        <w:t>0.0001</w:t>
      </w:r>
      <w:r w:rsidR="005314B1">
        <w:rPr>
          <w:lang w:eastAsia="ja-JP"/>
        </w:rPr>
        <w:t xml:space="preserve">; </w:t>
      </w:r>
      <w:r w:rsidRPr="00A7727F">
        <w:rPr>
          <w:lang w:eastAsia="ja-JP"/>
        </w:rPr>
        <w:t>LL: lower limit; MRD: minimal r</w:t>
      </w:r>
      <w:r w:rsidR="005314B1">
        <w:rPr>
          <w:lang w:eastAsia="ja-JP"/>
        </w:rPr>
        <w:t>esidual disease; UL: upper limit; a)</w:t>
      </w:r>
      <w:r w:rsidRPr="00A7727F">
        <w:rPr>
          <w:lang w:eastAsia="ja-JP"/>
        </w:rPr>
        <w:t xml:space="preserve"> LL/UL: Lower limit/upper limit of the exact 2-sided 95% Clopper-Pearson confidence interval</w:t>
      </w:r>
      <w:r w:rsidR="005314B1">
        <w:rPr>
          <w:lang w:eastAsia="ja-JP"/>
        </w:rPr>
        <w:t xml:space="preserve">; </w:t>
      </w:r>
      <w:r w:rsidRPr="00A7727F">
        <w:rPr>
          <w:lang w:eastAsia="ja-JP"/>
        </w:rPr>
        <w:t>P-value from 1-sided exact binomial test for H0: Π</w:t>
      </w:r>
      <w:r w:rsidR="00423768">
        <w:rPr>
          <w:lang w:eastAsia="ja-JP"/>
        </w:rPr>
        <w:t xml:space="preserve"> ≤</w:t>
      </w:r>
      <w:r w:rsidR="00375CAE">
        <w:rPr>
          <w:lang w:eastAsia="ja-JP"/>
        </w:rPr>
        <w:t xml:space="preserve"> </w:t>
      </w:r>
      <w:r w:rsidRPr="00A7727F">
        <w:rPr>
          <w:lang w:eastAsia="ja-JP"/>
        </w:rPr>
        <w:t>5%</w:t>
      </w:r>
    </w:p>
    <w:p w14:paraId="0893610A" w14:textId="77777777" w:rsidR="00A7727F" w:rsidRPr="00A7727F" w:rsidRDefault="00A7727F" w:rsidP="005314B1">
      <w:pPr>
        <w:pStyle w:val="Heading4"/>
      </w:pPr>
      <w:bookmarkStart w:id="222" w:name="_Toc292015609"/>
      <w:r w:rsidRPr="00A7727F">
        <w:t>Study MT103-203</w:t>
      </w:r>
      <w:bookmarkEnd w:id="222"/>
    </w:p>
    <w:p w14:paraId="18FE80AC" w14:textId="5CDB1698" w:rsidR="00A7727F" w:rsidRPr="00A7727F" w:rsidRDefault="005314B1" w:rsidP="00A7727F">
      <w:pPr>
        <w:rPr>
          <w:lang w:eastAsia="ja-JP"/>
        </w:rPr>
      </w:pPr>
      <w:r>
        <w:rPr>
          <w:lang w:eastAsia="ja-JP"/>
        </w:rPr>
        <w:t>This was a c</w:t>
      </w:r>
      <w:r w:rsidR="00A7727F" w:rsidRPr="00A7727F">
        <w:rPr>
          <w:lang w:eastAsia="ja-JP"/>
        </w:rPr>
        <w:t xml:space="preserve">onfirmatory </w:t>
      </w:r>
      <w:r>
        <w:rPr>
          <w:lang w:eastAsia="ja-JP"/>
        </w:rPr>
        <w:t>m</w:t>
      </w:r>
      <w:r w:rsidR="00A7727F" w:rsidRPr="00A7727F">
        <w:rPr>
          <w:lang w:eastAsia="ja-JP"/>
        </w:rPr>
        <w:t>ulti</w:t>
      </w:r>
      <w:r w:rsidR="00070E8B">
        <w:rPr>
          <w:lang w:eastAsia="ja-JP"/>
        </w:rPr>
        <w:t>centre</w:t>
      </w:r>
      <w:r w:rsidR="00A7727F" w:rsidRPr="00A7727F">
        <w:rPr>
          <w:lang w:eastAsia="ja-JP"/>
        </w:rPr>
        <w:t xml:space="preserve">, </w:t>
      </w:r>
      <w:r>
        <w:rPr>
          <w:lang w:eastAsia="ja-JP"/>
        </w:rPr>
        <w:t>s</w:t>
      </w:r>
      <w:r w:rsidR="002B779F">
        <w:rPr>
          <w:lang w:eastAsia="ja-JP"/>
        </w:rPr>
        <w:t>ingle arm</w:t>
      </w:r>
      <w:r>
        <w:rPr>
          <w:lang w:eastAsia="ja-JP"/>
        </w:rPr>
        <w:t xml:space="preserve"> study to assess the efficacy, s</w:t>
      </w:r>
      <w:r w:rsidR="00A7727F" w:rsidRPr="00A7727F">
        <w:rPr>
          <w:lang w:eastAsia="ja-JP"/>
        </w:rPr>
        <w:t>afet</w:t>
      </w:r>
      <w:r>
        <w:rPr>
          <w:lang w:eastAsia="ja-JP"/>
        </w:rPr>
        <w:t>y, and tolerability of the BiTE a</w:t>
      </w:r>
      <w:r w:rsidR="00A7727F" w:rsidRPr="00A7727F">
        <w:rPr>
          <w:lang w:eastAsia="ja-JP"/>
        </w:rPr>
        <w:t xml:space="preserve">ntibody </w:t>
      </w:r>
      <w:r>
        <w:rPr>
          <w:lang w:eastAsia="ja-JP"/>
        </w:rPr>
        <w:t>b</w:t>
      </w:r>
      <w:r w:rsidR="00A7727F" w:rsidRPr="00A7727F">
        <w:rPr>
          <w:lang w:eastAsia="ja-JP"/>
        </w:rPr>
        <w:t xml:space="preserve">linatumomab in </w:t>
      </w:r>
      <w:r>
        <w:rPr>
          <w:lang w:eastAsia="ja-JP"/>
        </w:rPr>
        <w:t>a</w:t>
      </w:r>
      <w:r w:rsidR="00A7727F" w:rsidRPr="00A7727F">
        <w:rPr>
          <w:lang w:eastAsia="ja-JP"/>
        </w:rPr>
        <w:t xml:space="preserve">dult </w:t>
      </w:r>
      <w:r>
        <w:rPr>
          <w:lang w:eastAsia="ja-JP"/>
        </w:rPr>
        <w:t>s</w:t>
      </w:r>
      <w:r w:rsidR="00A7727F" w:rsidRPr="00A7727F">
        <w:rPr>
          <w:lang w:eastAsia="ja-JP"/>
        </w:rPr>
        <w:t xml:space="preserve">ubjects with </w:t>
      </w:r>
      <w:r>
        <w:rPr>
          <w:lang w:eastAsia="ja-JP"/>
        </w:rPr>
        <w:t>m</w:t>
      </w:r>
      <w:r w:rsidR="00A7727F" w:rsidRPr="00A7727F">
        <w:rPr>
          <w:lang w:eastAsia="ja-JP"/>
        </w:rPr>
        <w:t xml:space="preserve">inimal </w:t>
      </w:r>
      <w:r>
        <w:rPr>
          <w:lang w:eastAsia="ja-JP"/>
        </w:rPr>
        <w:t>r</w:t>
      </w:r>
      <w:r w:rsidR="00A7727F" w:rsidRPr="00A7727F">
        <w:rPr>
          <w:lang w:eastAsia="ja-JP"/>
        </w:rPr>
        <w:t xml:space="preserve">esidual </w:t>
      </w:r>
      <w:r>
        <w:rPr>
          <w:lang w:eastAsia="ja-JP"/>
        </w:rPr>
        <w:t>d</w:t>
      </w:r>
      <w:r w:rsidR="00A7727F" w:rsidRPr="00A7727F">
        <w:rPr>
          <w:lang w:eastAsia="ja-JP"/>
        </w:rPr>
        <w:t xml:space="preserve">isease (MRD) of B-precursor </w:t>
      </w:r>
      <w:r>
        <w:rPr>
          <w:lang w:eastAsia="ja-JP"/>
        </w:rPr>
        <w:t>a</w:t>
      </w:r>
      <w:r w:rsidR="00A7727F" w:rsidRPr="00A7727F">
        <w:rPr>
          <w:lang w:eastAsia="ja-JP"/>
        </w:rPr>
        <w:t xml:space="preserve">cute </w:t>
      </w:r>
      <w:r>
        <w:rPr>
          <w:lang w:eastAsia="ja-JP"/>
        </w:rPr>
        <w:t>l</w:t>
      </w:r>
      <w:r w:rsidR="00A7727F" w:rsidRPr="00A7727F">
        <w:rPr>
          <w:lang w:eastAsia="ja-JP"/>
        </w:rPr>
        <w:t xml:space="preserve">ymphoblastic </w:t>
      </w:r>
      <w:r>
        <w:rPr>
          <w:lang w:eastAsia="ja-JP"/>
        </w:rPr>
        <w:t>l</w:t>
      </w:r>
      <w:r w:rsidR="00A7727F" w:rsidRPr="00A7727F">
        <w:rPr>
          <w:lang w:eastAsia="ja-JP"/>
        </w:rPr>
        <w:t>euk</w:t>
      </w:r>
      <w:r>
        <w:rPr>
          <w:lang w:eastAsia="ja-JP"/>
        </w:rPr>
        <w:t>a</w:t>
      </w:r>
      <w:r w:rsidR="00A7727F" w:rsidRPr="00A7727F">
        <w:rPr>
          <w:lang w:eastAsia="ja-JP"/>
        </w:rPr>
        <w:t>emia</w:t>
      </w:r>
    </w:p>
    <w:p w14:paraId="769AF742" w14:textId="51CFB821" w:rsidR="00A7727F" w:rsidRPr="00A7727F" w:rsidRDefault="005314B1" w:rsidP="005314B1">
      <w:pPr>
        <w:pStyle w:val="Heading5"/>
        <w:rPr>
          <w:lang w:eastAsia="ja-JP"/>
        </w:rPr>
      </w:pPr>
      <w:r>
        <w:rPr>
          <w:lang w:eastAsia="ja-JP"/>
        </w:rPr>
        <w:t>Objectives</w:t>
      </w:r>
    </w:p>
    <w:p w14:paraId="320CA8B2" w14:textId="7589589B" w:rsidR="00A7727F" w:rsidRPr="00A7727F" w:rsidRDefault="00A7727F" w:rsidP="005314B1">
      <w:pPr>
        <w:pStyle w:val="Heading6"/>
        <w:rPr>
          <w:lang w:eastAsia="ja-JP"/>
        </w:rPr>
      </w:pPr>
      <w:r w:rsidRPr="00A7727F">
        <w:rPr>
          <w:lang w:eastAsia="ja-JP"/>
        </w:rPr>
        <w:t xml:space="preserve">Primary </w:t>
      </w:r>
      <w:r w:rsidR="005314B1">
        <w:rPr>
          <w:lang w:eastAsia="ja-JP"/>
        </w:rPr>
        <w:t>o</w:t>
      </w:r>
      <w:r w:rsidRPr="00A7727F">
        <w:rPr>
          <w:lang w:eastAsia="ja-JP"/>
        </w:rPr>
        <w:t>bjective</w:t>
      </w:r>
    </w:p>
    <w:p w14:paraId="2AB0891C" w14:textId="3D1384EC" w:rsidR="00A7727F" w:rsidRPr="00A7727F" w:rsidRDefault="00A7727F" w:rsidP="005314B1">
      <w:pPr>
        <w:rPr>
          <w:lang w:eastAsia="ja-JP"/>
        </w:rPr>
      </w:pPr>
      <w:r w:rsidRPr="00A7727F">
        <w:rPr>
          <w:lang w:eastAsia="ja-JP"/>
        </w:rPr>
        <w:t>To evaluate the efficacy of blinatumomab to induce complete MRD response</w:t>
      </w:r>
      <w:r w:rsidR="00912BF3">
        <w:rPr>
          <w:lang w:eastAsia="ja-JP"/>
        </w:rPr>
        <w:t>.</w:t>
      </w:r>
    </w:p>
    <w:p w14:paraId="5188C5D9" w14:textId="5082EA05" w:rsidR="00A7727F" w:rsidRPr="00A7727F" w:rsidRDefault="005314B1" w:rsidP="005314B1">
      <w:pPr>
        <w:pStyle w:val="Heading6"/>
        <w:rPr>
          <w:lang w:eastAsia="ja-JP"/>
        </w:rPr>
      </w:pPr>
      <w:r>
        <w:rPr>
          <w:lang w:eastAsia="ja-JP"/>
        </w:rPr>
        <w:t>Key secondary o</w:t>
      </w:r>
      <w:r w:rsidR="00A7727F" w:rsidRPr="00A7727F">
        <w:rPr>
          <w:lang w:eastAsia="ja-JP"/>
        </w:rPr>
        <w:t>bjective</w:t>
      </w:r>
    </w:p>
    <w:p w14:paraId="071AE509" w14:textId="152964CB" w:rsidR="00A7727F" w:rsidRPr="00A7727F" w:rsidRDefault="00A7727F" w:rsidP="005314B1">
      <w:pPr>
        <w:rPr>
          <w:lang w:eastAsia="ja-JP"/>
        </w:rPr>
      </w:pPr>
      <w:r w:rsidRPr="00A7727F">
        <w:rPr>
          <w:lang w:eastAsia="ja-JP"/>
        </w:rPr>
        <w:t xml:space="preserve">For </w:t>
      </w:r>
      <w:r w:rsidR="005314B1">
        <w:rPr>
          <w:lang w:eastAsia="ja-JP"/>
        </w:rPr>
        <w:t xml:space="preserve">subjects with Philadelphia (Ph) </w:t>
      </w:r>
      <w:r w:rsidRPr="00A7727F">
        <w:rPr>
          <w:lang w:eastAsia="ja-JP"/>
        </w:rPr>
        <w:t>negative acute lymphoblastic leuk</w:t>
      </w:r>
      <w:r w:rsidR="005314B1">
        <w:rPr>
          <w:lang w:eastAsia="ja-JP"/>
        </w:rPr>
        <w:t>a</w:t>
      </w:r>
      <w:r w:rsidRPr="00A7727F">
        <w:rPr>
          <w:lang w:eastAsia="ja-JP"/>
        </w:rPr>
        <w:t>emia (ALL), to evaluate the effect of blinatumomab on h</w:t>
      </w:r>
      <w:r w:rsidR="005314B1">
        <w:rPr>
          <w:lang w:eastAsia="ja-JP"/>
        </w:rPr>
        <w:t>a</w:t>
      </w:r>
      <w:r w:rsidRPr="00A7727F">
        <w:rPr>
          <w:lang w:eastAsia="ja-JP"/>
        </w:rPr>
        <w:t>ematological relapse</w:t>
      </w:r>
      <w:r w:rsidR="005314B1">
        <w:rPr>
          <w:lang w:eastAsia="ja-JP"/>
        </w:rPr>
        <w:t>.</w:t>
      </w:r>
    </w:p>
    <w:p w14:paraId="2DD13D86" w14:textId="3A05B010" w:rsidR="00A7727F" w:rsidRDefault="005314B1" w:rsidP="005314B1">
      <w:pPr>
        <w:pStyle w:val="Heading6"/>
        <w:rPr>
          <w:lang w:eastAsia="ja-JP"/>
        </w:rPr>
      </w:pPr>
      <w:r>
        <w:rPr>
          <w:lang w:eastAsia="ja-JP"/>
        </w:rPr>
        <w:t>Other secondary o</w:t>
      </w:r>
      <w:r w:rsidR="00A7727F" w:rsidRPr="00A7727F">
        <w:rPr>
          <w:lang w:eastAsia="ja-JP"/>
        </w:rPr>
        <w:t>bjectives</w:t>
      </w:r>
    </w:p>
    <w:p w14:paraId="30DF256E" w14:textId="7BABC2AD" w:rsidR="00912BF3" w:rsidRPr="00912BF3" w:rsidRDefault="00912BF3" w:rsidP="00912BF3">
      <w:pPr>
        <w:rPr>
          <w:lang w:eastAsia="ja-JP"/>
        </w:rPr>
      </w:pPr>
      <w:r>
        <w:rPr>
          <w:lang w:eastAsia="ja-JP"/>
        </w:rPr>
        <w:t>Other secondary objectives included:</w:t>
      </w:r>
    </w:p>
    <w:p w14:paraId="4F31FA72" w14:textId="77777777" w:rsidR="00A7727F" w:rsidRPr="00A7727F" w:rsidRDefault="00A7727F" w:rsidP="000F6EB2">
      <w:pPr>
        <w:pStyle w:val="ListBullet"/>
        <w:rPr>
          <w:lang w:eastAsia="ja-JP"/>
        </w:rPr>
      </w:pPr>
      <w:r w:rsidRPr="00A7727F">
        <w:rPr>
          <w:lang w:eastAsia="ja-JP"/>
        </w:rPr>
        <w:t>to evaluate the overall survival in subjects with ALL treated with blinatumomab</w:t>
      </w:r>
    </w:p>
    <w:p w14:paraId="4B61CD2B" w14:textId="5C9A29C6" w:rsidR="00A7727F" w:rsidRPr="00A7727F" w:rsidRDefault="000F6EB2" w:rsidP="000F6EB2">
      <w:pPr>
        <w:pStyle w:val="ListBullet"/>
        <w:rPr>
          <w:lang w:eastAsia="ja-JP"/>
        </w:rPr>
      </w:pPr>
      <w:r>
        <w:rPr>
          <w:lang w:eastAsia="ja-JP"/>
        </w:rPr>
        <w:t xml:space="preserve">to evaluate the 100 </w:t>
      </w:r>
      <w:r w:rsidR="00A7727F" w:rsidRPr="00A7727F">
        <w:rPr>
          <w:lang w:eastAsia="ja-JP"/>
        </w:rPr>
        <w:t>day mortality rate associated with allogeneic h</w:t>
      </w:r>
      <w:r>
        <w:rPr>
          <w:lang w:eastAsia="ja-JP"/>
        </w:rPr>
        <w:t>a</w:t>
      </w:r>
      <w:r w:rsidR="00A7727F" w:rsidRPr="00A7727F">
        <w:rPr>
          <w:lang w:eastAsia="ja-JP"/>
        </w:rPr>
        <w:t>ematopoietic stem cell transplant (HSCT)</w:t>
      </w:r>
    </w:p>
    <w:p w14:paraId="0208B7BA" w14:textId="77777777" w:rsidR="00A7727F" w:rsidRPr="00A7727F" w:rsidRDefault="00A7727F" w:rsidP="000F6EB2">
      <w:pPr>
        <w:pStyle w:val="ListBullet"/>
        <w:rPr>
          <w:lang w:eastAsia="ja-JP"/>
        </w:rPr>
      </w:pPr>
      <w:r w:rsidRPr="00A7727F">
        <w:rPr>
          <w:lang w:eastAsia="ja-JP"/>
        </w:rPr>
        <w:t>to evaluate the safety and tolerability of blinatumomab</w:t>
      </w:r>
    </w:p>
    <w:p w14:paraId="237D0A87" w14:textId="77777777" w:rsidR="00A7727F" w:rsidRPr="00A7727F" w:rsidRDefault="00A7727F" w:rsidP="000F6EB2">
      <w:pPr>
        <w:pStyle w:val="ListBullet"/>
        <w:rPr>
          <w:lang w:eastAsia="ja-JP"/>
        </w:rPr>
      </w:pPr>
      <w:r w:rsidRPr="00A7727F">
        <w:rPr>
          <w:lang w:eastAsia="ja-JP"/>
        </w:rPr>
        <w:t>to evaluate the effect of blinatumomab on the duration of MRD negativity</w:t>
      </w:r>
    </w:p>
    <w:p w14:paraId="0F099A1D" w14:textId="77777777" w:rsidR="00A7727F" w:rsidRPr="00A7727F" w:rsidRDefault="00A7727F" w:rsidP="000F6EB2">
      <w:pPr>
        <w:pStyle w:val="ListBullet"/>
        <w:rPr>
          <w:lang w:eastAsia="ja-JP"/>
        </w:rPr>
      </w:pPr>
      <w:r w:rsidRPr="00A7727F">
        <w:rPr>
          <w:lang w:eastAsia="ja-JP"/>
        </w:rPr>
        <w:t>to evaluate the effect of blinatumomab on the kinetics of MRD</w:t>
      </w:r>
    </w:p>
    <w:p w14:paraId="7E6A166F" w14:textId="77777777" w:rsidR="00A7727F" w:rsidRPr="00A7727F" w:rsidRDefault="00A7727F" w:rsidP="000F6EB2">
      <w:pPr>
        <w:pStyle w:val="ListBullet"/>
        <w:rPr>
          <w:lang w:eastAsia="ja-JP"/>
        </w:rPr>
      </w:pPr>
      <w:r w:rsidRPr="00A7727F">
        <w:rPr>
          <w:lang w:eastAsia="ja-JP"/>
        </w:rPr>
        <w:t>to evaluate subject’s quality of life during and after therapy</w:t>
      </w:r>
    </w:p>
    <w:p w14:paraId="46EBA09A" w14:textId="68E4B627" w:rsidR="00A7727F" w:rsidRPr="00A7727F" w:rsidRDefault="005314B1" w:rsidP="000F6EB2">
      <w:pPr>
        <w:pStyle w:val="ListBullet"/>
        <w:rPr>
          <w:lang w:eastAsia="ja-JP"/>
        </w:rPr>
      </w:pPr>
      <w:r>
        <w:rPr>
          <w:lang w:eastAsia="ja-JP"/>
        </w:rPr>
        <w:t>to evaluate resource utilis</w:t>
      </w:r>
      <w:r w:rsidR="00A7727F" w:rsidRPr="00A7727F">
        <w:rPr>
          <w:lang w:eastAsia="ja-JP"/>
        </w:rPr>
        <w:t>ation</w:t>
      </w:r>
      <w:r w:rsidR="000F6EB2">
        <w:rPr>
          <w:lang w:eastAsia="ja-JP"/>
        </w:rPr>
        <w:t>.</w:t>
      </w:r>
    </w:p>
    <w:p w14:paraId="07585F43" w14:textId="644B3CEB" w:rsidR="00912BF3" w:rsidRPr="00912BF3" w:rsidRDefault="00A7727F" w:rsidP="00912BF3">
      <w:pPr>
        <w:pStyle w:val="Heading6"/>
        <w:rPr>
          <w:lang w:eastAsia="ja-JP"/>
        </w:rPr>
      </w:pPr>
      <w:r w:rsidRPr="00A7727F">
        <w:rPr>
          <w:lang w:eastAsia="ja-JP"/>
        </w:rPr>
        <w:t>Exploratory</w:t>
      </w:r>
    </w:p>
    <w:p w14:paraId="5058ABC3" w14:textId="2E663BA9" w:rsidR="00A7727F" w:rsidRPr="00A7727F" w:rsidRDefault="00912BF3" w:rsidP="000F6EB2">
      <w:pPr>
        <w:pStyle w:val="ListBullet"/>
        <w:rPr>
          <w:lang w:eastAsia="ja-JP"/>
        </w:rPr>
      </w:pPr>
      <w:r>
        <w:rPr>
          <w:lang w:eastAsia="ja-JP"/>
        </w:rPr>
        <w:t>T</w:t>
      </w:r>
      <w:r w:rsidR="00A7727F" w:rsidRPr="00A7727F">
        <w:rPr>
          <w:lang w:eastAsia="ja-JP"/>
        </w:rPr>
        <w:t>o assess the potential biological predictors of response to blinatumomab</w:t>
      </w:r>
    </w:p>
    <w:p w14:paraId="74C22670" w14:textId="27C645AC" w:rsidR="00A7727F" w:rsidRPr="00A7727F" w:rsidRDefault="000F6EB2" w:rsidP="000F6EB2">
      <w:pPr>
        <w:pStyle w:val="Heading6"/>
        <w:rPr>
          <w:lang w:eastAsia="ja-JP"/>
        </w:rPr>
      </w:pPr>
      <w:r>
        <w:rPr>
          <w:lang w:eastAsia="ja-JP"/>
        </w:rPr>
        <w:t>Study period</w:t>
      </w:r>
    </w:p>
    <w:p w14:paraId="57498548" w14:textId="46DE1899" w:rsidR="00A7727F" w:rsidRPr="00A7727F" w:rsidRDefault="00A7727F" w:rsidP="00A7727F">
      <w:pPr>
        <w:rPr>
          <w:lang w:eastAsia="ja-JP"/>
        </w:rPr>
      </w:pPr>
      <w:r w:rsidRPr="00A7727F">
        <w:rPr>
          <w:lang w:eastAsia="ja-JP"/>
        </w:rPr>
        <w:t>From November 2010 (first subject enrolled) to February 2014 (data cut</w:t>
      </w:r>
      <w:r w:rsidR="000F6EB2">
        <w:rPr>
          <w:lang w:eastAsia="ja-JP"/>
        </w:rPr>
        <w:t xml:space="preserve"> </w:t>
      </w:r>
      <w:r w:rsidRPr="00A7727F">
        <w:rPr>
          <w:lang w:eastAsia="ja-JP"/>
        </w:rPr>
        <w:t xml:space="preserve">off date). The clinical study report (CSR) represented the primary analysis for this study. The primary analysis was performed with all data available at the time when all subjects had the opportunity to be evaluated for the primary efficacy endpoint </w:t>
      </w:r>
      <w:r w:rsidR="005B0CFF">
        <w:rPr>
          <w:lang w:eastAsia="ja-JP"/>
        </w:rPr>
        <w:t>(that is,</w:t>
      </w:r>
      <w:r w:rsidRPr="00A7727F">
        <w:rPr>
          <w:lang w:eastAsia="ja-JP"/>
        </w:rPr>
        <w:t xml:space="preserve"> complete MRD response after the first treatment cycle). The key secondary endpoint will be reported after all subjects have been transplanted, relapsed, died, or had 18 months of follow-up. The final analysis will be carried out 5 years after the last subject is enrolled into the study.</w:t>
      </w:r>
    </w:p>
    <w:p w14:paraId="3A8AF8E4" w14:textId="529D6AF5" w:rsidR="00A7727F" w:rsidRPr="00A7727F" w:rsidRDefault="000F6EB2" w:rsidP="000F6EB2">
      <w:pPr>
        <w:pStyle w:val="Heading5"/>
        <w:rPr>
          <w:lang w:eastAsia="ja-JP"/>
        </w:rPr>
      </w:pPr>
      <w:r>
        <w:rPr>
          <w:lang w:eastAsia="ja-JP"/>
        </w:rPr>
        <w:t>Diagnosis and main c</w:t>
      </w:r>
      <w:r w:rsidR="00A7727F" w:rsidRPr="00A7727F">
        <w:rPr>
          <w:lang w:eastAsia="ja-JP"/>
        </w:rPr>
        <w:t xml:space="preserve">riteria for </w:t>
      </w:r>
      <w:r>
        <w:rPr>
          <w:lang w:eastAsia="ja-JP"/>
        </w:rPr>
        <w:t>e</w:t>
      </w:r>
      <w:r w:rsidR="00A7727F" w:rsidRPr="00A7727F">
        <w:rPr>
          <w:lang w:eastAsia="ja-JP"/>
        </w:rPr>
        <w:t>ligibility</w:t>
      </w:r>
    </w:p>
    <w:p w14:paraId="007B2596" w14:textId="6F6DDD8C" w:rsidR="00A7727F" w:rsidRPr="00A7727F" w:rsidRDefault="00A7727F" w:rsidP="00A7727F">
      <w:pPr>
        <w:rPr>
          <w:lang w:eastAsia="ja-JP"/>
        </w:rPr>
      </w:pPr>
      <w:r w:rsidRPr="00A7727F">
        <w:rPr>
          <w:lang w:eastAsia="ja-JP"/>
        </w:rPr>
        <w:t xml:space="preserve">Adult subjects were eligible for this study if they had a diagnosis of </w:t>
      </w:r>
      <w:r w:rsidR="00803B89">
        <w:rPr>
          <w:lang w:eastAsia="ja-JP"/>
        </w:rPr>
        <w:t xml:space="preserve">MRD </w:t>
      </w:r>
      <w:r w:rsidRPr="00A7727F">
        <w:rPr>
          <w:lang w:eastAsia="ja-JP"/>
        </w:rPr>
        <w:t>positive B-precursor ALL and were in complete hematologic remission (defined as</w:t>
      </w:r>
      <w:r w:rsidR="00375CAE">
        <w:rPr>
          <w:lang w:eastAsia="ja-JP"/>
        </w:rPr>
        <w:t xml:space="preserve"> </w:t>
      </w:r>
      <w:r w:rsidR="00423768">
        <w:rPr>
          <w:lang w:eastAsia="ja-JP"/>
        </w:rPr>
        <w:t>&lt;</w:t>
      </w:r>
      <w:r w:rsidR="00375CAE">
        <w:rPr>
          <w:lang w:eastAsia="ja-JP"/>
        </w:rPr>
        <w:t xml:space="preserve"> </w:t>
      </w:r>
      <w:r w:rsidRPr="00A7727F">
        <w:rPr>
          <w:lang w:eastAsia="ja-JP"/>
        </w:rPr>
        <w:t>5% blasts in bone marrow after at least 3 intense chemotherapy blocks). Subjects must also have had MRD</w:t>
      </w:r>
      <w:r w:rsidR="00375CAE">
        <w:rPr>
          <w:lang w:eastAsia="ja-JP"/>
        </w:rPr>
        <w:t xml:space="preserve"> </w:t>
      </w:r>
      <w:r w:rsidR="00423768">
        <w:rPr>
          <w:lang w:eastAsia="ja-JP"/>
        </w:rPr>
        <w:t>≥</w:t>
      </w:r>
      <w:r w:rsidR="00375CAE">
        <w:rPr>
          <w:lang w:eastAsia="ja-JP"/>
        </w:rPr>
        <w:t xml:space="preserve"> </w:t>
      </w:r>
      <w:r w:rsidRPr="00A7727F">
        <w:rPr>
          <w:lang w:eastAsia="ja-JP"/>
        </w:rPr>
        <w:t>10</w:t>
      </w:r>
      <w:r w:rsidRPr="00A7727F">
        <w:rPr>
          <w:vertAlign w:val="superscript"/>
          <w:lang w:eastAsia="ja-JP"/>
        </w:rPr>
        <w:t>-3</w:t>
      </w:r>
      <w:r w:rsidRPr="00A7727F">
        <w:rPr>
          <w:lang w:eastAsia="ja-JP"/>
        </w:rPr>
        <w:t xml:space="preserve"> (molecular failure or molecular relapse) in an assay with minimum sensitivity of 10</w:t>
      </w:r>
      <w:r w:rsidRPr="00A7727F">
        <w:rPr>
          <w:vertAlign w:val="superscript"/>
          <w:lang w:eastAsia="ja-JP"/>
        </w:rPr>
        <w:t>-4</w:t>
      </w:r>
      <w:r w:rsidR="00912BF3">
        <w:rPr>
          <w:lang w:eastAsia="ja-JP"/>
        </w:rPr>
        <w:t xml:space="preserve"> with at least 1 </w:t>
      </w:r>
      <w:r w:rsidRPr="00A7727F">
        <w:rPr>
          <w:lang w:eastAsia="ja-JP"/>
        </w:rPr>
        <w:t>molecular marker based on individual rearrangement of immunoglobulin (Ig) or TCR-genes or a flow cytometric marker profile documented after an interval of at least 2 weeks from last systemic chemotherapy, and bone marrow function defined as absolute neutrophil count</w:t>
      </w:r>
      <w:r w:rsidR="00375CAE">
        <w:rPr>
          <w:lang w:eastAsia="ja-JP"/>
        </w:rPr>
        <w:t xml:space="preserve"> </w:t>
      </w:r>
      <w:r w:rsidR="00423768">
        <w:rPr>
          <w:lang w:eastAsia="ja-JP"/>
        </w:rPr>
        <w:t>≥</w:t>
      </w:r>
      <w:r w:rsidR="00912BF3">
        <w:rPr>
          <w:lang w:eastAsia="ja-JP"/>
        </w:rPr>
        <w:t> </w:t>
      </w:r>
      <w:r w:rsidRPr="00A7727F">
        <w:rPr>
          <w:lang w:eastAsia="ja-JP"/>
        </w:rPr>
        <w:t>1,000/µL, platelets</w:t>
      </w:r>
      <w:r w:rsidR="00375CAE">
        <w:rPr>
          <w:lang w:eastAsia="ja-JP"/>
        </w:rPr>
        <w:t xml:space="preserve"> </w:t>
      </w:r>
      <w:r w:rsidR="00423768">
        <w:rPr>
          <w:lang w:eastAsia="ja-JP"/>
        </w:rPr>
        <w:t>≥</w:t>
      </w:r>
      <w:r w:rsidR="00375CAE">
        <w:rPr>
          <w:lang w:eastAsia="ja-JP"/>
        </w:rPr>
        <w:t xml:space="preserve"> </w:t>
      </w:r>
      <w:r w:rsidRPr="00A7727F">
        <w:rPr>
          <w:lang w:eastAsia="ja-JP"/>
        </w:rPr>
        <w:t>50,000/µL, and h</w:t>
      </w:r>
      <w:r w:rsidR="000F6EB2">
        <w:rPr>
          <w:lang w:eastAsia="ja-JP"/>
        </w:rPr>
        <w:t>a</w:t>
      </w:r>
      <w:r w:rsidRPr="00A7727F">
        <w:rPr>
          <w:lang w:eastAsia="ja-JP"/>
        </w:rPr>
        <w:t>emoglobin level</w:t>
      </w:r>
      <w:r w:rsidR="00375CAE">
        <w:rPr>
          <w:lang w:eastAsia="ja-JP"/>
        </w:rPr>
        <w:t xml:space="preserve"> </w:t>
      </w:r>
      <w:r w:rsidR="00423768">
        <w:rPr>
          <w:lang w:eastAsia="ja-JP"/>
        </w:rPr>
        <w:t>≥</w:t>
      </w:r>
      <w:r w:rsidR="00375CAE">
        <w:rPr>
          <w:lang w:eastAsia="ja-JP"/>
        </w:rPr>
        <w:t xml:space="preserve"> </w:t>
      </w:r>
      <w:r w:rsidRPr="00A7727F">
        <w:rPr>
          <w:lang w:eastAsia="ja-JP"/>
        </w:rPr>
        <w:t>9 g/dL (transfusions permitted).</w:t>
      </w:r>
    </w:p>
    <w:p w14:paraId="0F5DAE68" w14:textId="19057127" w:rsidR="00A7727F" w:rsidRPr="00A7727F" w:rsidRDefault="000F6EB2" w:rsidP="000F6EB2">
      <w:pPr>
        <w:pStyle w:val="Heading5"/>
        <w:rPr>
          <w:lang w:eastAsia="ja-JP"/>
        </w:rPr>
      </w:pPr>
      <w:r>
        <w:rPr>
          <w:lang w:eastAsia="ja-JP"/>
        </w:rPr>
        <w:t>Duration of treatment</w:t>
      </w:r>
    </w:p>
    <w:p w14:paraId="17F88721" w14:textId="00856CAC" w:rsidR="00A7727F" w:rsidRPr="00A7727F" w:rsidRDefault="00A7727F" w:rsidP="00A7727F">
      <w:pPr>
        <w:rPr>
          <w:lang w:eastAsia="ja-JP"/>
        </w:rPr>
      </w:pPr>
      <w:r w:rsidRPr="00A7727F">
        <w:rPr>
          <w:lang w:eastAsia="ja-JP"/>
        </w:rPr>
        <w:t>Blinatumomab was administered as a cIV infusion of 15</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at a constant flow rat</w:t>
      </w:r>
      <w:r w:rsidR="00912BF3">
        <w:rPr>
          <w:lang w:eastAsia="ja-JP"/>
        </w:rPr>
        <w:t xml:space="preserve">e, for 28 days followed by a 14 </w:t>
      </w:r>
      <w:r w:rsidRPr="00A7727F">
        <w:rPr>
          <w:lang w:eastAsia="ja-JP"/>
        </w:rPr>
        <w:t>day infusion</w:t>
      </w:r>
      <w:r w:rsidR="006A3B04">
        <w:rPr>
          <w:lang w:eastAsia="ja-JP"/>
        </w:rPr>
        <w:t xml:space="preserve"> free</w:t>
      </w:r>
      <w:r w:rsidR="00912BF3">
        <w:rPr>
          <w:lang w:eastAsia="ja-JP"/>
        </w:rPr>
        <w:t xml:space="preserve"> interval (defined as 1</w:t>
      </w:r>
      <w:r w:rsidRPr="00A7727F">
        <w:rPr>
          <w:lang w:eastAsia="ja-JP"/>
        </w:rPr>
        <w:t xml:space="preserve"> treatment cycle). Subjects received at least 1 and up to 4 cycles of treatment, unless criteria for treatment discontinuation were met. The duration of 1 cycle was 6 weeks. A safety follow-up occurred 30 days after the las</w:t>
      </w:r>
      <w:r w:rsidR="00912BF3">
        <w:rPr>
          <w:lang w:eastAsia="ja-JP"/>
        </w:rPr>
        <w:t xml:space="preserve">t infusion. The efficacy follow </w:t>
      </w:r>
      <w:r w:rsidRPr="00A7727F">
        <w:rPr>
          <w:lang w:eastAsia="ja-JP"/>
        </w:rPr>
        <w:t>up occurred up to 24 months after the start of treatment.</w:t>
      </w:r>
    </w:p>
    <w:p w14:paraId="3464B692" w14:textId="2D97FCB0" w:rsidR="00A7727F" w:rsidRPr="00A7727F" w:rsidRDefault="000F6EB2" w:rsidP="000F6EB2">
      <w:pPr>
        <w:pStyle w:val="Heading5"/>
        <w:rPr>
          <w:lang w:eastAsia="ja-JP"/>
        </w:rPr>
      </w:pPr>
      <w:r>
        <w:rPr>
          <w:lang w:eastAsia="ja-JP"/>
        </w:rPr>
        <w:t>Study e</w:t>
      </w:r>
      <w:r w:rsidR="00A7727F" w:rsidRPr="00A7727F">
        <w:rPr>
          <w:lang w:eastAsia="ja-JP"/>
        </w:rPr>
        <w:t>ndpoints</w:t>
      </w:r>
    </w:p>
    <w:p w14:paraId="16BCDC5D" w14:textId="77777777" w:rsidR="00A7727F" w:rsidRPr="00A7727F" w:rsidRDefault="00A7727F" w:rsidP="000F6EB2">
      <w:pPr>
        <w:pStyle w:val="Heading6"/>
        <w:rPr>
          <w:lang w:eastAsia="ja-JP"/>
        </w:rPr>
      </w:pPr>
      <w:r w:rsidRPr="00A7727F">
        <w:rPr>
          <w:lang w:eastAsia="ja-JP"/>
        </w:rPr>
        <w:t>Primary endpoint</w:t>
      </w:r>
    </w:p>
    <w:p w14:paraId="665EAB65" w14:textId="3AC5B884" w:rsidR="00A7727F" w:rsidRPr="00A7727F" w:rsidRDefault="00A7727F" w:rsidP="000F6EB2">
      <w:pPr>
        <w:rPr>
          <w:lang w:eastAsia="ja-JP"/>
        </w:rPr>
      </w:pPr>
      <w:r w:rsidRPr="00A7727F">
        <w:rPr>
          <w:lang w:eastAsia="ja-JP"/>
        </w:rPr>
        <w:t>Proportion of subjects who achieve complete MRD response defined by absence of MRD after 1 cycle of treatment with blinatumomab</w:t>
      </w:r>
      <w:r w:rsidR="000F6EB2">
        <w:rPr>
          <w:lang w:eastAsia="ja-JP"/>
        </w:rPr>
        <w:t>.</w:t>
      </w:r>
    </w:p>
    <w:p w14:paraId="58E22E73" w14:textId="33A3C6A9" w:rsidR="00A7727F" w:rsidRPr="00A7727F" w:rsidRDefault="00A7727F" w:rsidP="000F6EB2">
      <w:pPr>
        <w:pStyle w:val="Heading6"/>
        <w:rPr>
          <w:lang w:eastAsia="ja-JP"/>
        </w:rPr>
      </w:pPr>
      <w:r w:rsidRPr="00A7727F">
        <w:rPr>
          <w:lang w:eastAsia="ja-JP"/>
        </w:rPr>
        <w:t>Key secondar</w:t>
      </w:r>
      <w:r w:rsidR="000F6EB2">
        <w:rPr>
          <w:lang w:eastAsia="ja-JP"/>
        </w:rPr>
        <w:t xml:space="preserve">y endpoint for subjects with Ph </w:t>
      </w:r>
      <w:r w:rsidRPr="00A7727F">
        <w:rPr>
          <w:lang w:eastAsia="ja-JP"/>
        </w:rPr>
        <w:t>negative ALL</w:t>
      </w:r>
    </w:p>
    <w:p w14:paraId="781CD162" w14:textId="19A6B7C3" w:rsidR="00A7727F" w:rsidRPr="00A7727F" w:rsidRDefault="00A7727F" w:rsidP="000F6EB2">
      <w:pPr>
        <w:pStyle w:val="ListBullet"/>
        <w:rPr>
          <w:lang w:eastAsia="ja-JP"/>
        </w:rPr>
      </w:pPr>
      <w:r w:rsidRPr="00A7727F">
        <w:rPr>
          <w:lang w:eastAsia="ja-JP"/>
        </w:rPr>
        <w:t>H</w:t>
      </w:r>
      <w:r w:rsidR="000F6EB2">
        <w:rPr>
          <w:lang w:eastAsia="ja-JP"/>
        </w:rPr>
        <w:t>a</w:t>
      </w:r>
      <w:r w:rsidRPr="00A7727F">
        <w:rPr>
          <w:lang w:eastAsia="ja-JP"/>
        </w:rPr>
        <w:t>ematological relapse free survival rate at 18 months following initiation of blinatumomab (not included in report)</w:t>
      </w:r>
      <w:r w:rsidR="00912BF3">
        <w:rPr>
          <w:lang w:eastAsia="ja-JP"/>
        </w:rPr>
        <w:t>.</w:t>
      </w:r>
    </w:p>
    <w:p w14:paraId="0499941E" w14:textId="77777777" w:rsidR="00A7727F" w:rsidRPr="00A7727F" w:rsidRDefault="00A7727F" w:rsidP="000F6EB2">
      <w:pPr>
        <w:pStyle w:val="Heading6"/>
        <w:rPr>
          <w:lang w:eastAsia="ja-JP"/>
        </w:rPr>
      </w:pPr>
      <w:r w:rsidRPr="00A7727F">
        <w:rPr>
          <w:lang w:eastAsia="ja-JP"/>
        </w:rPr>
        <w:t>Secondary endpoints</w:t>
      </w:r>
    </w:p>
    <w:p w14:paraId="12D3EB96" w14:textId="77777777" w:rsidR="00A7727F" w:rsidRPr="00A7727F" w:rsidRDefault="00A7727F" w:rsidP="000F6EB2">
      <w:pPr>
        <w:pStyle w:val="ListBullet"/>
        <w:rPr>
          <w:lang w:eastAsia="ja-JP"/>
        </w:rPr>
      </w:pPr>
      <w:r w:rsidRPr="00A7727F">
        <w:rPr>
          <w:lang w:eastAsia="ja-JP"/>
        </w:rPr>
        <w:t>overall survival (not included in this report)</w:t>
      </w:r>
    </w:p>
    <w:p w14:paraId="6701A52B" w14:textId="77777777" w:rsidR="00A7727F" w:rsidRPr="00A7727F" w:rsidRDefault="00A7727F" w:rsidP="000F6EB2">
      <w:pPr>
        <w:pStyle w:val="ListBullet"/>
        <w:rPr>
          <w:lang w:eastAsia="ja-JP"/>
        </w:rPr>
      </w:pPr>
      <w:r w:rsidRPr="00A7727F">
        <w:rPr>
          <w:lang w:eastAsia="ja-JP"/>
        </w:rPr>
        <w:t>mortality rate within 100 days after allogeneic HSCT (not included in this report)</w:t>
      </w:r>
    </w:p>
    <w:p w14:paraId="452A4DFE" w14:textId="4EEE3AEB" w:rsidR="00A7727F" w:rsidRPr="00A7727F" w:rsidRDefault="00A7727F" w:rsidP="000F6EB2">
      <w:pPr>
        <w:pStyle w:val="ListBullet"/>
        <w:rPr>
          <w:lang w:eastAsia="ja-JP"/>
        </w:rPr>
      </w:pPr>
      <w:r w:rsidRPr="00A7727F">
        <w:rPr>
          <w:lang w:eastAsia="ja-JP"/>
        </w:rPr>
        <w:t>time to h</w:t>
      </w:r>
      <w:r w:rsidR="000F6EB2">
        <w:rPr>
          <w:lang w:eastAsia="ja-JP"/>
        </w:rPr>
        <w:t>a</w:t>
      </w:r>
      <w:r w:rsidRPr="00A7727F">
        <w:rPr>
          <w:lang w:eastAsia="ja-JP"/>
        </w:rPr>
        <w:t>ematological relapse (not included in this report)</w:t>
      </w:r>
    </w:p>
    <w:p w14:paraId="02FEEE48" w14:textId="77777777" w:rsidR="00A7727F" w:rsidRPr="00A7727F" w:rsidRDefault="00A7727F" w:rsidP="000F6EB2">
      <w:pPr>
        <w:pStyle w:val="ListBullet"/>
        <w:rPr>
          <w:lang w:eastAsia="ja-JP"/>
        </w:rPr>
      </w:pPr>
      <w:r w:rsidRPr="00A7727F">
        <w:rPr>
          <w:lang w:eastAsia="ja-JP"/>
        </w:rPr>
        <w:t>duration of complete MRD response (not included in this report)</w:t>
      </w:r>
    </w:p>
    <w:p w14:paraId="0907EDF1" w14:textId="77777777" w:rsidR="00A7727F" w:rsidRPr="00A7727F" w:rsidRDefault="00A7727F" w:rsidP="000F6EB2">
      <w:pPr>
        <w:pStyle w:val="ListBullet"/>
        <w:rPr>
          <w:lang w:eastAsia="ja-JP"/>
        </w:rPr>
      </w:pPr>
      <w:r w:rsidRPr="00A7727F">
        <w:rPr>
          <w:lang w:eastAsia="ja-JP"/>
        </w:rPr>
        <w:t>effect on MRD level (not included in this report)</w:t>
      </w:r>
    </w:p>
    <w:p w14:paraId="103FE95C" w14:textId="77777777" w:rsidR="00A7727F" w:rsidRPr="00A7727F" w:rsidRDefault="00A7727F" w:rsidP="000F6EB2">
      <w:pPr>
        <w:pStyle w:val="ListBullet"/>
        <w:rPr>
          <w:lang w:eastAsia="ja-JP"/>
        </w:rPr>
      </w:pPr>
      <w:r w:rsidRPr="00A7727F">
        <w:rPr>
          <w:lang w:eastAsia="ja-JP"/>
        </w:rPr>
        <w:t>overall incidence and severity of adverse events</w:t>
      </w:r>
    </w:p>
    <w:p w14:paraId="7EE8185E" w14:textId="77777777" w:rsidR="00A7727F" w:rsidRPr="00A7727F" w:rsidRDefault="00A7727F" w:rsidP="000F6EB2">
      <w:pPr>
        <w:pStyle w:val="ListBullet"/>
        <w:rPr>
          <w:lang w:eastAsia="ja-JP"/>
        </w:rPr>
      </w:pPr>
      <w:r w:rsidRPr="00A7727F">
        <w:rPr>
          <w:lang w:eastAsia="ja-JP"/>
        </w:rPr>
        <w:t>subject's quality of life during and after therapy (not included in this report)</w:t>
      </w:r>
    </w:p>
    <w:p w14:paraId="28FBDAAE" w14:textId="282E4F21" w:rsidR="00A7727F" w:rsidRPr="00A7727F" w:rsidRDefault="000F6EB2" w:rsidP="000F6EB2">
      <w:pPr>
        <w:pStyle w:val="ListBullet"/>
        <w:rPr>
          <w:lang w:eastAsia="ja-JP"/>
        </w:rPr>
      </w:pPr>
      <w:r>
        <w:rPr>
          <w:lang w:eastAsia="ja-JP"/>
        </w:rPr>
        <w:t>resource utilis</w:t>
      </w:r>
      <w:r w:rsidR="00A7727F" w:rsidRPr="00A7727F">
        <w:rPr>
          <w:lang w:eastAsia="ja-JP"/>
        </w:rPr>
        <w:t>ation (not included in this report)</w:t>
      </w:r>
      <w:r>
        <w:rPr>
          <w:lang w:eastAsia="ja-JP"/>
        </w:rPr>
        <w:t>.</w:t>
      </w:r>
    </w:p>
    <w:p w14:paraId="6100FF21" w14:textId="01FF9982" w:rsidR="00A7727F" w:rsidRPr="00A7727F" w:rsidRDefault="000F6EB2" w:rsidP="000F6EB2">
      <w:pPr>
        <w:pStyle w:val="Heading5"/>
        <w:rPr>
          <w:lang w:eastAsia="ja-JP"/>
        </w:rPr>
      </w:pPr>
      <w:r>
        <w:rPr>
          <w:lang w:eastAsia="ja-JP"/>
        </w:rPr>
        <w:t>Summary of r</w:t>
      </w:r>
      <w:r w:rsidR="00A7727F" w:rsidRPr="00A7727F">
        <w:rPr>
          <w:lang w:eastAsia="ja-JP"/>
        </w:rPr>
        <w:t>esults</w:t>
      </w:r>
    </w:p>
    <w:p w14:paraId="7E487E7C" w14:textId="3F3881EF" w:rsidR="00A7727F" w:rsidRPr="00A7727F" w:rsidRDefault="000F6EB2" w:rsidP="000F6EB2">
      <w:pPr>
        <w:pStyle w:val="Heading6"/>
        <w:rPr>
          <w:lang w:eastAsia="ja-JP"/>
        </w:rPr>
      </w:pPr>
      <w:r>
        <w:rPr>
          <w:lang w:eastAsia="ja-JP"/>
        </w:rPr>
        <w:t>Subject d</w:t>
      </w:r>
      <w:r w:rsidR="00A7727F" w:rsidRPr="00A7727F">
        <w:rPr>
          <w:lang w:eastAsia="ja-JP"/>
        </w:rPr>
        <w:t>isposition</w:t>
      </w:r>
    </w:p>
    <w:p w14:paraId="3E2951A9" w14:textId="2FAC5FB1" w:rsidR="00A7727F" w:rsidRPr="00A7727F" w:rsidRDefault="000741E7" w:rsidP="00A7727F">
      <w:pPr>
        <w:rPr>
          <w:lang w:eastAsia="ja-JP"/>
        </w:rPr>
      </w:pPr>
      <w:r>
        <w:rPr>
          <w:lang w:eastAsia="ja-JP"/>
        </w:rPr>
        <w:t>116</w:t>
      </w:r>
      <w:r w:rsidR="00A7727F" w:rsidRPr="00A7727F">
        <w:rPr>
          <w:lang w:eastAsia="ja-JP"/>
        </w:rPr>
        <w:t xml:space="preserve"> subjects received at least 1 infusion of blinatumomab and were included in the FAS. At the time of the data </w:t>
      </w:r>
      <w:r w:rsidR="00CB21D3" w:rsidRPr="00A7727F">
        <w:rPr>
          <w:lang w:eastAsia="ja-JP"/>
        </w:rPr>
        <w:t>cu</w:t>
      </w:r>
      <w:r w:rsidR="00CB21D3">
        <w:rPr>
          <w:lang w:eastAsia="ja-JP"/>
        </w:rPr>
        <w:t>t-</w:t>
      </w:r>
      <w:r w:rsidR="00CB21D3" w:rsidRPr="00A7727F">
        <w:rPr>
          <w:lang w:eastAsia="ja-JP"/>
        </w:rPr>
        <w:t>off</w:t>
      </w:r>
      <w:r w:rsidR="00A7727F" w:rsidRPr="00A7727F">
        <w:rPr>
          <w:lang w:eastAsia="ja-JP"/>
        </w:rPr>
        <w:t xml:space="preserve"> date of 21 February 2014 the study was ongoing; 106 subjects ended the core study and 10 subjects continued in the core study.</w:t>
      </w:r>
    </w:p>
    <w:p w14:paraId="522E888D" w14:textId="4E3D1B58" w:rsidR="00A7727F" w:rsidRPr="00A7727F" w:rsidRDefault="000F6EB2" w:rsidP="000F6EB2">
      <w:pPr>
        <w:pStyle w:val="Heading6"/>
        <w:rPr>
          <w:lang w:eastAsia="ja-JP"/>
        </w:rPr>
      </w:pPr>
      <w:r>
        <w:rPr>
          <w:lang w:eastAsia="ja-JP"/>
        </w:rPr>
        <w:t>Efficacy r</w:t>
      </w:r>
      <w:r w:rsidR="00A7727F" w:rsidRPr="00A7727F">
        <w:rPr>
          <w:lang w:eastAsia="ja-JP"/>
        </w:rPr>
        <w:t>esults</w:t>
      </w:r>
    </w:p>
    <w:p w14:paraId="5E395FFD" w14:textId="77777777" w:rsidR="00A7727F" w:rsidRPr="00A7727F" w:rsidRDefault="00A7727F" w:rsidP="00A7727F">
      <w:pPr>
        <w:rPr>
          <w:lang w:eastAsia="ja-JP"/>
        </w:rPr>
      </w:pPr>
      <w:r w:rsidRPr="00A7727F">
        <w:rPr>
          <w:lang w:eastAsia="ja-JP"/>
        </w:rPr>
        <w:t>For the primary endpoint, complete MRD response was achieved within the first cycle in 77.9% (88/113; 95% CI: 69.1% to 85.1%) of subjects. The complete MRD response rate was demonstrated to be statistically significantly greater than 44%. These results were consistent among the analyses sets.</w:t>
      </w:r>
    </w:p>
    <w:p w14:paraId="5A2453C9" w14:textId="0147CA38" w:rsidR="00A7727F" w:rsidRPr="00A7727F" w:rsidRDefault="000F6EB2" w:rsidP="000F6EB2">
      <w:pPr>
        <w:pStyle w:val="Heading4"/>
      </w:pPr>
      <w:bookmarkStart w:id="223" w:name="_Toc292015610"/>
      <w:r>
        <w:t>Study MT103-</w:t>
      </w:r>
      <w:r w:rsidR="00A7727F" w:rsidRPr="00A7727F">
        <w:t>205</w:t>
      </w:r>
      <w:bookmarkEnd w:id="223"/>
    </w:p>
    <w:p w14:paraId="3EAF2EEB" w14:textId="5FBC216E" w:rsidR="00A7727F" w:rsidRPr="00A7727F" w:rsidRDefault="000F6EB2" w:rsidP="00A7727F">
      <w:pPr>
        <w:rPr>
          <w:lang w:eastAsia="ja-JP"/>
        </w:rPr>
      </w:pPr>
      <w:r>
        <w:rPr>
          <w:lang w:eastAsia="ja-JP"/>
        </w:rPr>
        <w:t>This was a</w:t>
      </w:r>
      <w:r w:rsidR="00A7727F" w:rsidRPr="00A7727F">
        <w:rPr>
          <w:lang w:eastAsia="ja-JP"/>
        </w:rPr>
        <w:t xml:space="preserve"> </w:t>
      </w:r>
      <w:r>
        <w:rPr>
          <w:lang w:eastAsia="ja-JP"/>
        </w:rPr>
        <w:t>single arm,</w:t>
      </w:r>
      <w:r w:rsidRPr="00A7727F">
        <w:rPr>
          <w:lang w:eastAsia="ja-JP"/>
        </w:rPr>
        <w:t xml:space="preserve"> multi</w:t>
      </w:r>
      <w:r>
        <w:rPr>
          <w:lang w:eastAsia="ja-JP"/>
        </w:rPr>
        <w:t>centre,</w:t>
      </w:r>
      <w:r w:rsidRPr="00A7727F">
        <w:rPr>
          <w:lang w:eastAsia="ja-JP"/>
        </w:rPr>
        <w:t xml:space="preserve"> </w:t>
      </w:r>
      <w:r w:rsidR="0018721C">
        <w:rPr>
          <w:lang w:eastAsia="ja-JP"/>
        </w:rPr>
        <w:t>Phase</w:t>
      </w:r>
      <w:r>
        <w:rPr>
          <w:lang w:eastAsia="ja-JP"/>
        </w:rPr>
        <w:t xml:space="preserve"> II s</w:t>
      </w:r>
      <w:r w:rsidR="00A7727F" w:rsidRPr="00A7727F">
        <w:rPr>
          <w:lang w:eastAsia="ja-JP"/>
        </w:rPr>
        <w:t xml:space="preserve">tudy preceded by </w:t>
      </w:r>
      <w:r w:rsidRPr="00A7727F">
        <w:rPr>
          <w:lang w:eastAsia="ja-JP"/>
        </w:rPr>
        <w:t xml:space="preserve">dose evaluation to investigate the efficacy, safety, and tolerability of the </w:t>
      </w:r>
      <w:r w:rsidR="00A7727F" w:rsidRPr="00A7727F">
        <w:rPr>
          <w:lang w:eastAsia="ja-JP"/>
        </w:rPr>
        <w:t>B</w:t>
      </w:r>
      <w:r>
        <w:rPr>
          <w:lang w:eastAsia="ja-JP"/>
        </w:rPr>
        <w:t>iTE</w:t>
      </w:r>
      <w:r w:rsidR="00A7727F" w:rsidRPr="00A7727F">
        <w:rPr>
          <w:lang w:eastAsia="ja-JP"/>
        </w:rPr>
        <w:t xml:space="preserve"> </w:t>
      </w:r>
      <w:r w:rsidRPr="00A7727F">
        <w:rPr>
          <w:lang w:eastAsia="ja-JP"/>
        </w:rPr>
        <w:t xml:space="preserve">antibody blinatumomab </w:t>
      </w:r>
      <w:r w:rsidR="000741E7">
        <w:rPr>
          <w:lang w:eastAsia="ja-JP"/>
        </w:rPr>
        <w:t>(MT103) in pa</w:t>
      </w:r>
      <w:r>
        <w:rPr>
          <w:lang w:eastAsia="ja-JP"/>
        </w:rPr>
        <w:t>ediatric and adolescent patients with relapsed/refractory B-precursor acute lymphoblastic l</w:t>
      </w:r>
      <w:r w:rsidR="00A7727F" w:rsidRPr="00A7727F">
        <w:rPr>
          <w:lang w:eastAsia="ja-JP"/>
        </w:rPr>
        <w:t>euk</w:t>
      </w:r>
      <w:r>
        <w:rPr>
          <w:lang w:eastAsia="ja-JP"/>
        </w:rPr>
        <w:t>a</w:t>
      </w:r>
      <w:r w:rsidR="00A7727F" w:rsidRPr="00A7727F">
        <w:rPr>
          <w:lang w:eastAsia="ja-JP"/>
        </w:rPr>
        <w:t>emia (ALL)</w:t>
      </w:r>
      <w:r>
        <w:rPr>
          <w:lang w:eastAsia="ja-JP"/>
        </w:rPr>
        <w:t>.</w:t>
      </w:r>
    </w:p>
    <w:p w14:paraId="61A7D299" w14:textId="6008AE26" w:rsidR="00A7727F" w:rsidRPr="00A7727F" w:rsidRDefault="000F6EB2" w:rsidP="000F6EB2">
      <w:pPr>
        <w:pStyle w:val="Heading5"/>
        <w:rPr>
          <w:lang w:eastAsia="ja-JP"/>
        </w:rPr>
      </w:pPr>
      <w:r>
        <w:rPr>
          <w:lang w:eastAsia="ja-JP"/>
        </w:rPr>
        <w:t>Objectives</w:t>
      </w:r>
    </w:p>
    <w:p w14:paraId="09BBB3A8" w14:textId="399C14AF" w:rsidR="00A7727F" w:rsidRPr="000F6EB2" w:rsidRDefault="0018721C" w:rsidP="000F6EB2">
      <w:pPr>
        <w:pStyle w:val="Heading6"/>
        <w:rPr>
          <w:lang w:eastAsia="ja-JP"/>
        </w:rPr>
      </w:pPr>
      <w:r>
        <w:rPr>
          <w:lang w:eastAsia="ja-JP"/>
        </w:rPr>
        <w:t>Phase I</w:t>
      </w:r>
      <w:r w:rsidR="000F6EB2">
        <w:rPr>
          <w:lang w:eastAsia="ja-JP"/>
        </w:rPr>
        <w:t xml:space="preserve"> (p</w:t>
      </w:r>
      <w:r w:rsidR="00A7727F" w:rsidRPr="00A7727F">
        <w:rPr>
          <w:lang w:eastAsia="ja-JP"/>
        </w:rPr>
        <w:t>rimary</w:t>
      </w:r>
      <w:r w:rsidR="000F6EB2">
        <w:rPr>
          <w:lang w:eastAsia="ja-JP"/>
        </w:rPr>
        <w:t>)</w:t>
      </w:r>
    </w:p>
    <w:p w14:paraId="00E7EE8E" w14:textId="10F53CF9" w:rsidR="00A7727F" w:rsidRPr="00A7727F" w:rsidRDefault="00A7727F" w:rsidP="000F6EB2">
      <w:pPr>
        <w:pStyle w:val="ListBullet"/>
        <w:rPr>
          <w:lang w:eastAsia="ja-JP"/>
        </w:rPr>
      </w:pPr>
      <w:r w:rsidRPr="00A7727F">
        <w:rPr>
          <w:lang w:eastAsia="ja-JP"/>
        </w:rPr>
        <w:t xml:space="preserve">To determine the recommended </w:t>
      </w:r>
      <w:r w:rsidR="0018721C">
        <w:rPr>
          <w:lang w:eastAsia="ja-JP"/>
        </w:rPr>
        <w:t>Phase II</w:t>
      </w:r>
      <w:r w:rsidRPr="00A7727F">
        <w:rPr>
          <w:lang w:eastAsia="ja-JP"/>
        </w:rPr>
        <w:t xml:space="preserve"> dose of blinatumomab.</w:t>
      </w:r>
    </w:p>
    <w:p w14:paraId="5CB76BBE" w14:textId="3B738F19" w:rsidR="00A7727F" w:rsidRPr="00A7727F" w:rsidRDefault="00475667" w:rsidP="00475667">
      <w:pPr>
        <w:pStyle w:val="Heading6"/>
        <w:rPr>
          <w:lang w:eastAsia="ja-JP"/>
        </w:rPr>
      </w:pPr>
      <w:r>
        <w:rPr>
          <w:lang w:eastAsia="ja-JP"/>
        </w:rPr>
        <w:t>Phase I (s</w:t>
      </w:r>
      <w:r w:rsidR="00A7727F" w:rsidRPr="00A7727F">
        <w:rPr>
          <w:lang w:eastAsia="ja-JP"/>
        </w:rPr>
        <w:t>econdary</w:t>
      </w:r>
      <w:r>
        <w:rPr>
          <w:lang w:eastAsia="ja-JP"/>
        </w:rPr>
        <w:t>)</w:t>
      </w:r>
    </w:p>
    <w:p w14:paraId="03AD2DAC" w14:textId="77777777" w:rsidR="00A7727F" w:rsidRPr="00A7727F" w:rsidRDefault="00A7727F" w:rsidP="00475667">
      <w:pPr>
        <w:pStyle w:val="ListBullet"/>
        <w:rPr>
          <w:lang w:eastAsia="ja-JP"/>
        </w:rPr>
      </w:pPr>
      <w:r w:rsidRPr="00A7727F">
        <w:rPr>
          <w:lang w:eastAsia="ja-JP"/>
        </w:rPr>
        <w:t>To assess the safety, PK, anti-leukemic activity, development of anti-drug antibodies (ADAs), and changes in pharmacodynamic (PD) markers after treatment with various doses of blinatumomab.</w:t>
      </w:r>
    </w:p>
    <w:p w14:paraId="7DD47EBA" w14:textId="3E142F16" w:rsidR="00A7727F" w:rsidRPr="00475667" w:rsidRDefault="0018721C" w:rsidP="00475667">
      <w:pPr>
        <w:pStyle w:val="Heading6"/>
        <w:rPr>
          <w:lang w:eastAsia="ja-JP"/>
        </w:rPr>
      </w:pPr>
      <w:r>
        <w:rPr>
          <w:lang w:eastAsia="ja-JP"/>
        </w:rPr>
        <w:t>Phase II</w:t>
      </w:r>
      <w:r w:rsidR="00A7727F" w:rsidRPr="00A7727F">
        <w:rPr>
          <w:lang w:eastAsia="ja-JP"/>
        </w:rPr>
        <w:t xml:space="preserve"> (ongoing; recruitment complete</w:t>
      </w:r>
      <w:r w:rsidR="00475667">
        <w:rPr>
          <w:lang w:eastAsia="ja-JP"/>
        </w:rPr>
        <w:t>; p</w:t>
      </w:r>
      <w:r w:rsidR="00A7727F" w:rsidRPr="00A7727F">
        <w:rPr>
          <w:lang w:eastAsia="ja-JP"/>
        </w:rPr>
        <w:t>rimary</w:t>
      </w:r>
      <w:r w:rsidR="00475667">
        <w:rPr>
          <w:lang w:eastAsia="ja-JP"/>
        </w:rPr>
        <w:t>)</w:t>
      </w:r>
    </w:p>
    <w:p w14:paraId="5C0E9AD5" w14:textId="3ED6CAE7" w:rsidR="00A7727F" w:rsidRPr="00A7727F" w:rsidRDefault="00A7727F" w:rsidP="00475667">
      <w:pPr>
        <w:pStyle w:val="ListBullet"/>
        <w:rPr>
          <w:lang w:eastAsia="ja-JP"/>
        </w:rPr>
      </w:pPr>
      <w:r w:rsidRPr="00A7727F">
        <w:rPr>
          <w:lang w:eastAsia="ja-JP"/>
        </w:rPr>
        <w:t xml:space="preserve">To assess the efficacy of the recommended </w:t>
      </w:r>
      <w:r w:rsidR="0018721C">
        <w:rPr>
          <w:lang w:eastAsia="ja-JP"/>
        </w:rPr>
        <w:t>Phase II</w:t>
      </w:r>
      <w:r w:rsidRPr="00A7727F">
        <w:rPr>
          <w:lang w:eastAsia="ja-JP"/>
        </w:rPr>
        <w:t xml:space="preserve"> dose of blinatumomab in p</w:t>
      </w:r>
      <w:r w:rsidR="00475667">
        <w:rPr>
          <w:lang w:eastAsia="ja-JP"/>
        </w:rPr>
        <w:t>a</w:t>
      </w:r>
      <w:r w:rsidRPr="00A7727F">
        <w:rPr>
          <w:lang w:eastAsia="ja-JP"/>
        </w:rPr>
        <w:t>ediatric and adolescent patients with B-precursor ALL who met eligibility criteria.</w:t>
      </w:r>
    </w:p>
    <w:p w14:paraId="3756C18F" w14:textId="20177456" w:rsidR="00A7727F" w:rsidRPr="00A7727F" w:rsidRDefault="00475667" w:rsidP="00475667">
      <w:pPr>
        <w:pStyle w:val="Heading6"/>
        <w:rPr>
          <w:lang w:eastAsia="ja-JP"/>
        </w:rPr>
      </w:pPr>
      <w:r>
        <w:rPr>
          <w:lang w:eastAsia="ja-JP"/>
        </w:rPr>
        <w:t>Phase II (s</w:t>
      </w:r>
      <w:r w:rsidR="00A7727F" w:rsidRPr="00A7727F">
        <w:rPr>
          <w:lang w:eastAsia="ja-JP"/>
        </w:rPr>
        <w:t>econdary</w:t>
      </w:r>
      <w:r>
        <w:rPr>
          <w:lang w:eastAsia="ja-JP"/>
        </w:rPr>
        <w:t>)</w:t>
      </w:r>
    </w:p>
    <w:p w14:paraId="164C5F2C" w14:textId="77777777" w:rsidR="00A7727F" w:rsidRPr="00A7727F" w:rsidRDefault="00A7727F" w:rsidP="00475667">
      <w:pPr>
        <w:pStyle w:val="ListBullet"/>
        <w:rPr>
          <w:lang w:eastAsia="ja-JP"/>
        </w:rPr>
      </w:pPr>
      <w:r w:rsidRPr="00A7727F">
        <w:rPr>
          <w:lang w:eastAsia="ja-JP"/>
        </w:rPr>
        <w:t>To assess the safety of blinatumomab and the development of ADAs to blinatumomab.</w:t>
      </w:r>
    </w:p>
    <w:p w14:paraId="0AEBD4C2" w14:textId="3160DE90" w:rsidR="00A7727F" w:rsidRPr="00A7727F" w:rsidRDefault="00A7727F" w:rsidP="00A7727F">
      <w:pPr>
        <w:rPr>
          <w:lang w:eastAsia="ja-JP"/>
        </w:rPr>
      </w:pPr>
      <w:r w:rsidRPr="00A7727F">
        <w:rPr>
          <w:lang w:eastAsia="ja-JP"/>
        </w:rPr>
        <w:t>This was a first p</w:t>
      </w:r>
      <w:r w:rsidR="00475667">
        <w:rPr>
          <w:lang w:eastAsia="ja-JP"/>
        </w:rPr>
        <w:t xml:space="preserve">aediatric study, </w:t>
      </w:r>
      <w:r w:rsidRPr="00A7727F">
        <w:rPr>
          <w:lang w:eastAsia="ja-JP"/>
        </w:rPr>
        <w:t xml:space="preserve">not a first in human study. This is an </w:t>
      </w:r>
      <w:r w:rsidR="00912BF3">
        <w:rPr>
          <w:lang w:eastAsia="ja-JP"/>
        </w:rPr>
        <w:t>open label, combined 2 </w:t>
      </w:r>
      <w:r w:rsidRPr="00A7727F">
        <w:rPr>
          <w:lang w:eastAsia="ja-JP"/>
        </w:rPr>
        <w:t>part multi</w:t>
      </w:r>
      <w:r w:rsidR="00070E8B">
        <w:rPr>
          <w:lang w:eastAsia="ja-JP"/>
        </w:rPr>
        <w:t>centre</w:t>
      </w:r>
      <w:r w:rsidRPr="00A7727F">
        <w:rPr>
          <w:lang w:eastAsia="ja-JP"/>
        </w:rPr>
        <w:t xml:space="preserve"> clinical study. </w:t>
      </w:r>
      <w:r w:rsidR="0018721C">
        <w:rPr>
          <w:lang w:eastAsia="ja-JP"/>
        </w:rPr>
        <w:t>Phase I</w:t>
      </w:r>
      <w:r w:rsidRPr="00A7727F">
        <w:rPr>
          <w:lang w:eastAsia="ja-JP"/>
        </w:rPr>
        <w:t xml:space="preserve"> was a dose finding study (rolling </w:t>
      </w:r>
      <w:r w:rsidR="00423768">
        <w:rPr>
          <w:lang w:eastAsia="ja-JP"/>
        </w:rPr>
        <w:t>6</w:t>
      </w:r>
      <w:r w:rsidRPr="00A7727F">
        <w:rPr>
          <w:lang w:eastAsia="ja-JP"/>
        </w:rPr>
        <w:t xml:space="preserve"> design) to investigate the PK, safety, and clinical activity of escalating levels (3.7 to 60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of blinatumomab in p</w:t>
      </w:r>
      <w:r w:rsidR="00070E8B">
        <w:rPr>
          <w:lang w:eastAsia="ja-JP"/>
        </w:rPr>
        <w:t>a</w:t>
      </w:r>
      <w:r w:rsidRPr="00A7727F">
        <w:rPr>
          <w:lang w:eastAsia="ja-JP"/>
        </w:rPr>
        <w:t>ediatric and adolescent patients with relapsed or refractory B-precursor ALL.</w:t>
      </w:r>
    </w:p>
    <w:p w14:paraId="144DCBAE" w14:textId="5EE7F2D3" w:rsidR="00A7727F" w:rsidRPr="00A7727F" w:rsidRDefault="00A7727F" w:rsidP="00A7727F">
      <w:pPr>
        <w:rPr>
          <w:lang w:eastAsia="ja-JP"/>
        </w:rPr>
      </w:pPr>
      <w:r w:rsidRPr="00A7727F">
        <w:rPr>
          <w:lang w:eastAsia="ja-JP"/>
        </w:rPr>
        <w:t xml:space="preserve">Once a recommended dose was selected in the </w:t>
      </w:r>
      <w:r w:rsidR="0018721C">
        <w:rPr>
          <w:lang w:eastAsia="ja-JP"/>
        </w:rPr>
        <w:t>Phase I</w:t>
      </w:r>
      <w:r w:rsidRPr="00A7727F">
        <w:rPr>
          <w:lang w:eastAsia="ja-JP"/>
        </w:rPr>
        <w:t xml:space="preserve"> part of the study, the </w:t>
      </w:r>
      <w:r w:rsidR="0018721C">
        <w:rPr>
          <w:lang w:eastAsia="ja-JP"/>
        </w:rPr>
        <w:t>Phase II</w:t>
      </w:r>
      <w:r w:rsidR="00912BF3">
        <w:rPr>
          <w:lang w:eastAsia="ja-JP"/>
        </w:rPr>
        <w:t xml:space="preserve"> part (2 </w:t>
      </w:r>
      <w:r w:rsidRPr="00A7727F">
        <w:rPr>
          <w:lang w:eastAsia="ja-JP"/>
        </w:rPr>
        <w:t>stage</w:t>
      </w:r>
      <w:r w:rsidR="000741E7">
        <w:rPr>
          <w:lang w:eastAsia="ja-JP"/>
        </w:rPr>
        <w:t>,</w:t>
      </w:r>
      <w:r w:rsidRPr="00A7727F">
        <w:rPr>
          <w:lang w:eastAsia="ja-JP"/>
        </w:rPr>
        <w:t xml:space="preserve"> single arm design) was begun to assess the safety and efficacy of the recommended dose level of blinatumomab. The study consisted of a screening period, a treatment period, and an </w:t>
      </w:r>
      <w:r w:rsidR="002D00ED">
        <w:rPr>
          <w:lang w:eastAsia="ja-JP"/>
        </w:rPr>
        <w:t>‘End of core s</w:t>
      </w:r>
      <w:r w:rsidRPr="00A7727F">
        <w:rPr>
          <w:lang w:eastAsia="ja-JP"/>
        </w:rPr>
        <w:t>tudy</w:t>
      </w:r>
      <w:r w:rsidR="002D00ED">
        <w:rPr>
          <w:lang w:eastAsia="ja-JP"/>
        </w:rPr>
        <w:t>’</w:t>
      </w:r>
      <w:r w:rsidRPr="00A7727F">
        <w:rPr>
          <w:lang w:eastAsia="ja-JP"/>
        </w:rPr>
        <w:t xml:space="preserve"> visit</w:t>
      </w:r>
      <w:r w:rsidR="002D00ED">
        <w:rPr>
          <w:lang w:eastAsia="ja-JP"/>
        </w:rPr>
        <w:t>,</w:t>
      </w:r>
      <w:r w:rsidRPr="00A7727F">
        <w:rPr>
          <w:lang w:eastAsia="ja-JP"/>
        </w:rPr>
        <w:t xml:space="preserve"> 30 days after last dose of study medication. After the last treatment cycle all subjects were followed for efficacy and survival up to 24 months after treatment start.</w:t>
      </w:r>
    </w:p>
    <w:p w14:paraId="078B8457" w14:textId="6E662DF6" w:rsidR="00A7727F" w:rsidRPr="00A7727F" w:rsidRDefault="00475667" w:rsidP="00475667">
      <w:pPr>
        <w:pStyle w:val="Heading5"/>
        <w:rPr>
          <w:lang w:eastAsia="ja-JP"/>
        </w:rPr>
      </w:pPr>
      <w:r>
        <w:rPr>
          <w:lang w:eastAsia="ja-JP"/>
        </w:rPr>
        <w:t>Study period</w:t>
      </w:r>
    </w:p>
    <w:p w14:paraId="0E60C4F1" w14:textId="36B8C2B2" w:rsidR="00A7727F" w:rsidRPr="00A7727F" w:rsidRDefault="00A7727F" w:rsidP="00A7727F">
      <w:pPr>
        <w:rPr>
          <w:lang w:eastAsia="ja-JP"/>
        </w:rPr>
      </w:pPr>
      <w:r w:rsidRPr="00A7727F">
        <w:rPr>
          <w:lang w:eastAsia="ja-JP"/>
        </w:rPr>
        <w:t>This study is ongoing.</w:t>
      </w:r>
      <w:r w:rsidR="00475667">
        <w:rPr>
          <w:lang w:eastAsia="ja-JP"/>
        </w:rPr>
        <w:t xml:space="preserve"> </w:t>
      </w:r>
      <w:r w:rsidRPr="00A7727F">
        <w:rPr>
          <w:lang w:eastAsia="ja-JP"/>
        </w:rPr>
        <w:t xml:space="preserve">The first subject was enrolled in January 2012. Data for the subjects from </w:t>
      </w:r>
      <w:r w:rsidR="0018721C">
        <w:rPr>
          <w:lang w:eastAsia="ja-JP"/>
        </w:rPr>
        <w:t>Phase I</w:t>
      </w:r>
      <w:r w:rsidRPr="00A7727F">
        <w:rPr>
          <w:lang w:eastAsia="ja-JP"/>
        </w:rPr>
        <w:t xml:space="preserve"> dose evaluation </w:t>
      </w:r>
      <w:r w:rsidR="0018721C">
        <w:rPr>
          <w:lang w:eastAsia="ja-JP"/>
        </w:rPr>
        <w:t>Phase</w:t>
      </w:r>
      <w:r w:rsidRPr="00A7727F">
        <w:rPr>
          <w:lang w:eastAsia="ja-JP"/>
        </w:rPr>
        <w:t xml:space="preserve"> (N</w:t>
      </w:r>
      <w:r w:rsidR="00375CAE">
        <w:rPr>
          <w:lang w:eastAsia="ja-JP"/>
        </w:rPr>
        <w:t xml:space="preserve"> </w:t>
      </w:r>
      <w:r w:rsidR="00423768">
        <w:rPr>
          <w:lang w:eastAsia="ja-JP"/>
        </w:rPr>
        <w:t>=</w:t>
      </w:r>
      <w:r w:rsidR="00375CAE">
        <w:rPr>
          <w:lang w:eastAsia="ja-JP"/>
        </w:rPr>
        <w:t xml:space="preserve"> </w:t>
      </w:r>
      <w:r w:rsidRPr="00A7727F">
        <w:rPr>
          <w:lang w:eastAsia="ja-JP"/>
        </w:rPr>
        <w:t xml:space="preserve">41) who received at least 1 dose of blinatumomab are reported in this CSR (data </w:t>
      </w:r>
      <w:r w:rsidR="00CB21D3" w:rsidRPr="00A7727F">
        <w:rPr>
          <w:lang w:eastAsia="ja-JP"/>
        </w:rPr>
        <w:t>cut</w:t>
      </w:r>
      <w:r w:rsidR="00CB21D3">
        <w:rPr>
          <w:lang w:eastAsia="ja-JP"/>
        </w:rPr>
        <w:t>-</w:t>
      </w:r>
      <w:r w:rsidR="00CB21D3" w:rsidRPr="00A7727F">
        <w:rPr>
          <w:lang w:eastAsia="ja-JP"/>
        </w:rPr>
        <w:t>off</w:t>
      </w:r>
      <w:r w:rsidRPr="00A7727F">
        <w:rPr>
          <w:lang w:eastAsia="ja-JP"/>
        </w:rPr>
        <w:t xml:space="preserve"> date </w:t>
      </w:r>
      <w:r w:rsidR="00F71A24">
        <w:rPr>
          <w:lang w:eastAsia="ja-JP"/>
        </w:rPr>
        <w:t xml:space="preserve">of </w:t>
      </w:r>
      <w:r w:rsidRPr="00A7727F">
        <w:rPr>
          <w:lang w:eastAsia="ja-JP"/>
        </w:rPr>
        <w:t>10 October 2013). Serious and fatal adverse events from 11 October 2013 to 30 March 2014 are reported for all subjects who received blinatumomab.</w:t>
      </w:r>
    </w:p>
    <w:p w14:paraId="31700208" w14:textId="28D3C952" w:rsidR="00A7727F" w:rsidRPr="00A7727F" w:rsidRDefault="00A7727F" w:rsidP="00475667">
      <w:pPr>
        <w:pStyle w:val="Heading5"/>
        <w:rPr>
          <w:lang w:eastAsia="ja-JP"/>
        </w:rPr>
      </w:pPr>
      <w:r w:rsidRPr="00A7727F">
        <w:rPr>
          <w:lang w:eastAsia="ja-JP"/>
        </w:rPr>
        <w:t xml:space="preserve">Diagnosis and </w:t>
      </w:r>
      <w:r w:rsidR="00475667" w:rsidRPr="00A7727F">
        <w:rPr>
          <w:lang w:eastAsia="ja-JP"/>
        </w:rPr>
        <w:t>main criteria for eligibility</w:t>
      </w:r>
    </w:p>
    <w:p w14:paraId="310AB464" w14:textId="526F70B4" w:rsidR="00A7727F" w:rsidRPr="00A7727F" w:rsidRDefault="00A7727F" w:rsidP="00475667">
      <w:pPr>
        <w:pStyle w:val="ListBullet"/>
        <w:rPr>
          <w:lang w:eastAsia="ja-JP"/>
        </w:rPr>
      </w:pPr>
      <w:r w:rsidRPr="00A7727F">
        <w:rPr>
          <w:lang w:eastAsia="ja-JP"/>
        </w:rPr>
        <w:t>Children or adolescents</w:t>
      </w:r>
      <w:r w:rsidR="00375CAE">
        <w:rPr>
          <w:lang w:eastAsia="ja-JP"/>
        </w:rPr>
        <w:t xml:space="preserve"> </w:t>
      </w:r>
      <w:r w:rsidR="00423768">
        <w:rPr>
          <w:lang w:eastAsia="ja-JP"/>
        </w:rPr>
        <w:t>&lt;</w:t>
      </w:r>
      <w:r w:rsidR="00375CAE">
        <w:rPr>
          <w:lang w:eastAsia="ja-JP"/>
        </w:rPr>
        <w:t xml:space="preserve"> </w:t>
      </w:r>
      <w:r w:rsidRPr="00A7727F">
        <w:rPr>
          <w:lang w:eastAsia="ja-JP"/>
        </w:rPr>
        <w:t xml:space="preserve">18 years of age; only children age 2 to 17 enrolled before the identification of the recommended </w:t>
      </w:r>
      <w:r w:rsidR="0018721C">
        <w:rPr>
          <w:lang w:eastAsia="ja-JP"/>
        </w:rPr>
        <w:t>Phase II</w:t>
      </w:r>
      <w:r w:rsidRPr="00A7727F">
        <w:rPr>
          <w:lang w:eastAsia="ja-JP"/>
        </w:rPr>
        <w:t xml:space="preserve"> dose</w:t>
      </w:r>
    </w:p>
    <w:p w14:paraId="02B71EBF" w14:textId="06A00B84" w:rsidR="00A7727F" w:rsidRPr="00A7727F" w:rsidRDefault="00A7727F" w:rsidP="00475667">
      <w:pPr>
        <w:pStyle w:val="ListBullet"/>
        <w:rPr>
          <w:lang w:eastAsia="ja-JP"/>
        </w:rPr>
      </w:pPr>
      <w:r w:rsidRPr="00A7727F">
        <w:rPr>
          <w:lang w:eastAsia="ja-JP"/>
        </w:rPr>
        <w:t>Morphologic and immunophenotypic evidence of B-precursor ALL with</w:t>
      </w:r>
      <w:r w:rsidR="00375CAE">
        <w:rPr>
          <w:lang w:eastAsia="ja-JP"/>
        </w:rPr>
        <w:t xml:space="preserve"> </w:t>
      </w:r>
      <w:r w:rsidR="00423768">
        <w:rPr>
          <w:lang w:eastAsia="ja-JP"/>
        </w:rPr>
        <w:t>&gt;</w:t>
      </w:r>
      <w:r w:rsidR="00375CAE">
        <w:rPr>
          <w:lang w:eastAsia="ja-JP"/>
        </w:rPr>
        <w:t xml:space="preserve"> </w:t>
      </w:r>
      <w:r w:rsidRPr="00A7727F">
        <w:rPr>
          <w:lang w:eastAsia="ja-JP"/>
        </w:rPr>
        <w:t>25% blasts in bone marrow (M3) at study enrolment</w:t>
      </w:r>
    </w:p>
    <w:p w14:paraId="462344A0" w14:textId="77777777" w:rsidR="00A7727F" w:rsidRPr="00A7727F" w:rsidRDefault="00A7727F" w:rsidP="00475667">
      <w:pPr>
        <w:pStyle w:val="ListBullet"/>
        <w:rPr>
          <w:lang w:eastAsia="ja-JP"/>
        </w:rPr>
      </w:pPr>
      <w:r w:rsidRPr="00A7727F">
        <w:rPr>
          <w:lang w:eastAsia="ja-JP"/>
        </w:rPr>
        <w:t xml:space="preserve">Relapsed or refractory disease </w:t>
      </w:r>
    </w:p>
    <w:p w14:paraId="520C93A8" w14:textId="3FB51FBC" w:rsidR="00A7727F" w:rsidRPr="00A7727F" w:rsidRDefault="00A7727F" w:rsidP="00475667">
      <w:pPr>
        <w:pStyle w:val="ListBullet"/>
        <w:rPr>
          <w:lang w:eastAsia="ja-JP"/>
        </w:rPr>
      </w:pPr>
      <w:r w:rsidRPr="00A7727F">
        <w:rPr>
          <w:lang w:eastAsia="ja-JP"/>
        </w:rPr>
        <w:t>Karnofsky performance status</w:t>
      </w:r>
      <w:r w:rsidR="00375CAE">
        <w:rPr>
          <w:lang w:eastAsia="ja-JP"/>
        </w:rPr>
        <w:t xml:space="preserve"> </w:t>
      </w:r>
      <w:r w:rsidR="00423768">
        <w:rPr>
          <w:lang w:eastAsia="ja-JP"/>
        </w:rPr>
        <w:t>≥</w:t>
      </w:r>
      <w:r w:rsidR="00375CAE">
        <w:rPr>
          <w:lang w:eastAsia="ja-JP"/>
        </w:rPr>
        <w:t xml:space="preserve"> </w:t>
      </w:r>
      <w:r w:rsidRPr="00A7727F">
        <w:rPr>
          <w:lang w:eastAsia="ja-JP"/>
        </w:rPr>
        <w:t>50% (subjects</w:t>
      </w:r>
      <w:r w:rsidR="00375CAE">
        <w:rPr>
          <w:lang w:eastAsia="ja-JP"/>
        </w:rPr>
        <w:t xml:space="preserve"> </w:t>
      </w:r>
      <w:r w:rsidR="00423768">
        <w:rPr>
          <w:lang w:eastAsia="ja-JP"/>
        </w:rPr>
        <w:t>≥</w:t>
      </w:r>
      <w:r w:rsidR="00375CAE">
        <w:rPr>
          <w:lang w:eastAsia="ja-JP"/>
        </w:rPr>
        <w:t xml:space="preserve"> </w:t>
      </w:r>
      <w:r w:rsidRPr="00A7727F">
        <w:rPr>
          <w:lang w:eastAsia="ja-JP"/>
        </w:rPr>
        <w:t>16 years) or Lansky Performance Status of</w:t>
      </w:r>
      <w:r w:rsidR="00375CAE">
        <w:rPr>
          <w:lang w:eastAsia="ja-JP"/>
        </w:rPr>
        <w:t xml:space="preserve"> </w:t>
      </w:r>
      <w:r w:rsidR="00423768">
        <w:rPr>
          <w:lang w:eastAsia="ja-JP"/>
        </w:rPr>
        <w:t>≥</w:t>
      </w:r>
      <w:r w:rsidR="00375CAE">
        <w:rPr>
          <w:lang w:eastAsia="ja-JP"/>
        </w:rPr>
        <w:t xml:space="preserve"> </w:t>
      </w:r>
      <w:r w:rsidRPr="00A7727F">
        <w:rPr>
          <w:lang w:eastAsia="ja-JP"/>
        </w:rPr>
        <w:t>50% (subjects</w:t>
      </w:r>
      <w:r w:rsidR="00375CAE">
        <w:rPr>
          <w:lang w:eastAsia="ja-JP"/>
        </w:rPr>
        <w:t xml:space="preserve"> </w:t>
      </w:r>
      <w:r w:rsidR="00423768">
        <w:rPr>
          <w:lang w:eastAsia="ja-JP"/>
        </w:rPr>
        <w:t>&lt;</w:t>
      </w:r>
      <w:r w:rsidR="00375CAE">
        <w:rPr>
          <w:lang w:eastAsia="ja-JP"/>
        </w:rPr>
        <w:t xml:space="preserve"> </w:t>
      </w:r>
      <w:r w:rsidRPr="00A7727F">
        <w:rPr>
          <w:lang w:eastAsia="ja-JP"/>
        </w:rPr>
        <w:t>16 years)</w:t>
      </w:r>
    </w:p>
    <w:p w14:paraId="4789633B" w14:textId="5FDF25EE" w:rsidR="00A7727F" w:rsidRPr="00A7727F" w:rsidRDefault="00A7727F" w:rsidP="00475667">
      <w:pPr>
        <w:pStyle w:val="ListBullet"/>
        <w:rPr>
          <w:lang w:eastAsia="ja-JP"/>
        </w:rPr>
      </w:pPr>
      <w:r w:rsidRPr="00A7727F">
        <w:rPr>
          <w:lang w:eastAsia="ja-JP"/>
        </w:rPr>
        <w:t>Excluded subjects with active acute or extensive chronic graft-versus-host disease (GvHD) including taking immunosuppressive agents to prevent or treat GvHD within 2 weeks before blinatumomab treatment; known or suspected central nervous (CNS) involvement; history of or current relevant CNS pathology; any hematopoietic stem cell transplant (HSCT) within 3 months before blinatumomab treatment; immediately previous cancer chemotherapy, radiotherapy, or immunotherapy</w:t>
      </w:r>
      <w:r w:rsidR="00475667">
        <w:rPr>
          <w:lang w:eastAsia="ja-JP"/>
        </w:rPr>
        <w:t>.</w:t>
      </w:r>
    </w:p>
    <w:p w14:paraId="7CB0A80B" w14:textId="3CDEF7DB" w:rsidR="00A7727F" w:rsidRPr="00A7727F" w:rsidRDefault="00475667" w:rsidP="00475667">
      <w:pPr>
        <w:pStyle w:val="Heading5"/>
        <w:rPr>
          <w:lang w:eastAsia="ja-JP"/>
        </w:rPr>
      </w:pPr>
      <w:r>
        <w:rPr>
          <w:lang w:eastAsia="ja-JP"/>
        </w:rPr>
        <w:t>Duration of treatment</w:t>
      </w:r>
    </w:p>
    <w:p w14:paraId="202BB77E" w14:textId="6EA4ED7F" w:rsidR="00A7727F" w:rsidRPr="00A7727F" w:rsidRDefault="00A7727F" w:rsidP="00A7727F">
      <w:pPr>
        <w:rPr>
          <w:lang w:eastAsia="ja-JP"/>
        </w:rPr>
      </w:pPr>
      <w:r w:rsidRPr="00A7727F">
        <w:rPr>
          <w:lang w:eastAsia="ja-JP"/>
        </w:rPr>
        <w:t>Blinatumomab was administered as a continuous intravenous (cIV) infusion at a constant daily flow rate over 4 weeks followed by a treatment free interval of 2 weeks. Doses ranged between 3.75 and 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Each subject was to participate for up to 34 weeks in the core study including a screening period of up to 2 weeks, a treatment period of up to 30 weeks consisting of up to 5 consecutive cycles of 6 weeks each (4 weeks of blinatumomab cIV infusion followed by a treatment free interval of 2 weeks), and an End of Core Study visit 30 days after last dose of study medication.</w:t>
      </w:r>
    </w:p>
    <w:p w14:paraId="482B1C3D" w14:textId="725ACA68" w:rsidR="00A7727F" w:rsidRPr="00A7727F" w:rsidRDefault="00475667" w:rsidP="00475667">
      <w:pPr>
        <w:pStyle w:val="Heading5"/>
        <w:rPr>
          <w:lang w:eastAsia="ja-JP"/>
        </w:rPr>
      </w:pPr>
      <w:r>
        <w:rPr>
          <w:lang w:eastAsia="ja-JP"/>
        </w:rPr>
        <w:t>Study e</w:t>
      </w:r>
      <w:r w:rsidR="00A7727F" w:rsidRPr="00A7727F">
        <w:rPr>
          <w:lang w:eastAsia="ja-JP"/>
        </w:rPr>
        <w:t>ndpoints</w:t>
      </w:r>
    </w:p>
    <w:p w14:paraId="38E7243B" w14:textId="57EF7850" w:rsidR="00A7727F" w:rsidRPr="00A7727F" w:rsidRDefault="0018721C" w:rsidP="00475667">
      <w:pPr>
        <w:pStyle w:val="Heading6"/>
        <w:rPr>
          <w:lang w:eastAsia="ja-JP"/>
        </w:rPr>
      </w:pPr>
      <w:r>
        <w:rPr>
          <w:lang w:eastAsia="ja-JP"/>
        </w:rPr>
        <w:t>Phase I</w:t>
      </w:r>
    </w:p>
    <w:p w14:paraId="1665BDA2" w14:textId="4B6D237B" w:rsidR="00A7727F" w:rsidRPr="00A7727F" w:rsidRDefault="00A7727F" w:rsidP="00A7727F">
      <w:pPr>
        <w:rPr>
          <w:lang w:eastAsia="ja-JP"/>
        </w:rPr>
      </w:pPr>
      <w:r w:rsidRPr="00A7727F">
        <w:rPr>
          <w:lang w:eastAsia="ja-JP"/>
        </w:rPr>
        <w:t>The primary endpoint was the maximum tolerated dose (MTD) defined by</w:t>
      </w:r>
      <w:r w:rsidR="00375CAE">
        <w:rPr>
          <w:lang w:eastAsia="ja-JP"/>
        </w:rPr>
        <w:t xml:space="preserve"> </w:t>
      </w:r>
      <w:r w:rsidR="00423768">
        <w:rPr>
          <w:lang w:eastAsia="ja-JP"/>
        </w:rPr>
        <w:t>≤</w:t>
      </w:r>
      <w:r w:rsidR="00375CAE">
        <w:rPr>
          <w:lang w:eastAsia="ja-JP"/>
        </w:rPr>
        <w:t xml:space="preserve"> </w:t>
      </w:r>
      <w:r w:rsidRPr="00A7727F">
        <w:rPr>
          <w:lang w:eastAsia="ja-JP"/>
        </w:rPr>
        <w:t>1 of 6 subjects experiencing a dose limiting toxicity (DLT) or maximum administered dose (MAD).</w:t>
      </w:r>
    </w:p>
    <w:p w14:paraId="5828AD4B" w14:textId="4FBEE98B" w:rsidR="00A7727F" w:rsidRPr="00A7727F" w:rsidRDefault="00A7727F" w:rsidP="00A7727F">
      <w:pPr>
        <w:rPr>
          <w:lang w:eastAsia="ja-JP"/>
        </w:rPr>
      </w:pPr>
      <w:r w:rsidRPr="00A7727F">
        <w:rPr>
          <w:lang w:eastAsia="ja-JP"/>
        </w:rPr>
        <w:t>Secondary endpoints were the overall incidence and severity of adverse events</w:t>
      </w:r>
      <w:r w:rsidR="00475667">
        <w:rPr>
          <w:lang w:eastAsia="ja-JP"/>
        </w:rPr>
        <w:t>, quantification and characteris</w:t>
      </w:r>
      <w:r w:rsidRPr="00A7727F">
        <w:rPr>
          <w:lang w:eastAsia="ja-JP"/>
        </w:rPr>
        <w:t>ation of PK parameters over time, rate of complete remission (CR, which included complete h</w:t>
      </w:r>
      <w:r w:rsidR="00475667">
        <w:rPr>
          <w:lang w:eastAsia="ja-JP"/>
        </w:rPr>
        <w:t>a</w:t>
      </w:r>
      <w:r w:rsidR="000741E7">
        <w:rPr>
          <w:lang w:eastAsia="ja-JP"/>
        </w:rPr>
        <w:t>ematological recovery (CRc)</w:t>
      </w:r>
      <w:r w:rsidRPr="00A7727F">
        <w:rPr>
          <w:lang w:eastAsia="ja-JP"/>
        </w:rPr>
        <w:t xml:space="preserve"> and i</w:t>
      </w:r>
      <w:r w:rsidR="00475667">
        <w:rPr>
          <w:lang w:eastAsia="ja-JP"/>
        </w:rPr>
        <w:t>ncomplete hematologic recovery (CR*)</w:t>
      </w:r>
      <w:r w:rsidRPr="00A7727F">
        <w:rPr>
          <w:lang w:eastAsia="ja-JP"/>
        </w:rPr>
        <w:t>), duration of CR with CRc or CR*, relapse</w:t>
      </w:r>
      <w:r w:rsidR="006A3B04">
        <w:rPr>
          <w:lang w:eastAsia="ja-JP"/>
        </w:rPr>
        <w:t xml:space="preserve"> free</w:t>
      </w:r>
      <w:r w:rsidRPr="00A7727F">
        <w:rPr>
          <w:lang w:eastAsia="ja-JP"/>
        </w:rPr>
        <w:t xml:space="preserve"> survival (RFS), overall survival (OS), time to haematological relapse (TTR), proportion of subjects who develop ADAs at any time, an</w:t>
      </w:r>
      <w:r w:rsidR="00475667">
        <w:rPr>
          <w:lang w:eastAsia="ja-JP"/>
        </w:rPr>
        <w:t>d quantification and characteris</w:t>
      </w:r>
      <w:r w:rsidRPr="00A7727F">
        <w:rPr>
          <w:lang w:eastAsia="ja-JP"/>
        </w:rPr>
        <w:t>ation of cytokine serum concentrations.</w:t>
      </w:r>
    </w:p>
    <w:p w14:paraId="2B8CEDFD" w14:textId="2BC06CBD" w:rsidR="00A7727F" w:rsidRPr="00A7727F" w:rsidRDefault="0018721C" w:rsidP="00475667">
      <w:pPr>
        <w:pStyle w:val="Heading6"/>
        <w:rPr>
          <w:lang w:eastAsia="ja-JP"/>
        </w:rPr>
      </w:pPr>
      <w:r>
        <w:rPr>
          <w:lang w:eastAsia="ja-JP"/>
        </w:rPr>
        <w:t>Phase II</w:t>
      </w:r>
      <w:r w:rsidR="00A7727F" w:rsidRPr="00A7727F">
        <w:rPr>
          <w:lang w:eastAsia="ja-JP"/>
        </w:rPr>
        <w:t xml:space="preserve"> (ongoing)</w:t>
      </w:r>
    </w:p>
    <w:p w14:paraId="5892D149" w14:textId="77777777" w:rsidR="00A7727F" w:rsidRPr="00A7727F" w:rsidRDefault="00A7727F" w:rsidP="00A7727F">
      <w:pPr>
        <w:rPr>
          <w:lang w:eastAsia="ja-JP"/>
        </w:rPr>
      </w:pPr>
      <w:r w:rsidRPr="00A7727F">
        <w:rPr>
          <w:lang w:eastAsia="ja-JP"/>
        </w:rPr>
        <w:t>The primary endpoint is the rate of CR. Secondary endpoints are the overall incidence and severity of adverse events, proportion of subjects who undergo HSCT after treatment with blinatumomab, rate of CR, TTR, CRc or CR* duration, OS, RFS, and the proportion of subjects who develop ADAs at any time.</w:t>
      </w:r>
    </w:p>
    <w:p w14:paraId="1373B736" w14:textId="77777777" w:rsidR="00A7727F" w:rsidRPr="00A7727F" w:rsidRDefault="00A7727F" w:rsidP="00475667">
      <w:pPr>
        <w:pStyle w:val="Heading5"/>
        <w:rPr>
          <w:lang w:eastAsia="ja-JP"/>
        </w:rPr>
      </w:pPr>
      <w:r w:rsidRPr="00A7727F">
        <w:rPr>
          <w:lang w:eastAsia="ja-JP"/>
        </w:rPr>
        <w:t>Summary of Results</w:t>
      </w:r>
    </w:p>
    <w:p w14:paraId="5948565A" w14:textId="1EA9B043" w:rsidR="00A7727F" w:rsidRPr="00A7727F" w:rsidRDefault="00475667" w:rsidP="00475667">
      <w:pPr>
        <w:pStyle w:val="Heading6"/>
        <w:rPr>
          <w:lang w:eastAsia="ja-JP"/>
        </w:rPr>
      </w:pPr>
      <w:r>
        <w:rPr>
          <w:lang w:eastAsia="ja-JP"/>
        </w:rPr>
        <w:t>Subject d</w:t>
      </w:r>
      <w:r w:rsidR="00A7727F" w:rsidRPr="00A7727F">
        <w:rPr>
          <w:lang w:eastAsia="ja-JP"/>
        </w:rPr>
        <w:t>isposition</w:t>
      </w:r>
    </w:p>
    <w:p w14:paraId="47259C54" w14:textId="01C101E3" w:rsidR="00A7727F" w:rsidRPr="00A7727F" w:rsidRDefault="00475667" w:rsidP="00A7727F">
      <w:pPr>
        <w:rPr>
          <w:lang w:eastAsia="ja-JP"/>
        </w:rPr>
      </w:pPr>
      <w:r>
        <w:rPr>
          <w:lang w:eastAsia="ja-JP"/>
        </w:rPr>
        <w:t>41</w:t>
      </w:r>
      <w:r w:rsidR="00A7727F" w:rsidRPr="00A7727F">
        <w:rPr>
          <w:lang w:eastAsia="ja-JP"/>
        </w:rPr>
        <w:t xml:space="preserve"> subjects were enrolled and received at least 1 infusion of blinatumomab and were included in the </w:t>
      </w:r>
      <w:r w:rsidR="0018721C">
        <w:rPr>
          <w:lang w:eastAsia="ja-JP"/>
        </w:rPr>
        <w:t>Phase I</w:t>
      </w:r>
      <w:r w:rsidR="00A7727F" w:rsidRPr="00A7727F">
        <w:rPr>
          <w:lang w:eastAsia="ja-JP"/>
        </w:rPr>
        <w:t xml:space="preserve"> full analysis set. At the time of the data cut-off date, 2 subjects (5%) had completed 5 cycles of treatment; treatment was ongoing for 14 subjects (34%); 27 subjects (66%) had ended the study.</w:t>
      </w:r>
    </w:p>
    <w:p w14:paraId="08EB0FFF" w14:textId="1F9145E0" w:rsidR="00A7727F" w:rsidRPr="00A7727F" w:rsidRDefault="000741E7" w:rsidP="000741E7">
      <w:pPr>
        <w:pStyle w:val="Heading6"/>
        <w:rPr>
          <w:lang w:eastAsia="ja-JP"/>
        </w:rPr>
      </w:pPr>
      <w:r>
        <w:rPr>
          <w:lang w:eastAsia="ja-JP"/>
        </w:rPr>
        <w:t>Efficacy r</w:t>
      </w:r>
      <w:r w:rsidR="00A7727F" w:rsidRPr="00A7727F">
        <w:rPr>
          <w:lang w:eastAsia="ja-JP"/>
        </w:rPr>
        <w:t>esults</w:t>
      </w:r>
    </w:p>
    <w:p w14:paraId="3CD15612" w14:textId="75535C0B" w:rsidR="00A7727F" w:rsidRPr="00A7727F" w:rsidRDefault="00A7727F" w:rsidP="00A7727F">
      <w:pPr>
        <w:rPr>
          <w:lang w:eastAsia="ja-JP"/>
        </w:rPr>
      </w:pPr>
      <w:r w:rsidRPr="00A7727F">
        <w:rPr>
          <w:lang w:eastAsia="ja-JP"/>
        </w:rPr>
        <w:t xml:space="preserve">Efficacy variables were secondary endpoints in </w:t>
      </w:r>
      <w:r w:rsidR="0018721C">
        <w:rPr>
          <w:lang w:eastAsia="ja-JP"/>
        </w:rPr>
        <w:t>Phase I</w:t>
      </w:r>
      <w:r w:rsidRPr="00A7727F">
        <w:rPr>
          <w:lang w:eastAsia="ja-JP"/>
        </w:rPr>
        <w:t xml:space="preserve">. The endpoint of CR rate included CRc and CR*. An overview of best response rates during the first 2 cycles of treatment in </w:t>
      </w:r>
      <w:r w:rsidR="0018721C">
        <w:rPr>
          <w:lang w:eastAsia="ja-JP"/>
        </w:rPr>
        <w:t>Phase I</w:t>
      </w:r>
      <w:r w:rsidRPr="00A7727F">
        <w:rPr>
          <w:lang w:eastAsia="ja-JP"/>
        </w:rPr>
        <w:t xml:space="preserve"> is presented in </w:t>
      </w:r>
      <w:r w:rsidR="005C5D15" w:rsidRPr="005C5D15">
        <w:rPr>
          <w:lang w:eastAsia="ja-JP"/>
        </w:rPr>
        <w:t>Table 35, shown below.</w:t>
      </w:r>
      <w:r w:rsidRPr="00A7727F">
        <w:rPr>
          <w:lang w:eastAsia="ja-JP"/>
        </w:rPr>
        <w:t xml:space="preserve"> </w:t>
      </w:r>
      <w:r w:rsidR="005C5D15">
        <w:rPr>
          <w:lang w:eastAsia="ja-JP"/>
        </w:rPr>
        <w:t>13</w:t>
      </w:r>
      <w:r w:rsidRPr="00A7727F">
        <w:rPr>
          <w:lang w:eastAsia="ja-JP"/>
        </w:rPr>
        <w:t xml:space="preserve"> subjects (32%) had CRc/CR* during the first 2 cycles of </w:t>
      </w:r>
      <w:r w:rsidR="0018721C">
        <w:rPr>
          <w:lang w:eastAsia="ja-JP"/>
        </w:rPr>
        <w:t>Phase I</w:t>
      </w:r>
      <w:r w:rsidRPr="00A7727F">
        <w:rPr>
          <w:lang w:eastAsia="ja-JP"/>
        </w:rPr>
        <w:t xml:space="preserve">; 6 subjects (15%) had a partial remission. Most CRs were observed in </w:t>
      </w:r>
      <w:r w:rsidR="007D46D6">
        <w:rPr>
          <w:lang w:eastAsia="ja-JP"/>
        </w:rPr>
        <w:t>Cycle 1</w:t>
      </w:r>
      <w:r w:rsidRPr="00A7727F">
        <w:rPr>
          <w:lang w:eastAsia="ja-JP"/>
        </w:rPr>
        <w:t>. The median relapse</w:t>
      </w:r>
      <w:r w:rsidR="006A3B04">
        <w:rPr>
          <w:lang w:eastAsia="ja-JP"/>
        </w:rPr>
        <w:t xml:space="preserve"> free</w:t>
      </w:r>
      <w:r w:rsidRPr="00A7727F">
        <w:rPr>
          <w:lang w:eastAsia="ja-JP"/>
        </w:rPr>
        <w:t xml:space="preserve"> survival was 8.3 months (95% CI: 3.0 to 16.0 months). The median observation time was 8.6 months. The median overall survival was 5.7 months (95% CI: 3.3 to 9.7 months). The median observation time was 12.4 months. A total of 18 subjects (44%) received allogeneic HSCT during the study. Among the 13 subjects who achieved a CRc/CR*, 9 received an allogeneic HSCT while in remission induced by blinatumomab. One subject received allogeneic HSCT while not in remission within the first 2 cycles; 8 subjects received allogeneic HSCT without having reached CRc/CR* in the first 2 cycles of treatment. Of the subjects with CRc/CR* with a minimal residual disease (MRD) assessment during the first 2 cycles (N</w:t>
      </w:r>
      <w:r w:rsidR="00375CAE">
        <w:rPr>
          <w:lang w:eastAsia="ja-JP"/>
        </w:rPr>
        <w:t xml:space="preserve"> </w:t>
      </w:r>
      <w:r w:rsidR="00423768">
        <w:rPr>
          <w:lang w:eastAsia="ja-JP"/>
        </w:rPr>
        <w:t>=</w:t>
      </w:r>
      <w:r w:rsidR="00375CAE">
        <w:rPr>
          <w:lang w:eastAsia="ja-JP"/>
        </w:rPr>
        <w:t xml:space="preserve"> </w:t>
      </w:r>
      <w:r w:rsidRPr="00A7727F">
        <w:rPr>
          <w:lang w:eastAsia="ja-JP"/>
        </w:rPr>
        <w:t>12), the MRD response rate was 83% (10/12) and the complete MRD response rate was the same.</w:t>
      </w:r>
    </w:p>
    <w:p w14:paraId="7BE4421A" w14:textId="7D37D91D" w:rsidR="00A7727F" w:rsidRPr="00A7727F" w:rsidRDefault="00A7727F" w:rsidP="006C3F16">
      <w:pPr>
        <w:pStyle w:val="Tabletitle"/>
        <w:rPr>
          <w:lang w:eastAsia="ja-JP"/>
        </w:rPr>
      </w:pPr>
      <w:bookmarkStart w:id="224" w:name="_Toc292015718"/>
      <w:r w:rsidRPr="00A7727F">
        <w:rPr>
          <w:lang w:eastAsia="ja-JP"/>
        </w:rPr>
        <w:t xml:space="preserve">Table </w:t>
      </w:r>
      <w:r w:rsidR="00CB21D3">
        <w:rPr>
          <w:lang w:eastAsia="ja-JP"/>
        </w:rPr>
        <w:t>35:</w:t>
      </w:r>
      <w:r w:rsidRPr="00A7727F">
        <w:rPr>
          <w:lang w:eastAsia="ja-JP"/>
        </w:rPr>
        <w:t xml:space="preserve"> </w:t>
      </w:r>
      <w:r w:rsidR="006C3F16">
        <w:rPr>
          <w:lang w:eastAsia="ja-JP"/>
        </w:rPr>
        <w:t>B</w:t>
      </w:r>
      <w:r w:rsidR="006C3F16" w:rsidRPr="00A7727F">
        <w:rPr>
          <w:lang w:eastAsia="ja-JP"/>
        </w:rPr>
        <w:t xml:space="preserve">est response during the first </w:t>
      </w:r>
      <w:r w:rsidR="006C3F16">
        <w:rPr>
          <w:lang w:eastAsia="ja-JP"/>
        </w:rPr>
        <w:t>2</w:t>
      </w:r>
      <w:r w:rsidR="006C3F16" w:rsidRPr="00A7727F">
        <w:rPr>
          <w:lang w:eastAsia="ja-JP"/>
        </w:rPr>
        <w:t xml:space="preserve"> cycles, primary efficacy endpoint </w:t>
      </w:r>
      <w:r w:rsidRPr="00A7727F">
        <w:rPr>
          <w:lang w:eastAsia="ja-JP"/>
        </w:rPr>
        <w:t>(</w:t>
      </w:r>
      <w:r w:rsidR="0018721C">
        <w:rPr>
          <w:lang w:eastAsia="ja-JP"/>
        </w:rPr>
        <w:t>Phase I</w:t>
      </w:r>
      <w:r w:rsidRPr="00A7727F">
        <w:rPr>
          <w:lang w:eastAsia="ja-JP"/>
        </w:rPr>
        <w:t xml:space="preserve"> Full Analysis Set)</w:t>
      </w:r>
      <w:bookmarkEnd w:id="224"/>
    </w:p>
    <w:tbl>
      <w:tblPr>
        <w:tblStyle w:val="TableTGAblue"/>
        <w:tblW w:w="4890" w:type="pct"/>
        <w:tblLayout w:type="fixed"/>
        <w:tblLook w:val="04A0" w:firstRow="1" w:lastRow="0" w:firstColumn="1" w:lastColumn="0" w:noHBand="0" w:noVBand="1"/>
        <w:tblDescription w:val="Table 35: Best response during the first 2 cycles, primary efficacy endpoint (Phase I Full Analysis Set)"/>
      </w:tblPr>
      <w:tblGrid>
        <w:gridCol w:w="1330"/>
        <w:gridCol w:w="312"/>
        <w:gridCol w:w="669"/>
        <w:gridCol w:w="602"/>
        <w:gridCol w:w="313"/>
        <w:gridCol w:w="669"/>
        <w:gridCol w:w="602"/>
        <w:gridCol w:w="313"/>
        <w:gridCol w:w="669"/>
        <w:gridCol w:w="602"/>
        <w:gridCol w:w="313"/>
        <w:gridCol w:w="669"/>
        <w:gridCol w:w="602"/>
        <w:gridCol w:w="313"/>
        <w:gridCol w:w="669"/>
        <w:gridCol w:w="392"/>
      </w:tblGrid>
      <w:tr w:rsidR="00325EED" w:rsidRPr="00325EED" w14:paraId="02620182" w14:textId="77777777" w:rsidTr="007B270B">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7EC8E9AF" w14:textId="3A9521DF" w:rsidR="00325EED" w:rsidRPr="00325EED" w:rsidRDefault="00325EED" w:rsidP="00325EED">
            <w:pPr>
              <w:keepNext/>
              <w:ind w:left="0"/>
              <w:rPr>
                <w:sz w:val="18"/>
              </w:rPr>
            </w:pPr>
            <w:r>
              <w:rPr>
                <w:sz w:val="18"/>
              </w:rPr>
              <w:t>Response</w:t>
            </w:r>
          </w:p>
        </w:tc>
        <w:tc>
          <w:tcPr>
            <w:tcW w:w="4264" w:type="pct"/>
            <w:gridSpan w:val="15"/>
          </w:tcPr>
          <w:p w14:paraId="7CB9E3B8" w14:textId="77777777"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Treatment Cohort</w:t>
            </w:r>
          </w:p>
        </w:tc>
      </w:tr>
      <w:tr w:rsidR="00325EED" w:rsidRPr="00325EED" w14:paraId="5F0AC138" w14:textId="77777777" w:rsidTr="007B270B">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736" w:type="pct"/>
            <w:vMerge/>
          </w:tcPr>
          <w:p w14:paraId="04E08EDA" w14:textId="1FB33F6E" w:rsidR="00325EED" w:rsidRPr="00325EED" w:rsidRDefault="00325EED" w:rsidP="00325EED">
            <w:pPr>
              <w:keepNext/>
              <w:ind w:left="0" w:right="0"/>
              <w:rPr>
                <w:sz w:val="18"/>
              </w:rPr>
            </w:pPr>
          </w:p>
        </w:tc>
        <w:tc>
          <w:tcPr>
            <w:tcW w:w="876" w:type="pct"/>
            <w:gridSpan w:val="3"/>
          </w:tcPr>
          <w:p w14:paraId="35D504A2" w14:textId="49E73A5C"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5 µg/m²/day</w:t>
            </w:r>
          </w:p>
          <w:p w14:paraId="481F979A" w14:textId="31D84186"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(N = 5)</w:t>
            </w:r>
          </w:p>
        </w:tc>
        <w:tc>
          <w:tcPr>
            <w:tcW w:w="875" w:type="pct"/>
            <w:gridSpan w:val="3"/>
          </w:tcPr>
          <w:p w14:paraId="058A06BA" w14:textId="77777777" w:rsidR="00A972D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15 µg/m²/day</w:t>
            </w:r>
          </w:p>
          <w:p w14:paraId="6B663964" w14:textId="1B30BDD4"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(N = 7)</w:t>
            </w:r>
          </w:p>
        </w:tc>
        <w:tc>
          <w:tcPr>
            <w:tcW w:w="875" w:type="pct"/>
            <w:gridSpan w:val="3"/>
          </w:tcPr>
          <w:p w14:paraId="6BC231FF" w14:textId="77777777" w:rsidR="00A972D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30 µg/m²/day</w:t>
            </w:r>
          </w:p>
          <w:p w14:paraId="6E0000AB" w14:textId="1404E81E"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(N = 5)</w:t>
            </w:r>
          </w:p>
        </w:tc>
        <w:tc>
          <w:tcPr>
            <w:tcW w:w="875" w:type="pct"/>
            <w:gridSpan w:val="3"/>
          </w:tcPr>
          <w:p w14:paraId="70412001" w14:textId="77777777" w:rsidR="00A972D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Pr>
                <w:sz w:val="18"/>
              </w:rPr>
              <w:t xml:space="preserve">15 to </w:t>
            </w:r>
            <w:r w:rsidRPr="00325EED">
              <w:rPr>
                <w:sz w:val="18"/>
              </w:rPr>
              <w:t>30 µg/m²/day</w:t>
            </w:r>
          </w:p>
          <w:p w14:paraId="0F941C7D" w14:textId="0D75C5AB"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(N = 6)</w:t>
            </w:r>
          </w:p>
        </w:tc>
        <w:tc>
          <w:tcPr>
            <w:tcW w:w="763" w:type="pct"/>
            <w:gridSpan w:val="3"/>
          </w:tcPr>
          <w:p w14:paraId="2ACB6AE8" w14:textId="77777777" w:rsidR="00A972D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Pr>
                <w:sz w:val="18"/>
              </w:rPr>
              <w:t xml:space="preserve">5 to </w:t>
            </w:r>
            <w:r w:rsidRPr="00325EED">
              <w:rPr>
                <w:sz w:val="18"/>
              </w:rPr>
              <w:t>15 µg/m²/day</w:t>
            </w:r>
          </w:p>
          <w:p w14:paraId="1A08CF70" w14:textId="58D10C0A" w:rsidR="00325EED" w:rsidRPr="00325EED" w:rsidRDefault="00325EED" w:rsidP="00325EED">
            <w:pPr>
              <w:keepNext/>
              <w:ind w:left="0" w:right="0"/>
              <w:cnfStyle w:val="100000000000" w:firstRow="1" w:lastRow="0" w:firstColumn="0" w:lastColumn="0" w:oddVBand="0" w:evenVBand="0" w:oddHBand="0" w:evenHBand="0" w:firstRowFirstColumn="0" w:firstRowLastColumn="0" w:lastRowFirstColumn="0" w:lastRowLastColumn="0"/>
              <w:rPr>
                <w:sz w:val="18"/>
              </w:rPr>
            </w:pPr>
            <w:r w:rsidRPr="00325EED">
              <w:rPr>
                <w:sz w:val="18"/>
              </w:rPr>
              <w:t>(N = 18)</w:t>
            </w:r>
          </w:p>
        </w:tc>
      </w:tr>
      <w:tr w:rsidR="006C3F16" w:rsidRPr="00325EED" w14:paraId="2EAB8766" w14:textId="77777777" w:rsidTr="007B270B">
        <w:trPr>
          <w:trHeight w:val="659"/>
        </w:trPr>
        <w:tc>
          <w:tcPr>
            <w:cnfStyle w:val="001000000000" w:firstRow="0" w:lastRow="0" w:firstColumn="1" w:lastColumn="0" w:oddVBand="0" w:evenVBand="0" w:oddHBand="0" w:evenHBand="0" w:firstRowFirstColumn="0" w:firstRowLastColumn="0" w:lastRowFirstColumn="0" w:lastRowLastColumn="0"/>
            <w:tcW w:w="736" w:type="pct"/>
          </w:tcPr>
          <w:p w14:paraId="3AA370C3" w14:textId="09FDD02F" w:rsidR="00A7727F" w:rsidRPr="00325EED" w:rsidRDefault="00A7727F" w:rsidP="00325EED">
            <w:pPr>
              <w:keepNext/>
              <w:ind w:left="0" w:right="0"/>
              <w:rPr>
                <w:sz w:val="18"/>
              </w:rPr>
            </w:pPr>
          </w:p>
        </w:tc>
        <w:tc>
          <w:tcPr>
            <w:tcW w:w="173" w:type="pct"/>
          </w:tcPr>
          <w:p w14:paraId="2B29C680"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n</w:t>
            </w:r>
          </w:p>
        </w:tc>
        <w:tc>
          <w:tcPr>
            <w:tcW w:w="370" w:type="pct"/>
          </w:tcPr>
          <w:p w14:paraId="7CB0F849"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w:t>
            </w:r>
          </w:p>
        </w:tc>
        <w:tc>
          <w:tcPr>
            <w:tcW w:w="333" w:type="pct"/>
          </w:tcPr>
          <w:p w14:paraId="2C31F5E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95% CI</w:t>
            </w:r>
            <w:r w:rsidRPr="00325EED">
              <w:rPr>
                <w:sz w:val="18"/>
                <w:vertAlign w:val="superscript"/>
              </w:rPr>
              <w:t>a</w:t>
            </w:r>
          </w:p>
        </w:tc>
        <w:tc>
          <w:tcPr>
            <w:tcW w:w="173" w:type="pct"/>
          </w:tcPr>
          <w:p w14:paraId="13B3F358"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n</w:t>
            </w:r>
          </w:p>
        </w:tc>
        <w:tc>
          <w:tcPr>
            <w:tcW w:w="370" w:type="pct"/>
          </w:tcPr>
          <w:p w14:paraId="798B2891"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w:t>
            </w:r>
          </w:p>
        </w:tc>
        <w:tc>
          <w:tcPr>
            <w:tcW w:w="333" w:type="pct"/>
          </w:tcPr>
          <w:p w14:paraId="6AA04C51"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95% CI</w:t>
            </w:r>
            <w:r w:rsidRPr="00325EED">
              <w:rPr>
                <w:sz w:val="18"/>
                <w:vertAlign w:val="superscript"/>
              </w:rPr>
              <w:t>a</w:t>
            </w:r>
          </w:p>
        </w:tc>
        <w:tc>
          <w:tcPr>
            <w:tcW w:w="173" w:type="pct"/>
          </w:tcPr>
          <w:p w14:paraId="229CB331"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n</w:t>
            </w:r>
          </w:p>
        </w:tc>
        <w:tc>
          <w:tcPr>
            <w:tcW w:w="370" w:type="pct"/>
          </w:tcPr>
          <w:p w14:paraId="70932AA0"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w:t>
            </w:r>
          </w:p>
        </w:tc>
        <w:tc>
          <w:tcPr>
            <w:tcW w:w="333" w:type="pct"/>
          </w:tcPr>
          <w:p w14:paraId="58D7356F"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95% CI</w:t>
            </w:r>
            <w:r w:rsidRPr="00325EED">
              <w:rPr>
                <w:sz w:val="18"/>
                <w:vertAlign w:val="superscript"/>
              </w:rPr>
              <w:t>a</w:t>
            </w:r>
          </w:p>
        </w:tc>
        <w:tc>
          <w:tcPr>
            <w:tcW w:w="173" w:type="pct"/>
          </w:tcPr>
          <w:p w14:paraId="5329C029"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n</w:t>
            </w:r>
          </w:p>
        </w:tc>
        <w:tc>
          <w:tcPr>
            <w:tcW w:w="370" w:type="pct"/>
          </w:tcPr>
          <w:p w14:paraId="03BDC0C3"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w:t>
            </w:r>
          </w:p>
        </w:tc>
        <w:tc>
          <w:tcPr>
            <w:tcW w:w="333" w:type="pct"/>
          </w:tcPr>
          <w:p w14:paraId="2198A07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95% CI</w:t>
            </w:r>
            <w:r w:rsidRPr="00A972DD">
              <w:rPr>
                <w:sz w:val="18"/>
                <w:vertAlign w:val="superscript"/>
              </w:rPr>
              <w:t>a</w:t>
            </w:r>
          </w:p>
        </w:tc>
        <w:tc>
          <w:tcPr>
            <w:tcW w:w="173" w:type="pct"/>
          </w:tcPr>
          <w:p w14:paraId="77514587"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n</w:t>
            </w:r>
          </w:p>
        </w:tc>
        <w:tc>
          <w:tcPr>
            <w:tcW w:w="370" w:type="pct"/>
          </w:tcPr>
          <w:p w14:paraId="03E54AC0"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w:t>
            </w:r>
          </w:p>
        </w:tc>
        <w:tc>
          <w:tcPr>
            <w:tcW w:w="221" w:type="pct"/>
          </w:tcPr>
          <w:p w14:paraId="0E716139"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95% CI</w:t>
            </w:r>
            <w:r w:rsidRPr="00325EED">
              <w:rPr>
                <w:sz w:val="18"/>
                <w:vertAlign w:val="superscript"/>
              </w:rPr>
              <w:t>a</w:t>
            </w:r>
          </w:p>
        </w:tc>
      </w:tr>
      <w:tr w:rsidR="006C3F16" w:rsidRPr="00325EED" w14:paraId="4F451CCE" w14:textId="77777777" w:rsidTr="007B270B">
        <w:trPr>
          <w:trHeight w:val="959"/>
        </w:trPr>
        <w:tc>
          <w:tcPr>
            <w:cnfStyle w:val="001000000000" w:firstRow="0" w:lastRow="0" w:firstColumn="1" w:lastColumn="0" w:oddVBand="0" w:evenVBand="0" w:oddHBand="0" w:evenHBand="0" w:firstRowFirstColumn="0" w:firstRowLastColumn="0" w:lastRowFirstColumn="0" w:lastRowLastColumn="0"/>
            <w:tcW w:w="736" w:type="pct"/>
          </w:tcPr>
          <w:p w14:paraId="057616AB" w14:textId="14499F4E" w:rsidR="00A7727F" w:rsidRPr="00325EED" w:rsidRDefault="00A7727F" w:rsidP="00325EED">
            <w:pPr>
              <w:keepNext/>
              <w:ind w:left="0" w:right="0"/>
              <w:rPr>
                <w:sz w:val="18"/>
              </w:rPr>
            </w:pPr>
            <w:r w:rsidRPr="00325EED">
              <w:rPr>
                <w:sz w:val="18"/>
              </w:rPr>
              <w:t>Best response during the first</w:t>
            </w:r>
            <w:r w:rsidR="00325EED">
              <w:rPr>
                <w:sz w:val="18"/>
              </w:rPr>
              <w:t xml:space="preserve"> </w:t>
            </w:r>
            <w:r w:rsidR="00423768" w:rsidRPr="00325EED">
              <w:rPr>
                <w:sz w:val="18"/>
              </w:rPr>
              <w:t>2</w:t>
            </w:r>
            <w:r w:rsidRPr="00325EED">
              <w:rPr>
                <w:sz w:val="18"/>
              </w:rPr>
              <w:t xml:space="preserve"> cycles</w:t>
            </w:r>
          </w:p>
        </w:tc>
        <w:tc>
          <w:tcPr>
            <w:tcW w:w="173" w:type="pct"/>
          </w:tcPr>
          <w:p w14:paraId="1E5063F5"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0D176C93"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56ACEA37"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42A21D44"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60499903"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027FE3B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7F503607"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4335941F"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7980311D"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45E92D28"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1D7628AE"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59036A2F"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730D7825"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66C712EF"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221" w:type="pct"/>
          </w:tcPr>
          <w:p w14:paraId="7E2E3F73"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r>
      <w:tr w:rsidR="006C3F16" w:rsidRPr="00325EED" w14:paraId="79DBE2A2" w14:textId="77777777" w:rsidTr="007B270B">
        <w:trPr>
          <w:trHeight w:val="866"/>
        </w:trPr>
        <w:tc>
          <w:tcPr>
            <w:cnfStyle w:val="001000000000" w:firstRow="0" w:lastRow="0" w:firstColumn="1" w:lastColumn="0" w:oddVBand="0" w:evenVBand="0" w:oddHBand="0" w:evenHBand="0" w:firstRowFirstColumn="0" w:firstRowLastColumn="0" w:lastRowFirstColumn="0" w:lastRowLastColumn="0"/>
            <w:tcW w:w="736" w:type="pct"/>
          </w:tcPr>
          <w:p w14:paraId="296EF8C2" w14:textId="77777777" w:rsidR="00A7727F" w:rsidRPr="00325EED" w:rsidRDefault="00A7727F" w:rsidP="00325EED">
            <w:pPr>
              <w:keepNext/>
              <w:ind w:left="0" w:right="0"/>
              <w:rPr>
                <w:sz w:val="18"/>
              </w:rPr>
            </w:pPr>
            <w:r w:rsidRPr="00325EED">
              <w:rPr>
                <w:sz w:val="18"/>
              </w:rPr>
              <w:t>CRc/CR*</w:t>
            </w:r>
          </w:p>
        </w:tc>
        <w:tc>
          <w:tcPr>
            <w:tcW w:w="173" w:type="pct"/>
          </w:tcPr>
          <w:p w14:paraId="2149EFDD"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2C83AC68"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(20.0)</w:t>
            </w:r>
          </w:p>
        </w:tc>
        <w:tc>
          <w:tcPr>
            <w:tcW w:w="333" w:type="pct"/>
          </w:tcPr>
          <w:p w14:paraId="5279D152" w14:textId="6DB5382A"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(0.5</w:t>
            </w:r>
            <w:r w:rsidR="00BA3485" w:rsidRPr="00325EED">
              <w:rPr>
                <w:sz w:val="18"/>
              </w:rPr>
              <w:t xml:space="preserve"> to </w:t>
            </w:r>
            <w:r w:rsidRPr="00325EED">
              <w:rPr>
                <w:sz w:val="18"/>
              </w:rPr>
              <w:t>71.6)</w:t>
            </w:r>
          </w:p>
        </w:tc>
        <w:tc>
          <w:tcPr>
            <w:tcW w:w="173" w:type="pct"/>
          </w:tcPr>
          <w:p w14:paraId="266011D4"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w:t>
            </w:r>
          </w:p>
        </w:tc>
        <w:tc>
          <w:tcPr>
            <w:tcW w:w="370" w:type="pct"/>
          </w:tcPr>
          <w:p w14:paraId="4E98C017"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(42.9)</w:t>
            </w:r>
          </w:p>
        </w:tc>
        <w:tc>
          <w:tcPr>
            <w:tcW w:w="333" w:type="pct"/>
          </w:tcPr>
          <w:p w14:paraId="550E1689" w14:textId="7F9F68C1"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(9.9</w:t>
            </w:r>
            <w:r w:rsidR="00BA3485" w:rsidRPr="00325EED">
              <w:rPr>
                <w:sz w:val="18"/>
              </w:rPr>
              <w:t xml:space="preserve"> to </w:t>
            </w:r>
            <w:r w:rsidRPr="00325EED">
              <w:rPr>
                <w:sz w:val="18"/>
              </w:rPr>
              <w:t>81.6)</w:t>
            </w:r>
          </w:p>
        </w:tc>
        <w:tc>
          <w:tcPr>
            <w:tcW w:w="173" w:type="pct"/>
          </w:tcPr>
          <w:p w14:paraId="188359FE"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02201F0C"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(20.0)</w:t>
            </w:r>
          </w:p>
        </w:tc>
        <w:tc>
          <w:tcPr>
            <w:tcW w:w="333" w:type="pct"/>
          </w:tcPr>
          <w:p w14:paraId="2553C48F" w14:textId="2E3DF9E5"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(0.5</w:t>
            </w:r>
            <w:r w:rsidR="00BA3485" w:rsidRPr="00325EED">
              <w:rPr>
                <w:sz w:val="18"/>
              </w:rPr>
              <w:t xml:space="preserve"> to </w:t>
            </w:r>
            <w:r w:rsidRPr="00325EED">
              <w:rPr>
                <w:sz w:val="18"/>
              </w:rPr>
              <w:t>71.6)</w:t>
            </w:r>
          </w:p>
        </w:tc>
        <w:tc>
          <w:tcPr>
            <w:tcW w:w="173" w:type="pct"/>
          </w:tcPr>
          <w:p w14:paraId="19A87A72"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6F6E1F62"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(33.3)</w:t>
            </w:r>
          </w:p>
        </w:tc>
        <w:tc>
          <w:tcPr>
            <w:tcW w:w="333" w:type="pct"/>
          </w:tcPr>
          <w:p w14:paraId="6EB6E6BD" w14:textId="516C4BF3"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(4.3</w:t>
            </w:r>
            <w:r w:rsidR="00BA3485" w:rsidRPr="00325EED">
              <w:rPr>
                <w:sz w:val="18"/>
              </w:rPr>
              <w:t xml:space="preserve"> to </w:t>
            </w:r>
            <w:r w:rsidRPr="00325EED">
              <w:rPr>
                <w:sz w:val="18"/>
              </w:rPr>
              <w:t>77.7)</w:t>
            </w:r>
          </w:p>
        </w:tc>
        <w:tc>
          <w:tcPr>
            <w:tcW w:w="173" w:type="pct"/>
          </w:tcPr>
          <w:p w14:paraId="79BECF7A"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6</w:t>
            </w:r>
          </w:p>
        </w:tc>
        <w:tc>
          <w:tcPr>
            <w:tcW w:w="370" w:type="pct"/>
          </w:tcPr>
          <w:p w14:paraId="282A6E0A"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(33.3)</w:t>
            </w:r>
          </w:p>
        </w:tc>
        <w:tc>
          <w:tcPr>
            <w:tcW w:w="221" w:type="pct"/>
          </w:tcPr>
          <w:p w14:paraId="7ECC2CB4" w14:textId="2318C033"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(13.3</w:t>
            </w:r>
            <w:r w:rsidR="00BA3485" w:rsidRPr="00325EED">
              <w:rPr>
                <w:sz w:val="18"/>
              </w:rPr>
              <w:t xml:space="preserve"> to </w:t>
            </w:r>
            <w:r w:rsidRPr="00325EED">
              <w:rPr>
                <w:sz w:val="18"/>
              </w:rPr>
              <w:t>59.0)</w:t>
            </w:r>
          </w:p>
        </w:tc>
      </w:tr>
      <w:tr w:rsidR="006C3F16" w:rsidRPr="00325EED" w14:paraId="3F229400" w14:textId="77777777" w:rsidTr="007B270B">
        <w:trPr>
          <w:trHeight w:val="1444"/>
        </w:trPr>
        <w:tc>
          <w:tcPr>
            <w:cnfStyle w:val="001000000000" w:firstRow="0" w:lastRow="0" w:firstColumn="1" w:lastColumn="0" w:oddVBand="0" w:evenVBand="0" w:oddHBand="0" w:evenHBand="0" w:firstRowFirstColumn="0" w:firstRowLastColumn="0" w:lastRowFirstColumn="0" w:lastRowLastColumn="0"/>
            <w:tcW w:w="736" w:type="pct"/>
          </w:tcPr>
          <w:p w14:paraId="35C437EC" w14:textId="430C809E" w:rsidR="00A7727F" w:rsidRPr="00325EED" w:rsidRDefault="00A7727F" w:rsidP="00325EED">
            <w:pPr>
              <w:keepNext/>
              <w:ind w:left="0" w:right="0"/>
              <w:rPr>
                <w:sz w:val="18"/>
              </w:rPr>
            </w:pPr>
            <w:r w:rsidRPr="00325EED">
              <w:rPr>
                <w:sz w:val="18"/>
              </w:rPr>
              <w:t>Complete remission with</w:t>
            </w:r>
            <w:r w:rsidR="00325EED">
              <w:rPr>
                <w:sz w:val="18"/>
              </w:rPr>
              <w:t xml:space="preserve"> complete hae</w:t>
            </w:r>
            <w:r w:rsidRPr="00325EED">
              <w:rPr>
                <w:sz w:val="18"/>
              </w:rPr>
              <w:t>matological</w:t>
            </w:r>
            <w:r w:rsidR="00325EED">
              <w:rPr>
                <w:sz w:val="18"/>
              </w:rPr>
              <w:t xml:space="preserve"> </w:t>
            </w:r>
            <w:r w:rsidRPr="00325EED">
              <w:rPr>
                <w:sz w:val="18"/>
              </w:rPr>
              <w:t>recovery (CRc)</w:t>
            </w:r>
          </w:p>
        </w:tc>
        <w:tc>
          <w:tcPr>
            <w:tcW w:w="173" w:type="pct"/>
          </w:tcPr>
          <w:p w14:paraId="43A229B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3F27D256"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(20.0)</w:t>
            </w:r>
          </w:p>
        </w:tc>
        <w:tc>
          <w:tcPr>
            <w:tcW w:w="333" w:type="pct"/>
          </w:tcPr>
          <w:p w14:paraId="75BCFA31" w14:textId="0FA916BF"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(0.5</w:t>
            </w:r>
            <w:r w:rsidR="00BA3485" w:rsidRPr="00325EED">
              <w:rPr>
                <w:sz w:val="18"/>
              </w:rPr>
              <w:t xml:space="preserve"> to </w:t>
            </w:r>
            <w:r w:rsidRPr="00325EED">
              <w:rPr>
                <w:sz w:val="18"/>
              </w:rPr>
              <w:t>71.6)</w:t>
            </w:r>
          </w:p>
        </w:tc>
        <w:tc>
          <w:tcPr>
            <w:tcW w:w="173" w:type="pct"/>
          </w:tcPr>
          <w:p w14:paraId="6DD7188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w:t>
            </w:r>
          </w:p>
        </w:tc>
        <w:tc>
          <w:tcPr>
            <w:tcW w:w="370" w:type="pct"/>
          </w:tcPr>
          <w:p w14:paraId="6FD57851"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(42.9)</w:t>
            </w:r>
          </w:p>
        </w:tc>
        <w:tc>
          <w:tcPr>
            <w:tcW w:w="333" w:type="pct"/>
          </w:tcPr>
          <w:p w14:paraId="6B75A3F3" w14:textId="28AA4572"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(9.9</w:t>
            </w:r>
            <w:r w:rsidR="00BA3485" w:rsidRPr="00325EED">
              <w:rPr>
                <w:sz w:val="18"/>
              </w:rPr>
              <w:t xml:space="preserve"> to </w:t>
            </w:r>
            <w:r w:rsidRPr="00325EED">
              <w:rPr>
                <w:sz w:val="18"/>
              </w:rPr>
              <w:t>81.6)</w:t>
            </w:r>
          </w:p>
        </w:tc>
        <w:tc>
          <w:tcPr>
            <w:tcW w:w="173" w:type="pct"/>
          </w:tcPr>
          <w:p w14:paraId="1B1F8A1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2401E5C8"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(20.0)</w:t>
            </w:r>
          </w:p>
        </w:tc>
        <w:tc>
          <w:tcPr>
            <w:tcW w:w="333" w:type="pct"/>
          </w:tcPr>
          <w:p w14:paraId="77D8F76E" w14:textId="03E0B17D"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(0.5</w:t>
            </w:r>
            <w:r w:rsidR="00BA3485" w:rsidRPr="00325EED">
              <w:rPr>
                <w:sz w:val="18"/>
              </w:rPr>
              <w:t xml:space="preserve"> to </w:t>
            </w:r>
            <w:r w:rsidRPr="00325EED">
              <w:rPr>
                <w:sz w:val="18"/>
              </w:rPr>
              <w:t>71.6)</w:t>
            </w:r>
          </w:p>
        </w:tc>
        <w:tc>
          <w:tcPr>
            <w:tcW w:w="173" w:type="pct"/>
          </w:tcPr>
          <w:p w14:paraId="599925A1"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63457644"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(16.7)</w:t>
            </w:r>
          </w:p>
        </w:tc>
        <w:tc>
          <w:tcPr>
            <w:tcW w:w="333" w:type="pct"/>
          </w:tcPr>
          <w:p w14:paraId="7AD6F44D" w14:textId="1BF4B16D"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(0.4</w:t>
            </w:r>
            <w:r w:rsidR="00BA3485" w:rsidRPr="00325EED">
              <w:rPr>
                <w:sz w:val="18"/>
              </w:rPr>
              <w:t xml:space="preserve"> to </w:t>
            </w:r>
            <w:r w:rsidRPr="00325EED">
              <w:rPr>
                <w:sz w:val="18"/>
              </w:rPr>
              <w:t>64.1)</w:t>
            </w:r>
          </w:p>
        </w:tc>
        <w:tc>
          <w:tcPr>
            <w:tcW w:w="173" w:type="pct"/>
          </w:tcPr>
          <w:p w14:paraId="236739DE"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w:t>
            </w:r>
          </w:p>
        </w:tc>
        <w:tc>
          <w:tcPr>
            <w:tcW w:w="370" w:type="pct"/>
          </w:tcPr>
          <w:p w14:paraId="4A23B1E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(22.2)</w:t>
            </w:r>
          </w:p>
        </w:tc>
        <w:tc>
          <w:tcPr>
            <w:tcW w:w="221" w:type="pct"/>
          </w:tcPr>
          <w:p w14:paraId="566D6E05" w14:textId="6DDA7BC5"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(6.4</w:t>
            </w:r>
            <w:r w:rsidR="00BA3485" w:rsidRPr="00325EED">
              <w:rPr>
                <w:sz w:val="18"/>
              </w:rPr>
              <w:t xml:space="preserve"> to </w:t>
            </w:r>
            <w:r w:rsidRPr="00325EED">
              <w:rPr>
                <w:sz w:val="18"/>
              </w:rPr>
              <w:t>47.6)</w:t>
            </w:r>
          </w:p>
        </w:tc>
      </w:tr>
      <w:tr w:rsidR="006C3F16" w:rsidRPr="00325EED" w14:paraId="7440B860" w14:textId="77777777" w:rsidTr="007B270B">
        <w:trPr>
          <w:trHeight w:val="1444"/>
        </w:trPr>
        <w:tc>
          <w:tcPr>
            <w:cnfStyle w:val="001000000000" w:firstRow="0" w:lastRow="0" w:firstColumn="1" w:lastColumn="0" w:oddVBand="0" w:evenVBand="0" w:oddHBand="0" w:evenHBand="0" w:firstRowFirstColumn="0" w:firstRowLastColumn="0" w:lastRowFirstColumn="0" w:lastRowLastColumn="0"/>
            <w:tcW w:w="736" w:type="pct"/>
          </w:tcPr>
          <w:p w14:paraId="18D775A5" w14:textId="09837DE5" w:rsidR="00A7727F" w:rsidRPr="00325EED" w:rsidRDefault="00A7727F" w:rsidP="00325EED">
            <w:pPr>
              <w:keepNext/>
              <w:ind w:left="0" w:right="0"/>
              <w:rPr>
                <w:sz w:val="18"/>
              </w:rPr>
            </w:pPr>
            <w:r w:rsidRPr="00325EED">
              <w:rPr>
                <w:sz w:val="18"/>
              </w:rPr>
              <w:t>Complete remission with</w:t>
            </w:r>
            <w:r w:rsidR="00325EED">
              <w:rPr>
                <w:sz w:val="18"/>
              </w:rPr>
              <w:t xml:space="preserve"> </w:t>
            </w:r>
            <w:r w:rsidRPr="00325EED">
              <w:rPr>
                <w:sz w:val="18"/>
              </w:rPr>
              <w:t>incomplete h</w:t>
            </w:r>
            <w:r w:rsidR="00325EED">
              <w:rPr>
                <w:sz w:val="18"/>
              </w:rPr>
              <w:t>a</w:t>
            </w:r>
            <w:r w:rsidRPr="00325EED">
              <w:rPr>
                <w:sz w:val="18"/>
              </w:rPr>
              <w:t>ematological</w:t>
            </w:r>
            <w:r w:rsidR="00325EED">
              <w:rPr>
                <w:sz w:val="18"/>
              </w:rPr>
              <w:t xml:space="preserve"> </w:t>
            </w:r>
            <w:r w:rsidRPr="00325EED">
              <w:rPr>
                <w:sz w:val="18"/>
              </w:rPr>
              <w:t>recovery (CR*)</w:t>
            </w:r>
          </w:p>
        </w:tc>
        <w:tc>
          <w:tcPr>
            <w:tcW w:w="173" w:type="pct"/>
          </w:tcPr>
          <w:p w14:paraId="1CC8FA42"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65357C1C"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4FE7189C" w14:textId="17FCC60C"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52.2)</w:t>
            </w:r>
          </w:p>
        </w:tc>
        <w:tc>
          <w:tcPr>
            <w:tcW w:w="173" w:type="pct"/>
          </w:tcPr>
          <w:p w14:paraId="6FA7FBB9"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1A70ED5B"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794E8D5A" w14:textId="47155834"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41.0)</w:t>
            </w:r>
          </w:p>
        </w:tc>
        <w:tc>
          <w:tcPr>
            <w:tcW w:w="173" w:type="pct"/>
          </w:tcPr>
          <w:p w14:paraId="5591B8F8"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5271E4EC"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766821F9" w14:textId="3B36498E"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52.2)</w:t>
            </w:r>
          </w:p>
        </w:tc>
        <w:tc>
          <w:tcPr>
            <w:tcW w:w="173" w:type="pct"/>
          </w:tcPr>
          <w:p w14:paraId="13EC5169"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6BFBD7AC"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(16.7)</w:t>
            </w:r>
          </w:p>
        </w:tc>
        <w:tc>
          <w:tcPr>
            <w:tcW w:w="333" w:type="pct"/>
          </w:tcPr>
          <w:p w14:paraId="378DD9F8" w14:textId="0F85F9EE"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(0.4</w:t>
            </w:r>
            <w:r w:rsidR="00BA3485" w:rsidRPr="00325EED">
              <w:rPr>
                <w:sz w:val="18"/>
              </w:rPr>
              <w:t xml:space="preserve"> to </w:t>
            </w:r>
            <w:r w:rsidRPr="00325EED">
              <w:rPr>
                <w:sz w:val="18"/>
              </w:rPr>
              <w:t>64.1)</w:t>
            </w:r>
          </w:p>
        </w:tc>
        <w:tc>
          <w:tcPr>
            <w:tcW w:w="173" w:type="pct"/>
          </w:tcPr>
          <w:p w14:paraId="57EFDBEE"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27D51553" w14:textId="77777777"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(11.1)</w:t>
            </w:r>
          </w:p>
        </w:tc>
        <w:tc>
          <w:tcPr>
            <w:tcW w:w="221" w:type="pct"/>
          </w:tcPr>
          <w:p w14:paraId="349FDF27" w14:textId="08C15C6F" w:rsidR="00A7727F" w:rsidRPr="00325EED" w:rsidRDefault="00A7727F" w:rsidP="00A972DD">
            <w:pPr>
              <w:keepNext/>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(1.4</w:t>
            </w:r>
            <w:r w:rsidR="00BA3485" w:rsidRPr="00325EED">
              <w:rPr>
                <w:sz w:val="18"/>
              </w:rPr>
              <w:t xml:space="preserve"> to </w:t>
            </w:r>
            <w:r w:rsidRPr="00325EED">
              <w:rPr>
                <w:sz w:val="18"/>
              </w:rPr>
              <w:t>34.7)</w:t>
            </w:r>
          </w:p>
        </w:tc>
      </w:tr>
      <w:tr w:rsidR="006C3F16" w:rsidRPr="00325EED" w14:paraId="39A00BBD" w14:textId="77777777" w:rsidTr="007B270B">
        <w:trPr>
          <w:trHeight w:val="1201"/>
        </w:trPr>
        <w:tc>
          <w:tcPr>
            <w:cnfStyle w:val="001000000000" w:firstRow="0" w:lastRow="0" w:firstColumn="1" w:lastColumn="0" w:oddVBand="0" w:evenVBand="0" w:oddHBand="0" w:evenHBand="0" w:firstRowFirstColumn="0" w:firstRowLastColumn="0" w:lastRowFirstColumn="0" w:lastRowLastColumn="0"/>
            <w:tcW w:w="736" w:type="pct"/>
          </w:tcPr>
          <w:p w14:paraId="5B23C299" w14:textId="478F25CE" w:rsidR="00A7727F" w:rsidRPr="00325EED" w:rsidRDefault="00A7727F" w:rsidP="00325EED">
            <w:pPr>
              <w:ind w:left="0" w:right="0"/>
              <w:rPr>
                <w:sz w:val="18"/>
              </w:rPr>
            </w:pPr>
            <w:r w:rsidRPr="00325EED">
              <w:rPr>
                <w:sz w:val="18"/>
              </w:rPr>
              <w:t>Blast free hypoplastic or</w:t>
            </w:r>
            <w:r w:rsidR="00325EED">
              <w:rPr>
                <w:sz w:val="18"/>
              </w:rPr>
              <w:t xml:space="preserve"> </w:t>
            </w:r>
            <w:r w:rsidRPr="00325EED">
              <w:rPr>
                <w:sz w:val="18"/>
              </w:rPr>
              <w:t>aplastic bone marrow</w:t>
            </w:r>
          </w:p>
        </w:tc>
        <w:tc>
          <w:tcPr>
            <w:tcW w:w="173" w:type="pct"/>
          </w:tcPr>
          <w:p w14:paraId="05ED4DB7"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7BCB08B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37197CBE" w14:textId="13D2AB49"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52.2)</w:t>
            </w:r>
          </w:p>
        </w:tc>
        <w:tc>
          <w:tcPr>
            <w:tcW w:w="173" w:type="pct"/>
          </w:tcPr>
          <w:p w14:paraId="67D34409"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2EE6044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493E1C89" w14:textId="251AE5DC"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41.0)</w:t>
            </w:r>
          </w:p>
        </w:tc>
        <w:tc>
          <w:tcPr>
            <w:tcW w:w="173" w:type="pct"/>
          </w:tcPr>
          <w:p w14:paraId="6ED99553"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2C427E0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0DE9832D" w14:textId="1C4F2F31"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52.2)</w:t>
            </w:r>
          </w:p>
        </w:tc>
        <w:tc>
          <w:tcPr>
            <w:tcW w:w="173" w:type="pct"/>
          </w:tcPr>
          <w:p w14:paraId="525A0467"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6267BFF4"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(16.7)</w:t>
            </w:r>
          </w:p>
        </w:tc>
        <w:tc>
          <w:tcPr>
            <w:tcW w:w="333" w:type="pct"/>
          </w:tcPr>
          <w:p w14:paraId="413BD9FE" w14:textId="2E643E7F"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(0.4</w:t>
            </w:r>
            <w:r w:rsidR="00BA3485" w:rsidRPr="00325EED">
              <w:rPr>
                <w:sz w:val="18"/>
              </w:rPr>
              <w:t xml:space="preserve"> to </w:t>
            </w:r>
            <w:r w:rsidRPr="00325EED">
              <w:rPr>
                <w:sz w:val="18"/>
              </w:rPr>
              <w:t>64.1)</w:t>
            </w:r>
          </w:p>
        </w:tc>
        <w:tc>
          <w:tcPr>
            <w:tcW w:w="173" w:type="pct"/>
          </w:tcPr>
          <w:p w14:paraId="3026C3C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5A30C53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(11.1)</w:t>
            </w:r>
          </w:p>
        </w:tc>
        <w:tc>
          <w:tcPr>
            <w:tcW w:w="221" w:type="pct"/>
          </w:tcPr>
          <w:p w14:paraId="1C09A8DE" w14:textId="613A7868"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(1.4</w:t>
            </w:r>
            <w:r w:rsidR="00BA3485" w:rsidRPr="00325EED">
              <w:rPr>
                <w:sz w:val="18"/>
              </w:rPr>
              <w:t xml:space="preserve"> to </w:t>
            </w:r>
            <w:r w:rsidRPr="00325EED">
              <w:rPr>
                <w:sz w:val="18"/>
              </w:rPr>
              <w:t>34.7)</w:t>
            </w:r>
          </w:p>
        </w:tc>
      </w:tr>
      <w:tr w:rsidR="006C3F16" w:rsidRPr="00325EED" w14:paraId="0E9EF2B4" w14:textId="77777777" w:rsidTr="007B270B">
        <w:trPr>
          <w:trHeight w:val="866"/>
        </w:trPr>
        <w:tc>
          <w:tcPr>
            <w:cnfStyle w:val="001000000000" w:firstRow="0" w:lastRow="0" w:firstColumn="1" w:lastColumn="0" w:oddVBand="0" w:evenVBand="0" w:oddHBand="0" w:evenHBand="0" w:firstRowFirstColumn="0" w:firstRowLastColumn="0" w:lastRowFirstColumn="0" w:lastRowLastColumn="0"/>
            <w:tcW w:w="736" w:type="pct"/>
          </w:tcPr>
          <w:p w14:paraId="4BEF2940" w14:textId="77777777" w:rsidR="00A7727F" w:rsidRPr="00325EED" w:rsidRDefault="00A7727F" w:rsidP="00325EED">
            <w:pPr>
              <w:ind w:left="0" w:right="0"/>
              <w:rPr>
                <w:sz w:val="18"/>
              </w:rPr>
            </w:pPr>
            <w:r w:rsidRPr="00325EED">
              <w:rPr>
                <w:sz w:val="18"/>
              </w:rPr>
              <w:t>Partial remission</w:t>
            </w:r>
          </w:p>
        </w:tc>
        <w:tc>
          <w:tcPr>
            <w:tcW w:w="173" w:type="pct"/>
          </w:tcPr>
          <w:p w14:paraId="310E630E"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0FFACBA8"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(40.0)</w:t>
            </w:r>
          </w:p>
        </w:tc>
        <w:tc>
          <w:tcPr>
            <w:tcW w:w="333" w:type="pct"/>
          </w:tcPr>
          <w:p w14:paraId="2363AF05" w14:textId="36DAABC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(5.3</w:t>
            </w:r>
            <w:r w:rsidR="00BA3485" w:rsidRPr="00325EED">
              <w:rPr>
                <w:sz w:val="18"/>
              </w:rPr>
              <w:t xml:space="preserve"> to </w:t>
            </w:r>
            <w:r w:rsidRPr="00325EED">
              <w:rPr>
                <w:sz w:val="18"/>
              </w:rPr>
              <w:t>85.3)</w:t>
            </w:r>
          </w:p>
        </w:tc>
        <w:tc>
          <w:tcPr>
            <w:tcW w:w="173" w:type="pct"/>
          </w:tcPr>
          <w:p w14:paraId="423E152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62BD634F"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(14.3)</w:t>
            </w:r>
          </w:p>
        </w:tc>
        <w:tc>
          <w:tcPr>
            <w:tcW w:w="333" w:type="pct"/>
          </w:tcPr>
          <w:p w14:paraId="1697C31D" w14:textId="66BBE101"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(0.4</w:t>
            </w:r>
            <w:r w:rsidR="00BA3485" w:rsidRPr="00325EED">
              <w:rPr>
                <w:sz w:val="18"/>
              </w:rPr>
              <w:t xml:space="preserve"> to </w:t>
            </w:r>
            <w:r w:rsidRPr="00325EED">
              <w:rPr>
                <w:sz w:val="18"/>
              </w:rPr>
              <w:t>57.9)</w:t>
            </w:r>
          </w:p>
        </w:tc>
        <w:tc>
          <w:tcPr>
            <w:tcW w:w="173" w:type="pct"/>
          </w:tcPr>
          <w:p w14:paraId="5724FB3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40C631FD"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(20.0)</w:t>
            </w:r>
          </w:p>
        </w:tc>
        <w:tc>
          <w:tcPr>
            <w:tcW w:w="333" w:type="pct"/>
          </w:tcPr>
          <w:p w14:paraId="0E789BEB" w14:textId="1C512FD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(0.5</w:t>
            </w:r>
            <w:r w:rsidR="00BA3485" w:rsidRPr="00325EED">
              <w:rPr>
                <w:sz w:val="18"/>
              </w:rPr>
              <w:t xml:space="preserve"> to </w:t>
            </w:r>
            <w:r w:rsidRPr="00325EED">
              <w:rPr>
                <w:sz w:val="18"/>
              </w:rPr>
              <w:t>71.6)</w:t>
            </w:r>
          </w:p>
        </w:tc>
        <w:tc>
          <w:tcPr>
            <w:tcW w:w="173" w:type="pct"/>
          </w:tcPr>
          <w:p w14:paraId="44023427"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2397955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0948BD91" w14:textId="61712FAE"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r w:rsidR="00BA3485" w:rsidRPr="00325EED">
              <w:rPr>
                <w:sz w:val="18"/>
              </w:rPr>
              <w:t xml:space="preserve"> to </w:t>
            </w:r>
            <w:r w:rsidRPr="00325EED">
              <w:rPr>
                <w:sz w:val="18"/>
              </w:rPr>
              <w:t>45.9)</w:t>
            </w:r>
          </w:p>
        </w:tc>
        <w:tc>
          <w:tcPr>
            <w:tcW w:w="173" w:type="pct"/>
          </w:tcPr>
          <w:p w14:paraId="469D156E"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134BE7D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(11.1)</w:t>
            </w:r>
          </w:p>
        </w:tc>
        <w:tc>
          <w:tcPr>
            <w:tcW w:w="221" w:type="pct"/>
          </w:tcPr>
          <w:p w14:paraId="62090202" w14:textId="6328366D"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(1.4</w:t>
            </w:r>
            <w:r w:rsidR="00BA3485" w:rsidRPr="00325EED">
              <w:rPr>
                <w:sz w:val="18"/>
              </w:rPr>
              <w:t xml:space="preserve"> to </w:t>
            </w:r>
            <w:r w:rsidRPr="00325EED">
              <w:rPr>
                <w:sz w:val="18"/>
              </w:rPr>
              <w:t>34.7)</w:t>
            </w:r>
          </w:p>
        </w:tc>
      </w:tr>
      <w:tr w:rsidR="006C3F16" w:rsidRPr="00325EED" w14:paraId="53B927F9" w14:textId="77777777" w:rsidTr="007B270B">
        <w:trPr>
          <w:trHeight w:val="959"/>
        </w:trPr>
        <w:tc>
          <w:tcPr>
            <w:cnfStyle w:val="001000000000" w:firstRow="0" w:lastRow="0" w:firstColumn="1" w:lastColumn="0" w:oddVBand="0" w:evenVBand="0" w:oddHBand="0" w:evenHBand="0" w:firstRowFirstColumn="0" w:firstRowLastColumn="0" w:lastRowFirstColumn="0" w:lastRowLastColumn="0"/>
            <w:tcW w:w="736" w:type="pct"/>
          </w:tcPr>
          <w:p w14:paraId="3C1D0543" w14:textId="719491EE" w:rsidR="00A7727F" w:rsidRPr="00325EED" w:rsidRDefault="00325EED" w:rsidP="00325EED">
            <w:pPr>
              <w:ind w:left="0" w:right="0"/>
              <w:rPr>
                <w:sz w:val="18"/>
              </w:rPr>
            </w:pPr>
            <w:r>
              <w:rPr>
                <w:sz w:val="18"/>
              </w:rPr>
              <w:t>Non</w:t>
            </w:r>
            <w:r w:rsidR="00A7727F" w:rsidRPr="00325EED">
              <w:rPr>
                <w:sz w:val="18"/>
              </w:rPr>
              <w:t>responder during the</w:t>
            </w:r>
            <w:r>
              <w:rPr>
                <w:sz w:val="18"/>
              </w:rPr>
              <w:t xml:space="preserve"> </w:t>
            </w:r>
            <w:r w:rsidR="00A7727F" w:rsidRPr="00325EED">
              <w:rPr>
                <w:sz w:val="18"/>
              </w:rPr>
              <w:t xml:space="preserve">first </w:t>
            </w:r>
            <w:r w:rsidR="00423768" w:rsidRPr="00325EED">
              <w:rPr>
                <w:sz w:val="18"/>
              </w:rPr>
              <w:t>2</w:t>
            </w:r>
            <w:r w:rsidR="00A7727F" w:rsidRPr="00325EED">
              <w:rPr>
                <w:sz w:val="18"/>
              </w:rPr>
              <w:t xml:space="preserve"> cycles</w:t>
            </w:r>
          </w:p>
        </w:tc>
        <w:tc>
          <w:tcPr>
            <w:tcW w:w="173" w:type="pct"/>
          </w:tcPr>
          <w:p w14:paraId="405FB78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330FAA6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7B080EE5"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7F306837"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7F1AFE1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499298CA"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17FC4E88"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455D866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2FF9225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03A6203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172DDC6F"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33" w:type="pct"/>
          </w:tcPr>
          <w:p w14:paraId="556E3FA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018BCAE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370" w:type="pct"/>
          </w:tcPr>
          <w:p w14:paraId="6AF3910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221" w:type="pct"/>
          </w:tcPr>
          <w:p w14:paraId="1D0E96BA"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r>
      <w:tr w:rsidR="006C3F16" w:rsidRPr="00325EED" w14:paraId="13ED29A2" w14:textId="77777777" w:rsidTr="007B270B">
        <w:trPr>
          <w:trHeight w:val="728"/>
        </w:trPr>
        <w:tc>
          <w:tcPr>
            <w:cnfStyle w:val="001000000000" w:firstRow="0" w:lastRow="0" w:firstColumn="1" w:lastColumn="0" w:oddVBand="0" w:evenVBand="0" w:oddHBand="0" w:evenHBand="0" w:firstRowFirstColumn="0" w:firstRowLastColumn="0" w:lastRowFirstColumn="0" w:lastRowLastColumn="0"/>
            <w:tcW w:w="736" w:type="pct"/>
          </w:tcPr>
          <w:p w14:paraId="013F6376" w14:textId="6BAF3FD5" w:rsidR="00A7727F" w:rsidRPr="00325EED" w:rsidRDefault="00A7727F" w:rsidP="00325EED">
            <w:pPr>
              <w:ind w:left="0" w:right="0"/>
              <w:rPr>
                <w:sz w:val="18"/>
              </w:rPr>
            </w:pPr>
            <w:r w:rsidRPr="00325EED">
              <w:rPr>
                <w:sz w:val="18"/>
              </w:rPr>
              <w:t>Progressive disease</w:t>
            </w:r>
          </w:p>
        </w:tc>
        <w:tc>
          <w:tcPr>
            <w:tcW w:w="173" w:type="pct"/>
          </w:tcPr>
          <w:p w14:paraId="77D75DD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1C37CEE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240887F3"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7654329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1724D4D9"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7B063928"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38CBB9CE"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7AA3DA7D"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7B01F8A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15ABFED9"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025C93E4"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34A2492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50DC2C6A"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29A0BC8B"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221" w:type="pct"/>
          </w:tcPr>
          <w:p w14:paraId="166DF8C4"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r>
      <w:tr w:rsidR="006C3F16" w:rsidRPr="00325EED" w14:paraId="3A8085AB" w14:textId="77777777" w:rsidTr="007B270B">
        <w:trPr>
          <w:trHeight w:val="473"/>
        </w:trPr>
        <w:tc>
          <w:tcPr>
            <w:cnfStyle w:val="001000000000" w:firstRow="0" w:lastRow="0" w:firstColumn="1" w:lastColumn="0" w:oddVBand="0" w:evenVBand="0" w:oddHBand="0" w:evenHBand="0" w:firstRowFirstColumn="0" w:firstRowLastColumn="0" w:lastRowFirstColumn="0" w:lastRowLastColumn="0"/>
            <w:tcW w:w="736" w:type="pct"/>
          </w:tcPr>
          <w:p w14:paraId="0C62E8B2" w14:textId="60A13498" w:rsidR="00A7727F" w:rsidRPr="00325EED" w:rsidRDefault="00A7727F" w:rsidP="00325EED">
            <w:pPr>
              <w:ind w:left="0" w:right="0"/>
              <w:rPr>
                <w:sz w:val="18"/>
              </w:rPr>
            </w:pPr>
            <w:r w:rsidRPr="00325EED">
              <w:rPr>
                <w:sz w:val="18"/>
              </w:rPr>
              <w:t>Non-response</w:t>
            </w:r>
          </w:p>
        </w:tc>
        <w:tc>
          <w:tcPr>
            <w:tcW w:w="173" w:type="pct"/>
          </w:tcPr>
          <w:p w14:paraId="4985BB05"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2A649E29"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(40.0)</w:t>
            </w:r>
          </w:p>
        </w:tc>
        <w:tc>
          <w:tcPr>
            <w:tcW w:w="333" w:type="pct"/>
          </w:tcPr>
          <w:p w14:paraId="71146195"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35F09767"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w:t>
            </w:r>
          </w:p>
        </w:tc>
        <w:tc>
          <w:tcPr>
            <w:tcW w:w="370" w:type="pct"/>
          </w:tcPr>
          <w:p w14:paraId="69ED1113"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(42.9)</w:t>
            </w:r>
          </w:p>
        </w:tc>
        <w:tc>
          <w:tcPr>
            <w:tcW w:w="333" w:type="pct"/>
          </w:tcPr>
          <w:p w14:paraId="46B4EAC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259EDAB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5A384CFB"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(20.0)</w:t>
            </w:r>
          </w:p>
        </w:tc>
        <w:tc>
          <w:tcPr>
            <w:tcW w:w="333" w:type="pct"/>
          </w:tcPr>
          <w:p w14:paraId="3CEE181E"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1520160F"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0AFB0B27"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(16.7)</w:t>
            </w:r>
          </w:p>
        </w:tc>
        <w:tc>
          <w:tcPr>
            <w:tcW w:w="333" w:type="pct"/>
          </w:tcPr>
          <w:p w14:paraId="5BE7988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5ED275B0"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7</w:t>
            </w:r>
          </w:p>
        </w:tc>
        <w:tc>
          <w:tcPr>
            <w:tcW w:w="370" w:type="pct"/>
          </w:tcPr>
          <w:p w14:paraId="4AF9BF3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(38.9)</w:t>
            </w:r>
          </w:p>
        </w:tc>
        <w:tc>
          <w:tcPr>
            <w:tcW w:w="221" w:type="pct"/>
          </w:tcPr>
          <w:p w14:paraId="6A28CE55"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r>
      <w:tr w:rsidR="006C3F16" w:rsidRPr="00325EED" w14:paraId="3CE45F01" w14:textId="77777777" w:rsidTr="007B270B">
        <w:trPr>
          <w:trHeight w:val="728"/>
        </w:trPr>
        <w:tc>
          <w:tcPr>
            <w:cnfStyle w:val="001000000000" w:firstRow="0" w:lastRow="0" w:firstColumn="1" w:lastColumn="0" w:oddVBand="0" w:evenVBand="0" w:oddHBand="0" w:evenHBand="0" w:firstRowFirstColumn="0" w:firstRowLastColumn="0" w:lastRowFirstColumn="0" w:lastRowLastColumn="0"/>
            <w:tcW w:w="736" w:type="pct"/>
          </w:tcPr>
          <w:p w14:paraId="6F94D573" w14:textId="236BA7E7" w:rsidR="00A7727F" w:rsidRPr="00325EED" w:rsidRDefault="00A7727F" w:rsidP="00325EED">
            <w:pPr>
              <w:ind w:left="0" w:right="0"/>
              <w:rPr>
                <w:sz w:val="18"/>
              </w:rPr>
            </w:pPr>
            <w:r w:rsidRPr="00325EED">
              <w:rPr>
                <w:sz w:val="18"/>
              </w:rPr>
              <w:t>No response data</w:t>
            </w:r>
          </w:p>
        </w:tc>
        <w:tc>
          <w:tcPr>
            <w:tcW w:w="173" w:type="pct"/>
          </w:tcPr>
          <w:p w14:paraId="3BCD7EEF"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558B6EDD"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6128FE88"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7CB996F9"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w:t>
            </w:r>
          </w:p>
        </w:tc>
        <w:tc>
          <w:tcPr>
            <w:tcW w:w="370" w:type="pct"/>
          </w:tcPr>
          <w:p w14:paraId="76E1BA0D"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(0.0)</w:t>
            </w:r>
          </w:p>
        </w:tc>
        <w:tc>
          <w:tcPr>
            <w:tcW w:w="333" w:type="pct"/>
          </w:tcPr>
          <w:p w14:paraId="4CAB7EA1"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6A25D4B5"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485E0503"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(40.0)</w:t>
            </w:r>
          </w:p>
        </w:tc>
        <w:tc>
          <w:tcPr>
            <w:tcW w:w="333" w:type="pct"/>
          </w:tcPr>
          <w:p w14:paraId="59F3151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5D7CD464"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2</w:t>
            </w:r>
          </w:p>
        </w:tc>
        <w:tc>
          <w:tcPr>
            <w:tcW w:w="370" w:type="pct"/>
          </w:tcPr>
          <w:p w14:paraId="18ECF3A5"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(33.3)</w:t>
            </w:r>
          </w:p>
        </w:tc>
        <w:tc>
          <w:tcPr>
            <w:tcW w:w="333" w:type="pct"/>
          </w:tcPr>
          <w:p w14:paraId="554BC95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c>
          <w:tcPr>
            <w:tcW w:w="173" w:type="pct"/>
          </w:tcPr>
          <w:p w14:paraId="57773A76"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1</w:t>
            </w:r>
          </w:p>
        </w:tc>
        <w:tc>
          <w:tcPr>
            <w:tcW w:w="370" w:type="pct"/>
          </w:tcPr>
          <w:p w14:paraId="140A9B6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r w:rsidRPr="00325EED">
              <w:rPr>
                <w:sz w:val="18"/>
              </w:rPr>
              <w:t>(5.6)</w:t>
            </w:r>
          </w:p>
        </w:tc>
        <w:tc>
          <w:tcPr>
            <w:tcW w:w="221" w:type="pct"/>
          </w:tcPr>
          <w:p w14:paraId="75F7C242" w14:textId="77777777" w:rsidR="00A7727F" w:rsidRPr="00325EED" w:rsidRDefault="00A7727F" w:rsidP="00A972DD">
            <w:pPr>
              <w:spacing w:line="120" w:lineRule="atLeast"/>
              <w:ind w:left="0" w:right="0"/>
              <w:cnfStyle w:val="000000000000" w:firstRow="0" w:lastRow="0" w:firstColumn="0" w:lastColumn="0" w:oddVBand="0" w:evenVBand="0" w:oddHBand="0" w:evenHBand="0" w:firstRowFirstColumn="0" w:firstRowLastColumn="0" w:lastRowFirstColumn="0" w:lastRowLastColumn="0"/>
              <w:rPr>
                <w:sz w:val="18"/>
              </w:rPr>
            </w:pPr>
          </w:p>
        </w:tc>
      </w:tr>
    </w:tbl>
    <w:p w14:paraId="2608C188" w14:textId="5D8B02CA" w:rsidR="00A7727F" w:rsidRPr="00A7727F" w:rsidRDefault="00A7727F" w:rsidP="00325EED">
      <w:pPr>
        <w:pStyle w:val="TableDescription"/>
        <w:rPr>
          <w:lang w:eastAsia="ja-JP"/>
        </w:rPr>
      </w:pPr>
      <w:r w:rsidRPr="00A7727F">
        <w:rPr>
          <w:lang w:eastAsia="ja-JP"/>
        </w:rPr>
        <w:t>CI</w:t>
      </w:r>
      <w:r w:rsidR="00375CAE">
        <w:rPr>
          <w:lang w:eastAsia="ja-JP"/>
        </w:rPr>
        <w:t xml:space="preserve"> </w:t>
      </w:r>
      <w:r w:rsidR="00423768">
        <w:rPr>
          <w:lang w:eastAsia="ja-JP"/>
        </w:rPr>
        <w:t>=</w:t>
      </w:r>
      <w:r w:rsidR="00375CAE">
        <w:rPr>
          <w:lang w:eastAsia="ja-JP"/>
        </w:rPr>
        <w:t xml:space="preserve"> </w:t>
      </w:r>
      <w:r w:rsidRPr="00A7727F">
        <w:rPr>
          <w:lang w:eastAsia="ja-JP"/>
        </w:rPr>
        <w:t>confidence interval.</w:t>
      </w:r>
      <w:r w:rsidR="00325EED">
        <w:rPr>
          <w:lang w:eastAsia="ja-JP"/>
        </w:rPr>
        <w:t xml:space="preserve"> a) </w:t>
      </w:r>
      <w:r w:rsidRPr="00A7727F">
        <w:rPr>
          <w:lang w:eastAsia="ja-JP"/>
        </w:rPr>
        <w:t xml:space="preserve">95% CI: lower and upper limit of </w:t>
      </w:r>
      <w:r w:rsidR="00423768">
        <w:rPr>
          <w:lang w:eastAsia="ja-JP"/>
        </w:rPr>
        <w:t>2</w:t>
      </w:r>
      <w:r w:rsidRPr="00A7727F">
        <w:rPr>
          <w:lang w:eastAsia="ja-JP"/>
        </w:rPr>
        <w:t xml:space="preserve"> sided exact 95% confidence interval for percentage of patients within each response category.</w:t>
      </w:r>
    </w:p>
    <w:p w14:paraId="1B3C6241" w14:textId="77777777" w:rsidR="00A7727F" w:rsidRPr="00A7727F" w:rsidRDefault="00A7727F" w:rsidP="00325EED">
      <w:pPr>
        <w:pStyle w:val="Heading3"/>
      </w:pPr>
      <w:bookmarkStart w:id="225" w:name="_Toc292015611"/>
      <w:bookmarkStart w:id="226" w:name="_Toc505762983"/>
      <w:r w:rsidRPr="00A7727F">
        <w:t>Historical Comparator Studies in Relapsed/Refractory ALL</w:t>
      </w:r>
      <w:bookmarkEnd w:id="225"/>
      <w:bookmarkEnd w:id="226"/>
    </w:p>
    <w:p w14:paraId="769207A4" w14:textId="7841DCC9" w:rsidR="00A7727F" w:rsidRPr="00A7727F" w:rsidRDefault="001C1BB6" w:rsidP="001C1BB6">
      <w:pPr>
        <w:pStyle w:val="Heading4"/>
      </w:pPr>
      <w:bookmarkStart w:id="227" w:name="_Toc292015612"/>
      <w:r>
        <w:t>Historical c</w:t>
      </w:r>
      <w:r w:rsidR="00A7727F" w:rsidRPr="00A7727F">
        <w:t>omparator Study 20120310</w:t>
      </w:r>
      <w:bookmarkEnd w:id="227"/>
    </w:p>
    <w:p w14:paraId="5B3C08FA" w14:textId="52C0A5F5" w:rsidR="00A7727F" w:rsidRPr="00A7727F" w:rsidRDefault="001C1BB6" w:rsidP="00A7727F">
      <w:pPr>
        <w:rPr>
          <w:lang w:eastAsia="ja-JP"/>
        </w:rPr>
      </w:pPr>
      <w:r>
        <w:rPr>
          <w:lang w:eastAsia="ja-JP"/>
        </w:rPr>
        <w:t>This was an a</w:t>
      </w:r>
      <w:r w:rsidR="00A7727F" w:rsidRPr="00A7727F">
        <w:rPr>
          <w:lang w:eastAsia="ja-JP"/>
        </w:rPr>
        <w:t xml:space="preserve">nalysis of </w:t>
      </w:r>
      <w:r>
        <w:rPr>
          <w:lang w:eastAsia="ja-JP"/>
        </w:rPr>
        <w:t>historical data on haematological remission and survival among adult patients with relapsed or refractory (R/R) B-precursor acute lymphoblastic l</w:t>
      </w:r>
      <w:r w:rsidR="00A7727F" w:rsidRPr="00A7727F">
        <w:rPr>
          <w:lang w:eastAsia="ja-JP"/>
        </w:rPr>
        <w:t>euk</w:t>
      </w:r>
      <w:r>
        <w:rPr>
          <w:lang w:eastAsia="ja-JP"/>
        </w:rPr>
        <w:t>a</w:t>
      </w:r>
      <w:r w:rsidR="00A7727F" w:rsidRPr="00A7727F">
        <w:rPr>
          <w:lang w:eastAsia="ja-JP"/>
        </w:rPr>
        <w:t>emia (ALL)</w:t>
      </w:r>
    </w:p>
    <w:p w14:paraId="293135F7" w14:textId="1193B6A0" w:rsidR="00A7727F" w:rsidRPr="00A7727F" w:rsidRDefault="00A7727F" w:rsidP="001C1BB6">
      <w:pPr>
        <w:pStyle w:val="Heading5"/>
        <w:rPr>
          <w:lang w:eastAsia="ja-JP"/>
        </w:rPr>
      </w:pPr>
      <w:r w:rsidRPr="00A7727F">
        <w:rPr>
          <w:lang w:eastAsia="ja-JP"/>
        </w:rPr>
        <w:t>Study</w:t>
      </w:r>
      <w:r w:rsidR="006C3F16">
        <w:rPr>
          <w:lang w:eastAsia="ja-JP"/>
        </w:rPr>
        <w:t xml:space="preserve"> d</w:t>
      </w:r>
      <w:r w:rsidRPr="00A7727F">
        <w:rPr>
          <w:lang w:eastAsia="ja-JP"/>
        </w:rPr>
        <w:t>esign</w:t>
      </w:r>
    </w:p>
    <w:p w14:paraId="5FF001B8" w14:textId="77777777" w:rsidR="00A7727F" w:rsidRPr="00A7727F" w:rsidRDefault="00A7727F" w:rsidP="00A7727F">
      <w:pPr>
        <w:rPr>
          <w:lang w:eastAsia="ja-JP"/>
        </w:rPr>
      </w:pPr>
      <w:r w:rsidRPr="00A7727F">
        <w:rPr>
          <w:lang w:eastAsia="ja-JP"/>
        </w:rPr>
        <w:t>A retrospective pooled analysis of historical data available from 1990 to 2014 that was assembled by combining existing clinical databases from the EU study groups and US study groups.</w:t>
      </w:r>
    </w:p>
    <w:p w14:paraId="157EEA81" w14:textId="25DD816E" w:rsidR="00A7727F" w:rsidRPr="00A7727F" w:rsidRDefault="00A7727F" w:rsidP="00A7727F">
      <w:pPr>
        <w:rPr>
          <w:lang w:eastAsia="ja-JP"/>
        </w:rPr>
      </w:pPr>
      <w:r w:rsidRPr="00A7727F">
        <w:rPr>
          <w:lang w:eastAsia="ja-JP"/>
        </w:rPr>
        <w:t>The study cohort included data from 1139 patients (data was available for CR</w:t>
      </w:r>
      <w:r w:rsidRPr="001C1BB6">
        <w:rPr>
          <w:lang w:eastAsia="ja-JP"/>
        </w:rPr>
        <w:t>sg</w:t>
      </w:r>
      <w:r w:rsidRPr="00A7727F">
        <w:rPr>
          <w:lang w:eastAsia="ja-JP"/>
        </w:rPr>
        <w:t xml:space="preserve"> in 694 patients, OS in 1112 patients, RFS in 108 patients, and HSCT in 808 patients) whose initial ALL diagnosis was after 01 January 1990. </w:t>
      </w:r>
      <w:r w:rsidR="00423768">
        <w:rPr>
          <w:lang w:eastAsia="ja-JP"/>
        </w:rPr>
        <w:t>2</w:t>
      </w:r>
      <w:r w:rsidR="001C1BB6">
        <w:rPr>
          <w:lang w:eastAsia="ja-JP"/>
        </w:rPr>
        <w:t xml:space="preserve"> </w:t>
      </w:r>
      <w:r w:rsidRPr="00A7727F">
        <w:rPr>
          <w:lang w:eastAsia="ja-JP"/>
        </w:rPr>
        <w:t>thirds of the database patients were diagnosed after 2000.</w:t>
      </w:r>
    </w:p>
    <w:p w14:paraId="40F7179A" w14:textId="77777777" w:rsidR="00A7727F" w:rsidRPr="00A7727F" w:rsidRDefault="00A7727F" w:rsidP="00A7727F">
      <w:pPr>
        <w:rPr>
          <w:lang w:eastAsia="ja-JP"/>
        </w:rPr>
      </w:pPr>
      <w:r w:rsidRPr="00A7727F">
        <w:rPr>
          <w:lang w:eastAsia="ja-JP"/>
        </w:rPr>
        <w:t>Patients included in the study’s weighted analysis had:</w:t>
      </w:r>
    </w:p>
    <w:p w14:paraId="62514663" w14:textId="3FE9FEF2" w:rsidR="00A7727F" w:rsidRPr="00A7727F" w:rsidRDefault="00A7727F" w:rsidP="001C1BB6">
      <w:pPr>
        <w:pStyle w:val="ListBullet"/>
        <w:rPr>
          <w:lang w:eastAsia="ja-JP"/>
        </w:rPr>
      </w:pPr>
      <w:r w:rsidRPr="00A7727F">
        <w:rPr>
          <w:lang w:eastAsia="ja-JP"/>
        </w:rPr>
        <w:t>first relapse or salvage treatment after a first remission duration of</w:t>
      </w:r>
      <w:r w:rsidR="00375CAE">
        <w:rPr>
          <w:lang w:eastAsia="ja-JP"/>
        </w:rPr>
        <w:t xml:space="preserve"> </w:t>
      </w:r>
      <w:r w:rsidR="00423768">
        <w:rPr>
          <w:lang w:eastAsia="ja-JP"/>
        </w:rPr>
        <w:t>≤</w:t>
      </w:r>
      <w:r w:rsidR="00375CAE">
        <w:rPr>
          <w:lang w:eastAsia="ja-JP"/>
        </w:rPr>
        <w:t xml:space="preserve"> </w:t>
      </w:r>
      <w:r w:rsidRPr="00A7727F">
        <w:rPr>
          <w:lang w:eastAsia="ja-JP"/>
        </w:rPr>
        <w:t>12 months, or</w:t>
      </w:r>
    </w:p>
    <w:p w14:paraId="63061CD4" w14:textId="77777777" w:rsidR="00A7727F" w:rsidRPr="00A7727F" w:rsidRDefault="00A7727F" w:rsidP="001C1BB6">
      <w:pPr>
        <w:pStyle w:val="ListBullet"/>
        <w:rPr>
          <w:lang w:eastAsia="ja-JP"/>
        </w:rPr>
      </w:pPr>
      <w:r w:rsidRPr="00A7727F">
        <w:rPr>
          <w:lang w:eastAsia="ja-JP"/>
        </w:rPr>
        <w:t>refractory to initial treatment, or</w:t>
      </w:r>
    </w:p>
    <w:p w14:paraId="7C8CDB30" w14:textId="474D110A" w:rsidR="00A7727F" w:rsidRPr="00A7727F" w:rsidRDefault="00A7727F" w:rsidP="001C1BB6">
      <w:pPr>
        <w:pStyle w:val="ListBullet"/>
        <w:rPr>
          <w:lang w:eastAsia="ja-JP"/>
        </w:rPr>
      </w:pPr>
      <w:r w:rsidRPr="00A7727F">
        <w:rPr>
          <w:lang w:eastAsia="ja-JP"/>
        </w:rPr>
        <w:t>relapsed/refractory after first or later salvage</w:t>
      </w:r>
      <w:r w:rsidR="001C1BB6">
        <w:rPr>
          <w:lang w:eastAsia="ja-JP"/>
        </w:rPr>
        <w:t>;</w:t>
      </w:r>
      <w:r w:rsidRPr="00A7727F">
        <w:rPr>
          <w:lang w:eastAsia="ja-JP"/>
        </w:rPr>
        <w:t xml:space="preserve"> </w:t>
      </w:r>
      <w:r w:rsidR="001C1BB6">
        <w:rPr>
          <w:lang w:eastAsia="ja-JP"/>
        </w:rPr>
        <w:t>for example</w:t>
      </w:r>
      <w:r w:rsidRPr="00A7727F">
        <w:rPr>
          <w:lang w:eastAsia="ja-JP"/>
        </w:rPr>
        <w:t>, second or later relapse)</w:t>
      </w:r>
    </w:p>
    <w:p w14:paraId="42C1A90A" w14:textId="72938D4A" w:rsidR="00A7727F" w:rsidRPr="00A7727F" w:rsidRDefault="00A7727F" w:rsidP="001C1BB6">
      <w:pPr>
        <w:pStyle w:val="ListBullet"/>
        <w:rPr>
          <w:lang w:eastAsia="ja-JP"/>
        </w:rPr>
      </w:pPr>
      <w:r w:rsidRPr="00A7727F">
        <w:rPr>
          <w:lang w:eastAsia="ja-JP"/>
        </w:rPr>
        <w:t>relapsed/refractory within 12 months of allogeneic HSCT</w:t>
      </w:r>
      <w:r w:rsidR="001C1BB6">
        <w:rPr>
          <w:lang w:eastAsia="ja-JP"/>
        </w:rPr>
        <w:t>.</w:t>
      </w:r>
    </w:p>
    <w:p w14:paraId="1A7EADFD" w14:textId="3C199409" w:rsidR="00A7727F" w:rsidRPr="00A7727F" w:rsidRDefault="00A7727F" w:rsidP="00A7727F">
      <w:pPr>
        <w:rPr>
          <w:lang w:eastAsia="ja-JP"/>
        </w:rPr>
      </w:pPr>
      <w:r w:rsidRPr="00A7727F">
        <w:rPr>
          <w:lang w:eastAsia="ja-JP"/>
        </w:rPr>
        <w:t>The primary objective of this study was to estimate the proportion of patien</w:t>
      </w:r>
      <w:r w:rsidR="001C1BB6">
        <w:rPr>
          <w:lang w:eastAsia="ja-JP"/>
        </w:rPr>
        <w:t xml:space="preserve">ts with Philadelphia chromosome </w:t>
      </w:r>
      <w:r w:rsidRPr="00A7727F">
        <w:rPr>
          <w:lang w:eastAsia="ja-JP"/>
        </w:rPr>
        <w:t>negative relapsed/refractory B-precursor ALL who achieved h</w:t>
      </w:r>
      <w:r w:rsidR="001C1BB6">
        <w:rPr>
          <w:lang w:eastAsia="ja-JP"/>
        </w:rPr>
        <w:t>a</w:t>
      </w:r>
      <w:r w:rsidRPr="00A7727F">
        <w:rPr>
          <w:lang w:eastAsia="ja-JP"/>
        </w:rPr>
        <w:t>ematological CRsg following salvage treatment, excluding patients with a first remission duration of</w:t>
      </w:r>
      <w:r w:rsidR="00375CAE">
        <w:rPr>
          <w:lang w:eastAsia="ja-JP"/>
        </w:rPr>
        <w:t xml:space="preserve"> </w:t>
      </w:r>
      <w:r w:rsidR="00423768">
        <w:rPr>
          <w:lang w:eastAsia="ja-JP"/>
        </w:rPr>
        <w:t>&gt;</w:t>
      </w:r>
      <w:r w:rsidR="00375CAE">
        <w:rPr>
          <w:lang w:eastAsia="ja-JP"/>
        </w:rPr>
        <w:t xml:space="preserve"> </w:t>
      </w:r>
      <w:r w:rsidRPr="00A7727F">
        <w:rPr>
          <w:lang w:eastAsia="ja-JP"/>
        </w:rPr>
        <w:t xml:space="preserve">12 months in first salvage </w:t>
      </w:r>
      <w:r w:rsidR="001C1BB6">
        <w:rPr>
          <w:lang w:eastAsia="ja-JP"/>
        </w:rPr>
        <w:t>(that is</w:t>
      </w:r>
      <w:r w:rsidRPr="00A7727F">
        <w:rPr>
          <w:lang w:eastAsia="ja-JP"/>
        </w:rPr>
        <w:t xml:space="preserve">, late first relapse). CRsg, as defined in each of the different study groups’ data, included patients who experienced complete bone marrow recovery </w:t>
      </w:r>
      <w:r w:rsidR="00423768">
        <w:rPr>
          <w:lang w:eastAsia="ja-JP"/>
        </w:rPr>
        <w:t>(&lt;</w:t>
      </w:r>
      <w:r w:rsidR="00375CAE">
        <w:rPr>
          <w:lang w:eastAsia="ja-JP"/>
        </w:rPr>
        <w:t xml:space="preserve"> </w:t>
      </w:r>
      <w:r w:rsidRPr="00A7727F">
        <w:rPr>
          <w:lang w:eastAsia="ja-JP"/>
        </w:rPr>
        <w:t xml:space="preserve">5% blasts) with full peripheral blood count recovery </w:t>
      </w:r>
      <w:r w:rsidR="001C1BB6">
        <w:rPr>
          <w:lang w:eastAsia="ja-JP"/>
        </w:rPr>
        <w:t>(that is</w:t>
      </w:r>
      <w:r w:rsidRPr="00A7727F">
        <w:rPr>
          <w:lang w:eastAsia="ja-JP"/>
        </w:rPr>
        <w:t>, neutrophils/ANC</w:t>
      </w:r>
      <w:r w:rsidR="00375CAE">
        <w:rPr>
          <w:lang w:eastAsia="ja-JP"/>
        </w:rPr>
        <w:t xml:space="preserve"> </w:t>
      </w:r>
      <w:r w:rsidR="00423768">
        <w:rPr>
          <w:lang w:eastAsia="ja-JP"/>
        </w:rPr>
        <w:t xml:space="preserve">&gt; </w:t>
      </w:r>
      <w:r w:rsidR="001C1BB6">
        <w:rPr>
          <w:lang w:eastAsia="ja-JP"/>
        </w:rPr>
        <w:t>1,000</w:t>
      </w:r>
      <w:r w:rsidRPr="00A7727F">
        <w:rPr>
          <w:lang w:eastAsia="ja-JP"/>
        </w:rPr>
        <w:t>/</w:t>
      </w:r>
      <w:r w:rsidR="001C1BB6">
        <w:rPr>
          <w:lang w:eastAsia="ja-JP"/>
        </w:rPr>
        <w:t>µ</w:t>
      </w:r>
      <w:r w:rsidRPr="00A7727F">
        <w:rPr>
          <w:lang w:eastAsia="ja-JP"/>
        </w:rPr>
        <w:t>L, and platelets</w:t>
      </w:r>
      <w:r w:rsidR="00375CAE">
        <w:rPr>
          <w:lang w:eastAsia="ja-JP"/>
        </w:rPr>
        <w:t xml:space="preserve"> </w:t>
      </w:r>
      <w:r w:rsidR="00423768">
        <w:rPr>
          <w:lang w:eastAsia="ja-JP"/>
        </w:rPr>
        <w:t xml:space="preserve">&gt; </w:t>
      </w:r>
      <w:r w:rsidR="001C1BB6">
        <w:rPr>
          <w:lang w:eastAsia="ja-JP"/>
        </w:rPr>
        <w:t>100,000/µ</w:t>
      </w:r>
      <w:r w:rsidRPr="00A7727F">
        <w:rPr>
          <w:lang w:eastAsia="ja-JP"/>
        </w:rPr>
        <w:t>L.</w:t>
      </w:r>
    </w:p>
    <w:p w14:paraId="08E59616" w14:textId="77777777" w:rsidR="00A7727F" w:rsidRPr="00A7727F" w:rsidRDefault="00A7727F" w:rsidP="00A7727F">
      <w:pPr>
        <w:rPr>
          <w:lang w:eastAsia="ja-JP"/>
        </w:rPr>
      </w:pPr>
      <w:r w:rsidRPr="00A7727F">
        <w:rPr>
          <w:lang w:eastAsia="ja-JP"/>
        </w:rPr>
        <w:t>Key secondary objectives included estimating OS, RFS, and the proportion of patients receiving allogeneic HSCT. The impact of various prognostic factors on CRsg and OS were also assessed.</w:t>
      </w:r>
    </w:p>
    <w:p w14:paraId="6ABB6EEE" w14:textId="3C50F0D1" w:rsidR="00A7727F" w:rsidRPr="00A7727F" w:rsidRDefault="00A7727F" w:rsidP="00A7727F">
      <w:pPr>
        <w:rPr>
          <w:lang w:eastAsia="ja-JP"/>
        </w:rPr>
      </w:pPr>
      <w:r w:rsidRPr="00A7727F">
        <w:rPr>
          <w:lang w:eastAsia="ja-JP"/>
        </w:rPr>
        <w:t xml:space="preserve">This study was conducted in order to provide a historical comparator to provide a better context for evaluating the treatment effect of blinatumomab in the </w:t>
      </w:r>
      <w:r w:rsidR="002B779F">
        <w:rPr>
          <w:lang w:eastAsia="ja-JP"/>
        </w:rPr>
        <w:t>single arm</w:t>
      </w:r>
      <w:r w:rsidRPr="00A7727F">
        <w:rPr>
          <w:lang w:eastAsia="ja-JP"/>
        </w:rPr>
        <w:t xml:space="preserve"> clinical studies of blinatumomab in adult relapsed/refractory ALL patients</w:t>
      </w:r>
      <w:r w:rsidR="001C1BB6">
        <w:rPr>
          <w:lang w:eastAsia="ja-JP"/>
        </w:rPr>
        <w:t>.</w:t>
      </w:r>
    </w:p>
    <w:p w14:paraId="339B8F5B" w14:textId="77777777" w:rsidR="00A7727F" w:rsidRPr="00A7727F" w:rsidRDefault="00A7727F" w:rsidP="001C1BB6">
      <w:pPr>
        <w:pStyle w:val="Heading5"/>
        <w:rPr>
          <w:lang w:eastAsia="ja-JP"/>
        </w:rPr>
      </w:pPr>
      <w:r w:rsidRPr="00A7727F">
        <w:rPr>
          <w:lang w:eastAsia="ja-JP"/>
        </w:rPr>
        <w:t>Results</w:t>
      </w:r>
    </w:p>
    <w:p w14:paraId="71D7694D" w14:textId="329F7F0B" w:rsidR="00A7727F" w:rsidRPr="00A7727F" w:rsidRDefault="00A7727F" w:rsidP="001C1BB6">
      <w:pPr>
        <w:pStyle w:val="Heading6"/>
        <w:rPr>
          <w:lang w:eastAsia="ja-JP"/>
        </w:rPr>
      </w:pPr>
      <w:r w:rsidRPr="00A7727F">
        <w:rPr>
          <w:lang w:eastAsia="ja-JP"/>
        </w:rPr>
        <w:t>D</w:t>
      </w:r>
      <w:r w:rsidR="001C1BB6">
        <w:rPr>
          <w:lang w:eastAsia="ja-JP"/>
        </w:rPr>
        <w:t>isposition and d</w:t>
      </w:r>
      <w:r w:rsidRPr="00A7727F">
        <w:rPr>
          <w:lang w:eastAsia="ja-JP"/>
        </w:rPr>
        <w:t>emographics</w:t>
      </w:r>
    </w:p>
    <w:p w14:paraId="6FEFA79B" w14:textId="77777777" w:rsidR="00A7727F" w:rsidRPr="00A7727F" w:rsidRDefault="00A7727F" w:rsidP="00A7727F">
      <w:pPr>
        <w:rPr>
          <w:lang w:eastAsia="ja-JP"/>
        </w:rPr>
      </w:pPr>
      <w:r w:rsidRPr="00A7727F">
        <w:rPr>
          <w:lang w:eastAsia="ja-JP"/>
        </w:rPr>
        <w:t>A total of 1139 subjects were included in the primary analysis. Of those, 807 were from study groups or sites that had data available on CRsg; 694 patients had data on CRsg and the age/treatment history variables for inclusion in the weighted analyses. Almost 70% of subjects with CRsg data available for the primary analysis came from one site in the US and the German study group. Among the 1139 subjects, 58% were men, and the median age (range) was 35 years (18 to 83 years).</w:t>
      </w:r>
    </w:p>
    <w:p w14:paraId="57FDD03B" w14:textId="347E6CD1" w:rsidR="00A7727F" w:rsidRPr="00A7727F" w:rsidRDefault="00A7727F" w:rsidP="00A7727F">
      <w:pPr>
        <w:rPr>
          <w:lang w:eastAsia="ja-JP"/>
        </w:rPr>
      </w:pPr>
      <w:r w:rsidRPr="00A7727F">
        <w:rPr>
          <w:lang w:eastAsia="ja-JP"/>
        </w:rPr>
        <w:t xml:space="preserve">Overall, more than half of the subjects were in first relapse, 12% were refractory to primary treatment, and 17% had an allogeneic HSCT prior to first relapse or first salvage. Approximately one-third of the subject population was diagnosed with ALL between 1990 and 1999, with the remaining </w:t>
      </w:r>
      <w:r w:rsidR="00423768">
        <w:rPr>
          <w:lang w:eastAsia="ja-JP"/>
        </w:rPr>
        <w:t>2</w:t>
      </w:r>
      <w:r w:rsidRPr="00A7727F">
        <w:rPr>
          <w:lang w:eastAsia="ja-JP"/>
        </w:rPr>
        <w:t xml:space="preserve"> thirds diagnosed in 2000 or later.</w:t>
      </w:r>
    </w:p>
    <w:p w14:paraId="3F2A4911" w14:textId="77777777" w:rsidR="00A7727F" w:rsidRPr="00A7727F" w:rsidRDefault="00A7727F" w:rsidP="006C3F16">
      <w:pPr>
        <w:pStyle w:val="Heading6"/>
        <w:rPr>
          <w:lang w:eastAsia="ja-JP"/>
        </w:rPr>
      </w:pPr>
      <w:r w:rsidRPr="00A7727F">
        <w:rPr>
          <w:lang w:eastAsia="ja-JP"/>
        </w:rPr>
        <w:t>Efficacy</w:t>
      </w:r>
    </w:p>
    <w:p w14:paraId="5441DEA7" w14:textId="5CB2451D" w:rsidR="00A7727F" w:rsidRPr="00A7727F" w:rsidRDefault="00A7727F" w:rsidP="00A7727F">
      <w:pPr>
        <w:rPr>
          <w:lang w:eastAsia="ja-JP"/>
        </w:rPr>
      </w:pPr>
      <w:r w:rsidRPr="00A7727F">
        <w:rPr>
          <w:lang w:eastAsia="ja-JP"/>
        </w:rPr>
        <w:t xml:space="preserve">The overall CRsg rate, weighted to the </w:t>
      </w:r>
      <w:r w:rsidR="006C3F16">
        <w:rPr>
          <w:lang w:eastAsia="ja-JP"/>
        </w:rPr>
        <w:t xml:space="preserve">Study </w:t>
      </w:r>
      <w:r w:rsidRPr="00A7727F">
        <w:rPr>
          <w:lang w:eastAsia="ja-JP"/>
        </w:rPr>
        <w:t>MT103-211 population, was 24% (95% CI: 20, 27) (</w:t>
      </w:r>
      <w:r w:rsidR="001C1BB6" w:rsidRPr="006C3F16">
        <w:rPr>
          <w:lang w:eastAsia="ja-JP"/>
        </w:rPr>
        <w:t xml:space="preserve">see </w:t>
      </w:r>
      <w:r w:rsidRPr="006C3F16">
        <w:rPr>
          <w:lang w:eastAsia="ja-JP"/>
        </w:rPr>
        <w:t>Table 3</w:t>
      </w:r>
      <w:r w:rsidR="006C3F16" w:rsidRPr="006C3F16">
        <w:rPr>
          <w:lang w:eastAsia="ja-JP"/>
        </w:rPr>
        <w:t>6, below</w:t>
      </w:r>
      <w:r w:rsidRPr="00A7727F">
        <w:rPr>
          <w:lang w:eastAsia="ja-JP"/>
        </w:rPr>
        <w:t>). Additionally, in the US, the overall weighted CRsg rate was 22% (95%</w:t>
      </w:r>
      <w:r w:rsidR="006C3F16">
        <w:rPr>
          <w:lang w:eastAsia="ja-JP"/>
        </w:rPr>
        <w:t> </w:t>
      </w:r>
      <w:r w:rsidRPr="00A7727F">
        <w:rPr>
          <w:lang w:eastAsia="ja-JP"/>
        </w:rPr>
        <w:t>CI:</w:t>
      </w:r>
      <w:r w:rsidR="006C3F16">
        <w:rPr>
          <w:lang w:eastAsia="ja-JP"/>
        </w:rPr>
        <w:t> </w:t>
      </w:r>
      <w:r w:rsidRPr="00A7727F">
        <w:rPr>
          <w:lang w:eastAsia="ja-JP"/>
        </w:rPr>
        <w:t>14, 29). In the EU, the overall weighted CRsg rate was 27% (95% CI: 22, 33). The unweighted CRsg rate for the 116 subjects receiving s</w:t>
      </w:r>
      <w:r w:rsidR="006C3F16">
        <w:rPr>
          <w:lang w:eastAsia="ja-JP"/>
        </w:rPr>
        <w:t xml:space="preserve">ingle-agent therapy was 7% (95% </w:t>
      </w:r>
      <w:r w:rsidRPr="00A7727F">
        <w:rPr>
          <w:lang w:eastAsia="ja-JP"/>
        </w:rPr>
        <w:t>CI: 3, 13).</w:t>
      </w:r>
    </w:p>
    <w:p w14:paraId="00B1C70F" w14:textId="233819A2" w:rsidR="00A7727F" w:rsidRPr="00A7727F" w:rsidRDefault="00A7727F" w:rsidP="001C1BB6">
      <w:pPr>
        <w:pStyle w:val="Tabletitle"/>
        <w:rPr>
          <w:lang w:eastAsia="ja-JP"/>
        </w:rPr>
      </w:pPr>
      <w:bookmarkStart w:id="228" w:name="_Toc292015719"/>
      <w:r w:rsidRPr="00A7727F">
        <w:rPr>
          <w:lang w:eastAsia="ja-JP"/>
        </w:rPr>
        <w:t xml:space="preserve">Table </w:t>
      </w:r>
      <w:r w:rsidR="00CB21D3">
        <w:rPr>
          <w:lang w:eastAsia="ja-JP"/>
        </w:rPr>
        <w:t>36:</w:t>
      </w:r>
      <w:r w:rsidR="001C1BB6">
        <w:rPr>
          <w:lang w:eastAsia="ja-JP"/>
        </w:rPr>
        <w:t xml:space="preserve"> Strata-specific and c</w:t>
      </w:r>
      <w:r w:rsidR="001C1BB6" w:rsidRPr="00A7727F">
        <w:rPr>
          <w:lang w:eastAsia="ja-JP"/>
        </w:rPr>
        <w:t>ombined weighted estimate of complete remission in</w:t>
      </w:r>
      <w:r w:rsidR="00CB21D3">
        <w:rPr>
          <w:lang w:eastAsia="ja-JP"/>
        </w:rPr>
        <w:t xml:space="preserve"> Study </w:t>
      </w:r>
      <w:r w:rsidR="001C1BB6">
        <w:rPr>
          <w:lang w:eastAsia="ja-JP"/>
        </w:rPr>
        <w:t>20120310 (Philadelphia negative primary analysis set; All r</w:t>
      </w:r>
      <w:r w:rsidRPr="00A7727F">
        <w:rPr>
          <w:lang w:eastAsia="ja-JP"/>
        </w:rPr>
        <w:t>egions)</w:t>
      </w:r>
      <w:bookmarkEnd w:id="228"/>
    </w:p>
    <w:tbl>
      <w:tblPr>
        <w:tblStyle w:val="TableTGAblue"/>
        <w:tblW w:w="4928" w:type="pct"/>
        <w:tblLook w:val="04A0" w:firstRow="1" w:lastRow="0" w:firstColumn="1" w:lastColumn="0" w:noHBand="0" w:noVBand="1"/>
        <w:tblDescription w:val="Table 36: Strata-specific and combined weighted estimate of complete remission in Study 20120310 (Philadelphia negative primary analysis set; All regions)"/>
      </w:tblPr>
      <w:tblGrid>
        <w:gridCol w:w="1190"/>
        <w:gridCol w:w="1053"/>
        <w:gridCol w:w="1335"/>
        <w:gridCol w:w="880"/>
        <w:gridCol w:w="1104"/>
        <w:gridCol w:w="581"/>
        <w:gridCol w:w="1652"/>
        <w:gridCol w:w="1314"/>
      </w:tblGrid>
      <w:tr w:rsidR="0057749C" w:rsidRPr="001C1BB6" w14:paraId="12A4D5EC" w14:textId="77777777" w:rsidTr="007B7D09">
        <w:trPr>
          <w:cnfStyle w:val="100000000000" w:firstRow="1" w:lastRow="0" w:firstColumn="0" w:lastColumn="0" w:oddVBand="0" w:evenVBand="0" w:oddHBand="0" w:evenHBand="0" w:firstRowFirstColumn="0" w:firstRowLastColumn="0" w:lastRowFirstColumn="0" w:lastRowLastColumn="0"/>
          <w:trHeight w:val="1249"/>
          <w:tblHeader/>
        </w:trPr>
        <w:tc>
          <w:tcPr>
            <w:cnfStyle w:val="001000000000" w:firstRow="0" w:lastRow="0" w:firstColumn="1" w:lastColumn="0" w:oddVBand="0" w:evenVBand="0" w:oddHBand="0" w:evenHBand="0" w:firstRowFirstColumn="0" w:firstRowLastColumn="0" w:lastRowFirstColumn="0" w:lastRowLastColumn="0"/>
            <w:tcW w:w="653" w:type="pct"/>
          </w:tcPr>
          <w:p w14:paraId="3F2E4139" w14:textId="77777777" w:rsidR="00A7727F" w:rsidRPr="001C1BB6" w:rsidRDefault="00A7727F" w:rsidP="001C1BB6">
            <w:pPr>
              <w:ind w:left="0" w:right="0"/>
              <w:rPr>
                <w:sz w:val="18"/>
                <w:lang w:eastAsia="ja-JP"/>
              </w:rPr>
            </w:pPr>
            <w:r w:rsidRPr="001C1BB6">
              <w:rPr>
                <w:sz w:val="18"/>
                <w:lang w:eastAsia="ja-JP"/>
              </w:rPr>
              <w:t>Stratum</w:t>
            </w:r>
          </w:p>
        </w:tc>
        <w:tc>
          <w:tcPr>
            <w:tcW w:w="578" w:type="pct"/>
          </w:tcPr>
          <w:p w14:paraId="5DC8639C" w14:textId="7269AC8B" w:rsidR="00A7727F" w:rsidRPr="001C1BB6" w:rsidRDefault="00A7727F"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1C1BB6">
              <w:rPr>
                <w:sz w:val="18"/>
                <w:lang w:eastAsia="ja-JP"/>
              </w:rPr>
              <w:t>Age at</w:t>
            </w:r>
            <w:r w:rsidR="00684201">
              <w:rPr>
                <w:sz w:val="18"/>
                <w:lang w:eastAsia="ja-JP"/>
              </w:rPr>
              <w:t xml:space="preserve"> t</w:t>
            </w:r>
            <w:r w:rsidRPr="001C1BB6">
              <w:rPr>
                <w:sz w:val="18"/>
                <w:lang w:eastAsia="ja-JP"/>
              </w:rPr>
              <w:t>reatment</w:t>
            </w:r>
          </w:p>
        </w:tc>
        <w:tc>
          <w:tcPr>
            <w:tcW w:w="733" w:type="pct"/>
          </w:tcPr>
          <w:p w14:paraId="6BA22E83" w14:textId="24FB2186" w:rsidR="00A7727F" w:rsidRPr="001C1BB6" w:rsidRDefault="00684201"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Pr>
                <w:sz w:val="18"/>
                <w:lang w:eastAsia="ja-JP"/>
              </w:rPr>
              <w:t>Prior lines of t</w:t>
            </w:r>
            <w:r w:rsidR="00A7727F" w:rsidRPr="001C1BB6">
              <w:rPr>
                <w:sz w:val="18"/>
                <w:lang w:eastAsia="ja-JP"/>
              </w:rPr>
              <w:t>reatment</w:t>
            </w:r>
          </w:p>
        </w:tc>
        <w:tc>
          <w:tcPr>
            <w:tcW w:w="483" w:type="pct"/>
          </w:tcPr>
          <w:p w14:paraId="47DF456F" w14:textId="77777777" w:rsidR="00A7727F" w:rsidRPr="001C1BB6" w:rsidRDefault="00A7727F"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1C1BB6">
              <w:rPr>
                <w:sz w:val="18"/>
                <w:lang w:eastAsia="ja-JP"/>
              </w:rPr>
              <w:t>n/N</w:t>
            </w:r>
          </w:p>
        </w:tc>
        <w:tc>
          <w:tcPr>
            <w:tcW w:w="606" w:type="pct"/>
          </w:tcPr>
          <w:p w14:paraId="1618C2CB" w14:textId="680764FC" w:rsidR="00A7727F" w:rsidRPr="001C1BB6" w:rsidRDefault="00A7727F"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1C1BB6">
              <w:rPr>
                <w:sz w:val="18"/>
                <w:lang w:eastAsia="ja-JP"/>
              </w:rPr>
              <w:t>Stratum</w:t>
            </w:r>
            <w:r w:rsidR="00684201">
              <w:rPr>
                <w:sz w:val="18"/>
                <w:lang w:eastAsia="ja-JP"/>
              </w:rPr>
              <w:t xml:space="preserve"> </w:t>
            </w:r>
            <w:r w:rsidRPr="001C1BB6">
              <w:rPr>
                <w:sz w:val="18"/>
                <w:lang w:eastAsia="ja-JP"/>
              </w:rPr>
              <w:t>%</w:t>
            </w:r>
          </w:p>
        </w:tc>
        <w:tc>
          <w:tcPr>
            <w:tcW w:w="319" w:type="pct"/>
          </w:tcPr>
          <w:p w14:paraId="4EF59CAB" w14:textId="77777777" w:rsidR="00A7727F" w:rsidRPr="001C1BB6" w:rsidRDefault="00A7727F"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1C1BB6">
              <w:rPr>
                <w:sz w:val="18"/>
                <w:lang w:eastAsia="ja-JP"/>
              </w:rPr>
              <w:t>N</w:t>
            </w:r>
            <w:r w:rsidRPr="001C1BB6">
              <w:rPr>
                <w:sz w:val="18"/>
                <w:vertAlign w:val="subscript"/>
                <w:lang w:eastAsia="ja-JP"/>
              </w:rPr>
              <w:t>na</w:t>
            </w:r>
          </w:p>
        </w:tc>
        <w:tc>
          <w:tcPr>
            <w:tcW w:w="907" w:type="pct"/>
          </w:tcPr>
          <w:p w14:paraId="65F6F699" w14:textId="4B0796AF" w:rsidR="00A7727F" w:rsidRPr="001C1BB6" w:rsidRDefault="00A7727F"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1C1BB6">
              <w:rPr>
                <w:sz w:val="18"/>
                <w:lang w:eastAsia="ja-JP"/>
              </w:rPr>
              <w:t>CRsg Proportion</w:t>
            </w:r>
            <w:r w:rsidR="00684201">
              <w:rPr>
                <w:sz w:val="18"/>
                <w:lang w:eastAsia="ja-JP"/>
              </w:rPr>
              <w:t xml:space="preserve"> </w:t>
            </w:r>
            <w:r w:rsidRPr="001C1BB6">
              <w:rPr>
                <w:sz w:val="18"/>
                <w:lang w:eastAsia="ja-JP"/>
              </w:rPr>
              <w:t>(95% CI)</w:t>
            </w:r>
            <w:r w:rsidRPr="001C1BB6">
              <w:rPr>
                <w:sz w:val="18"/>
                <w:vertAlign w:val="superscript"/>
                <w:lang w:eastAsia="ja-JP"/>
              </w:rPr>
              <w:t>a</w:t>
            </w:r>
          </w:p>
        </w:tc>
        <w:tc>
          <w:tcPr>
            <w:tcW w:w="722" w:type="pct"/>
          </w:tcPr>
          <w:p w14:paraId="735EB078" w14:textId="5788EE63" w:rsidR="00A7727F" w:rsidRPr="001C1BB6" w:rsidRDefault="00A7727F" w:rsidP="001C1BB6">
            <w:pPr>
              <w:ind w:left="0" w:right="0"/>
              <w:cnfStyle w:val="100000000000" w:firstRow="1" w:lastRow="0" w:firstColumn="0" w:lastColumn="0" w:oddVBand="0" w:evenVBand="0" w:oddHBand="0" w:evenHBand="0" w:firstRowFirstColumn="0" w:firstRowLastColumn="0" w:lastRowFirstColumn="0" w:lastRowLastColumn="0"/>
              <w:rPr>
                <w:sz w:val="18"/>
                <w:lang w:eastAsia="ja-JP"/>
              </w:rPr>
            </w:pPr>
            <w:r w:rsidRPr="001C1BB6">
              <w:rPr>
                <w:sz w:val="18"/>
                <w:lang w:eastAsia="ja-JP"/>
              </w:rPr>
              <w:t>Stratum %</w:t>
            </w:r>
            <w:r w:rsidR="00684201">
              <w:rPr>
                <w:sz w:val="18"/>
                <w:lang w:eastAsia="ja-JP"/>
              </w:rPr>
              <w:t xml:space="preserve"> </w:t>
            </w:r>
            <w:r w:rsidRPr="001C1BB6">
              <w:rPr>
                <w:sz w:val="18"/>
                <w:lang w:eastAsia="ja-JP"/>
              </w:rPr>
              <w:t>Observed in</w:t>
            </w:r>
            <w:r w:rsidR="00684201">
              <w:rPr>
                <w:sz w:val="18"/>
                <w:lang w:eastAsia="ja-JP"/>
              </w:rPr>
              <w:t xml:space="preserve"> </w:t>
            </w:r>
            <w:r w:rsidR="0057749C">
              <w:rPr>
                <w:sz w:val="18"/>
                <w:lang w:eastAsia="ja-JP"/>
              </w:rPr>
              <w:t xml:space="preserve">Study </w:t>
            </w:r>
            <w:r w:rsidRPr="001C1BB6">
              <w:rPr>
                <w:sz w:val="18"/>
                <w:lang w:eastAsia="ja-JP"/>
              </w:rPr>
              <w:t>MT103-211</w:t>
            </w:r>
          </w:p>
        </w:tc>
      </w:tr>
      <w:tr w:rsidR="0057749C" w:rsidRPr="001C1BB6" w14:paraId="4D152222"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58AF689E" w14:textId="77777777" w:rsidR="00A7727F" w:rsidRPr="0057749C" w:rsidRDefault="00A7727F" w:rsidP="001C1BB6">
            <w:pPr>
              <w:ind w:left="0" w:right="0"/>
              <w:rPr>
                <w:sz w:val="20"/>
                <w:lang w:eastAsia="ja-JP"/>
              </w:rPr>
            </w:pPr>
            <w:r w:rsidRPr="0057749C">
              <w:rPr>
                <w:sz w:val="20"/>
                <w:lang w:eastAsia="ja-JP"/>
              </w:rPr>
              <w:t>1</w:t>
            </w:r>
          </w:p>
        </w:tc>
        <w:tc>
          <w:tcPr>
            <w:tcW w:w="578" w:type="pct"/>
          </w:tcPr>
          <w:p w14:paraId="5C4D63D7" w14:textId="0C83C5F1" w:rsidR="00A7727F" w:rsidRPr="0057749C" w:rsidRDefault="00423768"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&lt; </w:t>
            </w:r>
            <w:r w:rsidR="00A7727F" w:rsidRPr="0057749C">
              <w:rPr>
                <w:sz w:val="20"/>
                <w:lang w:eastAsia="ja-JP"/>
              </w:rPr>
              <w:t>35</w:t>
            </w:r>
          </w:p>
        </w:tc>
        <w:tc>
          <w:tcPr>
            <w:tcW w:w="733" w:type="pct"/>
          </w:tcPr>
          <w:p w14:paraId="1FFC2545"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alloHSCT</w:t>
            </w:r>
          </w:p>
        </w:tc>
        <w:tc>
          <w:tcPr>
            <w:tcW w:w="483" w:type="pct"/>
          </w:tcPr>
          <w:p w14:paraId="272E8CB4"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14/48</w:t>
            </w:r>
          </w:p>
        </w:tc>
        <w:tc>
          <w:tcPr>
            <w:tcW w:w="606" w:type="pct"/>
          </w:tcPr>
          <w:p w14:paraId="3FD8978D"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6.9%</w:t>
            </w:r>
          </w:p>
        </w:tc>
        <w:tc>
          <w:tcPr>
            <w:tcW w:w="319" w:type="pct"/>
          </w:tcPr>
          <w:p w14:paraId="733AE4F8"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16</w:t>
            </w:r>
          </w:p>
        </w:tc>
        <w:tc>
          <w:tcPr>
            <w:tcW w:w="907" w:type="pct"/>
          </w:tcPr>
          <w:p w14:paraId="356EFBC0"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0.29 (0.17, 0.44)</w:t>
            </w:r>
          </w:p>
        </w:tc>
        <w:tc>
          <w:tcPr>
            <w:tcW w:w="722" w:type="pct"/>
          </w:tcPr>
          <w:p w14:paraId="7DBCBFC0"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21.2%</w:t>
            </w:r>
          </w:p>
        </w:tc>
      </w:tr>
      <w:tr w:rsidR="0057749C" w:rsidRPr="001C1BB6" w14:paraId="701E848D"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3ECB5615" w14:textId="77777777" w:rsidR="00A7727F" w:rsidRPr="0057749C" w:rsidRDefault="00A7727F" w:rsidP="001C1BB6">
            <w:pPr>
              <w:ind w:left="0" w:right="0"/>
              <w:rPr>
                <w:sz w:val="20"/>
                <w:lang w:eastAsia="ja-JP"/>
              </w:rPr>
            </w:pPr>
            <w:r w:rsidRPr="0057749C">
              <w:rPr>
                <w:sz w:val="20"/>
                <w:lang w:eastAsia="ja-JP"/>
              </w:rPr>
              <w:t>2</w:t>
            </w:r>
          </w:p>
        </w:tc>
        <w:tc>
          <w:tcPr>
            <w:tcW w:w="578" w:type="pct"/>
          </w:tcPr>
          <w:p w14:paraId="19B23467" w14:textId="1DF64A0E" w:rsidR="00A7727F" w:rsidRPr="0057749C" w:rsidRDefault="00423768"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&lt; </w:t>
            </w:r>
            <w:r w:rsidR="00A7727F" w:rsidRPr="0057749C">
              <w:rPr>
                <w:sz w:val="20"/>
                <w:lang w:eastAsia="ja-JP"/>
              </w:rPr>
              <w:t>35</w:t>
            </w:r>
          </w:p>
        </w:tc>
        <w:tc>
          <w:tcPr>
            <w:tcW w:w="733" w:type="pct"/>
          </w:tcPr>
          <w:p w14:paraId="649125EA" w14:textId="6526AAD4" w:rsidR="00A7727F" w:rsidRPr="0057749C" w:rsidRDefault="00A7727F" w:rsidP="0068420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In </w:t>
            </w:r>
            <w:r w:rsidR="00684201" w:rsidRPr="0057749C">
              <w:rPr>
                <w:sz w:val="20"/>
                <w:lang w:eastAsia="ja-JP"/>
              </w:rPr>
              <w:t>first</w:t>
            </w:r>
            <w:r w:rsidRPr="0057749C">
              <w:rPr>
                <w:sz w:val="20"/>
                <w:lang w:eastAsia="ja-JP"/>
              </w:rPr>
              <w:t xml:space="preserve"> salvage</w:t>
            </w:r>
          </w:p>
        </w:tc>
        <w:tc>
          <w:tcPr>
            <w:tcW w:w="483" w:type="pct"/>
          </w:tcPr>
          <w:p w14:paraId="2F685B53"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52/119</w:t>
            </w:r>
          </w:p>
        </w:tc>
        <w:tc>
          <w:tcPr>
            <w:tcW w:w="606" w:type="pct"/>
          </w:tcPr>
          <w:p w14:paraId="51844669"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17.1%</w:t>
            </w:r>
          </w:p>
        </w:tc>
        <w:tc>
          <w:tcPr>
            <w:tcW w:w="319" w:type="pct"/>
          </w:tcPr>
          <w:p w14:paraId="5A8DFA04"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21</w:t>
            </w:r>
          </w:p>
        </w:tc>
        <w:tc>
          <w:tcPr>
            <w:tcW w:w="907" w:type="pct"/>
          </w:tcPr>
          <w:p w14:paraId="13BD5D6C"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0.44 (0.35, 0.53)</w:t>
            </w:r>
          </w:p>
        </w:tc>
        <w:tc>
          <w:tcPr>
            <w:tcW w:w="722" w:type="pct"/>
          </w:tcPr>
          <w:p w14:paraId="62B5B646"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5.3%</w:t>
            </w:r>
          </w:p>
        </w:tc>
      </w:tr>
      <w:tr w:rsidR="0057749C" w:rsidRPr="001C1BB6" w14:paraId="74E24416"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5DD00F5B" w14:textId="77777777" w:rsidR="00A7727F" w:rsidRPr="0057749C" w:rsidRDefault="00A7727F" w:rsidP="001C1BB6">
            <w:pPr>
              <w:ind w:left="0" w:right="0"/>
              <w:rPr>
                <w:sz w:val="20"/>
                <w:lang w:eastAsia="ja-JP"/>
              </w:rPr>
            </w:pPr>
            <w:r w:rsidRPr="0057749C">
              <w:rPr>
                <w:sz w:val="20"/>
                <w:lang w:eastAsia="ja-JP"/>
              </w:rPr>
              <w:t>3</w:t>
            </w:r>
          </w:p>
        </w:tc>
        <w:tc>
          <w:tcPr>
            <w:tcW w:w="578" w:type="pct"/>
          </w:tcPr>
          <w:p w14:paraId="11E9F2E6" w14:textId="44B63AB0" w:rsidR="00A7727F" w:rsidRPr="0057749C" w:rsidRDefault="00423768"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&lt; </w:t>
            </w:r>
            <w:r w:rsidR="00A7727F" w:rsidRPr="0057749C">
              <w:rPr>
                <w:sz w:val="20"/>
                <w:lang w:eastAsia="ja-JP"/>
              </w:rPr>
              <w:t>35</w:t>
            </w:r>
          </w:p>
        </w:tc>
        <w:tc>
          <w:tcPr>
            <w:tcW w:w="733" w:type="pct"/>
          </w:tcPr>
          <w:p w14:paraId="5718170D" w14:textId="7A5411D9" w:rsidR="00A7727F" w:rsidRPr="0057749C" w:rsidRDefault="00A7727F" w:rsidP="0068420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In </w:t>
            </w:r>
            <w:r w:rsidR="00684201" w:rsidRPr="0057749C">
              <w:rPr>
                <w:sz w:val="20"/>
                <w:lang w:eastAsia="ja-JP"/>
              </w:rPr>
              <w:t>second +</w:t>
            </w:r>
            <w:r w:rsidRPr="0057749C">
              <w:rPr>
                <w:sz w:val="20"/>
                <w:lang w:eastAsia="ja-JP"/>
              </w:rPr>
              <w:t xml:space="preserve"> salvage</w:t>
            </w:r>
          </w:p>
        </w:tc>
        <w:tc>
          <w:tcPr>
            <w:tcW w:w="483" w:type="pct"/>
          </w:tcPr>
          <w:p w14:paraId="52394216"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27/150</w:t>
            </w:r>
          </w:p>
        </w:tc>
        <w:tc>
          <w:tcPr>
            <w:tcW w:w="606" w:type="pct"/>
          </w:tcPr>
          <w:p w14:paraId="79A92333"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21.6%</w:t>
            </w:r>
          </w:p>
        </w:tc>
        <w:tc>
          <w:tcPr>
            <w:tcW w:w="319" w:type="pct"/>
          </w:tcPr>
          <w:p w14:paraId="68B85A3B"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5</w:t>
            </w:r>
          </w:p>
        </w:tc>
        <w:tc>
          <w:tcPr>
            <w:tcW w:w="907" w:type="pct"/>
          </w:tcPr>
          <w:p w14:paraId="036A6945"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0.18 (0.12, 0.25)</w:t>
            </w:r>
          </w:p>
        </w:tc>
        <w:tc>
          <w:tcPr>
            <w:tcW w:w="722" w:type="pct"/>
          </w:tcPr>
          <w:p w14:paraId="24553BC2"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21.2%</w:t>
            </w:r>
          </w:p>
        </w:tc>
      </w:tr>
      <w:tr w:rsidR="0057749C" w:rsidRPr="001C1BB6" w14:paraId="2CF42798"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275AEC31" w14:textId="77777777" w:rsidR="00A7727F" w:rsidRPr="0057749C" w:rsidRDefault="00A7727F" w:rsidP="001C1BB6">
            <w:pPr>
              <w:ind w:left="0" w:right="0"/>
              <w:rPr>
                <w:sz w:val="20"/>
                <w:lang w:eastAsia="ja-JP"/>
              </w:rPr>
            </w:pPr>
            <w:r w:rsidRPr="0057749C">
              <w:rPr>
                <w:sz w:val="20"/>
                <w:lang w:eastAsia="ja-JP"/>
              </w:rPr>
              <w:t>4</w:t>
            </w:r>
          </w:p>
        </w:tc>
        <w:tc>
          <w:tcPr>
            <w:tcW w:w="578" w:type="pct"/>
          </w:tcPr>
          <w:p w14:paraId="6623D25D" w14:textId="6184F4F5" w:rsidR="00A7727F" w:rsidRPr="0057749C" w:rsidRDefault="00423768"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 </w:t>
            </w:r>
            <w:r w:rsidR="00A7727F" w:rsidRPr="0057749C">
              <w:rPr>
                <w:sz w:val="20"/>
                <w:lang w:eastAsia="ja-JP"/>
              </w:rPr>
              <w:t>35</w:t>
            </w:r>
          </w:p>
        </w:tc>
        <w:tc>
          <w:tcPr>
            <w:tcW w:w="733" w:type="pct"/>
          </w:tcPr>
          <w:p w14:paraId="074A2D54"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alloHSCT</w:t>
            </w:r>
          </w:p>
        </w:tc>
        <w:tc>
          <w:tcPr>
            <w:tcW w:w="483" w:type="pct"/>
          </w:tcPr>
          <w:p w14:paraId="43B9A670"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11/41</w:t>
            </w:r>
          </w:p>
        </w:tc>
        <w:tc>
          <w:tcPr>
            <w:tcW w:w="606" w:type="pct"/>
          </w:tcPr>
          <w:p w14:paraId="4432F5FF"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5.9%</w:t>
            </w:r>
          </w:p>
        </w:tc>
        <w:tc>
          <w:tcPr>
            <w:tcW w:w="319" w:type="pct"/>
          </w:tcPr>
          <w:p w14:paraId="72141345"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6</w:t>
            </w:r>
          </w:p>
        </w:tc>
        <w:tc>
          <w:tcPr>
            <w:tcW w:w="907" w:type="pct"/>
          </w:tcPr>
          <w:p w14:paraId="073443E4"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0.27 (0.14, 0.43)</w:t>
            </w:r>
          </w:p>
        </w:tc>
        <w:tc>
          <w:tcPr>
            <w:tcW w:w="722" w:type="pct"/>
          </w:tcPr>
          <w:p w14:paraId="7B1D452F"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12.7%</w:t>
            </w:r>
          </w:p>
        </w:tc>
      </w:tr>
      <w:tr w:rsidR="0057749C" w:rsidRPr="001C1BB6" w14:paraId="24C6B2BA"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2D9FAE17" w14:textId="77777777" w:rsidR="00A7727F" w:rsidRPr="0057749C" w:rsidRDefault="00A7727F" w:rsidP="001C1BB6">
            <w:pPr>
              <w:ind w:left="0" w:right="0"/>
              <w:rPr>
                <w:sz w:val="20"/>
                <w:lang w:eastAsia="ja-JP"/>
              </w:rPr>
            </w:pPr>
            <w:r w:rsidRPr="0057749C">
              <w:rPr>
                <w:sz w:val="20"/>
                <w:lang w:eastAsia="ja-JP"/>
              </w:rPr>
              <w:t>5</w:t>
            </w:r>
          </w:p>
        </w:tc>
        <w:tc>
          <w:tcPr>
            <w:tcW w:w="578" w:type="pct"/>
          </w:tcPr>
          <w:p w14:paraId="61E660DA" w14:textId="5F5BD847" w:rsidR="00A7727F" w:rsidRPr="0057749C" w:rsidRDefault="00423768"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 </w:t>
            </w:r>
            <w:r w:rsidR="00A7727F" w:rsidRPr="0057749C">
              <w:rPr>
                <w:sz w:val="20"/>
                <w:lang w:eastAsia="ja-JP"/>
              </w:rPr>
              <w:t>35</w:t>
            </w:r>
          </w:p>
        </w:tc>
        <w:tc>
          <w:tcPr>
            <w:tcW w:w="733" w:type="pct"/>
          </w:tcPr>
          <w:p w14:paraId="5E1E6362" w14:textId="05C48D8A" w:rsidR="00A7727F" w:rsidRPr="0057749C" w:rsidRDefault="00A7727F" w:rsidP="0068420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In </w:t>
            </w:r>
            <w:r w:rsidR="00684201" w:rsidRPr="0057749C">
              <w:rPr>
                <w:sz w:val="20"/>
                <w:lang w:eastAsia="ja-JP"/>
              </w:rPr>
              <w:t>first</w:t>
            </w:r>
            <w:r w:rsidRPr="0057749C">
              <w:rPr>
                <w:sz w:val="20"/>
                <w:lang w:eastAsia="ja-JP"/>
              </w:rPr>
              <w:t xml:space="preserve"> salvage</w:t>
            </w:r>
          </w:p>
        </w:tc>
        <w:tc>
          <w:tcPr>
            <w:tcW w:w="483" w:type="pct"/>
          </w:tcPr>
          <w:p w14:paraId="4ED79EC9"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57/187</w:t>
            </w:r>
          </w:p>
        </w:tc>
        <w:tc>
          <w:tcPr>
            <w:tcW w:w="606" w:type="pct"/>
          </w:tcPr>
          <w:p w14:paraId="40F36C59"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26.9%</w:t>
            </w:r>
          </w:p>
        </w:tc>
        <w:tc>
          <w:tcPr>
            <w:tcW w:w="319" w:type="pct"/>
          </w:tcPr>
          <w:p w14:paraId="55905850"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37</w:t>
            </w:r>
          </w:p>
        </w:tc>
        <w:tc>
          <w:tcPr>
            <w:tcW w:w="907" w:type="pct"/>
          </w:tcPr>
          <w:p w14:paraId="1D98E7EE"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0.30 (0.24, 0.38)</w:t>
            </w:r>
          </w:p>
        </w:tc>
        <w:tc>
          <w:tcPr>
            <w:tcW w:w="722" w:type="pct"/>
          </w:tcPr>
          <w:p w14:paraId="0E065A66"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10.1%</w:t>
            </w:r>
          </w:p>
        </w:tc>
      </w:tr>
      <w:tr w:rsidR="0057749C" w:rsidRPr="001C1BB6" w14:paraId="1BC3C7DD"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75C361D5" w14:textId="77777777" w:rsidR="00A7727F" w:rsidRPr="0057749C" w:rsidRDefault="00A7727F" w:rsidP="001C1BB6">
            <w:pPr>
              <w:ind w:left="0" w:right="0"/>
              <w:rPr>
                <w:sz w:val="20"/>
                <w:lang w:eastAsia="ja-JP"/>
              </w:rPr>
            </w:pPr>
            <w:r w:rsidRPr="0057749C">
              <w:rPr>
                <w:sz w:val="20"/>
                <w:lang w:eastAsia="ja-JP"/>
              </w:rPr>
              <w:t>6</w:t>
            </w:r>
          </w:p>
        </w:tc>
        <w:tc>
          <w:tcPr>
            <w:tcW w:w="578" w:type="pct"/>
          </w:tcPr>
          <w:p w14:paraId="638D2788" w14:textId="3E124E8A" w:rsidR="00A7727F" w:rsidRPr="0057749C" w:rsidRDefault="00423768"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 </w:t>
            </w:r>
            <w:r w:rsidR="00A7727F" w:rsidRPr="0057749C">
              <w:rPr>
                <w:sz w:val="20"/>
                <w:lang w:eastAsia="ja-JP"/>
              </w:rPr>
              <w:t>35</w:t>
            </w:r>
          </w:p>
        </w:tc>
        <w:tc>
          <w:tcPr>
            <w:tcW w:w="733" w:type="pct"/>
          </w:tcPr>
          <w:p w14:paraId="39326FB0" w14:textId="5818ACC2" w:rsidR="00A7727F" w:rsidRPr="0057749C" w:rsidRDefault="00A7727F" w:rsidP="0068420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 xml:space="preserve">In </w:t>
            </w:r>
            <w:r w:rsidR="00684201" w:rsidRPr="0057749C">
              <w:rPr>
                <w:sz w:val="20"/>
                <w:lang w:eastAsia="ja-JP"/>
              </w:rPr>
              <w:t>second +</w:t>
            </w:r>
            <w:r w:rsidRPr="0057749C">
              <w:rPr>
                <w:sz w:val="20"/>
                <w:lang w:eastAsia="ja-JP"/>
              </w:rPr>
              <w:t xml:space="preserve"> salvage</w:t>
            </w:r>
          </w:p>
        </w:tc>
        <w:tc>
          <w:tcPr>
            <w:tcW w:w="483" w:type="pct"/>
          </w:tcPr>
          <w:p w14:paraId="5EF38043"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25/149</w:t>
            </w:r>
          </w:p>
        </w:tc>
        <w:tc>
          <w:tcPr>
            <w:tcW w:w="606" w:type="pct"/>
          </w:tcPr>
          <w:p w14:paraId="3E8C7590"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21.5%</w:t>
            </w:r>
          </w:p>
        </w:tc>
        <w:tc>
          <w:tcPr>
            <w:tcW w:w="319" w:type="pct"/>
          </w:tcPr>
          <w:p w14:paraId="2D86EC61"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4</w:t>
            </w:r>
          </w:p>
        </w:tc>
        <w:tc>
          <w:tcPr>
            <w:tcW w:w="907" w:type="pct"/>
          </w:tcPr>
          <w:p w14:paraId="2C2721A0"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0.17 (0.11, 0.24)</w:t>
            </w:r>
          </w:p>
        </w:tc>
        <w:tc>
          <w:tcPr>
            <w:tcW w:w="722" w:type="pct"/>
          </w:tcPr>
          <w:p w14:paraId="7441CF8A"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29.6%</w:t>
            </w:r>
          </w:p>
        </w:tc>
      </w:tr>
      <w:tr w:rsidR="0057749C" w:rsidRPr="001C1BB6" w14:paraId="58349FB2" w14:textId="77777777" w:rsidTr="0057749C">
        <w:tc>
          <w:tcPr>
            <w:cnfStyle w:val="001000000000" w:firstRow="0" w:lastRow="0" w:firstColumn="1" w:lastColumn="0" w:oddVBand="0" w:evenVBand="0" w:oddHBand="0" w:evenHBand="0" w:firstRowFirstColumn="0" w:firstRowLastColumn="0" w:lastRowFirstColumn="0" w:lastRowLastColumn="0"/>
            <w:tcW w:w="653" w:type="pct"/>
          </w:tcPr>
          <w:p w14:paraId="40D71DF6" w14:textId="76DA0592" w:rsidR="00A7727F" w:rsidRPr="0057749C" w:rsidRDefault="0057749C" w:rsidP="001C1BB6">
            <w:pPr>
              <w:ind w:left="0" w:right="0"/>
              <w:rPr>
                <w:sz w:val="20"/>
                <w:lang w:eastAsia="ja-JP"/>
              </w:rPr>
            </w:pPr>
            <w:r>
              <w:rPr>
                <w:sz w:val="20"/>
                <w:lang w:eastAsia="ja-JP"/>
              </w:rPr>
              <w:t xml:space="preserve">Combined/ </w:t>
            </w:r>
            <w:r w:rsidR="001C1BB6" w:rsidRPr="0057749C">
              <w:rPr>
                <w:sz w:val="20"/>
                <w:lang w:eastAsia="ja-JP"/>
              </w:rPr>
              <w:t>weighted s</w:t>
            </w:r>
            <w:r w:rsidR="00A7727F" w:rsidRPr="0057749C">
              <w:rPr>
                <w:sz w:val="20"/>
                <w:lang w:eastAsia="ja-JP"/>
              </w:rPr>
              <w:t>ummary</w:t>
            </w:r>
          </w:p>
        </w:tc>
        <w:tc>
          <w:tcPr>
            <w:tcW w:w="578" w:type="pct"/>
          </w:tcPr>
          <w:p w14:paraId="17A53472"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733" w:type="pct"/>
          </w:tcPr>
          <w:p w14:paraId="37D9B73B"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483" w:type="pct"/>
          </w:tcPr>
          <w:p w14:paraId="365726A7"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606" w:type="pct"/>
          </w:tcPr>
          <w:p w14:paraId="4872B4CD"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319" w:type="pct"/>
          </w:tcPr>
          <w:p w14:paraId="738EF808"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907" w:type="pct"/>
          </w:tcPr>
          <w:p w14:paraId="4ECE49C2"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7749C">
              <w:rPr>
                <w:sz w:val="20"/>
                <w:lang w:eastAsia="ja-JP"/>
              </w:rPr>
              <w:t>0.24 (0.20, 0.27)</w:t>
            </w:r>
          </w:p>
        </w:tc>
        <w:tc>
          <w:tcPr>
            <w:tcW w:w="722" w:type="pct"/>
          </w:tcPr>
          <w:p w14:paraId="5AF0853F" w14:textId="77777777" w:rsidR="00A7727F" w:rsidRPr="0057749C" w:rsidRDefault="00A7727F" w:rsidP="001C1BB6">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bl>
    <w:p w14:paraId="1475101F" w14:textId="27757879" w:rsidR="00A7727F" w:rsidRPr="00A7727F" w:rsidRDefault="00684201" w:rsidP="00684201">
      <w:pPr>
        <w:pStyle w:val="TableDescription"/>
        <w:rPr>
          <w:lang w:eastAsia="ja-JP"/>
        </w:rPr>
      </w:pPr>
      <w:r w:rsidRPr="00684201">
        <w:rPr>
          <w:i/>
          <w:lang w:eastAsia="ja-JP"/>
        </w:rPr>
        <w:t>Philadelphia-negative p</w:t>
      </w:r>
      <w:r w:rsidR="00A7727F" w:rsidRPr="00684201">
        <w:rPr>
          <w:i/>
          <w:lang w:eastAsia="ja-JP"/>
        </w:rPr>
        <w:t>r</w:t>
      </w:r>
      <w:r w:rsidRPr="00684201">
        <w:rPr>
          <w:i/>
          <w:lang w:eastAsia="ja-JP"/>
        </w:rPr>
        <w:t>imary analysis s</w:t>
      </w:r>
      <w:r w:rsidR="00A7727F" w:rsidRPr="00684201">
        <w:rPr>
          <w:i/>
          <w:lang w:eastAsia="ja-JP"/>
        </w:rPr>
        <w:t>et</w:t>
      </w:r>
      <w:r w:rsidR="00A7727F" w:rsidRPr="00A7727F">
        <w:rPr>
          <w:lang w:eastAsia="ja-JP"/>
        </w:rPr>
        <w:t xml:space="preserve">: Patients with R/R ALL who relapse within 12 months of initial diagnosis, are refractory to previous treatments, relapsed/refractory within </w:t>
      </w:r>
      <w:r>
        <w:rPr>
          <w:lang w:eastAsia="ja-JP"/>
        </w:rPr>
        <w:t>12 months of alloHSCT, or in second</w:t>
      </w:r>
      <w:r w:rsidR="00A7727F" w:rsidRPr="00A7727F">
        <w:rPr>
          <w:lang w:eastAsia="ja-JP"/>
        </w:rPr>
        <w:t xml:space="preserve"> or greater salvage treatment alloHSCT</w:t>
      </w:r>
      <w:r w:rsidR="00375CAE">
        <w:rPr>
          <w:lang w:eastAsia="ja-JP"/>
        </w:rPr>
        <w:t xml:space="preserve"> </w:t>
      </w:r>
      <w:r w:rsidR="00423768">
        <w:rPr>
          <w:lang w:eastAsia="ja-JP"/>
        </w:rPr>
        <w:t>=</w:t>
      </w:r>
      <w:r w:rsidR="00375CAE">
        <w:rPr>
          <w:lang w:eastAsia="ja-JP"/>
        </w:rPr>
        <w:t xml:space="preserve"> </w:t>
      </w:r>
      <w:r w:rsidR="00A7727F" w:rsidRPr="00A7727F">
        <w:rPr>
          <w:lang w:eastAsia="ja-JP"/>
        </w:rPr>
        <w:t>allogeneic h</w:t>
      </w:r>
      <w:r>
        <w:rPr>
          <w:lang w:eastAsia="ja-JP"/>
        </w:rPr>
        <w:t>a</w:t>
      </w:r>
      <w:r w:rsidR="00A7727F" w:rsidRPr="00A7727F">
        <w:rPr>
          <w:lang w:eastAsia="ja-JP"/>
        </w:rPr>
        <w:t>ematopoietic stem cell transplant; CRsg</w:t>
      </w:r>
      <w:r w:rsidR="00375CAE">
        <w:rPr>
          <w:lang w:eastAsia="ja-JP"/>
        </w:rPr>
        <w:t xml:space="preserve"> </w:t>
      </w:r>
      <w:r w:rsidR="00423768">
        <w:rPr>
          <w:lang w:eastAsia="ja-JP"/>
        </w:rPr>
        <w:t>=</w:t>
      </w:r>
      <w:r w:rsidR="00375CAE">
        <w:rPr>
          <w:lang w:eastAsia="ja-JP"/>
        </w:rPr>
        <w:t xml:space="preserve"> </w:t>
      </w:r>
      <w:r w:rsidR="00A7727F" w:rsidRPr="00A7727F">
        <w:rPr>
          <w:lang w:eastAsia="ja-JP"/>
        </w:rPr>
        <w:t>complete remission by study group; CI</w:t>
      </w:r>
      <w:r w:rsidR="00375CAE">
        <w:rPr>
          <w:lang w:eastAsia="ja-JP"/>
        </w:rPr>
        <w:t xml:space="preserve"> </w:t>
      </w:r>
      <w:r w:rsidR="00423768">
        <w:rPr>
          <w:lang w:eastAsia="ja-JP"/>
        </w:rPr>
        <w:t>=</w:t>
      </w:r>
      <w:r w:rsidR="00375CAE">
        <w:rPr>
          <w:lang w:eastAsia="ja-JP"/>
        </w:rPr>
        <w:t xml:space="preserve"> </w:t>
      </w:r>
      <w:r w:rsidR="00A7727F" w:rsidRPr="00A7727F">
        <w:rPr>
          <w:lang w:eastAsia="ja-JP"/>
        </w:rPr>
        <w:t>confidence interval; Nna</w:t>
      </w:r>
      <w:r w:rsidR="00375CAE">
        <w:rPr>
          <w:lang w:eastAsia="ja-JP"/>
        </w:rPr>
        <w:t xml:space="preserve"> </w:t>
      </w:r>
      <w:r w:rsidR="00423768">
        <w:rPr>
          <w:lang w:eastAsia="ja-JP"/>
        </w:rPr>
        <w:t>=</w:t>
      </w:r>
      <w:r w:rsidR="00375CAE">
        <w:rPr>
          <w:lang w:eastAsia="ja-JP"/>
        </w:rPr>
        <w:t xml:space="preserve"> </w:t>
      </w:r>
      <w:r w:rsidR="00A7727F" w:rsidRPr="00A7727F">
        <w:rPr>
          <w:lang w:eastAsia="ja-JP"/>
        </w:rPr>
        <w:t>patients with missing endpoint data</w:t>
      </w:r>
      <w:r>
        <w:rPr>
          <w:lang w:eastAsia="ja-JP"/>
        </w:rPr>
        <w:t xml:space="preserve">. a) </w:t>
      </w:r>
      <w:r w:rsidR="00A7727F" w:rsidRPr="00A7727F">
        <w:rPr>
          <w:lang w:eastAsia="ja-JP"/>
        </w:rPr>
        <w:t>For CRsg corresponding to Stratum 1-6, these proportions are calculated directly from historical data and do not reflect any type of weighting. Combined/Weighted summary is the weighted average of Stratum 1-6 weighted by the proportions in the MT 103-211 study (listed in the last column)</w:t>
      </w:r>
    </w:p>
    <w:p w14:paraId="69F83121" w14:textId="48686E7A" w:rsidR="00A7727F" w:rsidRPr="00A7727F" w:rsidRDefault="00A7727F" w:rsidP="00A7727F">
      <w:pPr>
        <w:rPr>
          <w:lang w:eastAsia="ja-JP"/>
        </w:rPr>
      </w:pPr>
      <w:r w:rsidRPr="00A7727F">
        <w:rPr>
          <w:lang w:eastAsia="ja-JP"/>
        </w:rPr>
        <w:t>OS estimates (median, 6-month, and 12-month) were calculated from a larger sample (nearly 50% larger) of subjects because sites that did not contribute CRsg information could be included. The weighted median OS in 1112 patients with available data was 3.3 months (95% CI: 2.8, 3.6), where survival time was calculated from the start of the last salvage treatment or the last relapse (if salvage date w</w:t>
      </w:r>
      <w:r w:rsidR="00684201">
        <w:rPr>
          <w:lang w:eastAsia="ja-JP"/>
        </w:rPr>
        <w:t xml:space="preserve">as unavailable). The weighted 6 </w:t>
      </w:r>
      <w:r w:rsidRPr="00A7727F">
        <w:rPr>
          <w:lang w:eastAsia="ja-JP"/>
        </w:rPr>
        <w:t>month OS rate was 30% (95% CI: 27, 34), and the 12-month OS rate was 15% (95% CI: 13, 18).</w:t>
      </w:r>
    </w:p>
    <w:p w14:paraId="71819DD8" w14:textId="77777777" w:rsidR="00A7727F" w:rsidRPr="00A7727F" w:rsidRDefault="00A7727F" w:rsidP="00A7727F">
      <w:pPr>
        <w:rPr>
          <w:lang w:eastAsia="ja-JP"/>
        </w:rPr>
      </w:pPr>
      <w:r w:rsidRPr="00A7727F">
        <w:rPr>
          <w:lang w:eastAsia="ja-JP"/>
        </w:rPr>
        <w:t>Among subjects with CRsg, the weighted median RFS was 5.0 months (95% CI: 1.2, 6.6). However, the interpretability of the RFS data is limited because of missing information and likely underreporting of relapse events. Many countries did not have data on RFS, with only 108 (58%) patients with a CRsg reporting on RFS. In addition, routine medical surveillance for relapses was typically not conducted as systematically as in a clinical trial study. Therefore, underreporting of relapse events that occurred before subjects died may have occurred for many subjects, which could result in an RFS overestimation in the historical dataset. As such, these results should be interpreted cautiously.</w:t>
      </w:r>
    </w:p>
    <w:p w14:paraId="14916607" w14:textId="77777777" w:rsidR="00A7727F" w:rsidRPr="00A7727F" w:rsidRDefault="00A7727F" w:rsidP="00A7727F">
      <w:pPr>
        <w:rPr>
          <w:lang w:eastAsia="ja-JP"/>
        </w:rPr>
      </w:pPr>
      <w:r w:rsidRPr="00A7727F">
        <w:rPr>
          <w:lang w:eastAsia="ja-JP"/>
        </w:rPr>
        <w:t>Among the 808 subjects with available data on HSCT after salvage therapy, 18% (95% CI: 15, 21) received allogeneic HSCT following the last line of salvage therapy. Among subjects who achieved a CRsg as a result of salvage therapy, 7% (95% CI: 5, 9) received allogeneic HSCT.</w:t>
      </w:r>
    </w:p>
    <w:p w14:paraId="2903C614" w14:textId="77777777" w:rsidR="00A7727F" w:rsidRPr="00A7727F" w:rsidRDefault="00A7727F" w:rsidP="00684201">
      <w:pPr>
        <w:pStyle w:val="Heading5"/>
        <w:rPr>
          <w:lang w:eastAsia="ja-JP"/>
        </w:rPr>
      </w:pPr>
      <w:r w:rsidRPr="00A7727F">
        <w:rPr>
          <w:lang w:eastAsia="ja-JP"/>
        </w:rPr>
        <w:t>Conclusions</w:t>
      </w:r>
    </w:p>
    <w:p w14:paraId="10D2B533" w14:textId="08C6266D" w:rsidR="00A7727F" w:rsidRPr="00A7727F" w:rsidRDefault="00A7727F" w:rsidP="00A7727F">
      <w:pPr>
        <w:rPr>
          <w:lang w:eastAsia="ja-JP"/>
        </w:rPr>
      </w:pPr>
      <w:r w:rsidRPr="00A7727F">
        <w:rPr>
          <w:lang w:eastAsia="ja-JP"/>
        </w:rPr>
        <w:t>Key outcomes were CRsg and OS among patients who relapsed within 12 months of initial treatment, were refractory to prior treatment(s), relapsed within 12 months of allogeneic HSCT, or were in second or later relapse (the same population as in MT103-211). Among these subjects, the weighted results (adjusted by age, line of</w:t>
      </w:r>
      <w:r w:rsidR="00684201">
        <w:rPr>
          <w:lang w:eastAsia="ja-JP"/>
        </w:rPr>
        <w:t xml:space="preserve"> salvage, and prior HSCT in Study MT103-211</w:t>
      </w:r>
      <w:r w:rsidRPr="00A7727F">
        <w:rPr>
          <w:lang w:eastAsia="ja-JP"/>
        </w:rPr>
        <w:t>) reflected a generally poor prognosis in this patient population, with a CRsg rate of 24% (95% CI: 20, 27), a median OS of 3.3 m</w:t>
      </w:r>
      <w:r w:rsidR="00684201">
        <w:rPr>
          <w:lang w:eastAsia="ja-JP"/>
        </w:rPr>
        <w:t>onths (95% CI: 2.8, 3.6), and 6</w:t>
      </w:r>
      <w:r w:rsidRPr="00A7727F">
        <w:rPr>
          <w:lang w:eastAsia="ja-JP"/>
        </w:rPr>
        <w:t xml:space="preserve"> and 12</w:t>
      </w:r>
      <w:r w:rsidR="00684201">
        <w:rPr>
          <w:lang w:eastAsia="ja-JP"/>
        </w:rPr>
        <w:t xml:space="preserve"> </w:t>
      </w:r>
      <w:r w:rsidRPr="00A7727F">
        <w:rPr>
          <w:lang w:eastAsia="ja-JP"/>
        </w:rPr>
        <w:t>month survival probabilities of 30% (95% CI: 27, 34) and 15% (95% CI: 13,18), respectively.</w:t>
      </w:r>
    </w:p>
    <w:p w14:paraId="00643C38" w14:textId="3A3C1339" w:rsidR="00BC4BB5" w:rsidRPr="00BC4BB5" w:rsidRDefault="00BC4BB5" w:rsidP="00BC4BB5">
      <w:pPr>
        <w:pStyle w:val="Comment"/>
        <w:rPr>
          <w:lang w:eastAsia="ja-JP"/>
        </w:rPr>
      </w:pPr>
      <w:r w:rsidRPr="00BC4BB5">
        <w:rPr>
          <w:b/>
          <w:bCs/>
          <w:lang w:eastAsia="ja-JP"/>
        </w:rPr>
        <w:t>C</w:t>
      </w:r>
      <w:r w:rsidR="00A7727F" w:rsidRPr="00BC4BB5">
        <w:rPr>
          <w:b/>
          <w:bCs/>
          <w:lang w:eastAsia="ja-JP"/>
        </w:rPr>
        <w:t>omment</w:t>
      </w:r>
      <w:r w:rsidR="00A7727F" w:rsidRPr="00BC4BB5">
        <w:rPr>
          <w:b/>
          <w:lang w:eastAsia="ja-JP"/>
        </w:rPr>
        <w:t>:</w:t>
      </w:r>
      <w:r>
        <w:rPr>
          <w:lang w:eastAsia="ja-JP"/>
        </w:rPr>
        <w:t xml:space="preserve"> </w:t>
      </w:r>
      <w:r w:rsidR="00A7727F" w:rsidRPr="00BC4BB5">
        <w:rPr>
          <w:lang w:eastAsia="ja-JP"/>
        </w:rPr>
        <w:t>One third of subjects included in the analysis received treatment between 1990 and 2000. With the exception of hyperCVAD, the majority of currently used salvage therapies were not available during this time period: FL</w:t>
      </w:r>
      <w:r>
        <w:rPr>
          <w:lang w:eastAsia="ja-JP"/>
        </w:rPr>
        <w:t>AG-Ida was in use after 2000, R </w:t>
      </w:r>
      <w:r w:rsidR="00A7727F" w:rsidRPr="00BC4BB5">
        <w:rPr>
          <w:lang w:eastAsia="ja-JP"/>
        </w:rPr>
        <w:t>hyperCVAD after 2006, BFM 2000 and GMALL 2003. A comparison of CR and OS survival should be made using current standard therapies for R/R ALL.</w:t>
      </w:r>
    </w:p>
    <w:p w14:paraId="48B9F434" w14:textId="1AD8FCFE" w:rsidR="00A7727F" w:rsidRDefault="00BC4BB5" w:rsidP="00BC4BB5">
      <w:pPr>
        <w:pStyle w:val="Heading3"/>
      </w:pPr>
      <w:bookmarkStart w:id="229" w:name="_Toc292015613"/>
      <w:bookmarkStart w:id="230" w:name="_Toc505762984"/>
      <w:r>
        <w:t>Model based m</w:t>
      </w:r>
      <w:r w:rsidR="00A7727F" w:rsidRPr="00A7727F">
        <w:t>eta-analysis</w:t>
      </w:r>
      <w:bookmarkEnd w:id="229"/>
      <w:bookmarkEnd w:id="230"/>
    </w:p>
    <w:p w14:paraId="76D644FE" w14:textId="6AADEF8A" w:rsidR="00BC4BB5" w:rsidRPr="00BC4BB5" w:rsidRDefault="00BC4BB5" w:rsidP="00BC4BB5">
      <w:pPr>
        <w:pStyle w:val="Heading4"/>
      </w:pPr>
      <w:r>
        <w:t xml:space="preserve">MBMA </w:t>
      </w:r>
      <w:r w:rsidR="00A7727F" w:rsidRPr="00BC4BB5">
        <w:t>Studies 118427 and 119834</w:t>
      </w:r>
    </w:p>
    <w:p w14:paraId="20DA56D2" w14:textId="77777777" w:rsidR="00A7727F" w:rsidRPr="00A7727F" w:rsidRDefault="00A7727F" w:rsidP="00A7727F">
      <w:pPr>
        <w:rPr>
          <w:lang w:eastAsia="ja-JP"/>
        </w:rPr>
      </w:pPr>
      <w:r w:rsidRPr="00A7727F">
        <w:rPr>
          <w:lang w:eastAsia="ja-JP"/>
        </w:rPr>
        <w:t>An MBMA (Mandema et al, 2011) was conducted to evaluate the proportion of CR, DCR, and OS in adult patients with relapsed/refractory ALL receiving existing salvage therapies using data from the literature (Study 118427). The treatment benefit with blinatumomab relative to existing salvage therapies was estimated in Study 119834.</w:t>
      </w:r>
    </w:p>
    <w:p w14:paraId="7341674A" w14:textId="2DBA5477" w:rsidR="00A7727F" w:rsidRPr="00A7727F" w:rsidRDefault="00A7727F" w:rsidP="00A7727F">
      <w:pPr>
        <w:rPr>
          <w:lang w:eastAsia="ja-JP"/>
        </w:rPr>
      </w:pPr>
      <w:r w:rsidRPr="00A7727F">
        <w:rPr>
          <w:lang w:eastAsia="ja-JP"/>
        </w:rPr>
        <w:t xml:space="preserve">The MBMA dataset for Study 118427 was constructed based on a systematic </w:t>
      </w:r>
      <w:r w:rsidR="00BC4BB5">
        <w:rPr>
          <w:lang w:eastAsia="ja-JP"/>
        </w:rPr>
        <w:t xml:space="preserve">review of all published English </w:t>
      </w:r>
      <w:r w:rsidRPr="00A7727F">
        <w:rPr>
          <w:lang w:eastAsia="ja-JP"/>
        </w:rPr>
        <w:t>language studies reporting on clinical outcomes in adult patients with relapsed/refractory ALL. Studies were included if they met pre-specified criteria (a peer-reviewed publication of at least 30 adults with B-precursor refractory or relapsed ALL published between January 1995 and December 2012). The final dataset included 24 studies and a total of 4</w:t>
      </w:r>
      <w:r w:rsidR="00CB21D3">
        <w:rPr>
          <w:lang w:eastAsia="ja-JP"/>
        </w:rPr>
        <w:t>,</w:t>
      </w:r>
      <w:r w:rsidRPr="00A7727F">
        <w:rPr>
          <w:lang w:eastAsia="ja-JP"/>
        </w:rPr>
        <w:t>058 patients.</w:t>
      </w:r>
    </w:p>
    <w:p w14:paraId="2F247A25" w14:textId="77777777" w:rsidR="00A7727F" w:rsidRPr="00A7727F" w:rsidRDefault="00A7727F" w:rsidP="00A7727F">
      <w:pPr>
        <w:rPr>
          <w:lang w:eastAsia="ja-JP"/>
        </w:rPr>
      </w:pPr>
      <w:r w:rsidRPr="00A7727F">
        <w:rPr>
          <w:lang w:eastAsia="ja-JP"/>
        </w:rPr>
        <w:t>Established models were used to project the proportion of CR, DCR, and OS with existing salvage therapies for a population similar to that in blinatumomab Study MT103-211. These projections accounted for uncertainty in parameter estimation (due to the sample size of the studies included in the meta-analysis) and heterogeneity across studies.</w:t>
      </w:r>
    </w:p>
    <w:p w14:paraId="256EA573" w14:textId="77777777" w:rsidR="00A7727F" w:rsidRPr="00A7727F" w:rsidRDefault="00A7727F" w:rsidP="00A7727F">
      <w:pPr>
        <w:rPr>
          <w:lang w:eastAsia="ja-JP"/>
        </w:rPr>
      </w:pPr>
      <w:r w:rsidRPr="00A7727F">
        <w:rPr>
          <w:lang w:eastAsia="ja-JP"/>
        </w:rPr>
        <w:t>Study 1193834 estimated the magnitude of the treatment effect with blinatumomab relative to existing salvage therapies on proportion of CR, DCR, and OS for a population similar to the population enrolled in Study MT103-211. The summary prognostic factors for Study MT103-211 were used in the meta-analysis models to compute the proportion of CR, median DCR, and median OS as a projection of the efficacy of existing salvage therapies. Using the resampled efficacy endpoints from Study MT103-211 and the projected efficacy endpoints of existing salvage therapies, the odds ratio of CR as well as the hazard ratio for the DCR and OS of blinatumomab vs existing salvage therapies were calculated, and the associated 95% CI were reported.</w:t>
      </w:r>
    </w:p>
    <w:p w14:paraId="20CDF59C" w14:textId="77777777" w:rsidR="00A7727F" w:rsidRPr="00A7727F" w:rsidRDefault="00A7727F" w:rsidP="00A7727F">
      <w:pPr>
        <w:rPr>
          <w:lang w:eastAsia="ja-JP"/>
        </w:rPr>
      </w:pPr>
      <w:r w:rsidRPr="00A7727F">
        <w:rPr>
          <w:lang w:eastAsia="ja-JP"/>
        </w:rPr>
        <w:t>For adult relapsed/refractory ALL patients treated with existing salvage therapies and having the same summary prognostic factors as those identified in Study MT103-211, the projected (95% CI) proportion of CR was 0.121 (0.041 to 0.341), median DCR was 4.9 months (2.5 to 9.2), and median OS was 3.9 months (3.0 to 4.7).</w:t>
      </w:r>
    </w:p>
    <w:p w14:paraId="18542A6E" w14:textId="77777777" w:rsidR="00A7727F" w:rsidRPr="00A7727F" w:rsidRDefault="00A7727F" w:rsidP="00A7727F">
      <w:pPr>
        <w:rPr>
          <w:lang w:eastAsia="ja-JP"/>
        </w:rPr>
      </w:pPr>
      <w:r w:rsidRPr="00A7727F">
        <w:rPr>
          <w:lang w:eastAsia="ja-JP"/>
        </w:rPr>
        <w:t>For adult relapsed/refractory ALL patients having the same summary prognostic factors as those identified in Study MT103-211, treatment with blinatumomab compared with existing salvage therapies is expected to have an odds ratio for proportion of CR of 3.50 (95% CI: 1.63 to 8.40), hazard ratio for DCR of 0.53 (95% CI: 0.30 to 0.89), and hazard ratio for OS of 0.60 (95% CI: 0.47 to 0.76).</w:t>
      </w:r>
    </w:p>
    <w:p w14:paraId="5EEDAEA8" w14:textId="60471C24" w:rsidR="00A7727F" w:rsidRPr="00A7727F" w:rsidRDefault="00BC4BB5" w:rsidP="00DB175D">
      <w:pPr>
        <w:pStyle w:val="Comment"/>
        <w:rPr>
          <w:lang w:eastAsia="ja-JP"/>
        </w:rPr>
      </w:pPr>
      <w:r w:rsidRPr="00E76AF4">
        <w:rPr>
          <w:b/>
          <w:bCs/>
          <w:lang w:eastAsia="ja-JP"/>
        </w:rPr>
        <w:t>C</w:t>
      </w:r>
      <w:r w:rsidR="00A7727F" w:rsidRPr="00E76AF4">
        <w:rPr>
          <w:b/>
          <w:bCs/>
          <w:lang w:eastAsia="ja-JP"/>
        </w:rPr>
        <w:t>omment</w:t>
      </w:r>
      <w:r w:rsidR="00A7727F" w:rsidRPr="00A7727F">
        <w:rPr>
          <w:lang w:eastAsia="ja-JP"/>
        </w:rPr>
        <w:t>:</w:t>
      </w:r>
      <w:r>
        <w:rPr>
          <w:lang w:eastAsia="ja-JP"/>
        </w:rPr>
        <w:t xml:space="preserve"> </w:t>
      </w:r>
      <w:r w:rsidR="00A7727F" w:rsidRPr="00A7727F">
        <w:rPr>
          <w:lang w:eastAsia="ja-JP"/>
        </w:rPr>
        <w:t xml:space="preserve">See comment </w:t>
      </w:r>
      <w:r>
        <w:rPr>
          <w:lang w:eastAsia="ja-JP"/>
        </w:rPr>
        <w:t>in the pre</w:t>
      </w:r>
      <w:r w:rsidR="00DB175D">
        <w:rPr>
          <w:lang w:eastAsia="ja-JP"/>
        </w:rPr>
        <w:t>ced</w:t>
      </w:r>
      <w:r>
        <w:rPr>
          <w:lang w:eastAsia="ja-JP"/>
        </w:rPr>
        <w:t>ing section</w:t>
      </w:r>
      <w:r w:rsidR="00A7727F" w:rsidRPr="00A7727F">
        <w:rPr>
          <w:lang w:eastAsia="ja-JP"/>
        </w:rPr>
        <w:t>. A comparison of CR, DCR and OS survival should be made with current standard therapies for R/R ALL, that is, studies after 2000.</w:t>
      </w:r>
    </w:p>
    <w:p w14:paraId="5F524F00" w14:textId="77777777" w:rsidR="00A7727F" w:rsidRPr="00A7727F" w:rsidRDefault="00A7727F" w:rsidP="00DB175D">
      <w:pPr>
        <w:pStyle w:val="Heading3"/>
      </w:pPr>
      <w:bookmarkStart w:id="231" w:name="_Ref271126605"/>
      <w:bookmarkStart w:id="232" w:name="_Toc272414657"/>
      <w:bookmarkStart w:id="233" w:name="_Toc290846282"/>
      <w:bookmarkStart w:id="234" w:name="_Toc292015614"/>
      <w:bookmarkStart w:id="235" w:name="_Toc505762985"/>
      <w:r w:rsidRPr="00A7727F">
        <w:t>Evaluator’s conclusions on clinical efficacy</w:t>
      </w:r>
      <w:bookmarkEnd w:id="231"/>
      <w:bookmarkEnd w:id="232"/>
      <w:bookmarkEnd w:id="233"/>
      <w:bookmarkEnd w:id="234"/>
      <w:bookmarkEnd w:id="235"/>
    </w:p>
    <w:p w14:paraId="73ADA962" w14:textId="5B5121C2" w:rsidR="00A7727F" w:rsidRPr="00A7727F" w:rsidRDefault="00A7727F" w:rsidP="00A7727F">
      <w:pPr>
        <w:rPr>
          <w:lang w:eastAsia="ja-JP"/>
        </w:rPr>
      </w:pPr>
      <w:r w:rsidRPr="00A7727F">
        <w:rPr>
          <w:lang w:eastAsia="ja-JP"/>
        </w:rPr>
        <w:t xml:space="preserve">The sponsors have provided </w:t>
      </w:r>
      <w:r w:rsidR="00CB21D3">
        <w:rPr>
          <w:lang w:eastAsia="ja-JP"/>
        </w:rPr>
        <w:t>one</w:t>
      </w:r>
      <w:r w:rsidR="00DB175D">
        <w:rPr>
          <w:lang w:eastAsia="ja-JP"/>
        </w:rPr>
        <w:t xml:space="preserve"> </w:t>
      </w:r>
      <w:r w:rsidRPr="00A7727F">
        <w:rPr>
          <w:lang w:eastAsia="ja-JP"/>
        </w:rPr>
        <w:t xml:space="preserve">pivotal </w:t>
      </w:r>
      <w:r w:rsidR="0018721C">
        <w:rPr>
          <w:lang w:eastAsia="ja-JP"/>
        </w:rPr>
        <w:t>Phase</w:t>
      </w:r>
      <w:r w:rsidRPr="00A7727F">
        <w:rPr>
          <w:lang w:eastAsia="ja-JP"/>
        </w:rPr>
        <w:t xml:space="preserve"> II study (</w:t>
      </w:r>
      <w:r w:rsidR="00DB175D">
        <w:rPr>
          <w:lang w:eastAsia="ja-JP"/>
        </w:rPr>
        <w:t xml:space="preserve">Study </w:t>
      </w:r>
      <w:r w:rsidRPr="00A7727F">
        <w:rPr>
          <w:lang w:eastAsia="ja-JP"/>
        </w:rPr>
        <w:t xml:space="preserve">MT103-211), supported by a second </w:t>
      </w:r>
      <w:r w:rsidR="0018721C">
        <w:rPr>
          <w:lang w:eastAsia="ja-JP"/>
        </w:rPr>
        <w:t>Phase</w:t>
      </w:r>
      <w:r w:rsidRPr="00A7727F">
        <w:rPr>
          <w:lang w:eastAsia="ja-JP"/>
        </w:rPr>
        <w:t xml:space="preserve"> II study</w:t>
      </w:r>
      <w:r w:rsidR="00DB175D">
        <w:rPr>
          <w:lang w:eastAsia="ja-JP"/>
        </w:rPr>
        <w:t xml:space="preserve"> </w:t>
      </w:r>
      <w:r w:rsidRPr="00A7727F">
        <w:rPr>
          <w:lang w:eastAsia="ja-JP"/>
        </w:rPr>
        <w:t>(</w:t>
      </w:r>
      <w:r w:rsidR="00DB175D">
        <w:rPr>
          <w:lang w:eastAsia="ja-JP"/>
        </w:rPr>
        <w:t xml:space="preserve">Study </w:t>
      </w:r>
      <w:r w:rsidRPr="00A7727F">
        <w:rPr>
          <w:lang w:eastAsia="ja-JP"/>
        </w:rPr>
        <w:t xml:space="preserve">MT103-206), </w:t>
      </w:r>
      <w:r w:rsidR="00CB21D3">
        <w:rPr>
          <w:lang w:eastAsia="ja-JP"/>
        </w:rPr>
        <w:t>one</w:t>
      </w:r>
      <w:r w:rsidRPr="00A7727F">
        <w:rPr>
          <w:lang w:eastAsia="ja-JP"/>
        </w:rPr>
        <w:t xml:space="preserve"> historic</w:t>
      </w:r>
      <w:r w:rsidR="00DB175D">
        <w:rPr>
          <w:lang w:eastAsia="ja-JP"/>
        </w:rPr>
        <w:t xml:space="preserve">al comparator study and </w:t>
      </w:r>
      <w:r w:rsidR="00CB21D3">
        <w:rPr>
          <w:lang w:eastAsia="ja-JP"/>
        </w:rPr>
        <w:t>two</w:t>
      </w:r>
      <w:r w:rsidR="00DB175D">
        <w:rPr>
          <w:lang w:eastAsia="ja-JP"/>
        </w:rPr>
        <w:t xml:space="preserve"> model based meta-</w:t>
      </w:r>
      <w:r w:rsidRPr="00A7727F">
        <w:rPr>
          <w:lang w:eastAsia="ja-JP"/>
        </w:rPr>
        <w:t xml:space="preserve">analysis studies as evidence for the efficacy of blinatumomab for the treatment of adults with Philadelphia chromosome negative relapsed or refractory B-precursor ALL. The </w:t>
      </w:r>
      <w:r w:rsidR="0018721C">
        <w:rPr>
          <w:lang w:eastAsia="ja-JP"/>
        </w:rPr>
        <w:t>Phase</w:t>
      </w:r>
      <w:r w:rsidRPr="00A7727F">
        <w:rPr>
          <w:lang w:eastAsia="ja-JP"/>
        </w:rPr>
        <w:t xml:space="preserve"> II study design of both </w:t>
      </w:r>
      <w:r w:rsidR="00DB175D">
        <w:rPr>
          <w:lang w:eastAsia="ja-JP"/>
        </w:rPr>
        <w:t xml:space="preserve">Study </w:t>
      </w:r>
      <w:r w:rsidRPr="00A7727F">
        <w:rPr>
          <w:lang w:eastAsia="ja-JP"/>
        </w:rPr>
        <w:t xml:space="preserve">MT103-211 and </w:t>
      </w:r>
      <w:r w:rsidR="00DB175D">
        <w:rPr>
          <w:lang w:eastAsia="ja-JP"/>
        </w:rPr>
        <w:t xml:space="preserve">Study </w:t>
      </w:r>
      <w:r w:rsidRPr="00A7727F">
        <w:rPr>
          <w:lang w:eastAsia="ja-JP"/>
        </w:rPr>
        <w:t xml:space="preserve">MT103-206 presents moderate quality evidence of efficacy, which would have been better provided by a </w:t>
      </w:r>
      <w:r w:rsidR="0018721C">
        <w:rPr>
          <w:lang w:eastAsia="ja-JP"/>
        </w:rPr>
        <w:t>Phase</w:t>
      </w:r>
      <w:r w:rsidRPr="00A7727F">
        <w:rPr>
          <w:lang w:eastAsia="ja-JP"/>
        </w:rPr>
        <w:t xml:space="preserve"> III study design, however protection from bias in selecting patients has to some extent been provided by the inclusion of multiple study sites. In addition, the sponsors have provided a high quantity of evidence with the inclusion of 225 subjects in the 2 clinical studies, 1</w:t>
      </w:r>
      <w:r w:rsidR="00CB21D3">
        <w:rPr>
          <w:lang w:eastAsia="ja-JP"/>
        </w:rPr>
        <w:t>,</w:t>
      </w:r>
      <w:r w:rsidRPr="00A7727F">
        <w:rPr>
          <w:lang w:eastAsia="ja-JP"/>
        </w:rPr>
        <w:t>139 subjects in the historical comparison study and 4</w:t>
      </w:r>
      <w:r w:rsidR="00CB21D3">
        <w:rPr>
          <w:lang w:eastAsia="ja-JP"/>
        </w:rPr>
        <w:t>,</w:t>
      </w:r>
      <w:r w:rsidRPr="00A7727F">
        <w:rPr>
          <w:lang w:eastAsia="ja-JP"/>
        </w:rPr>
        <w:t>058 subjects from 24 studies in the MBMA.</w:t>
      </w:r>
    </w:p>
    <w:p w14:paraId="68481481" w14:textId="5288F2D5" w:rsidR="00A7727F" w:rsidRPr="00A7727F" w:rsidRDefault="00A7727F" w:rsidP="00A7727F">
      <w:pPr>
        <w:rPr>
          <w:lang w:eastAsia="ja-JP"/>
        </w:rPr>
      </w:pPr>
      <w:r w:rsidRPr="00A7727F">
        <w:rPr>
          <w:lang w:eastAsia="ja-JP"/>
        </w:rPr>
        <w:t>The external validity of the studies is hi</w:t>
      </w:r>
      <w:r w:rsidR="00DB175D">
        <w:rPr>
          <w:lang w:eastAsia="ja-JP"/>
        </w:rPr>
        <w:t>gh and the results are generalis</w:t>
      </w:r>
      <w:r w:rsidRPr="00A7727F">
        <w:rPr>
          <w:lang w:eastAsia="ja-JP"/>
        </w:rPr>
        <w:t>able to relapsed/refractory ALL patients that would be encountered in typical clinical haematol</w:t>
      </w:r>
      <w:r w:rsidR="00DB175D">
        <w:rPr>
          <w:lang w:eastAsia="ja-JP"/>
        </w:rPr>
        <w:t>ogy settings. It is noted that S</w:t>
      </w:r>
      <w:r w:rsidRPr="00A7727F">
        <w:rPr>
          <w:lang w:eastAsia="ja-JP"/>
        </w:rPr>
        <w:t>tudy MT103-206 included 6 late relapse subject</w:t>
      </w:r>
      <w:r w:rsidR="00CB21D3">
        <w:rPr>
          <w:lang w:eastAsia="ja-JP"/>
        </w:rPr>
        <w:t>s</w:t>
      </w:r>
      <w:r w:rsidRPr="00A7727F">
        <w:rPr>
          <w:lang w:eastAsia="ja-JP"/>
        </w:rPr>
        <w:t xml:space="preserve"> who all responded to therapy. In comparison to early relapse patients, late relapse ALL patients have a better prognosis and a fraction can be rescued with chemotherapy, whereas early relapse patients can only be rescued with allogeneic haematopoietic stem cell transplantation. It is noted that in the historical comparator and MBMA studies late relapsers have been excluded, however subjects have been appropriately matched to </w:t>
      </w:r>
      <w:r w:rsidR="00DB175D">
        <w:rPr>
          <w:lang w:eastAsia="ja-JP"/>
        </w:rPr>
        <w:t>Stu</w:t>
      </w:r>
      <w:r w:rsidR="00E76AF4">
        <w:rPr>
          <w:lang w:eastAsia="ja-JP"/>
        </w:rPr>
        <w:t>d</w:t>
      </w:r>
      <w:r w:rsidR="00DB175D">
        <w:rPr>
          <w:lang w:eastAsia="ja-JP"/>
        </w:rPr>
        <w:t xml:space="preserve">y </w:t>
      </w:r>
      <w:r w:rsidRPr="00A7727F">
        <w:rPr>
          <w:lang w:eastAsia="ja-JP"/>
        </w:rPr>
        <w:t>MT103-211, which also excludes late relapsers. It is also noted that the historical comparator and MBMA included analyses of subjects treated before the development of current standard of care salvage therapies.</w:t>
      </w:r>
    </w:p>
    <w:p w14:paraId="3047751A" w14:textId="7317E523" w:rsidR="00A7727F" w:rsidRPr="00A7727F" w:rsidRDefault="00A7727F" w:rsidP="00A7727F">
      <w:pPr>
        <w:rPr>
          <w:lang w:eastAsia="ja-JP"/>
        </w:rPr>
      </w:pPr>
      <w:r w:rsidRPr="00A7727F">
        <w:rPr>
          <w:lang w:eastAsia="ja-JP"/>
        </w:rPr>
        <w:t xml:space="preserve">Valid sample size calculations have been performed for </w:t>
      </w:r>
      <w:r w:rsidR="00E76AF4">
        <w:rPr>
          <w:lang w:eastAsia="ja-JP"/>
        </w:rPr>
        <w:t>Stud</w:t>
      </w:r>
      <w:r w:rsidR="00F85729">
        <w:rPr>
          <w:lang w:eastAsia="ja-JP"/>
        </w:rPr>
        <w:t xml:space="preserve">ies </w:t>
      </w:r>
      <w:r w:rsidRPr="00A7727F">
        <w:rPr>
          <w:lang w:eastAsia="ja-JP"/>
        </w:rPr>
        <w:t xml:space="preserve">MT103-211 and MT103-206 and the ability of both studies to determine that increased CR/CRh* with durable remission rate was caused by </w:t>
      </w:r>
      <w:r w:rsidR="00F85729">
        <w:rPr>
          <w:lang w:eastAsia="ja-JP"/>
        </w:rPr>
        <w:t>blinatumomab treatment is high.</w:t>
      </w:r>
    </w:p>
    <w:p w14:paraId="406430ED" w14:textId="15EF43F5" w:rsidR="00A7727F" w:rsidRPr="00A7727F" w:rsidRDefault="00A7727F" w:rsidP="00A7727F">
      <w:pPr>
        <w:rPr>
          <w:lang w:eastAsia="ja-JP"/>
        </w:rPr>
      </w:pPr>
      <w:r w:rsidRPr="00A7727F">
        <w:rPr>
          <w:lang w:eastAsia="ja-JP"/>
        </w:rPr>
        <w:t xml:space="preserve">The consistency of results from both </w:t>
      </w:r>
      <w:r w:rsidR="0018721C">
        <w:rPr>
          <w:lang w:eastAsia="ja-JP"/>
        </w:rPr>
        <w:t>Phase</w:t>
      </w:r>
      <w:r w:rsidRPr="00A7727F">
        <w:rPr>
          <w:lang w:eastAsia="ja-JP"/>
        </w:rPr>
        <w:t xml:space="preserve"> II studies was high. In </w:t>
      </w:r>
      <w:r w:rsidR="00F85729">
        <w:rPr>
          <w:lang w:eastAsia="ja-JP"/>
        </w:rPr>
        <w:t xml:space="preserve">Study </w:t>
      </w:r>
      <w:r w:rsidRPr="00A7727F">
        <w:rPr>
          <w:lang w:eastAsia="ja-JP"/>
        </w:rPr>
        <w:t xml:space="preserve">MT103-211, CR/CR* with durable remission after 2 cycles of treatment was 42.9% and median OS was 6.1 months, and in </w:t>
      </w:r>
      <w:r w:rsidR="00F85729">
        <w:rPr>
          <w:lang w:eastAsia="ja-JP"/>
        </w:rPr>
        <w:t xml:space="preserve">Study </w:t>
      </w:r>
      <w:r w:rsidRPr="00A7727F">
        <w:rPr>
          <w:lang w:eastAsia="ja-JP"/>
        </w:rPr>
        <w:t>MT103-206, CR/CRh* with durable remission after 2 cycles of treatment was 69% and median OS was 9.8 months.</w:t>
      </w:r>
    </w:p>
    <w:p w14:paraId="5EB5BCB4" w14:textId="45889D37" w:rsidR="00A7727F" w:rsidRPr="00A7727F" w:rsidRDefault="00A7727F" w:rsidP="00A7727F">
      <w:pPr>
        <w:rPr>
          <w:lang w:eastAsia="ja-JP"/>
        </w:rPr>
      </w:pPr>
      <w:r w:rsidRPr="00A7727F">
        <w:rPr>
          <w:lang w:eastAsia="ja-JP"/>
        </w:rPr>
        <w:t xml:space="preserve">The quality of the directness of evidence is moderate. The main objective of both </w:t>
      </w:r>
      <w:r w:rsidR="0018721C">
        <w:rPr>
          <w:lang w:eastAsia="ja-JP"/>
        </w:rPr>
        <w:t>Phase</w:t>
      </w:r>
      <w:r w:rsidRPr="00A7727F">
        <w:rPr>
          <w:lang w:eastAsia="ja-JP"/>
        </w:rPr>
        <w:t xml:space="preserve"> II studies was to demonstrate activity against ALL and consequently the end point, which is common to </w:t>
      </w:r>
      <w:r w:rsidR="0018721C">
        <w:rPr>
          <w:lang w:eastAsia="ja-JP"/>
        </w:rPr>
        <w:t>Phase</w:t>
      </w:r>
      <w:r w:rsidRPr="00A7727F">
        <w:rPr>
          <w:lang w:eastAsia="ja-JP"/>
        </w:rPr>
        <w:t xml:space="preserve"> II studies, was response rates. However</w:t>
      </w:r>
      <w:r w:rsidR="00F85729">
        <w:rPr>
          <w:lang w:eastAsia="ja-JP"/>
        </w:rPr>
        <w:t>,</w:t>
      </w:r>
      <w:r w:rsidRPr="00A7727F">
        <w:rPr>
          <w:lang w:eastAsia="ja-JP"/>
        </w:rPr>
        <w:t xml:space="preserve"> the sponsor argues that while OS is the universally accepted direct measure of clinical benefit in </w:t>
      </w:r>
      <w:r w:rsidR="00070E8B">
        <w:rPr>
          <w:lang w:eastAsia="ja-JP"/>
        </w:rPr>
        <w:t>randomised</w:t>
      </w:r>
      <w:r w:rsidRPr="00A7727F">
        <w:rPr>
          <w:lang w:eastAsia="ja-JP"/>
        </w:rPr>
        <w:t xml:space="preserve"> relapsed/refractory ALL studies, CR and CRh* with durable remission, MRD response, and bridge to allogeneic HSCT can predict clinical benefit and are medically relevant. At present, allogeneic HSCT is the only curative option for early relapse/refractory ALL, and patients must be in a haemato</w:t>
      </w:r>
      <w:r w:rsidR="00F85729">
        <w:rPr>
          <w:lang w:eastAsia="ja-JP"/>
        </w:rPr>
        <w:t>lo</w:t>
      </w:r>
      <w:r w:rsidRPr="00A7727F">
        <w:rPr>
          <w:lang w:eastAsia="ja-JP"/>
        </w:rPr>
        <w:t>gical CR/CRh* to proceed to transplant. Furthermore, it is becoming increasingly recognised that MRD</w:t>
      </w:r>
      <w:r w:rsidR="00375CAE">
        <w:rPr>
          <w:lang w:eastAsia="ja-JP"/>
        </w:rPr>
        <w:t xml:space="preserve"> </w:t>
      </w:r>
      <w:r w:rsidR="00423768">
        <w:rPr>
          <w:lang w:eastAsia="ja-JP"/>
        </w:rPr>
        <w:t xml:space="preserve">&lt; </w:t>
      </w:r>
      <w:r w:rsidRPr="00A7727F">
        <w:rPr>
          <w:lang w:eastAsia="ja-JP"/>
        </w:rPr>
        <w:t>10</w:t>
      </w:r>
      <w:r w:rsidRPr="00A7727F">
        <w:rPr>
          <w:vertAlign w:val="superscript"/>
          <w:lang w:eastAsia="ja-JP"/>
        </w:rPr>
        <w:t>-4</w:t>
      </w:r>
      <w:r w:rsidRPr="00A7727F">
        <w:rPr>
          <w:lang w:eastAsia="ja-JP"/>
        </w:rPr>
        <w:t xml:space="preserve"> is predictive of relapse following allogeneic HSCT. Consequently, CR and CRh* with durable remission, MRD response and duration of re</w:t>
      </w:r>
      <w:r w:rsidR="00F85729">
        <w:rPr>
          <w:lang w:eastAsia="ja-JP"/>
        </w:rPr>
        <w:t>s</w:t>
      </w:r>
      <w:r w:rsidRPr="00A7727F">
        <w:rPr>
          <w:lang w:eastAsia="ja-JP"/>
        </w:rPr>
        <w:t>ponse or time to haematological relapse, to allow time to proceed to allogene</w:t>
      </w:r>
      <w:r w:rsidR="00F85729">
        <w:rPr>
          <w:lang w:eastAsia="ja-JP"/>
        </w:rPr>
        <w:t>ic HSCT are valid surrogate end</w:t>
      </w:r>
      <w:r w:rsidRPr="00A7727F">
        <w:rPr>
          <w:lang w:eastAsia="ja-JP"/>
        </w:rPr>
        <w:t>points.</w:t>
      </w:r>
    </w:p>
    <w:p w14:paraId="7D151F9A" w14:textId="25BFDBEF" w:rsidR="00A7727F" w:rsidRPr="00A7727F" w:rsidRDefault="00A7727F" w:rsidP="00A7727F">
      <w:pPr>
        <w:rPr>
          <w:lang w:eastAsia="ja-JP"/>
        </w:rPr>
      </w:pPr>
      <w:r w:rsidRPr="00A7727F">
        <w:rPr>
          <w:lang w:eastAsia="ja-JP"/>
        </w:rPr>
        <w:t>The magnitude of effect is significant when compared to results from the MBMA, with OR 3.5 for proportion of CR and the median OS 3.9 months for the MBMA compared to 6.1</w:t>
      </w:r>
      <w:r w:rsidR="00F85729">
        <w:rPr>
          <w:lang w:eastAsia="ja-JP"/>
        </w:rPr>
        <w:t xml:space="preserve"> months for S</w:t>
      </w:r>
      <w:r w:rsidRPr="00A7727F">
        <w:rPr>
          <w:lang w:eastAsia="ja-JP"/>
        </w:rPr>
        <w:t>tudy MT103-211. In addition, there was evidence from</w:t>
      </w:r>
      <w:r w:rsidR="00CB21D3">
        <w:rPr>
          <w:lang w:eastAsia="ja-JP"/>
        </w:rPr>
        <w:t xml:space="preserve"> the PK/PD analyses that a dose </w:t>
      </w:r>
      <w:r w:rsidRPr="00A7727F">
        <w:rPr>
          <w:lang w:eastAsia="ja-JP"/>
        </w:rPr>
        <w:t xml:space="preserve">response gradient existed, with B-cell depletion rate increasing with increasing </w:t>
      </w:r>
      <w:r w:rsidR="005E5C58">
        <w:rPr>
          <w:lang w:eastAsia="ja-JP"/>
        </w:rPr>
        <w:t>C</w:t>
      </w:r>
      <w:r w:rsidR="005E5C58">
        <w:rPr>
          <w:vertAlign w:val="subscript"/>
          <w:lang w:eastAsia="ja-JP"/>
        </w:rPr>
        <w:t>ss</w:t>
      </w:r>
      <w:r w:rsidRPr="00A7727F">
        <w:rPr>
          <w:lang w:eastAsia="ja-JP"/>
        </w:rPr>
        <w:t>, which suggested that higher drug levels were associated with faster elimination of peripheral B cells.</w:t>
      </w:r>
    </w:p>
    <w:p w14:paraId="5C0D5C5C" w14:textId="5FD38358" w:rsidR="00A7727F" w:rsidRPr="003442FE" w:rsidRDefault="00A7727F" w:rsidP="00C22678">
      <w:pPr>
        <w:rPr>
          <w:lang w:eastAsia="ja-JP"/>
        </w:rPr>
      </w:pPr>
      <w:r w:rsidRPr="00A7727F">
        <w:rPr>
          <w:lang w:eastAsia="ja-JP"/>
        </w:rPr>
        <w:t xml:space="preserve">While it would have been ideal to have considered the final results of a </w:t>
      </w:r>
      <w:r w:rsidR="0018721C">
        <w:rPr>
          <w:lang w:eastAsia="ja-JP"/>
        </w:rPr>
        <w:t>Phase</w:t>
      </w:r>
      <w:r w:rsidRPr="00A7727F">
        <w:rPr>
          <w:lang w:eastAsia="ja-JP"/>
        </w:rPr>
        <w:t xml:space="preserve"> III study, there is sufficient strength to the efficacy data presented in this submission to approve the requested indication of blinatumomab for the treatment of adults with Philadelphia chromosome negative relapsed or refractory B-precursor ALL.</w:t>
      </w:r>
    </w:p>
    <w:p w14:paraId="27A7B8B7" w14:textId="77777777" w:rsidR="00C22678" w:rsidRPr="003442FE" w:rsidRDefault="00C22678" w:rsidP="00C22678">
      <w:pPr>
        <w:pStyle w:val="Heading2"/>
      </w:pPr>
      <w:bookmarkStart w:id="236" w:name="_Toc505762986"/>
      <w:r w:rsidRPr="003442FE">
        <w:t>Clinical safety</w:t>
      </w:r>
      <w:bookmarkEnd w:id="236"/>
    </w:p>
    <w:p w14:paraId="2F0EDD5D" w14:textId="77777777" w:rsidR="00A7727F" w:rsidRPr="00A7727F" w:rsidRDefault="00A7727F" w:rsidP="00F85729">
      <w:pPr>
        <w:pStyle w:val="Heading3"/>
      </w:pPr>
      <w:bookmarkStart w:id="237" w:name="_Toc272414659"/>
      <w:bookmarkStart w:id="238" w:name="_Toc290846284"/>
      <w:bookmarkStart w:id="239" w:name="_Toc292015616"/>
      <w:bookmarkStart w:id="240" w:name="_Toc505762987"/>
      <w:r w:rsidRPr="00A7727F">
        <w:t>Studies providing evaluable safety data</w:t>
      </w:r>
      <w:bookmarkEnd w:id="237"/>
      <w:bookmarkEnd w:id="238"/>
      <w:bookmarkEnd w:id="239"/>
      <w:bookmarkEnd w:id="240"/>
    </w:p>
    <w:p w14:paraId="684EFED7" w14:textId="15BB5D15" w:rsidR="00A7727F" w:rsidRPr="00A7727F" w:rsidRDefault="00A7727F" w:rsidP="00A7727F">
      <w:pPr>
        <w:rPr>
          <w:lang w:eastAsia="ja-JP"/>
        </w:rPr>
      </w:pPr>
      <w:bookmarkStart w:id="241" w:name="_Ref268776745"/>
      <w:r w:rsidRPr="00A7727F">
        <w:rPr>
          <w:lang w:eastAsia="ja-JP"/>
        </w:rPr>
        <w:t>The primary analysis of safety is based on pooled analyses of the adult relapsed/refractory ALL population, which consisted of 225 subjects in Studies MT103-211 (N</w:t>
      </w:r>
      <w:r w:rsidR="00375CAE">
        <w:rPr>
          <w:lang w:eastAsia="ja-JP"/>
        </w:rPr>
        <w:t xml:space="preserve"> </w:t>
      </w:r>
      <w:r w:rsidR="00423768">
        <w:rPr>
          <w:lang w:eastAsia="ja-JP"/>
        </w:rPr>
        <w:t>=</w:t>
      </w:r>
      <w:r w:rsidR="00375CAE">
        <w:rPr>
          <w:lang w:eastAsia="ja-JP"/>
        </w:rPr>
        <w:t xml:space="preserve"> </w:t>
      </w:r>
      <w:r w:rsidRPr="00A7727F">
        <w:rPr>
          <w:lang w:eastAsia="ja-JP"/>
        </w:rPr>
        <w:t>189) and MT103-206 (N</w:t>
      </w:r>
      <w:r w:rsidR="00F85729">
        <w:rPr>
          <w:lang w:eastAsia="ja-JP"/>
        </w:rPr>
        <w:t> </w:t>
      </w:r>
      <w:r w:rsidR="00423768">
        <w:rPr>
          <w:lang w:eastAsia="ja-JP"/>
        </w:rPr>
        <w:t>=</w:t>
      </w:r>
      <w:r w:rsidR="00F85729">
        <w:rPr>
          <w:lang w:eastAsia="ja-JP"/>
        </w:rPr>
        <w:t> </w:t>
      </w:r>
      <w:r w:rsidRPr="00A7727F">
        <w:rPr>
          <w:lang w:eastAsia="ja-JP"/>
        </w:rPr>
        <w:t>36). This analysis is supported by</w:t>
      </w:r>
      <w:r w:rsidR="00F85729">
        <w:rPr>
          <w:lang w:eastAsia="ja-JP"/>
        </w:rPr>
        <w:t xml:space="preserve"> pooled analyses of the program </w:t>
      </w:r>
      <w:r w:rsidRPr="00A7727F">
        <w:rPr>
          <w:lang w:eastAsia="ja-JP"/>
        </w:rPr>
        <w:t>wide pooled population (also referred to more generally as the pooled population), which consisted of 475 subjects treated at various dose levels of blinatumomab in 7 ongoing and completed studies: 225 subjects in the Studies MT103-211 and MT103-206, 41 p</w:t>
      </w:r>
      <w:r w:rsidR="00F85729">
        <w:rPr>
          <w:lang w:eastAsia="ja-JP"/>
        </w:rPr>
        <w:t>a</w:t>
      </w:r>
      <w:r w:rsidRPr="00A7727F">
        <w:rPr>
          <w:lang w:eastAsia="ja-JP"/>
        </w:rPr>
        <w:t xml:space="preserve">ediatric subjects with relapsed/refractory ALL in Study MT103-205, 114 subjects with </w:t>
      </w:r>
      <w:r w:rsidR="00803B89">
        <w:rPr>
          <w:lang w:eastAsia="ja-JP"/>
        </w:rPr>
        <w:t xml:space="preserve">MRD </w:t>
      </w:r>
      <w:r w:rsidRPr="00A7727F">
        <w:rPr>
          <w:lang w:eastAsia="ja-JP"/>
        </w:rPr>
        <w:t>positive ALL in Studies MT103-202 (N</w:t>
      </w:r>
      <w:r w:rsidR="00375CAE">
        <w:rPr>
          <w:lang w:eastAsia="ja-JP"/>
        </w:rPr>
        <w:t xml:space="preserve"> </w:t>
      </w:r>
      <w:r w:rsidR="00423768">
        <w:rPr>
          <w:lang w:eastAsia="ja-JP"/>
        </w:rPr>
        <w:t>=</w:t>
      </w:r>
      <w:r w:rsidR="00375CAE">
        <w:rPr>
          <w:lang w:eastAsia="ja-JP"/>
        </w:rPr>
        <w:t xml:space="preserve"> </w:t>
      </w:r>
      <w:r w:rsidRPr="00A7727F">
        <w:rPr>
          <w:lang w:eastAsia="ja-JP"/>
        </w:rPr>
        <w:t>21) and MT103-203 (N</w:t>
      </w:r>
      <w:r w:rsidR="00375CAE">
        <w:rPr>
          <w:lang w:eastAsia="ja-JP"/>
        </w:rPr>
        <w:t xml:space="preserve"> </w:t>
      </w:r>
      <w:r w:rsidR="00423768">
        <w:rPr>
          <w:lang w:eastAsia="ja-JP"/>
        </w:rPr>
        <w:t>=</w:t>
      </w:r>
      <w:r w:rsidR="00375CAE">
        <w:rPr>
          <w:lang w:eastAsia="ja-JP"/>
        </w:rPr>
        <w:t xml:space="preserve"> </w:t>
      </w:r>
      <w:r w:rsidRPr="00A7727F">
        <w:rPr>
          <w:lang w:eastAsia="ja-JP"/>
        </w:rPr>
        <w:t>93), and 95 subjects with relapsed/refractory NHL in Studies MT103-104 (N</w:t>
      </w:r>
      <w:r w:rsidR="00375CAE">
        <w:rPr>
          <w:lang w:eastAsia="ja-JP"/>
        </w:rPr>
        <w:t xml:space="preserve"> </w:t>
      </w:r>
      <w:r w:rsidR="00423768">
        <w:rPr>
          <w:lang w:eastAsia="ja-JP"/>
        </w:rPr>
        <w:t>=</w:t>
      </w:r>
      <w:r w:rsidR="00375CAE">
        <w:rPr>
          <w:lang w:eastAsia="ja-JP"/>
        </w:rPr>
        <w:t xml:space="preserve"> </w:t>
      </w:r>
      <w:r w:rsidRPr="00A7727F">
        <w:rPr>
          <w:lang w:eastAsia="ja-JP"/>
        </w:rPr>
        <w:t>76) and MT103-208 (N</w:t>
      </w:r>
      <w:r w:rsidR="00375CAE">
        <w:rPr>
          <w:lang w:eastAsia="ja-JP"/>
        </w:rPr>
        <w:t xml:space="preserve"> </w:t>
      </w:r>
      <w:r w:rsidR="00423768">
        <w:rPr>
          <w:lang w:eastAsia="ja-JP"/>
        </w:rPr>
        <w:t>=</w:t>
      </w:r>
      <w:r w:rsidR="00375CAE">
        <w:rPr>
          <w:lang w:eastAsia="ja-JP"/>
        </w:rPr>
        <w:t xml:space="preserve"> </w:t>
      </w:r>
      <w:r w:rsidRPr="00A7727F">
        <w:rPr>
          <w:lang w:eastAsia="ja-JP"/>
        </w:rPr>
        <w:t xml:space="preserve">19). In addition, serious adverse event data were evaluated for recently initiated </w:t>
      </w:r>
      <w:r w:rsidR="00F85729">
        <w:rPr>
          <w:lang w:eastAsia="ja-JP"/>
        </w:rPr>
        <w:t>S</w:t>
      </w:r>
      <w:r w:rsidRPr="00A7727F">
        <w:rPr>
          <w:lang w:eastAsia="ja-JP"/>
        </w:rPr>
        <w:t xml:space="preserve">tudies 20120216 and 00103311. Given that ALL is an orphan disease, the size of the safety database is considered adequate to define the safety profile of blinatumomab at the intended </w:t>
      </w:r>
      <w:r w:rsidR="00F37208" w:rsidRPr="00A7727F">
        <w:rPr>
          <w:lang w:eastAsia="ja-JP"/>
        </w:rPr>
        <w:t>registration</w:t>
      </w:r>
      <w:r w:rsidRPr="00A7727F">
        <w:rPr>
          <w:lang w:eastAsia="ja-JP"/>
        </w:rPr>
        <w:t xml:space="preserve"> dose.</w:t>
      </w:r>
    </w:p>
    <w:p w14:paraId="399377F1" w14:textId="77777777" w:rsidR="00A7727F" w:rsidRPr="00A7727F" w:rsidRDefault="00A7727F" w:rsidP="00F85729">
      <w:pPr>
        <w:pStyle w:val="Heading4"/>
      </w:pPr>
      <w:r w:rsidRPr="00A7727F">
        <w:t>Pivotal efficacy studies</w:t>
      </w:r>
      <w:bookmarkEnd w:id="241"/>
    </w:p>
    <w:p w14:paraId="696D195D" w14:textId="77777777" w:rsidR="00A7727F" w:rsidRPr="00A7727F" w:rsidRDefault="00A7727F" w:rsidP="00A7727F">
      <w:pPr>
        <w:rPr>
          <w:lang w:eastAsia="ja-JP"/>
        </w:rPr>
      </w:pPr>
      <w:r w:rsidRPr="00A7727F">
        <w:rPr>
          <w:lang w:eastAsia="ja-JP"/>
        </w:rPr>
        <w:t>In the pivotal efficacy studies, the following safety data were collected:</w:t>
      </w:r>
    </w:p>
    <w:p w14:paraId="1972E333" w14:textId="77777777" w:rsidR="00A7727F" w:rsidRPr="00A7727F" w:rsidRDefault="00A7727F" w:rsidP="00F85729">
      <w:pPr>
        <w:pStyle w:val="ListBullet"/>
        <w:rPr>
          <w:lang w:eastAsia="ja-JP"/>
        </w:rPr>
      </w:pPr>
      <w:r w:rsidRPr="00A7727F">
        <w:rPr>
          <w:lang w:eastAsia="ja-JP"/>
        </w:rPr>
        <w:t>General adverse events (AEs) were assessed by collection of adverse events throughout the studies.</w:t>
      </w:r>
    </w:p>
    <w:p w14:paraId="6782C9E8" w14:textId="14509B62" w:rsidR="00A7727F" w:rsidRPr="00A7727F" w:rsidRDefault="00A7727F" w:rsidP="00F85729">
      <w:pPr>
        <w:pStyle w:val="ListBullet"/>
        <w:rPr>
          <w:lang w:eastAsia="ja-JP"/>
        </w:rPr>
      </w:pPr>
      <w:r w:rsidRPr="00A7727F">
        <w:rPr>
          <w:lang w:eastAsia="ja-JP"/>
        </w:rPr>
        <w:t>AEs of interest for the blinatumomab program were neurologic events, cytokine release syndrome, tumo</w:t>
      </w:r>
      <w:r w:rsidR="00F85729">
        <w:rPr>
          <w:lang w:eastAsia="ja-JP"/>
        </w:rPr>
        <w:t>u</w:t>
      </w:r>
      <w:r w:rsidRPr="00A7727F">
        <w:rPr>
          <w:lang w:eastAsia="ja-JP"/>
        </w:rPr>
        <w:t>r lysis syndrome, infusion reactions, elevated liver enzymes, infections, capillary leak syndrome, leukoencephalopathy, decreased immunoglobulins, venous thrombosis and thromboembolic events (including dissemin</w:t>
      </w:r>
      <w:r w:rsidR="00F85729">
        <w:rPr>
          <w:lang w:eastAsia="ja-JP"/>
        </w:rPr>
        <w:t>ated intravascular coagulation (DIC)</w:t>
      </w:r>
      <w:r w:rsidRPr="00A7727F">
        <w:rPr>
          <w:lang w:eastAsia="ja-JP"/>
        </w:rPr>
        <w:t>), cytop</w:t>
      </w:r>
      <w:r w:rsidR="00F85729">
        <w:rPr>
          <w:lang w:eastAsia="ja-JP"/>
        </w:rPr>
        <w:t>a</w:t>
      </w:r>
      <w:r w:rsidRPr="00A7727F">
        <w:rPr>
          <w:lang w:eastAsia="ja-JP"/>
        </w:rPr>
        <w:t>enias (including neutrop</w:t>
      </w:r>
      <w:r w:rsidR="00F85729">
        <w:rPr>
          <w:lang w:eastAsia="ja-JP"/>
        </w:rPr>
        <w:t>a</w:t>
      </w:r>
      <w:r w:rsidRPr="00A7727F">
        <w:rPr>
          <w:lang w:eastAsia="ja-JP"/>
        </w:rPr>
        <w:t>enia/febrile neutrop</w:t>
      </w:r>
      <w:r w:rsidR="00F85729">
        <w:rPr>
          <w:lang w:eastAsia="ja-JP"/>
        </w:rPr>
        <w:t>a</w:t>
      </w:r>
      <w:r w:rsidRPr="00A7727F">
        <w:rPr>
          <w:lang w:eastAsia="ja-JP"/>
        </w:rPr>
        <w:t>enia), and medication errors.</w:t>
      </w:r>
    </w:p>
    <w:p w14:paraId="1F88B3D5" w14:textId="413D351B" w:rsidR="00A7727F" w:rsidRPr="00A7727F" w:rsidRDefault="00A7727F" w:rsidP="00F85729">
      <w:pPr>
        <w:pStyle w:val="ListBullet"/>
        <w:rPr>
          <w:lang w:eastAsia="ja-JP"/>
        </w:rPr>
      </w:pPr>
      <w:r w:rsidRPr="00A7727F">
        <w:rPr>
          <w:lang w:eastAsia="ja-JP"/>
        </w:rPr>
        <w:t>Additionally, minimum critical toxicities (hepatotoxicity, nephrotoxicity, bone marrow toxicity, QT prolongati</w:t>
      </w:r>
      <w:r w:rsidR="00F85729">
        <w:rPr>
          <w:lang w:eastAsia="ja-JP"/>
        </w:rPr>
        <w:t>on and other electrocardiogram (ECG)</w:t>
      </w:r>
      <w:r w:rsidRPr="00A7727F">
        <w:rPr>
          <w:lang w:eastAsia="ja-JP"/>
        </w:rPr>
        <w:t xml:space="preserve"> abnormalities, and immunogenicity) were performed at baseline and at prespecified times during the study.</w:t>
      </w:r>
    </w:p>
    <w:p w14:paraId="5A67B118" w14:textId="77777777" w:rsidR="00A7727F" w:rsidRPr="00A7727F" w:rsidRDefault="00A7727F" w:rsidP="00F85729">
      <w:pPr>
        <w:pStyle w:val="Heading4"/>
      </w:pPr>
      <w:r w:rsidRPr="00A7727F">
        <w:t>Pivotal studies that assessed safety as a primary outcome</w:t>
      </w:r>
    </w:p>
    <w:p w14:paraId="5701C0D5" w14:textId="77777777" w:rsidR="00A7727F" w:rsidRPr="00A7727F" w:rsidRDefault="00A7727F" w:rsidP="00A7727F">
      <w:pPr>
        <w:rPr>
          <w:lang w:eastAsia="ja-JP"/>
        </w:rPr>
      </w:pPr>
      <w:r w:rsidRPr="00A7727F">
        <w:rPr>
          <w:lang w:eastAsia="ja-JP"/>
        </w:rPr>
        <w:t>Not applicable</w:t>
      </w:r>
    </w:p>
    <w:p w14:paraId="794F806B" w14:textId="77777777" w:rsidR="00A7727F" w:rsidRPr="00A7727F" w:rsidRDefault="00A7727F" w:rsidP="00F85729">
      <w:pPr>
        <w:pStyle w:val="Heading4"/>
      </w:pPr>
      <w:r w:rsidRPr="00A7727F">
        <w:t>Dose-response and non-pivotal efficacy studies</w:t>
      </w:r>
    </w:p>
    <w:p w14:paraId="79FE8F4A" w14:textId="77777777" w:rsidR="00A7727F" w:rsidRPr="00A7727F" w:rsidRDefault="00A7727F" w:rsidP="00A7727F">
      <w:pPr>
        <w:rPr>
          <w:lang w:eastAsia="ja-JP"/>
        </w:rPr>
      </w:pPr>
      <w:r w:rsidRPr="00A7727F">
        <w:rPr>
          <w:lang w:eastAsia="ja-JP"/>
        </w:rPr>
        <w:t>Not applicable</w:t>
      </w:r>
    </w:p>
    <w:p w14:paraId="35CC04FE" w14:textId="77777777" w:rsidR="00A7727F" w:rsidRPr="00A7727F" w:rsidRDefault="00A7727F" w:rsidP="00F85729">
      <w:pPr>
        <w:pStyle w:val="Heading4"/>
      </w:pPr>
      <w:r w:rsidRPr="00A7727F">
        <w:t>Other studies evaluable for safety only</w:t>
      </w:r>
    </w:p>
    <w:p w14:paraId="6EE84888" w14:textId="77777777" w:rsidR="00A7727F" w:rsidRPr="00A7727F" w:rsidRDefault="00A7727F" w:rsidP="00A7727F">
      <w:pPr>
        <w:rPr>
          <w:lang w:eastAsia="ja-JP"/>
        </w:rPr>
      </w:pPr>
      <w:r w:rsidRPr="00A7727F">
        <w:rPr>
          <w:lang w:eastAsia="ja-JP"/>
        </w:rPr>
        <w:t>Not applicable</w:t>
      </w:r>
    </w:p>
    <w:p w14:paraId="60337574" w14:textId="77777777" w:rsidR="00A7727F" w:rsidRPr="00A7727F" w:rsidRDefault="00A7727F" w:rsidP="00F85729">
      <w:pPr>
        <w:pStyle w:val="Heading4"/>
      </w:pPr>
      <w:r w:rsidRPr="00A7727F">
        <w:t>Clinical pharmacology studies</w:t>
      </w:r>
    </w:p>
    <w:p w14:paraId="312DBA49" w14:textId="77777777" w:rsidR="00A7727F" w:rsidRPr="00A7727F" w:rsidRDefault="00A7727F" w:rsidP="00A7727F">
      <w:pPr>
        <w:rPr>
          <w:lang w:eastAsia="ja-JP"/>
        </w:rPr>
      </w:pPr>
      <w:r w:rsidRPr="00A7727F">
        <w:rPr>
          <w:lang w:eastAsia="ja-JP"/>
        </w:rPr>
        <w:t>Not applicable</w:t>
      </w:r>
    </w:p>
    <w:p w14:paraId="42503F83" w14:textId="77777777" w:rsidR="00A7727F" w:rsidRPr="00A7727F" w:rsidRDefault="00A7727F" w:rsidP="00F85729">
      <w:pPr>
        <w:pStyle w:val="Heading4"/>
      </w:pPr>
      <w:bookmarkStart w:id="242" w:name="_Ref269204367"/>
      <w:bookmarkStart w:id="243" w:name="_Ref271195835"/>
      <w:bookmarkStart w:id="244" w:name="_Ref271195841"/>
      <w:bookmarkStart w:id="245" w:name="_Toc272414660"/>
      <w:bookmarkStart w:id="246" w:name="_Toc290846285"/>
      <w:bookmarkStart w:id="247" w:name="_Toc292015617"/>
      <w:r w:rsidRPr="00A7727F">
        <w:t>Pivotal studies that assessed safety as a primary outcome</w:t>
      </w:r>
      <w:bookmarkEnd w:id="242"/>
      <w:bookmarkEnd w:id="243"/>
      <w:bookmarkEnd w:id="244"/>
      <w:bookmarkEnd w:id="245"/>
      <w:bookmarkEnd w:id="246"/>
      <w:bookmarkEnd w:id="247"/>
    </w:p>
    <w:p w14:paraId="1BA158E3" w14:textId="77777777" w:rsidR="00A7727F" w:rsidRPr="00A7727F" w:rsidRDefault="00A7727F" w:rsidP="00A7727F">
      <w:pPr>
        <w:rPr>
          <w:lang w:eastAsia="ja-JP"/>
        </w:rPr>
      </w:pPr>
      <w:r w:rsidRPr="00A7727F">
        <w:rPr>
          <w:lang w:eastAsia="ja-JP"/>
        </w:rPr>
        <w:t>Not applicable</w:t>
      </w:r>
    </w:p>
    <w:p w14:paraId="17DBBD35" w14:textId="77777777" w:rsidR="00A7727F" w:rsidRPr="00A7727F" w:rsidRDefault="00A7727F" w:rsidP="00F85729">
      <w:pPr>
        <w:pStyle w:val="Heading3"/>
      </w:pPr>
      <w:bookmarkStart w:id="248" w:name="_Toc241374318"/>
      <w:bookmarkStart w:id="249" w:name="_Ref271196630"/>
      <w:bookmarkStart w:id="250" w:name="_Toc272414662"/>
      <w:bookmarkStart w:id="251" w:name="_Toc290846300"/>
      <w:bookmarkStart w:id="252" w:name="_Toc292015618"/>
      <w:bookmarkStart w:id="253" w:name="_Toc505762988"/>
      <w:r w:rsidRPr="00A7727F">
        <w:t>Patient exposure</w:t>
      </w:r>
      <w:bookmarkEnd w:id="248"/>
      <w:bookmarkEnd w:id="249"/>
      <w:bookmarkEnd w:id="250"/>
      <w:bookmarkEnd w:id="251"/>
      <w:bookmarkEnd w:id="252"/>
      <w:bookmarkEnd w:id="253"/>
    </w:p>
    <w:p w14:paraId="63F64B54" w14:textId="1199CE4D" w:rsidR="00A7727F" w:rsidRPr="00A7727F" w:rsidRDefault="00A7727F" w:rsidP="00A7727F">
      <w:pPr>
        <w:rPr>
          <w:lang w:eastAsia="ja-JP"/>
        </w:rPr>
      </w:pPr>
      <w:r w:rsidRPr="00A7727F">
        <w:rPr>
          <w:lang w:eastAsia="ja-JP"/>
        </w:rPr>
        <w:t xml:space="preserve">The proposed </w:t>
      </w:r>
      <w:r w:rsidR="00F37208" w:rsidRPr="00A7727F">
        <w:rPr>
          <w:lang w:eastAsia="ja-JP"/>
        </w:rPr>
        <w:t>registration</w:t>
      </w:r>
      <w:r w:rsidRPr="00A7727F">
        <w:rPr>
          <w:lang w:eastAsia="ja-JP"/>
        </w:rPr>
        <w:t xml:space="preserve"> blinatumomab dosing regimen for adult subjects with relapsed/refractory ALL is 9</w:t>
      </w:r>
      <w:r w:rsidR="00375CAE">
        <w:rPr>
          <w:lang w:eastAsia="ja-JP"/>
        </w:rPr>
        <w:t xml:space="preserve"> </w:t>
      </w:r>
      <w:r w:rsidR="0018721C">
        <w:rPr>
          <w:lang w:eastAsia="ja-JP"/>
        </w:rPr>
        <w:t>µg</w:t>
      </w:r>
      <w:r w:rsidRPr="00A7727F">
        <w:rPr>
          <w:lang w:eastAsia="ja-JP"/>
        </w:rPr>
        <w:t>/day for the first 7 days of treatment followed by 28</w:t>
      </w:r>
      <w:r w:rsidR="00375CAE">
        <w:rPr>
          <w:lang w:eastAsia="ja-JP"/>
        </w:rPr>
        <w:t xml:space="preserve"> </w:t>
      </w:r>
      <w:r w:rsidR="0018721C">
        <w:rPr>
          <w:lang w:eastAsia="ja-JP"/>
        </w:rPr>
        <w:t>µg</w:t>
      </w:r>
      <w:r w:rsidRPr="00A7727F">
        <w:rPr>
          <w:lang w:eastAsia="ja-JP"/>
        </w:rPr>
        <w:t xml:space="preserve">/day starting from </w:t>
      </w:r>
      <w:r w:rsidR="007D46D6">
        <w:rPr>
          <w:lang w:eastAsia="ja-JP"/>
        </w:rPr>
        <w:t>Week 2</w:t>
      </w:r>
      <w:r w:rsidRPr="00A7727F">
        <w:rPr>
          <w:lang w:eastAsia="ja-JP"/>
        </w:rPr>
        <w:t xml:space="preserve"> for the remaining treatment cycles. A cycle consists of blinatumomab continuous IV infusion at a constant flow rate over 4 weeks followed by a treatment</w:t>
      </w:r>
      <w:r w:rsidR="006A3B04">
        <w:rPr>
          <w:lang w:eastAsia="ja-JP"/>
        </w:rPr>
        <w:t xml:space="preserve"> free</w:t>
      </w:r>
      <w:r w:rsidRPr="00A7727F">
        <w:rPr>
          <w:lang w:eastAsia="ja-JP"/>
        </w:rPr>
        <w:t xml:space="preserve"> interval of 2 weeks. In the adult relapsed/refractory studies, subjects were to be hospital</w:t>
      </w:r>
      <w:r w:rsidR="00D50F7E">
        <w:rPr>
          <w:lang w:eastAsia="ja-JP"/>
        </w:rPr>
        <w:t>ised</w:t>
      </w:r>
      <w:r w:rsidRPr="00A7727F">
        <w:rPr>
          <w:lang w:eastAsia="ja-JP"/>
        </w:rPr>
        <w:t xml:space="preserve"> at least during the first 9 days (1 week plus 2 days following dose step) of the first cycle and the first 2 days of the following </w:t>
      </w:r>
      <w:r w:rsidR="00F85729">
        <w:rPr>
          <w:lang w:eastAsia="ja-JP"/>
        </w:rPr>
        <w:t>cycle. The hospitalis</w:t>
      </w:r>
      <w:r w:rsidRPr="00A7727F">
        <w:rPr>
          <w:lang w:eastAsia="ja-JP"/>
        </w:rPr>
        <w:t xml:space="preserve">ation time depended on the investigator’s judgment as well as the safety and tolerability of blinatumomab. For </w:t>
      </w:r>
      <w:r w:rsidR="007D46D6">
        <w:rPr>
          <w:lang w:eastAsia="ja-JP"/>
        </w:rPr>
        <w:t>Cycle 3</w:t>
      </w:r>
      <w:r w:rsidRPr="00A7727F">
        <w:rPr>
          <w:lang w:eastAsia="ja-JP"/>
        </w:rPr>
        <w:t xml:space="preserve"> and beyond, subjects were to be hospital</w:t>
      </w:r>
      <w:r w:rsidR="00D50F7E">
        <w:rPr>
          <w:lang w:eastAsia="ja-JP"/>
        </w:rPr>
        <w:t>ised</w:t>
      </w:r>
      <w:r w:rsidRPr="00A7727F">
        <w:rPr>
          <w:lang w:eastAsia="ja-JP"/>
        </w:rPr>
        <w:t xml:space="preserve"> for 8 hours of outpatient observation followed by daily outpatient follow-ups during the subsequent 2 days. If dose interruptions lasted longer than 4 hours, re-start of the infusion was to be performed in the hospital under supervision of the investigator.</w:t>
      </w:r>
    </w:p>
    <w:p w14:paraId="7AB4D4BE" w14:textId="548C214F" w:rsidR="00A7727F" w:rsidRPr="00A7727F" w:rsidRDefault="00A7727F" w:rsidP="00A7727F">
      <w:pPr>
        <w:rPr>
          <w:lang w:eastAsia="ja-JP"/>
        </w:rPr>
      </w:pPr>
      <w:r w:rsidRPr="00A7727F">
        <w:rPr>
          <w:lang w:eastAsia="ja-JP"/>
        </w:rPr>
        <w:t>Study MT103-211 was the first study that used a fixed blinatumomab dose, based on pharmacokinetic analyses that concluded BSA has no effect on blinatumomab clearance. In the other studies included in the pooled safety analyses, including Study MT103-206, dosing was based on the subject’s BSA. The fixed starting dose of 9</w:t>
      </w:r>
      <w:r w:rsidR="00375CAE">
        <w:rPr>
          <w:lang w:eastAsia="ja-JP"/>
        </w:rPr>
        <w:t xml:space="preserve"> </w:t>
      </w:r>
      <w:r w:rsidR="0018721C">
        <w:rPr>
          <w:lang w:eastAsia="ja-JP"/>
        </w:rPr>
        <w:t>µg</w:t>
      </w:r>
      <w:r w:rsidRPr="00A7727F">
        <w:rPr>
          <w:lang w:eastAsia="ja-JP"/>
        </w:rPr>
        <w:t>/day</w:t>
      </w:r>
      <w:r w:rsidR="00F37208">
        <w:rPr>
          <w:lang w:eastAsia="ja-JP"/>
        </w:rPr>
        <w:t>,</w:t>
      </w:r>
      <w:r w:rsidRPr="00A7727F">
        <w:rPr>
          <w:lang w:eastAsia="ja-JP"/>
        </w:rPr>
        <w:t xml:space="preserve"> is equivalent to 5</w:t>
      </w:r>
      <w:r w:rsidR="00F85729">
        <w:rPr>
          <w:lang w:eastAsia="ja-JP"/>
        </w:rPr>
        <w:t> </w:t>
      </w:r>
      <w:r w:rsidR="0018721C">
        <w:rPr>
          <w:lang w:eastAsia="ja-JP"/>
        </w:rPr>
        <w:t>µg</w:t>
      </w:r>
      <w:r w:rsidRPr="00A7727F">
        <w:rPr>
          <w:lang w:eastAsia="ja-JP"/>
        </w:rPr>
        <w:t>/m</w:t>
      </w:r>
      <w:r w:rsidRPr="00A7727F">
        <w:rPr>
          <w:vertAlign w:val="superscript"/>
          <w:lang w:eastAsia="ja-JP"/>
        </w:rPr>
        <w:t>2</w:t>
      </w:r>
      <w:r w:rsidRPr="00A7727F">
        <w:rPr>
          <w:lang w:eastAsia="ja-JP"/>
        </w:rPr>
        <w:t>/day for an average person with a BSA of 1.8 m</w:t>
      </w:r>
      <w:r w:rsidRPr="00A7727F">
        <w:rPr>
          <w:vertAlign w:val="superscript"/>
          <w:lang w:eastAsia="ja-JP"/>
        </w:rPr>
        <w:t>2</w:t>
      </w:r>
      <w:r w:rsidRPr="00A7727F">
        <w:rPr>
          <w:lang w:eastAsia="ja-JP"/>
        </w:rPr>
        <w:t>, and the target dose of 28</w:t>
      </w:r>
      <w:r w:rsidR="00375CAE">
        <w:rPr>
          <w:lang w:eastAsia="ja-JP"/>
        </w:rPr>
        <w:t xml:space="preserve"> </w:t>
      </w:r>
      <w:r w:rsidR="0018721C">
        <w:rPr>
          <w:lang w:eastAsia="ja-JP"/>
        </w:rPr>
        <w:t>µg</w:t>
      </w:r>
      <w:r w:rsidRPr="00A7727F">
        <w:rPr>
          <w:lang w:eastAsia="ja-JP"/>
        </w:rPr>
        <w:t>/day is equivalent to 15</w:t>
      </w:r>
      <w:r w:rsidR="0007374B">
        <w:rPr>
          <w:lang w:eastAsia="ja-JP"/>
        </w:rPr>
        <w:t>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for an average person </w:t>
      </w:r>
      <w:r w:rsidR="00F85729">
        <w:rPr>
          <w:lang w:eastAsia="ja-JP"/>
        </w:rPr>
        <w:t xml:space="preserve">with a BSA of approximately 1.8 to </w:t>
      </w:r>
      <w:r w:rsidRPr="00A7727F">
        <w:rPr>
          <w:lang w:eastAsia="ja-JP"/>
        </w:rPr>
        <w:t>1.9 m</w:t>
      </w:r>
      <w:r w:rsidRPr="00A7727F">
        <w:rPr>
          <w:vertAlign w:val="superscript"/>
          <w:lang w:eastAsia="ja-JP"/>
        </w:rPr>
        <w:t>2</w:t>
      </w:r>
      <w:r w:rsidRPr="00A7727F">
        <w:rPr>
          <w:lang w:eastAsia="ja-JP"/>
        </w:rPr>
        <w:t>.</w:t>
      </w:r>
    </w:p>
    <w:p w14:paraId="06526733" w14:textId="10AD33A1" w:rsidR="00A7727F" w:rsidRPr="00A7727F" w:rsidRDefault="00A7727F" w:rsidP="00A7727F">
      <w:pPr>
        <w:rPr>
          <w:lang w:eastAsia="ja-JP"/>
        </w:rPr>
      </w:pPr>
      <w:r w:rsidRPr="00A7727F">
        <w:rPr>
          <w:lang w:eastAsia="ja-JP"/>
        </w:rPr>
        <w:t>In the adult relapsed/refractory population, 225 subjects (189 in Study MT103-211 and 36 in Study MT103-206) were exposed to blinatumomab. The median exposure duration (range) was 42.2 days (1.2 to 150.1 days) in Study MT103-211, and 55.6 days (24.2 to 77.3 days) across dose groups in Study MT103-206. The longest median duration of exposure was 75.2 days (6 subjects) in the 5/15/30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/day dose group in Study MT103-206.</w:t>
      </w:r>
    </w:p>
    <w:p w14:paraId="224DD1D7" w14:textId="77777777" w:rsidR="00A7727F" w:rsidRPr="00A7727F" w:rsidRDefault="00A7727F" w:rsidP="00A7727F">
      <w:pPr>
        <w:rPr>
          <w:lang w:eastAsia="ja-JP"/>
        </w:rPr>
      </w:pPr>
      <w:r w:rsidRPr="00A7727F">
        <w:rPr>
          <w:lang w:eastAsia="ja-JP"/>
        </w:rPr>
        <w:t>Of the 225 subjects in the adult relapsed/refractory ALL population, 70.4% (133/189) of subjects in Study MT103-211 and 69.4% (25/36) of subjects in Study MT103-206 started and completed at least 1 cycle of treatment. In Study MT103-211, the mean number of started treatment cycles was 2.0 (SD 1.2) and the mean number of completed treatment cycles was 1.4 (SD 1.4). In Study MT103-206 the mean number of started treatment cycles was 2.5 (SD 1.7), and the mean number of completed cycles was 1.6 (SD 1.5).</w:t>
      </w:r>
    </w:p>
    <w:p w14:paraId="1E77F56E" w14:textId="14DB3EF1" w:rsidR="00A7727F" w:rsidRPr="00A7727F" w:rsidRDefault="00A7727F" w:rsidP="00A7727F">
      <w:pPr>
        <w:rPr>
          <w:lang w:eastAsia="ja-JP"/>
        </w:rPr>
      </w:pPr>
      <w:r w:rsidRPr="00A7727F">
        <w:rPr>
          <w:lang w:eastAsia="ja-JP"/>
        </w:rPr>
        <w:t>In the program-wide pooled population, 475 subjects were treated with blinatumomab at doses ranging from 0.5 to 90</w:t>
      </w:r>
      <w:r w:rsidR="00375CAE">
        <w:rPr>
          <w:lang w:eastAsia="ja-JP"/>
        </w:rPr>
        <w:t xml:space="preserve"> </w:t>
      </w:r>
      <w:r w:rsidR="0018721C">
        <w:rPr>
          <w:lang w:eastAsia="ja-JP"/>
        </w:rPr>
        <w:t>µg</w:t>
      </w:r>
      <w:r w:rsidRPr="00A7727F">
        <w:rPr>
          <w:lang w:eastAsia="ja-JP"/>
        </w:rPr>
        <w:t>/m</w:t>
      </w:r>
      <w:r w:rsidRPr="00A7727F">
        <w:rPr>
          <w:vertAlign w:val="superscript"/>
          <w:lang w:eastAsia="ja-JP"/>
        </w:rPr>
        <w:t>2</w:t>
      </w:r>
      <w:r w:rsidRPr="00A7727F">
        <w:rPr>
          <w:lang w:eastAsia="ja-JP"/>
        </w:rPr>
        <w:t xml:space="preserve">/day, including 436 subjects treated with the proposed </w:t>
      </w:r>
      <w:r w:rsidR="00F37208" w:rsidRPr="00A7727F">
        <w:rPr>
          <w:lang w:eastAsia="ja-JP"/>
        </w:rPr>
        <w:t>registration</w:t>
      </w:r>
      <w:r w:rsidRPr="00A7727F">
        <w:rPr>
          <w:lang w:eastAsia="ja-JP"/>
        </w:rPr>
        <w:t xml:space="preserve"> target dose of 28</w:t>
      </w:r>
      <w:r w:rsidR="00375CAE">
        <w:rPr>
          <w:lang w:eastAsia="ja-JP"/>
        </w:rPr>
        <w:t xml:space="preserve"> </w:t>
      </w:r>
      <w:r w:rsidR="0018721C">
        <w:rPr>
          <w:lang w:eastAsia="ja-JP"/>
        </w:rPr>
        <w:t>µg</w:t>
      </w:r>
      <w:r w:rsidRPr="00A7727F">
        <w:rPr>
          <w:lang w:eastAsia="ja-JP"/>
        </w:rPr>
        <w:t>/day or the approximately equivalent target dose of 15</w:t>
      </w:r>
      <w:r w:rsidR="0007374B">
        <w:rPr>
          <w:lang w:eastAsia="ja-JP"/>
        </w:rPr>
        <w:t> </w:t>
      </w:r>
      <w:r w:rsidR="0018721C">
        <w:rPr>
          <w:lang w:eastAsia="ja-JP"/>
        </w:rPr>
        <w:t>µg</w:t>
      </w:r>
      <w:r w:rsidRPr="00A7727F">
        <w:rPr>
          <w:lang w:eastAsia="ja-JP"/>
        </w:rPr>
        <w:t>/m</w:t>
      </w:r>
      <w:r w:rsidRPr="00A7727F">
        <w:rPr>
          <w:vertAlign w:val="superscript"/>
          <w:lang w:eastAsia="ja-JP"/>
        </w:rPr>
        <w:t>2</w:t>
      </w:r>
      <w:r w:rsidRPr="00A7727F">
        <w:rPr>
          <w:lang w:eastAsia="ja-JP"/>
        </w:rPr>
        <w:t>/day.</w:t>
      </w:r>
    </w:p>
    <w:p w14:paraId="7B0F4C02" w14:textId="77777777" w:rsidR="00A7727F" w:rsidRPr="00A7727F" w:rsidRDefault="00A7727F" w:rsidP="009B7A8E">
      <w:pPr>
        <w:pStyle w:val="Heading3"/>
      </w:pPr>
      <w:bookmarkStart w:id="254" w:name="_Toc241374319"/>
      <w:bookmarkStart w:id="255" w:name="_Ref271044764"/>
      <w:bookmarkStart w:id="256" w:name="_Toc272414663"/>
      <w:bookmarkStart w:id="257" w:name="_Toc290846301"/>
      <w:bookmarkStart w:id="258" w:name="_Toc292015619"/>
      <w:bookmarkStart w:id="259" w:name="_Toc505762989"/>
      <w:r w:rsidRPr="00A7727F">
        <w:t>Adverse events</w:t>
      </w:r>
      <w:bookmarkEnd w:id="254"/>
      <w:bookmarkEnd w:id="255"/>
      <w:bookmarkEnd w:id="256"/>
      <w:bookmarkEnd w:id="257"/>
      <w:bookmarkEnd w:id="258"/>
      <w:bookmarkEnd w:id="259"/>
    </w:p>
    <w:p w14:paraId="14E3DAC5" w14:textId="77777777" w:rsidR="00A7727F" w:rsidRPr="00A7727F" w:rsidRDefault="00A7727F" w:rsidP="009B7A8E">
      <w:pPr>
        <w:pStyle w:val="Heading4"/>
      </w:pPr>
      <w:bookmarkStart w:id="260" w:name="_Ref272317284"/>
      <w:bookmarkStart w:id="261" w:name="_Ref272333565"/>
      <w:bookmarkStart w:id="262" w:name="_Toc272414664"/>
      <w:bookmarkStart w:id="263" w:name="_Toc290846302"/>
      <w:bookmarkStart w:id="264" w:name="_Toc292015620"/>
      <w:r w:rsidRPr="00A7727F">
        <w:t>All adverse</w:t>
      </w:r>
      <w:r w:rsidRPr="009B7A8E">
        <w:t xml:space="preserve"> </w:t>
      </w:r>
      <w:r w:rsidRPr="00A7727F">
        <w:t>events (irrespective of relationship to study treatment)</w:t>
      </w:r>
      <w:bookmarkEnd w:id="260"/>
      <w:bookmarkEnd w:id="261"/>
      <w:bookmarkEnd w:id="262"/>
      <w:bookmarkEnd w:id="263"/>
      <w:bookmarkEnd w:id="264"/>
    </w:p>
    <w:p w14:paraId="044C7CBB" w14:textId="77777777" w:rsidR="00A7727F" w:rsidRPr="00A7727F" w:rsidRDefault="00A7727F" w:rsidP="00B30446">
      <w:pPr>
        <w:pStyle w:val="Heading5"/>
        <w:rPr>
          <w:lang w:eastAsia="ja-JP"/>
        </w:rPr>
      </w:pPr>
      <w:r w:rsidRPr="00A7727F">
        <w:rPr>
          <w:lang w:eastAsia="ja-JP"/>
        </w:rPr>
        <w:t>Pivotal studies</w:t>
      </w:r>
    </w:p>
    <w:p w14:paraId="0559B827" w14:textId="3C9F17D9" w:rsidR="00A7727F" w:rsidRPr="00A7727F" w:rsidRDefault="00A7727F" w:rsidP="00A7727F">
      <w:pPr>
        <w:rPr>
          <w:lang w:eastAsia="ja-JP"/>
        </w:rPr>
      </w:pPr>
      <w:r w:rsidRPr="00CD2DA9">
        <w:rPr>
          <w:lang w:eastAsia="ja-JP"/>
        </w:rPr>
        <w:t xml:space="preserve">Table </w:t>
      </w:r>
      <w:r w:rsidR="003D3C3C">
        <w:rPr>
          <w:lang w:eastAsia="ja-JP"/>
        </w:rPr>
        <w:t>37 (shown) below</w:t>
      </w:r>
      <w:r w:rsidRPr="00A7727F">
        <w:rPr>
          <w:lang w:eastAsia="ja-JP"/>
        </w:rPr>
        <w:t xml:space="preserve"> provides an overview of the incidence of adverse events for the adult relapsed/refractory ALL population. Almost all subjects experienced at least 1 adverse event; the majority of subjects experienced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adverse events, 64.9% of subjects experienced serious adverse events, and 19.6% of subjects permanently discontinued study treatment due to adverse events. Fatal adverse events (that were treatment emergent and occurred up to 30 days after the last dose) were reported for 34 subjects; all but 1 fatal adverse event occurred in the setting of active disease. One subject who was in remission induced by blinatumomab died due to infection/septic shock following allogeneic HSCT. The most common fatal adverse events included sepsis, disease progression, and pneumonia. None of the deaths were due to adverse events that would be unanticipated in patients </w:t>
      </w:r>
      <w:r w:rsidR="00F37208">
        <w:rPr>
          <w:lang w:eastAsia="ja-JP"/>
        </w:rPr>
        <w:t>with haematologic malignancies.</w:t>
      </w:r>
    </w:p>
    <w:p w14:paraId="5DFA55B5" w14:textId="77777777" w:rsidR="00A7727F" w:rsidRPr="00A7727F" w:rsidRDefault="00A7727F" w:rsidP="00A7727F">
      <w:pPr>
        <w:rPr>
          <w:lang w:eastAsia="ja-JP"/>
        </w:rPr>
      </w:pPr>
      <w:r w:rsidRPr="00A7727F">
        <w:rPr>
          <w:lang w:eastAsia="ja-JP"/>
        </w:rPr>
        <w:t>Overall, the overview of adverse event data was consistent across indications in the program-wide pooled population.</w:t>
      </w:r>
    </w:p>
    <w:p w14:paraId="67B6DAAA" w14:textId="77777777" w:rsidR="00A7727F" w:rsidRPr="00A7727F" w:rsidRDefault="00A7727F" w:rsidP="00B30446">
      <w:pPr>
        <w:pStyle w:val="Heading5"/>
        <w:rPr>
          <w:lang w:eastAsia="ja-JP"/>
        </w:rPr>
      </w:pPr>
      <w:r w:rsidRPr="00A7727F">
        <w:rPr>
          <w:lang w:eastAsia="ja-JP"/>
        </w:rPr>
        <w:t>Other studies</w:t>
      </w:r>
    </w:p>
    <w:p w14:paraId="56858277" w14:textId="3C88B63B" w:rsidR="00B30446" w:rsidRDefault="00A7727F" w:rsidP="00A7727F">
      <w:pPr>
        <w:rPr>
          <w:lang w:eastAsia="ja-JP"/>
        </w:rPr>
      </w:pPr>
      <w:r w:rsidRPr="00A7727F">
        <w:rPr>
          <w:lang w:eastAsia="ja-JP"/>
        </w:rPr>
        <w:t>Pooled analyses of the program-wide pooled population consisted of 475 subjects treated at various dose levels of blinatumomab in 7 ongoing and completed studies: 225 subjects in the Studies MT103-211 and MT103-206, 41 p</w:t>
      </w:r>
      <w:r w:rsidR="00B30446">
        <w:rPr>
          <w:lang w:eastAsia="ja-JP"/>
        </w:rPr>
        <w:t>a</w:t>
      </w:r>
      <w:r w:rsidRPr="00A7727F">
        <w:rPr>
          <w:lang w:eastAsia="ja-JP"/>
        </w:rPr>
        <w:t xml:space="preserve">ediatric subjects with relapsed/refractory ALL in Study MT103-205, 114 subjects with </w:t>
      </w:r>
      <w:r w:rsidR="00803B89">
        <w:rPr>
          <w:lang w:eastAsia="ja-JP"/>
        </w:rPr>
        <w:t xml:space="preserve">MRD </w:t>
      </w:r>
      <w:r w:rsidRPr="00A7727F">
        <w:rPr>
          <w:lang w:eastAsia="ja-JP"/>
        </w:rPr>
        <w:t>positive ALL in Studies MT103-202 (N</w:t>
      </w:r>
      <w:r w:rsidR="00375CAE">
        <w:rPr>
          <w:lang w:eastAsia="ja-JP"/>
        </w:rPr>
        <w:t xml:space="preserve"> </w:t>
      </w:r>
      <w:r w:rsidR="00423768">
        <w:rPr>
          <w:lang w:eastAsia="ja-JP"/>
        </w:rPr>
        <w:t>=</w:t>
      </w:r>
      <w:r w:rsidR="00375CAE">
        <w:rPr>
          <w:lang w:eastAsia="ja-JP"/>
        </w:rPr>
        <w:t xml:space="preserve"> </w:t>
      </w:r>
      <w:r w:rsidRPr="00A7727F">
        <w:rPr>
          <w:lang w:eastAsia="ja-JP"/>
        </w:rPr>
        <w:t>21) and MT103-203 (N</w:t>
      </w:r>
      <w:r w:rsidR="00375CAE">
        <w:rPr>
          <w:lang w:eastAsia="ja-JP"/>
        </w:rPr>
        <w:t xml:space="preserve"> </w:t>
      </w:r>
      <w:r w:rsidR="00423768">
        <w:rPr>
          <w:lang w:eastAsia="ja-JP"/>
        </w:rPr>
        <w:t>=</w:t>
      </w:r>
      <w:r w:rsidR="00375CAE">
        <w:rPr>
          <w:lang w:eastAsia="ja-JP"/>
        </w:rPr>
        <w:t xml:space="preserve"> </w:t>
      </w:r>
      <w:r w:rsidRPr="00A7727F">
        <w:rPr>
          <w:lang w:eastAsia="ja-JP"/>
        </w:rPr>
        <w:t>93), and 95 subjects with relapsed/refractory NHL in Studies MT103-104 (N</w:t>
      </w:r>
      <w:r w:rsidR="00CD2DA9">
        <w:rPr>
          <w:lang w:eastAsia="ja-JP"/>
        </w:rPr>
        <w:t> </w:t>
      </w:r>
      <w:r w:rsidR="00423768">
        <w:rPr>
          <w:lang w:eastAsia="ja-JP"/>
        </w:rPr>
        <w:t>=</w:t>
      </w:r>
      <w:r w:rsidR="00CD2DA9">
        <w:rPr>
          <w:lang w:eastAsia="ja-JP"/>
        </w:rPr>
        <w:t> </w:t>
      </w:r>
      <w:r w:rsidRPr="00A7727F">
        <w:rPr>
          <w:lang w:eastAsia="ja-JP"/>
        </w:rPr>
        <w:t>76) and MT103-208 (N</w:t>
      </w:r>
      <w:r w:rsidR="00375CAE">
        <w:rPr>
          <w:lang w:eastAsia="ja-JP"/>
        </w:rPr>
        <w:t xml:space="preserve"> </w:t>
      </w:r>
      <w:r w:rsidR="00423768">
        <w:rPr>
          <w:lang w:eastAsia="ja-JP"/>
        </w:rPr>
        <w:t>=</w:t>
      </w:r>
      <w:r w:rsidR="00375CAE">
        <w:rPr>
          <w:lang w:eastAsia="ja-JP"/>
        </w:rPr>
        <w:t xml:space="preserve"> </w:t>
      </w:r>
      <w:r w:rsidRPr="00A7727F">
        <w:rPr>
          <w:lang w:eastAsia="ja-JP"/>
        </w:rPr>
        <w:t>19). In addition, serious adverse event data were evaluated for recently initiated</w:t>
      </w:r>
      <w:r w:rsidR="00B30446">
        <w:rPr>
          <w:lang w:eastAsia="ja-JP"/>
        </w:rPr>
        <w:t xml:space="preserve"> Studies 20120216 and 00103311.</w:t>
      </w:r>
      <w:bookmarkStart w:id="265" w:name="_Toc292015720"/>
    </w:p>
    <w:p w14:paraId="443683E7" w14:textId="6642399D" w:rsidR="00A7727F" w:rsidRPr="00A7727F" w:rsidRDefault="00A7727F" w:rsidP="00B30446">
      <w:pPr>
        <w:pStyle w:val="Tabletitle"/>
        <w:rPr>
          <w:lang w:eastAsia="ja-JP"/>
        </w:rPr>
      </w:pPr>
      <w:r w:rsidRPr="00A7727F">
        <w:rPr>
          <w:lang w:eastAsia="ja-JP"/>
        </w:rPr>
        <w:t xml:space="preserve">Table </w:t>
      </w:r>
      <w:r w:rsidR="00F37208">
        <w:rPr>
          <w:lang w:eastAsia="ja-JP"/>
        </w:rPr>
        <w:t>37:</w:t>
      </w:r>
      <w:r w:rsidR="00B30446">
        <w:rPr>
          <w:lang w:eastAsia="ja-JP"/>
        </w:rPr>
        <w:t xml:space="preserve"> Summary of subject i</w:t>
      </w:r>
      <w:r w:rsidRPr="00A7727F">
        <w:rPr>
          <w:lang w:eastAsia="ja-JP"/>
        </w:rPr>
        <w:t xml:space="preserve">ncidence of </w:t>
      </w:r>
      <w:r w:rsidR="00B30446">
        <w:rPr>
          <w:lang w:eastAsia="ja-JP"/>
        </w:rPr>
        <w:t>treatment emergent adverse events; adult relapsed/refractory ALL Studies (Full analysis s</w:t>
      </w:r>
      <w:r w:rsidRPr="00A7727F">
        <w:rPr>
          <w:lang w:eastAsia="ja-JP"/>
        </w:rPr>
        <w:t>et)</w:t>
      </w:r>
      <w:bookmarkEnd w:id="265"/>
    </w:p>
    <w:tbl>
      <w:tblPr>
        <w:tblStyle w:val="TableTGAblue"/>
        <w:tblW w:w="4810" w:type="pct"/>
        <w:tblLook w:val="04A0" w:firstRow="1" w:lastRow="0" w:firstColumn="1" w:lastColumn="0" w:noHBand="0" w:noVBand="1"/>
        <w:tblDescription w:val="Table 37: Summary of subject incidence of treatment emergent adverse events; adult relapsed/refractory ALL Studies (Full analysis set)"/>
      </w:tblPr>
      <w:tblGrid>
        <w:gridCol w:w="2393"/>
        <w:gridCol w:w="1281"/>
        <w:gridCol w:w="1018"/>
        <w:gridCol w:w="1114"/>
        <w:gridCol w:w="1208"/>
        <w:gridCol w:w="959"/>
        <w:gridCol w:w="918"/>
      </w:tblGrid>
      <w:tr w:rsidR="00F05046" w:rsidRPr="00A7727F" w14:paraId="2CBE9DAE" w14:textId="77777777" w:rsidTr="00F37208">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1362" w:type="pct"/>
            <w:vMerge w:val="restart"/>
            <w:tcBorders>
              <w:right w:val="single" w:sz="4" w:space="0" w:color="auto"/>
            </w:tcBorders>
          </w:tcPr>
          <w:p w14:paraId="7A6F0A68" w14:textId="77777777" w:rsidR="009E1825" w:rsidRPr="00A7727F" w:rsidRDefault="009E1825" w:rsidP="00B30446">
            <w:pPr>
              <w:ind w:left="0"/>
              <w:rPr>
                <w:lang w:eastAsia="ja-JP"/>
              </w:rPr>
            </w:pPr>
          </w:p>
        </w:tc>
        <w:tc>
          <w:tcPr>
            <w:tcW w:w="736" w:type="pct"/>
            <w:tcBorders>
              <w:left w:val="single" w:sz="4" w:space="0" w:color="auto"/>
              <w:bottom w:val="nil"/>
              <w:right w:val="single" w:sz="4" w:space="0" w:color="auto"/>
            </w:tcBorders>
          </w:tcPr>
          <w:p w14:paraId="10EF41A7" w14:textId="77777777" w:rsidR="009E1825" w:rsidRPr="00A7727F" w:rsidRDefault="009E1825" w:rsidP="00B30446">
            <w:pPr>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MT103-211</w:t>
            </w:r>
          </w:p>
        </w:tc>
        <w:tc>
          <w:tcPr>
            <w:tcW w:w="2411" w:type="pct"/>
            <w:gridSpan w:val="4"/>
            <w:tcBorders>
              <w:left w:val="single" w:sz="4" w:space="0" w:color="auto"/>
              <w:right w:val="single" w:sz="4" w:space="0" w:color="auto"/>
            </w:tcBorders>
          </w:tcPr>
          <w:p w14:paraId="45B65F89" w14:textId="77777777" w:rsidR="009E1825" w:rsidRPr="00A7727F" w:rsidRDefault="009E1825" w:rsidP="00B30446">
            <w:pPr>
              <w:ind w:left="0"/>
              <w:cnfStyle w:val="100000000000" w:firstRow="1" w:lastRow="0" w:firstColumn="0" w:lastColumn="0" w:oddVBand="0" w:evenVBand="0" w:oddHBand="0" w:evenHBand="0" w:firstRowFirstColumn="0" w:firstRowLastColumn="0" w:lastRowFirstColumn="0" w:lastRowLastColumn="0"/>
              <w:rPr>
                <w:lang w:eastAsia="ja-JP"/>
              </w:rPr>
            </w:pPr>
            <w:r w:rsidRPr="00A7727F">
              <w:rPr>
                <w:lang w:eastAsia="ja-JP"/>
              </w:rPr>
              <w:t>MT103-206</w:t>
            </w:r>
          </w:p>
        </w:tc>
        <w:tc>
          <w:tcPr>
            <w:tcW w:w="491" w:type="pct"/>
            <w:vMerge w:val="restart"/>
            <w:tcBorders>
              <w:left w:val="single" w:sz="4" w:space="0" w:color="auto"/>
            </w:tcBorders>
          </w:tcPr>
          <w:p w14:paraId="18AE0327" w14:textId="77777777" w:rsidR="009E1825" w:rsidRPr="00A7727F" w:rsidRDefault="009E1825" w:rsidP="00B30446">
            <w:pPr>
              <w:ind w:left="0"/>
              <w:cnfStyle w:val="100000000000" w:firstRow="1" w:lastRow="0" w:firstColumn="0" w:lastColumn="0" w:oddVBand="0" w:evenVBand="0" w:oddHBand="0" w:evenHBand="0" w:firstRowFirstColumn="0" w:firstRowLastColumn="0" w:lastRowFirstColumn="0" w:lastRowLastColumn="0"/>
              <w:rPr>
                <w:b w:val="0"/>
                <w:lang w:eastAsia="ja-JP"/>
              </w:rPr>
            </w:pPr>
            <w:r w:rsidRPr="00A7727F">
              <w:rPr>
                <w:lang w:eastAsia="ja-JP"/>
              </w:rPr>
              <w:t>Total</w:t>
            </w:r>
          </w:p>
          <w:p w14:paraId="007BE9A2" w14:textId="66BBB1DA" w:rsidR="009E1825" w:rsidRPr="00A7727F" w:rsidRDefault="009E1825" w:rsidP="00B30446">
            <w:pPr>
              <w:ind w:left="0"/>
              <w:cnfStyle w:val="100000000000" w:firstRow="1" w:lastRow="0" w:firstColumn="0" w:lastColumn="0" w:oddVBand="0" w:evenVBand="0" w:oddHBand="0" w:evenHBand="0" w:firstRowFirstColumn="0" w:firstRowLastColumn="0" w:lastRowFirstColumn="0" w:lastRowLastColumn="0"/>
              <w:rPr>
                <w:lang w:eastAsia="ja-JP"/>
              </w:rPr>
            </w:pPr>
            <w:r w:rsidRPr="00F05046">
              <w:rPr>
                <w:sz w:val="18"/>
                <w:lang w:eastAsia="ja-JP"/>
              </w:rPr>
              <w:t>(N = 225)</w:t>
            </w:r>
          </w:p>
        </w:tc>
      </w:tr>
      <w:tr w:rsidR="00F05046" w:rsidRPr="00A7727F" w14:paraId="2A34E4BA" w14:textId="77777777" w:rsidTr="00F37208">
        <w:trPr>
          <w:cnfStyle w:val="100000000000" w:firstRow="1" w:lastRow="0" w:firstColumn="0" w:lastColumn="0" w:oddVBand="0" w:evenVBand="0" w:oddHBand="0" w:evenHBand="0" w:firstRowFirstColumn="0" w:firstRowLastColumn="0" w:lastRowFirstColumn="0" w:lastRowLastColumn="0"/>
          <w:trHeight w:val="936"/>
          <w:tblHeader/>
        </w:trPr>
        <w:tc>
          <w:tcPr>
            <w:cnfStyle w:val="001000000000" w:firstRow="0" w:lastRow="0" w:firstColumn="1" w:lastColumn="0" w:oddVBand="0" w:evenVBand="0" w:oddHBand="0" w:evenHBand="0" w:firstRowFirstColumn="0" w:firstRowLastColumn="0" w:lastRowFirstColumn="0" w:lastRowLastColumn="0"/>
            <w:tcW w:w="1362" w:type="pct"/>
            <w:vMerge/>
            <w:tcBorders>
              <w:bottom w:val="single" w:sz="8" w:space="0" w:color="000000"/>
              <w:right w:val="single" w:sz="4" w:space="0" w:color="auto"/>
            </w:tcBorders>
          </w:tcPr>
          <w:p w14:paraId="27B3EE09" w14:textId="77777777" w:rsidR="009E1825" w:rsidRPr="00B30446" w:rsidRDefault="009E1825" w:rsidP="00B30446">
            <w:pPr>
              <w:ind w:left="0" w:right="0"/>
              <w:rPr>
                <w:sz w:val="20"/>
                <w:lang w:eastAsia="ja-JP"/>
              </w:rPr>
            </w:pPr>
          </w:p>
        </w:tc>
        <w:tc>
          <w:tcPr>
            <w:tcW w:w="736" w:type="pct"/>
            <w:tcBorders>
              <w:top w:val="nil"/>
              <w:left w:val="single" w:sz="4" w:space="0" w:color="auto"/>
              <w:bottom w:val="single" w:sz="8" w:space="0" w:color="000000"/>
              <w:right w:val="single" w:sz="4" w:space="0" w:color="auto"/>
            </w:tcBorders>
          </w:tcPr>
          <w:p w14:paraId="3CBF9BBC" w14:textId="1FC9DAD6" w:rsidR="009E1825" w:rsidRPr="00B30446"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B30446">
              <w:rPr>
                <w:sz w:val="20"/>
                <w:lang w:eastAsia="ja-JP"/>
              </w:rPr>
              <w:t>9/28 µg</w:t>
            </w:r>
            <w:r>
              <w:rPr>
                <w:sz w:val="20"/>
                <w:lang w:eastAsia="ja-JP"/>
              </w:rPr>
              <w:t>/d</w:t>
            </w:r>
            <w:r w:rsidR="00F05046">
              <w:rPr>
                <w:sz w:val="20"/>
                <w:lang w:eastAsia="ja-JP"/>
              </w:rPr>
              <w:t xml:space="preserve"> </w:t>
            </w:r>
            <w:r w:rsidRPr="00B30446">
              <w:rPr>
                <w:sz w:val="20"/>
                <w:lang w:eastAsia="ja-JP"/>
              </w:rPr>
              <w:t>(N = 189)</w:t>
            </w:r>
          </w:p>
        </w:tc>
        <w:tc>
          <w:tcPr>
            <w:tcW w:w="561" w:type="pct"/>
            <w:tcBorders>
              <w:left w:val="single" w:sz="4" w:space="0" w:color="auto"/>
              <w:right w:val="single" w:sz="4" w:space="0" w:color="auto"/>
            </w:tcBorders>
          </w:tcPr>
          <w:p w14:paraId="03C67F30" w14:textId="77777777" w:rsidR="009E1825"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B30446">
              <w:rPr>
                <w:sz w:val="20"/>
                <w:lang w:eastAsia="ja-JP"/>
              </w:rPr>
              <w:t>15 µg</w:t>
            </w:r>
            <w:r>
              <w:rPr>
                <w:sz w:val="20"/>
                <w:lang w:eastAsia="ja-JP"/>
              </w:rPr>
              <w:t>/m</w:t>
            </w:r>
            <w:r w:rsidRPr="00B30446">
              <w:rPr>
                <w:sz w:val="20"/>
                <w:vertAlign w:val="superscript"/>
                <w:lang w:eastAsia="ja-JP"/>
              </w:rPr>
              <w:t>2</w:t>
            </w:r>
            <w:r>
              <w:rPr>
                <w:sz w:val="20"/>
                <w:lang w:eastAsia="ja-JP"/>
              </w:rPr>
              <w:t>/d</w:t>
            </w:r>
          </w:p>
          <w:p w14:paraId="1DC64FEE" w14:textId="374C4381" w:rsidR="009E1825" w:rsidRPr="00B30446"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B30446">
              <w:rPr>
                <w:sz w:val="20"/>
                <w:lang w:eastAsia="ja-JP"/>
              </w:rPr>
              <w:t>(N = 7)</w:t>
            </w:r>
          </w:p>
        </w:tc>
        <w:tc>
          <w:tcPr>
            <w:tcW w:w="642" w:type="pct"/>
            <w:tcBorders>
              <w:left w:val="single" w:sz="4" w:space="0" w:color="auto"/>
              <w:right w:val="single" w:sz="4" w:space="0" w:color="auto"/>
            </w:tcBorders>
          </w:tcPr>
          <w:p w14:paraId="5BF52A56" w14:textId="0D22EFEC" w:rsidR="009E1825" w:rsidRPr="00B30446"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B30446">
              <w:rPr>
                <w:sz w:val="20"/>
                <w:lang w:eastAsia="ja-JP"/>
              </w:rPr>
              <w:t>5/15 µg</w:t>
            </w:r>
            <w:r>
              <w:rPr>
                <w:sz w:val="20"/>
                <w:lang w:eastAsia="ja-JP"/>
              </w:rPr>
              <w:t>/</w:t>
            </w:r>
            <w:r w:rsidR="00586C19" w:rsidRPr="00F31F9F">
              <w:rPr>
                <w:lang w:eastAsia="ja-JP"/>
              </w:rPr>
              <w:t>m</w:t>
            </w:r>
            <w:r w:rsidR="00586C19" w:rsidRPr="00586C19">
              <w:rPr>
                <w:vertAlign w:val="superscript"/>
                <w:lang w:eastAsia="ja-JP"/>
              </w:rPr>
              <w:t>2</w:t>
            </w:r>
            <w:r>
              <w:rPr>
                <w:sz w:val="20"/>
                <w:lang w:eastAsia="ja-JP"/>
              </w:rPr>
              <w:t>/d</w:t>
            </w:r>
            <w:r w:rsidR="00F05046">
              <w:rPr>
                <w:sz w:val="20"/>
                <w:lang w:eastAsia="ja-JP"/>
              </w:rPr>
              <w:t xml:space="preserve"> </w:t>
            </w:r>
            <w:r w:rsidRPr="00B30446">
              <w:rPr>
                <w:sz w:val="20"/>
                <w:lang w:eastAsia="ja-JP"/>
              </w:rPr>
              <w:t>(N</w:t>
            </w:r>
            <w:r w:rsidR="00F05046">
              <w:rPr>
                <w:sz w:val="20"/>
                <w:lang w:eastAsia="ja-JP"/>
              </w:rPr>
              <w:t> </w:t>
            </w:r>
            <w:r w:rsidRPr="00B30446">
              <w:rPr>
                <w:sz w:val="20"/>
                <w:lang w:eastAsia="ja-JP"/>
              </w:rPr>
              <w:t>=</w:t>
            </w:r>
            <w:r w:rsidR="00F05046">
              <w:rPr>
                <w:sz w:val="20"/>
                <w:lang w:eastAsia="ja-JP"/>
              </w:rPr>
              <w:t> </w:t>
            </w:r>
            <w:r w:rsidRPr="00B30446">
              <w:rPr>
                <w:sz w:val="20"/>
                <w:lang w:eastAsia="ja-JP"/>
              </w:rPr>
              <w:t>23)</w:t>
            </w:r>
          </w:p>
        </w:tc>
        <w:tc>
          <w:tcPr>
            <w:tcW w:w="695" w:type="pct"/>
            <w:tcBorders>
              <w:left w:val="single" w:sz="4" w:space="0" w:color="auto"/>
              <w:right w:val="single" w:sz="4" w:space="0" w:color="auto"/>
            </w:tcBorders>
          </w:tcPr>
          <w:p w14:paraId="67660D04" w14:textId="7862EFEC" w:rsidR="009E1825" w:rsidRPr="00B30446"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sidRPr="00B30446">
              <w:rPr>
                <w:sz w:val="20"/>
                <w:lang w:eastAsia="ja-JP"/>
              </w:rPr>
              <w:t>5/15/30 µg/m</w:t>
            </w:r>
            <w:r w:rsidRPr="00B30446">
              <w:rPr>
                <w:sz w:val="20"/>
                <w:vertAlign w:val="superscript"/>
                <w:lang w:eastAsia="ja-JP"/>
              </w:rPr>
              <w:t>2</w:t>
            </w:r>
            <w:r>
              <w:rPr>
                <w:sz w:val="20"/>
                <w:lang w:eastAsia="ja-JP"/>
              </w:rPr>
              <w:t>/d</w:t>
            </w:r>
            <w:r w:rsidR="00F05046">
              <w:rPr>
                <w:sz w:val="20"/>
                <w:lang w:eastAsia="ja-JP"/>
              </w:rPr>
              <w:t xml:space="preserve"> </w:t>
            </w:r>
            <w:r w:rsidRPr="00B30446">
              <w:rPr>
                <w:sz w:val="20"/>
                <w:lang w:eastAsia="ja-JP"/>
              </w:rPr>
              <w:t>(N</w:t>
            </w:r>
            <w:r w:rsidR="00F05046">
              <w:rPr>
                <w:sz w:val="20"/>
                <w:lang w:eastAsia="ja-JP"/>
              </w:rPr>
              <w:t> </w:t>
            </w:r>
            <w:r w:rsidRPr="00B30446">
              <w:rPr>
                <w:sz w:val="20"/>
                <w:lang w:eastAsia="ja-JP"/>
              </w:rPr>
              <w:t>= 6)</w:t>
            </w:r>
          </w:p>
        </w:tc>
        <w:tc>
          <w:tcPr>
            <w:tcW w:w="513" w:type="pct"/>
            <w:tcBorders>
              <w:left w:val="single" w:sz="4" w:space="0" w:color="auto"/>
              <w:right w:val="single" w:sz="4" w:space="0" w:color="auto"/>
            </w:tcBorders>
          </w:tcPr>
          <w:p w14:paraId="510E423F" w14:textId="56302EBC" w:rsidR="009E1825" w:rsidRPr="00B30446"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r>
              <w:rPr>
                <w:sz w:val="20"/>
                <w:lang w:eastAsia="ja-JP"/>
              </w:rPr>
              <w:t>Total</w:t>
            </w:r>
            <w:r w:rsidR="00F05046">
              <w:rPr>
                <w:sz w:val="20"/>
                <w:lang w:eastAsia="ja-JP"/>
              </w:rPr>
              <w:t xml:space="preserve"> </w:t>
            </w:r>
            <w:r w:rsidRPr="00B30446">
              <w:rPr>
                <w:sz w:val="20"/>
                <w:lang w:eastAsia="ja-JP"/>
              </w:rPr>
              <w:t>(N</w:t>
            </w:r>
            <w:r w:rsidR="00F05046">
              <w:rPr>
                <w:sz w:val="20"/>
                <w:lang w:eastAsia="ja-JP"/>
              </w:rPr>
              <w:t> </w:t>
            </w:r>
            <w:r w:rsidRPr="00B30446">
              <w:rPr>
                <w:sz w:val="20"/>
                <w:lang w:eastAsia="ja-JP"/>
              </w:rPr>
              <w:t>=</w:t>
            </w:r>
            <w:r w:rsidR="00F05046">
              <w:rPr>
                <w:sz w:val="20"/>
                <w:lang w:eastAsia="ja-JP"/>
              </w:rPr>
              <w:t> </w:t>
            </w:r>
            <w:r w:rsidRPr="00B30446">
              <w:rPr>
                <w:sz w:val="20"/>
                <w:lang w:eastAsia="ja-JP"/>
              </w:rPr>
              <w:t>36)</w:t>
            </w:r>
          </w:p>
        </w:tc>
        <w:tc>
          <w:tcPr>
            <w:tcW w:w="491" w:type="pct"/>
            <w:vMerge/>
            <w:tcBorders>
              <w:left w:val="single" w:sz="4" w:space="0" w:color="auto"/>
            </w:tcBorders>
          </w:tcPr>
          <w:p w14:paraId="2B104507" w14:textId="22725EDD" w:rsidR="009E1825" w:rsidRPr="00B30446" w:rsidRDefault="009E1825" w:rsidP="00B30446">
            <w:pPr>
              <w:ind w:left="0" w:right="0"/>
              <w:cnfStyle w:val="100000000000" w:firstRow="1" w:lastRow="0" w:firstColumn="0" w:lastColumn="0" w:oddVBand="0" w:evenVBand="0" w:oddHBand="0" w:evenHBand="0" w:firstRowFirstColumn="0" w:firstRowLastColumn="0" w:lastRowFirstColumn="0" w:lastRowLastColumn="0"/>
              <w:rPr>
                <w:sz w:val="20"/>
                <w:lang w:eastAsia="ja-JP"/>
              </w:rPr>
            </w:pPr>
          </w:p>
        </w:tc>
      </w:tr>
      <w:tr w:rsidR="00F05046" w:rsidRPr="00A7727F" w14:paraId="56CB8566" w14:textId="77777777" w:rsidTr="00F37208">
        <w:trPr>
          <w:trHeight w:val="143"/>
        </w:trPr>
        <w:tc>
          <w:tcPr>
            <w:cnfStyle w:val="001000000000" w:firstRow="0" w:lastRow="0" w:firstColumn="1" w:lastColumn="0" w:oddVBand="0" w:evenVBand="0" w:oddHBand="0" w:evenHBand="0" w:firstRowFirstColumn="0" w:firstRowLastColumn="0" w:lastRowFirstColumn="0" w:lastRowLastColumn="0"/>
            <w:tcW w:w="1362" w:type="pct"/>
          </w:tcPr>
          <w:p w14:paraId="4A377C7A" w14:textId="1ACC81DF" w:rsidR="00A7727F" w:rsidRPr="00B30446" w:rsidRDefault="00B30446" w:rsidP="00B30446">
            <w:pPr>
              <w:ind w:left="0" w:right="0"/>
              <w:rPr>
                <w:sz w:val="20"/>
                <w:lang w:eastAsia="ja-JP"/>
              </w:rPr>
            </w:pPr>
            <w:r w:rsidRPr="00B30446">
              <w:rPr>
                <w:sz w:val="20"/>
                <w:lang w:eastAsia="ja-JP"/>
              </w:rPr>
              <w:t xml:space="preserve">All treatment emergent adverse events; </w:t>
            </w:r>
            <w:r w:rsidR="00A7727F" w:rsidRPr="00B30446">
              <w:rPr>
                <w:sz w:val="20"/>
                <w:lang w:eastAsia="ja-JP"/>
              </w:rPr>
              <w:t>n (%)</w:t>
            </w:r>
          </w:p>
        </w:tc>
        <w:tc>
          <w:tcPr>
            <w:tcW w:w="736" w:type="pct"/>
            <w:tcBorders>
              <w:top w:val="single" w:sz="4" w:space="0" w:color="000000"/>
              <w:bottom w:val="single" w:sz="4" w:space="0" w:color="000000"/>
            </w:tcBorders>
          </w:tcPr>
          <w:p w14:paraId="4DAF240B"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188 (99.5)</w:t>
            </w:r>
          </w:p>
        </w:tc>
        <w:tc>
          <w:tcPr>
            <w:tcW w:w="561" w:type="pct"/>
          </w:tcPr>
          <w:p w14:paraId="53069E0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7 (100.0)</w:t>
            </w:r>
          </w:p>
        </w:tc>
        <w:tc>
          <w:tcPr>
            <w:tcW w:w="642" w:type="pct"/>
          </w:tcPr>
          <w:p w14:paraId="3FE938D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23 (100.0)</w:t>
            </w:r>
          </w:p>
        </w:tc>
        <w:tc>
          <w:tcPr>
            <w:tcW w:w="695" w:type="pct"/>
          </w:tcPr>
          <w:p w14:paraId="7135DF0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(100.0)</w:t>
            </w:r>
          </w:p>
        </w:tc>
        <w:tc>
          <w:tcPr>
            <w:tcW w:w="513" w:type="pct"/>
          </w:tcPr>
          <w:p w14:paraId="3AB9EA5B"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36 (100.0)</w:t>
            </w:r>
          </w:p>
        </w:tc>
        <w:tc>
          <w:tcPr>
            <w:tcW w:w="491" w:type="pct"/>
          </w:tcPr>
          <w:p w14:paraId="0960849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224 (99.6)</w:t>
            </w:r>
          </w:p>
        </w:tc>
      </w:tr>
      <w:tr w:rsidR="00F05046" w:rsidRPr="00A7727F" w14:paraId="0FD02F98" w14:textId="77777777" w:rsidTr="00F37208">
        <w:trPr>
          <w:trHeight w:val="143"/>
        </w:trPr>
        <w:tc>
          <w:tcPr>
            <w:cnfStyle w:val="001000000000" w:firstRow="0" w:lastRow="0" w:firstColumn="1" w:lastColumn="0" w:oddVBand="0" w:evenVBand="0" w:oddHBand="0" w:evenHBand="0" w:firstRowFirstColumn="0" w:firstRowLastColumn="0" w:lastRowFirstColumn="0" w:lastRowLastColumn="0"/>
            <w:tcW w:w="1362" w:type="pct"/>
          </w:tcPr>
          <w:p w14:paraId="58C96D26" w14:textId="38AF64A5" w:rsidR="00A7727F" w:rsidRPr="00B30446" w:rsidRDefault="00375CAE" w:rsidP="00B30446">
            <w:pPr>
              <w:ind w:left="0" w:right="0"/>
              <w:rPr>
                <w:sz w:val="20"/>
                <w:lang w:eastAsia="ja-JP"/>
              </w:rPr>
            </w:pPr>
            <w:r w:rsidRPr="00B30446">
              <w:rPr>
                <w:sz w:val="20"/>
                <w:lang w:eastAsia="ja-JP"/>
              </w:rPr>
              <w:t xml:space="preserve">Grade </w:t>
            </w:r>
            <w:r w:rsidR="00423768" w:rsidRPr="00B30446">
              <w:rPr>
                <w:sz w:val="20"/>
                <w:lang w:eastAsia="ja-JP"/>
              </w:rPr>
              <w:t>≥</w:t>
            </w:r>
            <w:r w:rsidRPr="00B30446">
              <w:rPr>
                <w:sz w:val="20"/>
                <w:lang w:eastAsia="ja-JP"/>
              </w:rPr>
              <w:t xml:space="preserve"> </w:t>
            </w:r>
            <w:r w:rsidR="00A7727F" w:rsidRPr="00B30446">
              <w:rPr>
                <w:sz w:val="20"/>
                <w:lang w:eastAsia="ja-JP"/>
              </w:rPr>
              <w:t>3</w:t>
            </w:r>
          </w:p>
        </w:tc>
        <w:tc>
          <w:tcPr>
            <w:tcW w:w="736" w:type="pct"/>
            <w:tcBorders>
              <w:top w:val="single" w:sz="4" w:space="0" w:color="000000"/>
            </w:tcBorders>
          </w:tcPr>
          <w:p w14:paraId="426D358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155 (82.0)</w:t>
            </w:r>
          </w:p>
        </w:tc>
        <w:tc>
          <w:tcPr>
            <w:tcW w:w="561" w:type="pct"/>
          </w:tcPr>
          <w:p w14:paraId="72AA628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7 (100.0)</w:t>
            </w:r>
          </w:p>
        </w:tc>
        <w:tc>
          <w:tcPr>
            <w:tcW w:w="642" w:type="pct"/>
          </w:tcPr>
          <w:p w14:paraId="0D9234D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15 (65.2)</w:t>
            </w:r>
          </w:p>
        </w:tc>
        <w:tc>
          <w:tcPr>
            <w:tcW w:w="695" w:type="pct"/>
          </w:tcPr>
          <w:p w14:paraId="3D01589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(83.3)</w:t>
            </w:r>
          </w:p>
        </w:tc>
        <w:tc>
          <w:tcPr>
            <w:tcW w:w="513" w:type="pct"/>
          </w:tcPr>
          <w:p w14:paraId="77B0A62B"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27 (75.0)</w:t>
            </w:r>
          </w:p>
        </w:tc>
        <w:tc>
          <w:tcPr>
            <w:tcW w:w="491" w:type="pct"/>
          </w:tcPr>
          <w:p w14:paraId="4EE3AF7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182 (80.9)</w:t>
            </w:r>
          </w:p>
        </w:tc>
      </w:tr>
      <w:tr w:rsidR="00F05046" w:rsidRPr="00A7727F" w14:paraId="7D888F61" w14:textId="77777777" w:rsidTr="00F37208">
        <w:trPr>
          <w:trHeight w:val="143"/>
        </w:trPr>
        <w:tc>
          <w:tcPr>
            <w:cnfStyle w:val="001000000000" w:firstRow="0" w:lastRow="0" w:firstColumn="1" w:lastColumn="0" w:oddVBand="0" w:evenVBand="0" w:oddHBand="0" w:evenHBand="0" w:firstRowFirstColumn="0" w:firstRowLastColumn="0" w:lastRowFirstColumn="0" w:lastRowLastColumn="0"/>
            <w:tcW w:w="1362" w:type="pct"/>
          </w:tcPr>
          <w:p w14:paraId="40BEA440" w14:textId="25BC9A60" w:rsidR="00A7727F" w:rsidRPr="00B30446" w:rsidRDefault="00375CAE" w:rsidP="00B30446">
            <w:pPr>
              <w:ind w:left="0" w:right="0"/>
              <w:rPr>
                <w:sz w:val="20"/>
                <w:lang w:eastAsia="ja-JP"/>
              </w:rPr>
            </w:pPr>
            <w:r w:rsidRPr="00B30446">
              <w:rPr>
                <w:sz w:val="20"/>
                <w:lang w:eastAsia="ja-JP"/>
              </w:rPr>
              <w:t xml:space="preserve">Grade </w:t>
            </w:r>
            <w:r w:rsidR="00423768" w:rsidRPr="00B30446">
              <w:rPr>
                <w:sz w:val="20"/>
                <w:lang w:eastAsia="ja-JP"/>
              </w:rPr>
              <w:t>≥</w:t>
            </w:r>
            <w:r w:rsidRPr="00B30446">
              <w:rPr>
                <w:sz w:val="20"/>
                <w:lang w:eastAsia="ja-JP"/>
              </w:rPr>
              <w:t xml:space="preserve"> </w:t>
            </w:r>
            <w:r w:rsidR="00A7727F" w:rsidRPr="00B30446">
              <w:rPr>
                <w:sz w:val="20"/>
                <w:lang w:eastAsia="ja-JP"/>
              </w:rPr>
              <w:t>4</w:t>
            </w:r>
          </w:p>
        </w:tc>
        <w:tc>
          <w:tcPr>
            <w:tcW w:w="736" w:type="pct"/>
          </w:tcPr>
          <w:p w14:paraId="6CAFF06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84 (44.4)</w:t>
            </w:r>
          </w:p>
        </w:tc>
        <w:tc>
          <w:tcPr>
            <w:tcW w:w="561" w:type="pct"/>
          </w:tcPr>
          <w:p w14:paraId="34A6B8B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(85.7)</w:t>
            </w:r>
          </w:p>
        </w:tc>
        <w:tc>
          <w:tcPr>
            <w:tcW w:w="642" w:type="pct"/>
          </w:tcPr>
          <w:p w14:paraId="7B095D4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9 (39.1)</w:t>
            </w:r>
          </w:p>
        </w:tc>
        <w:tc>
          <w:tcPr>
            <w:tcW w:w="695" w:type="pct"/>
          </w:tcPr>
          <w:p w14:paraId="314B94D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(33.3)</w:t>
            </w:r>
          </w:p>
        </w:tc>
        <w:tc>
          <w:tcPr>
            <w:tcW w:w="513" w:type="pct"/>
          </w:tcPr>
          <w:p w14:paraId="3B99599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17 (47.2)</w:t>
            </w:r>
          </w:p>
        </w:tc>
        <w:tc>
          <w:tcPr>
            <w:tcW w:w="491" w:type="pct"/>
          </w:tcPr>
          <w:p w14:paraId="050DCD4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101 (44.9)</w:t>
            </w:r>
          </w:p>
        </w:tc>
      </w:tr>
      <w:tr w:rsidR="00F05046" w:rsidRPr="00A7727F" w14:paraId="71F1DDE1" w14:textId="77777777" w:rsidTr="00F37208">
        <w:trPr>
          <w:trHeight w:val="143"/>
        </w:trPr>
        <w:tc>
          <w:tcPr>
            <w:cnfStyle w:val="001000000000" w:firstRow="0" w:lastRow="0" w:firstColumn="1" w:lastColumn="0" w:oddVBand="0" w:evenVBand="0" w:oddHBand="0" w:evenHBand="0" w:firstRowFirstColumn="0" w:firstRowLastColumn="0" w:lastRowFirstColumn="0" w:lastRowLastColumn="0"/>
            <w:tcW w:w="1362" w:type="pct"/>
          </w:tcPr>
          <w:p w14:paraId="7AF168BB" w14:textId="77777777" w:rsidR="00A7727F" w:rsidRPr="00B30446" w:rsidRDefault="00A7727F" w:rsidP="00B30446">
            <w:pPr>
              <w:ind w:left="0" w:right="0"/>
              <w:rPr>
                <w:sz w:val="20"/>
                <w:lang w:eastAsia="ja-JP"/>
              </w:rPr>
            </w:pPr>
            <w:r w:rsidRPr="00B30446">
              <w:rPr>
                <w:sz w:val="20"/>
                <w:lang w:eastAsia="ja-JP"/>
              </w:rPr>
              <w:t>Serious</w:t>
            </w:r>
          </w:p>
        </w:tc>
        <w:tc>
          <w:tcPr>
            <w:tcW w:w="736" w:type="pct"/>
          </w:tcPr>
          <w:p w14:paraId="1A4BCEB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121 (64.0)</w:t>
            </w:r>
          </w:p>
        </w:tc>
        <w:tc>
          <w:tcPr>
            <w:tcW w:w="561" w:type="pct"/>
          </w:tcPr>
          <w:p w14:paraId="6946E56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(85.7)</w:t>
            </w:r>
          </w:p>
        </w:tc>
        <w:tc>
          <w:tcPr>
            <w:tcW w:w="642" w:type="pct"/>
          </w:tcPr>
          <w:p w14:paraId="5FDC6C5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14 (60.9)</w:t>
            </w:r>
          </w:p>
        </w:tc>
        <w:tc>
          <w:tcPr>
            <w:tcW w:w="695" w:type="pct"/>
          </w:tcPr>
          <w:p w14:paraId="263585C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(83.3)</w:t>
            </w:r>
          </w:p>
        </w:tc>
        <w:tc>
          <w:tcPr>
            <w:tcW w:w="513" w:type="pct"/>
          </w:tcPr>
          <w:p w14:paraId="6E5AB96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25 (69.4)</w:t>
            </w:r>
          </w:p>
        </w:tc>
        <w:tc>
          <w:tcPr>
            <w:tcW w:w="491" w:type="pct"/>
          </w:tcPr>
          <w:p w14:paraId="29886E07"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146 (64.9)</w:t>
            </w:r>
          </w:p>
        </w:tc>
      </w:tr>
      <w:tr w:rsidR="00F05046" w:rsidRPr="00A7727F" w14:paraId="41077EC2" w14:textId="77777777" w:rsidTr="00F37208">
        <w:trPr>
          <w:trHeight w:val="143"/>
        </w:trPr>
        <w:tc>
          <w:tcPr>
            <w:cnfStyle w:val="001000000000" w:firstRow="0" w:lastRow="0" w:firstColumn="1" w:lastColumn="0" w:oddVBand="0" w:evenVBand="0" w:oddHBand="0" w:evenHBand="0" w:firstRowFirstColumn="0" w:firstRowLastColumn="0" w:lastRowFirstColumn="0" w:lastRowLastColumn="0"/>
            <w:tcW w:w="1362" w:type="pct"/>
          </w:tcPr>
          <w:p w14:paraId="66D9EAAF" w14:textId="77777777" w:rsidR="00A7727F" w:rsidRPr="00B30446" w:rsidRDefault="00A7727F" w:rsidP="00B30446">
            <w:pPr>
              <w:ind w:left="0" w:right="0"/>
              <w:rPr>
                <w:sz w:val="20"/>
                <w:lang w:eastAsia="ja-JP"/>
              </w:rPr>
            </w:pPr>
            <w:r w:rsidRPr="00B30446">
              <w:rPr>
                <w:sz w:val="20"/>
                <w:lang w:eastAsia="ja-JP"/>
              </w:rPr>
              <w:t>Fatal</w:t>
            </w:r>
          </w:p>
        </w:tc>
        <w:tc>
          <w:tcPr>
            <w:tcW w:w="736" w:type="pct"/>
          </w:tcPr>
          <w:p w14:paraId="510D35C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28 (14.8)</w:t>
            </w:r>
          </w:p>
        </w:tc>
        <w:tc>
          <w:tcPr>
            <w:tcW w:w="561" w:type="pct"/>
          </w:tcPr>
          <w:p w14:paraId="02D51D5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(14.3)</w:t>
            </w:r>
          </w:p>
        </w:tc>
        <w:tc>
          <w:tcPr>
            <w:tcW w:w="642" w:type="pct"/>
          </w:tcPr>
          <w:p w14:paraId="44D24FD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(17.4)</w:t>
            </w:r>
          </w:p>
        </w:tc>
        <w:tc>
          <w:tcPr>
            <w:tcW w:w="695" w:type="pct"/>
          </w:tcPr>
          <w:p w14:paraId="534ECE4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(16.7)</w:t>
            </w:r>
          </w:p>
        </w:tc>
        <w:tc>
          <w:tcPr>
            <w:tcW w:w="513" w:type="pct"/>
          </w:tcPr>
          <w:p w14:paraId="114BF6A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(16.7)</w:t>
            </w:r>
          </w:p>
        </w:tc>
        <w:tc>
          <w:tcPr>
            <w:tcW w:w="491" w:type="pct"/>
          </w:tcPr>
          <w:p w14:paraId="2A42000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34 (15.1)</w:t>
            </w:r>
          </w:p>
        </w:tc>
      </w:tr>
      <w:tr w:rsidR="00F05046" w:rsidRPr="00A7727F" w14:paraId="5699E5A9" w14:textId="77777777" w:rsidTr="00F37208">
        <w:trPr>
          <w:trHeight w:val="143"/>
        </w:trPr>
        <w:tc>
          <w:tcPr>
            <w:cnfStyle w:val="001000000000" w:firstRow="0" w:lastRow="0" w:firstColumn="1" w:lastColumn="0" w:oddVBand="0" w:evenVBand="0" w:oddHBand="0" w:evenHBand="0" w:firstRowFirstColumn="0" w:firstRowLastColumn="0" w:lastRowFirstColumn="0" w:lastRowLastColumn="0"/>
            <w:tcW w:w="1362" w:type="pct"/>
          </w:tcPr>
          <w:p w14:paraId="5796A221" w14:textId="77777777" w:rsidR="00A7727F" w:rsidRPr="00B30446" w:rsidRDefault="00A7727F" w:rsidP="00B30446">
            <w:pPr>
              <w:ind w:left="0" w:right="0"/>
              <w:rPr>
                <w:sz w:val="20"/>
                <w:lang w:eastAsia="ja-JP"/>
              </w:rPr>
            </w:pPr>
            <w:r w:rsidRPr="00B30446">
              <w:rPr>
                <w:sz w:val="20"/>
                <w:lang w:eastAsia="ja-JP"/>
              </w:rPr>
              <w:t>Leading to study drug discontinuation</w:t>
            </w:r>
          </w:p>
        </w:tc>
        <w:tc>
          <w:tcPr>
            <w:tcW w:w="736" w:type="pct"/>
          </w:tcPr>
          <w:p w14:paraId="48D6BB0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34 (18.0)</w:t>
            </w:r>
          </w:p>
        </w:tc>
        <w:tc>
          <w:tcPr>
            <w:tcW w:w="561" w:type="pct"/>
          </w:tcPr>
          <w:p w14:paraId="70D2031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(57.1)</w:t>
            </w:r>
          </w:p>
        </w:tc>
        <w:tc>
          <w:tcPr>
            <w:tcW w:w="642" w:type="pct"/>
          </w:tcPr>
          <w:p w14:paraId="43CD536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(21.7)</w:t>
            </w:r>
          </w:p>
        </w:tc>
        <w:tc>
          <w:tcPr>
            <w:tcW w:w="695" w:type="pct"/>
          </w:tcPr>
          <w:p w14:paraId="3704C22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(16.7)</w:t>
            </w:r>
          </w:p>
        </w:tc>
        <w:tc>
          <w:tcPr>
            <w:tcW w:w="513" w:type="pct"/>
          </w:tcPr>
          <w:p w14:paraId="4C98123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10 (27.8)</w:t>
            </w:r>
          </w:p>
        </w:tc>
        <w:tc>
          <w:tcPr>
            <w:tcW w:w="491" w:type="pct"/>
          </w:tcPr>
          <w:p w14:paraId="00FF20C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44 (19.6)</w:t>
            </w:r>
          </w:p>
        </w:tc>
      </w:tr>
      <w:tr w:rsidR="00F05046" w:rsidRPr="00A7727F" w14:paraId="61775522"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690C5D09" w14:textId="77777777" w:rsidR="00A7727F" w:rsidRPr="00B30446" w:rsidRDefault="00A7727F" w:rsidP="00B30446">
            <w:pPr>
              <w:ind w:left="0" w:right="0"/>
              <w:rPr>
                <w:sz w:val="20"/>
                <w:lang w:eastAsia="ja-JP"/>
              </w:rPr>
            </w:pPr>
            <w:r w:rsidRPr="00B30446">
              <w:rPr>
                <w:sz w:val="20"/>
                <w:lang w:eastAsia="ja-JP"/>
              </w:rPr>
              <w:t>Serious</w:t>
            </w:r>
          </w:p>
        </w:tc>
        <w:tc>
          <w:tcPr>
            <w:tcW w:w="736" w:type="pct"/>
          </w:tcPr>
          <w:p w14:paraId="1A5A030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27 (14.3)</w:t>
            </w:r>
          </w:p>
        </w:tc>
        <w:tc>
          <w:tcPr>
            <w:tcW w:w="561" w:type="pct"/>
          </w:tcPr>
          <w:p w14:paraId="0A3203F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(57.1)</w:t>
            </w:r>
          </w:p>
        </w:tc>
        <w:tc>
          <w:tcPr>
            <w:tcW w:w="642" w:type="pct"/>
          </w:tcPr>
          <w:p w14:paraId="3BCE38C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(17.4)</w:t>
            </w:r>
          </w:p>
        </w:tc>
        <w:tc>
          <w:tcPr>
            <w:tcW w:w="695" w:type="pct"/>
          </w:tcPr>
          <w:p w14:paraId="7165DAC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(16.7)</w:t>
            </w:r>
          </w:p>
        </w:tc>
        <w:tc>
          <w:tcPr>
            <w:tcW w:w="513" w:type="pct"/>
          </w:tcPr>
          <w:p w14:paraId="6B87CB8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9 (25.0)</w:t>
            </w:r>
          </w:p>
        </w:tc>
        <w:tc>
          <w:tcPr>
            <w:tcW w:w="491" w:type="pct"/>
          </w:tcPr>
          <w:p w14:paraId="5396F66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36 (16.0)</w:t>
            </w:r>
          </w:p>
        </w:tc>
      </w:tr>
      <w:tr w:rsidR="00F05046" w:rsidRPr="00A7727F" w14:paraId="05A7B276" w14:textId="77777777" w:rsidTr="00F37208">
        <w:trPr>
          <w:trHeight w:val="480"/>
        </w:trPr>
        <w:tc>
          <w:tcPr>
            <w:cnfStyle w:val="001000000000" w:firstRow="0" w:lastRow="0" w:firstColumn="1" w:lastColumn="0" w:oddVBand="0" w:evenVBand="0" w:oddHBand="0" w:evenHBand="0" w:firstRowFirstColumn="0" w:firstRowLastColumn="0" w:lastRowFirstColumn="0" w:lastRowLastColumn="0"/>
            <w:tcW w:w="1362" w:type="pct"/>
          </w:tcPr>
          <w:p w14:paraId="3A09EE64" w14:textId="77777777" w:rsidR="00A7727F" w:rsidRPr="00B30446" w:rsidRDefault="00A7727F" w:rsidP="00B30446">
            <w:pPr>
              <w:ind w:left="0" w:right="0"/>
              <w:rPr>
                <w:sz w:val="20"/>
                <w:lang w:eastAsia="ja-JP"/>
              </w:rPr>
            </w:pPr>
            <w:r w:rsidRPr="00B30446">
              <w:rPr>
                <w:sz w:val="20"/>
                <w:lang w:eastAsia="ja-JP"/>
              </w:rPr>
              <w:t>Fatal</w:t>
            </w:r>
          </w:p>
        </w:tc>
        <w:tc>
          <w:tcPr>
            <w:tcW w:w="736" w:type="pct"/>
          </w:tcPr>
          <w:p w14:paraId="2A0B4187"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10 (5.3)</w:t>
            </w:r>
          </w:p>
        </w:tc>
        <w:tc>
          <w:tcPr>
            <w:tcW w:w="561" w:type="pct"/>
          </w:tcPr>
          <w:p w14:paraId="0CDDB1A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42" w:type="pct"/>
          </w:tcPr>
          <w:p w14:paraId="2FF55D2A"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(4.3)</w:t>
            </w:r>
          </w:p>
        </w:tc>
        <w:tc>
          <w:tcPr>
            <w:tcW w:w="695" w:type="pct"/>
          </w:tcPr>
          <w:p w14:paraId="7303D3A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(16.7)</w:t>
            </w:r>
          </w:p>
        </w:tc>
        <w:tc>
          <w:tcPr>
            <w:tcW w:w="513" w:type="pct"/>
          </w:tcPr>
          <w:p w14:paraId="74DB5467"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(5.6)</w:t>
            </w:r>
          </w:p>
        </w:tc>
        <w:tc>
          <w:tcPr>
            <w:tcW w:w="491" w:type="pct"/>
          </w:tcPr>
          <w:p w14:paraId="1D41F02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12 (5.3)</w:t>
            </w:r>
          </w:p>
        </w:tc>
      </w:tr>
      <w:tr w:rsidR="00F05046" w:rsidRPr="00A7727F" w14:paraId="5CEBD93D"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0D76109E" w14:textId="77777777" w:rsidR="00A7727F" w:rsidRPr="00B30446" w:rsidRDefault="00A7727F" w:rsidP="00B30446">
            <w:pPr>
              <w:ind w:left="0" w:right="0"/>
              <w:rPr>
                <w:sz w:val="20"/>
                <w:lang w:eastAsia="ja-JP"/>
              </w:rPr>
            </w:pPr>
            <w:r w:rsidRPr="00B30446">
              <w:rPr>
                <w:sz w:val="20"/>
                <w:lang w:eastAsia="ja-JP"/>
              </w:rPr>
              <w:t>Leading to study drug interruption</w:t>
            </w:r>
          </w:p>
        </w:tc>
        <w:tc>
          <w:tcPr>
            <w:tcW w:w="736" w:type="pct"/>
          </w:tcPr>
          <w:p w14:paraId="0568364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63 (33.3)</w:t>
            </w:r>
          </w:p>
        </w:tc>
        <w:tc>
          <w:tcPr>
            <w:tcW w:w="561" w:type="pct"/>
          </w:tcPr>
          <w:p w14:paraId="09F6C9B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(42.9)</w:t>
            </w:r>
          </w:p>
        </w:tc>
        <w:tc>
          <w:tcPr>
            <w:tcW w:w="642" w:type="pct"/>
          </w:tcPr>
          <w:p w14:paraId="5BA614E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(26.1)</w:t>
            </w:r>
          </w:p>
        </w:tc>
        <w:tc>
          <w:tcPr>
            <w:tcW w:w="695" w:type="pct"/>
          </w:tcPr>
          <w:p w14:paraId="0D7BBE9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(50.0)</w:t>
            </w:r>
          </w:p>
        </w:tc>
        <w:tc>
          <w:tcPr>
            <w:tcW w:w="513" w:type="pct"/>
          </w:tcPr>
          <w:p w14:paraId="5F4AE82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12 (33.3)</w:t>
            </w:r>
          </w:p>
        </w:tc>
        <w:tc>
          <w:tcPr>
            <w:tcW w:w="491" w:type="pct"/>
          </w:tcPr>
          <w:p w14:paraId="57B885A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75 (33.3)</w:t>
            </w:r>
          </w:p>
        </w:tc>
      </w:tr>
      <w:tr w:rsidR="00F05046" w:rsidRPr="00A7727F" w14:paraId="01142958"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5EF9F23E" w14:textId="77777777" w:rsidR="00A7727F" w:rsidRPr="00B30446" w:rsidRDefault="00A7727F" w:rsidP="00B30446">
            <w:pPr>
              <w:ind w:left="0" w:right="0"/>
              <w:rPr>
                <w:sz w:val="20"/>
                <w:lang w:eastAsia="ja-JP"/>
              </w:rPr>
            </w:pPr>
            <w:r w:rsidRPr="00B30446">
              <w:rPr>
                <w:sz w:val="20"/>
                <w:lang w:eastAsia="ja-JP"/>
              </w:rPr>
              <w:t>Serious</w:t>
            </w:r>
          </w:p>
        </w:tc>
        <w:tc>
          <w:tcPr>
            <w:tcW w:w="736" w:type="pct"/>
          </w:tcPr>
          <w:p w14:paraId="35CF22B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47 (24.9)</w:t>
            </w:r>
          </w:p>
        </w:tc>
        <w:tc>
          <w:tcPr>
            <w:tcW w:w="561" w:type="pct"/>
          </w:tcPr>
          <w:p w14:paraId="6674B447"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(28.6)</w:t>
            </w:r>
          </w:p>
        </w:tc>
        <w:tc>
          <w:tcPr>
            <w:tcW w:w="642" w:type="pct"/>
          </w:tcPr>
          <w:p w14:paraId="2634FF2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(21.7)</w:t>
            </w:r>
          </w:p>
        </w:tc>
        <w:tc>
          <w:tcPr>
            <w:tcW w:w="695" w:type="pct"/>
          </w:tcPr>
          <w:p w14:paraId="5A2D629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(50.0)</w:t>
            </w:r>
          </w:p>
        </w:tc>
        <w:tc>
          <w:tcPr>
            <w:tcW w:w="513" w:type="pct"/>
          </w:tcPr>
          <w:p w14:paraId="1A2B47F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10 (27.8)</w:t>
            </w:r>
          </w:p>
        </w:tc>
        <w:tc>
          <w:tcPr>
            <w:tcW w:w="491" w:type="pct"/>
          </w:tcPr>
          <w:p w14:paraId="0975A3A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57 (25.3)</w:t>
            </w:r>
          </w:p>
        </w:tc>
      </w:tr>
      <w:tr w:rsidR="00F05046" w:rsidRPr="00A7727F" w14:paraId="75FD6390" w14:textId="77777777" w:rsidTr="00F37208">
        <w:trPr>
          <w:trHeight w:val="480"/>
        </w:trPr>
        <w:tc>
          <w:tcPr>
            <w:cnfStyle w:val="001000000000" w:firstRow="0" w:lastRow="0" w:firstColumn="1" w:lastColumn="0" w:oddVBand="0" w:evenVBand="0" w:oddHBand="0" w:evenHBand="0" w:firstRowFirstColumn="0" w:firstRowLastColumn="0" w:lastRowFirstColumn="0" w:lastRowLastColumn="0"/>
            <w:tcW w:w="1362" w:type="pct"/>
          </w:tcPr>
          <w:p w14:paraId="7D82C91E" w14:textId="77777777" w:rsidR="00A7727F" w:rsidRPr="00B30446" w:rsidRDefault="00A7727F" w:rsidP="00B30446">
            <w:pPr>
              <w:ind w:left="0" w:right="0"/>
              <w:rPr>
                <w:sz w:val="20"/>
                <w:lang w:eastAsia="ja-JP"/>
              </w:rPr>
            </w:pPr>
            <w:r w:rsidRPr="00B30446">
              <w:rPr>
                <w:sz w:val="20"/>
                <w:lang w:eastAsia="ja-JP"/>
              </w:rPr>
              <w:t>Fatal</w:t>
            </w:r>
          </w:p>
        </w:tc>
        <w:tc>
          <w:tcPr>
            <w:tcW w:w="736" w:type="pct"/>
          </w:tcPr>
          <w:p w14:paraId="1D6A6DE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(0.5)</w:t>
            </w:r>
          </w:p>
        </w:tc>
        <w:tc>
          <w:tcPr>
            <w:tcW w:w="561" w:type="pct"/>
          </w:tcPr>
          <w:p w14:paraId="1707DD0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42" w:type="pct"/>
          </w:tcPr>
          <w:p w14:paraId="23B6939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95" w:type="pct"/>
          </w:tcPr>
          <w:p w14:paraId="2E49812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13" w:type="pct"/>
          </w:tcPr>
          <w:p w14:paraId="54EC282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491" w:type="pct"/>
          </w:tcPr>
          <w:p w14:paraId="02CC62F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(0.4)</w:t>
            </w:r>
          </w:p>
        </w:tc>
      </w:tr>
      <w:tr w:rsidR="00F05046" w:rsidRPr="00A7727F" w14:paraId="7016EAA4" w14:textId="77777777" w:rsidTr="00F37208">
        <w:trPr>
          <w:trHeight w:val="949"/>
        </w:trPr>
        <w:tc>
          <w:tcPr>
            <w:cnfStyle w:val="001000000000" w:firstRow="0" w:lastRow="0" w:firstColumn="1" w:lastColumn="0" w:oddVBand="0" w:evenVBand="0" w:oddHBand="0" w:evenHBand="0" w:firstRowFirstColumn="0" w:firstRowLastColumn="0" w:lastRowFirstColumn="0" w:lastRowLastColumn="0"/>
            <w:tcW w:w="1362" w:type="pct"/>
          </w:tcPr>
          <w:p w14:paraId="14E1703F" w14:textId="77777777" w:rsidR="00A7727F" w:rsidRPr="00B30446" w:rsidRDefault="00A7727F" w:rsidP="00B30446">
            <w:pPr>
              <w:ind w:left="0" w:right="0"/>
              <w:rPr>
                <w:sz w:val="20"/>
                <w:lang w:eastAsia="ja-JP"/>
              </w:rPr>
            </w:pPr>
            <w:r w:rsidRPr="00B30446">
              <w:rPr>
                <w:sz w:val="20"/>
                <w:lang w:eastAsia="ja-JP"/>
              </w:rPr>
              <w:t>Treatment-related treatment-emergent adverse events - n (%)</w:t>
            </w:r>
          </w:p>
        </w:tc>
        <w:tc>
          <w:tcPr>
            <w:tcW w:w="736" w:type="pct"/>
          </w:tcPr>
          <w:p w14:paraId="279BDEB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166 (87.8)</w:t>
            </w:r>
          </w:p>
        </w:tc>
        <w:tc>
          <w:tcPr>
            <w:tcW w:w="561" w:type="pct"/>
          </w:tcPr>
          <w:p w14:paraId="21BB739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7 (100.0)</w:t>
            </w:r>
          </w:p>
        </w:tc>
        <w:tc>
          <w:tcPr>
            <w:tcW w:w="642" w:type="pct"/>
          </w:tcPr>
          <w:p w14:paraId="2F4F07C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23 (100.0)</w:t>
            </w:r>
          </w:p>
        </w:tc>
        <w:tc>
          <w:tcPr>
            <w:tcW w:w="695" w:type="pct"/>
          </w:tcPr>
          <w:p w14:paraId="05EB4567"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(100.0)</w:t>
            </w:r>
          </w:p>
        </w:tc>
        <w:tc>
          <w:tcPr>
            <w:tcW w:w="513" w:type="pct"/>
          </w:tcPr>
          <w:p w14:paraId="2DD2328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36 (100.0)</w:t>
            </w:r>
          </w:p>
        </w:tc>
        <w:tc>
          <w:tcPr>
            <w:tcW w:w="491" w:type="pct"/>
          </w:tcPr>
          <w:p w14:paraId="73E9EC3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202 (89.8)</w:t>
            </w:r>
          </w:p>
        </w:tc>
      </w:tr>
      <w:tr w:rsidR="00F05046" w:rsidRPr="00A7727F" w14:paraId="369D1DE1"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3A348380" w14:textId="3F01CA99" w:rsidR="00A7727F" w:rsidRPr="00B30446" w:rsidRDefault="00375CAE" w:rsidP="00B30446">
            <w:pPr>
              <w:ind w:left="0" w:right="0"/>
              <w:rPr>
                <w:sz w:val="20"/>
                <w:lang w:eastAsia="ja-JP"/>
              </w:rPr>
            </w:pPr>
            <w:r w:rsidRPr="00B30446">
              <w:rPr>
                <w:sz w:val="20"/>
                <w:lang w:eastAsia="ja-JP"/>
              </w:rPr>
              <w:t xml:space="preserve">Grade </w:t>
            </w:r>
            <w:r w:rsidR="00423768" w:rsidRPr="00B30446">
              <w:rPr>
                <w:sz w:val="20"/>
                <w:lang w:eastAsia="ja-JP"/>
              </w:rPr>
              <w:t>≥</w:t>
            </w:r>
            <w:r w:rsidRPr="00B30446">
              <w:rPr>
                <w:sz w:val="20"/>
                <w:lang w:eastAsia="ja-JP"/>
              </w:rPr>
              <w:t xml:space="preserve"> </w:t>
            </w:r>
            <w:r w:rsidR="00A7727F" w:rsidRPr="00B30446">
              <w:rPr>
                <w:sz w:val="20"/>
                <w:lang w:eastAsia="ja-JP"/>
              </w:rPr>
              <w:t>3</w:t>
            </w:r>
          </w:p>
        </w:tc>
        <w:tc>
          <w:tcPr>
            <w:tcW w:w="736" w:type="pct"/>
          </w:tcPr>
          <w:p w14:paraId="0BA58AF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105 (55.6)</w:t>
            </w:r>
          </w:p>
        </w:tc>
        <w:tc>
          <w:tcPr>
            <w:tcW w:w="561" w:type="pct"/>
          </w:tcPr>
          <w:p w14:paraId="68D0C17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7 (100.0)</w:t>
            </w:r>
          </w:p>
        </w:tc>
        <w:tc>
          <w:tcPr>
            <w:tcW w:w="642" w:type="pct"/>
          </w:tcPr>
          <w:p w14:paraId="2B9A60E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12 (52.2)</w:t>
            </w:r>
          </w:p>
        </w:tc>
        <w:tc>
          <w:tcPr>
            <w:tcW w:w="695" w:type="pct"/>
          </w:tcPr>
          <w:p w14:paraId="5C85192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(66.7)</w:t>
            </w:r>
          </w:p>
        </w:tc>
        <w:tc>
          <w:tcPr>
            <w:tcW w:w="513" w:type="pct"/>
          </w:tcPr>
          <w:p w14:paraId="7922915B"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23 (63.9)</w:t>
            </w:r>
          </w:p>
        </w:tc>
        <w:tc>
          <w:tcPr>
            <w:tcW w:w="491" w:type="pct"/>
          </w:tcPr>
          <w:p w14:paraId="3E2F45F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128 (56.9)</w:t>
            </w:r>
          </w:p>
        </w:tc>
      </w:tr>
      <w:tr w:rsidR="00F05046" w:rsidRPr="00A7727F" w14:paraId="331D8BBA"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44901D33" w14:textId="486937CF" w:rsidR="00A7727F" w:rsidRPr="00B30446" w:rsidRDefault="00375CAE" w:rsidP="00B30446">
            <w:pPr>
              <w:ind w:left="0" w:right="0"/>
              <w:rPr>
                <w:sz w:val="20"/>
                <w:lang w:eastAsia="ja-JP"/>
              </w:rPr>
            </w:pPr>
            <w:r w:rsidRPr="00B30446">
              <w:rPr>
                <w:sz w:val="20"/>
                <w:lang w:eastAsia="ja-JP"/>
              </w:rPr>
              <w:t xml:space="preserve">Grade </w:t>
            </w:r>
            <w:r w:rsidR="00423768" w:rsidRPr="00B30446">
              <w:rPr>
                <w:sz w:val="20"/>
                <w:lang w:eastAsia="ja-JP"/>
              </w:rPr>
              <w:t>≥</w:t>
            </w:r>
            <w:r w:rsidRPr="00B30446">
              <w:rPr>
                <w:sz w:val="20"/>
                <w:lang w:eastAsia="ja-JP"/>
              </w:rPr>
              <w:t xml:space="preserve"> </w:t>
            </w:r>
            <w:r w:rsidR="00A7727F" w:rsidRPr="00B30446">
              <w:rPr>
                <w:sz w:val="20"/>
                <w:lang w:eastAsia="ja-JP"/>
              </w:rPr>
              <w:t>4</w:t>
            </w:r>
          </w:p>
        </w:tc>
        <w:tc>
          <w:tcPr>
            <w:tcW w:w="736" w:type="pct"/>
          </w:tcPr>
          <w:p w14:paraId="67BD0CE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42 (22.2)</w:t>
            </w:r>
          </w:p>
        </w:tc>
        <w:tc>
          <w:tcPr>
            <w:tcW w:w="561" w:type="pct"/>
          </w:tcPr>
          <w:p w14:paraId="5AA5294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(71.4)</w:t>
            </w:r>
          </w:p>
        </w:tc>
        <w:tc>
          <w:tcPr>
            <w:tcW w:w="642" w:type="pct"/>
          </w:tcPr>
          <w:p w14:paraId="0D2C5797"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 (26.1)</w:t>
            </w:r>
          </w:p>
        </w:tc>
        <w:tc>
          <w:tcPr>
            <w:tcW w:w="695" w:type="pct"/>
          </w:tcPr>
          <w:p w14:paraId="7928FF7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(16.7)</w:t>
            </w:r>
          </w:p>
        </w:tc>
        <w:tc>
          <w:tcPr>
            <w:tcW w:w="513" w:type="pct"/>
          </w:tcPr>
          <w:p w14:paraId="34DC65B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12 (33.3)</w:t>
            </w:r>
          </w:p>
        </w:tc>
        <w:tc>
          <w:tcPr>
            <w:tcW w:w="491" w:type="pct"/>
          </w:tcPr>
          <w:p w14:paraId="0638262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54 (24.0)</w:t>
            </w:r>
          </w:p>
        </w:tc>
      </w:tr>
      <w:tr w:rsidR="00F05046" w:rsidRPr="00A7727F" w14:paraId="663E4152"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0F863052" w14:textId="77777777" w:rsidR="00A7727F" w:rsidRPr="00B30446" w:rsidRDefault="00A7727F" w:rsidP="00B30446">
            <w:pPr>
              <w:ind w:left="0" w:right="0"/>
              <w:rPr>
                <w:sz w:val="20"/>
                <w:lang w:eastAsia="ja-JP"/>
              </w:rPr>
            </w:pPr>
            <w:r w:rsidRPr="00B30446">
              <w:rPr>
                <w:sz w:val="20"/>
                <w:lang w:eastAsia="ja-JP"/>
              </w:rPr>
              <w:t>Serious</w:t>
            </w:r>
          </w:p>
        </w:tc>
        <w:tc>
          <w:tcPr>
            <w:tcW w:w="736" w:type="pct"/>
          </w:tcPr>
          <w:p w14:paraId="29F873C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69 (36.5)</w:t>
            </w:r>
          </w:p>
        </w:tc>
        <w:tc>
          <w:tcPr>
            <w:tcW w:w="561" w:type="pct"/>
          </w:tcPr>
          <w:p w14:paraId="3B7EB02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(57.1)</w:t>
            </w:r>
          </w:p>
        </w:tc>
        <w:tc>
          <w:tcPr>
            <w:tcW w:w="642" w:type="pct"/>
          </w:tcPr>
          <w:p w14:paraId="063787C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9 (39.1)</w:t>
            </w:r>
          </w:p>
        </w:tc>
        <w:tc>
          <w:tcPr>
            <w:tcW w:w="695" w:type="pct"/>
          </w:tcPr>
          <w:p w14:paraId="1B5FBF9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(66.7)</w:t>
            </w:r>
          </w:p>
        </w:tc>
        <w:tc>
          <w:tcPr>
            <w:tcW w:w="513" w:type="pct"/>
          </w:tcPr>
          <w:p w14:paraId="4345105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17 (47.2)</w:t>
            </w:r>
          </w:p>
        </w:tc>
        <w:tc>
          <w:tcPr>
            <w:tcW w:w="491" w:type="pct"/>
          </w:tcPr>
          <w:p w14:paraId="4B8FC9D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86 (38.2)</w:t>
            </w:r>
          </w:p>
        </w:tc>
      </w:tr>
      <w:tr w:rsidR="00F05046" w:rsidRPr="00A7727F" w14:paraId="04136E24" w14:textId="77777777" w:rsidTr="00F37208">
        <w:trPr>
          <w:trHeight w:val="480"/>
        </w:trPr>
        <w:tc>
          <w:tcPr>
            <w:cnfStyle w:val="001000000000" w:firstRow="0" w:lastRow="0" w:firstColumn="1" w:lastColumn="0" w:oddVBand="0" w:evenVBand="0" w:oddHBand="0" w:evenHBand="0" w:firstRowFirstColumn="0" w:firstRowLastColumn="0" w:lastRowFirstColumn="0" w:lastRowLastColumn="0"/>
            <w:tcW w:w="1362" w:type="pct"/>
          </w:tcPr>
          <w:p w14:paraId="7D5CE44A" w14:textId="77777777" w:rsidR="00A7727F" w:rsidRPr="00B30446" w:rsidRDefault="00A7727F" w:rsidP="00B30446">
            <w:pPr>
              <w:ind w:left="0" w:right="0"/>
              <w:rPr>
                <w:sz w:val="20"/>
                <w:lang w:eastAsia="ja-JP"/>
              </w:rPr>
            </w:pPr>
            <w:r w:rsidRPr="00B30446">
              <w:rPr>
                <w:sz w:val="20"/>
                <w:lang w:eastAsia="ja-JP"/>
              </w:rPr>
              <w:t>Fatal</w:t>
            </w:r>
          </w:p>
        </w:tc>
        <w:tc>
          <w:tcPr>
            <w:tcW w:w="736" w:type="pct"/>
          </w:tcPr>
          <w:p w14:paraId="6FAEF49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(1.6)</w:t>
            </w:r>
          </w:p>
        </w:tc>
        <w:tc>
          <w:tcPr>
            <w:tcW w:w="561" w:type="pct"/>
          </w:tcPr>
          <w:p w14:paraId="25EA8C6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42" w:type="pct"/>
          </w:tcPr>
          <w:p w14:paraId="3218A71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(4.3)</w:t>
            </w:r>
          </w:p>
        </w:tc>
        <w:tc>
          <w:tcPr>
            <w:tcW w:w="695" w:type="pct"/>
          </w:tcPr>
          <w:p w14:paraId="76CE806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13" w:type="pct"/>
          </w:tcPr>
          <w:p w14:paraId="6B21F7D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(2.8)</w:t>
            </w:r>
          </w:p>
        </w:tc>
        <w:tc>
          <w:tcPr>
            <w:tcW w:w="491" w:type="pct"/>
          </w:tcPr>
          <w:p w14:paraId="112CF08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(1.8)</w:t>
            </w:r>
          </w:p>
        </w:tc>
      </w:tr>
      <w:tr w:rsidR="00F05046" w:rsidRPr="00A7727F" w14:paraId="71DC60E3"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7875166B" w14:textId="77777777" w:rsidR="00A7727F" w:rsidRPr="00B30446" w:rsidRDefault="00A7727F" w:rsidP="00B30446">
            <w:pPr>
              <w:ind w:left="0" w:right="0"/>
              <w:rPr>
                <w:sz w:val="20"/>
                <w:lang w:eastAsia="ja-JP"/>
              </w:rPr>
            </w:pPr>
            <w:r w:rsidRPr="00B30446">
              <w:rPr>
                <w:sz w:val="20"/>
                <w:lang w:eastAsia="ja-JP"/>
              </w:rPr>
              <w:t>Leading to study drug discontinuation</w:t>
            </w:r>
          </w:p>
        </w:tc>
        <w:tc>
          <w:tcPr>
            <w:tcW w:w="736" w:type="pct"/>
          </w:tcPr>
          <w:p w14:paraId="3EEA01A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18 (9.5)</w:t>
            </w:r>
          </w:p>
        </w:tc>
        <w:tc>
          <w:tcPr>
            <w:tcW w:w="561" w:type="pct"/>
          </w:tcPr>
          <w:p w14:paraId="324F3EF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(28.6)</w:t>
            </w:r>
          </w:p>
        </w:tc>
        <w:tc>
          <w:tcPr>
            <w:tcW w:w="642" w:type="pct"/>
          </w:tcPr>
          <w:p w14:paraId="252F398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(13.0)</w:t>
            </w:r>
          </w:p>
        </w:tc>
        <w:tc>
          <w:tcPr>
            <w:tcW w:w="695" w:type="pct"/>
          </w:tcPr>
          <w:p w14:paraId="1FBF1244"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13" w:type="pct"/>
          </w:tcPr>
          <w:p w14:paraId="002C77D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(13.9)</w:t>
            </w:r>
          </w:p>
        </w:tc>
        <w:tc>
          <w:tcPr>
            <w:tcW w:w="491" w:type="pct"/>
          </w:tcPr>
          <w:p w14:paraId="44FE7BB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23 (10.2)</w:t>
            </w:r>
          </w:p>
        </w:tc>
      </w:tr>
      <w:tr w:rsidR="00F05046" w:rsidRPr="00A7727F" w14:paraId="707870E3" w14:textId="77777777" w:rsidTr="00F37208">
        <w:trPr>
          <w:trHeight w:val="480"/>
        </w:trPr>
        <w:tc>
          <w:tcPr>
            <w:cnfStyle w:val="001000000000" w:firstRow="0" w:lastRow="0" w:firstColumn="1" w:lastColumn="0" w:oddVBand="0" w:evenVBand="0" w:oddHBand="0" w:evenHBand="0" w:firstRowFirstColumn="0" w:firstRowLastColumn="0" w:lastRowFirstColumn="0" w:lastRowLastColumn="0"/>
            <w:tcW w:w="1362" w:type="pct"/>
          </w:tcPr>
          <w:p w14:paraId="2E7DCB0B" w14:textId="77777777" w:rsidR="00A7727F" w:rsidRPr="00B30446" w:rsidRDefault="00A7727F" w:rsidP="00B30446">
            <w:pPr>
              <w:ind w:left="0" w:right="0"/>
              <w:rPr>
                <w:sz w:val="20"/>
                <w:lang w:eastAsia="ja-JP"/>
              </w:rPr>
            </w:pPr>
            <w:r w:rsidRPr="00B30446">
              <w:rPr>
                <w:sz w:val="20"/>
                <w:lang w:eastAsia="ja-JP"/>
              </w:rPr>
              <w:t>Serious</w:t>
            </w:r>
          </w:p>
        </w:tc>
        <w:tc>
          <w:tcPr>
            <w:tcW w:w="736" w:type="pct"/>
          </w:tcPr>
          <w:p w14:paraId="2AE3321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15 (7.9)</w:t>
            </w:r>
          </w:p>
        </w:tc>
        <w:tc>
          <w:tcPr>
            <w:tcW w:w="561" w:type="pct"/>
          </w:tcPr>
          <w:p w14:paraId="6905BF6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(28.6)</w:t>
            </w:r>
          </w:p>
        </w:tc>
        <w:tc>
          <w:tcPr>
            <w:tcW w:w="642" w:type="pct"/>
          </w:tcPr>
          <w:p w14:paraId="1C8C8F7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(13.0)</w:t>
            </w:r>
          </w:p>
        </w:tc>
        <w:tc>
          <w:tcPr>
            <w:tcW w:w="695" w:type="pct"/>
          </w:tcPr>
          <w:p w14:paraId="5769634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13" w:type="pct"/>
          </w:tcPr>
          <w:p w14:paraId="0113B0A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(13.9)</w:t>
            </w:r>
          </w:p>
        </w:tc>
        <w:tc>
          <w:tcPr>
            <w:tcW w:w="491" w:type="pct"/>
          </w:tcPr>
          <w:p w14:paraId="6B6DDB06"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20 (8.9)</w:t>
            </w:r>
          </w:p>
        </w:tc>
      </w:tr>
      <w:tr w:rsidR="00F05046" w:rsidRPr="00A7727F" w14:paraId="35022EA0" w14:textId="77777777" w:rsidTr="00F37208">
        <w:trPr>
          <w:trHeight w:val="468"/>
        </w:trPr>
        <w:tc>
          <w:tcPr>
            <w:cnfStyle w:val="001000000000" w:firstRow="0" w:lastRow="0" w:firstColumn="1" w:lastColumn="0" w:oddVBand="0" w:evenVBand="0" w:oddHBand="0" w:evenHBand="0" w:firstRowFirstColumn="0" w:firstRowLastColumn="0" w:lastRowFirstColumn="0" w:lastRowLastColumn="0"/>
            <w:tcW w:w="1362" w:type="pct"/>
          </w:tcPr>
          <w:p w14:paraId="578F95A5" w14:textId="77777777" w:rsidR="00A7727F" w:rsidRPr="00B30446" w:rsidRDefault="00A7727F" w:rsidP="00B30446">
            <w:pPr>
              <w:ind w:left="0" w:right="0"/>
              <w:rPr>
                <w:sz w:val="20"/>
                <w:lang w:eastAsia="ja-JP"/>
              </w:rPr>
            </w:pPr>
            <w:r w:rsidRPr="00B30446">
              <w:rPr>
                <w:sz w:val="20"/>
                <w:lang w:eastAsia="ja-JP"/>
              </w:rPr>
              <w:t>Fatal</w:t>
            </w:r>
          </w:p>
        </w:tc>
        <w:tc>
          <w:tcPr>
            <w:tcW w:w="736" w:type="pct"/>
          </w:tcPr>
          <w:p w14:paraId="3A6CCB6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(1.1)</w:t>
            </w:r>
          </w:p>
        </w:tc>
        <w:tc>
          <w:tcPr>
            <w:tcW w:w="561" w:type="pct"/>
          </w:tcPr>
          <w:p w14:paraId="7AC44745"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42" w:type="pct"/>
          </w:tcPr>
          <w:p w14:paraId="56EF10E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(4.3)</w:t>
            </w:r>
          </w:p>
        </w:tc>
        <w:tc>
          <w:tcPr>
            <w:tcW w:w="695" w:type="pct"/>
          </w:tcPr>
          <w:p w14:paraId="2C67A0D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13" w:type="pct"/>
          </w:tcPr>
          <w:p w14:paraId="1E914F4A"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(2.8)</w:t>
            </w:r>
          </w:p>
        </w:tc>
        <w:tc>
          <w:tcPr>
            <w:tcW w:w="491" w:type="pct"/>
          </w:tcPr>
          <w:p w14:paraId="479B89C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(1.3)</w:t>
            </w:r>
          </w:p>
        </w:tc>
      </w:tr>
      <w:tr w:rsidR="00F05046" w:rsidRPr="00A7727F" w14:paraId="25E0E917"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2FC38FF6" w14:textId="77777777" w:rsidR="00A7727F" w:rsidRPr="00B30446" w:rsidRDefault="00A7727F" w:rsidP="00B30446">
            <w:pPr>
              <w:ind w:left="0" w:right="0"/>
              <w:rPr>
                <w:sz w:val="20"/>
                <w:lang w:eastAsia="ja-JP"/>
              </w:rPr>
            </w:pPr>
            <w:r w:rsidRPr="00B30446">
              <w:rPr>
                <w:sz w:val="20"/>
                <w:lang w:eastAsia="ja-JP"/>
              </w:rPr>
              <w:t>Leading to study drug interruption</w:t>
            </w:r>
          </w:p>
        </w:tc>
        <w:tc>
          <w:tcPr>
            <w:tcW w:w="736" w:type="pct"/>
          </w:tcPr>
          <w:p w14:paraId="7C76900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43 (22.8)</w:t>
            </w:r>
          </w:p>
        </w:tc>
        <w:tc>
          <w:tcPr>
            <w:tcW w:w="561" w:type="pct"/>
          </w:tcPr>
          <w:p w14:paraId="6B81520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 (28.6)</w:t>
            </w:r>
          </w:p>
        </w:tc>
        <w:tc>
          <w:tcPr>
            <w:tcW w:w="642" w:type="pct"/>
          </w:tcPr>
          <w:p w14:paraId="5B35F5B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 (21.7)</w:t>
            </w:r>
          </w:p>
        </w:tc>
        <w:tc>
          <w:tcPr>
            <w:tcW w:w="695" w:type="pct"/>
          </w:tcPr>
          <w:p w14:paraId="40207FD1"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(50.0)</w:t>
            </w:r>
          </w:p>
        </w:tc>
        <w:tc>
          <w:tcPr>
            <w:tcW w:w="513" w:type="pct"/>
          </w:tcPr>
          <w:p w14:paraId="39D444F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10 (27.8)</w:t>
            </w:r>
          </w:p>
        </w:tc>
        <w:tc>
          <w:tcPr>
            <w:tcW w:w="491" w:type="pct"/>
          </w:tcPr>
          <w:p w14:paraId="1F65F7D2"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53 (23.6)</w:t>
            </w:r>
          </w:p>
        </w:tc>
      </w:tr>
      <w:tr w:rsidR="00F05046" w:rsidRPr="00A7727F" w14:paraId="4FC5A471" w14:textId="77777777" w:rsidTr="00F37208">
        <w:trPr>
          <w:trHeight w:val="709"/>
        </w:trPr>
        <w:tc>
          <w:tcPr>
            <w:cnfStyle w:val="001000000000" w:firstRow="0" w:lastRow="0" w:firstColumn="1" w:lastColumn="0" w:oddVBand="0" w:evenVBand="0" w:oddHBand="0" w:evenHBand="0" w:firstRowFirstColumn="0" w:firstRowLastColumn="0" w:lastRowFirstColumn="0" w:lastRowLastColumn="0"/>
            <w:tcW w:w="1362" w:type="pct"/>
          </w:tcPr>
          <w:p w14:paraId="405ADADE" w14:textId="77777777" w:rsidR="00A7727F" w:rsidRPr="00B30446" w:rsidRDefault="00A7727F" w:rsidP="00B30446">
            <w:pPr>
              <w:ind w:left="0" w:right="0"/>
              <w:rPr>
                <w:sz w:val="20"/>
                <w:lang w:eastAsia="ja-JP"/>
              </w:rPr>
            </w:pPr>
            <w:r w:rsidRPr="00B30446">
              <w:rPr>
                <w:sz w:val="20"/>
                <w:lang w:eastAsia="ja-JP"/>
              </w:rPr>
              <w:t>Serious</w:t>
            </w:r>
          </w:p>
        </w:tc>
        <w:tc>
          <w:tcPr>
            <w:tcW w:w="736" w:type="pct"/>
          </w:tcPr>
          <w:p w14:paraId="788B435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29 (15.3)</w:t>
            </w:r>
          </w:p>
        </w:tc>
        <w:tc>
          <w:tcPr>
            <w:tcW w:w="561" w:type="pct"/>
          </w:tcPr>
          <w:p w14:paraId="11A493B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1 (14.3)</w:t>
            </w:r>
          </w:p>
        </w:tc>
        <w:tc>
          <w:tcPr>
            <w:tcW w:w="642" w:type="pct"/>
          </w:tcPr>
          <w:p w14:paraId="71C3A539"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4 (17.4)</w:t>
            </w:r>
          </w:p>
        </w:tc>
        <w:tc>
          <w:tcPr>
            <w:tcW w:w="695" w:type="pct"/>
          </w:tcPr>
          <w:p w14:paraId="79A6826D"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 (50.0)</w:t>
            </w:r>
          </w:p>
        </w:tc>
        <w:tc>
          <w:tcPr>
            <w:tcW w:w="513" w:type="pct"/>
          </w:tcPr>
          <w:p w14:paraId="03E68038"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8 (22.2)</w:t>
            </w:r>
          </w:p>
        </w:tc>
        <w:tc>
          <w:tcPr>
            <w:tcW w:w="491" w:type="pct"/>
          </w:tcPr>
          <w:p w14:paraId="3CD1981F"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37 (16.4)</w:t>
            </w:r>
          </w:p>
        </w:tc>
      </w:tr>
      <w:tr w:rsidR="00F05046" w:rsidRPr="00A7727F" w14:paraId="078F581F" w14:textId="77777777" w:rsidTr="00F37208">
        <w:trPr>
          <w:trHeight w:val="491"/>
        </w:trPr>
        <w:tc>
          <w:tcPr>
            <w:cnfStyle w:val="001000000000" w:firstRow="0" w:lastRow="0" w:firstColumn="1" w:lastColumn="0" w:oddVBand="0" w:evenVBand="0" w:oddHBand="0" w:evenHBand="0" w:firstRowFirstColumn="0" w:firstRowLastColumn="0" w:lastRowFirstColumn="0" w:lastRowLastColumn="0"/>
            <w:tcW w:w="1362" w:type="pct"/>
          </w:tcPr>
          <w:p w14:paraId="6C427251" w14:textId="77777777" w:rsidR="00A7727F" w:rsidRPr="00B30446" w:rsidRDefault="00A7727F" w:rsidP="00B30446">
            <w:pPr>
              <w:ind w:left="0" w:right="0"/>
              <w:rPr>
                <w:sz w:val="20"/>
                <w:lang w:eastAsia="ja-JP"/>
              </w:rPr>
            </w:pPr>
            <w:r w:rsidRPr="00B30446">
              <w:rPr>
                <w:sz w:val="20"/>
                <w:lang w:eastAsia="ja-JP"/>
              </w:rPr>
              <w:t>Fatal</w:t>
            </w:r>
          </w:p>
        </w:tc>
        <w:tc>
          <w:tcPr>
            <w:tcW w:w="736" w:type="pct"/>
          </w:tcPr>
          <w:p w14:paraId="4C28838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61" w:type="pct"/>
          </w:tcPr>
          <w:p w14:paraId="494A1C9E"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42" w:type="pct"/>
          </w:tcPr>
          <w:p w14:paraId="3B38C60C"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695" w:type="pct"/>
          </w:tcPr>
          <w:p w14:paraId="0C127C6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513" w:type="pct"/>
          </w:tcPr>
          <w:p w14:paraId="3C3A2353"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c>
          <w:tcPr>
            <w:tcW w:w="491" w:type="pct"/>
          </w:tcPr>
          <w:p w14:paraId="1D6A06B0" w14:textId="77777777" w:rsidR="00A7727F" w:rsidRPr="00B30446" w:rsidRDefault="00A7727F" w:rsidP="00B30446">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30446">
              <w:rPr>
                <w:sz w:val="20"/>
                <w:lang w:eastAsia="ja-JP"/>
              </w:rPr>
              <w:t>0 (0.0)</w:t>
            </w:r>
          </w:p>
        </w:tc>
      </w:tr>
    </w:tbl>
    <w:p w14:paraId="6E077FF8" w14:textId="450A02B8" w:rsidR="00A7727F" w:rsidRPr="00A7727F" w:rsidRDefault="00F05046" w:rsidP="00624E5D">
      <w:pPr>
        <w:pStyle w:val="TableDescription"/>
        <w:rPr>
          <w:lang w:eastAsia="ja-JP"/>
        </w:rPr>
      </w:pPr>
      <w:r>
        <w:rPr>
          <w:lang w:eastAsia="ja-JP"/>
        </w:rPr>
        <w:t xml:space="preserve">Note: </w:t>
      </w:r>
      <w:r w:rsidR="00A7727F" w:rsidRPr="00A7727F">
        <w:rPr>
          <w:lang w:eastAsia="ja-JP"/>
        </w:rPr>
        <w:t xml:space="preserve">Severity </w:t>
      </w:r>
      <w:r w:rsidR="00375CAE">
        <w:rPr>
          <w:lang w:eastAsia="ja-JP"/>
        </w:rPr>
        <w:t>Grade</w:t>
      </w:r>
      <w:r w:rsidR="00A7727F" w:rsidRPr="00A7727F">
        <w:rPr>
          <w:lang w:eastAsia="ja-JP"/>
        </w:rPr>
        <w:t>d using CTCAE version 4.0</w:t>
      </w:r>
    </w:p>
    <w:p w14:paraId="221D6CA9" w14:textId="46FA931D" w:rsidR="00A7727F" w:rsidRPr="00A7727F" w:rsidRDefault="00624E5D" w:rsidP="00624E5D">
      <w:pPr>
        <w:pStyle w:val="Heading4"/>
      </w:pPr>
      <w:bookmarkStart w:id="266" w:name="_Ref272333567"/>
      <w:bookmarkStart w:id="267" w:name="_Toc272414665"/>
      <w:bookmarkStart w:id="268" w:name="_Toc290846303"/>
      <w:bookmarkStart w:id="269" w:name="_Toc292015621"/>
      <w:r>
        <w:t xml:space="preserve">Treatment </w:t>
      </w:r>
      <w:r w:rsidR="00A7727F" w:rsidRPr="00A7727F">
        <w:t>related adverse events (adverse drug reactions)</w:t>
      </w:r>
      <w:bookmarkEnd w:id="266"/>
      <w:bookmarkEnd w:id="267"/>
      <w:bookmarkEnd w:id="268"/>
      <w:bookmarkEnd w:id="269"/>
    </w:p>
    <w:p w14:paraId="5DDE6449" w14:textId="77777777" w:rsidR="00A7727F" w:rsidRPr="00A7727F" w:rsidRDefault="00A7727F" w:rsidP="00624E5D">
      <w:pPr>
        <w:pStyle w:val="Heading5"/>
        <w:rPr>
          <w:lang w:eastAsia="ja-JP"/>
        </w:rPr>
      </w:pPr>
      <w:r w:rsidRPr="00A7727F">
        <w:rPr>
          <w:lang w:eastAsia="ja-JP"/>
        </w:rPr>
        <w:t>Pivotal studies and program-wide pooled population</w:t>
      </w:r>
    </w:p>
    <w:p w14:paraId="37BA3D01" w14:textId="221ACF3A" w:rsidR="00A7727F" w:rsidRPr="00A7727F" w:rsidRDefault="00A7727F" w:rsidP="00A7727F">
      <w:pPr>
        <w:rPr>
          <w:lang w:eastAsia="ja-JP"/>
        </w:rPr>
      </w:pPr>
      <w:r w:rsidRPr="00A7727F">
        <w:rPr>
          <w:lang w:eastAsia="ja-JP"/>
        </w:rPr>
        <w:t>In the adult relapsed/refractory ALL population, 75 subjects (33.3%) experienced a treatment interruption due to an adverse event. The system organ class (SOC) with the highest subject incidence leading to treatment interruption was Nervous System Disorders (13.3%). The most frequently reported adverse events leading to treatment interruptions (</w:t>
      </w:r>
      <w:r w:rsidR="00423768">
        <w:rPr>
          <w:lang w:eastAsia="ja-JP"/>
        </w:rPr>
        <w:t>≥</w:t>
      </w:r>
      <w:r w:rsidR="00375CAE">
        <w:rPr>
          <w:lang w:eastAsia="ja-JP"/>
        </w:rPr>
        <w:t xml:space="preserve"> </w:t>
      </w:r>
      <w:r w:rsidRPr="00A7727F">
        <w:rPr>
          <w:lang w:eastAsia="ja-JP"/>
        </w:rPr>
        <w:t>2% subject incidence) were confusional state (3.6%), encephalopathy (3.1%), tremor (2.7%), convulsion (2.2%), and pyrexia (2.2%).</w:t>
      </w:r>
    </w:p>
    <w:p w14:paraId="7EC32C32" w14:textId="72A687E1" w:rsidR="00A7727F" w:rsidRPr="00A7727F" w:rsidRDefault="00A7727F" w:rsidP="00A7727F">
      <w:pPr>
        <w:rPr>
          <w:lang w:eastAsia="ja-JP"/>
        </w:rPr>
      </w:pPr>
      <w:r w:rsidRPr="00A7727F">
        <w:rPr>
          <w:lang w:eastAsia="ja-JP"/>
        </w:rPr>
        <w:t xml:space="preserve">Dose delays due to adverse events may cause efficacy concerns in anti-cancer therapies due to the possibility of allowing the cancer to progress during the treatment interruption. However, subjects who interrupted blinatumomab treatment due to an adverse event before achieving remission and then restarted treatment had equally high rates of remission (CR/CRh*) as the study population overall (39.6% versus 42.9% overall in Study MT103-211 and 72.7% versus 69.4% overall in Study MT103-206). Similarly, remission rates (CR/CRh*) in subjects with treatment interruptions due to neurologic adverse events were similar to remission rates overall (42.1% versus 42.9% overall in Study MT103-211 and 66.7% versus 69.4% overall in Study MT103-206). Similar results were observed in subjects who interrupted blinatumomab due to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adverse events and </w:t>
      </w:r>
      <w:r w:rsidR="00375CAE">
        <w:rPr>
          <w:lang w:eastAsia="ja-JP"/>
        </w:rPr>
        <w:t xml:space="preserve">Grade </w:t>
      </w:r>
      <w:r w:rsidR="00423768">
        <w:rPr>
          <w:lang w:eastAsia="ja-JP"/>
        </w:rPr>
        <w:t>≥</w:t>
      </w:r>
      <w:r w:rsidR="00375CAE">
        <w:rPr>
          <w:lang w:eastAsia="ja-JP"/>
        </w:rPr>
        <w:t xml:space="preserve"> </w:t>
      </w:r>
      <w:r w:rsidRPr="00A7727F">
        <w:rPr>
          <w:lang w:eastAsia="ja-JP"/>
        </w:rPr>
        <w:t>3 neurologic adverse events occurring before achieving remission.</w:t>
      </w:r>
    </w:p>
    <w:p w14:paraId="20837C64" w14:textId="25C2450A" w:rsidR="00A7727F" w:rsidRPr="00A7727F" w:rsidRDefault="00A7727F" w:rsidP="00A7727F">
      <w:pPr>
        <w:rPr>
          <w:lang w:eastAsia="ja-JP"/>
        </w:rPr>
      </w:pPr>
      <w:r w:rsidRPr="00A7727F">
        <w:rPr>
          <w:lang w:eastAsia="ja-JP"/>
        </w:rPr>
        <w:t>In the adult relapsed/refractory population, 44 subjects (19.6%) permanently discontinued study treatment due to adverse events. The SOCs with the highest subject incidence of adverse events were Infections and Infestations (5.3%), with sepsis (1.8%) being the most frequently reported adverse event in this SOC, and Nervous System Disorders (4.4%), with encephalopathy (2.2%) being the most frequently reported adverse event in this SOC. All other adverse events leading to permanent treatment discontinuation were reported with a s</w:t>
      </w:r>
      <w:r w:rsidR="00624E5D">
        <w:rPr>
          <w:lang w:eastAsia="ja-JP"/>
        </w:rPr>
        <w:t>ubject incidence of less than 2%</w:t>
      </w:r>
      <w:r w:rsidRPr="00A7727F">
        <w:rPr>
          <w:lang w:eastAsia="ja-JP"/>
        </w:rPr>
        <w:t>.</w:t>
      </w:r>
    </w:p>
    <w:p w14:paraId="6F47D67A" w14:textId="1BC58F7F" w:rsidR="00A7727F" w:rsidRPr="00A7727F" w:rsidRDefault="00A7727F" w:rsidP="00A7727F">
      <w:pPr>
        <w:rPr>
          <w:lang w:eastAsia="ja-JP"/>
        </w:rPr>
      </w:pPr>
      <w:r w:rsidRPr="00A7727F">
        <w:rPr>
          <w:lang w:eastAsia="ja-JP"/>
        </w:rPr>
        <w:t>Overall, the types of adverse events leading to treatment interruptions and permanent treatment discontinuations reported in the adult relapsed/refractory ALL population were consistent wit</w:t>
      </w:r>
      <w:r w:rsidR="00624E5D">
        <w:rPr>
          <w:lang w:eastAsia="ja-JP"/>
        </w:rPr>
        <w:t xml:space="preserve">h those reported in the program </w:t>
      </w:r>
      <w:r w:rsidRPr="00A7727F">
        <w:rPr>
          <w:lang w:eastAsia="ja-JP"/>
        </w:rPr>
        <w:t>wide pooled population.</w:t>
      </w:r>
    </w:p>
    <w:p w14:paraId="31FBF178" w14:textId="77777777" w:rsidR="00A7727F" w:rsidRPr="00A7727F" w:rsidRDefault="00A7727F" w:rsidP="00624E5D">
      <w:pPr>
        <w:pStyle w:val="Heading4"/>
      </w:pPr>
      <w:bookmarkStart w:id="270" w:name="_Toc241374320"/>
      <w:bookmarkStart w:id="271" w:name="_Ref272333507"/>
      <w:bookmarkStart w:id="272" w:name="_Toc272414666"/>
      <w:bookmarkStart w:id="273" w:name="_Toc290846304"/>
      <w:bookmarkStart w:id="274" w:name="_Toc292015622"/>
      <w:r w:rsidRPr="00A7727F">
        <w:t>Deaths and other serious adverse events</w:t>
      </w:r>
      <w:bookmarkEnd w:id="270"/>
      <w:bookmarkEnd w:id="271"/>
      <w:bookmarkEnd w:id="272"/>
      <w:bookmarkEnd w:id="273"/>
      <w:bookmarkEnd w:id="274"/>
    </w:p>
    <w:p w14:paraId="296B58D8" w14:textId="77777777" w:rsidR="00A7727F" w:rsidRPr="00A7727F" w:rsidRDefault="00A7727F" w:rsidP="00624E5D">
      <w:pPr>
        <w:pStyle w:val="Heading5"/>
        <w:rPr>
          <w:lang w:eastAsia="ja-JP"/>
        </w:rPr>
      </w:pPr>
      <w:r w:rsidRPr="00A7727F">
        <w:rPr>
          <w:lang w:eastAsia="ja-JP"/>
        </w:rPr>
        <w:t>Pivotal studies and program-wide pooled population</w:t>
      </w:r>
    </w:p>
    <w:p w14:paraId="163C1E8D" w14:textId="4DBC1DBC" w:rsidR="00A7727F" w:rsidRPr="00A7727F" w:rsidRDefault="00624E5D" w:rsidP="00624E5D">
      <w:pPr>
        <w:pStyle w:val="Heading6"/>
        <w:rPr>
          <w:lang w:eastAsia="ja-JP"/>
        </w:rPr>
      </w:pPr>
      <w:r>
        <w:rPr>
          <w:lang w:eastAsia="ja-JP"/>
        </w:rPr>
        <w:t>Serious adverse e</w:t>
      </w:r>
      <w:r w:rsidR="00A7727F" w:rsidRPr="00A7727F">
        <w:rPr>
          <w:lang w:eastAsia="ja-JP"/>
        </w:rPr>
        <w:t>vents</w:t>
      </w:r>
    </w:p>
    <w:p w14:paraId="1B6CD706" w14:textId="370D1A63" w:rsidR="00A7727F" w:rsidRPr="00A7727F" w:rsidRDefault="00A7727F" w:rsidP="00A7727F">
      <w:pPr>
        <w:rPr>
          <w:lang w:eastAsia="ja-JP"/>
        </w:rPr>
      </w:pPr>
      <w:r w:rsidRPr="00A7727F">
        <w:rPr>
          <w:lang w:eastAsia="ja-JP"/>
        </w:rPr>
        <w:t>In the adult relapsed/refractory population, 64.9% of subjects experienced serious adverse events. The most frequently reported serious adverse events (subject incidence</w:t>
      </w:r>
      <w:r w:rsidR="00375CAE">
        <w:rPr>
          <w:lang w:eastAsia="ja-JP"/>
        </w:rPr>
        <w:t xml:space="preserve"> </w:t>
      </w:r>
      <w:r w:rsidR="00423768">
        <w:rPr>
          <w:lang w:eastAsia="ja-JP"/>
        </w:rPr>
        <w:t>≥</w:t>
      </w:r>
      <w:r w:rsidR="00375CAE">
        <w:rPr>
          <w:lang w:eastAsia="ja-JP"/>
        </w:rPr>
        <w:t xml:space="preserve"> </w:t>
      </w:r>
      <w:r w:rsidRPr="00A7727F">
        <w:rPr>
          <w:lang w:eastAsia="ja-JP"/>
        </w:rPr>
        <w:t>2%) were febrile neutrop</w:t>
      </w:r>
      <w:r w:rsidR="00624E5D">
        <w:rPr>
          <w:lang w:eastAsia="ja-JP"/>
        </w:rPr>
        <w:t>a</w:t>
      </w:r>
      <w:r w:rsidRPr="00A7727F">
        <w:rPr>
          <w:lang w:eastAsia="ja-JP"/>
        </w:rPr>
        <w:t>enia (7.6%), pyrexia (6.2%), pneumonia (4.9%), sepsis (4.4%), encephalopathy (3.6%), tremor (3.6%), neutropenia (3.1%)</w:t>
      </w:r>
      <w:r w:rsidR="00624E5D">
        <w:rPr>
          <w:lang w:eastAsia="ja-JP"/>
        </w:rPr>
        <w:t xml:space="preserve">, device </w:t>
      </w:r>
      <w:r w:rsidRPr="00A7727F">
        <w:rPr>
          <w:lang w:eastAsia="ja-JP"/>
        </w:rPr>
        <w:t xml:space="preserve">related infection (3.1%), infection (2.7%), overdose (2.2%), and confusional state (2.2%). All other reported SAEs were reported with a </w:t>
      </w:r>
      <w:r w:rsidR="00624E5D">
        <w:rPr>
          <w:lang w:eastAsia="ja-JP"/>
        </w:rPr>
        <w:t>subject incidence of less than 2%</w:t>
      </w:r>
      <w:r w:rsidRPr="00A7727F">
        <w:rPr>
          <w:lang w:eastAsia="ja-JP"/>
        </w:rPr>
        <w:t>.</w:t>
      </w:r>
    </w:p>
    <w:p w14:paraId="428EA516" w14:textId="66A0A861" w:rsidR="00A7727F" w:rsidRPr="00624E5D" w:rsidRDefault="00A7727F" w:rsidP="00A7727F">
      <w:pPr>
        <w:rPr>
          <w:lang w:eastAsia="ja-JP"/>
        </w:rPr>
      </w:pPr>
      <w:r w:rsidRPr="00A7727F">
        <w:rPr>
          <w:lang w:eastAsia="ja-JP"/>
        </w:rPr>
        <w:t>Overall, the types of serious adverse events reported in the adult relapsed/refractory ALL population were consistent with those reported in the program-wide pooled population. Additionally, in the ongoing and recently initiated studies (Studies MT103-211, MT103-202, MT103-205, MT103-208, 00103311, and 20120216), the types of serious adverse events reported after the primary analysis data cut-off date (10 October 2014) through 30 March 2014 were consistent with those reported in the program-wide pooled population. Across blinatumomab studies, serious adverse events that were observed (such as neutrop</w:t>
      </w:r>
      <w:r w:rsidR="00624E5D">
        <w:rPr>
          <w:lang w:eastAsia="ja-JP"/>
        </w:rPr>
        <w:t>a</w:t>
      </w:r>
      <w:r w:rsidRPr="00A7727F">
        <w:rPr>
          <w:lang w:eastAsia="ja-JP"/>
        </w:rPr>
        <w:t>enia, febrile neutrop</w:t>
      </w:r>
      <w:r w:rsidR="00624E5D">
        <w:rPr>
          <w:lang w:eastAsia="ja-JP"/>
        </w:rPr>
        <w:t xml:space="preserve">aenia, sepsis, and device </w:t>
      </w:r>
      <w:r w:rsidRPr="00A7727F">
        <w:rPr>
          <w:lang w:eastAsia="ja-JP"/>
        </w:rPr>
        <w:t>related infections) reflect events that are common in patients with hematologic malignancies and who have received prior combination chemotherapies. Cytop</w:t>
      </w:r>
      <w:r w:rsidR="00624E5D">
        <w:rPr>
          <w:lang w:eastAsia="ja-JP"/>
        </w:rPr>
        <w:t>a</w:t>
      </w:r>
      <w:r w:rsidRPr="00A7727F">
        <w:rPr>
          <w:lang w:eastAsia="ja-JP"/>
        </w:rPr>
        <w:t>enias (including neutrop</w:t>
      </w:r>
      <w:r w:rsidR="00624E5D">
        <w:rPr>
          <w:lang w:eastAsia="ja-JP"/>
        </w:rPr>
        <w:t>a</w:t>
      </w:r>
      <w:r w:rsidRPr="00A7727F">
        <w:rPr>
          <w:lang w:eastAsia="ja-JP"/>
        </w:rPr>
        <w:t>enia/febrile neutrop</w:t>
      </w:r>
      <w:r w:rsidR="00624E5D">
        <w:rPr>
          <w:lang w:eastAsia="ja-JP"/>
        </w:rPr>
        <w:t>a</w:t>
      </w:r>
      <w:r w:rsidRPr="00A7727F">
        <w:rPr>
          <w:lang w:eastAsia="ja-JP"/>
        </w:rPr>
        <w:t xml:space="preserve">enia), infections, medication errors (including overdose), and neurologic events are among the adverse events of interest with blinatumomab and are discussed </w:t>
      </w:r>
      <w:r w:rsidR="00CD2DA9">
        <w:rPr>
          <w:lang w:eastAsia="ja-JP"/>
        </w:rPr>
        <w:t>elsewhere.</w:t>
      </w:r>
    </w:p>
    <w:p w14:paraId="756025BD" w14:textId="77C429DC" w:rsidR="00A7727F" w:rsidRPr="00A7727F" w:rsidRDefault="00624E5D" w:rsidP="00624E5D">
      <w:pPr>
        <w:pStyle w:val="Heading6"/>
        <w:rPr>
          <w:lang w:eastAsia="ja-JP"/>
        </w:rPr>
      </w:pPr>
      <w:r>
        <w:rPr>
          <w:lang w:eastAsia="ja-JP"/>
        </w:rPr>
        <w:t>Fatal adverse e</w:t>
      </w:r>
      <w:r w:rsidR="00A7727F" w:rsidRPr="00A7727F">
        <w:rPr>
          <w:lang w:eastAsia="ja-JP"/>
        </w:rPr>
        <w:t>vents</w:t>
      </w:r>
    </w:p>
    <w:p w14:paraId="0494C152" w14:textId="71902B11" w:rsidR="00A7727F" w:rsidRPr="00A7727F" w:rsidRDefault="00A7727F" w:rsidP="00A7727F">
      <w:pPr>
        <w:rPr>
          <w:lang w:eastAsia="ja-JP"/>
        </w:rPr>
      </w:pPr>
      <w:r w:rsidRPr="00A7727F">
        <w:rPr>
          <w:lang w:eastAsia="ja-JP"/>
        </w:rPr>
        <w:t>In the prog</w:t>
      </w:r>
      <w:r w:rsidR="00624E5D">
        <w:rPr>
          <w:lang w:eastAsia="ja-JP"/>
        </w:rPr>
        <w:t xml:space="preserve">ram </w:t>
      </w:r>
      <w:r w:rsidRPr="00A7727F">
        <w:rPr>
          <w:lang w:eastAsia="ja-JP"/>
        </w:rPr>
        <w:t>wide pooled population, fatal adverse events (that were treatment emergent and occurred up to 30 days after the last blinatumomab dose) were reported for 47 subjects during the blinatumomab studies. Consistent with the background diseases, the subject incidence of fatal adverse events was higher in the adult and p</w:t>
      </w:r>
      <w:r w:rsidR="00624E5D">
        <w:rPr>
          <w:lang w:eastAsia="ja-JP"/>
        </w:rPr>
        <w:t>a</w:t>
      </w:r>
      <w:r w:rsidRPr="00A7727F">
        <w:rPr>
          <w:lang w:eastAsia="ja-JP"/>
        </w:rPr>
        <w:t>ediatric relapsed</w:t>
      </w:r>
      <w:r w:rsidR="00624E5D">
        <w:rPr>
          <w:lang w:eastAsia="ja-JP"/>
        </w:rPr>
        <w:t>/refractory populations (15.1% (</w:t>
      </w:r>
      <w:r w:rsidRPr="00A7727F">
        <w:rPr>
          <w:lang w:eastAsia="ja-JP"/>
        </w:rPr>
        <w:t>n</w:t>
      </w:r>
      <w:r w:rsidR="00375CAE">
        <w:rPr>
          <w:lang w:eastAsia="ja-JP"/>
        </w:rPr>
        <w:t xml:space="preserve"> </w:t>
      </w:r>
      <w:r w:rsidR="00423768">
        <w:rPr>
          <w:lang w:eastAsia="ja-JP"/>
        </w:rPr>
        <w:t>=</w:t>
      </w:r>
      <w:r w:rsidR="00375CAE">
        <w:rPr>
          <w:lang w:eastAsia="ja-JP"/>
        </w:rPr>
        <w:t xml:space="preserve"> </w:t>
      </w:r>
      <w:r w:rsidR="00624E5D">
        <w:rPr>
          <w:lang w:eastAsia="ja-JP"/>
        </w:rPr>
        <w:t>34)</w:t>
      </w:r>
      <w:r w:rsidRPr="00A7727F">
        <w:rPr>
          <w:lang w:eastAsia="ja-JP"/>
        </w:rPr>
        <w:t xml:space="preserve"> in adult rel</w:t>
      </w:r>
      <w:r w:rsidR="00624E5D">
        <w:rPr>
          <w:lang w:eastAsia="ja-JP"/>
        </w:rPr>
        <w:t>apsed/refractory ALL and 19.5% (</w:t>
      </w:r>
      <w:r w:rsidRPr="00A7727F">
        <w:rPr>
          <w:lang w:eastAsia="ja-JP"/>
        </w:rPr>
        <w:t>n</w:t>
      </w:r>
      <w:r w:rsidR="00375CAE">
        <w:rPr>
          <w:lang w:eastAsia="ja-JP"/>
        </w:rPr>
        <w:t xml:space="preserve"> </w:t>
      </w:r>
      <w:r w:rsidR="00423768">
        <w:rPr>
          <w:lang w:eastAsia="ja-JP"/>
        </w:rPr>
        <w:t>=</w:t>
      </w:r>
      <w:r w:rsidR="00375CAE">
        <w:rPr>
          <w:lang w:eastAsia="ja-JP"/>
        </w:rPr>
        <w:t xml:space="preserve"> </w:t>
      </w:r>
      <w:r w:rsidR="00624E5D">
        <w:rPr>
          <w:lang w:eastAsia="ja-JP"/>
        </w:rPr>
        <w:t>8)</w:t>
      </w:r>
      <w:r w:rsidRPr="00A7727F">
        <w:rPr>
          <w:lang w:eastAsia="ja-JP"/>
        </w:rPr>
        <w:t xml:space="preserve"> in p</w:t>
      </w:r>
      <w:r w:rsidR="00624E5D">
        <w:rPr>
          <w:lang w:eastAsia="ja-JP"/>
        </w:rPr>
        <w:t>a</w:t>
      </w:r>
      <w:r w:rsidRPr="00A7727F">
        <w:rPr>
          <w:lang w:eastAsia="ja-JP"/>
        </w:rPr>
        <w:t>ediatric relapsed/refractory ALL), and lower in the MRD</w:t>
      </w:r>
      <w:r w:rsidR="00624E5D">
        <w:rPr>
          <w:lang w:eastAsia="ja-JP"/>
        </w:rPr>
        <w:t xml:space="preserve"> </w:t>
      </w:r>
      <w:r w:rsidRPr="00A7727F">
        <w:rPr>
          <w:lang w:eastAsia="ja-JP"/>
        </w:rPr>
        <w:t>positive ALL and relapsed/re</w:t>
      </w:r>
      <w:r w:rsidR="00624E5D">
        <w:rPr>
          <w:lang w:eastAsia="ja-JP"/>
        </w:rPr>
        <w:t>fractory NHL populations (1.8% (</w:t>
      </w:r>
      <w:r w:rsidRPr="00A7727F">
        <w:rPr>
          <w:lang w:eastAsia="ja-JP"/>
        </w:rPr>
        <w:t>n</w:t>
      </w:r>
      <w:r w:rsidR="00375CAE">
        <w:rPr>
          <w:lang w:eastAsia="ja-JP"/>
        </w:rPr>
        <w:t xml:space="preserve"> </w:t>
      </w:r>
      <w:r w:rsidR="00423768">
        <w:rPr>
          <w:lang w:eastAsia="ja-JP"/>
        </w:rPr>
        <w:t>=</w:t>
      </w:r>
      <w:r w:rsidR="00375CAE">
        <w:rPr>
          <w:lang w:eastAsia="ja-JP"/>
        </w:rPr>
        <w:t xml:space="preserve"> </w:t>
      </w:r>
      <w:r w:rsidR="00624E5D">
        <w:rPr>
          <w:lang w:eastAsia="ja-JP"/>
        </w:rPr>
        <w:t>2)</w:t>
      </w:r>
      <w:r w:rsidRPr="00A7727F">
        <w:rPr>
          <w:lang w:eastAsia="ja-JP"/>
        </w:rPr>
        <w:t xml:space="preserve"> in MRD</w:t>
      </w:r>
      <w:r w:rsidR="00624E5D">
        <w:rPr>
          <w:lang w:eastAsia="ja-JP"/>
        </w:rPr>
        <w:t xml:space="preserve"> positive ALL and 3.2% (</w:t>
      </w:r>
      <w:r w:rsidRPr="00A7727F">
        <w:rPr>
          <w:lang w:eastAsia="ja-JP"/>
        </w:rPr>
        <w:t>n</w:t>
      </w:r>
      <w:r w:rsidR="00375CAE">
        <w:rPr>
          <w:lang w:eastAsia="ja-JP"/>
        </w:rPr>
        <w:t xml:space="preserve"> </w:t>
      </w:r>
      <w:r w:rsidR="00423768">
        <w:rPr>
          <w:lang w:eastAsia="ja-JP"/>
        </w:rPr>
        <w:t>=</w:t>
      </w:r>
      <w:r w:rsidR="00375CAE">
        <w:rPr>
          <w:lang w:eastAsia="ja-JP"/>
        </w:rPr>
        <w:t xml:space="preserve"> </w:t>
      </w:r>
      <w:r w:rsidR="00624E5D">
        <w:rPr>
          <w:lang w:eastAsia="ja-JP"/>
        </w:rPr>
        <w:t>3)</w:t>
      </w:r>
      <w:r w:rsidRPr="00A7727F">
        <w:rPr>
          <w:lang w:eastAsia="ja-JP"/>
        </w:rPr>
        <w:t xml:space="preserve"> in relapsed/refractory NHL).</w:t>
      </w:r>
    </w:p>
    <w:p w14:paraId="59C90B6E" w14:textId="6C7D055D" w:rsidR="00A7727F" w:rsidRPr="00A7727F" w:rsidRDefault="00A7727F" w:rsidP="00A7727F">
      <w:pPr>
        <w:rPr>
          <w:lang w:eastAsia="ja-JP"/>
        </w:rPr>
      </w:pPr>
      <w:r w:rsidRPr="00A7727F">
        <w:rPr>
          <w:lang w:eastAsia="ja-JP"/>
        </w:rPr>
        <w:t>In the adult relapsed/refractory ALL population, all but 1 fatal adverse event (due to infection/septic shock following allogeneic HSCT) occurred in the setting of active disease. The most frequently reported fatal adverse events (occurring in</w:t>
      </w:r>
      <w:r w:rsidR="00375CAE">
        <w:rPr>
          <w:lang w:eastAsia="ja-JP"/>
        </w:rPr>
        <w:t xml:space="preserve"> </w:t>
      </w:r>
      <w:r w:rsidR="00423768">
        <w:rPr>
          <w:lang w:eastAsia="ja-JP"/>
        </w:rPr>
        <w:t>≥</w:t>
      </w:r>
      <w:r w:rsidR="00375CAE">
        <w:rPr>
          <w:lang w:eastAsia="ja-JP"/>
        </w:rPr>
        <w:t xml:space="preserve"> </w:t>
      </w:r>
      <w:r w:rsidRPr="00A7727F">
        <w:rPr>
          <w:lang w:eastAsia="ja-JP"/>
        </w:rPr>
        <w:t>2 subjects) were sepsis, septic shock, Fusarium infection, pneumonia, fungal pneumonia, acute lymphocytic leuk</w:t>
      </w:r>
      <w:r w:rsidR="00624E5D">
        <w:rPr>
          <w:lang w:eastAsia="ja-JP"/>
        </w:rPr>
        <w:t>a</w:t>
      </w:r>
      <w:r w:rsidRPr="00A7727F">
        <w:rPr>
          <w:lang w:eastAsia="ja-JP"/>
        </w:rPr>
        <w:t>emia, and disease progression. In the program-wide pooled population, the most frequently reported fatal adverse events (occurring in</w:t>
      </w:r>
      <w:r w:rsidR="00375CAE">
        <w:rPr>
          <w:lang w:eastAsia="ja-JP"/>
        </w:rPr>
        <w:t xml:space="preserve"> </w:t>
      </w:r>
      <w:r w:rsidR="00423768">
        <w:rPr>
          <w:lang w:eastAsia="ja-JP"/>
        </w:rPr>
        <w:t>≥</w:t>
      </w:r>
      <w:r w:rsidR="00375CAE">
        <w:rPr>
          <w:lang w:eastAsia="ja-JP"/>
        </w:rPr>
        <w:t xml:space="preserve"> </w:t>
      </w:r>
      <w:r w:rsidRPr="00A7727F">
        <w:rPr>
          <w:lang w:eastAsia="ja-JP"/>
        </w:rPr>
        <w:t>2 subjects) were sepsis, pneumonia, disease progression, respiratory failure, septic shock, fungal pneumonia, Fusarium infection, and acute lymphocytic leuk</w:t>
      </w:r>
      <w:r w:rsidR="00624E5D">
        <w:rPr>
          <w:lang w:eastAsia="ja-JP"/>
        </w:rPr>
        <w:t>a</w:t>
      </w:r>
      <w:r w:rsidRPr="00A7727F">
        <w:rPr>
          <w:lang w:eastAsia="ja-JP"/>
        </w:rPr>
        <w:t>emia. None of the deaths were due to adverse events that would be unanticipated in patients with hematologic malignancies.</w:t>
      </w:r>
    </w:p>
    <w:p w14:paraId="10C84DFC" w14:textId="5B42A4EB" w:rsidR="00A7727F" w:rsidRPr="00A7727F" w:rsidRDefault="00A7727F" w:rsidP="00A7727F">
      <w:pPr>
        <w:rPr>
          <w:lang w:eastAsia="ja-JP"/>
        </w:rPr>
      </w:pPr>
      <w:r w:rsidRPr="00A7727F">
        <w:rPr>
          <w:lang w:eastAsia="ja-JP"/>
        </w:rPr>
        <w:t>Across all indications, the SOC with the highest subject incidence of fatal adverse events was Infections and Infestations (5.9%), with sepsis (1.5%) being the most frequently reported fatal adverse event in this SOC. The subject incidence of fatal adverse events in the Infection and Infestations SOC was highest in the adult relapsed/refractory ALL population (10.2%), compared with the p</w:t>
      </w:r>
      <w:r w:rsidR="00432724">
        <w:rPr>
          <w:lang w:eastAsia="ja-JP"/>
        </w:rPr>
        <w:t>a</w:t>
      </w:r>
      <w:r w:rsidRPr="00A7727F">
        <w:rPr>
          <w:lang w:eastAsia="ja-JP"/>
        </w:rPr>
        <w:t>ediatric relapsed/refractory ALL population (4.9%), relapsed/refractory</w:t>
      </w:r>
      <w:r w:rsidR="00432724">
        <w:rPr>
          <w:lang w:eastAsia="ja-JP"/>
        </w:rPr>
        <w:t xml:space="preserve"> NHL population (2.1%), and MRD </w:t>
      </w:r>
      <w:r w:rsidRPr="00A7727F">
        <w:rPr>
          <w:lang w:eastAsia="ja-JP"/>
        </w:rPr>
        <w:t xml:space="preserve">positive ALL population (0.9%). Seven of </w:t>
      </w:r>
      <w:r w:rsidR="00432724">
        <w:rPr>
          <w:lang w:eastAsia="ja-JP"/>
        </w:rPr>
        <w:t>the 47 deaths (3 due to sepsis (</w:t>
      </w:r>
      <w:r w:rsidRPr="00A7727F">
        <w:rPr>
          <w:lang w:eastAsia="ja-JP"/>
        </w:rPr>
        <w:t>sepsis, bacterial</w:t>
      </w:r>
      <w:r w:rsidR="00432724">
        <w:rPr>
          <w:lang w:eastAsia="ja-JP"/>
        </w:rPr>
        <w:t xml:space="preserve"> sepsis, and Escherichia sepsis)</w:t>
      </w:r>
      <w:r w:rsidRPr="00A7727F">
        <w:rPr>
          <w:lang w:eastAsia="ja-JP"/>
        </w:rPr>
        <w:t>, 1 due to Pneumocystis jirovecii pneumonia, 1 du</w:t>
      </w:r>
      <w:r w:rsidR="00432724">
        <w:rPr>
          <w:lang w:eastAsia="ja-JP"/>
        </w:rPr>
        <w:t>e to invasive fungal infection (</w:t>
      </w:r>
      <w:r w:rsidRPr="00A7727F">
        <w:rPr>
          <w:lang w:eastAsia="ja-JP"/>
        </w:rPr>
        <w:t>c</w:t>
      </w:r>
      <w:r w:rsidR="00432724">
        <w:rPr>
          <w:lang w:eastAsia="ja-JP"/>
        </w:rPr>
        <w:t>entral nervous system infection)</w:t>
      </w:r>
      <w:r w:rsidRPr="00A7727F">
        <w:rPr>
          <w:lang w:eastAsia="ja-JP"/>
        </w:rPr>
        <w:t>, 1 due to respiratory failure, and 1 due to candida infection) were considered by the investigator to be possibly related to blinatumomab. Based on its mechanism of action, blinatumomab causes B-cell depletion, resulting in decreased immunoglobulins. However, other confounding factors contribute to immunosuppression in these subjects with h</w:t>
      </w:r>
      <w:r w:rsidR="00432724">
        <w:rPr>
          <w:lang w:eastAsia="ja-JP"/>
        </w:rPr>
        <w:t>a</w:t>
      </w:r>
      <w:r w:rsidRPr="00A7727F">
        <w:rPr>
          <w:lang w:eastAsia="ja-JP"/>
        </w:rPr>
        <w:t>ematological malignancies, including the underlying malignancies (particularly high tumo</w:t>
      </w:r>
      <w:r w:rsidR="00432724">
        <w:rPr>
          <w:lang w:eastAsia="ja-JP"/>
        </w:rPr>
        <w:t>u</w:t>
      </w:r>
      <w:r w:rsidRPr="00A7727F">
        <w:rPr>
          <w:lang w:eastAsia="ja-JP"/>
        </w:rPr>
        <w:t>r burden), impaired bone marrow function, and previous therapies.</w:t>
      </w:r>
    </w:p>
    <w:p w14:paraId="6F6479E9" w14:textId="0299B330" w:rsidR="00A7727F" w:rsidRPr="00A7727F" w:rsidRDefault="00432724" w:rsidP="00E970C0">
      <w:pPr>
        <w:pStyle w:val="Heading4"/>
      </w:pPr>
      <w:bookmarkStart w:id="275" w:name="_Ref291830966"/>
      <w:bookmarkStart w:id="276" w:name="_Ref291832198"/>
      <w:bookmarkStart w:id="277" w:name="_Toc292015623"/>
      <w:r>
        <w:t>Adverse events of special i</w:t>
      </w:r>
      <w:r w:rsidR="00A7727F" w:rsidRPr="00A7727F">
        <w:t>nterest</w:t>
      </w:r>
      <w:bookmarkEnd w:id="275"/>
      <w:bookmarkEnd w:id="276"/>
      <w:bookmarkEnd w:id="277"/>
    </w:p>
    <w:p w14:paraId="7CA5D6C7" w14:textId="77777777" w:rsidR="00A7727F" w:rsidRPr="00A7727F" w:rsidRDefault="00A7727F" w:rsidP="00A7727F">
      <w:pPr>
        <w:rPr>
          <w:lang w:eastAsia="ja-JP"/>
        </w:rPr>
      </w:pPr>
      <w:r w:rsidRPr="00A7727F">
        <w:rPr>
          <w:lang w:eastAsia="ja-JP"/>
        </w:rPr>
        <w:t>Adverse events of special interest were defined for blinatumomab based upon emerging clinical data, the mechanism of action of the product, and potential risks as defined by nonclinical data. In general, adverse events of interest can be described in 4 broad categories as shown below:</w:t>
      </w:r>
    </w:p>
    <w:p w14:paraId="012D894E" w14:textId="77777777" w:rsidR="00A7727F" w:rsidRPr="00A7727F" w:rsidRDefault="00A7727F" w:rsidP="005C2644">
      <w:pPr>
        <w:pStyle w:val="ListBullet"/>
        <w:rPr>
          <w:lang w:eastAsia="ja-JP"/>
        </w:rPr>
      </w:pPr>
      <w:r w:rsidRPr="00A7727F">
        <w:rPr>
          <w:lang w:eastAsia="ja-JP"/>
        </w:rPr>
        <w:t>Adverse events that are possibly associated with the pharmacologic activity (mechanism of action) of blinatumomab:</w:t>
      </w:r>
    </w:p>
    <w:p w14:paraId="4AF9364C" w14:textId="77777777" w:rsidR="00A7727F" w:rsidRPr="00A7727F" w:rsidRDefault="00A7727F" w:rsidP="005C2644">
      <w:pPr>
        <w:pStyle w:val="ListBullet2"/>
        <w:rPr>
          <w:lang w:eastAsia="ja-JP"/>
        </w:rPr>
      </w:pPr>
      <w:r w:rsidRPr="00A7727F">
        <w:rPr>
          <w:lang w:eastAsia="ja-JP"/>
        </w:rPr>
        <w:t>Neurologic events</w:t>
      </w:r>
    </w:p>
    <w:p w14:paraId="55A4EDF5" w14:textId="77777777" w:rsidR="00A7727F" w:rsidRPr="00A7727F" w:rsidRDefault="00A7727F" w:rsidP="005C2644">
      <w:pPr>
        <w:pStyle w:val="ListBullet2"/>
        <w:rPr>
          <w:lang w:eastAsia="ja-JP"/>
        </w:rPr>
      </w:pPr>
      <w:r w:rsidRPr="00A7727F">
        <w:rPr>
          <w:lang w:eastAsia="ja-JP"/>
        </w:rPr>
        <w:t>Cytokine release syndrome</w:t>
      </w:r>
    </w:p>
    <w:p w14:paraId="3349A7F9" w14:textId="77777777" w:rsidR="00A7727F" w:rsidRPr="00A7727F" w:rsidRDefault="00A7727F" w:rsidP="005C2644">
      <w:pPr>
        <w:pStyle w:val="ListBullet2"/>
        <w:rPr>
          <w:lang w:eastAsia="ja-JP"/>
        </w:rPr>
      </w:pPr>
      <w:r w:rsidRPr="00A7727F">
        <w:rPr>
          <w:lang w:eastAsia="ja-JP"/>
        </w:rPr>
        <w:t>Capillary leak syndrome</w:t>
      </w:r>
    </w:p>
    <w:p w14:paraId="2BBDB860" w14:textId="77777777" w:rsidR="00A7727F" w:rsidRPr="00A7727F" w:rsidRDefault="00A7727F" w:rsidP="005C2644">
      <w:pPr>
        <w:pStyle w:val="ListBullet2"/>
        <w:rPr>
          <w:lang w:eastAsia="ja-JP"/>
        </w:rPr>
      </w:pPr>
      <w:r w:rsidRPr="00A7727F">
        <w:rPr>
          <w:lang w:eastAsia="ja-JP"/>
        </w:rPr>
        <w:t>Decreased immunoglobulins</w:t>
      </w:r>
    </w:p>
    <w:p w14:paraId="28570834" w14:textId="77777777" w:rsidR="00A7727F" w:rsidRPr="00A7727F" w:rsidRDefault="00A7727F" w:rsidP="005C2644">
      <w:pPr>
        <w:pStyle w:val="ListBullet"/>
        <w:rPr>
          <w:lang w:eastAsia="ja-JP"/>
        </w:rPr>
      </w:pPr>
      <w:r w:rsidRPr="00A7727F">
        <w:rPr>
          <w:lang w:eastAsia="ja-JP"/>
        </w:rPr>
        <w:t>Adverse events that are likely secondary effects of blinatumomab treatment due to host or disease factors:</w:t>
      </w:r>
    </w:p>
    <w:p w14:paraId="2DE277C0" w14:textId="77777777" w:rsidR="00A7727F" w:rsidRPr="00A7727F" w:rsidRDefault="00A7727F" w:rsidP="005C2644">
      <w:pPr>
        <w:pStyle w:val="ListBullet2"/>
        <w:rPr>
          <w:lang w:eastAsia="ja-JP"/>
        </w:rPr>
      </w:pPr>
      <w:r w:rsidRPr="00A7727F">
        <w:rPr>
          <w:lang w:eastAsia="ja-JP"/>
        </w:rPr>
        <w:t>Infusion reactions</w:t>
      </w:r>
    </w:p>
    <w:p w14:paraId="6418D7D1" w14:textId="4177C6AE" w:rsidR="00A7727F" w:rsidRPr="00A7727F" w:rsidRDefault="00A7727F" w:rsidP="005C2644">
      <w:pPr>
        <w:pStyle w:val="ListBullet2"/>
        <w:rPr>
          <w:lang w:eastAsia="ja-JP"/>
        </w:rPr>
      </w:pPr>
      <w:r w:rsidRPr="00A7727F">
        <w:rPr>
          <w:lang w:eastAsia="ja-JP"/>
        </w:rPr>
        <w:t>Tumo</w:t>
      </w:r>
      <w:r w:rsidR="005C2644">
        <w:rPr>
          <w:lang w:eastAsia="ja-JP"/>
        </w:rPr>
        <w:t>u</w:t>
      </w:r>
      <w:r w:rsidRPr="00A7727F">
        <w:rPr>
          <w:lang w:eastAsia="ja-JP"/>
        </w:rPr>
        <w:t>r lysis syndrome</w:t>
      </w:r>
    </w:p>
    <w:p w14:paraId="281C4950" w14:textId="77777777" w:rsidR="00A7727F" w:rsidRPr="00A7727F" w:rsidRDefault="00A7727F" w:rsidP="005C2644">
      <w:pPr>
        <w:pStyle w:val="ListBullet2"/>
        <w:rPr>
          <w:lang w:eastAsia="ja-JP"/>
        </w:rPr>
      </w:pPr>
      <w:r w:rsidRPr="00A7727F">
        <w:rPr>
          <w:lang w:eastAsia="ja-JP"/>
        </w:rPr>
        <w:t>Elevated liver enzymes</w:t>
      </w:r>
    </w:p>
    <w:p w14:paraId="60355A7A" w14:textId="77777777" w:rsidR="00A7727F" w:rsidRPr="00A7727F" w:rsidRDefault="00A7727F" w:rsidP="005C2644">
      <w:pPr>
        <w:pStyle w:val="ListBullet"/>
        <w:rPr>
          <w:lang w:eastAsia="ja-JP"/>
        </w:rPr>
      </w:pPr>
      <w:r w:rsidRPr="00A7727F">
        <w:rPr>
          <w:lang w:eastAsia="ja-JP"/>
        </w:rPr>
        <w:t>Adverse events likely associated with the underlying disease and/or prior therapy exposure:</w:t>
      </w:r>
    </w:p>
    <w:p w14:paraId="79DCE10B" w14:textId="77777777" w:rsidR="00A7727F" w:rsidRPr="00A7727F" w:rsidRDefault="00A7727F" w:rsidP="005C2644">
      <w:pPr>
        <w:pStyle w:val="ListBullet2"/>
        <w:rPr>
          <w:lang w:eastAsia="ja-JP"/>
        </w:rPr>
      </w:pPr>
      <w:r w:rsidRPr="00A7727F">
        <w:rPr>
          <w:lang w:eastAsia="ja-JP"/>
        </w:rPr>
        <w:t>Infections</w:t>
      </w:r>
    </w:p>
    <w:p w14:paraId="29B26453" w14:textId="4BA809C4" w:rsidR="00A7727F" w:rsidRPr="00A7727F" w:rsidRDefault="00A7727F" w:rsidP="005C2644">
      <w:pPr>
        <w:pStyle w:val="ListBullet2"/>
        <w:rPr>
          <w:lang w:eastAsia="ja-JP"/>
        </w:rPr>
      </w:pPr>
      <w:r w:rsidRPr="00A7727F">
        <w:rPr>
          <w:lang w:eastAsia="ja-JP"/>
        </w:rPr>
        <w:t>Cytop</w:t>
      </w:r>
      <w:r w:rsidR="005C2644">
        <w:rPr>
          <w:lang w:eastAsia="ja-JP"/>
        </w:rPr>
        <w:t>a</w:t>
      </w:r>
      <w:r w:rsidRPr="00A7727F">
        <w:rPr>
          <w:lang w:eastAsia="ja-JP"/>
        </w:rPr>
        <w:t>enias (including neutropenia and febrile neutropenia)</w:t>
      </w:r>
    </w:p>
    <w:p w14:paraId="3BBF8B69" w14:textId="77777777" w:rsidR="00A7727F" w:rsidRPr="00A7727F" w:rsidRDefault="00A7727F" w:rsidP="005C2644">
      <w:pPr>
        <w:pStyle w:val="ListBullet2"/>
        <w:rPr>
          <w:lang w:eastAsia="ja-JP"/>
        </w:rPr>
      </w:pPr>
      <w:r w:rsidRPr="00A7727F">
        <w:rPr>
          <w:lang w:eastAsia="ja-JP"/>
        </w:rPr>
        <w:t>Venous thrombosis and thromboembolic events, including DIC</w:t>
      </w:r>
    </w:p>
    <w:p w14:paraId="3E540B05" w14:textId="77777777" w:rsidR="00A7727F" w:rsidRPr="00A7727F" w:rsidRDefault="00A7727F" w:rsidP="005C2644">
      <w:pPr>
        <w:pStyle w:val="ListBullet2"/>
        <w:rPr>
          <w:lang w:eastAsia="ja-JP"/>
        </w:rPr>
      </w:pPr>
      <w:r w:rsidRPr="00A7727F">
        <w:rPr>
          <w:lang w:eastAsia="ja-JP"/>
        </w:rPr>
        <w:t>Leukoencephalopathy</w:t>
      </w:r>
    </w:p>
    <w:p w14:paraId="39378A6B" w14:textId="77777777" w:rsidR="00A7727F" w:rsidRPr="00A7727F" w:rsidRDefault="00A7727F" w:rsidP="005C2644">
      <w:pPr>
        <w:pStyle w:val="ListBullet"/>
        <w:rPr>
          <w:lang w:eastAsia="ja-JP"/>
        </w:rPr>
      </w:pPr>
      <w:r w:rsidRPr="00A7727F">
        <w:rPr>
          <w:lang w:eastAsia="ja-JP"/>
        </w:rPr>
        <w:t>Adverse events related to preparation, administration, and drug delivery system:</w:t>
      </w:r>
    </w:p>
    <w:p w14:paraId="22C60F47" w14:textId="77777777" w:rsidR="00A7727F" w:rsidRPr="00A7727F" w:rsidRDefault="00A7727F" w:rsidP="005C2644">
      <w:pPr>
        <w:pStyle w:val="ListBullet2"/>
        <w:rPr>
          <w:lang w:eastAsia="ja-JP"/>
        </w:rPr>
      </w:pPr>
      <w:r w:rsidRPr="00A7727F">
        <w:rPr>
          <w:lang w:eastAsia="ja-JP"/>
        </w:rPr>
        <w:t>Medication errors</w:t>
      </w:r>
    </w:p>
    <w:p w14:paraId="2344D98E" w14:textId="77777777" w:rsidR="00A7727F" w:rsidRPr="00A7727F" w:rsidRDefault="00A7727F" w:rsidP="005C2644">
      <w:pPr>
        <w:pStyle w:val="ListBullet"/>
        <w:rPr>
          <w:lang w:eastAsia="ja-JP"/>
        </w:rPr>
      </w:pPr>
      <w:r w:rsidRPr="00A7727F">
        <w:rPr>
          <w:lang w:eastAsia="ja-JP"/>
        </w:rPr>
        <w:t>Additionally, the following minimum critical toxicities were evaluated:</w:t>
      </w:r>
    </w:p>
    <w:p w14:paraId="235AF05C" w14:textId="77777777" w:rsidR="00A7727F" w:rsidRPr="00A7727F" w:rsidRDefault="00A7727F" w:rsidP="005C2644">
      <w:pPr>
        <w:pStyle w:val="ListBullet2"/>
        <w:rPr>
          <w:lang w:eastAsia="ja-JP"/>
        </w:rPr>
      </w:pPr>
      <w:r w:rsidRPr="00A7727F">
        <w:rPr>
          <w:lang w:eastAsia="ja-JP"/>
        </w:rPr>
        <w:t>QT prolongation and other ECG abnormalities</w:t>
      </w:r>
    </w:p>
    <w:p w14:paraId="72C3AFBE" w14:textId="77777777" w:rsidR="00A7727F" w:rsidRPr="00A7727F" w:rsidRDefault="00A7727F" w:rsidP="005C2644">
      <w:pPr>
        <w:pStyle w:val="ListBullet2"/>
        <w:rPr>
          <w:lang w:eastAsia="ja-JP"/>
        </w:rPr>
      </w:pPr>
      <w:r w:rsidRPr="00A7727F">
        <w:rPr>
          <w:lang w:eastAsia="ja-JP"/>
        </w:rPr>
        <w:t>Hepatotoxicity</w:t>
      </w:r>
    </w:p>
    <w:p w14:paraId="583A0050" w14:textId="77777777" w:rsidR="00A7727F" w:rsidRPr="00A7727F" w:rsidRDefault="00A7727F" w:rsidP="005C2644">
      <w:pPr>
        <w:pStyle w:val="ListBullet2"/>
        <w:rPr>
          <w:lang w:eastAsia="ja-JP"/>
        </w:rPr>
      </w:pPr>
      <w:r w:rsidRPr="00A7727F">
        <w:rPr>
          <w:lang w:eastAsia="ja-JP"/>
        </w:rPr>
        <w:t>Nephrotoxicity</w:t>
      </w:r>
    </w:p>
    <w:p w14:paraId="442AD34E" w14:textId="77777777" w:rsidR="00A7727F" w:rsidRPr="00A7727F" w:rsidRDefault="00A7727F" w:rsidP="005C2644">
      <w:pPr>
        <w:pStyle w:val="ListBullet2"/>
        <w:rPr>
          <w:lang w:eastAsia="ja-JP"/>
        </w:rPr>
      </w:pPr>
      <w:r w:rsidRPr="00A7727F">
        <w:rPr>
          <w:lang w:eastAsia="ja-JP"/>
        </w:rPr>
        <w:t>Bone Marrow Toxicity</w:t>
      </w:r>
    </w:p>
    <w:p w14:paraId="39F933CC" w14:textId="2B0DCE17" w:rsidR="00A7727F" w:rsidRPr="00A7727F" w:rsidRDefault="00A7727F" w:rsidP="005C2644">
      <w:pPr>
        <w:pStyle w:val="ListBullet2"/>
        <w:rPr>
          <w:lang w:eastAsia="ja-JP"/>
        </w:rPr>
      </w:pPr>
      <w:r w:rsidRPr="00A7727F">
        <w:rPr>
          <w:lang w:eastAsia="ja-JP"/>
        </w:rPr>
        <w:t>Immunogenicity</w:t>
      </w:r>
      <w:r w:rsidR="005C2644">
        <w:rPr>
          <w:lang w:eastAsia="ja-JP"/>
        </w:rPr>
        <w:t>.</w:t>
      </w:r>
    </w:p>
    <w:p w14:paraId="2844F87F" w14:textId="6DB977C6" w:rsidR="00A7727F" w:rsidRPr="00A7727F" w:rsidRDefault="005C2644" w:rsidP="007B7D09">
      <w:pPr>
        <w:pStyle w:val="Heading5"/>
        <w:numPr>
          <w:ilvl w:val="0"/>
          <w:numId w:val="0"/>
        </w:numPr>
        <w:ind w:left="1304" w:hanging="1077"/>
      </w:pPr>
      <w:bookmarkStart w:id="278" w:name="_Toc292015624"/>
      <w:r>
        <w:t>Neurologic e</w:t>
      </w:r>
      <w:r w:rsidR="00A7727F" w:rsidRPr="00A7727F">
        <w:t>vents</w:t>
      </w:r>
      <w:bookmarkEnd w:id="278"/>
    </w:p>
    <w:p w14:paraId="78FDDC60" w14:textId="131ABFA7" w:rsidR="00A7727F" w:rsidRPr="00A7727F" w:rsidRDefault="00A7727F" w:rsidP="00A7727F">
      <w:pPr>
        <w:rPr>
          <w:lang w:eastAsia="ja-JP"/>
        </w:rPr>
      </w:pPr>
      <w:r w:rsidRPr="00A7727F">
        <w:rPr>
          <w:lang w:eastAsia="ja-JP"/>
        </w:rPr>
        <w:t>In the adult relapsed/refractory ALL population, 33.8% of subjects reported</w:t>
      </w:r>
      <w:r w:rsidR="00375CAE">
        <w:rPr>
          <w:lang w:eastAsia="ja-JP"/>
        </w:rPr>
        <w:t xml:space="preserve"> </w:t>
      </w:r>
      <w:r w:rsidR="00423768">
        <w:rPr>
          <w:lang w:eastAsia="ja-JP"/>
        </w:rPr>
        <w:t>≥</w:t>
      </w:r>
      <w:r w:rsidR="00375CAE">
        <w:rPr>
          <w:lang w:eastAsia="ja-JP"/>
        </w:rPr>
        <w:t xml:space="preserve"> </w:t>
      </w:r>
      <w:r w:rsidR="005C2644">
        <w:rPr>
          <w:lang w:eastAsia="ja-JP"/>
        </w:rPr>
        <w:t>2 prior relapses at B</w:t>
      </w:r>
      <w:r w:rsidRPr="00A7727F">
        <w:rPr>
          <w:lang w:eastAsia="ja-JP"/>
        </w:rPr>
        <w:t xml:space="preserve">aseline. Per protocol guidance, as prophylaxis for CNS relapse, lumbar puncture with intrathecal prophylaxis was to be conducted at regular intervals. If a neurologic adverse event occurred, the subject was to receive immediate treatment with dexamethasone. In case of </w:t>
      </w:r>
      <w:r w:rsidR="00375CAE">
        <w:rPr>
          <w:lang w:eastAsia="ja-JP"/>
        </w:rPr>
        <w:t>Grade</w:t>
      </w:r>
      <w:r w:rsidRPr="00A7727F">
        <w:rPr>
          <w:lang w:eastAsia="ja-JP"/>
        </w:rPr>
        <w:t xml:space="preserve"> 3 neurologic adverse events, treatment was to be interrupted for 2 weeks. After resolution of the neurologic adverse event, the subject was to continue treatment at a constant lower blinatumomab dose of 9</w:t>
      </w:r>
      <w:r w:rsidR="00375CAE">
        <w:rPr>
          <w:lang w:eastAsia="ja-JP"/>
        </w:rPr>
        <w:t xml:space="preserve"> </w:t>
      </w:r>
      <w:r w:rsidR="0018721C">
        <w:rPr>
          <w:lang w:eastAsia="ja-JP"/>
        </w:rPr>
        <w:t>µg</w:t>
      </w:r>
      <w:r w:rsidRPr="00A7727F">
        <w:rPr>
          <w:lang w:eastAsia="ja-JP"/>
        </w:rPr>
        <w:t xml:space="preserve">/day for the remaining treatment period. In case of </w:t>
      </w:r>
      <w:r w:rsidR="00375CAE">
        <w:rPr>
          <w:lang w:eastAsia="ja-JP"/>
        </w:rPr>
        <w:t>Grade</w:t>
      </w:r>
      <w:r w:rsidRPr="00A7727F">
        <w:rPr>
          <w:lang w:eastAsia="ja-JP"/>
        </w:rPr>
        <w:t xml:space="preserve"> 4 neurologic adverse events, treatment was to be permanently discontinued.</w:t>
      </w:r>
    </w:p>
    <w:p w14:paraId="3DFC5094" w14:textId="5B45D2B8" w:rsidR="00A7727F" w:rsidRPr="00A7727F" w:rsidRDefault="00A7727F" w:rsidP="00A7727F">
      <w:pPr>
        <w:rPr>
          <w:lang w:eastAsia="ja-JP"/>
        </w:rPr>
      </w:pPr>
      <w:r w:rsidRPr="00A7727F">
        <w:rPr>
          <w:lang w:eastAsia="ja-JP"/>
        </w:rPr>
        <w:t xml:space="preserve">In early </w:t>
      </w:r>
      <w:r w:rsidR="0018721C">
        <w:rPr>
          <w:lang w:eastAsia="ja-JP"/>
        </w:rPr>
        <w:t>Phase I</w:t>
      </w:r>
      <w:r w:rsidRPr="00A7727F">
        <w:rPr>
          <w:lang w:eastAsia="ja-JP"/>
        </w:rPr>
        <w:t xml:space="preserve"> clinical stud</w:t>
      </w:r>
      <w:r w:rsidR="005C2644">
        <w:rPr>
          <w:lang w:eastAsia="ja-JP"/>
        </w:rPr>
        <w:t xml:space="preserve">ies of blinatumomab using short </w:t>
      </w:r>
      <w:r w:rsidRPr="00A7727F">
        <w:rPr>
          <w:lang w:eastAsia="ja-JP"/>
        </w:rPr>
        <w:t>term (2 or 4 hours) IV infusion, neurologic and psychiatric adverse events were observed. This led to subsequent studies utili</w:t>
      </w:r>
      <w:r w:rsidR="005C2644">
        <w:rPr>
          <w:lang w:eastAsia="ja-JP"/>
        </w:rPr>
        <w:t>s</w:t>
      </w:r>
      <w:r w:rsidRPr="00A7727F">
        <w:rPr>
          <w:lang w:eastAsia="ja-JP"/>
        </w:rPr>
        <w:t>ing a continuous IV infusion method to mitigate neurotoxicity and improve efficacy. Subjects with a history or presence of clinically relevant CNS pathology, such as epilepsy, seizure, paresis, aphasia, stroke, severe brain injuries, dementia, Parkinson’s disease, cerebellar disease, organic brain syndrome, psychosis, or active ALL in the CNS were excluded from participation in blinatumomab studies.</w:t>
      </w:r>
    </w:p>
    <w:p w14:paraId="13AC016E" w14:textId="49A8AF0A" w:rsidR="00A7727F" w:rsidRPr="00A7727F" w:rsidRDefault="00A7727F" w:rsidP="00A7727F">
      <w:pPr>
        <w:rPr>
          <w:lang w:eastAsia="ja-JP"/>
        </w:rPr>
      </w:pPr>
      <w:r w:rsidRPr="00A7727F">
        <w:rPr>
          <w:lang w:eastAsia="ja-JP"/>
        </w:rPr>
        <w:t>In the adult relapsed/refractory ALL population, 52.9% of subjects experienced neurologic adverse events (including psychiatric disorders). These events primarily involved the CNS as opposed to the peripheral nervous system (PNS). The preferred terms reported represented a wide spectrum of neurologic adverse events (including psychiatric disorders). The most frequently reported adverse events (subject incidence</w:t>
      </w:r>
      <w:r w:rsidR="00375CAE">
        <w:rPr>
          <w:lang w:eastAsia="ja-JP"/>
        </w:rPr>
        <w:t xml:space="preserve"> </w:t>
      </w:r>
      <w:r w:rsidR="00423768">
        <w:rPr>
          <w:lang w:eastAsia="ja-JP"/>
        </w:rPr>
        <w:t>≥</w:t>
      </w:r>
      <w:r w:rsidR="00375CAE">
        <w:rPr>
          <w:lang w:eastAsia="ja-JP"/>
        </w:rPr>
        <w:t xml:space="preserve"> </w:t>
      </w:r>
      <w:r w:rsidRPr="00A7727F">
        <w:rPr>
          <w:lang w:eastAsia="ja-JP"/>
        </w:rPr>
        <w:t>5%) were tremor, dizziness, encephalopathy, par</w:t>
      </w:r>
      <w:r w:rsidR="005C2644">
        <w:rPr>
          <w:lang w:eastAsia="ja-JP"/>
        </w:rPr>
        <w:t>a</w:t>
      </w:r>
      <w:r w:rsidRPr="00A7727F">
        <w:rPr>
          <w:lang w:eastAsia="ja-JP"/>
        </w:rPr>
        <w:t xml:space="preserve">esthesia, aphasia, and confusional state. The majority of events occurred during the first cycle. The median time to onset of the events was 9 days from the start of blinatumomab treatment. The majority of neurologic events (91.6%) were clinically reversible. Of the subjects who experienced a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neurologic adverse event that resolved, the median time to resolution of the event was 3 days. </w:t>
      </w:r>
      <w:r w:rsidR="00375CAE">
        <w:rPr>
          <w:lang w:eastAsia="ja-JP"/>
        </w:rPr>
        <w:t xml:space="preserve">Grade </w:t>
      </w:r>
      <w:r w:rsidR="00423768">
        <w:rPr>
          <w:lang w:eastAsia="ja-JP"/>
        </w:rPr>
        <w:t>≥</w:t>
      </w:r>
      <w:r w:rsidR="00375CAE">
        <w:rPr>
          <w:lang w:eastAsia="ja-JP"/>
        </w:rPr>
        <w:t xml:space="preserve"> </w:t>
      </w:r>
      <w:r w:rsidRPr="00A7727F">
        <w:rPr>
          <w:lang w:eastAsia="ja-JP"/>
        </w:rPr>
        <w:t>4 adverse events were infrequently reported (1.8%), and serious neurologic adverse events were observed in 17.8% of subjects, of which encephalopathy, tremor, and confusional state were reported with a subject incidence</w:t>
      </w:r>
      <w:r w:rsidR="00375CAE">
        <w:rPr>
          <w:lang w:eastAsia="ja-JP"/>
        </w:rPr>
        <w:t xml:space="preserve"> </w:t>
      </w:r>
      <w:r w:rsidR="00423768">
        <w:rPr>
          <w:lang w:eastAsia="ja-JP"/>
        </w:rPr>
        <w:t>&gt;</w:t>
      </w:r>
      <w:r w:rsidR="00375CAE">
        <w:rPr>
          <w:lang w:eastAsia="ja-JP"/>
        </w:rPr>
        <w:t xml:space="preserve"> </w:t>
      </w:r>
      <w:r w:rsidRPr="00A7727F">
        <w:rPr>
          <w:lang w:eastAsia="ja-JP"/>
        </w:rPr>
        <w:t>2%. Approximately 5% of subjects (5.3%) experienced neurologic adverse events that led to study treatment discontinuation, of which encephalopathy accounted for almost half of the discontinuation events. No fatal neurologic adverse events w</w:t>
      </w:r>
      <w:r w:rsidR="005C2644">
        <w:rPr>
          <w:lang w:eastAsia="ja-JP"/>
        </w:rPr>
        <w:t xml:space="preserve">ere reported as of the data cut </w:t>
      </w:r>
      <w:r w:rsidRPr="00A7727F">
        <w:rPr>
          <w:lang w:eastAsia="ja-JP"/>
        </w:rPr>
        <w:t>off date (10 October 2013); however, after the data cut-off dat</w:t>
      </w:r>
      <w:r w:rsidR="005C2644">
        <w:rPr>
          <w:lang w:eastAsia="ja-JP"/>
        </w:rPr>
        <w:t>e, 2 subjects enrolled in Study </w:t>
      </w:r>
      <w:r w:rsidRPr="00A7727F">
        <w:rPr>
          <w:lang w:eastAsia="ja-JP"/>
        </w:rPr>
        <w:t>MT103-211 experienced fatal encephalopathy events (one of which was in the setting of general health deterioration and pneumonia and the other in a subject with a past medical his</w:t>
      </w:r>
      <w:r w:rsidR="005C2644">
        <w:rPr>
          <w:lang w:eastAsia="ja-JP"/>
        </w:rPr>
        <w:t>tory of encephalopathy and typhl</w:t>
      </w:r>
      <w:r w:rsidRPr="00A7727F">
        <w:rPr>
          <w:lang w:eastAsia="ja-JP"/>
        </w:rPr>
        <w:t>itis). Serious adverse events of encephalopathy, confusional state, and cognitive disorders were reported with a</w:t>
      </w:r>
      <w:r w:rsidR="00375CAE">
        <w:rPr>
          <w:lang w:eastAsia="ja-JP"/>
        </w:rPr>
        <w:t xml:space="preserve"> </w:t>
      </w:r>
      <w:r w:rsidR="00423768">
        <w:rPr>
          <w:lang w:eastAsia="ja-JP"/>
        </w:rPr>
        <w:t>≥</w:t>
      </w:r>
      <w:r w:rsidR="00375CAE">
        <w:rPr>
          <w:lang w:eastAsia="ja-JP"/>
        </w:rPr>
        <w:t xml:space="preserve"> </w:t>
      </w:r>
      <w:r w:rsidRPr="00A7727F">
        <w:rPr>
          <w:lang w:eastAsia="ja-JP"/>
        </w:rPr>
        <w:t>5% difference in subjects</w:t>
      </w:r>
      <w:r w:rsidR="00375CAE">
        <w:rPr>
          <w:lang w:eastAsia="ja-JP"/>
        </w:rPr>
        <w:t xml:space="preserve"> </w:t>
      </w:r>
      <w:r w:rsidR="00423768">
        <w:rPr>
          <w:lang w:eastAsia="ja-JP"/>
        </w:rPr>
        <w:t>≥</w:t>
      </w:r>
      <w:r w:rsidR="00375CAE">
        <w:rPr>
          <w:lang w:eastAsia="ja-JP"/>
        </w:rPr>
        <w:t xml:space="preserve"> </w:t>
      </w:r>
      <w:r w:rsidRPr="00A7727F">
        <w:rPr>
          <w:lang w:eastAsia="ja-JP"/>
        </w:rPr>
        <w:t>65 years of age compared to subjects</w:t>
      </w:r>
      <w:r w:rsidR="00375CAE">
        <w:rPr>
          <w:lang w:eastAsia="ja-JP"/>
        </w:rPr>
        <w:t xml:space="preserve"> </w:t>
      </w:r>
      <w:r w:rsidR="00423768">
        <w:rPr>
          <w:lang w:eastAsia="ja-JP"/>
        </w:rPr>
        <w:t>≥</w:t>
      </w:r>
      <w:r w:rsidR="00375CAE">
        <w:rPr>
          <w:lang w:eastAsia="ja-JP"/>
        </w:rPr>
        <w:t xml:space="preserve"> </w:t>
      </w:r>
      <w:r w:rsidRPr="00A7727F">
        <w:rPr>
          <w:lang w:eastAsia="ja-JP"/>
        </w:rPr>
        <w:t>18 and</w:t>
      </w:r>
      <w:r w:rsidR="00375CAE">
        <w:rPr>
          <w:lang w:eastAsia="ja-JP"/>
        </w:rPr>
        <w:t xml:space="preserve"> </w:t>
      </w:r>
      <w:r w:rsidR="00423768">
        <w:rPr>
          <w:lang w:eastAsia="ja-JP"/>
        </w:rPr>
        <w:t>&lt;</w:t>
      </w:r>
      <w:r w:rsidR="00375CAE">
        <w:rPr>
          <w:lang w:eastAsia="ja-JP"/>
        </w:rPr>
        <w:t xml:space="preserve"> </w:t>
      </w:r>
      <w:r w:rsidRPr="00A7727F">
        <w:rPr>
          <w:lang w:eastAsia="ja-JP"/>
        </w:rPr>
        <w:t>65 years of age.</w:t>
      </w:r>
    </w:p>
    <w:p w14:paraId="48BF8D43" w14:textId="74637C9C" w:rsidR="00A7727F" w:rsidRPr="00A7727F" w:rsidRDefault="00A7727F" w:rsidP="00A7727F">
      <w:pPr>
        <w:rPr>
          <w:lang w:eastAsia="ja-JP"/>
        </w:rPr>
      </w:pPr>
      <w:r w:rsidRPr="00A7727F">
        <w:rPr>
          <w:lang w:eastAsia="ja-JP"/>
        </w:rPr>
        <w:t>In the program-wide pooled population, a similar subject incidence of neurologic adverse events (including psychiatric disorders) was observed (52.6%) and was consistent with the adult relapsed/refractory ALL population. In the pooled population, 17.3% of subjects experienced serious neurologic events; the most frequently reported serious events (subject incidence</w:t>
      </w:r>
      <w:r w:rsidR="00375CAE">
        <w:rPr>
          <w:lang w:eastAsia="ja-JP"/>
        </w:rPr>
        <w:t xml:space="preserve"> </w:t>
      </w:r>
      <w:r w:rsidR="00423768">
        <w:rPr>
          <w:lang w:eastAsia="ja-JP"/>
        </w:rPr>
        <w:t>≥</w:t>
      </w:r>
      <w:r w:rsidR="00375CAE">
        <w:rPr>
          <w:lang w:eastAsia="ja-JP"/>
        </w:rPr>
        <w:t xml:space="preserve"> </w:t>
      </w:r>
      <w:r w:rsidRPr="00A7727F">
        <w:rPr>
          <w:lang w:eastAsia="ja-JP"/>
        </w:rPr>
        <w:t>2%) were encephalopathy (4.4%), tremor (3.8%), aphasia (2.7%), and convulsion (2.7%). Less than 10% of subjects in the program-wide pooled population discontinued study treatment due to neurologic events, such as encephalopathy (2.9%), aphasia (1.9%), tremor (1.7%), and convulsion (1.5%).</w:t>
      </w:r>
    </w:p>
    <w:p w14:paraId="779B14EF" w14:textId="12701707" w:rsidR="00A7727F" w:rsidRPr="00A7727F" w:rsidRDefault="00A7727F" w:rsidP="00A7727F">
      <w:pPr>
        <w:rPr>
          <w:lang w:eastAsia="ja-JP"/>
        </w:rPr>
      </w:pPr>
      <w:r w:rsidRPr="00A7727F">
        <w:rPr>
          <w:lang w:eastAsia="ja-JP"/>
        </w:rPr>
        <w:t>With regard to psychiatric adverse events, consistent with the adult relapsed/refractory population, confusional state (6.7%) was the only commonly reported adverse event with a subject incidence</w:t>
      </w:r>
      <w:r w:rsidR="00375CAE">
        <w:rPr>
          <w:lang w:eastAsia="ja-JP"/>
        </w:rPr>
        <w:t xml:space="preserve"> </w:t>
      </w:r>
      <w:r w:rsidR="00423768">
        <w:rPr>
          <w:lang w:eastAsia="ja-JP"/>
        </w:rPr>
        <w:t>≥</w:t>
      </w:r>
      <w:r w:rsidR="00375CAE">
        <w:rPr>
          <w:lang w:eastAsia="ja-JP"/>
        </w:rPr>
        <w:t xml:space="preserve"> </w:t>
      </w:r>
      <w:r w:rsidR="00CD2DA9">
        <w:rPr>
          <w:lang w:eastAsia="ja-JP"/>
        </w:rPr>
        <w:t xml:space="preserve">5% in the program </w:t>
      </w:r>
      <w:r w:rsidRPr="00A7727F">
        <w:rPr>
          <w:lang w:eastAsia="ja-JP"/>
        </w:rPr>
        <w:t>wide pooled population.</w:t>
      </w:r>
    </w:p>
    <w:p w14:paraId="137F0D9D" w14:textId="20FF3800" w:rsidR="00A7727F" w:rsidRPr="00A7727F" w:rsidRDefault="005C2644" w:rsidP="007B7D09">
      <w:pPr>
        <w:pStyle w:val="Heading5"/>
        <w:numPr>
          <w:ilvl w:val="0"/>
          <w:numId w:val="0"/>
        </w:numPr>
        <w:ind w:left="1304" w:hanging="1077"/>
      </w:pPr>
      <w:bookmarkStart w:id="279" w:name="_Toc292015625"/>
      <w:r>
        <w:t>Cytokine release s</w:t>
      </w:r>
      <w:r w:rsidR="00A7727F" w:rsidRPr="00A7727F">
        <w:t>yndrome</w:t>
      </w:r>
      <w:bookmarkEnd w:id="279"/>
    </w:p>
    <w:p w14:paraId="0C39EC06" w14:textId="7E8A2383" w:rsidR="00A7727F" w:rsidRPr="00A7727F" w:rsidRDefault="00A7727F" w:rsidP="00A7727F">
      <w:pPr>
        <w:rPr>
          <w:lang w:eastAsia="ja-JP"/>
        </w:rPr>
      </w:pPr>
      <w:r w:rsidRPr="00A7727F">
        <w:rPr>
          <w:lang w:eastAsia="ja-JP"/>
        </w:rPr>
        <w:t xml:space="preserve">As would be anticipated based on the mechanism of action, cytokine release occurring with a specific </w:t>
      </w:r>
      <w:r w:rsidR="00586C19">
        <w:rPr>
          <w:lang w:eastAsia="ja-JP"/>
        </w:rPr>
        <w:t>T cell</w:t>
      </w:r>
      <w:r w:rsidRPr="00A7727F">
        <w:rPr>
          <w:lang w:eastAsia="ja-JP"/>
        </w:rPr>
        <w:t xml:space="preserve"> engager such as blinatumomab can result in an exaggerated systemic immune response involving the release of inflammatory mediators/cellular cytokines, which can have effects (in some cases profound) on blood pressure, vascular integrity, and myocardial, lung, and liver functions. When the symptoms are more severe, it can be defined as cytokine storm. Per protocol guidance, in case of signs of cytokine release during treatment, dexamethasone was to be administered orally or intravenously at a dose of at least 3 x 8 mg per day for up to 3 days, followed by step-wise reduction over a period of up to 4 days.</w:t>
      </w:r>
    </w:p>
    <w:p w14:paraId="25204732" w14:textId="704ADEFF" w:rsidR="00A7727F" w:rsidRPr="00A7727F" w:rsidRDefault="00A7727F" w:rsidP="00A7727F">
      <w:pPr>
        <w:rPr>
          <w:lang w:eastAsia="ja-JP"/>
        </w:rPr>
      </w:pPr>
      <w:r w:rsidRPr="00A7727F">
        <w:rPr>
          <w:lang w:eastAsia="ja-JP"/>
        </w:rPr>
        <w:t>In the adult relapsed/refractory ALL population, 12.0% of subjects experienced the adverse event of cytokine release syndrome or cytokine storm (preferred terms). The greatest risk of developing cytokine release syndrome was on day 2 from the start of blinatumomab treatment. Less than 1% of subjects experienced</w:t>
      </w:r>
      <w:r w:rsidR="00375CAE">
        <w:rPr>
          <w:lang w:eastAsia="ja-JP"/>
        </w:rPr>
        <w:t xml:space="preserve"> </w:t>
      </w:r>
      <w:r w:rsidR="00423768">
        <w:rPr>
          <w:lang w:eastAsia="ja-JP"/>
        </w:rPr>
        <w:t>≥</w:t>
      </w:r>
      <w:r w:rsidR="00375CAE">
        <w:rPr>
          <w:lang w:eastAsia="ja-JP"/>
        </w:rPr>
        <w:t xml:space="preserve"> Grade</w:t>
      </w:r>
      <w:r w:rsidRPr="00A7727F">
        <w:rPr>
          <w:lang w:eastAsia="ja-JP"/>
        </w:rPr>
        <w:t xml:space="preserve"> 4 events, and 1.8% reported serious cytokine release syndrome events. </w:t>
      </w:r>
      <w:r w:rsidR="00423768">
        <w:rPr>
          <w:lang w:eastAsia="ja-JP"/>
        </w:rPr>
        <w:t>4</w:t>
      </w:r>
      <w:r w:rsidRPr="00A7727F">
        <w:rPr>
          <w:lang w:eastAsia="ja-JP"/>
        </w:rPr>
        <w:t xml:space="preserve"> subjects experienced cytokine release syndrome that led to study treatment interruption, and only 1 subject experienced cytokine release syndrome that led to permanent treatment discontinuation. However, when looking broadly across the adult relapsed/refractory ALL studies for signs and symptoms of cytokine release syndrome, 94.7% of subjects experienced adverse events potentially associated with cytokine release syndrome, manife</w:t>
      </w:r>
      <w:r w:rsidR="005C2644">
        <w:rPr>
          <w:lang w:eastAsia="ja-JP"/>
        </w:rPr>
        <w:t>sted primarily as pyrexia (63.1</w:t>
      </w:r>
      <w:r w:rsidRPr="00A7727F">
        <w:rPr>
          <w:lang w:eastAsia="ja-JP"/>
        </w:rPr>
        <w:t>%) and headache (36.4%). Additional adverse events reported, such as tachycardia, chills, nausea, vomiting, arthralgia, hypotension, hypertension, and elevated liver enzymes were consistent with the clinical symptoms of cytokine release syndrome.</w:t>
      </w:r>
    </w:p>
    <w:p w14:paraId="625818A9" w14:textId="16A4103E" w:rsidR="00A7727F" w:rsidRPr="00A7727F" w:rsidRDefault="00F37208" w:rsidP="00A7727F">
      <w:pPr>
        <w:rPr>
          <w:lang w:eastAsia="ja-JP"/>
        </w:rPr>
      </w:pPr>
      <w:r>
        <w:rPr>
          <w:lang w:eastAsia="ja-JP"/>
        </w:rPr>
        <w:t xml:space="preserve">In the program </w:t>
      </w:r>
      <w:r w:rsidR="00A7727F" w:rsidRPr="00A7727F">
        <w:rPr>
          <w:lang w:eastAsia="ja-JP"/>
        </w:rPr>
        <w:t xml:space="preserve">wide pooled population, the majority of subjects experienced </w:t>
      </w:r>
      <w:r w:rsidR="00375CAE">
        <w:rPr>
          <w:lang w:eastAsia="ja-JP"/>
        </w:rPr>
        <w:t>Grade</w:t>
      </w:r>
      <w:r w:rsidR="00A7727F" w:rsidRPr="00A7727F">
        <w:rPr>
          <w:lang w:eastAsia="ja-JP"/>
        </w:rPr>
        <w:t xml:space="preserve"> 1 and 2 events of cytokine release syndrome, and</w:t>
      </w:r>
      <w:r w:rsidR="00375CAE">
        <w:rPr>
          <w:lang w:eastAsia="ja-JP"/>
        </w:rPr>
        <w:t xml:space="preserve"> </w:t>
      </w:r>
      <w:r w:rsidR="00423768">
        <w:rPr>
          <w:lang w:eastAsia="ja-JP"/>
        </w:rPr>
        <w:t>&lt;</w:t>
      </w:r>
      <w:r w:rsidR="00375CAE">
        <w:rPr>
          <w:lang w:eastAsia="ja-JP"/>
        </w:rPr>
        <w:t xml:space="preserve"> </w:t>
      </w:r>
      <w:r w:rsidR="00A7727F" w:rsidRPr="00A7727F">
        <w:rPr>
          <w:lang w:eastAsia="ja-JP"/>
        </w:rPr>
        <w:t xml:space="preserve">2% experienced serious adverse events of cytokine release syndrome. Similar to the adult relapsed/refractory ALL population, </w:t>
      </w:r>
      <w:r w:rsidR="00375CAE">
        <w:rPr>
          <w:lang w:eastAsia="ja-JP"/>
        </w:rPr>
        <w:t xml:space="preserve">Grade </w:t>
      </w:r>
      <w:r w:rsidR="00423768">
        <w:rPr>
          <w:lang w:eastAsia="ja-JP"/>
        </w:rPr>
        <w:t>≥</w:t>
      </w:r>
      <w:r w:rsidR="00375CAE">
        <w:rPr>
          <w:lang w:eastAsia="ja-JP"/>
        </w:rPr>
        <w:t xml:space="preserve"> </w:t>
      </w:r>
      <w:r w:rsidR="00A7727F" w:rsidRPr="00A7727F">
        <w:rPr>
          <w:lang w:eastAsia="ja-JP"/>
        </w:rPr>
        <w:t xml:space="preserve">3 and </w:t>
      </w:r>
      <w:r>
        <w:rPr>
          <w:lang w:eastAsia="ja-JP"/>
        </w:rPr>
        <w:t>Grade </w:t>
      </w:r>
      <w:r w:rsidR="00423768">
        <w:rPr>
          <w:lang w:eastAsia="ja-JP"/>
        </w:rPr>
        <w:t>≥</w:t>
      </w:r>
      <w:r w:rsidR="00375CAE">
        <w:rPr>
          <w:lang w:eastAsia="ja-JP"/>
        </w:rPr>
        <w:t xml:space="preserve"> </w:t>
      </w:r>
      <w:r w:rsidR="00A7727F" w:rsidRPr="00A7727F">
        <w:rPr>
          <w:lang w:eastAsia="ja-JP"/>
        </w:rPr>
        <w:t>4 adverse events were infrequently reported (2.5% and 1.1%, respectively). No fatal adverse events of cytokine release syndrome or cytokine storm were reported in any study.</w:t>
      </w:r>
    </w:p>
    <w:p w14:paraId="68B700E1" w14:textId="26049DB0" w:rsidR="00A7727F" w:rsidRPr="00A7727F" w:rsidRDefault="00A7727F" w:rsidP="00A7727F">
      <w:pPr>
        <w:rPr>
          <w:lang w:eastAsia="ja-JP"/>
        </w:rPr>
      </w:pPr>
      <w:r w:rsidRPr="00A7727F">
        <w:rPr>
          <w:lang w:eastAsia="ja-JP"/>
        </w:rPr>
        <w:t>In the p</w:t>
      </w:r>
      <w:r w:rsidR="005C2644">
        <w:rPr>
          <w:lang w:eastAsia="ja-JP"/>
        </w:rPr>
        <w:t>a</w:t>
      </w:r>
      <w:r w:rsidRPr="00A7727F">
        <w:rPr>
          <w:lang w:eastAsia="ja-JP"/>
        </w:rPr>
        <w:t>ediatric relapsed/refractory ALL population, 9 subjects experienced adverse events of cytokine release syndrome. One case, which was reported as a serious event of cytokine release syndrome, was also described in the literature as severe toxicity manifested as macrophage activation syndrome (MAS) triggered by the release of cytokines leading to secondary h</w:t>
      </w:r>
      <w:r w:rsidR="005C2644">
        <w:rPr>
          <w:lang w:eastAsia="ja-JP"/>
        </w:rPr>
        <w:t>a</w:t>
      </w:r>
      <w:r w:rsidRPr="00A7727F">
        <w:rPr>
          <w:lang w:eastAsia="ja-JP"/>
        </w:rPr>
        <w:t>emophagocytic lymphohistiocytosis (HLH). In addition, one subject reported a non-serious adverse event of HLH; cytokine release syndrome was not reported as a concurrent adverse event.</w:t>
      </w:r>
    </w:p>
    <w:p w14:paraId="4FA9B0BF" w14:textId="636ECFF5" w:rsidR="00A7727F" w:rsidRPr="00A7727F" w:rsidRDefault="00A7727F" w:rsidP="007B7D09">
      <w:pPr>
        <w:pStyle w:val="Heading5"/>
        <w:numPr>
          <w:ilvl w:val="0"/>
          <w:numId w:val="0"/>
        </w:numPr>
        <w:ind w:left="1304" w:hanging="1077"/>
      </w:pPr>
      <w:bookmarkStart w:id="280" w:name="_Toc292015626"/>
      <w:r w:rsidRPr="00A7727F">
        <w:t xml:space="preserve">Capillary </w:t>
      </w:r>
      <w:r w:rsidR="002833D5">
        <w:t>l</w:t>
      </w:r>
      <w:r w:rsidRPr="00A7727F">
        <w:t xml:space="preserve">eak </w:t>
      </w:r>
      <w:r w:rsidR="002833D5">
        <w:t>s</w:t>
      </w:r>
      <w:r w:rsidRPr="00A7727F">
        <w:t>yndrome</w:t>
      </w:r>
      <w:bookmarkEnd w:id="280"/>
    </w:p>
    <w:p w14:paraId="3BEE76A3" w14:textId="462A5C93" w:rsidR="00A7727F" w:rsidRPr="00A7727F" w:rsidRDefault="00A7727F" w:rsidP="00A7727F">
      <w:pPr>
        <w:rPr>
          <w:lang w:eastAsia="ja-JP"/>
        </w:rPr>
      </w:pPr>
      <w:r w:rsidRPr="00A7727F">
        <w:rPr>
          <w:lang w:eastAsia="ja-JP"/>
        </w:rPr>
        <w:t xml:space="preserve">In the adult relapsed/refractory ALL population, one subject </w:t>
      </w:r>
      <w:r w:rsidR="00423768">
        <w:rPr>
          <w:lang w:eastAsia="ja-JP"/>
        </w:rPr>
        <w:t>(&lt;</w:t>
      </w:r>
      <w:r w:rsidR="00375CAE">
        <w:rPr>
          <w:lang w:eastAsia="ja-JP"/>
        </w:rPr>
        <w:t xml:space="preserve"> </w:t>
      </w:r>
      <w:r w:rsidRPr="00A7727F">
        <w:rPr>
          <w:lang w:eastAsia="ja-JP"/>
        </w:rPr>
        <w:t xml:space="preserve">1%) experienced an event reported as </w:t>
      </w:r>
      <w:r w:rsidR="005C2644">
        <w:rPr>
          <w:lang w:eastAsia="ja-JP"/>
        </w:rPr>
        <w:t>capillary leak syndrome (study D</w:t>
      </w:r>
      <w:r w:rsidRPr="00A7727F">
        <w:rPr>
          <w:lang w:eastAsia="ja-JP"/>
        </w:rPr>
        <w:t>ay 2), which was reported as serious (</w:t>
      </w:r>
      <w:r w:rsidR="00375CAE">
        <w:rPr>
          <w:lang w:eastAsia="ja-JP"/>
        </w:rPr>
        <w:t>Grade</w:t>
      </w:r>
      <w:r w:rsidRPr="00A7727F">
        <w:rPr>
          <w:lang w:eastAsia="ja-JP"/>
        </w:rPr>
        <w:t xml:space="preserve"> 4), non-fatal, and led to a temporary interruption of blinatumomab. Following trea</w:t>
      </w:r>
      <w:r w:rsidR="005C2644">
        <w:rPr>
          <w:lang w:eastAsia="ja-JP"/>
        </w:rPr>
        <w:t>tment re-</w:t>
      </w:r>
      <w:r w:rsidRPr="00A7727F">
        <w:rPr>
          <w:lang w:eastAsia="ja-JP"/>
        </w:rPr>
        <w:t>initiation approximately 2 weeks later, the subject experienced additional events suggestive of capillary leak syndrome.</w:t>
      </w:r>
    </w:p>
    <w:p w14:paraId="464A3098" w14:textId="12FB5150" w:rsidR="00A7727F" w:rsidRPr="00A7727F" w:rsidRDefault="00A7727F" w:rsidP="00A7727F">
      <w:pPr>
        <w:rPr>
          <w:lang w:eastAsia="ja-JP"/>
        </w:rPr>
      </w:pPr>
      <w:r w:rsidRPr="00A7727F">
        <w:rPr>
          <w:lang w:eastAsia="ja-JP"/>
        </w:rPr>
        <w:t>Looking broadly across the data for signs and symptoms of capillary leak, in the adult relapsed/refractory population, 44.4% of subjects experienced adverse events suggestive of capillary leak syndrome, and across the program</w:t>
      </w:r>
      <w:r w:rsidR="002833D5">
        <w:rPr>
          <w:lang w:eastAsia="ja-JP"/>
        </w:rPr>
        <w:t xml:space="preserve"> </w:t>
      </w:r>
      <w:r w:rsidRPr="00A7727F">
        <w:rPr>
          <w:lang w:eastAsia="ja-JP"/>
        </w:rPr>
        <w:t>wide pooled population, 41.5% of subjects experienced adverse events suggestive of capillary leak syndrome: 46.3% of subjects were in the p</w:t>
      </w:r>
      <w:r w:rsidR="005C2644">
        <w:rPr>
          <w:lang w:eastAsia="ja-JP"/>
        </w:rPr>
        <w:t>a</w:t>
      </w:r>
      <w:r w:rsidRPr="00A7727F">
        <w:rPr>
          <w:lang w:eastAsia="ja-JP"/>
        </w:rPr>
        <w:t>ediatric relapsed/refractory ALL population, 53.7% were in the relapsed/refractory NHL popula</w:t>
      </w:r>
      <w:r w:rsidR="002833D5">
        <w:rPr>
          <w:lang w:eastAsia="ja-JP"/>
        </w:rPr>
        <w:t xml:space="preserve">tion, and 23.7% were in the MRD </w:t>
      </w:r>
      <w:r w:rsidRPr="00A7727F">
        <w:rPr>
          <w:lang w:eastAsia="ja-JP"/>
        </w:rPr>
        <w:t xml:space="preserve">positive ALL population. The majority of these adverse events were peripheral </w:t>
      </w:r>
      <w:r w:rsidR="005C2644">
        <w:rPr>
          <w:lang w:eastAsia="ja-JP"/>
        </w:rPr>
        <w:t>o</w:t>
      </w:r>
      <w:r w:rsidRPr="00A7727F">
        <w:rPr>
          <w:lang w:eastAsia="ja-JP"/>
        </w:rPr>
        <w:t>edema and hypotension. No fatal adverse events of capillary leak syndrome were reported in any study.</w:t>
      </w:r>
    </w:p>
    <w:p w14:paraId="273707D8" w14:textId="2DF112A3" w:rsidR="00A7727F" w:rsidRPr="00A7727F" w:rsidRDefault="00A7727F" w:rsidP="007B7D09">
      <w:pPr>
        <w:pStyle w:val="Heading5"/>
        <w:numPr>
          <w:ilvl w:val="0"/>
          <w:numId w:val="0"/>
        </w:numPr>
        <w:ind w:left="1304" w:hanging="1077"/>
      </w:pPr>
      <w:bookmarkStart w:id="281" w:name="_Toc292015627"/>
      <w:r w:rsidRPr="00A7727F">
        <w:t xml:space="preserve">Decreased </w:t>
      </w:r>
      <w:r w:rsidR="002833D5">
        <w:t>i</w:t>
      </w:r>
      <w:r w:rsidRPr="00A7727F">
        <w:t>mmunoglobulins</w:t>
      </w:r>
      <w:bookmarkEnd w:id="281"/>
    </w:p>
    <w:p w14:paraId="0534AE08" w14:textId="5F526BED" w:rsidR="00A7727F" w:rsidRPr="00A7727F" w:rsidRDefault="00A7727F" w:rsidP="00A7727F">
      <w:pPr>
        <w:rPr>
          <w:lang w:eastAsia="ja-JP"/>
        </w:rPr>
      </w:pPr>
      <w:r w:rsidRPr="00A7727F">
        <w:rPr>
          <w:lang w:eastAsia="ja-JP"/>
        </w:rPr>
        <w:t>As observed in the adult relapsed/refractory ALL population, decreased immunoglobulins (including adverse events such as hypoglobulin</w:t>
      </w:r>
      <w:r w:rsidR="00CD2DA9">
        <w:rPr>
          <w:lang w:eastAsia="ja-JP"/>
        </w:rPr>
        <w:t>a</w:t>
      </w:r>
      <w:r w:rsidRPr="00A7727F">
        <w:rPr>
          <w:lang w:eastAsia="ja-JP"/>
        </w:rPr>
        <w:t>emia, immunoglobulins decreased, hypogammaglobulin</w:t>
      </w:r>
      <w:r w:rsidR="00CD2DA9">
        <w:rPr>
          <w:lang w:eastAsia="ja-JP"/>
        </w:rPr>
        <w:t>a</w:t>
      </w:r>
      <w:r w:rsidRPr="00A7727F">
        <w:rPr>
          <w:lang w:eastAsia="ja-JP"/>
        </w:rPr>
        <w:t xml:space="preserve">emia decreased, and other immunoglobulin events) were reported in 14.2% of subjects. The majority of the adverse events were </w:t>
      </w:r>
      <w:r w:rsidR="00375CAE">
        <w:rPr>
          <w:lang w:eastAsia="ja-JP"/>
        </w:rPr>
        <w:t>Grade</w:t>
      </w:r>
      <w:r w:rsidRPr="00A7727F">
        <w:rPr>
          <w:lang w:eastAsia="ja-JP"/>
        </w:rPr>
        <w:t xml:space="preserve"> 1 and 2 in severity, with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events reported in 2.2% of subjects and </w:t>
      </w:r>
      <w:r w:rsidR="00375CAE">
        <w:rPr>
          <w:lang w:eastAsia="ja-JP"/>
        </w:rPr>
        <w:t xml:space="preserve">Grade </w:t>
      </w:r>
      <w:r w:rsidR="00423768">
        <w:rPr>
          <w:lang w:eastAsia="ja-JP"/>
        </w:rPr>
        <w:t>≥</w:t>
      </w:r>
      <w:r w:rsidR="00375CAE">
        <w:rPr>
          <w:lang w:eastAsia="ja-JP"/>
        </w:rPr>
        <w:t xml:space="preserve"> </w:t>
      </w:r>
      <w:r w:rsidRPr="00A7727F">
        <w:rPr>
          <w:lang w:eastAsia="ja-JP"/>
        </w:rPr>
        <w:t>4 events reported in</w:t>
      </w:r>
      <w:r w:rsidR="00375CAE">
        <w:rPr>
          <w:lang w:eastAsia="ja-JP"/>
        </w:rPr>
        <w:t xml:space="preserve"> </w:t>
      </w:r>
      <w:r w:rsidR="00423768">
        <w:rPr>
          <w:lang w:eastAsia="ja-JP"/>
        </w:rPr>
        <w:t>&lt;</w:t>
      </w:r>
      <w:r w:rsidR="00375CAE">
        <w:rPr>
          <w:lang w:eastAsia="ja-JP"/>
        </w:rPr>
        <w:t xml:space="preserve"> </w:t>
      </w:r>
      <w:r w:rsidRPr="00A7727F">
        <w:rPr>
          <w:lang w:eastAsia="ja-JP"/>
        </w:rPr>
        <w:t>1% of subjects. The most frequently reported adverse events were decreased immunoglobulins (8.4%), Immunoglobulin G decreased (4.4%), Immunoglobulin A decreased (4.0%), and Immunoglobulin M decreased (3.6%). None of the events were serious or had fatal outcomes. Across the program-wide pooled population, similar findings were observed, with 18.5% of subjects reporting decreased immunoglobulins; the highest subject incidence of decreased immunoglobulins was reported in the relapsed/refractory NHL population (25.3%), as would be expected.</w:t>
      </w:r>
    </w:p>
    <w:p w14:paraId="51052419" w14:textId="771D0124" w:rsidR="00A7727F" w:rsidRPr="00A7727F" w:rsidRDefault="002833D5" w:rsidP="007B7D09">
      <w:pPr>
        <w:pStyle w:val="Heading5"/>
        <w:numPr>
          <w:ilvl w:val="0"/>
          <w:numId w:val="0"/>
        </w:numPr>
        <w:ind w:left="1304" w:hanging="1077"/>
      </w:pPr>
      <w:bookmarkStart w:id="282" w:name="_Toc292015628"/>
      <w:r>
        <w:t>Infusion r</w:t>
      </w:r>
      <w:r w:rsidR="00A7727F" w:rsidRPr="00A7727F">
        <w:t>eactions</w:t>
      </w:r>
      <w:bookmarkEnd w:id="282"/>
    </w:p>
    <w:p w14:paraId="4D46BFF4" w14:textId="626B03A5" w:rsidR="00A7727F" w:rsidRPr="00A7727F" w:rsidRDefault="00A7727F" w:rsidP="00A7727F">
      <w:pPr>
        <w:rPr>
          <w:lang w:eastAsia="ja-JP"/>
        </w:rPr>
      </w:pPr>
      <w:r w:rsidRPr="00A7727F">
        <w:rPr>
          <w:lang w:eastAsia="ja-JP"/>
        </w:rPr>
        <w:t>In the adult relapsed/refractory population, pyrexia (27%) was the most frequently reported adverse event occurring within the first 48 hours of blinatumomab infusion with a duration</w:t>
      </w:r>
      <w:r w:rsidR="00375CAE">
        <w:rPr>
          <w:lang w:eastAsia="ja-JP"/>
        </w:rPr>
        <w:t xml:space="preserve"> </w:t>
      </w:r>
      <w:r w:rsidR="00423768">
        <w:rPr>
          <w:lang w:eastAsia="ja-JP"/>
        </w:rPr>
        <w:t>≤</w:t>
      </w:r>
      <w:r w:rsidR="002833D5">
        <w:rPr>
          <w:lang w:eastAsia="ja-JP"/>
        </w:rPr>
        <w:t> 2 </w:t>
      </w:r>
      <w:r w:rsidRPr="00A7727F">
        <w:rPr>
          <w:lang w:eastAsia="ja-JP"/>
        </w:rPr>
        <w:t xml:space="preserve">days. Other clinically relevant adverse events with cardiovascular components included hypotension, circulatory collapse, and hypertension, and hypersensitivity-like events included face </w:t>
      </w:r>
      <w:r w:rsidR="00A972DD" w:rsidRPr="00A7727F">
        <w:rPr>
          <w:lang w:eastAsia="ja-JP"/>
        </w:rPr>
        <w:t>oedema</w:t>
      </w:r>
      <w:r w:rsidRPr="00A7727F">
        <w:rPr>
          <w:lang w:eastAsia="ja-JP"/>
        </w:rPr>
        <w:t xml:space="preserve"> and swelling face. Other adverse events included </w:t>
      </w:r>
      <w:r w:rsidR="00A972DD" w:rsidRPr="00A7727F">
        <w:rPr>
          <w:lang w:eastAsia="ja-JP"/>
        </w:rPr>
        <w:t>tachypnoea</w:t>
      </w:r>
      <w:r w:rsidRPr="00A7727F">
        <w:rPr>
          <w:lang w:eastAsia="ja-JP"/>
        </w:rPr>
        <w:t xml:space="preserve"> and myalgia.</w:t>
      </w:r>
    </w:p>
    <w:p w14:paraId="2E3ECA8F" w14:textId="2EC15ACF" w:rsidR="00A7727F" w:rsidRPr="00A7727F" w:rsidRDefault="00A7727F" w:rsidP="00A7727F">
      <w:pPr>
        <w:rPr>
          <w:lang w:eastAsia="ja-JP"/>
        </w:rPr>
      </w:pPr>
      <w:r w:rsidRPr="00A7727F">
        <w:rPr>
          <w:lang w:eastAsia="ja-JP"/>
        </w:rPr>
        <w:t xml:space="preserve">Treatment-related adverse events suggestive of infusion reactions that occurred within 48 hours with any duration and with an underlying cardiovascular component included hypotension, hypertension, tachycardia, sinus tachycardia, bradycardia, supraventricular tachycardia, flushing, and pulmonary </w:t>
      </w:r>
      <w:r w:rsidR="002833D5">
        <w:rPr>
          <w:lang w:eastAsia="ja-JP"/>
        </w:rPr>
        <w:t>o</w:t>
      </w:r>
      <w:r w:rsidRPr="00A7727F">
        <w:rPr>
          <w:lang w:eastAsia="ja-JP"/>
        </w:rPr>
        <w:t xml:space="preserve">edema. Hypersensitivity-like adverse events included hypersensitivity, face </w:t>
      </w:r>
      <w:r w:rsidR="002833D5">
        <w:rPr>
          <w:lang w:eastAsia="ja-JP"/>
        </w:rPr>
        <w:t>o</w:t>
      </w:r>
      <w:r w:rsidRPr="00A7727F">
        <w:rPr>
          <w:lang w:eastAsia="ja-JP"/>
        </w:rPr>
        <w:t>edema, swelling face, wheezing, erythema, rash, and general</w:t>
      </w:r>
      <w:r w:rsidR="00D50F7E">
        <w:rPr>
          <w:lang w:eastAsia="ja-JP"/>
        </w:rPr>
        <w:t>ised</w:t>
      </w:r>
      <w:r w:rsidRPr="00A7727F">
        <w:rPr>
          <w:lang w:eastAsia="ja-JP"/>
        </w:rPr>
        <w:t xml:space="preserve"> rash. Other treatment-related adverse events reported within 48 hours of infusion with any duration included tachypn</w:t>
      </w:r>
      <w:r w:rsidR="00CD2DA9">
        <w:rPr>
          <w:lang w:eastAsia="ja-JP"/>
        </w:rPr>
        <w:t>o</w:t>
      </w:r>
      <w:r w:rsidRPr="00A7727F">
        <w:rPr>
          <w:lang w:eastAsia="ja-JP"/>
        </w:rPr>
        <w:t>ea, oxygen saturation decrease, dyspn</w:t>
      </w:r>
      <w:r w:rsidR="002833D5">
        <w:rPr>
          <w:lang w:eastAsia="ja-JP"/>
        </w:rPr>
        <w:t>o</w:t>
      </w:r>
      <w:r w:rsidRPr="00A7727F">
        <w:rPr>
          <w:lang w:eastAsia="ja-JP"/>
        </w:rPr>
        <w:t>ea, nausea, vomiting, chills, fatigue, asthenia, arthralgia, myalgia, joint swelling, and headache. Clinically relevant treatment</w:t>
      </w:r>
      <w:r w:rsidR="002833D5">
        <w:rPr>
          <w:lang w:eastAsia="ja-JP"/>
        </w:rPr>
        <w:t xml:space="preserve"> </w:t>
      </w:r>
      <w:r w:rsidRPr="00A7727F">
        <w:rPr>
          <w:lang w:eastAsia="ja-JP"/>
        </w:rPr>
        <w:t>related serious adverse events that occurred within 48 hours of infusion with any duration included hypersensitivity (n</w:t>
      </w:r>
      <w:r w:rsidR="00375CAE">
        <w:rPr>
          <w:lang w:eastAsia="ja-JP"/>
        </w:rPr>
        <w:t xml:space="preserve"> </w:t>
      </w:r>
      <w:r w:rsidR="00423768">
        <w:rPr>
          <w:lang w:eastAsia="ja-JP"/>
        </w:rPr>
        <w:t>=</w:t>
      </w:r>
      <w:r w:rsidR="00375CAE">
        <w:rPr>
          <w:lang w:eastAsia="ja-JP"/>
        </w:rPr>
        <w:t xml:space="preserve"> </w:t>
      </w:r>
      <w:r w:rsidRPr="00A7727F">
        <w:rPr>
          <w:lang w:eastAsia="ja-JP"/>
        </w:rPr>
        <w:t>2 subjects), hypotension (n</w:t>
      </w:r>
      <w:r w:rsidR="00375CAE">
        <w:rPr>
          <w:lang w:eastAsia="ja-JP"/>
        </w:rPr>
        <w:t xml:space="preserve"> </w:t>
      </w:r>
      <w:r w:rsidR="00423768">
        <w:rPr>
          <w:lang w:eastAsia="ja-JP"/>
        </w:rPr>
        <w:t>=</w:t>
      </w:r>
      <w:r w:rsidR="00375CAE">
        <w:rPr>
          <w:lang w:eastAsia="ja-JP"/>
        </w:rPr>
        <w:t xml:space="preserve"> </w:t>
      </w:r>
      <w:r w:rsidRPr="00A7727F">
        <w:rPr>
          <w:lang w:eastAsia="ja-JP"/>
        </w:rPr>
        <w:t>2), bradycardia (n</w:t>
      </w:r>
      <w:r w:rsidR="00375CAE">
        <w:rPr>
          <w:lang w:eastAsia="ja-JP"/>
        </w:rPr>
        <w:t xml:space="preserve"> </w:t>
      </w:r>
      <w:r w:rsidR="00423768">
        <w:rPr>
          <w:lang w:eastAsia="ja-JP"/>
        </w:rPr>
        <w:t>=</w:t>
      </w:r>
      <w:r w:rsidR="00375CAE">
        <w:rPr>
          <w:lang w:eastAsia="ja-JP"/>
        </w:rPr>
        <w:t xml:space="preserve"> </w:t>
      </w:r>
      <w:r w:rsidRPr="00A7727F">
        <w:rPr>
          <w:lang w:eastAsia="ja-JP"/>
        </w:rPr>
        <w:t>1), supraventricular tachycardia (n</w:t>
      </w:r>
      <w:r w:rsidR="00375CAE">
        <w:rPr>
          <w:lang w:eastAsia="ja-JP"/>
        </w:rPr>
        <w:t xml:space="preserve"> </w:t>
      </w:r>
      <w:r w:rsidR="00423768">
        <w:rPr>
          <w:lang w:eastAsia="ja-JP"/>
        </w:rPr>
        <w:t>=</w:t>
      </w:r>
      <w:r w:rsidR="00375CAE">
        <w:rPr>
          <w:lang w:eastAsia="ja-JP"/>
        </w:rPr>
        <w:t xml:space="preserve"> </w:t>
      </w:r>
      <w:r w:rsidRPr="00A7727F">
        <w:rPr>
          <w:lang w:eastAsia="ja-JP"/>
        </w:rPr>
        <w:t>1), and arthralgia (n</w:t>
      </w:r>
      <w:r w:rsidR="00375CAE">
        <w:rPr>
          <w:lang w:eastAsia="ja-JP"/>
        </w:rPr>
        <w:t xml:space="preserve"> </w:t>
      </w:r>
      <w:r w:rsidR="00423768">
        <w:rPr>
          <w:lang w:eastAsia="ja-JP"/>
        </w:rPr>
        <w:t>=</w:t>
      </w:r>
      <w:r w:rsidR="00375CAE">
        <w:rPr>
          <w:lang w:eastAsia="ja-JP"/>
        </w:rPr>
        <w:t xml:space="preserve"> </w:t>
      </w:r>
      <w:r w:rsidRPr="00A7727F">
        <w:rPr>
          <w:lang w:eastAsia="ja-JP"/>
        </w:rPr>
        <w:t>1).</w:t>
      </w:r>
    </w:p>
    <w:p w14:paraId="39ED9E66" w14:textId="7803397D" w:rsidR="00A7727F" w:rsidRPr="00A7727F" w:rsidRDefault="00A7727F" w:rsidP="00A7727F">
      <w:pPr>
        <w:rPr>
          <w:lang w:eastAsia="ja-JP"/>
        </w:rPr>
      </w:pPr>
      <w:r w:rsidRPr="00A7727F">
        <w:rPr>
          <w:lang w:eastAsia="ja-JP"/>
        </w:rPr>
        <w:t>Similar to the adult relapsed/refractory population, in the program</w:t>
      </w:r>
      <w:r w:rsidR="002833D5">
        <w:rPr>
          <w:lang w:eastAsia="ja-JP"/>
        </w:rPr>
        <w:t xml:space="preserve"> </w:t>
      </w:r>
      <w:r w:rsidRPr="00A7727F">
        <w:rPr>
          <w:lang w:eastAsia="ja-JP"/>
        </w:rPr>
        <w:t>wide pooled population, pyrexia (38.5%) was the most frequently reported adverse event occurring within 48 hours of blinatumomab infusion with a duration</w:t>
      </w:r>
      <w:r w:rsidR="00375CAE">
        <w:rPr>
          <w:lang w:eastAsia="ja-JP"/>
        </w:rPr>
        <w:t xml:space="preserve"> </w:t>
      </w:r>
      <w:r w:rsidR="00CD2DA9">
        <w:rPr>
          <w:lang w:eastAsia="ja-JP"/>
        </w:rPr>
        <w:t xml:space="preserve">of </w:t>
      </w:r>
      <w:r w:rsidR="00423768">
        <w:rPr>
          <w:lang w:eastAsia="ja-JP"/>
        </w:rPr>
        <w:t>≤</w:t>
      </w:r>
      <w:r w:rsidR="00375CAE">
        <w:rPr>
          <w:lang w:eastAsia="ja-JP"/>
        </w:rPr>
        <w:t xml:space="preserve"> </w:t>
      </w:r>
      <w:r w:rsidRPr="00A7727F">
        <w:rPr>
          <w:lang w:eastAsia="ja-JP"/>
        </w:rPr>
        <w:t>2 days. Additional treatment</w:t>
      </w:r>
      <w:r w:rsidR="002833D5">
        <w:rPr>
          <w:lang w:eastAsia="ja-JP"/>
        </w:rPr>
        <w:t xml:space="preserve"> </w:t>
      </w:r>
      <w:r w:rsidRPr="00A7727F">
        <w:rPr>
          <w:lang w:eastAsia="ja-JP"/>
        </w:rPr>
        <w:t>related adverse events occurring within 48 hours of infusion with any duration in the other populations included hypersensitivity</w:t>
      </w:r>
      <w:r w:rsidR="002833D5">
        <w:rPr>
          <w:lang w:eastAsia="ja-JP"/>
        </w:rPr>
        <w:t xml:space="preserve"> </w:t>
      </w:r>
      <w:r w:rsidRPr="00A7727F">
        <w:rPr>
          <w:lang w:eastAsia="ja-JP"/>
        </w:rPr>
        <w:t xml:space="preserve">like events, such as periorbital </w:t>
      </w:r>
      <w:r w:rsidR="002833D5">
        <w:rPr>
          <w:lang w:eastAsia="ja-JP"/>
        </w:rPr>
        <w:t>o</w:t>
      </w:r>
      <w:r w:rsidRPr="00A7727F">
        <w:rPr>
          <w:lang w:eastAsia="ja-JP"/>
        </w:rPr>
        <w:t xml:space="preserve">edema, eyelid </w:t>
      </w:r>
      <w:r w:rsidR="002833D5">
        <w:rPr>
          <w:lang w:eastAsia="ja-JP"/>
        </w:rPr>
        <w:t>o</w:t>
      </w:r>
      <w:r w:rsidRPr="00A7727F">
        <w:rPr>
          <w:lang w:eastAsia="ja-JP"/>
        </w:rPr>
        <w:t>edema, hyperhidrosis, and allergic dermatitis. In the other populations, additional treatment</w:t>
      </w:r>
      <w:r w:rsidR="002833D5">
        <w:rPr>
          <w:lang w:eastAsia="ja-JP"/>
        </w:rPr>
        <w:t xml:space="preserve"> </w:t>
      </w:r>
      <w:r w:rsidRPr="00A7727F">
        <w:rPr>
          <w:lang w:eastAsia="ja-JP"/>
        </w:rPr>
        <w:t>related serious adverse events included infusion-related reaction (preferred term; n</w:t>
      </w:r>
      <w:r w:rsidR="00375CAE">
        <w:rPr>
          <w:lang w:eastAsia="ja-JP"/>
        </w:rPr>
        <w:t xml:space="preserve"> </w:t>
      </w:r>
      <w:r w:rsidR="00423768">
        <w:rPr>
          <w:lang w:eastAsia="ja-JP"/>
        </w:rPr>
        <w:t>=</w:t>
      </w:r>
      <w:r w:rsidR="00375CAE">
        <w:rPr>
          <w:lang w:eastAsia="ja-JP"/>
        </w:rPr>
        <w:t xml:space="preserve"> </w:t>
      </w:r>
      <w:r w:rsidRPr="00A7727F">
        <w:rPr>
          <w:lang w:eastAsia="ja-JP"/>
        </w:rPr>
        <w:t>2 subjects), sinus tachycardia (n</w:t>
      </w:r>
      <w:r w:rsidR="002833D5">
        <w:rPr>
          <w:lang w:eastAsia="ja-JP"/>
        </w:rPr>
        <w:t> </w:t>
      </w:r>
      <w:r w:rsidR="00423768">
        <w:rPr>
          <w:lang w:eastAsia="ja-JP"/>
        </w:rPr>
        <w:t>=</w:t>
      </w:r>
      <w:r w:rsidR="00375CAE">
        <w:rPr>
          <w:lang w:eastAsia="ja-JP"/>
        </w:rPr>
        <w:t xml:space="preserve"> </w:t>
      </w:r>
      <w:r w:rsidRPr="00A7727F">
        <w:rPr>
          <w:lang w:eastAsia="ja-JP"/>
        </w:rPr>
        <w:t>1), and respiratory failure (n</w:t>
      </w:r>
      <w:r w:rsidR="00375CAE">
        <w:rPr>
          <w:lang w:eastAsia="ja-JP"/>
        </w:rPr>
        <w:t xml:space="preserve"> </w:t>
      </w:r>
      <w:r w:rsidR="00423768">
        <w:rPr>
          <w:lang w:eastAsia="ja-JP"/>
        </w:rPr>
        <w:t>=</w:t>
      </w:r>
      <w:r w:rsidR="00375CAE">
        <w:rPr>
          <w:lang w:eastAsia="ja-JP"/>
        </w:rPr>
        <w:t xml:space="preserve"> </w:t>
      </w:r>
      <w:r w:rsidRPr="00A7727F">
        <w:rPr>
          <w:lang w:eastAsia="ja-JP"/>
        </w:rPr>
        <w:t>1).</w:t>
      </w:r>
    </w:p>
    <w:p w14:paraId="6BE28FB6" w14:textId="102F730A" w:rsidR="00A7727F" w:rsidRPr="00A7727F" w:rsidRDefault="00A7727F" w:rsidP="007B7D09">
      <w:pPr>
        <w:pStyle w:val="Heading5"/>
        <w:numPr>
          <w:ilvl w:val="0"/>
          <w:numId w:val="0"/>
        </w:numPr>
        <w:ind w:left="1304" w:hanging="1077"/>
      </w:pPr>
      <w:bookmarkStart w:id="283" w:name="_Toc292015629"/>
      <w:r w:rsidRPr="00A7727F">
        <w:t>Tumo</w:t>
      </w:r>
      <w:r w:rsidR="002833D5">
        <w:t>u</w:t>
      </w:r>
      <w:r w:rsidRPr="00A7727F">
        <w:t xml:space="preserve">r </w:t>
      </w:r>
      <w:r w:rsidR="002833D5">
        <w:t>l</w:t>
      </w:r>
      <w:r w:rsidRPr="00A7727F">
        <w:t xml:space="preserve">ysis </w:t>
      </w:r>
      <w:r w:rsidR="002833D5">
        <w:t>s</w:t>
      </w:r>
      <w:r w:rsidRPr="00A7727F">
        <w:t>yndrome</w:t>
      </w:r>
      <w:bookmarkEnd w:id="283"/>
    </w:p>
    <w:p w14:paraId="6DB01F18" w14:textId="4AC58E57" w:rsidR="00A7727F" w:rsidRPr="00A7727F" w:rsidRDefault="00A7727F" w:rsidP="00A7727F">
      <w:pPr>
        <w:rPr>
          <w:lang w:eastAsia="ja-JP"/>
        </w:rPr>
      </w:pPr>
      <w:proofErr w:type="gramStart"/>
      <w:r w:rsidRPr="00A7727F">
        <w:rPr>
          <w:lang w:eastAsia="ja-JP"/>
        </w:rPr>
        <w:t>In the adult relapsed/refractory ALL population, 4.4% of subjects experienced adverse events of tumo</w:t>
      </w:r>
      <w:r w:rsidR="00CD2DA9">
        <w:rPr>
          <w:lang w:eastAsia="ja-JP"/>
        </w:rPr>
        <w:t>u</w:t>
      </w:r>
      <w:r w:rsidRPr="00A7727F">
        <w:rPr>
          <w:lang w:eastAsia="ja-JP"/>
        </w:rPr>
        <w:t>r lysis syndrome.</w:t>
      </w:r>
      <w:proofErr w:type="gramEnd"/>
      <w:r w:rsidRPr="00A7727F">
        <w:rPr>
          <w:lang w:eastAsia="ja-JP"/>
        </w:rPr>
        <w:t xml:space="preserve"> None of the events was reported as fatal, 2 subjects (1.0%) experienced serious adverse events, 5 subjects (2.2%) experienced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adverse events, and 1 subject had a </w:t>
      </w:r>
      <w:r w:rsidR="00375CAE">
        <w:rPr>
          <w:lang w:eastAsia="ja-JP"/>
        </w:rPr>
        <w:t xml:space="preserve">Grade </w:t>
      </w:r>
      <w:r w:rsidR="00423768">
        <w:rPr>
          <w:lang w:eastAsia="ja-JP"/>
        </w:rPr>
        <w:t>≥</w:t>
      </w:r>
      <w:r w:rsidR="00375CAE">
        <w:rPr>
          <w:lang w:eastAsia="ja-JP"/>
        </w:rPr>
        <w:t xml:space="preserve"> </w:t>
      </w:r>
      <w:r w:rsidRPr="00A7727F">
        <w:rPr>
          <w:lang w:eastAsia="ja-JP"/>
        </w:rPr>
        <w:t>4 adverse event. One subject permanently discontinued study treatment due to tumo</w:t>
      </w:r>
      <w:r w:rsidR="002833D5">
        <w:rPr>
          <w:lang w:eastAsia="ja-JP"/>
        </w:rPr>
        <w:t>u</w:t>
      </w:r>
      <w:r w:rsidRPr="00A7727F">
        <w:rPr>
          <w:lang w:eastAsia="ja-JP"/>
        </w:rPr>
        <w:t>r lysis syndrome. The median time to first onset of tumo</w:t>
      </w:r>
      <w:r w:rsidR="002833D5">
        <w:rPr>
          <w:lang w:eastAsia="ja-JP"/>
        </w:rPr>
        <w:t>u</w:t>
      </w:r>
      <w:r w:rsidRPr="00A7727F">
        <w:rPr>
          <w:lang w:eastAsia="ja-JP"/>
        </w:rPr>
        <w:t>r lysis syndrome was 2 days from the start of blinatumomab treatment.</w:t>
      </w:r>
    </w:p>
    <w:p w14:paraId="18A5BDCD" w14:textId="79E84AAB" w:rsidR="00A7727F" w:rsidRPr="00A7727F" w:rsidRDefault="00A7727F" w:rsidP="00A7727F">
      <w:pPr>
        <w:rPr>
          <w:lang w:eastAsia="ja-JP"/>
        </w:rPr>
      </w:pPr>
      <w:r w:rsidRPr="00A7727F">
        <w:rPr>
          <w:lang w:eastAsia="ja-JP"/>
        </w:rPr>
        <w:t>In the program-wide pooled population, tumo</w:t>
      </w:r>
      <w:r w:rsidR="002833D5">
        <w:rPr>
          <w:lang w:eastAsia="ja-JP"/>
        </w:rPr>
        <w:t>u</w:t>
      </w:r>
      <w:r w:rsidRPr="00A7727F">
        <w:rPr>
          <w:lang w:eastAsia="ja-JP"/>
        </w:rPr>
        <w:t>r lysis syndrome was reported in 2.7% of subjects, none were fatal,</w:t>
      </w:r>
      <w:r w:rsidR="00375CAE">
        <w:rPr>
          <w:lang w:eastAsia="ja-JP"/>
        </w:rPr>
        <w:t xml:space="preserve"> </w:t>
      </w:r>
      <w:r w:rsidR="00423768">
        <w:rPr>
          <w:lang w:eastAsia="ja-JP"/>
        </w:rPr>
        <w:t xml:space="preserve">&lt; </w:t>
      </w:r>
      <w:r w:rsidRPr="00A7727F">
        <w:rPr>
          <w:lang w:eastAsia="ja-JP"/>
        </w:rPr>
        <w:t xml:space="preserve">1% were reported as serious or </w:t>
      </w:r>
      <w:r w:rsidR="00375CAE">
        <w:rPr>
          <w:lang w:eastAsia="ja-JP"/>
        </w:rPr>
        <w:t xml:space="preserve">Grade </w:t>
      </w:r>
      <w:r w:rsidR="00423768">
        <w:rPr>
          <w:lang w:eastAsia="ja-JP"/>
        </w:rPr>
        <w:t>≥</w:t>
      </w:r>
      <w:r w:rsidR="00375CAE">
        <w:rPr>
          <w:lang w:eastAsia="ja-JP"/>
        </w:rPr>
        <w:t xml:space="preserve"> </w:t>
      </w:r>
      <w:r w:rsidRPr="00A7727F">
        <w:rPr>
          <w:lang w:eastAsia="ja-JP"/>
        </w:rPr>
        <w:t>4 adverse events, and 2 subjects permanently discontinued study treatment due to tumo</w:t>
      </w:r>
      <w:r w:rsidR="002833D5">
        <w:rPr>
          <w:lang w:eastAsia="ja-JP"/>
        </w:rPr>
        <w:t>u</w:t>
      </w:r>
      <w:r w:rsidRPr="00A7727F">
        <w:rPr>
          <w:lang w:eastAsia="ja-JP"/>
        </w:rPr>
        <w:t>r lysis syndrome. Electrolyte imbalances and abnormal laboratory levels, such as blood urea increased, hyperuricemia, hyperphosphat</w:t>
      </w:r>
      <w:r w:rsidR="002833D5">
        <w:rPr>
          <w:lang w:eastAsia="ja-JP"/>
        </w:rPr>
        <w:t>a</w:t>
      </w:r>
      <w:r w:rsidRPr="00A7727F">
        <w:rPr>
          <w:lang w:eastAsia="ja-JP"/>
        </w:rPr>
        <w:t>emia, hyperkal</w:t>
      </w:r>
      <w:r w:rsidR="002833D5">
        <w:rPr>
          <w:lang w:eastAsia="ja-JP"/>
        </w:rPr>
        <w:t>a</w:t>
      </w:r>
      <w:r w:rsidRPr="00A7727F">
        <w:rPr>
          <w:lang w:eastAsia="ja-JP"/>
        </w:rPr>
        <w:t>emia, and hypocalc</w:t>
      </w:r>
      <w:r w:rsidR="002833D5">
        <w:rPr>
          <w:lang w:eastAsia="ja-JP"/>
        </w:rPr>
        <w:t>a</w:t>
      </w:r>
      <w:r w:rsidRPr="00A7727F">
        <w:rPr>
          <w:lang w:eastAsia="ja-JP"/>
        </w:rPr>
        <w:t>emia, and renal events, such as blood creatinine increased, metabolic acidosis, anuria, renal failure, and acute renal failure, were reported in subjects who experienced tumo</w:t>
      </w:r>
      <w:r w:rsidR="002833D5">
        <w:rPr>
          <w:lang w:eastAsia="ja-JP"/>
        </w:rPr>
        <w:t>u</w:t>
      </w:r>
      <w:r w:rsidRPr="00A7727F">
        <w:rPr>
          <w:lang w:eastAsia="ja-JP"/>
        </w:rPr>
        <w:t>r lysis syndrome.</w:t>
      </w:r>
    </w:p>
    <w:p w14:paraId="296F3279" w14:textId="77777777" w:rsidR="00A7727F" w:rsidRPr="00A7727F" w:rsidRDefault="00A7727F" w:rsidP="007B7D09">
      <w:pPr>
        <w:pStyle w:val="Heading5"/>
        <w:numPr>
          <w:ilvl w:val="0"/>
          <w:numId w:val="0"/>
        </w:numPr>
        <w:ind w:left="1304" w:hanging="1077"/>
      </w:pPr>
      <w:bookmarkStart w:id="284" w:name="_Toc292015630"/>
      <w:r w:rsidRPr="00A7727F">
        <w:t>Elevated liver enzymes</w:t>
      </w:r>
      <w:bookmarkEnd w:id="284"/>
    </w:p>
    <w:p w14:paraId="29F00CFF" w14:textId="205876BA" w:rsidR="00A7727F" w:rsidRPr="00A7727F" w:rsidRDefault="00A7727F" w:rsidP="00A7727F">
      <w:pPr>
        <w:rPr>
          <w:lang w:eastAsia="ja-JP"/>
        </w:rPr>
      </w:pPr>
      <w:r w:rsidRPr="00A7727F">
        <w:rPr>
          <w:lang w:eastAsia="ja-JP"/>
        </w:rPr>
        <w:t>In the adult relapsed/refractory ALL studies, subjects with AST (SGOT) and/or ALT (SGPT) and/or ALP</w:t>
      </w:r>
      <w:r w:rsidR="00375CAE">
        <w:rPr>
          <w:lang w:eastAsia="ja-JP"/>
        </w:rPr>
        <w:t xml:space="preserve"> </w:t>
      </w:r>
      <w:r w:rsidR="00423768">
        <w:rPr>
          <w:lang w:eastAsia="ja-JP"/>
        </w:rPr>
        <w:t>≥</w:t>
      </w:r>
      <w:r w:rsidR="00375CAE">
        <w:rPr>
          <w:lang w:eastAsia="ja-JP"/>
        </w:rPr>
        <w:t xml:space="preserve"> </w:t>
      </w:r>
      <w:r w:rsidRPr="00A7727F">
        <w:rPr>
          <w:lang w:eastAsia="ja-JP"/>
        </w:rPr>
        <w:t>5 x the upper limit of normal (ULN) and total bilirubin</w:t>
      </w:r>
      <w:r w:rsidR="00375CAE">
        <w:rPr>
          <w:lang w:eastAsia="ja-JP"/>
        </w:rPr>
        <w:t xml:space="preserve"> </w:t>
      </w:r>
      <w:r w:rsidR="00423768">
        <w:rPr>
          <w:lang w:eastAsia="ja-JP"/>
        </w:rPr>
        <w:t>≥</w:t>
      </w:r>
      <w:r w:rsidR="00375CAE">
        <w:rPr>
          <w:lang w:eastAsia="ja-JP"/>
        </w:rPr>
        <w:t xml:space="preserve"> </w:t>
      </w:r>
      <w:r w:rsidRPr="00A7727F">
        <w:rPr>
          <w:lang w:eastAsia="ja-JP"/>
        </w:rPr>
        <w:t xml:space="preserve">1.5 x ULN (unless related to Gilbert’s or Meulengracht disease) were excluded from study participation </w:t>
      </w:r>
      <w:r w:rsidR="002833D5">
        <w:rPr>
          <w:lang w:eastAsia="ja-JP"/>
        </w:rPr>
        <w:t>i</w:t>
      </w:r>
      <w:r w:rsidRPr="00A7727F">
        <w:rPr>
          <w:lang w:eastAsia="ja-JP"/>
        </w:rPr>
        <w:t xml:space="preserve">n the adult relapsed/refractory ALL population, 28.9% of subjects reported elevated liver enzyme adverse events. The most frequently reported events were ALT increased (12.4%), AST increased (11.6%), blood bilirubin increased (7.6%), and GGT increased (7.1%). Other liver abnormalities, such as ascites, hepatomegaly, hepatic steatosis, and prothrombin time prolonged, were infrequently reported. The subject incidence of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and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4 adverse events was 16.0% and 2.2%, respectively. None of the events were reported with a fatal outcome. Less than 2% of subjects (1.8%) experienced serious adverse events such as ALT increased, AST increased, and blood bilirubin increased. The median time to onset to the first event was 3 days from the start of blinatumomab treatment. The only hepatic laboratory abnormalities reported as </w:t>
      </w:r>
      <w:r w:rsidR="00375CAE">
        <w:rPr>
          <w:lang w:eastAsia="ja-JP"/>
        </w:rPr>
        <w:t>Grade</w:t>
      </w:r>
      <w:r w:rsidRPr="00A7727F">
        <w:rPr>
          <w:lang w:eastAsia="ja-JP"/>
        </w:rPr>
        <w:t xml:space="preserve"> 4 adverse events were ALT increased (0.9%), GGT increased (0.9%), AST increased (0.4%), and blood bilirubin increased (0.4%). Of these abnormal liver enzymes, only AST increased (0.9%) and ALT increased (0.4%) led to permanent study treatment discontinuation.</w:t>
      </w:r>
    </w:p>
    <w:p w14:paraId="792F5F96" w14:textId="47C66DFA" w:rsidR="00A7727F" w:rsidRPr="00A7727F" w:rsidRDefault="00A7727F" w:rsidP="00A7727F">
      <w:pPr>
        <w:rPr>
          <w:lang w:eastAsia="ja-JP"/>
        </w:rPr>
      </w:pPr>
      <w:r w:rsidRPr="00A7727F">
        <w:rPr>
          <w:lang w:eastAsia="ja-JP"/>
        </w:rPr>
        <w:t>Twenty-seven subjects met the laboratory criteria of ALT/AST</w:t>
      </w:r>
      <w:r w:rsidR="00375CAE">
        <w:rPr>
          <w:lang w:eastAsia="ja-JP"/>
        </w:rPr>
        <w:t xml:space="preserve"> </w:t>
      </w:r>
      <w:r w:rsidR="00423768">
        <w:rPr>
          <w:lang w:eastAsia="ja-JP"/>
        </w:rPr>
        <w:t>≥</w:t>
      </w:r>
      <w:r w:rsidR="00375CAE">
        <w:rPr>
          <w:lang w:eastAsia="ja-JP"/>
        </w:rPr>
        <w:t xml:space="preserve"> </w:t>
      </w:r>
      <w:r w:rsidRPr="00A7727F">
        <w:rPr>
          <w:lang w:eastAsia="ja-JP"/>
        </w:rPr>
        <w:t>3 x ULN and total bilirubin</w:t>
      </w:r>
      <w:r w:rsidR="00375CAE">
        <w:rPr>
          <w:lang w:eastAsia="ja-JP"/>
        </w:rPr>
        <w:t xml:space="preserve"> </w:t>
      </w:r>
      <w:r w:rsidR="00423768">
        <w:rPr>
          <w:lang w:eastAsia="ja-JP"/>
        </w:rPr>
        <w:t>≥</w:t>
      </w:r>
      <w:r w:rsidR="00F37208">
        <w:rPr>
          <w:lang w:eastAsia="ja-JP"/>
        </w:rPr>
        <w:t> 2 </w:t>
      </w:r>
      <w:r w:rsidRPr="00A7727F">
        <w:rPr>
          <w:lang w:eastAsia="ja-JP"/>
        </w:rPr>
        <w:t>x ULN on any day during study treatment. Upon review of the ALP laboratory values, it was noted that 16 of the 27 subjects also had ALP</w:t>
      </w:r>
      <w:r w:rsidR="00375CAE">
        <w:rPr>
          <w:lang w:eastAsia="ja-JP"/>
        </w:rPr>
        <w:t xml:space="preserve"> </w:t>
      </w:r>
      <w:r w:rsidR="00423768">
        <w:rPr>
          <w:lang w:eastAsia="ja-JP"/>
        </w:rPr>
        <w:t>≤</w:t>
      </w:r>
      <w:r w:rsidR="00375CAE">
        <w:rPr>
          <w:lang w:eastAsia="ja-JP"/>
        </w:rPr>
        <w:t xml:space="preserve"> </w:t>
      </w:r>
      <w:r w:rsidRPr="00A7727F">
        <w:rPr>
          <w:lang w:eastAsia="ja-JP"/>
        </w:rPr>
        <w:t>2 x ULN while their ALT/AST and total bilirubin values were increased (ALT/AST</w:t>
      </w:r>
      <w:r w:rsidR="00375CAE">
        <w:rPr>
          <w:lang w:eastAsia="ja-JP"/>
        </w:rPr>
        <w:t xml:space="preserve"> </w:t>
      </w:r>
      <w:r w:rsidR="00423768">
        <w:rPr>
          <w:lang w:eastAsia="ja-JP"/>
        </w:rPr>
        <w:t>≥</w:t>
      </w:r>
      <w:r w:rsidR="00375CAE">
        <w:rPr>
          <w:lang w:eastAsia="ja-JP"/>
        </w:rPr>
        <w:t xml:space="preserve"> </w:t>
      </w:r>
      <w:r w:rsidRPr="00A7727F">
        <w:rPr>
          <w:lang w:eastAsia="ja-JP"/>
        </w:rPr>
        <w:t>3 x ULN and total bilirubin</w:t>
      </w:r>
      <w:r w:rsidR="00375CAE">
        <w:rPr>
          <w:lang w:eastAsia="ja-JP"/>
        </w:rPr>
        <w:t xml:space="preserve"> </w:t>
      </w:r>
      <w:r w:rsidR="00423768">
        <w:rPr>
          <w:lang w:eastAsia="ja-JP"/>
        </w:rPr>
        <w:t>≥</w:t>
      </w:r>
      <w:r w:rsidR="00375CAE">
        <w:rPr>
          <w:lang w:eastAsia="ja-JP"/>
        </w:rPr>
        <w:t xml:space="preserve"> </w:t>
      </w:r>
      <w:r w:rsidRPr="00A7727F">
        <w:rPr>
          <w:lang w:eastAsia="ja-JP"/>
        </w:rPr>
        <w:t>2 x ULN) within one day. However, in all of the cases, plausible, alternative aetiologies were present, such as cytokine release syndrome, severe infection, or concomitant medications known to be associated with the elevations in liver enzymes. The majority of subjects (25 out of 27) were able to be treated through the liver enzyme elevations, with 1 subject requiring temporary treatment interruption and 1 subject permanently discontinuing study treatment.</w:t>
      </w:r>
    </w:p>
    <w:p w14:paraId="2972EC3D" w14:textId="7CCF9289" w:rsidR="00A7727F" w:rsidRPr="00A7727F" w:rsidRDefault="00A7727F" w:rsidP="00A7727F">
      <w:pPr>
        <w:rPr>
          <w:lang w:eastAsia="ja-JP"/>
        </w:rPr>
      </w:pPr>
      <w:r w:rsidRPr="00A7727F">
        <w:rPr>
          <w:lang w:eastAsia="ja-JP"/>
        </w:rPr>
        <w:t>In the program-wide pooled population, similar findings were observed with regard to liver enzyme elevations as noted in the adult relapsed/refractory ALL population. The most commonly reported hepatic adverse events were ALT increased (14.9%), AST increased (12.0%), GGT increased (9.1%), and blood bilirubin increased (5.9%). Hepatic events that led to permanent treatment discontinuation included AST increased (0.6%), ALT increased (0.4%), GGT increased (0.2%), hepatic enzyme increased (0.2%), hepatic failure (0.2%), and hyperbilirubin</w:t>
      </w:r>
      <w:r w:rsidR="002833D5">
        <w:rPr>
          <w:lang w:eastAsia="ja-JP"/>
        </w:rPr>
        <w:t>a</w:t>
      </w:r>
      <w:r w:rsidRPr="00A7727F">
        <w:rPr>
          <w:lang w:eastAsia="ja-JP"/>
        </w:rPr>
        <w:t xml:space="preserve">emia (0.2%). The majority of hepatic events reported in the pooled population were reported as </w:t>
      </w:r>
      <w:r w:rsidR="00375CAE">
        <w:rPr>
          <w:lang w:eastAsia="ja-JP"/>
        </w:rPr>
        <w:t>Grade</w:t>
      </w:r>
      <w:r w:rsidRPr="00A7727F">
        <w:rPr>
          <w:lang w:eastAsia="ja-JP"/>
        </w:rPr>
        <w:t xml:space="preserve"> of 1 and 2; less than 5% of subjects experienced </w:t>
      </w:r>
      <w:r w:rsidR="00375CAE">
        <w:rPr>
          <w:lang w:eastAsia="ja-JP"/>
        </w:rPr>
        <w:t>Grade</w:t>
      </w:r>
      <w:r w:rsidRPr="00A7727F">
        <w:rPr>
          <w:lang w:eastAsia="ja-JP"/>
        </w:rPr>
        <w:t xml:space="preserve"> 4 events.</w:t>
      </w:r>
    </w:p>
    <w:p w14:paraId="38DDA59F" w14:textId="77777777" w:rsidR="00A7727F" w:rsidRPr="00A7727F" w:rsidRDefault="00A7727F" w:rsidP="007B7D09">
      <w:pPr>
        <w:pStyle w:val="Heading5"/>
        <w:numPr>
          <w:ilvl w:val="0"/>
          <w:numId w:val="0"/>
        </w:numPr>
        <w:ind w:left="1304" w:hanging="1077"/>
      </w:pPr>
      <w:bookmarkStart w:id="285" w:name="_Toc292015631"/>
      <w:r w:rsidRPr="00A7727F">
        <w:t>Infections</w:t>
      </w:r>
      <w:bookmarkEnd w:id="285"/>
    </w:p>
    <w:p w14:paraId="2A2786DA" w14:textId="5409005A" w:rsidR="00A7727F" w:rsidRPr="00A7727F" w:rsidRDefault="00A7727F" w:rsidP="00A7727F">
      <w:pPr>
        <w:rPr>
          <w:lang w:eastAsia="ja-JP"/>
        </w:rPr>
      </w:pPr>
      <w:r w:rsidRPr="00A7727F">
        <w:rPr>
          <w:lang w:eastAsia="ja-JP"/>
        </w:rPr>
        <w:t>In the adult relapsed/refractory ALL population, 64.9% of subjects reported infections, of which pneumonia (4.9%) and sepsis (4.4%) were the most frequently reported serious adverse events. Treatment</w:t>
      </w:r>
      <w:r w:rsidR="00026432">
        <w:rPr>
          <w:lang w:eastAsia="ja-JP"/>
        </w:rPr>
        <w:t xml:space="preserve"> </w:t>
      </w:r>
      <w:r w:rsidRPr="00A7727F">
        <w:rPr>
          <w:lang w:eastAsia="ja-JP"/>
        </w:rPr>
        <w:t>related infections (per the investigator) were reported in 13.3% of subjects, with pneumonia being the most commonly reported treatment</w:t>
      </w:r>
      <w:r w:rsidR="00026432">
        <w:rPr>
          <w:lang w:eastAsia="ja-JP"/>
        </w:rPr>
        <w:t xml:space="preserve"> </w:t>
      </w:r>
      <w:r w:rsidRPr="00A7727F">
        <w:rPr>
          <w:lang w:eastAsia="ja-JP"/>
        </w:rPr>
        <w:t xml:space="preserve">related adverse event. </w:t>
      </w:r>
      <w:r w:rsidR="00423768">
        <w:rPr>
          <w:lang w:eastAsia="ja-JP"/>
        </w:rPr>
        <w:t>3</w:t>
      </w:r>
      <w:r w:rsidRPr="00A7727F">
        <w:rPr>
          <w:lang w:eastAsia="ja-JP"/>
        </w:rPr>
        <w:t xml:space="preserve"> percent (3.1%) of subjects experienced serious device</w:t>
      </w:r>
      <w:r w:rsidR="00026432">
        <w:rPr>
          <w:lang w:eastAsia="ja-JP"/>
        </w:rPr>
        <w:t xml:space="preserve"> </w:t>
      </w:r>
      <w:r w:rsidRPr="00A7727F">
        <w:rPr>
          <w:lang w:eastAsia="ja-JP"/>
        </w:rPr>
        <w:t xml:space="preserve">related infections. </w:t>
      </w:r>
      <w:r w:rsidR="00375CAE">
        <w:rPr>
          <w:lang w:eastAsia="ja-JP"/>
        </w:rPr>
        <w:t>10.2%</w:t>
      </w:r>
      <w:r w:rsidRPr="00A7727F">
        <w:rPr>
          <w:lang w:eastAsia="ja-JP"/>
        </w:rPr>
        <w:t xml:space="preserve"> of subjects died due to infections, with sepsis (2.2%) and pneumonia (1.3%) as the most common reason. Other fatal infections included fungal pneumonia, Aspergillosis, Candida sepsis, enterococcal bacteraemia, Escherichia coli sepsis, and Fusarium infection. Overall, 5% of subjects had their infusions interrupted or were permanently discontinued from study treatment due to an infection adverse event, primarily sepsis. Median time to onset of a first infection event was 15 days from the start of blinatumomab treatment. Catheter</w:t>
      </w:r>
      <w:r w:rsidR="00026432">
        <w:rPr>
          <w:lang w:eastAsia="ja-JP"/>
        </w:rPr>
        <w:t xml:space="preserve"> </w:t>
      </w:r>
      <w:r w:rsidRPr="00A7727F">
        <w:rPr>
          <w:lang w:eastAsia="ja-JP"/>
        </w:rPr>
        <w:t>related infections were observed in 6.7% of subjects.</w:t>
      </w:r>
    </w:p>
    <w:p w14:paraId="496D149D" w14:textId="61831D88" w:rsidR="00A7727F" w:rsidRPr="00A7727F" w:rsidRDefault="00A7727F" w:rsidP="00A7727F">
      <w:pPr>
        <w:rPr>
          <w:lang w:eastAsia="ja-JP"/>
        </w:rPr>
      </w:pPr>
      <w:r w:rsidRPr="00A7727F">
        <w:rPr>
          <w:lang w:eastAsia="ja-JP"/>
        </w:rPr>
        <w:t>Immunocompromised individuals are at an increased risk of developing opportunistic infections. Opportunistic infections were observed in 16.4% of subjects and included bacterial infections, such as Klebsiella infection (0.9%), Pseudomonas infection (0.9%), Clostridium difficile colitis (0.9%); fungal infections, such as fungal pneumonia (2.7%), pulmonary Aspergillosis (0.9%), and Aspergillus infection (0.9%); and viral infections, such as cytomegalovirus (CMV) infection (1.8%), herpes zoster (0.9%) and syncytial viral respiratory pneumonia (0.9%). One subject experienced a BK virus infection in the setting of reactivation. One subject diagnosed with encephalopathy was found to be cerebrospinal fluid (CSF)-positive for John Cunningham (JC) virus infection. Initial symptoms included disorientation. Per the investigator’s assessment, the subject’s clinical presentation and results of the cerebral MRI did not support a diagnosis of progressive multifocal leukoencephalopathy (PML</w:t>
      </w:r>
      <w:r w:rsidR="00F843E0">
        <w:rPr>
          <w:lang w:eastAsia="ja-JP"/>
        </w:rPr>
        <w:t>).</w:t>
      </w:r>
    </w:p>
    <w:p w14:paraId="78BCA672" w14:textId="0AE5F872" w:rsidR="00A7727F" w:rsidRPr="00A7727F" w:rsidRDefault="00A7727F" w:rsidP="00A7727F">
      <w:pPr>
        <w:rPr>
          <w:lang w:eastAsia="ja-JP"/>
        </w:rPr>
      </w:pPr>
      <w:r w:rsidRPr="00A7727F">
        <w:rPr>
          <w:lang w:eastAsia="ja-JP"/>
        </w:rPr>
        <w:t>In the program</w:t>
      </w:r>
      <w:r w:rsidR="00803B89">
        <w:rPr>
          <w:lang w:eastAsia="ja-JP"/>
        </w:rPr>
        <w:t xml:space="preserve"> </w:t>
      </w:r>
      <w:r w:rsidRPr="00A7727F">
        <w:rPr>
          <w:lang w:eastAsia="ja-JP"/>
        </w:rPr>
        <w:t>wide pooled population, infection rates in the paediatric relapsed/refractory ALL population (48.8%), MRD</w:t>
      </w:r>
      <w:r w:rsidR="00803B89">
        <w:rPr>
          <w:lang w:eastAsia="ja-JP"/>
        </w:rPr>
        <w:t xml:space="preserve"> </w:t>
      </w:r>
      <w:r w:rsidRPr="00A7727F">
        <w:rPr>
          <w:lang w:eastAsia="ja-JP"/>
        </w:rPr>
        <w:t xml:space="preserve">positive ALL population (48.2%), and relapsed/refractory NHL population (51.6%) were less than those observed in the adult relapsed/refractory ALL population. Of note, the subject incidence of fungal opportunistic infections in the paediatric relapsed/refractory ALL and adult relapsed/refractory populations were similar (7.3% and 7.1%, respectively) but were lower in the </w:t>
      </w:r>
      <w:r w:rsidR="00803B89">
        <w:rPr>
          <w:lang w:eastAsia="ja-JP"/>
        </w:rPr>
        <w:t xml:space="preserve">MRD </w:t>
      </w:r>
      <w:r w:rsidRPr="00A7727F">
        <w:rPr>
          <w:lang w:eastAsia="ja-JP"/>
        </w:rPr>
        <w:t xml:space="preserve">positive ALL and relapsed/refractory NHL populations (1.8% and 3.2%, respectively). The median time to any infection in the paediatric relapsed/refractory ALL population was 10.5 days versus 29 days in the </w:t>
      </w:r>
      <w:r w:rsidR="00803B89">
        <w:rPr>
          <w:lang w:eastAsia="ja-JP"/>
        </w:rPr>
        <w:t xml:space="preserve">MRD </w:t>
      </w:r>
      <w:r w:rsidRPr="00A7727F">
        <w:rPr>
          <w:lang w:eastAsia="ja-JP"/>
        </w:rPr>
        <w:t xml:space="preserve">positive ALL studies. No clear pattern emerged with respect to aetiology of these opportunistic infections; however, the rate of infections observed may be associated with the underlying disease. A univariate analysis of time to first onset of infections using Cox proportional hazard models suggest that ECOG PS and general condition at baseline played an important role in the frequency of infections following the treatment. The lower rates of infection in the </w:t>
      </w:r>
      <w:r w:rsidR="00803B89">
        <w:rPr>
          <w:lang w:eastAsia="ja-JP"/>
        </w:rPr>
        <w:t xml:space="preserve">MRD </w:t>
      </w:r>
      <w:r w:rsidRPr="00A7727F">
        <w:rPr>
          <w:lang w:eastAsia="ja-JP"/>
        </w:rPr>
        <w:t>positive ALL population (48.2%) compared to the adult relapsed/refractory ALL population (64.9%) also suggest that the underlying population’s medical status is more of a risk factor for the development of infections.</w:t>
      </w:r>
    </w:p>
    <w:p w14:paraId="784A5454" w14:textId="79279FA4" w:rsidR="00A7727F" w:rsidRPr="00A7727F" w:rsidRDefault="00A7727F" w:rsidP="00A7727F">
      <w:pPr>
        <w:rPr>
          <w:lang w:eastAsia="ja-JP"/>
        </w:rPr>
      </w:pPr>
      <w:r w:rsidRPr="00A7727F">
        <w:rPr>
          <w:lang w:eastAsia="ja-JP"/>
        </w:rPr>
        <w:t>Blinatumomab is to be prepared under a clean aseptic environment in a laminar airflow hood and subsequently administered via a pump as a continuous IV infusion. As blinatumomab infusion solution does not contain a preservative, a study was conducted to assess whether the prepared infusion solution can support growth of representative microorganisms. Blinatumomab infusion solution incubated at 20°C to 25°C supported the growth of Pseudomonas aeruginosa, Escherichia coli, and Pseudomonas aeruginosa, but not Staphylococcus aureus, Micrococcus luteus, or Candida albicans. None of the test organisms showed growth at 2°C to 8°C, the storage specification for blinatumomab infusion solution prior to administration.</w:t>
      </w:r>
    </w:p>
    <w:p w14:paraId="56921087" w14:textId="55141811" w:rsidR="00A7727F" w:rsidRPr="00A7727F" w:rsidRDefault="00A7727F" w:rsidP="00A7727F">
      <w:pPr>
        <w:rPr>
          <w:lang w:eastAsia="ja-JP"/>
        </w:rPr>
      </w:pPr>
      <w:r w:rsidRPr="00A7727F">
        <w:rPr>
          <w:lang w:eastAsia="ja-JP"/>
        </w:rPr>
        <w:t xml:space="preserve">To understand the potential impact of blinatumomab administration as it relates to the risk for microbial contamination on the frequency of infections, the incidence of relevant infections in subjects who were eligible to receive more frequent IV bag changes was compared with those eligible to receive less frequent IV bag changes in Study MT103-211 (IV bag changes occurred at intervals of up to every 48 hours in the US and at intervals of up to 96 hours in the EU). For relevant infections (sepsis, septic shock, bacteraemia, and device-related infections), adverse events were reported in 20% of subjects in the US (more frequent bag changes) and 21% in the EU (less frequent bag changes), and </w:t>
      </w:r>
      <w:r w:rsidR="00375CAE">
        <w:rPr>
          <w:lang w:eastAsia="ja-JP"/>
        </w:rPr>
        <w:t xml:space="preserve">Grade </w:t>
      </w:r>
      <w:r w:rsidR="00423768">
        <w:rPr>
          <w:lang w:eastAsia="ja-JP"/>
        </w:rPr>
        <w:t>≥</w:t>
      </w:r>
      <w:r w:rsidR="00375CAE">
        <w:rPr>
          <w:lang w:eastAsia="ja-JP"/>
        </w:rPr>
        <w:t xml:space="preserve"> </w:t>
      </w:r>
      <w:r w:rsidRPr="00A7727F">
        <w:rPr>
          <w:lang w:eastAsia="ja-JP"/>
        </w:rPr>
        <w:t xml:space="preserve">3 adverse events were reported in 18% of subjects in the US and 16% of subjects in the EU. For related relevant infections (per the investigator), adverse events were reported in 3% of subjects in the US and 3% of subjects in the EU, and </w:t>
      </w:r>
      <w:r w:rsidR="00375CAE">
        <w:rPr>
          <w:lang w:eastAsia="ja-JP"/>
        </w:rPr>
        <w:t xml:space="preserve">Grade </w:t>
      </w:r>
      <w:r w:rsidR="00423768">
        <w:rPr>
          <w:lang w:eastAsia="ja-JP"/>
        </w:rPr>
        <w:t>≥</w:t>
      </w:r>
      <w:r w:rsidR="00375CAE">
        <w:rPr>
          <w:lang w:eastAsia="ja-JP"/>
        </w:rPr>
        <w:t xml:space="preserve"> </w:t>
      </w:r>
      <w:r w:rsidRPr="00A7727F">
        <w:rPr>
          <w:lang w:eastAsia="ja-JP"/>
        </w:rPr>
        <w:t>3 adverse events were reported in 3% of subjects in the US and 3% of subjects in the EU. This analysis shows that an increase in relevant infections was not observed with less frequent bag changes. Importantly, the incidence of relevant infections in this study was not higher than the incidence of relevant infections in the general population of adult patients with relapsed/refractory ALL.</w:t>
      </w:r>
    </w:p>
    <w:p w14:paraId="3C90E82E" w14:textId="00244EEB" w:rsidR="00A7727F" w:rsidRPr="00A7727F" w:rsidRDefault="00A7727F" w:rsidP="007B7D09">
      <w:pPr>
        <w:pStyle w:val="Heading5"/>
        <w:numPr>
          <w:ilvl w:val="0"/>
          <w:numId w:val="0"/>
        </w:numPr>
        <w:ind w:left="1304" w:hanging="1077"/>
      </w:pPr>
      <w:bookmarkStart w:id="286" w:name="_Toc292015632"/>
      <w:r w:rsidRPr="00A7727F">
        <w:t>Cytop</w:t>
      </w:r>
      <w:r w:rsidR="00803B89">
        <w:t>a</w:t>
      </w:r>
      <w:r w:rsidRPr="00A7727F">
        <w:t>enias</w:t>
      </w:r>
      <w:bookmarkEnd w:id="286"/>
    </w:p>
    <w:p w14:paraId="1E27FE16" w14:textId="2E2901C2" w:rsidR="00A7727F" w:rsidRPr="00A7727F" w:rsidRDefault="00A7727F" w:rsidP="00A7727F">
      <w:pPr>
        <w:rPr>
          <w:lang w:eastAsia="ja-JP"/>
        </w:rPr>
      </w:pPr>
      <w:r w:rsidRPr="00A7727F">
        <w:rPr>
          <w:lang w:eastAsia="ja-JP"/>
        </w:rPr>
        <w:t>In the adult relapsed/refractory ALL population, the most commonly reported red-cell line abnormality was anaemia (17.8%), of which one event was reported as serious. Similar rates of anaemia were reported in the program-wide pooled population (15.8%), an</w:t>
      </w:r>
      <w:r w:rsidR="00803B89">
        <w:rPr>
          <w:lang w:eastAsia="ja-JP"/>
        </w:rPr>
        <w:t>d one subject experienced a non-</w:t>
      </w:r>
      <w:r w:rsidRPr="00A7727F">
        <w:rPr>
          <w:lang w:eastAsia="ja-JP"/>
        </w:rPr>
        <w:t xml:space="preserve">serious, </w:t>
      </w:r>
      <w:r w:rsidR="00375CAE">
        <w:rPr>
          <w:lang w:eastAsia="ja-JP"/>
        </w:rPr>
        <w:t>Grade</w:t>
      </w:r>
      <w:r w:rsidRPr="00A7727F">
        <w:rPr>
          <w:lang w:eastAsia="ja-JP"/>
        </w:rPr>
        <w:t xml:space="preserve"> 3 event of aplastic anaemia.</w:t>
      </w:r>
    </w:p>
    <w:p w14:paraId="7F4B4F81" w14:textId="75026379" w:rsidR="00A7727F" w:rsidRPr="00A7727F" w:rsidRDefault="00A7727F" w:rsidP="00A7727F">
      <w:pPr>
        <w:rPr>
          <w:lang w:eastAsia="ja-JP"/>
        </w:rPr>
      </w:pPr>
      <w:r w:rsidRPr="00A7727F">
        <w:rPr>
          <w:lang w:eastAsia="ja-JP"/>
        </w:rPr>
        <w:t>As would be anticipated in adult relapsed/refractory ALL population, the most frequently reported abnormalities of the white-blood cell line were febrile neutrop</w:t>
      </w:r>
      <w:r w:rsidR="00803B89">
        <w:rPr>
          <w:lang w:eastAsia="ja-JP"/>
        </w:rPr>
        <w:t>a</w:t>
      </w:r>
      <w:r w:rsidRPr="00A7727F">
        <w:rPr>
          <w:lang w:eastAsia="ja-JP"/>
        </w:rPr>
        <w:t>enia (24.4%) and neutrop</w:t>
      </w:r>
      <w:r w:rsidR="00803B89">
        <w:rPr>
          <w:lang w:eastAsia="ja-JP"/>
        </w:rPr>
        <w:t>a</w:t>
      </w:r>
      <w:r w:rsidRPr="00A7727F">
        <w:rPr>
          <w:lang w:eastAsia="ja-JP"/>
        </w:rPr>
        <w:t>enia (15.1%). Consistent with the mechanism of action of blinatumomab, 2.2% of subjects experienced lymphop</w:t>
      </w:r>
      <w:r w:rsidR="00803B89">
        <w:rPr>
          <w:lang w:eastAsia="ja-JP"/>
        </w:rPr>
        <w:t>a</w:t>
      </w:r>
      <w:r w:rsidRPr="00A7727F">
        <w:rPr>
          <w:lang w:eastAsia="ja-JP"/>
        </w:rPr>
        <w:t>enia and 1.3% experienced lymphocyte count decreased. There were no fatal outcomes associated with events of lymphop</w:t>
      </w:r>
      <w:r w:rsidR="00803B89">
        <w:rPr>
          <w:lang w:eastAsia="ja-JP"/>
        </w:rPr>
        <w:t>a</w:t>
      </w:r>
      <w:r w:rsidRPr="00A7727F">
        <w:rPr>
          <w:lang w:eastAsia="ja-JP"/>
        </w:rPr>
        <w:t>enia, and only one event of lymphop</w:t>
      </w:r>
      <w:r w:rsidR="00803B89">
        <w:rPr>
          <w:lang w:eastAsia="ja-JP"/>
        </w:rPr>
        <w:t>a</w:t>
      </w:r>
      <w:r w:rsidRPr="00A7727F">
        <w:rPr>
          <w:lang w:eastAsia="ja-JP"/>
        </w:rPr>
        <w:t>enia was reported as serious.</w:t>
      </w:r>
    </w:p>
    <w:p w14:paraId="07360CF1" w14:textId="04DD0E3C" w:rsidR="00A7727F" w:rsidRPr="00A7727F" w:rsidRDefault="00A7727F" w:rsidP="00A7727F">
      <w:pPr>
        <w:rPr>
          <w:lang w:eastAsia="ja-JP"/>
        </w:rPr>
      </w:pPr>
      <w:r w:rsidRPr="00A7727F">
        <w:rPr>
          <w:lang w:eastAsia="ja-JP"/>
        </w:rPr>
        <w:t xml:space="preserve">In the program-wide pooled population, 76 subjects (16.0%) experienced events of lymphopenia, with the majority of subjects reporting these events in the relapse/refractory NHL studies. The higher rate of lymphopenia reported in the relapsed/refractory NHL population most likely reflects different reporting requirements between the studies (based on the </w:t>
      </w:r>
      <w:r w:rsidR="0018721C">
        <w:rPr>
          <w:lang w:eastAsia="ja-JP"/>
        </w:rPr>
        <w:t>Phase I</w:t>
      </w:r>
      <w:r w:rsidRPr="00A7727F">
        <w:rPr>
          <w:lang w:eastAsia="ja-JP"/>
        </w:rPr>
        <w:t xml:space="preserve"> nature of Study MT103-104, all laboratory abnormalities were reported as adverse events regardless of clinical relevance).</w:t>
      </w:r>
    </w:p>
    <w:p w14:paraId="3F9B1D71" w14:textId="77777777" w:rsidR="00A7727F" w:rsidRPr="00A7727F" w:rsidRDefault="00A7727F" w:rsidP="00A7727F">
      <w:pPr>
        <w:rPr>
          <w:lang w:eastAsia="ja-JP"/>
        </w:rPr>
      </w:pPr>
      <w:r w:rsidRPr="00A7727F">
        <w:rPr>
          <w:lang w:eastAsia="ja-JP"/>
        </w:rPr>
        <w:t>Platelet count abnormalities such as thrombocytopenia were reported in 12.4% of subjects in the adult relapsed/refractory ALL population, and 3.6% of subjects reported the adverse event of platelet count decreased. Similar rates of platelet count abnormalities were reported in the program-wide pooled population, with 15.4% of subjects experiencing thrombocytopenia and 3.6% of subjects experiencing platelet count decreased.</w:t>
      </w:r>
    </w:p>
    <w:p w14:paraId="3CC5521D" w14:textId="77777777" w:rsidR="00A7727F" w:rsidRPr="00A7727F" w:rsidRDefault="00A7727F" w:rsidP="007B7D09">
      <w:pPr>
        <w:pStyle w:val="Heading5"/>
        <w:numPr>
          <w:ilvl w:val="0"/>
          <w:numId w:val="0"/>
        </w:numPr>
        <w:ind w:left="1304" w:hanging="1077"/>
      </w:pPr>
      <w:bookmarkStart w:id="287" w:name="_Toc292015633"/>
      <w:r w:rsidRPr="00A7727F">
        <w:t>Venous thrombosis and thromboembolic events</w:t>
      </w:r>
      <w:bookmarkEnd w:id="287"/>
    </w:p>
    <w:p w14:paraId="78EC091C" w14:textId="77777777" w:rsidR="00A7727F" w:rsidRPr="00A7727F" w:rsidRDefault="00A7727F" w:rsidP="00A7727F">
      <w:pPr>
        <w:rPr>
          <w:lang w:eastAsia="ja-JP"/>
        </w:rPr>
      </w:pPr>
      <w:r w:rsidRPr="00A7727F">
        <w:rPr>
          <w:lang w:eastAsia="ja-JP"/>
        </w:rPr>
        <w:t>In the adult relapsed/refractory ALL population, venous thrombosis and thromboembolic events (including DIC) were reported in 10.2% of the subjects and included DIC (6 subjects, 2.7%), device occlusion and deep vein thrombosis (3 subjects each), hemiparesis and embolism (2 subjects each), and splenic infarction, myocardial infarction, infusion site thrombosis, transient ischemic attack, cerebral ischemia, thrombophlebitis, thrombosis, femoral artery occlusion, subclavian vein thrombosis, and venous thrombosis (1 subject each). Serious adverse events were reported in 8 subjects: DIC (2 subjects), device occlusion (2 subjects), and hemiparesis, embolism, femoral artery occlusion, and subclavian vein thrombosis (1 subject each). One fatal adverse event was reported as embolism.</w:t>
      </w:r>
    </w:p>
    <w:p w14:paraId="12266A91" w14:textId="77777777" w:rsidR="00A7727F" w:rsidRPr="00A7727F" w:rsidRDefault="00A7727F" w:rsidP="00A7727F">
      <w:pPr>
        <w:rPr>
          <w:lang w:eastAsia="ja-JP"/>
        </w:rPr>
      </w:pPr>
      <w:r w:rsidRPr="00A7727F">
        <w:rPr>
          <w:lang w:eastAsia="ja-JP"/>
        </w:rPr>
        <w:t>In the program-wide pooled population, 10.7% of subjects experienced venous thrombosis, thromboembolic, or DIC events. Similar to the adult relapsed/refractory population, DIC was the most frequently reported adverse event (2.9%); the one fatal adverse event of DIC was reported in a paediatric subject in the setting of a CNS fungal infection (reported as not related to blinatumomab). Serious adverse events were reported in 4% of subjects in the program-wide pooled population; serious adverse events reported in 2 or more subjects were DIC (3 subjects) and device occlusion, thrombosis in device, hemiparesis, deep vein thrombosis, and thrombosis in 2 subjects each.</w:t>
      </w:r>
    </w:p>
    <w:p w14:paraId="66D2E5A9" w14:textId="4F7FDF46" w:rsidR="00A7727F" w:rsidRPr="00A7727F" w:rsidRDefault="00A7727F" w:rsidP="00A7727F">
      <w:pPr>
        <w:rPr>
          <w:lang w:eastAsia="ja-JP"/>
        </w:rPr>
      </w:pPr>
      <w:r w:rsidRPr="00A7727F">
        <w:rPr>
          <w:lang w:eastAsia="ja-JP"/>
        </w:rPr>
        <w:t>As would be expected in these heavily pre</w:t>
      </w:r>
      <w:r w:rsidR="00803B89">
        <w:rPr>
          <w:lang w:eastAsia="ja-JP"/>
        </w:rPr>
        <w:t>-</w:t>
      </w:r>
      <w:r w:rsidRPr="00A7727F">
        <w:rPr>
          <w:lang w:eastAsia="ja-JP"/>
        </w:rPr>
        <w:t>treated populations, DIC was the most frequently reported adverse event, occurring in 2.9% of subjects in the program</w:t>
      </w:r>
      <w:r w:rsidR="00803B89">
        <w:rPr>
          <w:lang w:eastAsia="ja-JP"/>
        </w:rPr>
        <w:t xml:space="preserve"> </w:t>
      </w:r>
      <w:r w:rsidRPr="00A7727F">
        <w:rPr>
          <w:lang w:eastAsia="ja-JP"/>
        </w:rPr>
        <w:t>wide pooled analysis set, with</w:t>
      </w:r>
      <w:r w:rsidR="00375CAE">
        <w:rPr>
          <w:lang w:eastAsia="ja-JP"/>
        </w:rPr>
        <w:t xml:space="preserve"> </w:t>
      </w:r>
      <w:r w:rsidR="00423768">
        <w:rPr>
          <w:lang w:eastAsia="ja-JP"/>
        </w:rPr>
        <w:t xml:space="preserve">&lt; </w:t>
      </w:r>
      <w:r w:rsidRPr="00A7727F">
        <w:rPr>
          <w:lang w:eastAsia="ja-JP"/>
        </w:rPr>
        <w:t>1% of the DIC events reported as serious or fatal.</w:t>
      </w:r>
    </w:p>
    <w:p w14:paraId="43C16BF2" w14:textId="34465268" w:rsidR="00A7727F" w:rsidRPr="00A7727F" w:rsidRDefault="00803B89" w:rsidP="007B7D09">
      <w:pPr>
        <w:pStyle w:val="Heading5"/>
        <w:numPr>
          <w:ilvl w:val="0"/>
          <w:numId w:val="0"/>
        </w:numPr>
        <w:ind w:left="1304" w:hanging="1077"/>
      </w:pPr>
      <w:bookmarkStart w:id="288" w:name="_Ref291831163"/>
      <w:bookmarkStart w:id="289" w:name="_Toc292015634"/>
      <w:r>
        <w:t>Leukoe</w:t>
      </w:r>
      <w:r w:rsidR="00A7727F" w:rsidRPr="00A7727F">
        <w:t>ncephalopathy</w:t>
      </w:r>
      <w:bookmarkEnd w:id="288"/>
      <w:bookmarkEnd w:id="289"/>
    </w:p>
    <w:p w14:paraId="6E56FDCD" w14:textId="0E653E4A" w:rsidR="00A7727F" w:rsidRPr="00A7727F" w:rsidRDefault="00A7727F" w:rsidP="00A7727F">
      <w:pPr>
        <w:rPr>
          <w:lang w:eastAsia="ja-JP"/>
        </w:rPr>
      </w:pPr>
      <w:r w:rsidRPr="00A7727F">
        <w:rPr>
          <w:lang w:eastAsia="ja-JP"/>
        </w:rPr>
        <w:t>Seven subjects in the adult/relapsed/refractory ALL population experienced serious adverse events associated with changes in either brain MRI or brain CT: confusional state (2 subjects), tremor (1 subject), cognitive disorder (1 subject), encephalop</w:t>
      </w:r>
      <w:r w:rsidR="00F20684">
        <w:rPr>
          <w:lang w:eastAsia="ja-JP"/>
        </w:rPr>
        <w:t>athy (1 subject), convulsion (1 </w:t>
      </w:r>
      <w:r w:rsidRPr="00A7727F">
        <w:rPr>
          <w:lang w:eastAsia="ja-JP"/>
        </w:rPr>
        <w:t xml:space="preserve">subject), and leukoencephalopathy (1 subject). </w:t>
      </w:r>
      <w:r w:rsidR="00423768">
        <w:rPr>
          <w:lang w:eastAsia="ja-JP"/>
        </w:rPr>
        <w:t>5</w:t>
      </w:r>
      <w:r w:rsidRPr="00A7727F">
        <w:rPr>
          <w:lang w:eastAsia="ja-JP"/>
        </w:rPr>
        <w:t xml:space="preserve"> of the 7 subjects had past medical histories, such as chronic ischemia and micro haemorrhage, prior cranial irradiation, and progression of underlying disease. One subject diagnosed with encephalopathy was found to be CSF-positive for JC virus infection. Initial symptoms included disorientation. Study treatment was permanently discontinued approximately one week from the onset of encephalopathy, and the subject recovered on the same day. Per the investigator’s assessment, the subject’s clinical presentation and results of the cerebral MRI did not support a diagnosis of PML. The remaining subject experienced a serious adverse event of confusional state, and broad white matter hypodensity changes were reported as related to study treatment by the investigator. The subject’s past medical history was significant for mental status changes; however, the subject continued on blinatumomab and a repeat CT results showed stable periventricular white matter hypodensity.</w:t>
      </w:r>
    </w:p>
    <w:p w14:paraId="1A5387FA" w14:textId="6690F5E0" w:rsidR="00A7727F" w:rsidRPr="00A7727F" w:rsidRDefault="00A7727F" w:rsidP="00A7727F">
      <w:pPr>
        <w:rPr>
          <w:lang w:eastAsia="ja-JP"/>
        </w:rPr>
      </w:pPr>
      <w:r w:rsidRPr="00A7727F">
        <w:rPr>
          <w:lang w:eastAsia="ja-JP"/>
        </w:rPr>
        <w:t xml:space="preserve">In the program-wide pooled population, MRI/CT changes were noted in 4 subjects: 2 subjects from the </w:t>
      </w:r>
      <w:r w:rsidR="00803B89">
        <w:rPr>
          <w:lang w:eastAsia="ja-JP"/>
        </w:rPr>
        <w:t xml:space="preserve">MRD </w:t>
      </w:r>
      <w:r w:rsidRPr="00A7727F">
        <w:rPr>
          <w:lang w:eastAsia="ja-JP"/>
        </w:rPr>
        <w:t>positive ALL study (</w:t>
      </w:r>
      <w:r w:rsidR="00F20684">
        <w:rPr>
          <w:lang w:eastAsia="ja-JP"/>
        </w:rPr>
        <w:t xml:space="preserve">Study </w:t>
      </w:r>
      <w:r w:rsidRPr="00A7727F">
        <w:rPr>
          <w:lang w:eastAsia="ja-JP"/>
        </w:rPr>
        <w:t>MT103-203), 1 subject from the relapsed/refractory NHL study (</w:t>
      </w:r>
      <w:r w:rsidR="00F20684">
        <w:rPr>
          <w:lang w:eastAsia="ja-JP"/>
        </w:rPr>
        <w:t xml:space="preserve">Study </w:t>
      </w:r>
      <w:r w:rsidRPr="00A7727F">
        <w:rPr>
          <w:lang w:eastAsia="ja-JP"/>
        </w:rPr>
        <w:t>MT103-104), and 1 subject from the p</w:t>
      </w:r>
      <w:r w:rsidR="00F20684">
        <w:rPr>
          <w:lang w:eastAsia="ja-JP"/>
        </w:rPr>
        <w:t>a</w:t>
      </w:r>
      <w:r w:rsidRPr="00A7727F">
        <w:rPr>
          <w:lang w:eastAsia="ja-JP"/>
        </w:rPr>
        <w:t>ediatric relapsed/refractory ALL study (</w:t>
      </w:r>
      <w:r w:rsidR="00F20684">
        <w:rPr>
          <w:lang w:eastAsia="ja-JP"/>
        </w:rPr>
        <w:t xml:space="preserve">Study </w:t>
      </w:r>
      <w:r w:rsidRPr="00A7727F">
        <w:rPr>
          <w:lang w:eastAsia="ja-JP"/>
        </w:rPr>
        <w:t xml:space="preserve">MT103-205). Out of the 2 subjects from the </w:t>
      </w:r>
      <w:r w:rsidR="00803B89">
        <w:rPr>
          <w:lang w:eastAsia="ja-JP"/>
        </w:rPr>
        <w:t xml:space="preserve">MRD </w:t>
      </w:r>
      <w:r w:rsidRPr="00A7727F">
        <w:rPr>
          <w:lang w:eastAsia="ja-JP"/>
        </w:rPr>
        <w:t>positive ALL study, one subject experienced a convulsion and MRI findings consistent with a h</w:t>
      </w:r>
      <w:r w:rsidR="00F20684">
        <w:rPr>
          <w:lang w:eastAsia="ja-JP"/>
        </w:rPr>
        <w:t>a</w:t>
      </w:r>
      <w:r w:rsidRPr="00A7727F">
        <w:rPr>
          <w:lang w:eastAsia="ja-JP"/>
        </w:rPr>
        <w:t>emorrhage in the left cerebellar hemisphere, and the second subject, with a history of radiation therapy and pre-existing MRI findings, experienced tremors and leukoencephalopathy based on MRI results that showed subtle signal enhancement in the white matter of the brain. The leukoencephalopathy was reported as resolved following withdrawal of blinatumomab. One subject with relapsed/refractory NHL and a history of microangiopathic leukoencephalopathy experienced encephalopathy and speech and fine motor function impairment 4 days after blinatumomab administration. MRI results were reported as unspecific microangiopathic leukoencephalopathy with regression of the subgaleal tissue deposits. One p</w:t>
      </w:r>
      <w:r w:rsidR="00F20684">
        <w:rPr>
          <w:lang w:eastAsia="ja-JP"/>
        </w:rPr>
        <w:t>a</w:t>
      </w:r>
      <w:r w:rsidRPr="00A7727F">
        <w:rPr>
          <w:lang w:eastAsia="ja-JP"/>
        </w:rPr>
        <w:t>ediatric subject with relapsed/refractory ALL experienced confusional state and died due to sepsis with infection, intracranial h</w:t>
      </w:r>
      <w:r w:rsidR="00F20684">
        <w:rPr>
          <w:lang w:eastAsia="ja-JP"/>
        </w:rPr>
        <w:t>a</w:t>
      </w:r>
      <w:r w:rsidRPr="00A7727F">
        <w:rPr>
          <w:lang w:eastAsia="ja-JP"/>
        </w:rPr>
        <w:t>emorrhage, and respiratory insufficiency. The CT results were consistent with intracranial h</w:t>
      </w:r>
      <w:r w:rsidR="00F20684">
        <w:rPr>
          <w:lang w:eastAsia="ja-JP"/>
        </w:rPr>
        <w:t>a</w:t>
      </w:r>
      <w:r w:rsidRPr="00A7727F">
        <w:rPr>
          <w:lang w:eastAsia="ja-JP"/>
        </w:rPr>
        <w:t>emorrhage.</w:t>
      </w:r>
    </w:p>
    <w:p w14:paraId="119447E2" w14:textId="77777777" w:rsidR="00A7727F" w:rsidRPr="00A7727F" w:rsidRDefault="00A7727F" w:rsidP="00A7727F">
      <w:pPr>
        <w:rPr>
          <w:lang w:eastAsia="ja-JP"/>
        </w:rPr>
      </w:pPr>
      <w:r w:rsidRPr="00A7727F">
        <w:rPr>
          <w:lang w:eastAsia="ja-JP"/>
        </w:rPr>
        <w:t>Across the blinatumomab studies, in these heavily pretreated patient populations, leukoencephalopathy has been infrequently reported, and to date, there have been no reports of PML.</w:t>
      </w:r>
    </w:p>
    <w:p w14:paraId="00965636" w14:textId="77777777" w:rsidR="00A7727F" w:rsidRPr="00A7727F" w:rsidRDefault="00A7727F" w:rsidP="007B7D09">
      <w:pPr>
        <w:pStyle w:val="Heading5"/>
        <w:numPr>
          <w:ilvl w:val="0"/>
          <w:numId w:val="0"/>
        </w:numPr>
        <w:ind w:left="1304" w:hanging="1077"/>
      </w:pPr>
      <w:bookmarkStart w:id="290" w:name="_Toc292015635"/>
      <w:r w:rsidRPr="00A7727F">
        <w:t>Medication errors</w:t>
      </w:r>
      <w:bookmarkEnd w:id="290"/>
    </w:p>
    <w:p w14:paraId="2276166F" w14:textId="655E6BC9" w:rsidR="00A7727F" w:rsidRPr="00A7727F" w:rsidRDefault="00A7727F" w:rsidP="00A7727F">
      <w:pPr>
        <w:rPr>
          <w:lang w:eastAsia="ja-JP"/>
        </w:rPr>
      </w:pPr>
      <w:r w:rsidRPr="00A7727F">
        <w:rPr>
          <w:lang w:eastAsia="ja-JP"/>
        </w:rPr>
        <w:t>Reporting requirements for medication errors have evolved during the blinatumomab clinical program. Protocols MT103-211 (Version 2) and MT103-205 (Version 2) required that an overdose of</w:t>
      </w:r>
      <w:r w:rsidR="00375CAE">
        <w:rPr>
          <w:lang w:eastAsia="ja-JP"/>
        </w:rPr>
        <w:t xml:space="preserve"> </w:t>
      </w:r>
      <w:r w:rsidR="00423768">
        <w:rPr>
          <w:lang w:eastAsia="ja-JP"/>
        </w:rPr>
        <w:t>&gt;</w:t>
      </w:r>
      <w:r w:rsidR="00375CAE">
        <w:rPr>
          <w:lang w:eastAsia="ja-JP"/>
        </w:rPr>
        <w:t xml:space="preserve"> </w:t>
      </w:r>
      <w:r w:rsidRPr="00A7727F">
        <w:rPr>
          <w:lang w:eastAsia="ja-JP"/>
        </w:rPr>
        <w:t>10% of the intended dose be reported as a serious adverse event. Protocols MT103-104, MT103-202, MT103-203, MT103-206, MT103-208, as well as Version 1 of Protocols MT103-205 and MT103-211, required reporting of all overdoses as serious adverse events. More recently initiated studies (</w:t>
      </w:r>
      <w:r w:rsidR="00F20684">
        <w:rPr>
          <w:lang w:eastAsia="ja-JP"/>
        </w:rPr>
        <w:t xml:space="preserve">Studies </w:t>
      </w:r>
      <w:r w:rsidRPr="00A7727F">
        <w:rPr>
          <w:lang w:eastAsia="ja-JP"/>
        </w:rPr>
        <w:t>20120216 and 00103311) require only the reporting of adverse events and serious adverse events associated with an overdose. The continuous infusion of blinatumomab in the clinical trial setting is provided by programmable pumps. A process to collect information on pump errors, independently from any association with overdose, is un</w:t>
      </w:r>
      <w:r w:rsidR="00F20684">
        <w:rPr>
          <w:lang w:eastAsia="ja-JP"/>
        </w:rPr>
        <w:t>der development within ongoing P</w:t>
      </w:r>
      <w:r w:rsidRPr="00A7727F">
        <w:rPr>
          <w:lang w:eastAsia="ja-JP"/>
        </w:rPr>
        <w:t>rotocol 00103311.</w:t>
      </w:r>
    </w:p>
    <w:p w14:paraId="27475860" w14:textId="0C33834C" w:rsidR="00A7727F" w:rsidRPr="00A7727F" w:rsidRDefault="00A7727F" w:rsidP="00A7727F">
      <w:pPr>
        <w:rPr>
          <w:lang w:eastAsia="ja-JP"/>
        </w:rPr>
      </w:pPr>
      <w:r w:rsidRPr="00A7727F">
        <w:rPr>
          <w:lang w:eastAsia="ja-JP"/>
        </w:rPr>
        <w:t>In the adult relapsed/refractory ALL population, medication errors were reported in 6 subjects (2.7%). Of these 6 subjects, the preferred terms overdose (n</w:t>
      </w:r>
      <w:r w:rsidR="00375CAE">
        <w:rPr>
          <w:lang w:eastAsia="ja-JP"/>
        </w:rPr>
        <w:t xml:space="preserve"> </w:t>
      </w:r>
      <w:r w:rsidR="00423768">
        <w:rPr>
          <w:lang w:eastAsia="ja-JP"/>
        </w:rPr>
        <w:t>=</w:t>
      </w:r>
      <w:r w:rsidR="00375CAE">
        <w:rPr>
          <w:lang w:eastAsia="ja-JP"/>
        </w:rPr>
        <w:t xml:space="preserve"> </w:t>
      </w:r>
      <w:r w:rsidRPr="00A7727F">
        <w:rPr>
          <w:lang w:eastAsia="ja-JP"/>
        </w:rPr>
        <w:t>5) and accidental overdose (n</w:t>
      </w:r>
      <w:r w:rsidR="00F20684">
        <w:rPr>
          <w:lang w:eastAsia="ja-JP"/>
        </w:rPr>
        <w:t> </w:t>
      </w:r>
      <w:r w:rsidR="00423768">
        <w:rPr>
          <w:lang w:eastAsia="ja-JP"/>
        </w:rPr>
        <w:t>=</w:t>
      </w:r>
      <w:r w:rsidR="00F20684">
        <w:rPr>
          <w:lang w:eastAsia="ja-JP"/>
        </w:rPr>
        <w:t> </w:t>
      </w:r>
      <w:r w:rsidRPr="00A7727F">
        <w:rPr>
          <w:lang w:eastAsia="ja-JP"/>
        </w:rPr>
        <w:t>2) were reported. One subject experienced 2 medication error events (1 event of overdose and 1 event of accidental overdose). Across the program-wide pooled population, medication errors were reported in 22 subjects (4.6%): overdose (3.6%), accidental overdose (0.8%), and wrong technique in drug usage process (0.4%). The majority of subjects reported no adverse events associated with the overdose; the few adverse events reported (fever, tremors, and headache) were consistent with those reported at the recommended therapeutic dose for blinatumomab in adult patients with relapsed/refractory ALL. One subject experienced encephalopathy, for which he was discontinued from treatment after receiving 12 times the intended blinatumomab dose of 5</w:t>
      </w:r>
      <w:r w:rsidR="00375CAE">
        <w:rPr>
          <w:lang w:eastAsia="ja-JP"/>
        </w:rPr>
        <w:t xml:space="preserve"> </w:t>
      </w:r>
      <w:r w:rsidR="0018721C">
        <w:rPr>
          <w:lang w:eastAsia="ja-JP"/>
        </w:rPr>
        <w:t>µg</w:t>
      </w:r>
      <w:r w:rsidRPr="00A7727F">
        <w:rPr>
          <w:lang w:eastAsia="ja-JP"/>
        </w:rPr>
        <w:t>/</w:t>
      </w:r>
      <w:r w:rsidR="00586C19" w:rsidRPr="00F31F9F">
        <w:rPr>
          <w:lang w:eastAsia="ja-JP"/>
        </w:rPr>
        <w:t>m</w:t>
      </w:r>
      <w:r w:rsidR="00586C19" w:rsidRPr="00586C19">
        <w:rPr>
          <w:vertAlign w:val="superscript"/>
          <w:lang w:eastAsia="ja-JP"/>
        </w:rPr>
        <w:t>2</w:t>
      </w:r>
      <w:r w:rsidRPr="00A7727F">
        <w:rPr>
          <w:lang w:eastAsia="ja-JP"/>
        </w:rPr>
        <w:t xml:space="preserve"> for 1 day.</w:t>
      </w:r>
    </w:p>
    <w:p w14:paraId="771614C1" w14:textId="6FB71BED" w:rsidR="00A7727F" w:rsidRPr="00A7727F" w:rsidRDefault="00A7727F" w:rsidP="00A7727F">
      <w:pPr>
        <w:rPr>
          <w:lang w:eastAsia="ja-JP"/>
        </w:rPr>
      </w:pPr>
      <w:r w:rsidRPr="00A7727F">
        <w:rPr>
          <w:lang w:eastAsia="ja-JP"/>
        </w:rPr>
        <w:t>The types of medication errors reported have been related to either the preparation or administration steps of blinatumomab use. Increased flow rate of the infu</w:t>
      </w:r>
      <w:r w:rsidR="00F20684">
        <w:rPr>
          <w:lang w:eastAsia="ja-JP"/>
        </w:rPr>
        <w:t>sion pump (through malfunction (</w:t>
      </w:r>
      <w:r w:rsidRPr="00A7727F">
        <w:rPr>
          <w:lang w:eastAsia="ja-JP"/>
        </w:rPr>
        <w:t>5 subjects</w:t>
      </w:r>
      <w:r w:rsidR="00F20684">
        <w:rPr>
          <w:lang w:eastAsia="ja-JP"/>
        </w:rPr>
        <w:t>)</w:t>
      </w:r>
      <w:r w:rsidRPr="00A7727F">
        <w:rPr>
          <w:lang w:eastAsia="ja-JP"/>
        </w:rPr>
        <w:t xml:space="preserve"> and accidental increase, including manipulation of the pump by the subject </w:t>
      </w:r>
      <w:r w:rsidR="00F20684">
        <w:rPr>
          <w:lang w:eastAsia="ja-JP"/>
        </w:rPr>
        <w:t>(</w:t>
      </w:r>
      <w:r w:rsidRPr="00A7727F">
        <w:rPr>
          <w:lang w:eastAsia="ja-JP"/>
        </w:rPr>
        <w:t>6 subjects</w:t>
      </w:r>
      <w:r w:rsidR="00F20684">
        <w:rPr>
          <w:lang w:eastAsia="ja-JP"/>
        </w:rPr>
        <w:t>)</w:t>
      </w:r>
      <w:r w:rsidRPr="00A7727F">
        <w:rPr>
          <w:lang w:eastAsia="ja-JP"/>
        </w:rPr>
        <w:t>,</w:t>
      </w:r>
      <w:r w:rsidR="00F20684">
        <w:rPr>
          <w:lang w:eastAsia="ja-JP"/>
        </w:rPr>
        <w:t xml:space="preserve"> infusion rate set incorrectly (</w:t>
      </w:r>
      <w:r w:rsidRPr="00A7727F">
        <w:rPr>
          <w:lang w:eastAsia="ja-JP"/>
        </w:rPr>
        <w:t>1 subje</w:t>
      </w:r>
      <w:r w:rsidR="00F20684">
        <w:rPr>
          <w:lang w:eastAsia="ja-JP"/>
        </w:rPr>
        <w:t>ct)</w:t>
      </w:r>
      <w:r w:rsidRPr="00A7727F">
        <w:rPr>
          <w:lang w:eastAsia="ja-JP"/>
        </w:rPr>
        <w:t>, and an error connecting</w:t>
      </w:r>
      <w:r w:rsidR="00F20684">
        <w:rPr>
          <w:lang w:eastAsia="ja-JP"/>
        </w:rPr>
        <w:t xml:space="preserve"> the infusion line to the pump (1 subject)</w:t>
      </w:r>
      <w:r w:rsidRPr="00A7727F">
        <w:rPr>
          <w:lang w:eastAsia="ja-JP"/>
        </w:rPr>
        <w:t>) was the most common cause for overdose in the program-wide pooled population. Overdose also resulted from pharmacy preparation errors relating to the calculation of blinatumomab concentration.</w:t>
      </w:r>
    </w:p>
    <w:p w14:paraId="25272950" w14:textId="5F841851" w:rsidR="00A7727F" w:rsidRPr="00A7727F" w:rsidRDefault="00A7727F" w:rsidP="00A7727F">
      <w:pPr>
        <w:rPr>
          <w:lang w:eastAsia="ja-JP"/>
        </w:rPr>
      </w:pPr>
      <w:r w:rsidRPr="00A7727F">
        <w:rPr>
          <w:lang w:eastAsia="ja-JP"/>
        </w:rPr>
        <w:t xml:space="preserve">The following measures were introduced to mitigate overdose during the conduct of the clinical trials: correction of pharmacy software and prescription forms, updates to standard operating procedures, and retraining of staff across all sites. A total of 9 medication errors (all overdose) were reported after these measures were implemented </w:t>
      </w:r>
      <w:r w:rsidR="00F20684">
        <w:rPr>
          <w:lang w:eastAsia="ja-JP"/>
        </w:rPr>
        <w:t>(September 2012 through October </w:t>
      </w:r>
      <w:r w:rsidRPr="00A7727F">
        <w:rPr>
          <w:lang w:eastAsia="ja-JP"/>
        </w:rPr>
        <w:t>2013). In comparison, 15 medication errors (of which 13 were overdose) were reported prior to September 2012 (data on file). Results suggest that while the overall rate of overdose errors (number of incidents per subjects at risk) was similar both before (4.5%; 13 of 291) and after (3.9%; 9 of 232) mitigation efforts, specific errors were not repeated by individual sites after retraining.</w:t>
      </w:r>
    </w:p>
    <w:p w14:paraId="6A68A13A" w14:textId="77777777" w:rsidR="00A7727F" w:rsidRPr="00A7727F" w:rsidRDefault="00A7727F" w:rsidP="00F20684">
      <w:pPr>
        <w:pStyle w:val="Heading4"/>
      </w:pPr>
      <w:bookmarkStart w:id="291" w:name="_Toc292015636"/>
      <w:r w:rsidRPr="00A7727F">
        <w:t>Minimal critical toxicities</w:t>
      </w:r>
      <w:bookmarkEnd w:id="291"/>
    </w:p>
    <w:p w14:paraId="4AFE0CA1" w14:textId="74C0F262" w:rsidR="00A7727F" w:rsidRPr="00A7727F" w:rsidRDefault="002C2FB2" w:rsidP="00F20684">
      <w:pPr>
        <w:pStyle w:val="Heading5"/>
        <w:rPr>
          <w:lang w:eastAsia="ja-JP"/>
        </w:rPr>
      </w:pPr>
      <w:r>
        <w:rPr>
          <w:lang w:eastAsia="ja-JP"/>
        </w:rPr>
        <w:t>QT prolongation and other ECG a</w:t>
      </w:r>
      <w:r w:rsidR="00A7727F" w:rsidRPr="00A7727F">
        <w:rPr>
          <w:lang w:eastAsia="ja-JP"/>
        </w:rPr>
        <w:t>bnormalities</w:t>
      </w:r>
    </w:p>
    <w:p w14:paraId="0F375F2C" w14:textId="2111CAD3" w:rsidR="00A7727F" w:rsidRPr="00A7727F" w:rsidRDefault="00A7727F" w:rsidP="00A7727F">
      <w:pPr>
        <w:rPr>
          <w:lang w:eastAsia="ja-JP"/>
        </w:rPr>
      </w:pPr>
      <w:r w:rsidRPr="00A7727F">
        <w:rPr>
          <w:lang w:eastAsia="ja-JP"/>
        </w:rPr>
        <w:t xml:space="preserve">In the pooled analysis from Studies MT103-206 and MT103-203, 62 subjects met ECG analysis criteria. The results showed a moderate increase in heart rate, likely attributed to multifactorial </w:t>
      </w:r>
      <w:r w:rsidR="002C2FB2">
        <w:rPr>
          <w:lang w:eastAsia="ja-JP"/>
        </w:rPr>
        <w:t>a</w:t>
      </w:r>
      <w:r w:rsidRPr="00A7727F">
        <w:rPr>
          <w:lang w:eastAsia="ja-JP"/>
        </w:rPr>
        <w:t>etiology related to both disease state and cytokine release. There was no signal of any effect on AV conduction or cardiac depolarization as measured by the PR and QRS interval durations, respectively. There was no significant effect on cardiac</w:t>
      </w:r>
      <w:r w:rsidR="00F20684">
        <w:rPr>
          <w:lang w:eastAsia="ja-JP"/>
        </w:rPr>
        <w:t xml:space="preserve"> repolaris</w:t>
      </w:r>
      <w:r w:rsidRPr="00A7727F">
        <w:rPr>
          <w:lang w:eastAsia="ja-JP"/>
        </w:rPr>
        <w:t>ation as measured by the slight decrease in QTcF and the flat to positive slope for blin</w:t>
      </w:r>
      <w:r w:rsidR="00F20684">
        <w:rPr>
          <w:lang w:eastAsia="ja-JP"/>
        </w:rPr>
        <w:t>atumomab in the pharmacokinetic/</w:t>
      </w:r>
      <w:r w:rsidRPr="00A7727F">
        <w:rPr>
          <w:lang w:eastAsia="ja-JP"/>
        </w:rPr>
        <w:t>pharmacodynamic model. There was only a single subject who developed a new morphological ECG change, which appeared to be of no clinical significance. The results of the pooled analyses from Studies MT103-206 and MT103-203 were nearly identical to the results of Study MT103-206 when analy</w:t>
      </w:r>
      <w:r w:rsidR="002C2FB2">
        <w:rPr>
          <w:lang w:eastAsia="ja-JP"/>
        </w:rPr>
        <w:t>s</w:t>
      </w:r>
      <w:r w:rsidRPr="00A7727F">
        <w:rPr>
          <w:lang w:eastAsia="ja-JP"/>
        </w:rPr>
        <w:t xml:space="preserve">ed alone. In addition, a QT/QTc assessment was prospectively planned for the </w:t>
      </w:r>
      <w:r w:rsidR="0018721C">
        <w:rPr>
          <w:lang w:eastAsia="ja-JP"/>
        </w:rPr>
        <w:t>Phase I</w:t>
      </w:r>
      <w:r w:rsidRPr="00A7727F">
        <w:rPr>
          <w:lang w:eastAsia="ja-JP"/>
        </w:rPr>
        <w:t xml:space="preserve"> NHL </w:t>
      </w:r>
      <w:r w:rsidR="00F20684">
        <w:rPr>
          <w:lang w:eastAsia="ja-JP"/>
        </w:rPr>
        <w:t>S</w:t>
      </w:r>
      <w:r w:rsidRPr="00A7727F">
        <w:rPr>
          <w:lang w:eastAsia="ja-JP"/>
        </w:rPr>
        <w:t>tudy MT103-104. Based on results of this study, ECG analysis from 88 subjects with various subsets of NHL did not reveal a risk for QTc prolongation associated with blinatumomab treatment.</w:t>
      </w:r>
    </w:p>
    <w:p w14:paraId="5A4AD6ED" w14:textId="429ED459" w:rsidR="00A7727F" w:rsidRPr="00A7727F" w:rsidRDefault="00A7727F" w:rsidP="00A7727F">
      <w:pPr>
        <w:rPr>
          <w:lang w:eastAsia="ja-JP"/>
        </w:rPr>
      </w:pPr>
      <w:r w:rsidRPr="00A7727F">
        <w:rPr>
          <w:lang w:eastAsia="ja-JP"/>
        </w:rPr>
        <w:t>An analysis of adverse events across the blinatumomab program was conducted per International Conference on Harmoni</w:t>
      </w:r>
      <w:r w:rsidR="00F20684">
        <w:rPr>
          <w:lang w:eastAsia="ja-JP"/>
        </w:rPr>
        <w:t>s</w:t>
      </w:r>
      <w:r w:rsidRPr="00A7727F">
        <w:rPr>
          <w:lang w:eastAsia="ja-JP"/>
        </w:rPr>
        <w:t>ation (ICH) E14 guidance (ICH E14, 2005). Events listed in the guidance were used to determine the selection of certain Standard</w:t>
      </w:r>
      <w:r w:rsidR="00D50F7E">
        <w:rPr>
          <w:lang w:eastAsia="ja-JP"/>
        </w:rPr>
        <w:t>ised</w:t>
      </w:r>
      <w:r w:rsidRPr="00A7727F">
        <w:rPr>
          <w:lang w:eastAsia="ja-JP"/>
        </w:rPr>
        <w:t xml:space="preserve"> Medical Dictionary for Regulatory Activities (MedDRA) Queries (SMQ). In the adult relapsed/refractory ALL population, one subject experienced a non-serious adverse event reported as electrocardiogram QT prolonged. The event occurred concurrent with the administration of ciprofloxacin, which has a known association with prolonged QT. Ciprofloxacin was discontinued following the development of QT prolongation. Other adverse events identified in the adult relapsed/refractory population included convulsion, epilepsy, syncope, tachycardia, sinus tachycardia, bradycardia, sinus bradycardia, supraventricular tachycardia, arrhythmia, palpitations, atrial fibrillation, ventricular extrasystoles, atrial tachycardia, ventricular fibrillation, and heart rate increased. However, a review of these adverse events did not suggest a potential proarrhythmic </w:t>
      </w:r>
      <w:r w:rsidR="00F20684">
        <w:rPr>
          <w:lang w:eastAsia="ja-JP"/>
        </w:rPr>
        <w:t>a</w:t>
      </w:r>
      <w:r w:rsidRPr="00A7727F">
        <w:rPr>
          <w:lang w:eastAsia="ja-JP"/>
        </w:rPr>
        <w:t xml:space="preserve">etiology. Of the events with available ECG readings in the adult relapsed/refractory ALL population, no QT prolongation was reported. Additional adverse events reported in the program-wide pooled population (not observed in the adult relapsed/refractory ALL population) that were reviewed for a potential proarrhythmic </w:t>
      </w:r>
      <w:r w:rsidR="00F20684">
        <w:rPr>
          <w:lang w:eastAsia="ja-JP"/>
        </w:rPr>
        <w:t>a</w:t>
      </w:r>
      <w:r w:rsidRPr="00A7727F">
        <w:rPr>
          <w:lang w:eastAsia="ja-JP"/>
        </w:rPr>
        <w:t xml:space="preserve">etiology included atonic seizures, left bundle branch block, cardiac arrest, sinus arrhythmia, supraventricular extrasystoles, and irregular heart rate. Similar to the adult relapsed/refractory ALL population, a review of these events did not suggest a potential proarrhythmic </w:t>
      </w:r>
      <w:r w:rsidR="00F20684">
        <w:rPr>
          <w:lang w:eastAsia="ja-JP"/>
        </w:rPr>
        <w:t>a</w:t>
      </w:r>
      <w:r w:rsidRPr="00A7727F">
        <w:rPr>
          <w:lang w:eastAsia="ja-JP"/>
        </w:rPr>
        <w:t>etiology. However, there was a p</w:t>
      </w:r>
      <w:r w:rsidR="002C2FB2">
        <w:rPr>
          <w:lang w:eastAsia="ja-JP"/>
        </w:rPr>
        <w:t>a</w:t>
      </w:r>
      <w:r w:rsidRPr="00A7727F">
        <w:rPr>
          <w:lang w:eastAsia="ja-JP"/>
        </w:rPr>
        <w:t>ediatric subject who experienced an atonic sei</w:t>
      </w:r>
      <w:r w:rsidR="00F20684">
        <w:rPr>
          <w:lang w:eastAsia="ja-JP"/>
        </w:rPr>
        <w:t>zure with ECG results noted as ‘QTc increased’.</w:t>
      </w:r>
      <w:r w:rsidRPr="00A7727F">
        <w:rPr>
          <w:lang w:eastAsia="ja-JP"/>
        </w:rPr>
        <w:t xml:space="preserve"> Electrolyte disturbances, mostly </w:t>
      </w:r>
      <w:r w:rsidR="00375CAE">
        <w:rPr>
          <w:lang w:eastAsia="ja-JP"/>
        </w:rPr>
        <w:t>Grade</w:t>
      </w:r>
      <w:r w:rsidRPr="00A7727F">
        <w:rPr>
          <w:lang w:eastAsia="ja-JP"/>
        </w:rPr>
        <w:t xml:space="preserve"> 1 and 2, were observed at the time of onset of the seizure.</w:t>
      </w:r>
    </w:p>
    <w:p w14:paraId="042427EE" w14:textId="2D623F70" w:rsidR="00A7727F" w:rsidRPr="00A7727F" w:rsidRDefault="00A7727F" w:rsidP="00A7727F">
      <w:pPr>
        <w:rPr>
          <w:lang w:eastAsia="ja-JP"/>
        </w:rPr>
      </w:pPr>
      <w:r w:rsidRPr="00A7727F">
        <w:rPr>
          <w:lang w:eastAsia="ja-JP"/>
        </w:rPr>
        <w:t>In conclusion, a review of the data revealed that blinatumomab was associated with a moderate but persistent increase in heart rate, but had no signifi</w:t>
      </w:r>
      <w:r w:rsidR="002C2FB2">
        <w:rPr>
          <w:lang w:eastAsia="ja-JP"/>
        </w:rPr>
        <w:t>cant effect on cardiac repolaris</w:t>
      </w:r>
      <w:r w:rsidRPr="00A7727F">
        <w:rPr>
          <w:lang w:eastAsia="ja-JP"/>
        </w:rPr>
        <w:t>ation or other ECG parameters. The adverse events observed appear to overlap with the systemic effects associated with cytokine release syndrome and tumo</w:t>
      </w:r>
      <w:r w:rsidR="002C2FB2">
        <w:rPr>
          <w:lang w:eastAsia="ja-JP"/>
        </w:rPr>
        <w:t>u</w:t>
      </w:r>
      <w:r w:rsidRPr="00A7727F">
        <w:rPr>
          <w:lang w:eastAsia="ja-JP"/>
        </w:rPr>
        <w:t>r lysis syndrome, and the ECG results do not suggest any QT risk in subjects receiving blinatumomab.</w:t>
      </w:r>
    </w:p>
    <w:p w14:paraId="7A1C832A" w14:textId="77777777" w:rsidR="00A7727F" w:rsidRPr="00A7727F" w:rsidRDefault="00A7727F" w:rsidP="002C2FB2">
      <w:pPr>
        <w:pStyle w:val="Heading5"/>
        <w:rPr>
          <w:lang w:eastAsia="ja-JP"/>
        </w:rPr>
      </w:pPr>
      <w:r w:rsidRPr="00A7727F">
        <w:rPr>
          <w:lang w:eastAsia="ja-JP"/>
        </w:rPr>
        <w:t>Nephrotoxicity</w:t>
      </w:r>
    </w:p>
    <w:p w14:paraId="32E0DAD2" w14:textId="23AE88F1" w:rsidR="00A7727F" w:rsidRPr="00A7727F" w:rsidRDefault="00A7727F" w:rsidP="00A7727F">
      <w:pPr>
        <w:rPr>
          <w:lang w:eastAsia="ja-JP"/>
        </w:rPr>
      </w:pPr>
      <w:r w:rsidRPr="00A7727F">
        <w:rPr>
          <w:lang w:eastAsia="ja-JP"/>
        </w:rPr>
        <w:t xml:space="preserve">In the adult relapsed/refractory ALL population, 4.4% of subjects experienced adverse events of potential nephrotoxicity including renal failure (1.8%), renal failure acute (1.3%), anuria </w:t>
      </w:r>
      <w:r w:rsidR="00423768">
        <w:rPr>
          <w:lang w:eastAsia="ja-JP"/>
        </w:rPr>
        <w:t>(&lt;</w:t>
      </w:r>
      <w:r w:rsidR="002C2FB2">
        <w:rPr>
          <w:lang w:eastAsia="ja-JP"/>
        </w:rPr>
        <w:t> </w:t>
      </w:r>
      <w:r w:rsidRPr="00A7727F">
        <w:rPr>
          <w:lang w:eastAsia="ja-JP"/>
        </w:rPr>
        <w:t xml:space="preserve">1%), and oliguria </w:t>
      </w:r>
      <w:r w:rsidR="00423768">
        <w:rPr>
          <w:lang w:eastAsia="ja-JP"/>
        </w:rPr>
        <w:t>(&lt;</w:t>
      </w:r>
      <w:r w:rsidR="00375CAE">
        <w:rPr>
          <w:lang w:eastAsia="ja-JP"/>
        </w:rPr>
        <w:t xml:space="preserve"> </w:t>
      </w:r>
      <w:r w:rsidRPr="00A7727F">
        <w:rPr>
          <w:lang w:eastAsia="ja-JP"/>
        </w:rPr>
        <w:t xml:space="preserve">1%), with acute renal failure </w:t>
      </w:r>
      <w:r w:rsidR="00423768">
        <w:rPr>
          <w:lang w:eastAsia="ja-JP"/>
        </w:rPr>
        <w:t>(&lt;</w:t>
      </w:r>
      <w:r w:rsidR="00375CAE">
        <w:rPr>
          <w:lang w:eastAsia="ja-JP"/>
        </w:rPr>
        <w:t xml:space="preserve"> </w:t>
      </w:r>
      <w:r w:rsidRPr="00A7727F">
        <w:rPr>
          <w:lang w:eastAsia="ja-JP"/>
        </w:rPr>
        <w:t xml:space="preserve">1%), renal failure </w:t>
      </w:r>
      <w:r w:rsidR="00423768">
        <w:rPr>
          <w:lang w:eastAsia="ja-JP"/>
        </w:rPr>
        <w:t>(&lt;</w:t>
      </w:r>
      <w:r w:rsidR="00375CAE">
        <w:rPr>
          <w:lang w:eastAsia="ja-JP"/>
        </w:rPr>
        <w:t xml:space="preserve"> </w:t>
      </w:r>
      <w:r w:rsidRPr="00A7727F">
        <w:rPr>
          <w:lang w:eastAsia="ja-JP"/>
        </w:rPr>
        <w:t xml:space="preserve">1%), and blood creatinine increased </w:t>
      </w:r>
      <w:r w:rsidR="00423768">
        <w:rPr>
          <w:lang w:eastAsia="ja-JP"/>
        </w:rPr>
        <w:t>(&lt;</w:t>
      </w:r>
      <w:r w:rsidR="00375CAE">
        <w:rPr>
          <w:lang w:eastAsia="ja-JP"/>
        </w:rPr>
        <w:t xml:space="preserve"> </w:t>
      </w:r>
      <w:r w:rsidRPr="00A7727F">
        <w:rPr>
          <w:lang w:eastAsia="ja-JP"/>
        </w:rPr>
        <w:t>1%) reported as serious. Acute renal failure and renal failure were reported primarily in the setting of infections and tumo</w:t>
      </w:r>
      <w:r w:rsidR="002C2FB2">
        <w:rPr>
          <w:lang w:eastAsia="ja-JP"/>
        </w:rPr>
        <w:t>u</w:t>
      </w:r>
      <w:r w:rsidRPr="00A7727F">
        <w:rPr>
          <w:lang w:eastAsia="ja-JP"/>
        </w:rPr>
        <w:t>r lysis syndrome. None of the events of potential nephrotoxicity led to study treatment discontinuation or had a fatal outcome. In the program</w:t>
      </w:r>
      <w:r w:rsidR="002C2FB2">
        <w:rPr>
          <w:lang w:eastAsia="ja-JP"/>
        </w:rPr>
        <w:t xml:space="preserve"> </w:t>
      </w:r>
      <w:r w:rsidRPr="00A7727F">
        <w:rPr>
          <w:lang w:eastAsia="ja-JP"/>
        </w:rPr>
        <w:t xml:space="preserve">wide pooled population, a similar subject incidence (3.2%), including the type of adverse events and outcome, was observed. Overall, the majority of the events reported were non-serious. Of the serious adverse events reported, there were alternative </w:t>
      </w:r>
      <w:r w:rsidR="002C2FB2">
        <w:rPr>
          <w:lang w:eastAsia="ja-JP"/>
        </w:rPr>
        <w:t>a</w:t>
      </w:r>
      <w:r w:rsidRPr="00A7727F">
        <w:rPr>
          <w:lang w:eastAsia="ja-JP"/>
        </w:rPr>
        <w:t>etiologies, including dehydration, infection, sepsis, and procedure-related complications.</w:t>
      </w:r>
    </w:p>
    <w:p w14:paraId="773767CD" w14:textId="77777777" w:rsidR="00A7727F" w:rsidRPr="00A7727F" w:rsidRDefault="00A7727F" w:rsidP="002C2FB2">
      <w:pPr>
        <w:pStyle w:val="Heading5"/>
        <w:rPr>
          <w:lang w:eastAsia="ja-JP"/>
        </w:rPr>
      </w:pPr>
      <w:r w:rsidRPr="00A7727F">
        <w:rPr>
          <w:lang w:eastAsia="ja-JP"/>
        </w:rPr>
        <w:t>Immunogenicity</w:t>
      </w:r>
    </w:p>
    <w:p w14:paraId="2396288C" w14:textId="52128CE0" w:rsidR="00A7727F" w:rsidRPr="00A7727F" w:rsidRDefault="00A7727F" w:rsidP="00A7727F">
      <w:pPr>
        <w:rPr>
          <w:lang w:eastAsia="ja-JP"/>
        </w:rPr>
      </w:pPr>
      <w:r w:rsidRPr="00A7727F">
        <w:rPr>
          <w:lang w:eastAsia="ja-JP"/>
        </w:rPr>
        <w:t xml:space="preserve">A low incidence of </w:t>
      </w:r>
      <w:r w:rsidR="00836E5E">
        <w:rPr>
          <w:lang w:eastAsia="ja-JP"/>
        </w:rPr>
        <w:t>neutralising</w:t>
      </w:r>
      <w:r w:rsidRPr="00A7727F">
        <w:rPr>
          <w:lang w:eastAsia="ja-JP"/>
        </w:rPr>
        <w:t xml:space="preserve"> antibodies </w:t>
      </w:r>
      <w:r w:rsidR="00423768">
        <w:rPr>
          <w:lang w:eastAsia="ja-JP"/>
        </w:rPr>
        <w:t>(&lt;</w:t>
      </w:r>
      <w:r w:rsidR="00375CAE">
        <w:rPr>
          <w:lang w:eastAsia="ja-JP"/>
        </w:rPr>
        <w:t xml:space="preserve"> </w:t>
      </w:r>
      <w:r w:rsidRPr="00A7727F">
        <w:rPr>
          <w:lang w:eastAsia="ja-JP"/>
        </w:rPr>
        <w:t xml:space="preserve">1%, 3 out of 325 subjects) was observed in the 4 adult studies evaluated (Studies MT103-211, MT103-206, MT103-202, and MT103-104). For subjects that showed positive </w:t>
      </w:r>
      <w:r w:rsidR="00836E5E">
        <w:rPr>
          <w:lang w:eastAsia="ja-JP"/>
        </w:rPr>
        <w:t>neutralising</w:t>
      </w:r>
      <w:r w:rsidRPr="00A7727F">
        <w:rPr>
          <w:lang w:eastAsia="ja-JP"/>
        </w:rPr>
        <w:t xml:space="preserve"> ADAs during the monitoring period, decreases in drug concentration were observed. The impact of immunogenicity on safety was evaluated through medical review and assessment of the type and severity of adverse events, potential infusion reactions, and number of doses received while on study for blinatumomab</w:t>
      </w:r>
      <w:r w:rsidR="002C2FB2">
        <w:rPr>
          <w:lang w:eastAsia="ja-JP"/>
        </w:rPr>
        <w:t xml:space="preserve"> </w:t>
      </w:r>
      <w:r w:rsidRPr="00A7727F">
        <w:rPr>
          <w:lang w:eastAsia="ja-JP"/>
        </w:rPr>
        <w:t>treated</w:t>
      </w:r>
      <w:r w:rsidR="002C2FB2">
        <w:rPr>
          <w:lang w:eastAsia="ja-JP"/>
        </w:rPr>
        <w:t xml:space="preserve"> subjects.</w:t>
      </w:r>
    </w:p>
    <w:p w14:paraId="529E4D1D" w14:textId="77777777" w:rsidR="00A7727F" w:rsidRPr="00A7727F" w:rsidRDefault="00A7727F" w:rsidP="002C2FB2">
      <w:pPr>
        <w:pStyle w:val="Heading5"/>
      </w:pPr>
      <w:bookmarkStart w:id="292" w:name="_Toc292015637"/>
      <w:bookmarkStart w:id="293" w:name="_Toc241374321"/>
      <w:bookmarkStart w:id="294" w:name="_Ref271044780"/>
      <w:bookmarkStart w:id="295" w:name="_Ref271196640"/>
      <w:bookmarkStart w:id="296" w:name="_Ref272333085"/>
      <w:bookmarkStart w:id="297" w:name="_Toc272414668"/>
      <w:bookmarkStart w:id="298" w:name="_Toc290846306"/>
      <w:r w:rsidRPr="00A7727F">
        <w:t>Laboratory tests</w:t>
      </w:r>
      <w:bookmarkEnd w:id="292"/>
    </w:p>
    <w:bookmarkEnd w:id="293"/>
    <w:bookmarkEnd w:id="294"/>
    <w:bookmarkEnd w:id="295"/>
    <w:bookmarkEnd w:id="296"/>
    <w:bookmarkEnd w:id="297"/>
    <w:bookmarkEnd w:id="298"/>
    <w:p w14:paraId="1E012B9A" w14:textId="3E8094CA" w:rsidR="00A7727F" w:rsidRPr="00A7727F" w:rsidRDefault="00A7727F" w:rsidP="00A7727F">
      <w:pPr>
        <w:rPr>
          <w:lang w:eastAsia="ja-JP"/>
        </w:rPr>
      </w:pPr>
      <w:r w:rsidRPr="00A7727F">
        <w:rPr>
          <w:lang w:eastAsia="ja-JP"/>
        </w:rPr>
        <w:t xml:space="preserve">In the adult relapsed/refractory ALL population, significant liver function test (LFT) elevations (AST, ALT, and GGT) tended to occur early and may have been associated with cytokine release and </w:t>
      </w:r>
      <w:r w:rsidR="00586C19">
        <w:rPr>
          <w:lang w:eastAsia="ja-JP"/>
        </w:rPr>
        <w:t>T cell</w:t>
      </w:r>
      <w:r w:rsidRPr="00A7727F">
        <w:rPr>
          <w:lang w:eastAsia="ja-JP"/>
        </w:rPr>
        <w:t xml:space="preserve"> activity. There were no fatal events due to LFT elevations and nearly all LFT elevations resolved. Some events resolved with treatment interruption with subjects being successfully rechallenged, while others resolved while treatment continued, suggesting a first-dose effect rather than direct toxicity of blinatumomab.</w:t>
      </w:r>
    </w:p>
    <w:p w14:paraId="2DF27329" w14:textId="2275DB6D" w:rsidR="00A7727F" w:rsidRPr="00A7727F" w:rsidRDefault="00A7727F" w:rsidP="00A7727F">
      <w:pPr>
        <w:rPr>
          <w:lang w:eastAsia="ja-JP"/>
        </w:rPr>
      </w:pPr>
      <w:r w:rsidRPr="00A7727F">
        <w:rPr>
          <w:lang w:eastAsia="ja-JP"/>
        </w:rPr>
        <w:t>Serum chemistry abnormalities, including potassium and calcium, were typically mild and generally resolved by the end of the core study periods. Some of these abnormalities are consistent with tumo</w:t>
      </w:r>
      <w:r w:rsidR="002C2FB2">
        <w:rPr>
          <w:lang w:eastAsia="ja-JP"/>
        </w:rPr>
        <w:t>u</w:t>
      </w:r>
      <w:r w:rsidRPr="00A7727F">
        <w:rPr>
          <w:lang w:eastAsia="ja-JP"/>
        </w:rPr>
        <w:t>r lysis syndrome, a condition associated with hyperkal</w:t>
      </w:r>
      <w:r w:rsidR="002C2FB2">
        <w:rPr>
          <w:lang w:eastAsia="ja-JP"/>
        </w:rPr>
        <w:t>a</w:t>
      </w:r>
      <w:r w:rsidRPr="00A7727F">
        <w:rPr>
          <w:lang w:eastAsia="ja-JP"/>
        </w:rPr>
        <w:t>emia, hyperphosphat</w:t>
      </w:r>
      <w:r w:rsidR="002C2FB2">
        <w:rPr>
          <w:lang w:eastAsia="ja-JP"/>
        </w:rPr>
        <w:t>a</w:t>
      </w:r>
      <w:r w:rsidRPr="00A7727F">
        <w:rPr>
          <w:lang w:eastAsia="ja-JP"/>
        </w:rPr>
        <w:t>emia, hyperuric</w:t>
      </w:r>
      <w:r w:rsidR="002C2FB2">
        <w:rPr>
          <w:lang w:eastAsia="ja-JP"/>
        </w:rPr>
        <w:t>a</w:t>
      </w:r>
      <w:r w:rsidRPr="00A7727F">
        <w:rPr>
          <w:lang w:eastAsia="ja-JP"/>
        </w:rPr>
        <w:t>emia, hyperuricosuria, hypocalc</w:t>
      </w:r>
      <w:r w:rsidR="002C2FB2">
        <w:rPr>
          <w:lang w:eastAsia="ja-JP"/>
        </w:rPr>
        <w:t>a</w:t>
      </w:r>
      <w:r w:rsidRPr="00A7727F">
        <w:rPr>
          <w:lang w:eastAsia="ja-JP"/>
        </w:rPr>
        <w:t xml:space="preserve">emia, and potentially causing lethal cardiac arrhythmias and/or renal failure. There were no fatal events of </w:t>
      </w:r>
      <w:r w:rsidR="00A972DD" w:rsidRPr="00A7727F">
        <w:rPr>
          <w:lang w:eastAsia="ja-JP"/>
        </w:rPr>
        <w:t>tumour</w:t>
      </w:r>
      <w:r w:rsidRPr="00A7727F">
        <w:rPr>
          <w:lang w:eastAsia="ja-JP"/>
        </w:rPr>
        <w:t xml:space="preserve"> lysis syndrome and no fatal events of cardiac arrhythmias in the adult relapsed/refractory ALL population.</w:t>
      </w:r>
    </w:p>
    <w:p w14:paraId="4938B8EC" w14:textId="4724FAAC" w:rsidR="00A7727F" w:rsidRPr="00A7727F" w:rsidRDefault="00375CAE" w:rsidP="00A7727F">
      <w:pPr>
        <w:rPr>
          <w:lang w:eastAsia="ja-JP"/>
        </w:rPr>
      </w:pPr>
      <w:r>
        <w:rPr>
          <w:lang w:eastAsia="ja-JP"/>
        </w:rPr>
        <w:t>Grade</w:t>
      </w:r>
      <w:r w:rsidR="00A7727F" w:rsidRPr="00A7727F">
        <w:rPr>
          <w:lang w:eastAsia="ja-JP"/>
        </w:rPr>
        <w:t xml:space="preserve"> 3 and 4 decreases in platelets, white blood cells, and neutrophils were common; however, they were not always reported as clinically significant adverse events by the investigator. Although blinatumomab is not thought to be directly myelotoxic or myelosuppressive, the majority of adult subjects with relapsed/refractory ALL had high tumo</w:t>
      </w:r>
      <w:r w:rsidR="002C2FB2">
        <w:rPr>
          <w:lang w:eastAsia="ja-JP"/>
        </w:rPr>
        <w:t>u</w:t>
      </w:r>
      <w:r w:rsidR="00A7727F" w:rsidRPr="00A7727F">
        <w:rPr>
          <w:lang w:eastAsia="ja-JP"/>
        </w:rPr>
        <w:t>r burden (67.6% of subjects had</w:t>
      </w:r>
      <w:r>
        <w:rPr>
          <w:lang w:eastAsia="ja-JP"/>
        </w:rPr>
        <w:t xml:space="preserve"> </w:t>
      </w:r>
      <w:r w:rsidR="00423768">
        <w:rPr>
          <w:lang w:eastAsia="ja-JP"/>
        </w:rPr>
        <w:t>≥</w:t>
      </w:r>
      <w:r>
        <w:rPr>
          <w:lang w:eastAsia="ja-JP"/>
        </w:rPr>
        <w:t xml:space="preserve"> </w:t>
      </w:r>
      <w:r w:rsidR="00A7727F" w:rsidRPr="00A7727F">
        <w:rPr>
          <w:lang w:eastAsia="ja-JP"/>
        </w:rPr>
        <w:t xml:space="preserve">50% blasts in the bone marrow at baseline) and had been heavily pretreated, which may have played a role in the decreased blood counts. This is supported by the observation that adult subjects in the </w:t>
      </w:r>
      <w:r w:rsidR="00803B89">
        <w:rPr>
          <w:lang w:eastAsia="ja-JP"/>
        </w:rPr>
        <w:t xml:space="preserve">MRD </w:t>
      </w:r>
      <w:r w:rsidR="00A7727F" w:rsidRPr="00A7727F">
        <w:rPr>
          <w:lang w:eastAsia="ja-JP"/>
        </w:rPr>
        <w:t xml:space="preserve">positive ALL studies had a substantially lower incidence of </w:t>
      </w:r>
      <w:r>
        <w:rPr>
          <w:lang w:eastAsia="ja-JP"/>
        </w:rPr>
        <w:t>Grade</w:t>
      </w:r>
      <w:r w:rsidR="00A7727F" w:rsidRPr="00A7727F">
        <w:rPr>
          <w:lang w:eastAsia="ja-JP"/>
        </w:rPr>
        <w:t xml:space="preserve"> 3 and 4 cytop</w:t>
      </w:r>
      <w:r w:rsidR="002C2FB2">
        <w:rPr>
          <w:lang w:eastAsia="ja-JP"/>
        </w:rPr>
        <w:t>a</w:t>
      </w:r>
      <w:r w:rsidR="00A7727F" w:rsidRPr="00A7727F">
        <w:rPr>
          <w:lang w:eastAsia="ja-JP"/>
        </w:rPr>
        <w:t>enias despite receiving the same dose of blinatumomab.</w:t>
      </w:r>
    </w:p>
    <w:p w14:paraId="201B0516" w14:textId="6305BC9E" w:rsidR="00A7727F" w:rsidRPr="00A7727F" w:rsidRDefault="00A7727F" w:rsidP="00A7727F">
      <w:pPr>
        <w:rPr>
          <w:lang w:eastAsia="ja-JP"/>
        </w:rPr>
      </w:pPr>
      <w:r w:rsidRPr="00A7727F">
        <w:rPr>
          <w:lang w:eastAsia="ja-JP"/>
        </w:rPr>
        <w:t>Depletion of B cells and immunoglobulins were observed, which is expected due to the B-cell targeted mechanism of action of blinatumomab. No clinically relevant changes were observed in blood pressure, weight, or body temperature. Modest increases in heart rate were observed but had no significant effect on cardiac repolari</w:t>
      </w:r>
      <w:r w:rsidR="002C2FB2">
        <w:rPr>
          <w:lang w:eastAsia="ja-JP"/>
        </w:rPr>
        <w:t>s</w:t>
      </w:r>
      <w:r w:rsidRPr="00A7727F">
        <w:rPr>
          <w:lang w:eastAsia="ja-JP"/>
        </w:rPr>
        <w:t>ation or other ECG parameters</w:t>
      </w:r>
    </w:p>
    <w:p w14:paraId="479EDE2E" w14:textId="77777777" w:rsidR="00A7727F" w:rsidRPr="00A7727F" w:rsidRDefault="00A7727F" w:rsidP="002C2FB2">
      <w:pPr>
        <w:pStyle w:val="Heading3"/>
      </w:pPr>
      <w:bookmarkStart w:id="299" w:name="_Toc241374326"/>
      <w:bookmarkStart w:id="300" w:name="_Ref272333048"/>
      <w:bookmarkStart w:id="301" w:name="_Toc272414679"/>
      <w:bookmarkStart w:id="302" w:name="_Toc290846317"/>
      <w:bookmarkStart w:id="303" w:name="_Toc292015638"/>
      <w:bookmarkStart w:id="304" w:name="_Toc505762990"/>
      <w:r w:rsidRPr="00A7727F">
        <w:t>Post-marketing experience</w:t>
      </w:r>
      <w:bookmarkEnd w:id="299"/>
      <w:bookmarkEnd w:id="300"/>
      <w:bookmarkEnd w:id="301"/>
      <w:bookmarkEnd w:id="302"/>
      <w:bookmarkEnd w:id="303"/>
      <w:bookmarkEnd w:id="304"/>
    </w:p>
    <w:p w14:paraId="34BE659A" w14:textId="77777777" w:rsidR="00A7727F" w:rsidRPr="00A7727F" w:rsidRDefault="00A7727F" w:rsidP="00A7727F">
      <w:pPr>
        <w:rPr>
          <w:lang w:eastAsia="ja-JP"/>
        </w:rPr>
      </w:pPr>
      <w:r w:rsidRPr="00A7727F">
        <w:rPr>
          <w:lang w:eastAsia="ja-JP"/>
        </w:rPr>
        <w:t>Not applicable as product not approved in any market.</w:t>
      </w:r>
    </w:p>
    <w:p w14:paraId="074C8516" w14:textId="77777777" w:rsidR="00A7727F" w:rsidRPr="00A7727F" w:rsidRDefault="00A7727F" w:rsidP="002C2FB2">
      <w:pPr>
        <w:pStyle w:val="Heading3"/>
      </w:pPr>
      <w:bookmarkStart w:id="305" w:name="_Toc272414686"/>
      <w:bookmarkStart w:id="306" w:name="_Ref273005527"/>
      <w:bookmarkStart w:id="307" w:name="_Toc290846324"/>
      <w:bookmarkStart w:id="308" w:name="_Toc292015639"/>
      <w:bookmarkStart w:id="309" w:name="_Toc505762991"/>
      <w:r w:rsidRPr="00A7727F">
        <w:t>Other safety issues</w:t>
      </w:r>
      <w:bookmarkEnd w:id="305"/>
      <w:bookmarkEnd w:id="306"/>
      <w:bookmarkEnd w:id="307"/>
      <w:bookmarkEnd w:id="308"/>
      <w:bookmarkEnd w:id="309"/>
    </w:p>
    <w:p w14:paraId="1D9A630D" w14:textId="77777777" w:rsidR="00A7727F" w:rsidRPr="00A7727F" w:rsidRDefault="00A7727F" w:rsidP="002C2FB2">
      <w:pPr>
        <w:pStyle w:val="Heading4"/>
      </w:pPr>
      <w:bookmarkStart w:id="310" w:name="_Toc241374322"/>
      <w:bookmarkStart w:id="311" w:name="_Ref272331212"/>
      <w:bookmarkStart w:id="312" w:name="_Toc272414687"/>
      <w:bookmarkStart w:id="313" w:name="_Toc290846325"/>
      <w:bookmarkStart w:id="314" w:name="_Toc292015640"/>
      <w:r w:rsidRPr="00A7727F">
        <w:t>Safety in special populations</w:t>
      </w:r>
      <w:bookmarkEnd w:id="310"/>
      <w:bookmarkEnd w:id="311"/>
      <w:bookmarkEnd w:id="312"/>
      <w:bookmarkEnd w:id="313"/>
      <w:bookmarkEnd w:id="314"/>
    </w:p>
    <w:p w14:paraId="46D6BD31" w14:textId="525CE1D6" w:rsidR="00A7727F" w:rsidRPr="00A7727F" w:rsidRDefault="002C2FB2" w:rsidP="002C2FB2">
      <w:pPr>
        <w:pStyle w:val="Heading5"/>
      </w:pPr>
      <w:bookmarkStart w:id="315" w:name="_Toc292015641"/>
      <w:r>
        <w:t>Safety in pregnancy and l</w:t>
      </w:r>
      <w:r w:rsidR="00A7727F" w:rsidRPr="00A7727F">
        <w:t>actation</w:t>
      </w:r>
      <w:bookmarkEnd w:id="315"/>
    </w:p>
    <w:p w14:paraId="3724E7FA" w14:textId="77777777" w:rsidR="00A7727F" w:rsidRPr="00A7727F" w:rsidRDefault="00A7727F" w:rsidP="00A7727F">
      <w:pPr>
        <w:rPr>
          <w:lang w:eastAsia="ja-JP"/>
        </w:rPr>
      </w:pPr>
      <w:r w:rsidRPr="00A7727F">
        <w:rPr>
          <w:lang w:eastAsia="ja-JP"/>
        </w:rPr>
        <w:t>The safety and efficacy of blinatumomab in pregnant women have not been established. Pregnant or breastfeeding women were excluded from blinatumomab studies.</w:t>
      </w:r>
    </w:p>
    <w:p w14:paraId="1DE4403B" w14:textId="5050BD69" w:rsidR="00A7727F" w:rsidRPr="00A7727F" w:rsidRDefault="00A7727F" w:rsidP="00A7727F">
      <w:pPr>
        <w:rPr>
          <w:lang w:eastAsia="ja-JP"/>
        </w:rPr>
      </w:pPr>
      <w:r w:rsidRPr="00A7727F">
        <w:rPr>
          <w:lang w:eastAsia="ja-JP"/>
        </w:rPr>
        <w:t>In a developmental toxicity study conducted in mice using a murine surrogate molecule, there was no indication of maternal toxicity, embryotoxicity, or teratogenicity. The expected depletions of B and T cells were observed in the pregnant mice, but h</w:t>
      </w:r>
      <w:r w:rsidR="002C2FB2">
        <w:rPr>
          <w:lang w:eastAsia="ja-JP"/>
        </w:rPr>
        <w:t>a</w:t>
      </w:r>
      <w:r w:rsidRPr="00A7727F">
        <w:rPr>
          <w:lang w:eastAsia="ja-JP"/>
        </w:rPr>
        <w:t>ematological effects were not assessed in fetuses.</w:t>
      </w:r>
    </w:p>
    <w:p w14:paraId="5880EC2D" w14:textId="77777777" w:rsidR="00A7727F" w:rsidRPr="00A7727F" w:rsidRDefault="00A7727F" w:rsidP="00A7727F">
      <w:pPr>
        <w:rPr>
          <w:lang w:eastAsia="ja-JP"/>
        </w:rPr>
      </w:pPr>
      <w:r w:rsidRPr="00A7727F">
        <w:rPr>
          <w:lang w:eastAsia="ja-JP"/>
        </w:rPr>
        <w:t>It is not known if blinatumomab is present in human milk. Because of the potential for blinatumomab to cause adverse effects in infants, blinatumomab treatment or breastfeeding should be discontinued.</w:t>
      </w:r>
    </w:p>
    <w:p w14:paraId="64F164E5" w14:textId="6240E877" w:rsidR="00A7727F" w:rsidRPr="00A7727F" w:rsidRDefault="00A7727F" w:rsidP="00A7727F">
      <w:pPr>
        <w:rPr>
          <w:lang w:eastAsia="ja-JP"/>
        </w:rPr>
      </w:pPr>
      <w:r w:rsidRPr="00A7727F">
        <w:rPr>
          <w:lang w:eastAsia="ja-JP"/>
        </w:rPr>
        <w:t>No studies have been conducted to evaluate the effects of blinatumomab on fertility. There were no effects on male or female mouse reproductive organs in 13</w:t>
      </w:r>
      <w:r w:rsidR="002C2FB2">
        <w:rPr>
          <w:lang w:eastAsia="ja-JP"/>
        </w:rPr>
        <w:t xml:space="preserve"> </w:t>
      </w:r>
      <w:r w:rsidRPr="00A7727F">
        <w:rPr>
          <w:lang w:eastAsia="ja-JP"/>
        </w:rPr>
        <w:t>week toxicity studies with the murine surrogate molecule.</w:t>
      </w:r>
    </w:p>
    <w:p w14:paraId="1BB88A46" w14:textId="77777777" w:rsidR="00A7727F" w:rsidRPr="00A7727F" w:rsidRDefault="00A7727F" w:rsidP="00E970C0">
      <w:pPr>
        <w:pStyle w:val="Heading4"/>
      </w:pPr>
      <w:bookmarkStart w:id="316" w:name="_Toc292015642"/>
      <w:r w:rsidRPr="00A7727F">
        <w:t>Safety in paediatric subjects</w:t>
      </w:r>
      <w:bookmarkEnd w:id="316"/>
    </w:p>
    <w:p w14:paraId="119D542F" w14:textId="2A10A9B8" w:rsidR="00A7727F" w:rsidRPr="00A7727F" w:rsidRDefault="00A7727F" w:rsidP="00A7727F">
      <w:pPr>
        <w:rPr>
          <w:lang w:eastAsia="ja-JP"/>
        </w:rPr>
      </w:pPr>
      <w:r w:rsidRPr="00A7727F">
        <w:rPr>
          <w:lang w:eastAsia="ja-JP"/>
        </w:rPr>
        <w:t xml:space="preserve">Paediatric subjects are being evaluated in Study MT103-205, an ongoing, </w:t>
      </w:r>
      <w:r w:rsidR="0018721C">
        <w:rPr>
          <w:lang w:eastAsia="ja-JP"/>
        </w:rPr>
        <w:t>Phase I/II</w:t>
      </w:r>
      <w:r w:rsidRPr="00A7727F">
        <w:rPr>
          <w:lang w:eastAsia="ja-JP"/>
        </w:rPr>
        <w:t xml:space="preserve">, </w:t>
      </w:r>
      <w:r w:rsidR="002B779F">
        <w:rPr>
          <w:lang w:eastAsia="ja-JP"/>
        </w:rPr>
        <w:t>single arm</w:t>
      </w:r>
      <w:r w:rsidRPr="00A7727F">
        <w:rPr>
          <w:lang w:eastAsia="ja-JP"/>
        </w:rPr>
        <w:t>, dose-finding/efficacy study in subjects</w:t>
      </w:r>
      <w:r w:rsidR="00375CAE">
        <w:rPr>
          <w:lang w:eastAsia="ja-JP"/>
        </w:rPr>
        <w:t xml:space="preserve"> </w:t>
      </w:r>
      <w:r w:rsidR="00423768">
        <w:rPr>
          <w:lang w:eastAsia="ja-JP"/>
        </w:rPr>
        <w:t>&lt;</w:t>
      </w:r>
      <w:r w:rsidR="00375CAE">
        <w:rPr>
          <w:lang w:eastAsia="ja-JP"/>
        </w:rPr>
        <w:t xml:space="preserve"> </w:t>
      </w:r>
      <w:r w:rsidRPr="00A7727F">
        <w:rPr>
          <w:lang w:eastAsia="ja-JP"/>
        </w:rPr>
        <w:t xml:space="preserve">18 years with relapsed/refractory ALL. The </w:t>
      </w:r>
      <w:r w:rsidR="0018721C">
        <w:rPr>
          <w:lang w:eastAsia="ja-JP"/>
        </w:rPr>
        <w:t>Phase I</w:t>
      </w:r>
      <w:r w:rsidRPr="00A7727F">
        <w:rPr>
          <w:lang w:eastAsia="ja-JP"/>
        </w:rPr>
        <w:t xml:space="preserve"> portion of this study is completed (excluding infants</w:t>
      </w:r>
      <w:r w:rsidR="00375CAE">
        <w:rPr>
          <w:lang w:eastAsia="ja-JP"/>
        </w:rPr>
        <w:t xml:space="preserve"> </w:t>
      </w:r>
      <w:r w:rsidR="00423768">
        <w:rPr>
          <w:lang w:eastAsia="ja-JP"/>
        </w:rPr>
        <w:t xml:space="preserve">&lt; </w:t>
      </w:r>
      <w:r w:rsidRPr="00A7727F">
        <w:rPr>
          <w:lang w:eastAsia="ja-JP"/>
        </w:rPr>
        <w:t>2 years).</w:t>
      </w:r>
    </w:p>
    <w:p w14:paraId="5BB33DC1" w14:textId="5E0ACB3E" w:rsidR="00A7727F" w:rsidRPr="00A7727F" w:rsidRDefault="00A7727F" w:rsidP="00A7727F">
      <w:pPr>
        <w:rPr>
          <w:lang w:eastAsia="ja-JP"/>
        </w:rPr>
      </w:pPr>
      <w:r w:rsidRPr="00A7727F">
        <w:rPr>
          <w:lang w:eastAsia="ja-JP"/>
        </w:rPr>
        <w:t xml:space="preserve">In the </w:t>
      </w:r>
      <w:r w:rsidR="0018721C">
        <w:rPr>
          <w:lang w:eastAsia="ja-JP"/>
        </w:rPr>
        <w:t>Phase I</w:t>
      </w:r>
      <w:r w:rsidRPr="00A7727F">
        <w:rPr>
          <w:lang w:eastAsia="ja-JP"/>
        </w:rPr>
        <w:t xml:space="preserve"> part of the study (excluding infants</w:t>
      </w:r>
      <w:r w:rsidR="00375CAE">
        <w:rPr>
          <w:lang w:eastAsia="ja-JP"/>
        </w:rPr>
        <w:t xml:space="preserve"> </w:t>
      </w:r>
      <w:r w:rsidR="00423768">
        <w:rPr>
          <w:lang w:eastAsia="ja-JP"/>
        </w:rPr>
        <w:t>&lt;</w:t>
      </w:r>
      <w:r w:rsidR="00375CAE">
        <w:rPr>
          <w:lang w:eastAsia="ja-JP"/>
        </w:rPr>
        <w:t xml:space="preserve"> </w:t>
      </w:r>
      <w:r w:rsidRPr="00A7727F">
        <w:rPr>
          <w:lang w:eastAsia="ja-JP"/>
        </w:rPr>
        <w:t>2 years), a total of 41 subjects were enrolled and received</w:t>
      </w:r>
      <w:r w:rsidR="00375CAE">
        <w:rPr>
          <w:lang w:eastAsia="ja-JP"/>
        </w:rPr>
        <w:t xml:space="preserve"> </w:t>
      </w:r>
      <w:r w:rsidR="00423768">
        <w:rPr>
          <w:lang w:eastAsia="ja-JP"/>
        </w:rPr>
        <w:t>≥</w:t>
      </w:r>
      <w:r w:rsidR="00375CAE">
        <w:rPr>
          <w:lang w:eastAsia="ja-JP"/>
        </w:rPr>
        <w:t xml:space="preserve"> </w:t>
      </w:r>
      <w:r w:rsidRPr="00A7727F">
        <w:rPr>
          <w:lang w:eastAsia="ja-JP"/>
        </w:rPr>
        <w:t>1 dose of blinatumomab at various dose levels (5, 15, 30, 15</w:t>
      </w:r>
      <w:r w:rsidR="00E970C0">
        <w:rPr>
          <w:lang w:eastAsia="ja-JP"/>
        </w:rPr>
        <w:t xml:space="preserve"> to 30, or 5 to </w:t>
      </w:r>
      <w:r w:rsidRPr="00A7727F">
        <w:rPr>
          <w:lang w:eastAsia="ja-JP"/>
        </w:rPr>
        <w:t>15</w:t>
      </w:r>
      <w:r w:rsidR="00E970C0">
        <w:rPr>
          <w:lang w:eastAsia="ja-JP"/>
        </w:rPr>
        <w:t> </w:t>
      </w:r>
      <w:r w:rsidR="0018721C">
        <w:rPr>
          <w:lang w:eastAsia="ja-JP"/>
        </w:rPr>
        <w:t>µg</w:t>
      </w:r>
      <w:r w:rsidRPr="00A7727F">
        <w:rPr>
          <w:lang w:eastAsia="ja-JP"/>
        </w:rPr>
        <w:t>/m</w:t>
      </w:r>
      <w:r w:rsidRPr="00A7727F">
        <w:rPr>
          <w:vertAlign w:val="superscript"/>
          <w:lang w:eastAsia="ja-JP"/>
        </w:rPr>
        <w:t>2</w:t>
      </w:r>
      <w:r w:rsidRPr="00A7727F">
        <w:rPr>
          <w:lang w:eastAsia="ja-JP"/>
        </w:rPr>
        <w:t>/day). The safety results in paediatric subjects were consistent with the safety profile of blinatumomab in adult relapsed/refractory ALL studies. As of 10 October 2013 (the primary analysis data cut-off date for the marketing application), the most frequently reported adverse events (subject incidence</w:t>
      </w:r>
      <w:r w:rsidR="00375CAE">
        <w:rPr>
          <w:lang w:eastAsia="ja-JP"/>
        </w:rPr>
        <w:t xml:space="preserve"> </w:t>
      </w:r>
      <w:r w:rsidR="00423768">
        <w:rPr>
          <w:lang w:eastAsia="ja-JP"/>
        </w:rPr>
        <w:t>&gt;</w:t>
      </w:r>
      <w:r w:rsidR="00375CAE">
        <w:rPr>
          <w:lang w:eastAsia="ja-JP"/>
        </w:rPr>
        <w:t xml:space="preserve"> </w:t>
      </w:r>
      <w:r w:rsidRPr="00A7727F">
        <w:rPr>
          <w:lang w:eastAsia="ja-JP"/>
        </w:rPr>
        <w:t xml:space="preserve">25%) were pyrexia (32 subjects; 78%), headache (15; 36.6%), hypertension (13; 31.7%), nausea (12; 29.3%), and abdominal pain, anaemia, and pain in extremity (11; 26.8% each). </w:t>
      </w:r>
      <w:r w:rsidR="00375CAE">
        <w:rPr>
          <w:lang w:eastAsia="ja-JP"/>
        </w:rPr>
        <w:t xml:space="preserve">Grade </w:t>
      </w:r>
      <w:r w:rsidR="00423768">
        <w:rPr>
          <w:lang w:eastAsia="ja-JP"/>
        </w:rPr>
        <w:t>≥</w:t>
      </w:r>
      <w:r w:rsidR="00375CAE">
        <w:rPr>
          <w:lang w:eastAsia="ja-JP"/>
        </w:rPr>
        <w:t xml:space="preserve"> </w:t>
      </w:r>
      <w:r w:rsidRPr="00A7727F">
        <w:rPr>
          <w:lang w:eastAsia="ja-JP"/>
        </w:rPr>
        <w:t>3 adverse events reported with a subject incidence</w:t>
      </w:r>
      <w:r w:rsidR="00375CAE">
        <w:rPr>
          <w:lang w:eastAsia="ja-JP"/>
        </w:rPr>
        <w:t xml:space="preserve"> </w:t>
      </w:r>
      <w:r w:rsidR="00423768">
        <w:rPr>
          <w:lang w:eastAsia="ja-JP"/>
        </w:rPr>
        <w:t xml:space="preserve">≥ </w:t>
      </w:r>
      <w:r w:rsidRPr="00A7727F">
        <w:rPr>
          <w:lang w:eastAsia="ja-JP"/>
        </w:rPr>
        <w:t>10% were anaemia (10 subjects; 24.4%); pyrexia (9; 22.0%); AST increased (8 subjects; 19.5%); hypokal</w:t>
      </w:r>
      <w:r w:rsidR="00E970C0">
        <w:rPr>
          <w:lang w:eastAsia="ja-JP"/>
        </w:rPr>
        <w:t>a</w:t>
      </w:r>
      <w:r w:rsidRPr="00A7727F">
        <w:rPr>
          <w:lang w:eastAsia="ja-JP"/>
        </w:rPr>
        <w:t xml:space="preserve">emia, ALT increased, and white blood cell count decreased (7; 17.1% each); blood bilirubin increased (6; 14.6%); and febrile neutropenia, cytokine release syndrome, respiratory failure, and neutrophil count decreased (5; 12.2% each). Adverse events leading to permanent treatment discontinuation reported in more than 1 subject overall were cytokine release syndrome (3 subjects; 7.3%), and dyspnoea and respiratory failure (2; 4.9% each). </w:t>
      </w:r>
      <w:r w:rsidR="00423768">
        <w:rPr>
          <w:lang w:eastAsia="ja-JP"/>
        </w:rPr>
        <w:t>8</w:t>
      </w:r>
      <w:r w:rsidRPr="00A7727F">
        <w:rPr>
          <w:lang w:eastAsia="ja-JP"/>
        </w:rPr>
        <w:t xml:space="preserve"> subjects died as a result of adverse events, which included respiratory failure (2 subjects) and cardiac failure, disease progression, DIC, fungal infection, multi-organ failure, and sepsis (1 subject each). One death due to respiratory failure, hypotonia, muscle weakness, and cardiac arrest was considered possibly related to blinatumomab by the investigator. Serious adverse events reported up through the additional safety data cut-off date (30 March 2014) were consistent with those reported as of the 10 October 2013 data cut-off date. A more detailed summary of safety for the </w:t>
      </w:r>
      <w:r w:rsidR="0018721C">
        <w:rPr>
          <w:lang w:eastAsia="ja-JP"/>
        </w:rPr>
        <w:t>Phase I</w:t>
      </w:r>
      <w:r w:rsidRPr="00A7727F">
        <w:rPr>
          <w:lang w:eastAsia="ja-JP"/>
        </w:rPr>
        <w:t xml:space="preserve"> portion of this study is provided in the Study MT103-205 Interim CSR. The </w:t>
      </w:r>
      <w:r w:rsidR="0018721C">
        <w:rPr>
          <w:lang w:eastAsia="ja-JP"/>
        </w:rPr>
        <w:t>Phase II</w:t>
      </w:r>
      <w:r w:rsidRPr="00A7727F">
        <w:rPr>
          <w:lang w:eastAsia="ja-JP"/>
        </w:rPr>
        <w:t xml:space="preserve"> portion is ongoing for evaluation of efficacy and safety in up to 40 subjects at the selected blinatumomab dose of 5</w:t>
      </w:r>
      <w:r w:rsidR="00E970C0">
        <w:rPr>
          <w:lang w:eastAsia="ja-JP"/>
        </w:rPr>
        <w:t xml:space="preserve"> to </w:t>
      </w:r>
      <w:r w:rsidRPr="00A7727F">
        <w:rPr>
          <w:lang w:eastAsia="ja-JP"/>
        </w:rPr>
        <w:t>15</w:t>
      </w:r>
      <w:r w:rsidR="00375CAE">
        <w:rPr>
          <w:lang w:eastAsia="ja-JP"/>
        </w:rPr>
        <w:t xml:space="preserve"> </w:t>
      </w:r>
      <w:r w:rsidR="0018721C">
        <w:rPr>
          <w:lang w:eastAsia="ja-JP"/>
        </w:rPr>
        <w:t>µg</w:t>
      </w:r>
      <w:r w:rsidRPr="00A7727F">
        <w:rPr>
          <w:lang w:eastAsia="ja-JP"/>
        </w:rPr>
        <w:t>/m²/day.</w:t>
      </w:r>
    </w:p>
    <w:p w14:paraId="0654F52D" w14:textId="5E02DFCF" w:rsidR="00A7727F" w:rsidRPr="00A7727F" w:rsidRDefault="00A7727F" w:rsidP="00A7727F">
      <w:pPr>
        <w:rPr>
          <w:lang w:eastAsia="ja-JP"/>
        </w:rPr>
      </w:pPr>
      <w:r w:rsidRPr="00A7727F">
        <w:rPr>
          <w:lang w:eastAsia="ja-JP"/>
        </w:rPr>
        <w:t xml:space="preserve">Outside of clinical studies, 31 paediatric subjects with relapsed/refractory or </w:t>
      </w:r>
      <w:r w:rsidR="00803B89">
        <w:rPr>
          <w:lang w:eastAsia="ja-JP"/>
        </w:rPr>
        <w:t xml:space="preserve">MRD </w:t>
      </w:r>
      <w:r w:rsidRPr="00A7727F">
        <w:rPr>
          <w:lang w:eastAsia="ja-JP"/>
        </w:rPr>
        <w:t>positive B-precursor ALL have received blinatumomab on a named patient basis as of 30 March 2014. The safety profile of the subjects treated by named patient access or compassionate use is similar to that seen in paediatric subjects in Study MT103-205.</w:t>
      </w:r>
    </w:p>
    <w:p w14:paraId="044E6D95" w14:textId="77777777" w:rsidR="00A7727F" w:rsidRPr="00A7727F" w:rsidRDefault="00A7727F" w:rsidP="00E970C0">
      <w:pPr>
        <w:pStyle w:val="Heading4"/>
      </w:pPr>
      <w:bookmarkStart w:id="317" w:name="_Toc292015643"/>
      <w:r w:rsidRPr="00A7727F">
        <w:t>Other special populations and situations</w:t>
      </w:r>
      <w:bookmarkEnd w:id="317"/>
    </w:p>
    <w:p w14:paraId="4FCEA360" w14:textId="77777777" w:rsidR="00A7727F" w:rsidRPr="00A7727F" w:rsidRDefault="00A7727F" w:rsidP="00A7727F">
      <w:pPr>
        <w:rPr>
          <w:lang w:eastAsia="ja-JP"/>
        </w:rPr>
      </w:pPr>
      <w:r w:rsidRPr="00A7727F">
        <w:rPr>
          <w:lang w:eastAsia="ja-JP"/>
        </w:rPr>
        <w:t>Subjects with severe renal or hepatic impairment were excluded from blinatumomab studies.</w:t>
      </w:r>
    </w:p>
    <w:p w14:paraId="455E8732" w14:textId="4D862863" w:rsidR="00A7727F" w:rsidRPr="00A7727F" w:rsidRDefault="00A7727F" w:rsidP="00A7727F">
      <w:pPr>
        <w:rPr>
          <w:lang w:eastAsia="ja-JP"/>
        </w:rPr>
      </w:pPr>
      <w:r w:rsidRPr="00A7727F">
        <w:rPr>
          <w:lang w:eastAsia="ja-JP"/>
        </w:rPr>
        <w:t xml:space="preserve">In clinical studies, there was no evidence that blinatumomab exposure was different in subjects who had higher than normal AST and/or ALT values at baseline. Additionally, adverse events related to liver enzyme elevations tended to occur early and may have been associated with cytokine release and </w:t>
      </w:r>
      <w:r w:rsidR="00586C19">
        <w:rPr>
          <w:lang w:eastAsia="ja-JP"/>
        </w:rPr>
        <w:t>T cell</w:t>
      </w:r>
      <w:r w:rsidRPr="00A7727F">
        <w:rPr>
          <w:lang w:eastAsia="ja-JP"/>
        </w:rPr>
        <w:t xml:space="preserve"> activity. The majority of subjects were able to be treated through the liver enzyme elevations, with very few subjects requiring temporary treatment interruption or permanently discontinuing study treatment, and none with a fatal outcome.</w:t>
      </w:r>
    </w:p>
    <w:p w14:paraId="56756387" w14:textId="7E353FB2" w:rsidR="00A7727F" w:rsidRPr="00A7727F" w:rsidRDefault="00A7727F" w:rsidP="00A7727F">
      <w:pPr>
        <w:rPr>
          <w:lang w:eastAsia="ja-JP"/>
        </w:rPr>
      </w:pPr>
      <w:r w:rsidRPr="00A7727F">
        <w:rPr>
          <w:lang w:eastAsia="ja-JP"/>
        </w:rPr>
        <w:t>There was up to a 2-fold reduction in blinatumomab clearance in subjects who had mild or moderate renal impairment (creatinine clearance</w:t>
      </w:r>
      <w:r w:rsidR="00375CAE">
        <w:rPr>
          <w:lang w:eastAsia="ja-JP"/>
        </w:rPr>
        <w:t xml:space="preserve"> </w:t>
      </w:r>
      <w:r w:rsidR="00423768">
        <w:rPr>
          <w:lang w:eastAsia="ja-JP"/>
        </w:rPr>
        <w:t xml:space="preserve">&gt; </w:t>
      </w:r>
      <w:r w:rsidRPr="00A7727F">
        <w:rPr>
          <w:lang w:eastAsia="ja-JP"/>
        </w:rPr>
        <w:t>30 mL/min) at baseline. Due to the large intersubject variability in drug exposure, no clinically meaningful impact of renal function on clinical outcomes is expected, and dose adjustment for patients with mild and moderate renal impairment does not appear to be necessary. Additionally, adverse events of acute renal failure and renal failure were infrequently reported and were primarily in the setting of infections and tumour lysis syndrome. None of the events of potential nephrotoxicity led to study treatment discontinuation or had a fatal outcome. Of the serious events reported, there were alternative aetiologies, including dehydration, infection, sepsis, and procedure</w:t>
      </w:r>
      <w:r w:rsidR="00E970C0">
        <w:rPr>
          <w:lang w:eastAsia="ja-JP"/>
        </w:rPr>
        <w:t xml:space="preserve"> </w:t>
      </w:r>
      <w:r w:rsidRPr="00A7727F">
        <w:rPr>
          <w:lang w:eastAsia="ja-JP"/>
        </w:rPr>
        <w:t>related complications.</w:t>
      </w:r>
    </w:p>
    <w:p w14:paraId="70780E21" w14:textId="77777777" w:rsidR="00A7727F" w:rsidRPr="00A7727F" w:rsidRDefault="00A7727F" w:rsidP="00E970C0">
      <w:pPr>
        <w:pStyle w:val="Heading4"/>
      </w:pPr>
      <w:bookmarkStart w:id="318" w:name="_Toc241374324"/>
      <w:bookmarkStart w:id="319" w:name="_Ref272331214"/>
      <w:bookmarkStart w:id="320" w:name="_Toc272414688"/>
      <w:bookmarkStart w:id="321" w:name="_Toc290846326"/>
      <w:bookmarkStart w:id="322" w:name="_Toc292015644"/>
      <w:r w:rsidRPr="00A7727F">
        <w:t>Safety related to drug-drug interactions and other interactions</w:t>
      </w:r>
      <w:bookmarkEnd w:id="318"/>
      <w:bookmarkEnd w:id="319"/>
      <w:bookmarkEnd w:id="320"/>
      <w:bookmarkEnd w:id="321"/>
      <w:bookmarkEnd w:id="322"/>
    </w:p>
    <w:p w14:paraId="78BA2409" w14:textId="5BD99004" w:rsidR="00A7727F" w:rsidRPr="00A7727F" w:rsidRDefault="00A7727F" w:rsidP="00A7727F">
      <w:pPr>
        <w:rPr>
          <w:lang w:eastAsia="ja-JP"/>
        </w:rPr>
      </w:pPr>
      <w:r w:rsidRPr="00A7727F">
        <w:rPr>
          <w:lang w:eastAsia="ja-JP"/>
        </w:rPr>
        <w:t>A formal drug-drug interaction study was not conducted as blinatumomab is not eliminated via hepatic metabolism and blinatumomab is primarily intended to be administered as a single agent.</w:t>
      </w:r>
    </w:p>
    <w:p w14:paraId="18056D1A" w14:textId="0520C0D6" w:rsidR="00A7727F" w:rsidRPr="00A7727F" w:rsidRDefault="00A7727F" w:rsidP="00A7727F">
      <w:pPr>
        <w:rPr>
          <w:lang w:eastAsia="ja-JP"/>
        </w:rPr>
      </w:pPr>
      <w:r w:rsidRPr="00A7727F">
        <w:rPr>
          <w:lang w:eastAsia="ja-JP"/>
        </w:rPr>
        <w:t>Blinatumomab did not affect CYP450 enzyme activities and pharmacokinetic interactions between blinatumomab and drugs metabol</w:t>
      </w:r>
      <w:r w:rsidR="00D50F7E">
        <w:rPr>
          <w:lang w:eastAsia="ja-JP"/>
        </w:rPr>
        <w:t>ised</w:t>
      </w:r>
      <w:r w:rsidRPr="00A7727F">
        <w:rPr>
          <w:lang w:eastAsia="ja-JP"/>
        </w:rPr>
        <w:t xml:space="preserve"> by CYP450 enzymes are not expected.</w:t>
      </w:r>
    </w:p>
    <w:p w14:paraId="23372D6D" w14:textId="77777777" w:rsidR="00A7727F" w:rsidRPr="00A7727F" w:rsidRDefault="00A7727F" w:rsidP="00E970C0">
      <w:pPr>
        <w:pStyle w:val="Heading3"/>
      </w:pPr>
      <w:bookmarkStart w:id="323" w:name="_Toc241374328"/>
      <w:bookmarkStart w:id="324" w:name="_Toc272414691"/>
      <w:bookmarkStart w:id="325" w:name="_Toc290846329"/>
      <w:bookmarkStart w:id="326" w:name="_Toc292015645"/>
      <w:bookmarkStart w:id="327" w:name="_Toc505762992"/>
      <w:r w:rsidRPr="00A7727F">
        <w:t>Evaluator’s overall conclusions on clinical safety</w:t>
      </w:r>
      <w:bookmarkEnd w:id="323"/>
      <w:bookmarkEnd w:id="324"/>
      <w:bookmarkEnd w:id="325"/>
      <w:bookmarkEnd w:id="326"/>
      <w:bookmarkEnd w:id="327"/>
    </w:p>
    <w:p w14:paraId="16D6842B" w14:textId="5A15BA3D" w:rsidR="00A7727F" w:rsidRPr="00A7727F" w:rsidRDefault="00A7727F" w:rsidP="00A7727F">
      <w:pPr>
        <w:rPr>
          <w:lang w:eastAsia="ja-JP"/>
        </w:rPr>
      </w:pPr>
      <w:r w:rsidRPr="00A7727F">
        <w:rPr>
          <w:lang w:eastAsia="ja-JP"/>
        </w:rPr>
        <w:t>The primary analysis of safety was based on pooled analyses of the adult relapsed/refractory ALL population, which consisted of 225 subjects in Studies MT103-211 (N</w:t>
      </w:r>
      <w:r w:rsidR="00375CAE">
        <w:rPr>
          <w:lang w:eastAsia="ja-JP"/>
        </w:rPr>
        <w:t xml:space="preserve"> </w:t>
      </w:r>
      <w:r w:rsidR="00423768">
        <w:rPr>
          <w:lang w:eastAsia="ja-JP"/>
        </w:rPr>
        <w:t>=</w:t>
      </w:r>
      <w:r w:rsidR="00375CAE">
        <w:rPr>
          <w:lang w:eastAsia="ja-JP"/>
        </w:rPr>
        <w:t xml:space="preserve"> </w:t>
      </w:r>
      <w:r w:rsidRPr="00A7727F">
        <w:rPr>
          <w:lang w:eastAsia="ja-JP"/>
        </w:rPr>
        <w:t>189) and MT103-206 (N</w:t>
      </w:r>
      <w:r w:rsidR="00375CAE">
        <w:rPr>
          <w:lang w:eastAsia="ja-JP"/>
        </w:rPr>
        <w:t xml:space="preserve"> </w:t>
      </w:r>
      <w:r w:rsidR="00423768">
        <w:rPr>
          <w:lang w:eastAsia="ja-JP"/>
        </w:rPr>
        <w:t>=</w:t>
      </w:r>
      <w:r w:rsidR="00375CAE">
        <w:rPr>
          <w:lang w:eastAsia="ja-JP"/>
        </w:rPr>
        <w:t xml:space="preserve"> </w:t>
      </w:r>
      <w:r w:rsidRPr="00A7727F">
        <w:rPr>
          <w:lang w:eastAsia="ja-JP"/>
        </w:rPr>
        <w:t>36). The analysis was supported by</w:t>
      </w:r>
      <w:r w:rsidR="00F37208">
        <w:rPr>
          <w:lang w:eastAsia="ja-JP"/>
        </w:rPr>
        <w:t xml:space="preserve"> pooled analyses of the program </w:t>
      </w:r>
      <w:r w:rsidRPr="00A7727F">
        <w:rPr>
          <w:lang w:eastAsia="ja-JP"/>
        </w:rPr>
        <w:t>wide pooled population, which consisted of 475 subjects including 41 paediatric subjects. In addition, serious adverse event data were evaluated for 2 recently initiated clinical studies.</w:t>
      </w:r>
      <w:r w:rsidR="00E970C0">
        <w:rPr>
          <w:lang w:eastAsia="ja-JP"/>
        </w:rPr>
        <w:t xml:space="preserve"> </w:t>
      </w:r>
      <w:r w:rsidRPr="00A7727F">
        <w:rPr>
          <w:lang w:eastAsia="ja-JP"/>
        </w:rPr>
        <w:t xml:space="preserve">The size of the safety database was considered adequate to define the safety profile of blinatumomab at the intended </w:t>
      </w:r>
      <w:r w:rsidR="00F37208" w:rsidRPr="00A7727F">
        <w:rPr>
          <w:lang w:eastAsia="ja-JP"/>
        </w:rPr>
        <w:t>registration</w:t>
      </w:r>
      <w:r w:rsidRPr="00A7727F">
        <w:rPr>
          <w:lang w:eastAsia="ja-JP"/>
        </w:rPr>
        <w:t xml:space="preserve"> dose.</w:t>
      </w:r>
    </w:p>
    <w:p w14:paraId="3E9929BB" w14:textId="0AAB853C" w:rsidR="00A7727F" w:rsidRPr="00A7727F" w:rsidRDefault="00A7727F" w:rsidP="00A7727F">
      <w:pPr>
        <w:rPr>
          <w:lang w:eastAsia="ja-JP"/>
        </w:rPr>
      </w:pPr>
      <w:r w:rsidRPr="00A7727F">
        <w:rPr>
          <w:lang w:eastAsia="ja-JP"/>
        </w:rPr>
        <w:t>The most common fatal adverse events, which included sepsis, disease progression, and pneumonia, were anticipated to occur in the rela</w:t>
      </w:r>
      <w:r w:rsidR="00E970C0">
        <w:rPr>
          <w:lang w:eastAsia="ja-JP"/>
        </w:rPr>
        <w:t>psed/refractory ALL population.</w:t>
      </w:r>
    </w:p>
    <w:p w14:paraId="14E2C90C" w14:textId="1465767E" w:rsidR="00A7727F" w:rsidRPr="00A7727F" w:rsidRDefault="00A7727F" w:rsidP="00A7727F">
      <w:pPr>
        <w:rPr>
          <w:lang w:eastAsia="ja-JP"/>
        </w:rPr>
      </w:pPr>
      <w:r w:rsidRPr="00A7727F">
        <w:rPr>
          <w:lang w:eastAsia="ja-JP"/>
        </w:rPr>
        <w:t>The majority of serious adverse events that were observed, including neutropenia, febrile neutropenia, sepsis, tumour</w:t>
      </w:r>
      <w:r w:rsidR="00E970C0">
        <w:rPr>
          <w:lang w:eastAsia="ja-JP"/>
        </w:rPr>
        <w:t xml:space="preserve"> </w:t>
      </w:r>
      <w:r w:rsidRPr="00A7727F">
        <w:rPr>
          <w:lang w:eastAsia="ja-JP"/>
        </w:rPr>
        <w:t>lysis syndrome and device</w:t>
      </w:r>
      <w:r w:rsidR="00E970C0">
        <w:rPr>
          <w:lang w:eastAsia="ja-JP"/>
        </w:rPr>
        <w:t xml:space="preserve"> </w:t>
      </w:r>
      <w:r w:rsidRPr="00A7727F">
        <w:rPr>
          <w:lang w:eastAsia="ja-JP"/>
        </w:rPr>
        <w:t>related infections, would be expected in patients with ALL who have received prior combination chemotherapies. Infections relating to B cell depletion and decreased immunoglobulin levels, cytokine release syndrome, and neurologic events are among the adverse events of interest with blinatumomab.</w:t>
      </w:r>
    </w:p>
    <w:p w14:paraId="5B478A3B" w14:textId="513FD4F3" w:rsidR="00A7727F" w:rsidRPr="00A7727F" w:rsidRDefault="00A7727F" w:rsidP="00A7727F">
      <w:pPr>
        <w:rPr>
          <w:lang w:eastAsia="ja-JP"/>
        </w:rPr>
      </w:pPr>
      <w:r w:rsidRPr="00A7727F">
        <w:rPr>
          <w:lang w:eastAsia="ja-JP"/>
        </w:rPr>
        <w:t xml:space="preserve">The most frequent AEs observed were fever, chills, lymphopenia, headache, fatigue, and </w:t>
      </w:r>
      <w:r w:rsidR="00A972DD" w:rsidRPr="00A7727F">
        <w:rPr>
          <w:lang w:eastAsia="ja-JP"/>
        </w:rPr>
        <w:t>oedema</w:t>
      </w:r>
      <w:r w:rsidRPr="00A7727F">
        <w:rPr>
          <w:lang w:eastAsia="ja-JP"/>
        </w:rPr>
        <w:t xml:space="preserve">. These may be partly attributed to the mode of action of blinatumomab, which results in local polyclonal </w:t>
      </w:r>
      <w:r w:rsidR="00586C19">
        <w:rPr>
          <w:lang w:eastAsia="ja-JP"/>
        </w:rPr>
        <w:t>T cell</w:t>
      </w:r>
      <w:r w:rsidRPr="00A7727F">
        <w:rPr>
          <w:lang w:eastAsia="ja-JP"/>
        </w:rPr>
        <w:t xml:space="preserve"> activation, and are similar to symptoms experienced at the onset of a viral disease. Across all adult relapsed/refractory ALL studies, 94.7% of subjects experienced adverse events potentially associated with cytokine release syndrome, manife</w:t>
      </w:r>
      <w:r w:rsidR="00A972DD">
        <w:rPr>
          <w:lang w:eastAsia="ja-JP"/>
        </w:rPr>
        <w:t>sted primarily as pyrexia (63.1</w:t>
      </w:r>
      <w:r w:rsidRPr="00A7727F">
        <w:rPr>
          <w:lang w:eastAsia="ja-JP"/>
        </w:rPr>
        <w:t>%) and headache (36.4%). Of more concern was the development of a general</w:t>
      </w:r>
      <w:r w:rsidR="00D50F7E">
        <w:rPr>
          <w:lang w:eastAsia="ja-JP"/>
        </w:rPr>
        <w:t>ised</w:t>
      </w:r>
      <w:r w:rsidRPr="00A7727F">
        <w:rPr>
          <w:lang w:eastAsia="ja-JP"/>
        </w:rPr>
        <w:t xml:space="preserve"> cytokine release syndrome or cytokine storm, however less than 1% of subjects experience</w:t>
      </w:r>
      <w:r w:rsidR="00A972DD">
        <w:rPr>
          <w:lang w:eastAsia="ja-JP"/>
        </w:rPr>
        <w:t>d</w:t>
      </w:r>
      <w:r w:rsidRPr="00A7727F">
        <w:rPr>
          <w:lang w:eastAsia="ja-JP"/>
        </w:rPr>
        <w:t xml:space="preserve"> </w:t>
      </w:r>
      <w:r w:rsidR="00375CAE">
        <w:rPr>
          <w:lang w:eastAsia="ja-JP"/>
        </w:rPr>
        <w:t>Grade</w:t>
      </w:r>
      <w:r w:rsidRPr="00A7727F">
        <w:rPr>
          <w:lang w:eastAsia="ja-JP"/>
        </w:rPr>
        <w:t xml:space="preserve"> 4 events or greater, and episodes can be managed with corticosteroids. The majority of events were observed in </w:t>
      </w:r>
      <w:r w:rsidR="007D46D6">
        <w:rPr>
          <w:lang w:eastAsia="ja-JP"/>
        </w:rPr>
        <w:t>Cycle 1</w:t>
      </w:r>
      <w:r w:rsidRPr="00A7727F">
        <w:rPr>
          <w:lang w:eastAsia="ja-JP"/>
        </w:rPr>
        <w:t xml:space="preserve"> and in subsequent treatment cycles, cytokine elevations were observed in fewer patients with less intensity, which suggests that availability of target cells is required for pronounced cytokine elevations. In patients with a high tumour burden, pre-</w:t>
      </w:r>
      <w:r w:rsidR="0018721C">
        <w:rPr>
          <w:lang w:eastAsia="ja-JP"/>
        </w:rPr>
        <w:t>Phase</w:t>
      </w:r>
      <w:r w:rsidRPr="00A7727F">
        <w:rPr>
          <w:lang w:eastAsia="ja-JP"/>
        </w:rPr>
        <w:t xml:space="preserve"> treatment with corticosteroids is recommended.</w:t>
      </w:r>
    </w:p>
    <w:p w14:paraId="628ECE1A" w14:textId="137F7174" w:rsidR="00A7727F" w:rsidRPr="00A7727F" w:rsidRDefault="00A7727F" w:rsidP="00A7727F">
      <w:pPr>
        <w:rPr>
          <w:lang w:eastAsia="ja-JP"/>
        </w:rPr>
      </w:pPr>
      <w:r w:rsidRPr="00A7727F">
        <w:rPr>
          <w:lang w:eastAsia="ja-JP"/>
        </w:rPr>
        <w:t xml:space="preserve">Neurotoxicity was observed in </w:t>
      </w:r>
      <w:r w:rsidR="0018721C">
        <w:rPr>
          <w:lang w:eastAsia="ja-JP"/>
        </w:rPr>
        <w:t>Phase</w:t>
      </w:r>
      <w:r w:rsidRPr="00A7727F">
        <w:rPr>
          <w:lang w:eastAsia="ja-JP"/>
        </w:rPr>
        <w:t xml:space="preserve"> I studies using infusions over 2-4 hours and to mitigate against neurological AEs, and to increase efficacy, subsequent studies used a continuous infusion protocol. The most frequently reported adverse events were tremor, dizziness, encephalopathy, par</w:t>
      </w:r>
      <w:r w:rsidR="00E970C0">
        <w:rPr>
          <w:lang w:eastAsia="ja-JP"/>
        </w:rPr>
        <w:t>a</w:t>
      </w:r>
      <w:r w:rsidRPr="00A7727F">
        <w:rPr>
          <w:lang w:eastAsia="ja-JP"/>
        </w:rPr>
        <w:t xml:space="preserve">esthesia, aphasia, and confusional state. The majority of neurological events were reversible and all </w:t>
      </w:r>
      <w:r w:rsidR="00375CAE">
        <w:rPr>
          <w:lang w:eastAsia="ja-JP"/>
        </w:rPr>
        <w:t>Grade</w:t>
      </w:r>
      <w:r w:rsidRPr="00A7727F">
        <w:rPr>
          <w:lang w:eastAsia="ja-JP"/>
        </w:rPr>
        <w:t xml:space="preserve"> 3 and greater events resolved. In patients who had treatment interruptions due to neurological AEs it is not clear if symptoms recurred on re-starting treatment at the same dose or a reduced dose.</w:t>
      </w:r>
    </w:p>
    <w:p w14:paraId="1B859F07" w14:textId="1B303307" w:rsidR="00A7727F" w:rsidRPr="00A7727F" w:rsidRDefault="00A7727F" w:rsidP="00A7727F">
      <w:pPr>
        <w:rPr>
          <w:lang w:eastAsia="ja-JP"/>
        </w:rPr>
      </w:pPr>
      <w:r w:rsidRPr="00A7727F">
        <w:rPr>
          <w:lang w:eastAsia="ja-JP"/>
        </w:rPr>
        <w:t>Decreased immunoglobulins were reported in 14.2% of subjects, however in practice, infection in the setting of hypogammaglobulin</w:t>
      </w:r>
      <w:r w:rsidR="00E970C0">
        <w:rPr>
          <w:lang w:eastAsia="ja-JP"/>
        </w:rPr>
        <w:t>a</w:t>
      </w:r>
      <w:r w:rsidRPr="00A7727F">
        <w:rPr>
          <w:lang w:eastAsia="ja-JP"/>
        </w:rPr>
        <w:t>emia could be managed using intravenous immunoglobulin replacement therapy.</w:t>
      </w:r>
    </w:p>
    <w:p w14:paraId="70329260" w14:textId="3BABF518" w:rsidR="00A7727F" w:rsidRPr="00A7727F" w:rsidRDefault="00A7727F" w:rsidP="00A7727F">
      <w:pPr>
        <w:rPr>
          <w:lang w:eastAsia="ja-JP"/>
        </w:rPr>
      </w:pPr>
      <w:r w:rsidRPr="00A7727F">
        <w:rPr>
          <w:lang w:eastAsia="ja-JP"/>
        </w:rPr>
        <w:t xml:space="preserve">Similar to other antibody therapies, symptoms of capillary leak occurred in almost half </w:t>
      </w:r>
      <w:r w:rsidR="00E970C0">
        <w:rPr>
          <w:lang w:eastAsia="ja-JP"/>
        </w:rPr>
        <w:t xml:space="preserve">the patients across the program </w:t>
      </w:r>
      <w:r w:rsidRPr="00A7727F">
        <w:rPr>
          <w:lang w:eastAsia="ja-JP"/>
        </w:rPr>
        <w:t xml:space="preserve">wide pool. The majority of these adverse events were peripheral </w:t>
      </w:r>
      <w:r w:rsidR="00E970C0">
        <w:rPr>
          <w:lang w:eastAsia="ja-JP"/>
        </w:rPr>
        <w:t>o</w:t>
      </w:r>
      <w:r w:rsidRPr="00A7727F">
        <w:rPr>
          <w:lang w:eastAsia="ja-JP"/>
        </w:rPr>
        <w:t>edema and hypotension and no fatal adverse events of capillary leak syndrome were reported in any study.</w:t>
      </w:r>
    </w:p>
    <w:p w14:paraId="68660285" w14:textId="0CC39565" w:rsidR="00C22678" w:rsidRPr="003442FE" w:rsidRDefault="00A7727F" w:rsidP="00C22678">
      <w:pPr>
        <w:rPr>
          <w:lang w:eastAsia="ja-JP"/>
        </w:rPr>
      </w:pPr>
      <w:r w:rsidRPr="00A7727F">
        <w:rPr>
          <w:lang w:eastAsia="ja-JP"/>
        </w:rPr>
        <w:t>Most other AEs were mild and transient in nature. Overall, blinatumomab at a dose level of up to 28</w:t>
      </w:r>
      <w:r w:rsidR="0018721C">
        <w:rPr>
          <w:lang w:eastAsia="ja-JP"/>
        </w:rPr>
        <w:t xml:space="preserve"> µg</w:t>
      </w:r>
      <w:r w:rsidRPr="00A7727F">
        <w:rPr>
          <w:lang w:eastAsia="ja-JP"/>
        </w:rPr>
        <w:t>/m</w:t>
      </w:r>
      <w:r w:rsidRPr="00A7727F">
        <w:rPr>
          <w:vertAlign w:val="superscript"/>
          <w:lang w:eastAsia="ja-JP"/>
        </w:rPr>
        <w:t>2</w:t>
      </w:r>
      <w:r w:rsidRPr="00A7727F">
        <w:rPr>
          <w:lang w:eastAsia="ja-JP"/>
        </w:rPr>
        <w:t>/24 hours was well tolerated.</w:t>
      </w:r>
    </w:p>
    <w:p w14:paraId="2C7B9171" w14:textId="77777777" w:rsidR="00C22678" w:rsidRPr="003442FE" w:rsidRDefault="00C22678" w:rsidP="00C22678">
      <w:pPr>
        <w:pStyle w:val="Heading2"/>
      </w:pPr>
      <w:bookmarkStart w:id="328" w:name="_Toc505762993"/>
      <w:r w:rsidRPr="003442FE">
        <w:t>First round benefit-risk assessment</w:t>
      </w:r>
      <w:bookmarkEnd w:id="328"/>
    </w:p>
    <w:p w14:paraId="74817305" w14:textId="77777777" w:rsidR="00D01D18" w:rsidRPr="00D01D18" w:rsidRDefault="00D01D18" w:rsidP="00D01D18">
      <w:pPr>
        <w:pStyle w:val="Heading3"/>
        <w:rPr>
          <w:rFonts w:eastAsia="Cambria"/>
        </w:rPr>
      </w:pPr>
      <w:bookmarkStart w:id="329" w:name="_Toc236802592"/>
      <w:bookmarkStart w:id="330" w:name="_Toc241374331"/>
      <w:bookmarkStart w:id="331" w:name="_Ref272160836"/>
      <w:bookmarkStart w:id="332" w:name="_Toc272414693"/>
      <w:bookmarkStart w:id="333" w:name="_Toc290846331"/>
      <w:bookmarkStart w:id="334" w:name="_Toc292015647"/>
      <w:bookmarkStart w:id="335" w:name="_Toc505762994"/>
      <w:r w:rsidRPr="00D01D18">
        <w:rPr>
          <w:rFonts w:eastAsia="Cambria"/>
        </w:rPr>
        <w:t>Assessment of benefits</w:t>
      </w:r>
      <w:bookmarkEnd w:id="329"/>
      <w:bookmarkEnd w:id="330"/>
      <w:bookmarkEnd w:id="331"/>
      <w:bookmarkEnd w:id="332"/>
      <w:bookmarkEnd w:id="333"/>
      <w:bookmarkEnd w:id="334"/>
      <w:bookmarkEnd w:id="335"/>
    </w:p>
    <w:p w14:paraId="252669CC" w14:textId="77777777" w:rsidR="00D01D18" w:rsidRPr="00D01D18" w:rsidRDefault="00D01D18" w:rsidP="00D01D18">
      <w:pPr>
        <w:rPr>
          <w:lang w:eastAsia="ja-JP"/>
        </w:rPr>
      </w:pPr>
      <w:r w:rsidRPr="00D01D18">
        <w:rPr>
          <w:lang w:eastAsia="ja-JP"/>
        </w:rPr>
        <w:t>The benefits of blinatumomab in the proposed usage are:</w:t>
      </w:r>
    </w:p>
    <w:p w14:paraId="4DB58F00" w14:textId="3527C21F" w:rsidR="00D01D18" w:rsidRPr="00D01D18" w:rsidRDefault="00F37208" w:rsidP="00D01D18">
      <w:pPr>
        <w:pStyle w:val="ListBullet"/>
        <w:rPr>
          <w:lang w:eastAsia="ja-JP"/>
        </w:rPr>
      </w:pPr>
      <w:r>
        <w:rPr>
          <w:lang w:eastAsia="ja-JP"/>
        </w:rPr>
        <w:t xml:space="preserve">Single </w:t>
      </w:r>
      <w:r w:rsidR="00D01D18" w:rsidRPr="00D01D18">
        <w:rPr>
          <w:lang w:eastAsia="ja-JP"/>
        </w:rPr>
        <w:t>agent activity of blinatumomab in Ph-negative relapsed or refractory pre-B ALL patients, with CR/CRh rate 43%</w:t>
      </w:r>
      <w:r w:rsidR="00D01D18">
        <w:rPr>
          <w:lang w:eastAsia="ja-JP"/>
        </w:rPr>
        <w:t xml:space="preserve"> (</w:t>
      </w:r>
      <w:r w:rsidR="00D01D18" w:rsidRPr="00D01D18">
        <w:rPr>
          <w:lang w:eastAsia="ja-JP"/>
        </w:rPr>
        <w:t>CR</w:t>
      </w:r>
      <w:r w:rsidR="00D01D18">
        <w:rPr>
          <w:lang w:eastAsia="ja-JP"/>
        </w:rPr>
        <w:t xml:space="preserve"> </w:t>
      </w:r>
      <w:r w:rsidR="00D01D18" w:rsidRPr="00D01D18">
        <w:rPr>
          <w:lang w:eastAsia="ja-JP"/>
        </w:rPr>
        <w:t>35%), 80% of which occurred after one 28 day cycle</w:t>
      </w:r>
      <w:r w:rsidR="00D01D18">
        <w:rPr>
          <w:lang w:eastAsia="ja-JP"/>
        </w:rPr>
        <w:t>.</w:t>
      </w:r>
    </w:p>
    <w:p w14:paraId="493BCF50" w14:textId="77777777" w:rsidR="00D01D18" w:rsidRPr="00D01D18" w:rsidRDefault="00D01D18" w:rsidP="00D01D18">
      <w:pPr>
        <w:pStyle w:val="ListBullet"/>
        <w:rPr>
          <w:lang w:eastAsia="ja-JP"/>
        </w:rPr>
      </w:pPr>
      <w:r w:rsidRPr="00D01D18">
        <w:rPr>
          <w:lang w:eastAsia="ja-JP"/>
        </w:rPr>
        <w:t>MRD to log</w:t>
      </w:r>
      <w:r w:rsidRPr="00D01D18">
        <w:rPr>
          <w:vertAlign w:val="superscript"/>
          <w:lang w:eastAsia="ja-JP"/>
        </w:rPr>
        <w:t>-4</w:t>
      </w:r>
      <w:r w:rsidRPr="00D01D18">
        <w:rPr>
          <w:lang w:eastAsia="ja-JP"/>
        </w:rPr>
        <w:t xml:space="preserve"> in 61% of CR/CRh responders</w:t>
      </w:r>
    </w:p>
    <w:p w14:paraId="168D0183" w14:textId="67DD2D3A" w:rsidR="00D01D18" w:rsidRPr="00D01D18" w:rsidRDefault="00D01D18" w:rsidP="00D01D18">
      <w:pPr>
        <w:pStyle w:val="ListBullet"/>
        <w:rPr>
          <w:lang w:eastAsia="ja-JP"/>
        </w:rPr>
      </w:pPr>
      <w:r w:rsidRPr="00D01D18">
        <w:rPr>
          <w:lang w:eastAsia="ja-JP"/>
        </w:rPr>
        <w:t>M</w:t>
      </w:r>
      <w:r>
        <w:rPr>
          <w:lang w:eastAsia="ja-JP"/>
        </w:rPr>
        <w:t>edian OS 6.1 months (95% CI 4.2 t</w:t>
      </w:r>
      <w:r w:rsidR="008F1D60">
        <w:rPr>
          <w:lang w:eastAsia="ja-JP"/>
        </w:rPr>
        <w:t>o</w:t>
      </w:r>
      <w:r>
        <w:rPr>
          <w:lang w:eastAsia="ja-JP"/>
        </w:rPr>
        <w:t xml:space="preserve"> </w:t>
      </w:r>
      <w:r w:rsidRPr="00D01D18">
        <w:rPr>
          <w:lang w:eastAsia="ja-JP"/>
        </w:rPr>
        <w:t>7.5) in poor</w:t>
      </w:r>
      <w:r w:rsidR="008F1D60">
        <w:rPr>
          <w:lang w:eastAsia="ja-JP"/>
        </w:rPr>
        <w:t xml:space="preserve"> </w:t>
      </w:r>
      <w:r w:rsidRPr="00D01D18">
        <w:rPr>
          <w:lang w:eastAsia="ja-JP"/>
        </w:rPr>
        <w:t>risk patients with a historical m</w:t>
      </w:r>
      <w:r>
        <w:rPr>
          <w:lang w:eastAsia="ja-JP"/>
        </w:rPr>
        <w:t xml:space="preserve">edian OS 3.3 months (95% CI 2.8 to </w:t>
      </w:r>
      <w:r w:rsidRPr="00D01D18">
        <w:rPr>
          <w:lang w:eastAsia="ja-JP"/>
        </w:rPr>
        <w:t>3.6)</w:t>
      </w:r>
    </w:p>
    <w:p w14:paraId="3A7FC313" w14:textId="69768A69" w:rsidR="00D01D18" w:rsidRPr="00D01D18" w:rsidRDefault="00D01D18" w:rsidP="00D01D18">
      <w:pPr>
        <w:pStyle w:val="ListBullet"/>
        <w:rPr>
          <w:lang w:eastAsia="ja-JP"/>
        </w:rPr>
      </w:pPr>
      <w:r w:rsidRPr="00D01D18">
        <w:rPr>
          <w:lang w:eastAsia="ja-JP"/>
        </w:rPr>
        <w:t>Durable remissions, with a significant number of patients proceeding to allogeneic HSCT. In the pivotal MT103-211 study, among eligible subjects, 39.5% received an allogeneic HSCT while in remission induced by blinatumomab and wi</w:t>
      </w:r>
      <w:r w:rsidR="00F37208">
        <w:rPr>
          <w:lang w:eastAsia="ja-JP"/>
        </w:rPr>
        <w:t>thout any other subsequent anti</w:t>
      </w:r>
      <w:r w:rsidR="00F37208">
        <w:rPr>
          <w:lang w:eastAsia="ja-JP"/>
        </w:rPr>
        <w:noBreakHyphen/>
      </w:r>
      <w:r w:rsidR="00F37208" w:rsidRPr="00D01D18">
        <w:rPr>
          <w:lang w:eastAsia="ja-JP"/>
        </w:rPr>
        <w:t>leuk</w:t>
      </w:r>
      <w:r w:rsidR="00F37208">
        <w:rPr>
          <w:lang w:eastAsia="ja-JP"/>
        </w:rPr>
        <w:t>ae</w:t>
      </w:r>
      <w:r w:rsidR="00F37208" w:rsidRPr="00D01D18">
        <w:rPr>
          <w:lang w:eastAsia="ja-JP"/>
        </w:rPr>
        <w:t>mic</w:t>
      </w:r>
      <w:r w:rsidRPr="00D01D18">
        <w:rPr>
          <w:lang w:eastAsia="ja-JP"/>
        </w:rPr>
        <w:t xml:space="preserve"> medication.</w:t>
      </w:r>
    </w:p>
    <w:p w14:paraId="526B8A7D" w14:textId="77777777" w:rsidR="00D01D18" w:rsidRPr="00D01D18" w:rsidRDefault="00D01D18" w:rsidP="00D01D18">
      <w:pPr>
        <w:pStyle w:val="Heading3"/>
        <w:rPr>
          <w:rFonts w:eastAsia="Cambria"/>
        </w:rPr>
      </w:pPr>
      <w:bookmarkStart w:id="336" w:name="_Toc236802596"/>
      <w:bookmarkStart w:id="337" w:name="_Toc241374334"/>
      <w:bookmarkStart w:id="338" w:name="_Ref272160964"/>
      <w:bookmarkStart w:id="339" w:name="_Toc272414694"/>
      <w:bookmarkStart w:id="340" w:name="_Toc290846332"/>
      <w:bookmarkStart w:id="341" w:name="_Toc292015648"/>
      <w:bookmarkStart w:id="342" w:name="_Toc505762995"/>
      <w:r w:rsidRPr="00D01D18">
        <w:rPr>
          <w:rFonts w:eastAsia="Cambria"/>
        </w:rPr>
        <w:t>Assessment of risks</w:t>
      </w:r>
      <w:bookmarkEnd w:id="336"/>
      <w:bookmarkEnd w:id="337"/>
      <w:bookmarkEnd w:id="338"/>
      <w:bookmarkEnd w:id="339"/>
      <w:bookmarkEnd w:id="340"/>
      <w:bookmarkEnd w:id="341"/>
      <w:bookmarkEnd w:id="342"/>
    </w:p>
    <w:p w14:paraId="02ACCE68" w14:textId="77777777" w:rsidR="00D01D18" w:rsidRPr="00D01D18" w:rsidRDefault="00D01D18" w:rsidP="00D01D18">
      <w:pPr>
        <w:rPr>
          <w:lang w:eastAsia="ja-JP"/>
        </w:rPr>
      </w:pPr>
      <w:r w:rsidRPr="00D01D18">
        <w:rPr>
          <w:lang w:eastAsia="ja-JP"/>
        </w:rPr>
        <w:t>The risks of blinatumomab in the proposed usage are:</w:t>
      </w:r>
    </w:p>
    <w:p w14:paraId="3A771BF6" w14:textId="61B663D2" w:rsidR="00D01D18" w:rsidRPr="00D01D18" w:rsidRDefault="00D01D18" w:rsidP="00D01D18">
      <w:pPr>
        <w:pStyle w:val="ListBullet"/>
        <w:rPr>
          <w:lang w:eastAsia="ja-JP"/>
        </w:rPr>
      </w:pPr>
      <w:r w:rsidRPr="00D01D18">
        <w:rPr>
          <w:lang w:eastAsia="ja-JP"/>
        </w:rPr>
        <w:t>Commonly experienced advers</w:t>
      </w:r>
      <w:r>
        <w:rPr>
          <w:lang w:eastAsia="ja-JP"/>
        </w:rPr>
        <w:t xml:space="preserve">e events associated with </w:t>
      </w:r>
      <w:r w:rsidR="00586C19">
        <w:rPr>
          <w:lang w:eastAsia="ja-JP"/>
        </w:rPr>
        <w:t>T cell</w:t>
      </w:r>
      <w:r>
        <w:rPr>
          <w:lang w:eastAsia="ja-JP"/>
        </w:rPr>
        <w:t xml:space="preserve"> </w:t>
      </w:r>
      <w:r w:rsidRPr="00D01D18">
        <w:rPr>
          <w:lang w:eastAsia="ja-JP"/>
        </w:rPr>
        <w:t>mediated cytotoxic activity, including cytokine release, tumo</w:t>
      </w:r>
      <w:r>
        <w:rPr>
          <w:lang w:eastAsia="ja-JP"/>
        </w:rPr>
        <w:t>u</w:t>
      </w:r>
      <w:r w:rsidRPr="00D01D18">
        <w:rPr>
          <w:lang w:eastAsia="ja-JP"/>
        </w:rPr>
        <w:t>r lysis syndrome, infusion reactions, and capillary leak syndrome.</w:t>
      </w:r>
    </w:p>
    <w:p w14:paraId="06787E58" w14:textId="44075EAF" w:rsidR="00D01D18" w:rsidRPr="00D01D18" w:rsidRDefault="00D01D18" w:rsidP="00D01D18">
      <w:pPr>
        <w:pStyle w:val="ListBullet"/>
        <w:rPr>
          <w:lang w:eastAsia="ja-JP"/>
        </w:rPr>
      </w:pPr>
      <w:r w:rsidRPr="00D01D18">
        <w:rPr>
          <w:lang w:eastAsia="ja-JP"/>
        </w:rPr>
        <w:t>Neurologic events, including tremor, dizziness, encephalopathy, par</w:t>
      </w:r>
      <w:r>
        <w:rPr>
          <w:lang w:eastAsia="ja-JP"/>
        </w:rPr>
        <w:t>a</w:t>
      </w:r>
      <w:r w:rsidRPr="00D01D18">
        <w:rPr>
          <w:lang w:eastAsia="ja-JP"/>
        </w:rPr>
        <w:t>esthesia, aphasia, and confusional states. Approximately 5% of subjects experienced neurologic adverse events that led to study treatment discontinuation, of which encephalopathy accounted for almost half of the discontinuation events.</w:t>
      </w:r>
    </w:p>
    <w:p w14:paraId="5793B582" w14:textId="77777777" w:rsidR="00D01D18" w:rsidRPr="00D01D18" w:rsidRDefault="00D01D18" w:rsidP="00D01D18">
      <w:pPr>
        <w:pStyle w:val="ListBullet"/>
        <w:rPr>
          <w:lang w:eastAsia="ja-JP"/>
        </w:rPr>
      </w:pPr>
      <w:r w:rsidRPr="00D01D18">
        <w:rPr>
          <w:lang w:eastAsia="ja-JP"/>
        </w:rPr>
        <w:t>B-cell depletion, leading to decreased immunoglobulin levels and increased risk of infections.</w:t>
      </w:r>
    </w:p>
    <w:p w14:paraId="58A71743" w14:textId="41102C06" w:rsidR="00D01D18" w:rsidRPr="00D01D18" w:rsidRDefault="00D01D18" w:rsidP="00D01D18">
      <w:pPr>
        <w:pStyle w:val="ListBullet"/>
        <w:rPr>
          <w:lang w:eastAsia="ja-JP"/>
        </w:rPr>
      </w:pPr>
      <w:r w:rsidRPr="00D01D18">
        <w:rPr>
          <w:lang w:eastAsia="ja-JP"/>
        </w:rPr>
        <w:t>Capillary leak syndrome which can occur in up to 50% of patients</w:t>
      </w:r>
      <w:r>
        <w:rPr>
          <w:lang w:eastAsia="ja-JP"/>
        </w:rPr>
        <w:t xml:space="preserve"> </w:t>
      </w:r>
      <w:r w:rsidRPr="00D01D18">
        <w:rPr>
          <w:lang w:eastAsia="ja-JP"/>
        </w:rPr>
        <w:t>and cause hypotension and oedema</w:t>
      </w:r>
      <w:r>
        <w:rPr>
          <w:lang w:eastAsia="ja-JP"/>
        </w:rPr>
        <w:t>.</w:t>
      </w:r>
    </w:p>
    <w:p w14:paraId="1D3459C8" w14:textId="55C04635" w:rsidR="00D01D18" w:rsidRPr="00D01D18" w:rsidRDefault="00D01D18" w:rsidP="00D01D18">
      <w:pPr>
        <w:pStyle w:val="ListBullet"/>
        <w:rPr>
          <w:lang w:eastAsia="ja-JP"/>
        </w:rPr>
      </w:pPr>
      <w:r w:rsidRPr="00D01D18">
        <w:rPr>
          <w:lang w:eastAsia="ja-JP"/>
        </w:rPr>
        <w:t>Requirement for a 28</w:t>
      </w:r>
      <w:r>
        <w:rPr>
          <w:lang w:eastAsia="ja-JP"/>
        </w:rPr>
        <w:t xml:space="preserve"> </w:t>
      </w:r>
      <w:r w:rsidRPr="00D01D18">
        <w:rPr>
          <w:lang w:eastAsia="ja-JP"/>
        </w:rPr>
        <w:t>day continuous infusion per cycle and medication errors related to either the preparation or administration steps of blinatumomab.</w:t>
      </w:r>
    </w:p>
    <w:p w14:paraId="7C650B78" w14:textId="77777777" w:rsidR="00D01D18" w:rsidRPr="00D01D18" w:rsidRDefault="00D01D18" w:rsidP="00D01D18">
      <w:pPr>
        <w:pStyle w:val="Heading3"/>
        <w:rPr>
          <w:rFonts w:eastAsia="Cambria"/>
        </w:rPr>
      </w:pPr>
      <w:bookmarkStart w:id="343" w:name="_Toc236802597"/>
      <w:bookmarkStart w:id="344" w:name="_Toc241374335"/>
      <w:bookmarkStart w:id="345" w:name="_Toc272414695"/>
      <w:bookmarkStart w:id="346" w:name="_Toc290846333"/>
      <w:bookmarkStart w:id="347" w:name="_Toc292015649"/>
      <w:bookmarkStart w:id="348" w:name="_Toc505762996"/>
      <w:r w:rsidRPr="00D01D18">
        <w:rPr>
          <w:rFonts w:eastAsia="Cambria"/>
        </w:rPr>
        <w:t>Assessment of benefit-risk balance</w:t>
      </w:r>
      <w:bookmarkEnd w:id="343"/>
      <w:bookmarkEnd w:id="344"/>
      <w:bookmarkEnd w:id="345"/>
      <w:bookmarkEnd w:id="346"/>
      <w:bookmarkEnd w:id="347"/>
      <w:bookmarkEnd w:id="348"/>
    </w:p>
    <w:p w14:paraId="1B876FD3" w14:textId="02C6F73C" w:rsidR="00C22678" w:rsidRPr="003442FE" w:rsidRDefault="00D01D18" w:rsidP="00C22678">
      <w:pPr>
        <w:rPr>
          <w:lang w:eastAsia="ja-JP"/>
        </w:rPr>
      </w:pPr>
      <w:r w:rsidRPr="00D01D18">
        <w:rPr>
          <w:lang w:eastAsia="ja-JP"/>
        </w:rPr>
        <w:t>The benefit-risk balance of Blincyto, given the proposed usage, is favourable.</w:t>
      </w:r>
    </w:p>
    <w:p w14:paraId="35D9A7FA" w14:textId="77777777" w:rsidR="00C22678" w:rsidRPr="003442FE" w:rsidRDefault="00C22678" w:rsidP="00C22678">
      <w:pPr>
        <w:pStyle w:val="Heading2"/>
      </w:pPr>
      <w:bookmarkStart w:id="349" w:name="_Toc505762997"/>
      <w:r w:rsidRPr="003442FE">
        <w:t>First round recommendation regarding authorisation</w:t>
      </w:r>
      <w:bookmarkEnd w:id="349"/>
    </w:p>
    <w:p w14:paraId="7A0DEFBE" w14:textId="392AA96D" w:rsidR="00C22678" w:rsidRPr="003442FE" w:rsidRDefault="00AE4C33" w:rsidP="00C22678">
      <w:pPr>
        <w:rPr>
          <w:lang w:eastAsia="ja-JP"/>
        </w:rPr>
      </w:pPr>
      <w:r w:rsidRPr="00D01D18">
        <w:rPr>
          <w:lang w:eastAsia="ja-JP"/>
        </w:rPr>
        <w:t xml:space="preserve">Based on the clinical data submitted it recommended that the application for </w:t>
      </w:r>
      <w:r w:rsidR="00A972DD" w:rsidRPr="00D01D18">
        <w:rPr>
          <w:lang w:eastAsia="ja-JP"/>
        </w:rPr>
        <w:t>Blincyto</w:t>
      </w:r>
      <w:r w:rsidRPr="00D01D18">
        <w:rPr>
          <w:lang w:eastAsia="ja-JP"/>
        </w:rPr>
        <w:t xml:space="preserve"> be approved.</w:t>
      </w:r>
    </w:p>
    <w:p w14:paraId="03B348A2" w14:textId="77777777" w:rsidR="00C22678" w:rsidRPr="003442FE" w:rsidRDefault="00C22678" w:rsidP="00C22678">
      <w:pPr>
        <w:pStyle w:val="Heading2"/>
      </w:pPr>
      <w:bookmarkStart w:id="350" w:name="_Toc505762998"/>
      <w:r w:rsidRPr="003442FE">
        <w:t>Clinical questions</w:t>
      </w:r>
      <w:bookmarkEnd w:id="350"/>
    </w:p>
    <w:p w14:paraId="13B05D5A" w14:textId="77777777" w:rsidR="00EC2FF6" w:rsidRPr="00EC2FF6" w:rsidRDefault="00EC2FF6" w:rsidP="00EC2FF6">
      <w:pPr>
        <w:pStyle w:val="Numberbullet0"/>
        <w:numPr>
          <w:ilvl w:val="0"/>
          <w:numId w:val="24"/>
        </w:numPr>
        <w:rPr>
          <w:lang w:eastAsia="ja-JP"/>
        </w:rPr>
      </w:pPr>
      <w:r w:rsidRPr="00EC2FF6">
        <w:rPr>
          <w:lang w:eastAsia="ja-JP"/>
        </w:rPr>
        <w:t>Following treatment interruption, did any neurological AEs recur after re-initiating treatment?</w:t>
      </w:r>
    </w:p>
    <w:p w14:paraId="6FF9FB0B" w14:textId="22A25D22" w:rsidR="00EC2FF6" w:rsidRPr="00EC2FF6" w:rsidRDefault="00EC2FF6" w:rsidP="00EC2FF6">
      <w:pPr>
        <w:pStyle w:val="Numberbullet0"/>
        <w:rPr>
          <w:lang w:eastAsia="ja-JP"/>
        </w:rPr>
      </w:pPr>
      <w:r>
        <w:rPr>
          <w:lang w:eastAsia="ja-JP"/>
        </w:rPr>
        <w:t>A</w:t>
      </w:r>
      <w:r w:rsidRPr="00EC2FF6">
        <w:rPr>
          <w:lang w:eastAsia="ja-JP"/>
        </w:rPr>
        <w:t xml:space="preserve"> third of subjects included in the Study 20120310 analysis received treatment between 1990 and 2000. With the exception of hyperCVAD</w:t>
      </w:r>
      <w:r>
        <w:rPr>
          <w:lang w:eastAsia="ja-JP"/>
        </w:rPr>
        <w:t xml:space="preserve"> (mid </w:t>
      </w:r>
      <w:r w:rsidRPr="00EC2FF6">
        <w:rPr>
          <w:lang w:eastAsia="ja-JP"/>
        </w:rPr>
        <w:t xml:space="preserve">1990s), the majority of currently used salvage therapies were not used during this time period: FLAG-Ida was in use after 2000, R hyperCVAD after 2006, BFM 2000 and GMALL 2003. What is the overall CRsg rate and OS for the subgroup which was treated after 2000? Similarly, for the MBMA, what are the CR and DCR rates and OS for studies included after 2000? And how do these compare to results for </w:t>
      </w:r>
      <w:r w:rsidR="00EC39D5">
        <w:rPr>
          <w:lang w:eastAsia="ja-JP"/>
        </w:rPr>
        <w:t>Study MT</w:t>
      </w:r>
      <w:r w:rsidRPr="00EC2FF6">
        <w:rPr>
          <w:lang w:eastAsia="ja-JP"/>
        </w:rPr>
        <w:t>103-211?</w:t>
      </w:r>
    </w:p>
    <w:p w14:paraId="0FF62507" w14:textId="16069F43" w:rsidR="00C22678" w:rsidRPr="003442FE" w:rsidRDefault="00EC2FF6" w:rsidP="00C22678">
      <w:pPr>
        <w:pStyle w:val="Numberbullet0"/>
        <w:rPr>
          <w:lang w:eastAsia="ja-JP"/>
        </w:rPr>
      </w:pPr>
      <w:r w:rsidRPr="00EC2FF6">
        <w:rPr>
          <w:lang w:eastAsia="ja-JP"/>
        </w:rPr>
        <w:t>The population PK evalu</w:t>
      </w:r>
      <w:r w:rsidR="00EC39D5">
        <w:rPr>
          <w:lang w:eastAsia="ja-JP"/>
        </w:rPr>
        <w:t>a</w:t>
      </w:r>
      <w:r w:rsidRPr="00EC2FF6">
        <w:rPr>
          <w:lang w:eastAsia="ja-JP"/>
        </w:rPr>
        <w:t>tion by the TGA identified that there is a clear relationship between creatinine clearance and product clearance. The sponsor is requested to justify the lack of recommendation in the PI to dose reduce in patients with renal impairment.</w:t>
      </w:r>
    </w:p>
    <w:p w14:paraId="1394C92B" w14:textId="77777777" w:rsidR="00C618F7" w:rsidRPr="003442FE" w:rsidRDefault="00C618F7" w:rsidP="00C618F7">
      <w:pPr>
        <w:pStyle w:val="Heading2"/>
      </w:pPr>
      <w:bookmarkStart w:id="351" w:name="_Toc505762999"/>
      <w:r w:rsidRPr="003442FE">
        <w:t>Second round evaluation of clinical data submitted in response to questions</w:t>
      </w:r>
      <w:bookmarkEnd w:id="351"/>
    </w:p>
    <w:p w14:paraId="16272D60" w14:textId="0B75B1D3" w:rsidR="00EC39D5" w:rsidRPr="00EC39D5" w:rsidRDefault="00EC39D5" w:rsidP="00EC39D5">
      <w:pPr>
        <w:pStyle w:val="Heading3"/>
      </w:pPr>
      <w:bookmarkStart w:id="352" w:name="_Toc505763000"/>
      <w:r>
        <w:t>Question 1</w:t>
      </w:r>
      <w:bookmarkEnd w:id="352"/>
    </w:p>
    <w:p w14:paraId="5E27D63E" w14:textId="3D33A0C7" w:rsidR="00EC39D5" w:rsidRPr="00972AFE" w:rsidRDefault="00EC39D5" w:rsidP="00EC39D5">
      <w:pPr>
        <w:rPr>
          <w:i/>
          <w:lang w:eastAsia="ja-JP"/>
        </w:rPr>
      </w:pPr>
      <w:r w:rsidRPr="00972AFE">
        <w:rPr>
          <w:i/>
          <w:lang w:eastAsia="ja-JP"/>
        </w:rPr>
        <w:t>Following treatment interruption, did any neurological AEs recur after re-initiating treatment?</w:t>
      </w:r>
    </w:p>
    <w:p w14:paraId="3952FF23" w14:textId="230BEB98" w:rsidR="00EC39D5" w:rsidRPr="00EC39D5" w:rsidRDefault="00EC39D5" w:rsidP="00EC39D5">
      <w:pPr>
        <w:pStyle w:val="Heading4"/>
      </w:pPr>
      <w:r>
        <w:t>Sponsor</w:t>
      </w:r>
      <w:r w:rsidR="00972AFE">
        <w:t>’s</w:t>
      </w:r>
      <w:r>
        <w:t xml:space="preserve"> response</w:t>
      </w:r>
    </w:p>
    <w:p w14:paraId="2708C6E9" w14:textId="042C70A5" w:rsidR="00EC39D5" w:rsidRDefault="00EC39D5" w:rsidP="00EC39D5">
      <w:pPr>
        <w:rPr>
          <w:lang w:eastAsia="ja-JP"/>
        </w:rPr>
      </w:pPr>
      <w:r w:rsidRPr="00EC39D5">
        <w:rPr>
          <w:lang w:eastAsia="ja-JP"/>
        </w:rPr>
        <w:t xml:space="preserve">In patients who interrupted treatment due to neurological events (35 patients), later neurological events (not necessarily the same neurologic event experienced initially) were seen with treatment resumption in 20 patients. </w:t>
      </w:r>
      <w:r>
        <w:rPr>
          <w:lang w:eastAsia="ja-JP"/>
        </w:rPr>
        <w:t xml:space="preserve">Table </w:t>
      </w:r>
      <w:r w:rsidR="00972AFE">
        <w:rPr>
          <w:lang w:eastAsia="ja-JP"/>
        </w:rPr>
        <w:t>38</w:t>
      </w:r>
      <w:r>
        <w:rPr>
          <w:lang w:eastAsia="ja-JP"/>
        </w:rPr>
        <w:t>, below,</w:t>
      </w:r>
      <w:r w:rsidRPr="00EC39D5">
        <w:rPr>
          <w:lang w:eastAsia="ja-JP"/>
        </w:rPr>
        <w:t xml:space="preserve"> provides a summary of subjects who had interrupted or discontinued treatment due to neurological events, and subjects who had later neurological events.</w:t>
      </w:r>
    </w:p>
    <w:p w14:paraId="0B2B2F37" w14:textId="7DF42A32" w:rsidR="00EC39D5" w:rsidRPr="00EC39D5" w:rsidRDefault="00EC39D5" w:rsidP="00EC39D5">
      <w:pPr>
        <w:pStyle w:val="Tabletitle"/>
        <w:rPr>
          <w:lang w:eastAsia="ja-JP"/>
        </w:rPr>
      </w:pPr>
      <w:r>
        <w:rPr>
          <w:lang w:eastAsia="ja-JP"/>
        </w:rPr>
        <w:t xml:space="preserve">Table </w:t>
      </w:r>
      <w:r w:rsidR="00972AFE">
        <w:rPr>
          <w:lang w:eastAsia="ja-JP"/>
        </w:rPr>
        <w:t>38</w:t>
      </w:r>
      <w:r w:rsidR="00F37208">
        <w:rPr>
          <w:lang w:eastAsia="ja-JP"/>
        </w:rPr>
        <w:t>:</w:t>
      </w:r>
      <w:r>
        <w:rPr>
          <w:lang w:eastAsia="ja-JP"/>
        </w:rPr>
        <w:t xml:space="preserve"> Summary of subjects who had drug interruption/discontinuation due to neurologic events; Adult R/R ALL Studies (Full analysis set)</w:t>
      </w:r>
    </w:p>
    <w:p w14:paraId="69759551" w14:textId="3E71AC7F" w:rsidR="00EC39D5" w:rsidRPr="00EC39D5" w:rsidRDefault="00EC39D5" w:rsidP="00EC39D5">
      <w:pPr>
        <w:rPr>
          <w:lang w:eastAsia="ja-JP"/>
        </w:rPr>
      </w:pPr>
      <w:r w:rsidRPr="00EC39D5">
        <w:rPr>
          <w:noProof/>
          <w:lang w:eastAsia="en-AU"/>
        </w:rPr>
        <w:drawing>
          <wp:inline distT="0" distB="0" distL="0" distR="0" wp14:anchorId="4BA1910C" wp14:editId="39D1CAB9">
            <wp:extent cx="5591913" cy="2472537"/>
            <wp:effectExtent l="0" t="0" r="0" b="4445"/>
            <wp:docPr id="7" name="Picture 7" descr="Table 38: Summary of subjects who had drug interruption/discontinuation due to neurologic events; Adult R/R ALL Studi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11184" b="9656"/>
                    <a:stretch/>
                  </pic:blipFill>
                  <pic:spPr bwMode="auto">
                    <a:xfrm>
                      <a:off x="0" y="0"/>
                      <a:ext cx="5594768" cy="2473799"/>
                    </a:xfrm>
                    <a:prstGeom prst="rect">
                      <a:avLst/>
                    </a:prstGeom>
                    <a:noFill/>
                    <a:ln>
                      <a:noFill/>
                    </a:ln>
                    <a:extLst>
                      <a:ext uri="{53640926-AAD7-44D8-BBD7-CCE9431645EC}">
                        <a14:shadowObscured xmlns:a14="http://schemas.microsoft.com/office/drawing/2010/main"/>
                      </a:ext>
                    </a:extLst>
                  </pic:spPr>
                </pic:pic>
              </a:graphicData>
            </a:graphic>
          </wp:inline>
        </w:drawing>
      </w:r>
    </w:p>
    <w:p w14:paraId="5EEE2D2D" w14:textId="510D3F41" w:rsidR="00EC39D5" w:rsidRPr="00EC39D5" w:rsidRDefault="00EC39D5" w:rsidP="00EC39D5">
      <w:pPr>
        <w:pStyle w:val="Heading4"/>
      </w:pPr>
      <w:r w:rsidRPr="00EC39D5">
        <w:t>Eval</w:t>
      </w:r>
      <w:r>
        <w:t>ua</w:t>
      </w:r>
      <w:r w:rsidRPr="00EC39D5">
        <w:t>tor</w:t>
      </w:r>
      <w:r>
        <w:t>’s response</w:t>
      </w:r>
    </w:p>
    <w:p w14:paraId="4C9AD482" w14:textId="04407330" w:rsidR="00EC39D5" w:rsidRPr="00EC39D5" w:rsidRDefault="00EC39D5" w:rsidP="00EC39D5">
      <w:pPr>
        <w:rPr>
          <w:lang w:eastAsia="ja-JP"/>
        </w:rPr>
      </w:pPr>
      <w:r w:rsidRPr="00EC39D5">
        <w:rPr>
          <w:lang w:eastAsia="ja-JP"/>
        </w:rPr>
        <w:t>From the data presented above, a recurrent neurological event was observed in 57% of patients occurring after treatment interruption for a first neurological event. One quarter of the patients with a recurrent event discontinued therapy. The proportion of patients experiencing a recurrent neurological event leading to blinatumomab discontinuation should be reflected in the PI.</w:t>
      </w:r>
    </w:p>
    <w:p w14:paraId="6AD74B47" w14:textId="1EBA368F" w:rsidR="00EC39D5" w:rsidRPr="00EC39D5" w:rsidRDefault="00EC39D5" w:rsidP="00EC39D5">
      <w:pPr>
        <w:pStyle w:val="Heading3"/>
      </w:pPr>
      <w:bookmarkStart w:id="353" w:name="_Toc505763001"/>
      <w:r>
        <w:t>Question 2</w:t>
      </w:r>
      <w:bookmarkEnd w:id="353"/>
    </w:p>
    <w:p w14:paraId="00265B5E" w14:textId="08E1446D" w:rsidR="00EC39D5" w:rsidRPr="00972AFE" w:rsidRDefault="00EC39D5" w:rsidP="00EC39D5">
      <w:pPr>
        <w:rPr>
          <w:i/>
          <w:lang w:eastAsia="ja-JP"/>
        </w:rPr>
      </w:pPr>
      <w:r w:rsidRPr="00972AFE">
        <w:rPr>
          <w:i/>
          <w:lang w:eastAsia="ja-JP"/>
        </w:rPr>
        <w:t xml:space="preserve">A third of subjects included in the Study 20120310 analysis received treatment between 1990 and 2000. With the exception of hyperCVAD (mid 1990s), the majority of currently used salvage therapies were not used during this time period: FLAG-Ida was in use after 2000, R hyperCVAD after 2006, BFM 2000 and GMALL 2003. What is the overall CRsg rate and OS for the subgroup which was treated after 2000? Similarly, for the MBMA, what are the CR and DCR rates and OS for studies included after 2000? And how do these compare to results for </w:t>
      </w:r>
      <w:r w:rsidR="005B18B5" w:rsidRPr="00972AFE">
        <w:rPr>
          <w:i/>
          <w:lang w:eastAsia="ja-JP"/>
        </w:rPr>
        <w:t xml:space="preserve">Study </w:t>
      </w:r>
      <w:r w:rsidRPr="00972AFE">
        <w:rPr>
          <w:i/>
          <w:lang w:eastAsia="ja-JP"/>
        </w:rPr>
        <w:t>MT 103-211?</w:t>
      </w:r>
    </w:p>
    <w:p w14:paraId="5A8BE476" w14:textId="173CB1E6" w:rsidR="00EC39D5" w:rsidRPr="00EC39D5" w:rsidRDefault="005B18B5" w:rsidP="005B18B5">
      <w:pPr>
        <w:pStyle w:val="Heading4"/>
      </w:pPr>
      <w:r>
        <w:t>Sponsor</w:t>
      </w:r>
      <w:r w:rsidR="00972AFE">
        <w:t>’s</w:t>
      </w:r>
      <w:r>
        <w:t xml:space="preserve"> response</w:t>
      </w:r>
    </w:p>
    <w:p w14:paraId="43C86F5D" w14:textId="0CE1B812" w:rsidR="00EC39D5" w:rsidRPr="00EC39D5" w:rsidRDefault="00EC39D5" w:rsidP="00EC39D5">
      <w:pPr>
        <w:rPr>
          <w:lang w:eastAsia="ja-JP"/>
        </w:rPr>
      </w:pPr>
      <w:r w:rsidRPr="00EC39D5">
        <w:rPr>
          <w:lang w:eastAsia="ja-JP"/>
        </w:rPr>
        <w:t>The issue of changes in medical practice was carefully considered in designing the historical comparator study. Given the rarity of adult ALL, it was important to include as much historical data that were considered comparable and informative in order to improve the study’s statistical precision. The decision on what time period to examine came after consulting with clinical researchers in the European Working Group for Adult ALL and the US. It was their general clinical opinion that no significantly new treatments or improvements for adult relapsed/refractory ALL patients in achieving CR after a relapse had emerged since the 1990s. Approximately 70% of the patients in the historical</w:t>
      </w:r>
      <w:r w:rsidR="005B18B5">
        <w:rPr>
          <w:lang w:eastAsia="ja-JP"/>
        </w:rPr>
        <w:t xml:space="preserve"> comparator data were from the Y</w:t>
      </w:r>
      <w:r w:rsidRPr="00EC39D5">
        <w:rPr>
          <w:lang w:eastAsia="ja-JP"/>
        </w:rPr>
        <w:t>ear 2000 and beyond (2000+). It is likely that there have been improvements in supportive care and in recent years, more relapsed/refractory ALL patients are probably receiving hematopoietic stem cell transplantation (HSCT).</w:t>
      </w:r>
    </w:p>
    <w:p w14:paraId="7B652B9B" w14:textId="65AC64B1" w:rsidR="00EC39D5" w:rsidRPr="00EC39D5" w:rsidRDefault="00EC39D5" w:rsidP="00EC39D5">
      <w:pPr>
        <w:rPr>
          <w:lang w:eastAsia="ja-JP"/>
        </w:rPr>
      </w:pPr>
      <w:r w:rsidRPr="00EC39D5">
        <w:rPr>
          <w:lang w:eastAsia="ja-JP"/>
        </w:rPr>
        <w:t>There have been improvements in the survival of adults with ALL, primarily due to new protocols for front</w:t>
      </w:r>
      <w:r w:rsidR="005B18B5">
        <w:rPr>
          <w:lang w:eastAsia="ja-JP"/>
        </w:rPr>
        <w:t xml:space="preserve"> </w:t>
      </w:r>
      <w:r w:rsidRPr="00EC39D5">
        <w:rPr>
          <w:lang w:eastAsia="ja-JP"/>
        </w:rPr>
        <w:t>line ALL therapy and the use of p</w:t>
      </w:r>
      <w:r w:rsidR="005B18B5">
        <w:rPr>
          <w:lang w:eastAsia="ja-JP"/>
        </w:rPr>
        <w:t>a</w:t>
      </w:r>
      <w:r w:rsidRPr="00EC39D5">
        <w:rPr>
          <w:lang w:eastAsia="ja-JP"/>
        </w:rPr>
        <w:t>ediatric inspired protocols (in frontline therapy) in younger adults. This improvement in survival trend has been observed in large population</w:t>
      </w:r>
      <w:r w:rsidR="005B18B5">
        <w:rPr>
          <w:lang w:eastAsia="ja-JP"/>
        </w:rPr>
        <w:t xml:space="preserve"> </w:t>
      </w:r>
      <w:r w:rsidRPr="00EC39D5">
        <w:rPr>
          <w:lang w:eastAsia="ja-JP"/>
        </w:rPr>
        <w:t>based registries in the US and Germany (Pulte et al 2014</w:t>
      </w:r>
      <w:r w:rsidR="003E3B90">
        <w:rPr>
          <w:rStyle w:val="FootnoteReference"/>
          <w:lang w:eastAsia="ja-JP"/>
        </w:rPr>
        <w:footnoteReference w:id="1"/>
      </w:r>
      <w:r w:rsidRPr="00EC39D5">
        <w:rPr>
          <w:lang w:eastAsia="ja-JP"/>
        </w:rPr>
        <w:t>). From 2002 to 2006, five-year relative survival estimates increased in Germany and the US by 11.8%and 7.3%, respectively, with overall five-year relative survival being 43.4% in Germany and 35.5% in the US (Pulte et al 2014). However, despite improvements in the front-line treatment setting, at least half of adults who achieve a CR will later relapse, and most adults with relapsed ALL will not respond to currently available therapies (Fielding 2011</w:t>
      </w:r>
      <w:r w:rsidR="003E3B90">
        <w:rPr>
          <w:rStyle w:val="FootnoteReference"/>
          <w:lang w:eastAsia="ja-JP"/>
        </w:rPr>
        <w:footnoteReference w:id="2"/>
      </w:r>
      <w:r w:rsidRPr="00EC39D5">
        <w:rPr>
          <w:lang w:eastAsia="ja-JP"/>
        </w:rPr>
        <w:t>; Advani 2013</w:t>
      </w:r>
      <w:r w:rsidR="003E3B90">
        <w:rPr>
          <w:rStyle w:val="FootnoteReference"/>
          <w:lang w:eastAsia="ja-JP"/>
        </w:rPr>
        <w:footnoteReference w:id="3"/>
      </w:r>
      <w:r w:rsidRPr="00EC39D5">
        <w:rPr>
          <w:lang w:eastAsia="ja-JP"/>
        </w:rPr>
        <w:t>). It should be noted that outcomes in relapsed or refractory patients do not inevitably improve over time and can in fact worsen due to improved</w:t>
      </w:r>
      <w:r w:rsidR="005B18B5">
        <w:rPr>
          <w:lang w:eastAsia="ja-JP"/>
        </w:rPr>
        <w:t xml:space="preserve"> </w:t>
      </w:r>
      <w:r w:rsidRPr="00EC39D5">
        <w:rPr>
          <w:lang w:eastAsia="ja-JP"/>
        </w:rPr>
        <w:t>front</w:t>
      </w:r>
      <w:r w:rsidR="005B18B5">
        <w:rPr>
          <w:lang w:eastAsia="ja-JP"/>
        </w:rPr>
        <w:t xml:space="preserve"> </w:t>
      </w:r>
      <w:r w:rsidRPr="00EC39D5">
        <w:rPr>
          <w:lang w:eastAsia="ja-JP"/>
        </w:rPr>
        <w:t>line therapy. Paradoxically, the use of improved and aggressive front-line regimens as well as increased use of HSCT may make the remaining relapsed and refractory population more severe and treatment resistant over time. This phenomenon is observed in diffuse large B cell lymphoma (DLBCL) where the front-line addition of rituximab has made the relapsed/refractory population substantially more challenging to treat, with lower response rates (Gisselbrecht et al, 2010</w:t>
      </w:r>
      <w:r w:rsidR="003E3B90">
        <w:rPr>
          <w:rStyle w:val="FootnoteReference"/>
          <w:lang w:eastAsia="ja-JP"/>
        </w:rPr>
        <w:footnoteReference w:id="4"/>
      </w:r>
      <w:r w:rsidRPr="00EC39D5">
        <w:rPr>
          <w:lang w:eastAsia="ja-JP"/>
        </w:rPr>
        <w:t>).</w:t>
      </w:r>
    </w:p>
    <w:p w14:paraId="7346DDEE" w14:textId="6228AE11" w:rsidR="00EC39D5" w:rsidRPr="00EC39D5" w:rsidRDefault="00EC39D5" w:rsidP="00EC39D5">
      <w:pPr>
        <w:rPr>
          <w:lang w:eastAsia="ja-JP"/>
        </w:rPr>
      </w:pPr>
      <w:r w:rsidRPr="00EC39D5">
        <w:rPr>
          <w:lang w:eastAsia="ja-JP"/>
        </w:rPr>
        <w:t>To address potential changes in complete remission per study group (CRsg) and OS rates over time, several ad-hoc weighted analyses were conducted and are presented i</w:t>
      </w:r>
      <w:r w:rsidRPr="00972AFE">
        <w:rPr>
          <w:lang w:eastAsia="ja-JP"/>
        </w:rPr>
        <w:t xml:space="preserve">n Table </w:t>
      </w:r>
      <w:r w:rsidR="00972AFE" w:rsidRPr="00972AFE">
        <w:rPr>
          <w:lang w:eastAsia="ja-JP"/>
        </w:rPr>
        <w:t>39</w:t>
      </w:r>
      <w:r w:rsidR="005B18B5" w:rsidRPr="00972AFE">
        <w:rPr>
          <w:lang w:eastAsia="ja-JP"/>
        </w:rPr>
        <w:t>, below</w:t>
      </w:r>
      <w:r w:rsidRPr="00EC39D5">
        <w:rPr>
          <w:lang w:eastAsia="ja-JP"/>
        </w:rPr>
        <w:t>. For CRsg analyses, the original weighted estimate for all data from 1990</w:t>
      </w:r>
      <w:r w:rsidR="005B18B5">
        <w:rPr>
          <w:lang w:eastAsia="ja-JP"/>
        </w:rPr>
        <w:t xml:space="preserve"> to </w:t>
      </w:r>
      <w:r w:rsidRPr="00EC39D5">
        <w:rPr>
          <w:lang w:eastAsia="ja-JP"/>
        </w:rPr>
        <w:t xml:space="preserve">2013 was 0.24 (95% </w:t>
      </w:r>
      <w:r w:rsidR="005B18B5">
        <w:rPr>
          <w:lang w:eastAsia="ja-JP"/>
        </w:rPr>
        <w:t>CI</w:t>
      </w:r>
      <w:r w:rsidRPr="00EC39D5">
        <w:rPr>
          <w:lang w:eastAsia="ja-JP"/>
        </w:rPr>
        <w:t>, 0.20, 0.27). When limited to data with patients diagnosed from 2000+, the weighted CRsg was not significantly different at 0.26 (95% CI, 0.21, 0.31). To further evaluate whether there were differences in CRsg over time due to the improvements in treatment over time and not to differences in responses between sites, additional ad-hoc analyses were conducted. In these analyses</w:t>
      </w:r>
      <w:r w:rsidR="005B18B5">
        <w:rPr>
          <w:lang w:eastAsia="ja-JP"/>
        </w:rPr>
        <w:t>,</w:t>
      </w:r>
      <w:r w:rsidRPr="00EC39D5">
        <w:rPr>
          <w:lang w:eastAsia="ja-JP"/>
        </w:rPr>
        <w:t xml:space="preserve"> the data only included sites that had data in both the earlier and latter time periods </w:t>
      </w:r>
      <w:r w:rsidR="005B18B5">
        <w:rPr>
          <w:lang w:eastAsia="ja-JP"/>
        </w:rPr>
        <w:t xml:space="preserve">(1990 to </w:t>
      </w:r>
      <w:r w:rsidRPr="00EC39D5">
        <w:rPr>
          <w:lang w:eastAsia="ja-JP"/>
        </w:rPr>
        <w:t xml:space="preserve">1999 and 2000+). In these analyses, no difference in CR between the </w:t>
      </w:r>
      <w:r w:rsidR="005B18B5">
        <w:rPr>
          <w:lang w:eastAsia="ja-JP"/>
        </w:rPr>
        <w:t>2</w:t>
      </w:r>
      <w:r w:rsidRPr="00EC39D5">
        <w:rPr>
          <w:lang w:eastAsia="ja-JP"/>
        </w:rPr>
        <w:t xml:space="preserve"> time periods (CRsg = 0.19 for both time periods) was observed. Thus, the small differences observed in the weighted analyses by time period may be due to improvements in treatment over time, or simply due to differences in sites contributing data over different time periods.</w:t>
      </w:r>
    </w:p>
    <w:p w14:paraId="00BCE0C9" w14:textId="37B75331" w:rsidR="00EC39D5" w:rsidRDefault="00EC39D5" w:rsidP="00EC39D5">
      <w:pPr>
        <w:rPr>
          <w:lang w:eastAsia="ja-JP"/>
        </w:rPr>
      </w:pPr>
      <w:r w:rsidRPr="00EC39D5">
        <w:rPr>
          <w:lang w:eastAsia="ja-JP"/>
        </w:rPr>
        <w:t>For survival, the weighted median OS for relapsed/refractory ALL patients diagnosed from 200</w:t>
      </w:r>
      <w:r w:rsidR="005B18B5">
        <w:rPr>
          <w:lang w:eastAsia="ja-JP"/>
        </w:rPr>
        <w:t>0+ was 3.8 months (95% CI, 3.3 to</w:t>
      </w:r>
      <w:r w:rsidRPr="00EC39D5">
        <w:rPr>
          <w:lang w:eastAsia="ja-JP"/>
        </w:rPr>
        <w:t xml:space="preserve"> 4.3 months), comp</w:t>
      </w:r>
      <w:r w:rsidR="005B18B5">
        <w:rPr>
          <w:lang w:eastAsia="ja-JP"/>
        </w:rPr>
        <w:t xml:space="preserve">ared to 3.3 months (95% CI, 2.8 to </w:t>
      </w:r>
      <w:r w:rsidRPr="00EC39D5">
        <w:rPr>
          <w:lang w:eastAsia="ja-JP"/>
        </w:rPr>
        <w:t>3.6 months) when all data are included.</w:t>
      </w:r>
    </w:p>
    <w:p w14:paraId="4DF6613B" w14:textId="1CF97898" w:rsidR="005B18B5" w:rsidRPr="00EC39D5" w:rsidRDefault="00972AFE" w:rsidP="009D51B4">
      <w:pPr>
        <w:pStyle w:val="Tabletitle"/>
        <w:rPr>
          <w:lang w:eastAsia="ja-JP"/>
        </w:rPr>
      </w:pPr>
      <w:r>
        <w:rPr>
          <w:lang w:eastAsia="ja-JP"/>
        </w:rPr>
        <w:t>Table 39</w:t>
      </w:r>
      <w:r w:rsidR="002D3EBB">
        <w:rPr>
          <w:lang w:eastAsia="ja-JP"/>
        </w:rPr>
        <w:t xml:space="preserve">: </w:t>
      </w:r>
      <w:r w:rsidR="005B18B5">
        <w:rPr>
          <w:lang w:eastAsia="ja-JP"/>
        </w:rPr>
        <w:t>Weighted analysis of CRsg and OS by calendar period in historical comparator data (Study 20120310)</w:t>
      </w:r>
    </w:p>
    <w:p w14:paraId="69083318" w14:textId="77777777" w:rsidR="00EC39D5" w:rsidRPr="00EC39D5" w:rsidRDefault="00EC39D5" w:rsidP="00EC39D5">
      <w:pPr>
        <w:rPr>
          <w:lang w:eastAsia="ja-JP"/>
        </w:rPr>
      </w:pPr>
      <w:r w:rsidRPr="00EC39D5">
        <w:rPr>
          <w:noProof/>
          <w:lang w:eastAsia="en-AU"/>
        </w:rPr>
        <w:drawing>
          <wp:inline distT="0" distB="0" distL="0" distR="0" wp14:anchorId="779EBE6B" wp14:editId="0D0DEBBD">
            <wp:extent cx="4352544" cy="3213531"/>
            <wp:effectExtent l="0" t="0" r="0" b="6350"/>
            <wp:docPr id="9" name="Picture 9" descr="Table 39: Weighted analysis of CRsg and OS by calendar period in historical comparator data (Study 2012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t="9799"/>
                    <a:stretch/>
                  </pic:blipFill>
                  <pic:spPr bwMode="auto">
                    <a:xfrm>
                      <a:off x="0" y="0"/>
                      <a:ext cx="4358301" cy="3217781"/>
                    </a:xfrm>
                    <a:prstGeom prst="rect">
                      <a:avLst/>
                    </a:prstGeom>
                    <a:noFill/>
                    <a:ln>
                      <a:noFill/>
                    </a:ln>
                    <a:extLst>
                      <a:ext uri="{53640926-AAD7-44D8-BBD7-CCE9431645EC}">
                        <a14:shadowObscured xmlns:a14="http://schemas.microsoft.com/office/drawing/2010/main"/>
                      </a:ext>
                    </a:extLst>
                  </pic:spPr>
                </pic:pic>
              </a:graphicData>
            </a:graphic>
          </wp:inline>
        </w:drawing>
      </w:r>
    </w:p>
    <w:p w14:paraId="7480502D" w14:textId="7305E42F" w:rsidR="00EC39D5" w:rsidRPr="00EC39D5" w:rsidRDefault="00EC39D5" w:rsidP="00EC39D5">
      <w:pPr>
        <w:rPr>
          <w:lang w:eastAsia="ja-JP"/>
        </w:rPr>
      </w:pPr>
      <w:r w:rsidRPr="00EC39D5">
        <w:rPr>
          <w:lang w:eastAsia="ja-JP"/>
        </w:rPr>
        <w:t>In the weighted analysis of the historical comparator data, a patient’s treatment history was categori</w:t>
      </w:r>
      <w:r w:rsidR="005B18B5">
        <w:rPr>
          <w:lang w:eastAsia="ja-JP"/>
        </w:rPr>
        <w:t>s</w:t>
      </w:r>
      <w:r w:rsidRPr="00EC39D5">
        <w:rPr>
          <w:lang w:eastAsia="ja-JP"/>
        </w:rPr>
        <w:t>ed into three mutually exclusive groups: patients with a prior history of HSCT, patients with one previous salvage treatment (no HSCT), and patients with 2 or more salvage treatments (no HSCT). The results also emphasi</w:t>
      </w:r>
      <w:r w:rsidR="005B18B5">
        <w:rPr>
          <w:lang w:eastAsia="ja-JP"/>
        </w:rPr>
        <w:t>s</w:t>
      </w:r>
      <w:r w:rsidRPr="00EC39D5">
        <w:rPr>
          <w:lang w:eastAsia="ja-JP"/>
        </w:rPr>
        <w:t>e the importance of adjusting for patient severity when comparing historical comparator dat</w:t>
      </w:r>
      <w:r w:rsidR="005B18B5">
        <w:rPr>
          <w:lang w:eastAsia="ja-JP"/>
        </w:rPr>
        <w:t>a results to the results of Study MT103-211</w:t>
      </w:r>
      <w:r w:rsidRPr="00EC39D5">
        <w:rPr>
          <w:lang w:eastAsia="ja-JP"/>
        </w:rPr>
        <w:t xml:space="preserve">. More recent historical comparator data include less severe patients (based on the number of previous salvage therapies received) than earlier historical comparator patient data. The weighted results for recent time periods had CR and OS that were substantially less than the CR and OS observed in the </w:t>
      </w:r>
      <w:r w:rsidR="005B18B5">
        <w:rPr>
          <w:lang w:eastAsia="ja-JP"/>
        </w:rPr>
        <w:t>Study MT103-211</w:t>
      </w:r>
      <w:r w:rsidRPr="00EC39D5">
        <w:rPr>
          <w:lang w:eastAsia="ja-JP"/>
        </w:rPr>
        <w:t xml:space="preserve">. It should be noted that even with the weighted results, which accounts for a patient’s treatment history as described above, a majority of the recent patients in the historical comparator data had experienced only one line of salvage therapy and only a few patients had three lines or more of salvage therapy whereas in the </w:t>
      </w:r>
      <w:r w:rsidR="005B18B5">
        <w:rPr>
          <w:lang w:eastAsia="ja-JP"/>
        </w:rPr>
        <w:t xml:space="preserve">Study </w:t>
      </w:r>
      <w:r w:rsidRPr="00EC39D5">
        <w:rPr>
          <w:lang w:eastAsia="ja-JP"/>
        </w:rPr>
        <w:t>MT103-211 patient population, 39% of subjects received blinatumomab as a third or</w:t>
      </w:r>
      <w:r w:rsidR="005B18B5">
        <w:rPr>
          <w:lang w:eastAsia="ja-JP"/>
        </w:rPr>
        <w:t xml:space="preserve"> </w:t>
      </w:r>
      <w:r w:rsidRPr="00EC39D5">
        <w:rPr>
          <w:lang w:eastAsia="ja-JP"/>
        </w:rPr>
        <w:t xml:space="preserve">greater line of salvage therapy. Thus, the full range of the patients’ disease severity is not completely accounted for, and some residual confounding remains in the historical comparator analysis that biases estimates of CRsg and OS upwards relative to the experience of </w:t>
      </w:r>
      <w:r w:rsidR="005B18B5">
        <w:rPr>
          <w:lang w:eastAsia="ja-JP"/>
        </w:rPr>
        <w:t xml:space="preserve">Study </w:t>
      </w:r>
      <w:r w:rsidRPr="00EC39D5">
        <w:rPr>
          <w:lang w:eastAsia="ja-JP"/>
        </w:rPr>
        <w:t>MT103-211 patients.</w:t>
      </w:r>
    </w:p>
    <w:p w14:paraId="7990BE10" w14:textId="3BA48E3C" w:rsidR="00EC39D5" w:rsidRPr="00EC39D5" w:rsidRDefault="00EC39D5" w:rsidP="00EC39D5">
      <w:pPr>
        <w:rPr>
          <w:lang w:eastAsia="ja-JP"/>
        </w:rPr>
      </w:pPr>
      <w:r w:rsidRPr="00EC39D5">
        <w:rPr>
          <w:lang w:eastAsia="ja-JP"/>
        </w:rPr>
        <w:t>In addition to the evaluation of trends by calendar time periods in the historical comparator data through weighted analyses, as part of the MBMA study (Study 118427), a sensitivity analysis was performed to evaluate the changes in medical practice resulting in improved CR or OS over time. The sensitivity analysis evaluated the unexplained deviation from the predicted CR or OS of each study based on model parameters and patient covariates (</w:t>
      </w:r>
      <w:r w:rsidR="005B18B5">
        <w:rPr>
          <w:lang w:eastAsia="ja-JP"/>
        </w:rPr>
        <w:t>that is,</w:t>
      </w:r>
      <w:r w:rsidRPr="00EC39D5">
        <w:rPr>
          <w:lang w:eastAsia="ja-JP"/>
        </w:rPr>
        <w:t xml:space="preserve"> the random effect beyond what is explained by the model parameters or differences in patient populations across studies) as a function of publication year (</w:t>
      </w:r>
      <w:r w:rsidR="005B18B5">
        <w:rPr>
          <w:lang w:eastAsia="ja-JP"/>
        </w:rPr>
        <w:t>a</w:t>
      </w:r>
      <w:r w:rsidRPr="00EC39D5">
        <w:rPr>
          <w:lang w:eastAsia="ja-JP"/>
        </w:rPr>
        <w:t>s a result, both the historical comparator study and the MBMA study analy</w:t>
      </w:r>
      <w:r w:rsidR="005B18B5">
        <w:rPr>
          <w:lang w:eastAsia="ja-JP"/>
        </w:rPr>
        <w:t>s</w:t>
      </w:r>
      <w:r w:rsidRPr="00EC39D5">
        <w:rPr>
          <w:lang w:eastAsia="ja-JP"/>
        </w:rPr>
        <w:t>ed the impact of the inclusion of studies published in the 90’s and early 2000’s on CR and OS, and concluded that the impact is not substantial; thus, the c</w:t>
      </w:r>
      <w:r w:rsidR="005B18B5">
        <w:rPr>
          <w:lang w:eastAsia="ja-JP"/>
        </w:rPr>
        <w:t>urrent analyses are reasonable (</w:t>
      </w:r>
      <w:r w:rsidR="005B18B5" w:rsidRPr="00972AFE">
        <w:rPr>
          <w:lang w:eastAsia="ja-JP"/>
        </w:rPr>
        <w:t xml:space="preserve">see </w:t>
      </w:r>
      <w:r w:rsidRPr="00972AFE">
        <w:rPr>
          <w:lang w:eastAsia="ja-JP"/>
        </w:rPr>
        <w:t xml:space="preserve">Figure </w:t>
      </w:r>
      <w:r w:rsidR="00972AFE" w:rsidRPr="00972AFE">
        <w:rPr>
          <w:lang w:eastAsia="ja-JP"/>
        </w:rPr>
        <w:t>38,</w:t>
      </w:r>
      <w:r w:rsidR="005B18B5" w:rsidRPr="00972AFE">
        <w:rPr>
          <w:lang w:eastAsia="ja-JP"/>
        </w:rPr>
        <w:t xml:space="preserve"> below</w:t>
      </w:r>
      <w:r w:rsidR="005B18B5">
        <w:rPr>
          <w:lang w:eastAsia="ja-JP"/>
        </w:rPr>
        <w:t>)</w:t>
      </w:r>
      <w:r w:rsidRPr="00EC39D5">
        <w:rPr>
          <w:lang w:eastAsia="ja-JP"/>
        </w:rPr>
        <w:t>). Within the top panel, CR shows no evidence or trend of improvement in CR with publication year. In the lower panel, OS shows some possible evidence of decreased risk with year, as two recent publications (Kantarjian et al, 2010</w:t>
      </w:r>
      <w:r w:rsidR="002D3EBB">
        <w:rPr>
          <w:rStyle w:val="FootnoteReference"/>
          <w:lang w:eastAsia="ja-JP"/>
        </w:rPr>
        <w:footnoteReference w:id="5"/>
      </w:r>
      <w:r w:rsidRPr="00EC39D5">
        <w:rPr>
          <w:lang w:eastAsia="ja-JP"/>
        </w:rPr>
        <w:t>; Gokbuget et al, 2012</w:t>
      </w:r>
      <w:r w:rsidR="002D3EBB">
        <w:rPr>
          <w:rStyle w:val="FootnoteReference"/>
          <w:lang w:eastAsia="ja-JP"/>
        </w:rPr>
        <w:footnoteReference w:id="6"/>
      </w:r>
      <w:r w:rsidRPr="00EC39D5">
        <w:rPr>
          <w:lang w:eastAsia="ja-JP"/>
        </w:rPr>
        <w:t>) showed the lowest random effect variable. The relapsed patients on first-line chemotherapy in Gökbuget had an unusually high percentage of allogeneic HSCT (75%); significant multivariate covariates for OS included age, time-to-relapse, and salvage response. Otherwise, the salvage treatment plan for Gökbuget subjects was left to the discretion of the investigators. The Kantarjian study subjects were enrolled between 1990 and 2009; no unexpected prognostic factors were identified, and the salvage treatment plan was left to the discretion of the investigators. Allogeneic HSCT in CR was an identified univariate prognostic factor for OS. Overall, the random effect in the OS and CR models across studies is distributed approximately equally above and below 0 demonstrating there is no apparent change in the CR or OS from published studies over time due to improvements in treatment practice. It should be noted that a limitation of this analysis is the publication year is used to reflect the periods of patient treatment, which may be misclassified to some extent in reflecting when patients were actually treated.</w:t>
      </w:r>
    </w:p>
    <w:p w14:paraId="40D8656C" w14:textId="6FB47179" w:rsidR="00EC39D5" w:rsidRDefault="00EC39D5" w:rsidP="00EC39D5">
      <w:pPr>
        <w:rPr>
          <w:lang w:eastAsia="ja-JP"/>
        </w:rPr>
      </w:pPr>
      <w:r w:rsidRPr="00EC39D5">
        <w:rPr>
          <w:lang w:eastAsia="ja-JP"/>
        </w:rPr>
        <w:t>As a result, both the historical compar</w:t>
      </w:r>
      <w:r w:rsidR="005B18B5">
        <w:rPr>
          <w:lang w:eastAsia="ja-JP"/>
        </w:rPr>
        <w:t>ator study and MBMA study analys</w:t>
      </w:r>
      <w:r w:rsidRPr="00EC39D5">
        <w:rPr>
          <w:lang w:eastAsia="ja-JP"/>
        </w:rPr>
        <w:t>ed the impact of the inclusion of studies published in the 90’s and early 2000’s on CR and OS, and concluded that the impact is not substantial; thus, when comparing the data from the</w:t>
      </w:r>
      <w:r w:rsidR="005B18B5">
        <w:rPr>
          <w:lang w:eastAsia="ja-JP"/>
        </w:rPr>
        <w:t xml:space="preserve"> </w:t>
      </w:r>
      <w:r w:rsidRPr="00EC39D5">
        <w:rPr>
          <w:lang w:eastAsia="ja-JP"/>
        </w:rPr>
        <w:t>historical comparator study or from the MBMA study for either the entire time period and from only 2000+, the CR and OS results are still lower than the CR and OS esti</w:t>
      </w:r>
      <w:r w:rsidR="005B18B5">
        <w:rPr>
          <w:lang w:eastAsia="ja-JP"/>
        </w:rPr>
        <w:t>mates observed in Study MT103-211</w:t>
      </w:r>
      <w:r w:rsidRPr="00EC39D5">
        <w:rPr>
          <w:lang w:eastAsia="ja-JP"/>
        </w:rPr>
        <w:t>.</w:t>
      </w:r>
    </w:p>
    <w:p w14:paraId="78721FA5" w14:textId="1F38E397" w:rsidR="005B18B5" w:rsidRPr="00EC39D5" w:rsidRDefault="00972AFE" w:rsidP="005B18B5">
      <w:pPr>
        <w:pStyle w:val="FigureTitle"/>
        <w:keepNext/>
        <w:rPr>
          <w:lang w:eastAsia="ja-JP"/>
        </w:rPr>
      </w:pPr>
      <w:r>
        <w:rPr>
          <w:lang w:eastAsia="ja-JP"/>
        </w:rPr>
        <w:t>Figure 38</w:t>
      </w:r>
      <w:r w:rsidR="002D3EBB">
        <w:rPr>
          <w:lang w:eastAsia="ja-JP"/>
        </w:rPr>
        <w:t>:</w:t>
      </w:r>
      <w:r w:rsidR="005B18B5">
        <w:rPr>
          <w:lang w:eastAsia="ja-JP"/>
        </w:rPr>
        <w:t xml:space="preserve"> Random effects versus year of publication</w:t>
      </w:r>
      <w:r>
        <w:rPr>
          <w:lang w:eastAsia="ja-JP"/>
        </w:rPr>
        <w:t xml:space="preserve"> (Study 118427)</w:t>
      </w:r>
    </w:p>
    <w:p w14:paraId="48B7B295" w14:textId="77777777" w:rsidR="00EC39D5" w:rsidRPr="00EC39D5" w:rsidRDefault="00EC39D5" w:rsidP="005B18B5">
      <w:pPr>
        <w:keepNext/>
        <w:rPr>
          <w:lang w:eastAsia="ja-JP"/>
        </w:rPr>
      </w:pPr>
      <w:r w:rsidRPr="00EC39D5">
        <w:rPr>
          <w:noProof/>
          <w:lang w:eastAsia="en-AU"/>
        </w:rPr>
        <w:drawing>
          <wp:inline distT="0" distB="0" distL="0" distR="0" wp14:anchorId="208843EF" wp14:editId="011D7187">
            <wp:extent cx="4259943" cy="6879590"/>
            <wp:effectExtent l="0" t="0" r="7620" b="0"/>
            <wp:docPr id="10" name="Picture 10" descr="Figure 38: Random effects versus year of publication (Study 11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l="4551" t="5662" r="9266" b="3362"/>
                    <a:stretch/>
                  </pic:blipFill>
                  <pic:spPr bwMode="auto">
                    <a:xfrm>
                      <a:off x="0" y="0"/>
                      <a:ext cx="4260451" cy="6880411"/>
                    </a:xfrm>
                    <a:prstGeom prst="rect">
                      <a:avLst/>
                    </a:prstGeom>
                    <a:noFill/>
                    <a:ln>
                      <a:noFill/>
                    </a:ln>
                    <a:extLst>
                      <a:ext uri="{53640926-AAD7-44D8-BBD7-CCE9431645EC}">
                        <a14:shadowObscured xmlns:a14="http://schemas.microsoft.com/office/drawing/2010/main"/>
                      </a:ext>
                    </a:extLst>
                  </pic:spPr>
                </pic:pic>
              </a:graphicData>
            </a:graphic>
          </wp:inline>
        </w:drawing>
      </w:r>
    </w:p>
    <w:p w14:paraId="32214FBA" w14:textId="35D5FBFF" w:rsidR="00EC39D5" w:rsidRPr="00EC39D5" w:rsidRDefault="00EC39D5" w:rsidP="009D51B4">
      <w:pPr>
        <w:pStyle w:val="Heading4"/>
      </w:pPr>
      <w:r w:rsidRPr="00EC39D5">
        <w:t>Evaluator</w:t>
      </w:r>
      <w:r w:rsidR="00972AFE">
        <w:t>’s</w:t>
      </w:r>
      <w:r w:rsidRPr="00EC39D5">
        <w:t xml:space="preserve"> </w:t>
      </w:r>
      <w:r w:rsidR="00972AFE">
        <w:t>response</w:t>
      </w:r>
    </w:p>
    <w:p w14:paraId="201109F4" w14:textId="243E1541" w:rsidR="00EC39D5" w:rsidRPr="00EC39D5" w:rsidRDefault="00EC39D5" w:rsidP="00EC39D5">
      <w:pPr>
        <w:rPr>
          <w:lang w:eastAsia="ja-JP"/>
        </w:rPr>
      </w:pPr>
      <w:r w:rsidRPr="00EC39D5">
        <w:rPr>
          <w:lang w:eastAsia="ja-JP"/>
        </w:rPr>
        <w:t>The evaluator accepts the explanation of the sponsor, the overall effect on the historical comparison is not biased by the in</w:t>
      </w:r>
      <w:r w:rsidR="009D51B4">
        <w:rPr>
          <w:lang w:eastAsia="ja-JP"/>
        </w:rPr>
        <w:t>clusion of the earlier studies.</w:t>
      </w:r>
    </w:p>
    <w:p w14:paraId="48B794A8" w14:textId="41CBAE03" w:rsidR="00EC39D5" w:rsidRPr="00EC39D5" w:rsidRDefault="009D51B4" w:rsidP="009D51B4">
      <w:pPr>
        <w:pStyle w:val="Heading3"/>
      </w:pPr>
      <w:bookmarkStart w:id="354" w:name="_Toc505763002"/>
      <w:r>
        <w:t>Question 3</w:t>
      </w:r>
      <w:bookmarkEnd w:id="354"/>
    </w:p>
    <w:p w14:paraId="45CEC1A7" w14:textId="77777777" w:rsidR="00EC39D5" w:rsidRPr="00972AFE" w:rsidRDefault="00EC39D5" w:rsidP="00EC39D5">
      <w:pPr>
        <w:rPr>
          <w:i/>
          <w:lang w:eastAsia="ja-JP"/>
        </w:rPr>
      </w:pPr>
      <w:r w:rsidRPr="00972AFE">
        <w:rPr>
          <w:i/>
          <w:lang w:eastAsia="ja-JP"/>
        </w:rPr>
        <w:t>The population PK evaluation by the TGA identified that there is a clear relationship between creatinine clearance and product clearance. The sponsor is requested to justify the lack of recommendation in the PI to dose reduce in patients with renal impairment.</w:t>
      </w:r>
    </w:p>
    <w:p w14:paraId="0C84986A" w14:textId="3954B79F" w:rsidR="00EC39D5" w:rsidRPr="00EC39D5" w:rsidRDefault="009D51B4" w:rsidP="009D51B4">
      <w:pPr>
        <w:pStyle w:val="Heading4"/>
      </w:pPr>
      <w:r>
        <w:t>Sponsor</w:t>
      </w:r>
      <w:r w:rsidR="00276AC0">
        <w:t>’s</w:t>
      </w:r>
      <w:r>
        <w:t xml:space="preserve"> response</w:t>
      </w:r>
    </w:p>
    <w:p w14:paraId="55D7E104" w14:textId="15825B50" w:rsidR="00EC39D5" w:rsidRPr="00EC39D5" w:rsidRDefault="00EC39D5" w:rsidP="00EC39D5">
      <w:pPr>
        <w:rPr>
          <w:lang w:eastAsia="ja-JP"/>
        </w:rPr>
      </w:pPr>
      <w:r w:rsidRPr="00EC39D5">
        <w:rPr>
          <w:lang w:eastAsia="ja-JP"/>
        </w:rPr>
        <w:t xml:space="preserve">Consistent with the population PK evaluation by the TGA, the population PK evaluation conducted by </w:t>
      </w:r>
      <w:r w:rsidR="00972AFE">
        <w:rPr>
          <w:lang w:eastAsia="ja-JP"/>
        </w:rPr>
        <w:t>the sponsor</w:t>
      </w:r>
      <w:r w:rsidRPr="00EC39D5">
        <w:rPr>
          <w:lang w:eastAsia="ja-JP"/>
        </w:rPr>
        <w:t xml:space="preserve"> also identified creatinine clearance (CrCL) as a significant covariate of blinatumomab clearance (CL). This result is consistent with noncompartmental analysis as presented in the S</w:t>
      </w:r>
      <w:r w:rsidR="009D51B4">
        <w:rPr>
          <w:lang w:eastAsia="ja-JP"/>
        </w:rPr>
        <w:t>ummary of Clinical Pharmacology.</w:t>
      </w:r>
    </w:p>
    <w:p w14:paraId="55E02D5E" w14:textId="6A060748" w:rsidR="00EC39D5" w:rsidRDefault="00EC39D5" w:rsidP="00EC39D5">
      <w:pPr>
        <w:rPr>
          <w:lang w:eastAsia="ja-JP"/>
        </w:rPr>
      </w:pPr>
      <w:r w:rsidRPr="00EC39D5">
        <w:rPr>
          <w:lang w:eastAsia="ja-JP"/>
        </w:rPr>
        <w:t>As described in the SCP, the mean (SD) clearance was 2.92 (2.83) L/h (CV%</w:t>
      </w:r>
      <w:r w:rsidR="009D51B4">
        <w:rPr>
          <w:lang w:eastAsia="ja-JP"/>
        </w:rPr>
        <w:t xml:space="preserve"> </w:t>
      </w:r>
      <w:r w:rsidRPr="00EC39D5">
        <w:rPr>
          <w:lang w:eastAsia="ja-JP"/>
        </w:rPr>
        <w:t>=</w:t>
      </w:r>
      <w:r w:rsidR="009D51B4">
        <w:rPr>
          <w:lang w:eastAsia="ja-JP"/>
        </w:rPr>
        <w:t xml:space="preserve"> </w:t>
      </w:r>
      <w:r w:rsidRPr="00EC39D5">
        <w:rPr>
          <w:lang w:eastAsia="ja-JP"/>
        </w:rPr>
        <w:t>97%) in adult subjects and variability in clearance was substantial over the CrCL range evaluated (</w:t>
      </w:r>
      <w:r w:rsidR="00D45FFE">
        <w:rPr>
          <w:lang w:eastAsia="ja-JP"/>
        </w:rPr>
        <w:t xml:space="preserve">see </w:t>
      </w:r>
      <w:r w:rsidR="00D45FFE" w:rsidRPr="00D45FFE">
        <w:rPr>
          <w:lang w:eastAsia="ja-JP"/>
        </w:rPr>
        <w:t>Figure</w:t>
      </w:r>
      <w:r w:rsidR="00D45FFE">
        <w:rPr>
          <w:lang w:eastAsia="ja-JP"/>
        </w:rPr>
        <w:t> </w:t>
      </w:r>
      <w:r w:rsidR="00972AFE">
        <w:rPr>
          <w:lang w:eastAsia="ja-JP"/>
        </w:rPr>
        <w:t>39</w:t>
      </w:r>
      <w:r w:rsidR="00D45FFE">
        <w:rPr>
          <w:lang w:eastAsia="ja-JP"/>
        </w:rPr>
        <w:t>, below</w:t>
      </w:r>
      <w:r w:rsidRPr="00EC39D5">
        <w:rPr>
          <w:lang w:eastAsia="ja-JP"/>
        </w:rPr>
        <w:t>). No R/R ALL patients with severe renal impairment (CrCL &lt; 30 mL/min) were enrolled in these trials.</w:t>
      </w:r>
    </w:p>
    <w:p w14:paraId="611019BF" w14:textId="15800F5D" w:rsidR="009D51B4" w:rsidRPr="00EC39D5" w:rsidRDefault="00972AFE" w:rsidP="009D51B4">
      <w:pPr>
        <w:pStyle w:val="FigureTitle"/>
        <w:rPr>
          <w:lang w:eastAsia="ja-JP"/>
        </w:rPr>
      </w:pPr>
      <w:r>
        <w:rPr>
          <w:lang w:eastAsia="ja-JP"/>
        </w:rPr>
        <w:t>Figure 39</w:t>
      </w:r>
      <w:r w:rsidR="002D3EBB">
        <w:rPr>
          <w:lang w:eastAsia="ja-JP"/>
        </w:rPr>
        <w:t>:</w:t>
      </w:r>
      <w:r w:rsidR="009D51B4">
        <w:rPr>
          <w:lang w:eastAsia="ja-JP"/>
        </w:rPr>
        <w:t xml:space="preserve"> Effect of CrCL on blinatumomab CL in subjects with NHL and ALL</w:t>
      </w:r>
    </w:p>
    <w:p w14:paraId="143963F7" w14:textId="77777777" w:rsidR="00EC39D5" w:rsidRPr="00EC39D5" w:rsidRDefault="00EC39D5" w:rsidP="00EC39D5">
      <w:pPr>
        <w:rPr>
          <w:lang w:eastAsia="ja-JP"/>
        </w:rPr>
      </w:pPr>
      <w:r w:rsidRPr="00EC39D5">
        <w:rPr>
          <w:noProof/>
          <w:lang w:eastAsia="en-AU"/>
        </w:rPr>
        <w:drawing>
          <wp:inline distT="0" distB="0" distL="0" distR="0" wp14:anchorId="50930CD8" wp14:editId="0CDA7362">
            <wp:extent cx="5377543" cy="2251528"/>
            <wp:effectExtent l="0" t="0" r="0" b="0"/>
            <wp:docPr id="11" name="Picture 11" descr="Figure 39: Effect of CrCL on blinatumomab CL in subjects with NHL and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14355" r="-279"/>
                    <a:stretch/>
                  </pic:blipFill>
                  <pic:spPr bwMode="auto">
                    <a:xfrm>
                      <a:off x="0" y="0"/>
                      <a:ext cx="5377543" cy="2251528"/>
                    </a:xfrm>
                    <a:prstGeom prst="rect">
                      <a:avLst/>
                    </a:prstGeom>
                    <a:noFill/>
                    <a:ln>
                      <a:noFill/>
                    </a:ln>
                    <a:extLst>
                      <a:ext uri="{53640926-AAD7-44D8-BBD7-CCE9431645EC}">
                        <a14:shadowObscured xmlns:a14="http://schemas.microsoft.com/office/drawing/2010/main"/>
                      </a:ext>
                    </a:extLst>
                  </pic:spPr>
                </pic:pic>
              </a:graphicData>
            </a:graphic>
          </wp:inline>
        </w:drawing>
      </w:r>
    </w:p>
    <w:p w14:paraId="78BCB506" w14:textId="15FCFDCC" w:rsidR="00EC39D5" w:rsidRPr="00EC39D5" w:rsidRDefault="009D51B4" w:rsidP="00EC39D5">
      <w:pPr>
        <w:rPr>
          <w:lang w:eastAsia="ja-JP"/>
        </w:rPr>
      </w:pPr>
      <w:r>
        <w:rPr>
          <w:lang w:eastAsia="ja-JP"/>
        </w:rPr>
        <w:t>As s</w:t>
      </w:r>
      <w:r w:rsidR="00276AC0">
        <w:rPr>
          <w:lang w:eastAsia="ja-JP"/>
        </w:rPr>
        <w:t>hown in Figure 39</w:t>
      </w:r>
      <w:r w:rsidR="00EC39D5" w:rsidRPr="00EC39D5">
        <w:rPr>
          <w:lang w:eastAsia="ja-JP"/>
        </w:rPr>
        <w:t>, CL (based on non-compartmental analysis) estimated in subjects with mild and moderate renal impairment (30 mL/min ≤ CrCL &lt; 90 mL/min) were essentially within the range estimated in subjects with normal renal function (CrCL ≥ 90 mL/min). Additionally, based on the population PK analysis, a 50% reduction in CrCL was associated with a 30% reduction in blinatumomab systemic CL. However, the magnitude of the covariate effect is relatively lower than the unexplained between subject variability in blinatumomab pharmacokinetics (up to 96% CV).</w:t>
      </w:r>
    </w:p>
    <w:p w14:paraId="2429199D" w14:textId="65DB6CAF" w:rsidR="00EC39D5" w:rsidRPr="00EC39D5" w:rsidRDefault="00EC39D5" w:rsidP="00EC39D5">
      <w:pPr>
        <w:rPr>
          <w:lang w:eastAsia="ja-JP"/>
        </w:rPr>
      </w:pPr>
      <w:r w:rsidRPr="00EC39D5">
        <w:rPr>
          <w:lang w:eastAsia="ja-JP"/>
        </w:rPr>
        <w:t>Considering that no clinically meaningful impact on efficacy and safety in subjects with moderate renal impairment is expected, dose adjustment for patients with mild and moderate renal impairment is not warranted and posology remains unchanged. There is no information on impact of severe renal insufficiency on the efficacy and safety of blinatumomab in patients with R/R ALL.</w:t>
      </w:r>
    </w:p>
    <w:p w14:paraId="57C86D08" w14:textId="6B96BA35" w:rsidR="00EC39D5" w:rsidRPr="00EC39D5" w:rsidRDefault="00EC39D5" w:rsidP="009D51B4">
      <w:pPr>
        <w:pStyle w:val="Heading4"/>
      </w:pPr>
      <w:r w:rsidRPr="00EC39D5">
        <w:t>Evaluator</w:t>
      </w:r>
      <w:r w:rsidR="00276AC0">
        <w:t>’s</w:t>
      </w:r>
      <w:r w:rsidRPr="00EC39D5">
        <w:t xml:space="preserve"> </w:t>
      </w:r>
      <w:r w:rsidR="00276AC0">
        <w:t>response</w:t>
      </w:r>
    </w:p>
    <w:p w14:paraId="3F0BB34F" w14:textId="272F317B" w:rsidR="00EC39D5" w:rsidRPr="00EC39D5" w:rsidRDefault="00EC39D5" w:rsidP="00EC39D5">
      <w:pPr>
        <w:rPr>
          <w:lang w:eastAsia="ja-JP"/>
        </w:rPr>
      </w:pPr>
      <w:r w:rsidRPr="00EC39D5">
        <w:rPr>
          <w:lang w:eastAsia="ja-JP"/>
        </w:rPr>
        <w:t>The clearance mechanism of blinatumomab is not absolutely characterised, but is likely to include proteolysis. The observed effect of creatinine clearance on b</w:t>
      </w:r>
      <w:r w:rsidR="009D51B4">
        <w:rPr>
          <w:lang w:eastAsia="ja-JP"/>
        </w:rPr>
        <w:t>linatumomab clearance shown in F</w:t>
      </w:r>
      <w:r w:rsidR="00276AC0">
        <w:rPr>
          <w:lang w:eastAsia="ja-JP"/>
        </w:rPr>
        <w:t xml:space="preserve">igure </w:t>
      </w:r>
      <w:r w:rsidR="00E27152">
        <w:rPr>
          <w:lang w:eastAsia="ja-JP"/>
        </w:rPr>
        <w:t>39</w:t>
      </w:r>
      <w:r w:rsidRPr="00EC39D5">
        <w:rPr>
          <w:lang w:eastAsia="ja-JP"/>
        </w:rPr>
        <w:t xml:space="preserve"> above is consistent with non-renal clearance and elimination.</w:t>
      </w:r>
    </w:p>
    <w:p w14:paraId="4DF623CD" w14:textId="30EA1FAE" w:rsidR="00C618F7" w:rsidRPr="003442FE" w:rsidRDefault="00EC39D5" w:rsidP="00C618F7">
      <w:pPr>
        <w:rPr>
          <w:lang w:eastAsia="ja-JP"/>
        </w:rPr>
      </w:pPr>
      <w:r w:rsidRPr="00EC39D5">
        <w:rPr>
          <w:lang w:eastAsia="ja-JP"/>
        </w:rPr>
        <w:t>However, the evaluator notes the absence of data in patients with severe renal failure.</w:t>
      </w:r>
    </w:p>
    <w:p w14:paraId="76C85D9D" w14:textId="77777777" w:rsidR="00C618F7" w:rsidRPr="003442FE" w:rsidRDefault="00C618F7" w:rsidP="00C618F7">
      <w:pPr>
        <w:pStyle w:val="Heading2"/>
      </w:pPr>
      <w:bookmarkStart w:id="355" w:name="_Toc505763003"/>
      <w:r w:rsidRPr="003442FE">
        <w:t>Second round benefit-risk assessment</w:t>
      </w:r>
      <w:bookmarkEnd w:id="355"/>
    </w:p>
    <w:p w14:paraId="6CE2F06A" w14:textId="77777777" w:rsidR="009D51B4" w:rsidRPr="009D51B4" w:rsidRDefault="009D51B4" w:rsidP="009D51B4">
      <w:pPr>
        <w:pStyle w:val="Heading3"/>
        <w:rPr>
          <w:rFonts w:eastAsia="Cambria"/>
        </w:rPr>
      </w:pPr>
      <w:bookmarkStart w:id="356" w:name="_Toc272414709"/>
      <w:bookmarkStart w:id="357" w:name="_Toc290846349"/>
      <w:bookmarkStart w:id="358" w:name="_Toc290888886"/>
      <w:bookmarkStart w:id="359" w:name="_Toc292015658"/>
      <w:bookmarkStart w:id="360" w:name="_Toc505763004"/>
      <w:r w:rsidRPr="009D51B4">
        <w:rPr>
          <w:rFonts w:eastAsia="Cambria"/>
        </w:rPr>
        <w:t>Second round assessment of benefits</w:t>
      </w:r>
      <w:bookmarkEnd w:id="356"/>
      <w:bookmarkEnd w:id="357"/>
      <w:bookmarkEnd w:id="358"/>
      <w:bookmarkEnd w:id="359"/>
      <w:bookmarkEnd w:id="360"/>
    </w:p>
    <w:p w14:paraId="5740257C" w14:textId="7E58EB07" w:rsidR="009D51B4" w:rsidRPr="009D51B4" w:rsidRDefault="009D51B4" w:rsidP="009D51B4">
      <w:pPr>
        <w:rPr>
          <w:lang w:eastAsia="ja-JP"/>
        </w:rPr>
      </w:pPr>
      <w:r w:rsidRPr="009D51B4">
        <w:rPr>
          <w:lang w:eastAsia="ja-JP"/>
        </w:rPr>
        <w:t xml:space="preserve">After consideration of the responses to clinical questions, the benefits of blinatumomab in the proposed usage are unchanged from those identified in </w:t>
      </w:r>
      <w:r>
        <w:rPr>
          <w:lang w:eastAsia="ja-JP"/>
        </w:rPr>
        <w:t>the first round assessment of benefits.</w:t>
      </w:r>
    </w:p>
    <w:p w14:paraId="03ED9129" w14:textId="77777777" w:rsidR="009D51B4" w:rsidRPr="009D51B4" w:rsidRDefault="009D51B4" w:rsidP="009D51B4">
      <w:pPr>
        <w:pStyle w:val="Heading3"/>
        <w:rPr>
          <w:rFonts w:eastAsia="Cambria"/>
        </w:rPr>
      </w:pPr>
      <w:bookmarkStart w:id="361" w:name="_Toc272414710"/>
      <w:bookmarkStart w:id="362" w:name="_Toc290846350"/>
      <w:bookmarkStart w:id="363" w:name="_Toc290888887"/>
      <w:bookmarkStart w:id="364" w:name="_Toc292015659"/>
      <w:bookmarkStart w:id="365" w:name="_Toc505763005"/>
      <w:r w:rsidRPr="009D51B4">
        <w:rPr>
          <w:rFonts w:eastAsia="Cambria"/>
        </w:rPr>
        <w:t>Second round assessment of risks</w:t>
      </w:r>
      <w:bookmarkEnd w:id="361"/>
      <w:bookmarkEnd w:id="362"/>
      <w:bookmarkEnd w:id="363"/>
      <w:bookmarkEnd w:id="364"/>
      <w:bookmarkEnd w:id="365"/>
    </w:p>
    <w:p w14:paraId="6335FA99" w14:textId="16D003FC" w:rsidR="009D51B4" w:rsidRPr="009D51B4" w:rsidRDefault="009D51B4" w:rsidP="009D51B4">
      <w:pPr>
        <w:rPr>
          <w:lang w:eastAsia="ja-JP"/>
        </w:rPr>
      </w:pPr>
      <w:r w:rsidRPr="009D51B4">
        <w:rPr>
          <w:lang w:eastAsia="ja-JP"/>
        </w:rPr>
        <w:t xml:space="preserve">After consideration of the responses to clinical questions, the benefits of blinatumomab in the proposed usage are unchanged from those identified in </w:t>
      </w:r>
      <w:r>
        <w:rPr>
          <w:lang w:eastAsia="ja-JP"/>
        </w:rPr>
        <w:t>the first round assessment of risks.</w:t>
      </w:r>
    </w:p>
    <w:p w14:paraId="1D5E1008" w14:textId="77777777" w:rsidR="009D51B4" w:rsidRPr="009D51B4" w:rsidRDefault="009D51B4" w:rsidP="009D51B4">
      <w:pPr>
        <w:pStyle w:val="Heading3"/>
        <w:rPr>
          <w:rFonts w:eastAsia="Cambria"/>
        </w:rPr>
      </w:pPr>
      <w:bookmarkStart w:id="366" w:name="_Toc272414711"/>
      <w:bookmarkStart w:id="367" w:name="_Toc290846351"/>
      <w:bookmarkStart w:id="368" w:name="_Toc290888888"/>
      <w:bookmarkStart w:id="369" w:name="_Toc292015660"/>
      <w:bookmarkStart w:id="370" w:name="_Toc505763006"/>
      <w:r w:rsidRPr="009D51B4">
        <w:rPr>
          <w:rFonts w:eastAsia="Cambria"/>
        </w:rPr>
        <w:t>Second round assessment of benefit-risk balance</w:t>
      </w:r>
      <w:bookmarkEnd w:id="366"/>
      <w:bookmarkEnd w:id="367"/>
      <w:bookmarkEnd w:id="368"/>
      <w:bookmarkEnd w:id="369"/>
      <w:bookmarkEnd w:id="370"/>
    </w:p>
    <w:p w14:paraId="7FBC50AF" w14:textId="03EDB62D" w:rsidR="00C618F7" w:rsidRPr="003442FE" w:rsidRDefault="009D51B4" w:rsidP="00C618F7">
      <w:pPr>
        <w:rPr>
          <w:lang w:eastAsia="ja-JP"/>
        </w:rPr>
      </w:pPr>
      <w:r w:rsidRPr="009D51B4">
        <w:rPr>
          <w:lang w:eastAsia="ja-JP"/>
        </w:rPr>
        <w:t>The benefit-risk balance of blinatumomab, given the proposed usage, is favourable.</w:t>
      </w:r>
    </w:p>
    <w:p w14:paraId="76704521" w14:textId="77777777" w:rsidR="00C618F7" w:rsidRPr="003442FE" w:rsidRDefault="00C618F7" w:rsidP="00C618F7">
      <w:pPr>
        <w:pStyle w:val="Heading2"/>
      </w:pPr>
      <w:bookmarkStart w:id="371" w:name="_Toc505763007"/>
      <w:r w:rsidRPr="003442FE">
        <w:t>Second round recommendation regarding authorisation</w:t>
      </w:r>
      <w:bookmarkEnd w:id="371"/>
    </w:p>
    <w:p w14:paraId="4C18F10F" w14:textId="5C35E6FF" w:rsidR="00C618F7" w:rsidRPr="003442FE" w:rsidRDefault="00415A7A" w:rsidP="00C618F7">
      <w:r w:rsidRPr="00415A7A">
        <w:t>It is recommended to the Delegate that blinatumomab be approved for the proposed indication.</w:t>
      </w:r>
    </w:p>
    <w:p w14:paraId="73E49FD7" w14:textId="77777777" w:rsidR="00C618F7" w:rsidRPr="003442FE" w:rsidRDefault="00C618F7" w:rsidP="00C618F7">
      <w:pPr>
        <w:pStyle w:val="Heading2"/>
      </w:pPr>
      <w:bookmarkStart w:id="372" w:name="_Toc505763008"/>
      <w:r w:rsidRPr="003442FE">
        <w:t>References</w:t>
      </w:r>
      <w:bookmarkEnd w:id="372"/>
    </w:p>
    <w:bookmarkEnd w:id="3"/>
    <w:bookmarkEnd w:id="2"/>
    <w:bookmarkEnd w:id="1"/>
    <w:p w14:paraId="4BC8CE33" w14:textId="77777777" w:rsidR="00415A7A" w:rsidRPr="007B270B" w:rsidRDefault="00415A7A" w:rsidP="007B270B">
      <w:r w:rsidRPr="007B270B">
        <w:t>CHMP/EWP/83561/2005 Guideline on Clinical Trials in Small Populations Effective: December 2006</w:t>
      </w:r>
    </w:p>
    <w:p w14:paraId="4E00527A" w14:textId="3FB6D5DB" w:rsidR="00415A7A" w:rsidRPr="007B270B" w:rsidRDefault="00415A7A" w:rsidP="007B270B">
      <w:r w:rsidRPr="007B270B">
        <w:t>EMA/CHMP/205/95/Rev.4 Guideline on the evaluation of anticancer medicinal products in man Replaces: CPMP/EWP/205/95/Rev.3/Corr (Adopted by TGA June 2006) Effective: 1 April 2014</w:t>
      </w:r>
    </w:p>
    <w:p w14:paraId="24D501AE" w14:textId="60A83D85" w:rsidR="008D770F" w:rsidRPr="007B270B" w:rsidRDefault="00000368" w:rsidP="007B270B">
      <w:r w:rsidRPr="007B270B">
        <w:t>Mandema</w:t>
      </w:r>
      <w:r w:rsidR="00415A7A" w:rsidRPr="007B270B">
        <w:t xml:space="preserve"> J et al. (2011), Model-Based Meta-Analysis for Comparative Efficacy and Safety: Application in Drug Development and Beyond. Clinical Pharmacology &amp; Therapeutics, 90: 766–769.</w:t>
      </w:r>
    </w:p>
    <w:p w14:paraId="1AAE2C62" w14:textId="77777777" w:rsidR="003D1E62" w:rsidRPr="003442FE" w:rsidRDefault="008E7846" w:rsidP="002666AC">
      <w:pPr>
        <w:sectPr w:rsidR="003D1E62" w:rsidRPr="003442FE" w:rsidSect="008D770F">
          <w:headerReference w:type="even" r:id="rId57"/>
          <w:headerReference w:type="default" r:id="rId58"/>
          <w:headerReference w:type="first" r:id="rId59"/>
          <w:footerReference w:type="first" r:id="rId60"/>
          <w:pgSz w:w="11906" w:h="16838" w:code="9"/>
          <w:pgMar w:top="1440" w:right="1440" w:bottom="1440" w:left="1440" w:header="907" w:footer="216" w:gutter="0"/>
          <w:cols w:space="708"/>
          <w:docGrid w:linePitch="360"/>
        </w:sectPr>
      </w:pPr>
      <w:r w:rsidRPr="003442FE">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3442FE" w14:paraId="611F7D60" w14:textId="77777777" w:rsidTr="001F1326">
        <w:trPr>
          <w:trHeight w:hRule="exact" w:val="564"/>
        </w:trPr>
        <w:tc>
          <w:tcPr>
            <w:tcW w:w="9175" w:type="dxa"/>
          </w:tcPr>
          <w:p w14:paraId="26E9599C" w14:textId="77777777" w:rsidR="00B3567E" w:rsidRPr="003442FE" w:rsidRDefault="00B3567E" w:rsidP="001F1326">
            <w:pPr>
              <w:pStyle w:val="TGASignoff"/>
            </w:pPr>
            <w:r w:rsidRPr="003442FE">
              <w:t>Therapeutic Goods Administration</w:t>
            </w:r>
          </w:p>
        </w:tc>
      </w:tr>
      <w:tr w:rsidR="00B3567E" w:rsidRPr="003442FE" w14:paraId="53AA9659" w14:textId="77777777" w:rsidTr="001F1326">
        <w:trPr>
          <w:trHeight w:val="1221"/>
        </w:trPr>
        <w:tc>
          <w:tcPr>
            <w:tcW w:w="9175" w:type="dxa"/>
            <w:tcMar>
              <w:top w:w="28" w:type="dxa"/>
            </w:tcMar>
          </w:tcPr>
          <w:p w14:paraId="1019C590" w14:textId="77777777" w:rsidR="00B3567E" w:rsidRPr="003442FE" w:rsidRDefault="00B3567E" w:rsidP="001F1326">
            <w:pPr>
              <w:pStyle w:val="Address"/>
            </w:pPr>
            <w:r w:rsidRPr="003442FE">
              <w:t>PO Box 100 Woden ACT 2606 Australia</w:t>
            </w:r>
          </w:p>
          <w:p w14:paraId="47BCD830" w14:textId="5BE0E471" w:rsidR="00B3567E" w:rsidRPr="003442FE" w:rsidRDefault="00B3567E" w:rsidP="001F1326">
            <w:pPr>
              <w:pStyle w:val="Address"/>
            </w:pPr>
            <w:r w:rsidRPr="003442FE">
              <w:t xml:space="preserve">Email: </w:t>
            </w:r>
            <w:hyperlink r:id="rId61" w:history="1">
              <w:r w:rsidRPr="003442FE">
                <w:rPr>
                  <w:rStyle w:val="Hyperlink"/>
                </w:rPr>
                <w:t>info@tga.gov.au</w:t>
              </w:r>
            </w:hyperlink>
            <w:r w:rsidR="00375CAE">
              <w:t xml:space="preserve"> </w:t>
            </w:r>
            <w:r w:rsidRPr="003442FE">
              <w:t>Phone: 1800 020 653</w:t>
            </w:r>
            <w:r w:rsidR="00375CAE">
              <w:t xml:space="preserve"> </w:t>
            </w:r>
            <w:r w:rsidRPr="003442FE">
              <w:t>Fax: 02 6232 8605</w:t>
            </w:r>
          </w:p>
          <w:p w14:paraId="32BE9017" w14:textId="77777777" w:rsidR="00B3567E" w:rsidRPr="003442FE" w:rsidRDefault="0046212E" w:rsidP="001F1326">
            <w:pPr>
              <w:pStyle w:val="Address"/>
              <w:spacing w:line="260" w:lineRule="atLeast"/>
              <w:rPr>
                <w:b/>
                <w:color w:val="0000FF"/>
                <w:u w:val="single"/>
              </w:rPr>
            </w:pPr>
            <w:hyperlink r:id="rId62" w:history="1">
              <w:r w:rsidR="00E979F4" w:rsidRPr="003442FE">
                <w:rPr>
                  <w:rStyle w:val="Hyperlink"/>
                  <w:b/>
                </w:rPr>
                <w:t>https://www.tga.gov.au</w:t>
              </w:r>
            </w:hyperlink>
          </w:p>
        </w:tc>
      </w:tr>
    </w:tbl>
    <w:p w14:paraId="5256C5EC" w14:textId="77777777" w:rsidR="00774E1D" w:rsidRPr="003442FE" w:rsidRDefault="00774E1D" w:rsidP="008A5E0B"/>
    <w:sectPr w:rsidR="00774E1D" w:rsidRPr="003442FE"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E87399" w15:done="0"/>
  <w15:commentEx w15:paraId="47AAD3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CEE66" w14:textId="77777777" w:rsidR="006B652D" w:rsidRDefault="006B652D" w:rsidP="00C40A36">
      <w:pPr>
        <w:spacing w:after="0"/>
      </w:pPr>
      <w:r>
        <w:separator/>
      </w:r>
    </w:p>
  </w:endnote>
  <w:endnote w:type="continuationSeparator" w:id="0">
    <w:p w14:paraId="3ABC823C" w14:textId="77777777" w:rsidR="006B652D" w:rsidRDefault="006B65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Arial,Italic">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6B652D" w:rsidRPr="00487162" w14:paraId="3BC5AC87" w14:textId="77777777" w:rsidTr="00D25314">
      <w:trPr>
        <w:trHeight w:val="269"/>
      </w:trPr>
      <w:tc>
        <w:tcPr>
          <w:tcW w:w="7513" w:type="dxa"/>
          <w:tcMar>
            <w:top w:w="142" w:type="dxa"/>
            <w:bottom w:w="0" w:type="dxa"/>
          </w:tcMar>
        </w:tcPr>
        <w:p w14:paraId="69626776" w14:textId="1F557B56" w:rsidR="006B652D" w:rsidRPr="00487162" w:rsidRDefault="006B652D" w:rsidP="00D25314">
          <w:pPr>
            <w:pStyle w:val="Footer"/>
          </w:pPr>
          <w:r>
            <w:t>Attachment 2 - Blincyto b</w:t>
          </w:r>
          <w:r w:rsidRPr="00F85481">
            <w:t>linatumomab Amgen Australia Pt</w:t>
          </w:r>
          <w:r>
            <w:t>y Ltd -</w:t>
          </w:r>
          <w:r w:rsidRPr="00487162">
            <w:t xml:space="preserve"> </w:t>
          </w:r>
          <w:r>
            <w:t>PM-2014-03864-1-4- Extract from the Clinical Evaluation Report FINAL 7 February 2018</w:t>
          </w:r>
        </w:p>
      </w:tc>
      <w:tc>
        <w:tcPr>
          <w:tcW w:w="1348" w:type="dxa"/>
          <w:tcMar>
            <w:top w:w="142" w:type="dxa"/>
            <w:bottom w:w="0" w:type="dxa"/>
          </w:tcMar>
        </w:tcPr>
        <w:p w14:paraId="7F27FA99" w14:textId="77777777" w:rsidR="006B652D" w:rsidRPr="00981D66" w:rsidRDefault="006B652D"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6212E">
            <w:rPr>
              <w:noProof/>
            </w:rPr>
            <w:t>2</w:t>
          </w:r>
          <w:r w:rsidRPr="00981D66">
            <w:fldChar w:fldCharType="end"/>
          </w:r>
          <w:r w:rsidRPr="00981D66">
            <w:t xml:space="preserve"> of </w:t>
          </w:r>
          <w:r w:rsidR="0046212E">
            <w:fldChar w:fldCharType="begin"/>
          </w:r>
          <w:r w:rsidR="0046212E">
            <w:instrText xml:space="preserve"> NUMPAGES  \* Arabic  \* MERGEFORMAT </w:instrText>
          </w:r>
          <w:r w:rsidR="0046212E">
            <w:fldChar w:fldCharType="separate"/>
          </w:r>
          <w:r w:rsidR="0046212E">
            <w:rPr>
              <w:noProof/>
            </w:rPr>
            <w:t>134</w:t>
          </w:r>
          <w:r w:rsidR="0046212E">
            <w:rPr>
              <w:noProof/>
            </w:rPr>
            <w:fldChar w:fldCharType="end"/>
          </w:r>
        </w:p>
      </w:tc>
    </w:tr>
  </w:tbl>
  <w:p w14:paraId="29789514" w14:textId="77777777" w:rsidR="006B652D" w:rsidRDefault="006B652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652D" w:rsidRPr="00487162" w14:paraId="4AA8726F" w14:textId="77777777" w:rsidTr="00E45619">
      <w:trPr>
        <w:trHeight w:val="269"/>
      </w:trPr>
      <w:tc>
        <w:tcPr>
          <w:tcW w:w="4519" w:type="dxa"/>
          <w:tcBorders>
            <w:top w:val="single" w:sz="4" w:space="0" w:color="auto"/>
          </w:tcBorders>
          <w:tcMar>
            <w:top w:w="142" w:type="dxa"/>
            <w:bottom w:w="0" w:type="dxa"/>
          </w:tcMar>
        </w:tcPr>
        <w:p w14:paraId="0B235B6F" w14:textId="77777777" w:rsidR="006B652D" w:rsidRPr="00487162" w:rsidRDefault="006B652D" w:rsidP="00FE1DEE">
          <w:pPr>
            <w:pStyle w:val="Footer"/>
          </w:pPr>
          <w:r w:rsidRPr="00487162">
            <w:t>Document title, Part #, Section # - Section title</w:t>
          </w:r>
        </w:p>
        <w:p w14:paraId="667758BC" w14:textId="77777777" w:rsidR="006B652D" w:rsidRPr="00487162" w:rsidRDefault="006B652D" w:rsidP="00FE1DEE">
          <w:pPr>
            <w:pStyle w:val="Footer"/>
          </w:pPr>
          <w:r w:rsidRPr="00487162">
            <w:t>V1.0 October 2010</w:t>
          </w:r>
        </w:p>
      </w:tc>
      <w:tc>
        <w:tcPr>
          <w:tcW w:w="4342" w:type="dxa"/>
          <w:tcBorders>
            <w:top w:val="single" w:sz="4" w:space="0" w:color="auto"/>
          </w:tcBorders>
          <w:tcMar>
            <w:top w:w="142" w:type="dxa"/>
            <w:bottom w:w="0" w:type="dxa"/>
          </w:tcMar>
        </w:tcPr>
        <w:p w14:paraId="0B9412F8" w14:textId="77777777" w:rsidR="006B652D" w:rsidRPr="00487162" w:rsidRDefault="006B652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6212E">
            <w:fldChar w:fldCharType="begin"/>
          </w:r>
          <w:r w:rsidR="0046212E">
            <w:instrText xml:space="preserve"> NUMPAGES  </w:instrText>
          </w:r>
          <w:r w:rsidR="0046212E">
            <w:fldChar w:fldCharType="separate"/>
          </w:r>
          <w:r>
            <w:rPr>
              <w:noProof/>
            </w:rPr>
            <w:t>8</w:t>
          </w:r>
          <w:r w:rsidR="0046212E">
            <w:rPr>
              <w:noProof/>
            </w:rPr>
            <w:fldChar w:fldCharType="end"/>
          </w:r>
        </w:p>
      </w:tc>
    </w:tr>
  </w:tbl>
  <w:p w14:paraId="3B3AEAF6" w14:textId="77777777" w:rsidR="006B652D" w:rsidRDefault="006B65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7C33D" w14:textId="77777777" w:rsidR="006B652D" w:rsidRDefault="006B652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652D" w14:paraId="18A93258" w14:textId="77777777" w:rsidTr="0010601F">
      <w:trPr>
        <w:trHeight w:val="108"/>
      </w:trPr>
      <w:tc>
        <w:tcPr>
          <w:tcW w:w="8875" w:type="dxa"/>
          <w:gridSpan w:val="2"/>
          <w:tcBorders>
            <w:bottom w:val="single" w:sz="4" w:space="0" w:color="auto"/>
          </w:tcBorders>
          <w:tcMar>
            <w:right w:w="284" w:type="dxa"/>
          </w:tcMar>
        </w:tcPr>
        <w:p w14:paraId="6B77F9C8" w14:textId="77777777" w:rsidR="006B652D" w:rsidRDefault="006B652D" w:rsidP="006E08B3">
          <w:pPr>
            <w:pStyle w:val="Heading3"/>
          </w:pPr>
          <w:r>
            <w:t>Copyright</w:t>
          </w:r>
        </w:p>
        <w:p w14:paraId="74B66A69" w14:textId="77777777" w:rsidR="006B652D" w:rsidRDefault="006B652D" w:rsidP="006E08B3">
          <w:r>
            <w:rPr>
              <w:rFonts w:cs="Arial"/>
            </w:rPr>
            <w:t>©</w:t>
          </w:r>
          <w:r>
            <w:t xml:space="preserve"> Commonwealth of Australia [add year]</w:t>
          </w:r>
        </w:p>
        <w:p w14:paraId="151D289F" w14:textId="77777777" w:rsidR="006B652D" w:rsidRDefault="006B652D" w:rsidP="006E08B3"/>
        <w:p w14:paraId="1AAC1396" w14:textId="0604F9C2" w:rsidR="006B652D" w:rsidRDefault="006B65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6782154" w14:textId="77777777" w:rsidR="006B652D" w:rsidRDefault="006B652D" w:rsidP="006E08B3"/>
        <w:p w14:paraId="59A38A6D" w14:textId="77777777" w:rsidR="006B652D" w:rsidRDefault="006B652D" w:rsidP="006E08B3">
          <w:pPr>
            <w:pStyle w:val="Heading3"/>
          </w:pPr>
          <w:r>
            <w:t>Confidentiality</w:t>
          </w:r>
        </w:p>
        <w:p w14:paraId="72025B8D" w14:textId="77777777" w:rsidR="006B652D" w:rsidRDefault="006B65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F7F15E6" w14:textId="77777777" w:rsidR="006B652D" w:rsidRDefault="006B652D" w:rsidP="006E08B3"/>
        <w:p w14:paraId="29780521" w14:textId="77777777" w:rsidR="006B652D" w:rsidRDefault="006B652D" w:rsidP="006E08B3">
          <w:r>
            <w:t>For submission made by individuals, all personal details, other than your name, will be removed from your submission before it is published on the TGA’s Internet site.</w:t>
          </w:r>
        </w:p>
        <w:p w14:paraId="7C697E07" w14:textId="77777777" w:rsidR="006B652D" w:rsidRDefault="006B652D" w:rsidP="006E08B3"/>
        <w:p w14:paraId="7614D7D6" w14:textId="77777777" w:rsidR="006B652D" w:rsidRDefault="006B652D" w:rsidP="006E08B3">
          <w:r>
            <w:t>In addition, a list of parties making submissions will be published. If you do not wish to be identified with your submission you must specifically request this in the space provided ib the submission coversheet.</w:t>
          </w:r>
        </w:p>
      </w:tc>
    </w:tr>
    <w:tr w:rsidR="006B652D" w14:paraId="7B504109" w14:textId="77777777" w:rsidTr="0010601F">
      <w:trPr>
        <w:trHeight w:val="417"/>
      </w:trPr>
      <w:tc>
        <w:tcPr>
          <w:tcW w:w="4519" w:type="dxa"/>
          <w:tcBorders>
            <w:top w:val="single" w:sz="4" w:space="0" w:color="auto"/>
          </w:tcBorders>
          <w:tcMar>
            <w:top w:w="142" w:type="dxa"/>
            <w:bottom w:w="0" w:type="dxa"/>
          </w:tcMar>
        </w:tcPr>
        <w:p w14:paraId="2DFD085A" w14:textId="77777777" w:rsidR="006B652D" w:rsidRDefault="006B652D" w:rsidP="006E08B3">
          <w:r>
            <w:t>Document title, Part #, Section # - Section title</w:t>
          </w:r>
        </w:p>
        <w:p w14:paraId="5F3628E1" w14:textId="77777777" w:rsidR="006B652D" w:rsidRDefault="006B652D" w:rsidP="006E08B3">
          <w:r>
            <w:t>V1.0 October 2010</w:t>
          </w:r>
        </w:p>
      </w:tc>
      <w:tc>
        <w:tcPr>
          <w:tcW w:w="4356" w:type="dxa"/>
          <w:tcBorders>
            <w:top w:val="single" w:sz="4" w:space="0" w:color="auto"/>
          </w:tcBorders>
          <w:tcMar>
            <w:top w:w="142" w:type="dxa"/>
            <w:bottom w:w="0" w:type="dxa"/>
          </w:tcMar>
        </w:tcPr>
        <w:p w14:paraId="3BCB24D1" w14:textId="59FC4CF1" w:rsidR="006B652D" w:rsidRDefault="006B652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6212E">
            <w:fldChar w:fldCharType="begin"/>
          </w:r>
          <w:r w:rsidR="0046212E">
            <w:instrText xml:space="preserve"> NUMPAGES  \* Arabic </w:instrText>
          </w:r>
          <w:r w:rsidR="0046212E">
            <w:fldChar w:fldCharType="separate"/>
          </w:r>
          <w:r>
            <w:rPr>
              <w:noProof/>
            </w:rPr>
            <w:t>8</w:t>
          </w:r>
          <w:r w:rsidR="0046212E">
            <w:rPr>
              <w:noProof/>
            </w:rPr>
            <w:fldChar w:fldCharType="end"/>
          </w:r>
          <w:r>
            <w:t xml:space="preserve"> </w:t>
          </w:r>
        </w:p>
      </w:tc>
    </w:tr>
  </w:tbl>
  <w:p w14:paraId="50DBF1AD" w14:textId="77777777" w:rsidR="006B652D" w:rsidRDefault="006B65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1D5DB" w14:textId="77777777" w:rsidR="006B652D" w:rsidRDefault="006B652D" w:rsidP="00C40A36">
      <w:pPr>
        <w:spacing w:after="0"/>
      </w:pPr>
      <w:r>
        <w:separator/>
      </w:r>
    </w:p>
  </w:footnote>
  <w:footnote w:type="continuationSeparator" w:id="0">
    <w:p w14:paraId="7501E5BA" w14:textId="77777777" w:rsidR="006B652D" w:rsidRDefault="006B652D" w:rsidP="00C40A36">
      <w:pPr>
        <w:spacing w:after="0"/>
      </w:pPr>
      <w:r>
        <w:continuationSeparator/>
      </w:r>
    </w:p>
  </w:footnote>
  <w:footnote w:id="1">
    <w:p w14:paraId="5560D836" w14:textId="34D8E3DB" w:rsidR="006B652D" w:rsidRPr="00CD6E84" w:rsidRDefault="006B652D" w:rsidP="00CD6E84">
      <w:pPr>
        <w:autoSpaceDE w:val="0"/>
        <w:autoSpaceDN w:val="0"/>
        <w:adjustRightInd w:val="0"/>
        <w:spacing w:before="0" w:after="0" w:line="240" w:lineRule="auto"/>
        <w:rPr>
          <w:sz w:val="18"/>
          <w:szCs w:val="18"/>
        </w:rPr>
      </w:pPr>
      <w:r w:rsidRPr="003E3B90">
        <w:rPr>
          <w:rStyle w:val="FootnoteReference"/>
          <w:sz w:val="18"/>
          <w:szCs w:val="18"/>
        </w:rPr>
        <w:footnoteRef/>
      </w:r>
      <w:r w:rsidRPr="003E3B90">
        <w:rPr>
          <w:sz w:val="18"/>
          <w:szCs w:val="18"/>
        </w:rPr>
        <w:t xml:space="preserve"> Pulte </w:t>
      </w:r>
      <w:r>
        <w:rPr>
          <w:sz w:val="18"/>
          <w:szCs w:val="18"/>
        </w:rPr>
        <w:t xml:space="preserve">d </w:t>
      </w:r>
      <w:r w:rsidRPr="003E3B90">
        <w:rPr>
          <w:sz w:val="18"/>
          <w:szCs w:val="18"/>
        </w:rPr>
        <w:t>et al 2014</w:t>
      </w:r>
      <w:r w:rsidRPr="00CD6E84">
        <w:rPr>
          <w:sz w:val="18"/>
          <w:szCs w:val="18"/>
        </w:rPr>
        <w:t xml:space="preserve"> Survival of adults with acute lymphoblastic leukemia in Germany and the United States. PLoS One. 2014;9:e85554</w:t>
      </w:r>
    </w:p>
  </w:footnote>
  <w:footnote w:id="2">
    <w:p w14:paraId="79F154CF" w14:textId="5285316E" w:rsidR="006B652D" w:rsidRPr="00CD6E84" w:rsidRDefault="006B652D" w:rsidP="00CD6E84">
      <w:pPr>
        <w:autoSpaceDE w:val="0"/>
        <w:autoSpaceDN w:val="0"/>
        <w:adjustRightInd w:val="0"/>
        <w:spacing w:before="0" w:after="0" w:line="240" w:lineRule="auto"/>
        <w:rPr>
          <w:sz w:val="18"/>
          <w:szCs w:val="18"/>
        </w:rPr>
      </w:pPr>
      <w:r w:rsidRPr="003E3B90">
        <w:rPr>
          <w:sz w:val="18"/>
          <w:szCs w:val="18"/>
          <w:vertAlign w:val="superscript"/>
        </w:rPr>
        <w:footnoteRef/>
      </w:r>
      <w:r w:rsidRPr="003E3B90">
        <w:rPr>
          <w:sz w:val="18"/>
          <w:szCs w:val="18"/>
        </w:rPr>
        <w:t xml:space="preserve"> Fielding </w:t>
      </w:r>
      <w:r>
        <w:rPr>
          <w:sz w:val="18"/>
          <w:szCs w:val="18"/>
        </w:rPr>
        <w:t xml:space="preserve">A </w:t>
      </w:r>
      <w:r w:rsidRPr="003E3B90">
        <w:rPr>
          <w:sz w:val="18"/>
          <w:szCs w:val="18"/>
        </w:rPr>
        <w:t>2011</w:t>
      </w:r>
      <w:r w:rsidRPr="00CD6E84">
        <w:rPr>
          <w:sz w:val="18"/>
          <w:szCs w:val="18"/>
        </w:rPr>
        <w:t xml:space="preserve"> Current therapeutic strategies in adult acute lymphoblastic leukemia. </w:t>
      </w:r>
      <w:r w:rsidRPr="00CD6E84">
        <w:rPr>
          <w:i/>
          <w:sz w:val="18"/>
          <w:szCs w:val="18"/>
        </w:rPr>
        <w:t>Hematol Oncol Clin N Am.</w:t>
      </w:r>
      <w:r w:rsidRPr="00CD6E84">
        <w:rPr>
          <w:sz w:val="18"/>
          <w:szCs w:val="18"/>
        </w:rPr>
        <w:t xml:space="preserve"> 2011;25:1255-1279</w:t>
      </w:r>
    </w:p>
  </w:footnote>
  <w:footnote w:id="3">
    <w:p w14:paraId="0507838C" w14:textId="5AE8FE56" w:rsidR="006B652D" w:rsidRPr="003E3B90" w:rsidRDefault="006B652D" w:rsidP="00CD6E84">
      <w:pPr>
        <w:autoSpaceDE w:val="0"/>
        <w:autoSpaceDN w:val="0"/>
        <w:adjustRightInd w:val="0"/>
        <w:spacing w:before="0" w:after="0" w:line="240" w:lineRule="auto"/>
        <w:rPr>
          <w:sz w:val="18"/>
          <w:szCs w:val="18"/>
        </w:rPr>
      </w:pPr>
      <w:r w:rsidRPr="003E3B90">
        <w:rPr>
          <w:sz w:val="18"/>
          <w:szCs w:val="18"/>
          <w:vertAlign w:val="superscript"/>
        </w:rPr>
        <w:footnoteRef/>
      </w:r>
      <w:r w:rsidRPr="003E3B90">
        <w:rPr>
          <w:sz w:val="18"/>
          <w:szCs w:val="18"/>
        </w:rPr>
        <w:t xml:space="preserve"> Advani </w:t>
      </w:r>
      <w:r>
        <w:rPr>
          <w:sz w:val="18"/>
          <w:szCs w:val="18"/>
        </w:rPr>
        <w:t xml:space="preserve">A </w:t>
      </w:r>
      <w:r w:rsidRPr="003E3B90">
        <w:rPr>
          <w:sz w:val="18"/>
          <w:szCs w:val="18"/>
        </w:rPr>
        <w:t>2013</w:t>
      </w:r>
      <w:r w:rsidRPr="00CD6E84">
        <w:rPr>
          <w:sz w:val="18"/>
          <w:szCs w:val="18"/>
        </w:rPr>
        <w:t xml:space="preserve"> New immune strategies for the t</w:t>
      </w:r>
      <w:r>
        <w:rPr>
          <w:sz w:val="18"/>
          <w:szCs w:val="18"/>
        </w:rPr>
        <w:t xml:space="preserve">reatment of acute lymphoblastic </w:t>
      </w:r>
      <w:r w:rsidRPr="00CD6E84">
        <w:rPr>
          <w:sz w:val="18"/>
          <w:szCs w:val="18"/>
        </w:rPr>
        <w:t xml:space="preserve">leukemia: antibodies and chimeric antigen receptors. </w:t>
      </w:r>
      <w:r w:rsidRPr="00CD6E84">
        <w:rPr>
          <w:i/>
          <w:sz w:val="18"/>
          <w:szCs w:val="18"/>
        </w:rPr>
        <w:t>Hematology Am Soc Hematol Educ Program</w:t>
      </w:r>
      <w:r w:rsidRPr="00CD6E84">
        <w:rPr>
          <w:sz w:val="18"/>
          <w:szCs w:val="18"/>
        </w:rPr>
        <w:t>. 2013:131-7</w:t>
      </w:r>
    </w:p>
  </w:footnote>
  <w:footnote w:id="4">
    <w:p w14:paraId="219FC7EC" w14:textId="00E4DA36" w:rsidR="006B652D" w:rsidRPr="00CD6E84" w:rsidRDefault="006B652D" w:rsidP="00CD6E84">
      <w:pPr>
        <w:autoSpaceDE w:val="0"/>
        <w:autoSpaceDN w:val="0"/>
        <w:adjustRightInd w:val="0"/>
        <w:spacing w:before="0" w:after="0" w:line="240" w:lineRule="auto"/>
        <w:rPr>
          <w:sz w:val="18"/>
          <w:szCs w:val="18"/>
        </w:rPr>
      </w:pPr>
      <w:r w:rsidRPr="003E3B90">
        <w:rPr>
          <w:sz w:val="18"/>
          <w:szCs w:val="18"/>
          <w:vertAlign w:val="superscript"/>
        </w:rPr>
        <w:footnoteRef/>
      </w:r>
      <w:r w:rsidRPr="003E3B90">
        <w:rPr>
          <w:sz w:val="18"/>
          <w:szCs w:val="18"/>
        </w:rPr>
        <w:t xml:space="preserve"> Gisselbrecht et al, 2010</w:t>
      </w:r>
      <w:r w:rsidRPr="00CD6E84">
        <w:rPr>
          <w:sz w:val="18"/>
          <w:szCs w:val="18"/>
        </w:rPr>
        <w:t xml:space="preserve"> Salvage regimens with autologous transplantation for relapsed large B-cell lymphoma in the rituximab era</w:t>
      </w:r>
      <w:r w:rsidRPr="00CD6E84">
        <w:rPr>
          <w:i/>
          <w:sz w:val="18"/>
          <w:szCs w:val="18"/>
        </w:rPr>
        <w:t>. J Clin Oncol.</w:t>
      </w:r>
      <w:r>
        <w:rPr>
          <w:sz w:val="18"/>
          <w:szCs w:val="18"/>
        </w:rPr>
        <w:t xml:space="preserve"> 2010; 28 </w:t>
      </w:r>
      <w:r w:rsidRPr="00CD6E84">
        <w:rPr>
          <w:sz w:val="18"/>
          <w:szCs w:val="18"/>
        </w:rPr>
        <w:t>:4184-4190</w:t>
      </w:r>
    </w:p>
  </w:footnote>
  <w:footnote w:id="5">
    <w:p w14:paraId="07DAF6F1" w14:textId="385BEE11" w:rsidR="006B652D" w:rsidRPr="002D3EBB" w:rsidRDefault="006B652D" w:rsidP="002D3EBB">
      <w:pPr>
        <w:pStyle w:val="FootnoteText"/>
        <w:rPr>
          <w:sz w:val="18"/>
          <w:szCs w:val="18"/>
        </w:rPr>
      </w:pPr>
      <w:r w:rsidRPr="002D3EBB">
        <w:rPr>
          <w:rStyle w:val="FootnoteReference"/>
          <w:sz w:val="18"/>
          <w:szCs w:val="18"/>
        </w:rPr>
        <w:footnoteRef/>
      </w:r>
      <w:r w:rsidRPr="002D3EBB">
        <w:rPr>
          <w:sz w:val="18"/>
          <w:szCs w:val="18"/>
        </w:rPr>
        <w:t xml:space="preserve"> Kantarjian H, Thomas D, Ravandi F, et al. Defining the course and prognosis of adults</w:t>
      </w:r>
      <w:r>
        <w:rPr>
          <w:sz w:val="18"/>
          <w:szCs w:val="18"/>
        </w:rPr>
        <w:t xml:space="preserve"> </w:t>
      </w:r>
      <w:r w:rsidRPr="002D3EBB">
        <w:rPr>
          <w:sz w:val="18"/>
          <w:szCs w:val="18"/>
        </w:rPr>
        <w:t>with acute lymphocytic leukemia in first salvage after i</w:t>
      </w:r>
      <w:r>
        <w:rPr>
          <w:sz w:val="18"/>
          <w:szCs w:val="18"/>
        </w:rPr>
        <w:t xml:space="preserve">nduction failure or short first </w:t>
      </w:r>
      <w:r w:rsidRPr="002D3EBB">
        <w:rPr>
          <w:sz w:val="18"/>
          <w:szCs w:val="18"/>
        </w:rPr>
        <w:t xml:space="preserve">remission duration. </w:t>
      </w:r>
      <w:r w:rsidRPr="002D3EBB">
        <w:rPr>
          <w:rFonts w:asciiTheme="minorHAnsi" w:hAnsiTheme="minorHAnsi" w:cs="Arial,Italic"/>
          <w:i/>
          <w:iCs/>
          <w:sz w:val="18"/>
          <w:szCs w:val="18"/>
        </w:rPr>
        <w:t>Cancer</w:t>
      </w:r>
      <w:r w:rsidRPr="002D3EBB">
        <w:rPr>
          <w:rFonts w:asciiTheme="minorHAnsi" w:hAnsiTheme="minorHAnsi"/>
          <w:sz w:val="18"/>
          <w:szCs w:val="18"/>
        </w:rPr>
        <w:t>.</w:t>
      </w:r>
      <w:r w:rsidRPr="002D3EBB">
        <w:rPr>
          <w:sz w:val="18"/>
          <w:szCs w:val="18"/>
        </w:rPr>
        <w:t xml:space="preserve"> 2010;116:5568-5574</w:t>
      </w:r>
    </w:p>
  </w:footnote>
  <w:footnote w:id="6">
    <w:p w14:paraId="32F16F83" w14:textId="499B5BDB" w:rsidR="006B652D" w:rsidRPr="002D3EBB" w:rsidRDefault="006B652D">
      <w:pPr>
        <w:pStyle w:val="FootnoteText"/>
        <w:rPr>
          <w:lang w:val="en-US"/>
        </w:rPr>
      </w:pPr>
      <w:r w:rsidRPr="002D3EBB">
        <w:rPr>
          <w:rStyle w:val="FootnoteReference"/>
          <w:sz w:val="18"/>
          <w:szCs w:val="18"/>
        </w:rPr>
        <w:footnoteRef/>
      </w:r>
      <w:r w:rsidRPr="002D3EBB">
        <w:rPr>
          <w:sz w:val="18"/>
          <w:szCs w:val="18"/>
        </w:rPr>
        <w:t xml:space="preserve"> Gökbuget N, et al. Outcome of relapsed adult lymphoblastic leukemia</w:t>
      </w:r>
      <w:r>
        <w:rPr>
          <w:sz w:val="18"/>
          <w:szCs w:val="18"/>
        </w:rPr>
        <w:t xml:space="preserve"> </w:t>
      </w:r>
      <w:r w:rsidRPr="002D3EBB">
        <w:rPr>
          <w:sz w:val="18"/>
          <w:szCs w:val="18"/>
        </w:rPr>
        <w:t>depends on response to salvage chemotherapy, progno</w:t>
      </w:r>
      <w:r>
        <w:rPr>
          <w:sz w:val="18"/>
          <w:szCs w:val="18"/>
        </w:rPr>
        <w:t xml:space="preserve">stic factors and performance of </w:t>
      </w:r>
      <w:r w:rsidRPr="002D3EBB">
        <w:rPr>
          <w:sz w:val="18"/>
          <w:szCs w:val="18"/>
        </w:rPr>
        <w:t xml:space="preserve">stem cell transplantation. </w:t>
      </w:r>
      <w:r w:rsidRPr="002D3EBB">
        <w:rPr>
          <w:rFonts w:asciiTheme="minorHAnsi" w:hAnsiTheme="minorHAnsi" w:cs="Arial,Italic"/>
          <w:i/>
          <w:iCs/>
          <w:sz w:val="18"/>
          <w:szCs w:val="18"/>
        </w:rPr>
        <w:t>Blood</w:t>
      </w:r>
      <w:r w:rsidRPr="002D3EBB">
        <w:rPr>
          <w:rFonts w:asciiTheme="minorHAnsi" w:hAnsiTheme="minorHAnsi"/>
          <w:sz w:val="18"/>
          <w:szCs w:val="18"/>
        </w:rPr>
        <w:t>.</w:t>
      </w:r>
      <w:r w:rsidRPr="002D3EBB">
        <w:rPr>
          <w:sz w:val="18"/>
          <w:szCs w:val="18"/>
        </w:rPr>
        <w:t xml:space="preserve"> 2012;120</w:t>
      </w:r>
      <w:r>
        <w:rPr>
          <w:sz w:val="18"/>
          <w:szCs w:val="18"/>
        </w:rPr>
        <w:t xml:space="preserve">: </w:t>
      </w:r>
      <w:r w:rsidRPr="002D3EBB">
        <w:rPr>
          <w:sz w:val="18"/>
          <w:szCs w:val="18"/>
        </w:rPr>
        <w:t>2032-204</w:t>
      </w:r>
      <w:r>
        <w:rPr>
          <w:sz w:val="18"/>
          <w:szCs w:val="18"/>
        </w:rP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815FA" w14:textId="77777777" w:rsidR="006B652D" w:rsidRDefault="006B652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A5233" w14:textId="77777777" w:rsidR="006B652D" w:rsidRDefault="006B652D">
    <w:pPr>
      <w:rPr>
        <w:noProof/>
        <w:lang w:eastAsia="en-AU"/>
      </w:rPr>
    </w:pPr>
    <w:r w:rsidRPr="002D545C">
      <w:rPr>
        <w:noProof/>
        <w:lang w:eastAsia="en-AU"/>
      </w:rPr>
      <w:drawing>
        <wp:anchor distT="0" distB="0" distL="114300" distR="114300" simplePos="0" relativeHeight="251659264" behindDoc="1" locked="0" layoutInCell="1" allowOverlap="1" wp14:anchorId="2FF4F0E1" wp14:editId="62C9AF1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1B02B5F" w14:textId="59C09773" w:rsidR="006B652D" w:rsidRDefault="006B652D"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AB0FD" w14:textId="77777777" w:rsidR="006B652D" w:rsidRDefault="006B65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7A1B8" w14:textId="77777777" w:rsidR="006B652D" w:rsidRDefault="006B652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74768" w14:textId="77777777" w:rsidR="006B652D" w:rsidRDefault="006B652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0BEDA" w14:textId="77777777" w:rsidR="006B652D" w:rsidRDefault="006B652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AF49B" w14:textId="77777777" w:rsidR="006B652D" w:rsidRDefault="006B652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D6455" w14:textId="77777777" w:rsidR="006B652D" w:rsidRDefault="006B652D" w:rsidP="006E08B3">
    <w:r>
      <w:t>Therapeutic Goods Administration</w:t>
    </w:r>
  </w:p>
  <w:p w14:paraId="5B4EF402" w14:textId="77777777" w:rsidR="006B652D" w:rsidRDefault="006B652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
    <w:nsid w:val="34457872"/>
    <w:multiLevelType w:val="hybridMultilevel"/>
    <w:tmpl w:val="80E8C26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BEC0F6B"/>
    <w:multiLevelType w:val="hybridMultilevel"/>
    <w:tmpl w:val="5B36AA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3526C8"/>
    <w:multiLevelType w:val="hybridMultilevel"/>
    <w:tmpl w:val="F67C9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35B4F67"/>
    <w:multiLevelType w:val="hybridMultilevel"/>
    <w:tmpl w:val="E272D9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904661A"/>
    <w:multiLevelType w:val="hybridMultilevel"/>
    <w:tmpl w:val="886E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539A7E88"/>
    <w:multiLevelType w:val="hybridMultilevel"/>
    <w:tmpl w:val="ECE6D2C4"/>
    <w:lvl w:ilvl="0" w:tplc="2E5A8E50">
      <w:numFmt w:val="bullet"/>
      <w:lvlText w:val="-"/>
      <w:lvlJc w:val="left"/>
      <w:pPr>
        <w:tabs>
          <w:tab w:val="num" w:pos="284"/>
        </w:tabs>
        <w:ind w:left="284" w:hanging="284"/>
      </w:pPr>
      <w:rPr>
        <w:rFonts w:ascii="Cambria" w:eastAsia="Times New Roman" w:hAnsi="Cambria"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584466D6"/>
    <w:multiLevelType w:val="hybridMultilevel"/>
    <w:tmpl w:val="EE5E47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FAA3756"/>
    <w:multiLevelType w:val="hybridMultilevel"/>
    <w:tmpl w:val="468256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A9A56F3"/>
    <w:multiLevelType w:val="hybridMultilevel"/>
    <w:tmpl w:val="D5EAF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4192739"/>
    <w:multiLevelType w:val="hybridMultilevel"/>
    <w:tmpl w:val="E3EC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730199"/>
    <w:multiLevelType w:val="hybridMultilevel"/>
    <w:tmpl w:val="FD3ECC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CD95AF7"/>
    <w:multiLevelType w:val="hybridMultilevel"/>
    <w:tmpl w:val="0554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17"/>
  </w:num>
  <w:num w:numId="7">
    <w:abstractNumId w:val="3"/>
  </w:num>
  <w:num w:numId="8">
    <w:abstractNumId w:val="5"/>
  </w:num>
  <w:num w:numId="9">
    <w:abstractNumId w:val="0"/>
  </w:num>
  <w:num w:numId="10">
    <w:abstractNumId w:val="14"/>
  </w:num>
  <w:num w:numId="11">
    <w:abstractNumId w:val="10"/>
  </w:num>
  <w:num w:numId="12">
    <w:abstractNumId w:val="15"/>
  </w:num>
  <w:num w:numId="13">
    <w:abstractNumId w:val="11"/>
  </w:num>
  <w:num w:numId="14">
    <w:abstractNumId w:val="7"/>
  </w:num>
  <w:num w:numId="15">
    <w:abstractNumId w:val="12"/>
  </w:num>
  <w:num w:numId="16">
    <w:abstractNumId w:val="13"/>
  </w:num>
  <w:num w:numId="17">
    <w:abstractNumId w:val="6"/>
  </w:num>
  <w:num w:numId="18">
    <w:abstractNumId w:val="19"/>
  </w:num>
  <w:num w:numId="19">
    <w:abstractNumId w:val="8"/>
  </w:num>
  <w:num w:numId="20">
    <w:abstractNumId w:val="18"/>
  </w:num>
  <w:num w:numId="21">
    <w:abstractNumId w:val="9"/>
  </w:num>
  <w:num w:numId="22">
    <w:abstractNumId w:val="20"/>
  </w:num>
  <w:num w:numId="23">
    <w:abstractNumId w:val="4"/>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299"/>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A5B"/>
    <w:rsid w:val="00000368"/>
    <w:rsid w:val="00002031"/>
    <w:rsid w:val="00004734"/>
    <w:rsid w:val="00006B22"/>
    <w:rsid w:val="0001276A"/>
    <w:rsid w:val="00023318"/>
    <w:rsid w:val="000246AE"/>
    <w:rsid w:val="00025C67"/>
    <w:rsid w:val="00026432"/>
    <w:rsid w:val="00040ACB"/>
    <w:rsid w:val="00044F04"/>
    <w:rsid w:val="000507F6"/>
    <w:rsid w:val="0005559E"/>
    <w:rsid w:val="00070E8B"/>
    <w:rsid w:val="0007374B"/>
    <w:rsid w:val="000741E7"/>
    <w:rsid w:val="0007655B"/>
    <w:rsid w:val="00076799"/>
    <w:rsid w:val="00077775"/>
    <w:rsid w:val="000822CC"/>
    <w:rsid w:val="00087EDC"/>
    <w:rsid w:val="00090471"/>
    <w:rsid w:val="00097B5E"/>
    <w:rsid w:val="000A024E"/>
    <w:rsid w:val="000A3AED"/>
    <w:rsid w:val="000A63AF"/>
    <w:rsid w:val="000B3532"/>
    <w:rsid w:val="000B3A75"/>
    <w:rsid w:val="000C35A2"/>
    <w:rsid w:val="000C690F"/>
    <w:rsid w:val="000D1295"/>
    <w:rsid w:val="000D391B"/>
    <w:rsid w:val="000D3BE7"/>
    <w:rsid w:val="000D3D6D"/>
    <w:rsid w:val="000D4FC7"/>
    <w:rsid w:val="000F02F9"/>
    <w:rsid w:val="000F2725"/>
    <w:rsid w:val="000F42DB"/>
    <w:rsid w:val="000F4869"/>
    <w:rsid w:val="000F5B42"/>
    <w:rsid w:val="000F6E6F"/>
    <w:rsid w:val="000F6EB2"/>
    <w:rsid w:val="0010193C"/>
    <w:rsid w:val="00104613"/>
    <w:rsid w:val="0010601F"/>
    <w:rsid w:val="0010788A"/>
    <w:rsid w:val="00107A31"/>
    <w:rsid w:val="00110EA5"/>
    <w:rsid w:val="00112F56"/>
    <w:rsid w:val="00113DF8"/>
    <w:rsid w:val="00116659"/>
    <w:rsid w:val="00117AA2"/>
    <w:rsid w:val="00125318"/>
    <w:rsid w:val="001305A2"/>
    <w:rsid w:val="00133238"/>
    <w:rsid w:val="0014197B"/>
    <w:rsid w:val="001447CD"/>
    <w:rsid w:val="00147E56"/>
    <w:rsid w:val="001516B1"/>
    <w:rsid w:val="00154EBB"/>
    <w:rsid w:val="00156316"/>
    <w:rsid w:val="00165389"/>
    <w:rsid w:val="0017078F"/>
    <w:rsid w:val="0017693F"/>
    <w:rsid w:val="0018110E"/>
    <w:rsid w:val="00181684"/>
    <w:rsid w:val="00181C3A"/>
    <w:rsid w:val="001839C3"/>
    <w:rsid w:val="001843C6"/>
    <w:rsid w:val="001850E0"/>
    <w:rsid w:val="0018721C"/>
    <w:rsid w:val="00195643"/>
    <w:rsid w:val="0019795D"/>
    <w:rsid w:val="00197F80"/>
    <w:rsid w:val="001A2158"/>
    <w:rsid w:val="001A525F"/>
    <w:rsid w:val="001B09F9"/>
    <w:rsid w:val="001B2774"/>
    <w:rsid w:val="001B5D98"/>
    <w:rsid w:val="001B6448"/>
    <w:rsid w:val="001C1BB6"/>
    <w:rsid w:val="001C657B"/>
    <w:rsid w:val="001C73D6"/>
    <w:rsid w:val="001D4399"/>
    <w:rsid w:val="001E07CF"/>
    <w:rsid w:val="001E2833"/>
    <w:rsid w:val="001E59F1"/>
    <w:rsid w:val="001F1326"/>
    <w:rsid w:val="001F497A"/>
    <w:rsid w:val="001F49EB"/>
    <w:rsid w:val="001F6CBA"/>
    <w:rsid w:val="00201D4E"/>
    <w:rsid w:val="002076C9"/>
    <w:rsid w:val="002079D9"/>
    <w:rsid w:val="00215AEF"/>
    <w:rsid w:val="00220B8A"/>
    <w:rsid w:val="002257F3"/>
    <w:rsid w:val="002308F6"/>
    <w:rsid w:val="00231816"/>
    <w:rsid w:val="00233456"/>
    <w:rsid w:val="002339A5"/>
    <w:rsid w:val="00233FF5"/>
    <w:rsid w:val="00257848"/>
    <w:rsid w:val="002666AC"/>
    <w:rsid w:val="0027084A"/>
    <w:rsid w:val="00276AC0"/>
    <w:rsid w:val="0028034A"/>
    <w:rsid w:val="002833D5"/>
    <w:rsid w:val="00286434"/>
    <w:rsid w:val="00286C59"/>
    <w:rsid w:val="00292113"/>
    <w:rsid w:val="002942D1"/>
    <w:rsid w:val="0029501A"/>
    <w:rsid w:val="002B1638"/>
    <w:rsid w:val="002B779F"/>
    <w:rsid w:val="002C2FB2"/>
    <w:rsid w:val="002C4366"/>
    <w:rsid w:val="002C63ED"/>
    <w:rsid w:val="002D00ED"/>
    <w:rsid w:val="002D32DD"/>
    <w:rsid w:val="002D3EBB"/>
    <w:rsid w:val="002D545C"/>
    <w:rsid w:val="002D6161"/>
    <w:rsid w:val="002E2E35"/>
    <w:rsid w:val="002E37A6"/>
    <w:rsid w:val="002E4C9A"/>
    <w:rsid w:val="002E6E3E"/>
    <w:rsid w:val="002F11F8"/>
    <w:rsid w:val="002F3F56"/>
    <w:rsid w:val="002F44B5"/>
    <w:rsid w:val="00311176"/>
    <w:rsid w:val="00311AC0"/>
    <w:rsid w:val="0032583B"/>
    <w:rsid w:val="00325EED"/>
    <w:rsid w:val="00327883"/>
    <w:rsid w:val="00335504"/>
    <w:rsid w:val="00341604"/>
    <w:rsid w:val="003442FE"/>
    <w:rsid w:val="003521E8"/>
    <w:rsid w:val="00371D89"/>
    <w:rsid w:val="003728F3"/>
    <w:rsid w:val="0037496E"/>
    <w:rsid w:val="00375CAE"/>
    <w:rsid w:val="0037623D"/>
    <w:rsid w:val="00386150"/>
    <w:rsid w:val="003874CE"/>
    <w:rsid w:val="00390900"/>
    <w:rsid w:val="00396C92"/>
    <w:rsid w:val="003A7F6C"/>
    <w:rsid w:val="003B1113"/>
    <w:rsid w:val="003B3EB1"/>
    <w:rsid w:val="003B4D60"/>
    <w:rsid w:val="003B634F"/>
    <w:rsid w:val="003B7E39"/>
    <w:rsid w:val="003C58DC"/>
    <w:rsid w:val="003C715A"/>
    <w:rsid w:val="003D0128"/>
    <w:rsid w:val="003D0A3B"/>
    <w:rsid w:val="003D1E62"/>
    <w:rsid w:val="003D3C3C"/>
    <w:rsid w:val="003D7B9C"/>
    <w:rsid w:val="003E2486"/>
    <w:rsid w:val="003E3208"/>
    <w:rsid w:val="003E3B90"/>
    <w:rsid w:val="003F0B04"/>
    <w:rsid w:val="003F1165"/>
    <w:rsid w:val="0040134E"/>
    <w:rsid w:val="00403F0E"/>
    <w:rsid w:val="00415A7A"/>
    <w:rsid w:val="00415D59"/>
    <w:rsid w:val="00423768"/>
    <w:rsid w:val="00425634"/>
    <w:rsid w:val="00425923"/>
    <w:rsid w:val="004322BB"/>
    <w:rsid w:val="00432724"/>
    <w:rsid w:val="00435783"/>
    <w:rsid w:val="0043797D"/>
    <w:rsid w:val="00440A2D"/>
    <w:rsid w:val="00443EC5"/>
    <w:rsid w:val="00444CDE"/>
    <w:rsid w:val="004564A7"/>
    <w:rsid w:val="004617BF"/>
    <w:rsid w:val="0046212E"/>
    <w:rsid w:val="00463658"/>
    <w:rsid w:val="00466B03"/>
    <w:rsid w:val="004722CC"/>
    <w:rsid w:val="00475667"/>
    <w:rsid w:val="004846EE"/>
    <w:rsid w:val="004936E4"/>
    <w:rsid w:val="00494E60"/>
    <w:rsid w:val="00495D8F"/>
    <w:rsid w:val="00497487"/>
    <w:rsid w:val="004A2D56"/>
    <w:rsid w:val="004A7E13"/>
    <w:rsid w:val="004B6394"/>
    <w:rsid w:val="004B7B76"/>
    <w:rsid w:val="004C2DCA"/>
    <w:rsid w:val="004E0E6B"/>
    <w:rsid w:val="004E54A1"/>
    <w:rsid w:val="004E73A0"/>
    <w:rsid w:val="004F0F38"/>
    <w:rsid w:val="004F42CF"/>
    <w:rsid w:val="004F4AF5"/>
    <w:rsid w:val="00501921"/>
    <w:rsid w:val="00501D67"/>
    <w:rsid w:val="00515899"/>
    <w:rsid w:val="00523069"/>
    <w:rsid w:val="005241B4"/>
    <w:rsid w:val="0052498A"/>
    <w:rsid w:val="00530354"/>
    <w:rsid w:val="005314B1"/>
    <w:rsid w:val="0053625B"/>
    <w:rsid w:val="00541EDC"/>
    <w:rsid w:val="005434C6"/>
    <w:rsid w:val="00543B39"/>
    <w:rsid w:val="00544EA6"/>
    <w:rsid w:val="00550096"/>
    <w:rsid w:val="00553203"/>
    <w:rsid w:val="00557FF9"/>
    <w:rsid w:val="00575CB4"/>
    <w:rsid w:val="00576378"/>
    <w:rsid w:val="0057749C"/>
    <w:rsid w:val="00577945"/>
    <w:rsid w:val="00577E38"/>
    <w:rsid w:val="0058382E"/>
    <w:rsid w:val="00585322"/>
    <w:rsid w:val="005857C6"/>
    <w:rsid w:val="005865B7"/>
    <w:rsid w:val="00586C19"/>
    <w:rsid w:val="00586F98"/>
    <w:rsid w:val="00592F6E"/>
    <w:rsid w:val="00593AD1"/>
    <w:rsid w:val="005A41C2"/>
    <w:rsid w:val="005A44E3"/>
    <w:rsid w:val="005A68B6"/>
    <w:rsid w:val="005B0CFF"/>
    <w:rsid w:val="005B18B5"/>
    <w:rsid w:val="005C1696"/>
    <w:rsid w:val="005C2644"/>
    <w:rsid w:val="005C5570"/>
    <w:rsid w:val="005C5D15"/>
    <w:rsid w:val="005C79A4"/>
    <w:rsid w:val="005C7CDA"/>
    <w:rsid w:val="005D5442"/>
    <w:rsid w:val="005E5C58"/>
    <w:rsid w:val="00603F32"/>
    <w:rsid w:val="0061377F"/>
    <w:rsid w:val="00614E90"/>
    <w:rsid w:val="006167D0"/>
    <w:rsid w:val="006170F0"/>
    <w:rsid w:val="00620406"/>
    <w:rsid w:val="00624E5D"/>
    <w:rsid w:val="00632398"/>
    <w:rsid w:val="00640FC3"/>
    <w:rsid w:val="00642020"/>
    <w:rsid w:val="00646206"/>
    <w:rsid w:val="00647714"/>
    <w:rsid w:val="00650681"/>
    <w:rsid w:val="00652C04"/>
    <w:rsid w:val="0065337B"/>
    <w:rsid w:val="0065419D"/>
    <w:rsid w:val="006604D8"/>
    <w:rsid w:val="00660E55"/>
    <w:rsid w:val="00664A5B"/>
    <w:rsid w:val="006763D2"/>
    <w:rsid w:val="00680C08"/>
    <w:rsid w:val="00684201"/>
    <w:rsid w:val="00686A5B"/>
    <w:rsid w:val="006931B1"/>
    <w:rsid w:val="006A15C0"/>
    <w:rsid w:val="006A3B04"/>
    <w:rsid w:val="006B25EA"/>
    <w:rsid w:val="006B3B14"/>
    <w:rsid w:val="006B4C50"/>
    <w:rsid w:val="006B652D"/>
    <w:rsid w:val="006C130C"/>
    <w:rsid w:val="006C3E2A"/>
    <w:rsid w:val="006C3F16"/>
    <w:rsid w:val="006C642F"/>
    <w:rsid w:val="006C667A"/>
    <w:rsid w:val="006D03E5"/>
    <w:rsid w:val="006D2941"/>
    <w:rsid w:val="006D5D3E"/>
    <w:rsid w:val="006D7721"/>
    <w:rsid w:val="006E08B3"/>
    <w:rsid w:val="006F0580"/>
    <w:rsid w:val="006F17AC"/>
    <w:rsid w:val="006F1D37"/>
    <w:rsid w:val="006F26D0"/>
    <w:rsid w:val="006F2796"/>
    <w:rsid w:val="006F5454"/>
    <w:rsid w:val="006F572E"/>
    <w:rsid w:val="007046D6"/>
    <w:rsid w:val="00705DB0"/>
    <w:rsid w:val="00706344"/>
    <w:rsid w:val="00713E55"/>
    <w:rsid w:val="00722B57"/>
    <w:rsid w:val="007254C4"/>
    <w:rsid w:val="00725E03"/>
    <w:rsid w:val="007369DC"/>
    <w:rsid w:val="0074253D"/>
    <w:rsid w:val="0074429B"/>
    <w:rsid w:val="0074774C"/>
    <w:rsid w:val="007513B4"/>
    <w:rsid w:val="007615BC"/>
    <w:rsid w:val="00762291"/>
    <w:rsid w:val="00762F05"/>
    <w:rsid w:val="007652FF"/>
    <w:rsid w:val="00770EF1"/>
    <w:rsid w:val="00773EF7"/>
    <w:rsid w:val="00774E1D"/>
    <w:rsid w:val="0077675A"/>
    <w:rsid w:val="00780355"/>
    <w:rsid w:val="00785721"/>
    <w:rsid w:val="00793A59"/>
    <w:rsid w:val="007A4611"/>
    <w:rsid w:val="007B270B"/>
    <w:rsid w:val="007B30C5"/>
    <w:rsid w:val="007B6E9F"/>
    <w:rsid w:val="007B7D09"/>
    <w:rsid w:val="007C1216"/>
    <w:rsid w:val="007C1AF7"/>
    <w:rsid w:val="007D46D6"/>
    <w:rsid w:val="007D6F35"/>
    <w:rsid w:val="007D7871"/>
    <w:rsid w:val="007E6E27"/>
    <w:rsid w:val="007F30CD"/>
    <w:rsid w:val="007F3E00"/>
    <w:rsid w:val="00803B89"/>
    <w:rsid w:val="00805D27"/>
    <w:rsid w:val="00807AAB"/>
    <w:rsid w:val="00821776"/>
    <w:rsid w:val="008321F5"/>
    <w:rsid w:val="00832369"/>
    <w:rsid w:val="0083460F"/>
    <w:rsid w:val="00834660"/>
    <w:rsid w:val="00834B3C"/>
    <w:rsid w:val="00836BC2"/>
    <w:rsid w:val="00836E5E"/>
    <w:rsid w:val="008414A0"/>
    <w:rsid w:val="00851DE3"/>
    <w:rsid w:val="0085641B"/>
    <w:rsid w:val="00857136"/>
    <w:rsid w:val="00857A12"/>
    <w:rsid w:val="00867C77"/>
    <w:rsid w:val="008806D3"/>
    <w:rsid w:val="00883F00"/>
    <w:rsid w:val="00886D15"/>
    <w:rsid w:val="00887DC3"/>
    <w:rsid w:val="00887DD8"/>
    <w:rsid w:val="00896018"/>
    <w:rsid w:val="008960DD"/>
    <w:rsid w:val="0089635C"/>
    <w:rsid w:val="008A2B9D"/>
    <w:rsid w:val="008A3C13"/>
    <w:rsid w:val="008A5E0B"/>
    <w:rsid w:val="008A6D59"/>
    <w:rsid w:val="008B4B03"/>
    <w:rsid w:val="008B596F"/>
    <w:rsid w:val="008B5A3E"/>
    <w:rsid w:val="008C0C0C"/>
    <w:rsid w:val="008C159F"/>
    <w:rsid w:val="008C1623"/>
    <w:rsid w:val="008C1850"/>
    <w:rsid w:val="008C5107"/>
    <w:rsid w:val="008C51A9"/>
    <w:rsid w:val="008D770F"/>
    <w:rsid w:val="008D7B39"/>
    <w:rsid w:val="008E7846"/>
    <w:rsid w:val="008F1CCC"/>
    <w:rsid w:val="008F1D60"/>
    <w:rsid w:val="008F2967"/>
    <w:rsid w:val="008F6943"/>
    <w:rsid w:val="008F69AF"/>
    <w:rsid w:val="00902A21"/>
    <w:rsid w:val="00902F99"/>
    <w:rsid w:val="00905A7F"/>
    <w:rsid w:val="00906445"/>
    <w:rsid w:val="00912BF3"/>
    <w:rsid w:val="00920330"/>
    <w:rsid w:val="009219D7"/>
    <w:rsid w:val="00922BE0"/>
    <w:rsid w:val="00922D53"/>
    <w:rsid w:val="00923B70"/>
    <w:rsid w:val="00924482"/>
    <w:rsid w:val="0092681B"/>
    <w:rsid w:val="00930237"/>
    <w:rsid w:val="0094134D"/>
    <w:rsid w:val="009438E8"/>
    <w:rsid w:val="00944138"/>
    <w:rsid w:val="0094614A"/>
    <w:rsid w:val="00946EA5"/>
    <w:rsid w:val="00950181"/>
    <w:rsid w:val="0095160F"/>
    <w:rsid w:val="00963C08"/>
    <w:rsid w:val="00972AFE"/>
    <w:rsid w:val="00977804"/>
    <w:rsid w:val="00981D66"/>
    <w:rsid w:val="009823EA"/>
    <w:rsid w:val="0098585A"/>
    <w:rsid w:val="0098669D"/>
    <w:rsid w:val="00994C95"/>
    <w:rsid w:val="009A4CED"/>
    <w:rsid w:val="009A690D"/>
    <w:rsid w:val="009A7E56"/>
    <w:rsid w:val="009B1D12"/>
    <w:rsid w:val="009B3DAD"/>
    <w:rsid w:val="009B416B"/>
    <w:rsid w:val="009B7A8E"/>
    <w:rsid w:val="009C4BD5"/>
    <w:rsid w:val="009C5BF5"/>
    <w:rsid w:val="009D51B4"/>
    <w:rsid w:val="009D7B77"/>
    <w:rsid w:val="009E0BB0"/>
    <w:rsid w:val="009E1825"/>
    <w:rsid w:val="009E3FBB"/>
    <w:rsid w:val="00A03498"/>
    <w:rsid w:val="00A05DDB"/>
    <w:rsid w:val="00A102E4"/>
    <w:rsid w:val="00A12C42"/>
    <w:rsid w:val="00A13978"/>
    <w:rsid w:val="00A14DF7"/>
    <w:rsid w:val="00A235D9"/>
    <w:rsid w:val="00A3246D"/>
    <w:rsid w:val="00A34A7B"/>
    <w:rsid w:val="00A36FA7"/>
    <w:rsid w:val="00A4402B"/>
    <w:rsid w:val="00A475B7"/>
    <w:rsid w:val="00A47AF7"/>
    <w:rsid w:val="00A47C3E"/>
    <w:rsid w:val="00A50226"/>
    <w:rsid w:val="00A50C6C"/>
    <w:rsid w:val="00A519D3"/>
    <w:rsid w:val="00A60BAD"/>
    <w:rsid w:val="00A7727F"/>
    <w:rsid w:val="00A923F9"/>
    <w:rsid w:val="00A964D1"/>
    <w:rsid w:val="00A972DD"/>
    <w:rsid w:val="00AA0ED0"/>
    <w:rsid w:val="00AA3499"/>
    <w:rsid w:val="00AC2B40"/>
    <w:rsid w:val="00AC2BB2"/>
    <w:rsid w:val="00AC2C3C"/>
    <w:rsid w:val="00AC4F8B"/>
    <w:rsid w:val="00AC512D"/>
    <w:rsid w:val="00AD0B6F"/>
    <w:rsid w:val="00AE01C2"/>
    <w:rsid w:val="00AE4C33"/>
    <w:rsid w:val="00AE65EB"/>
    <w:rsid w:val="00AE67A7"/>
    <w:rsid w:val="00AF1A0A"/>
    <w:rsid w:val="00AF1D94"/>
    <w:rsid w:val="00AF60C5"/>
    <w:rsid w:val="00AF6AB5"/>
    <w:rsid w:val="00B009C6"/>
    <w:rsid w:val="00B01548"/>
    <w:rsid w:val="00B02208"/>
    <w:rsid w:val="00B05349"/>
    <w:rsid w:val="00B1425E"/>
    <w:rsid w:val="00B17FC1"/>
    <w:rsid w:val="00B21D29"/>
    <w:rsid w:val="00B25034"/>
    <w:rsid w:val="00B275F4"/>
    <w:rsid w:val="00B30446"/>
    <w:rsid w:val="00B33588"/>
    <w:rsid w:val="00B33863"/>
    <w:rsid w:val="00B3567E"/>
    <w:rsid w:val="00B37D17"/>
    <w:rsid w:val="00B4175E"/>
    <w:rsid w:val="00B452CE"/>
    <w:rsid w:val="00B54C25"/>
    <w:rsid w:val="00B601EC"/>
    <w:rsid w:val="00B62C02"/>
    <w:rsid w:val="00B67A83"/>
    <w:rsid w:val="00B76B91"/>
    <w:rsid w:val="00B77E06"/>
    <w:rsid w:val="00B77EB1"/>
    <w:rsid w:val="00B811C6"/>
    <w:rsid w:val="00B82B39"/>
    <w:rsid w:val="00B85A87"/>
    <w:rsid w:val="00B92E08"/>
    <w:rsid w:val="00B96EBE"/>
    <w:rsid w:val="00BA262E"/>
    <w:rsid w:val="00BA3485"/>
    <w:rsid w:val="00BA7711"/>
    <w:rsid w:val="00BB1431"/>
    <w:rsid w:val="00BB4A97"/>
    <w:rsid w:val="00BC4BB5"/>
    <w:rsid w:val="00BC622A"/>
    <w:rsid w:val="00BD0D21"/>
    <w:rsid w:val="00BD45E3"/>
    <w:rsid w:val="00BE0A78"/>
    <w:rsid w:val="00BE1EDE"/>
    <w:rsid w:val="00BE32A6"/>
    <w:rsid w:val="00BE6252"/>
    <w:rsid w:val="00BE79F0"/>
    <w:rsid w:val="00BF046D"/>
    <w:rsid w:val="00BF1190"/>
    <w:rsid w:val="00BF465B"/>
    <w:rsid w:val="00BF5D04"/>
    <w:rsid w:val="00C1020E"/>
    <w:rsid w:val="00C1164D"/>
    <w:rsid w:val="00C137CE"/>
    <w:rsid w:val="00C16861"/>
    <w:rsid w:val="00C16899"/>
    <w:rsid w:val="00C22678"/>
    <w:rsid w:val="00C25609"/>
    <w:rsid w:val="00C279C4"/>
    <w:rsid w:val="00C3708C"/>
    <w:rsid w:val="00C404A6"/>
    <w:rsid w:val="00C40A36"/>
    <w:rsid w:val="00C44419"/>
    <w:rsid w:val="00C45E7B"/>
    <w:rsid w:val="00C4625F"/>
    <w:rsid w:val="00C471B1"/>
    <w:rsid w:val="00C479E8"/>
    <w:rsid w:val="00C50582"/>
    <w:rsid w:val="00C618F7"/>
    <w:rsid w:val="00C622F2"/>
    <w:rsid w:val="00C6316B"/>
    <w:rsid w:val="00C634A9"/>
    <w:rsid w:val="00C64586"/>
    <w:rsid w:val="00C70D53"/>
    <w:rsid w:val="00C73D0B"/>
    <w:rsid w:val="00C74E53"/>
    <w:rsid w:val="00C772FF"/>
    <w:rsid w:val="00C801AF"/>
    <w:rsid w:val="00C80256"/>
    <w:rsid w:val="00C811C0"/>
    <w:rsid w:val="00C82A7D"/>
    <w:rsid w:val="00C955E3"/>
    <w:rsid w:val="00C976DB"/>
    <w:rsid w:val="00CA07E8"/>
    <w:rsid w:val="00CB21D3"/>
    <w:rsid w:val="00CB6BC0"/>
    <w:rsid w:val="00CC1B7C"/>
    <w:rsid w:val="00CC727F"/>
    <w:rsid w:val="00CD2DA9"/>
    <w:rsid w:val="00CD2E42"/>
    <w:rsid w:val="00CD670C"/>
    <w:rsid w:val="00CD6E84"/>
    <w:rsid w:val="00CF15C3"/>
    <w:rsid w:val="00CF1CCA"/>
    <w:rsid w:val="00CF2B6F"/>
    <w:rsid w:val="00CF58B6"/>
    <w:rsid w:val="00D017ED"/>
    <w:rsid w:val="00D01D18"/>
    <w:rsid w:val="00D040D3"/>
    <w:rsid w:val="00D04C65"/>
    <w:rsid w:val="00D224FE"/>
    <w:rsid w:val="00D25314"/>
    <w:rsid w:val="00D30E87"/>
    <w:rsid w:val="00D45512"/>
    <w:rsid w:val="00D45FFE"/>
    <w:rsid w:val="00D50F7E"/>
    <w:rsid w:val="00D53A31"/>
    <w:rsid w:val="00D6493E"/>
    <w:rsid w:val="00D7301E"/>
    <w:rsid w:val="00D83AE1"/>
    <w:rsid w:val="00D855D4"/>
    <w:rsid w:val="00D85843"/>
    <w:rsid w:val="00D87961"/>
    <w:rsid w:val="00D92B1E"/>
    <w:rsid w:val="00D93466"/>
    <w:rsid w:val="00D97E10"/>
    <w:rsid w:val="00DA1124"/>
    <w:rsid w:val="00DA5A1C"/>
    <w:rsid w:val="00DB175D"/>
    <w:rsid w:val="00DB4AD4"/>
    <w:rsid w:val="00DB50B7"/>
    <w:rsid w:val="00DB75B7"/>
    <w:rsid w:val="00DC156B"/>
    <w:rsid w:val="00DC2A7E"/>
    <w:rsid w:val="00DC6E02"/>
    <w:rsid w:val="00DE02AE"/>
    <w:rsid w:val="00DE0EC8"/>
    <w:rsid w:val="00DE403F"/>
    <w:rsid w:val="00DE5C4C"/>
    <w:rsid w:val="00DF1D7F"/>
    <w:rsid w:val="00DF4BE4"/>
    <w:rsid w:val="00DF6B20"/>
    <w:rsid w:val="00E02FB4"/>
    <w:rsid w:val="00E07F15"/>
    <w:rsid w:val="00E20571"/>
    <w:rsid w:val="00E235F7"/>
    <w:rsid w:val="00E23659"/>
    <w:rsid w:val="00E239D4"/>
    <w:rsid w:val="00E26130"/>
    <w:rsid w:val="00E26A40"/>
    <w:rsid w:val="00E27152"/>
    <w:rsid w:val="00E2741C"/>
    <w:rsid w:val="00E34B14"/>
    <w:rsid w:val="00E40B22"/>
    <w:rsid w:val="00E41BBC"/>
    <w:rsid w:val="00E45619"/>
    <w:rsid w:val="00E4588F"/>
    <w:rsid w:val="00E46DA3"/>
    <w:rsid w:val="00E47929"/>
    <w:rsid w:val="00E516A8"/>
    <w:rsid w:val="00E51BB1"/>
    <w:rsid w:val="00E624A5"/>
    <w:rsid w:val="00E7344E"/>
    <w:rsid w:val="00E76AF4"/>
    <w:rsid w:val="00E77B22"/>
    <w:rsid w:val="00E92AF4"/>
    <w:rsid w:val="00E936E3"/>
    <w:rsid w:val="00E970C0"/>
    <w:rsid w:val="00E979F4"/>
    <w:rsid w:val="00EB0798"/>
    <w:rsid w:val="00EB40AD"/>
    <w:rsid w:val="00EB586E"/>
    <w:rsid w:val="00EB5FC8"/>
    <w:rsid w:val="00EC2FF6"/>
    <w:rsid w:val="00EC39D5"/>
    <w:rsid w:val="00ED3CAD"/>
    <w:rsid w:val="00ED5A41"/>
    <w:rsid w:val="00EE1DE8"/>
    <w:rsid w:val="00EF5254"/>
    <w:rsid w:val="00F033EC"/>
    <w:rsid w:val="00F04F68"/>
    <w:rsid w:val="00F05046"/>
    <w:rsid w:val="00F12109"/>
    <w:rsid w:val="00F12670"/>
    <w:rsid w:val="00F12BF3"/>
    <w:rsid w:val="00F14B27"/>
    <w:rsid w:val="00F17403"/>
    <w:rsid w:val="00F20684"/>
    <w:rsid w:val="00F214D5"/>
    <w:rsid w:val="00F273C2"/>
    <w:rsid w:val="00F3148D"/>
    <w:rsid w:val="00F31F9F"/>
    <w:rsid w:val="00F325C5"/>
    <w:rsid w:val="00F32FE0"/>
    <w:rsid w:val="00F35298"/>
    <w:rsid w:val="00F37208"/>
    <w:rsid w:val="00F47333"/>
    <w:rsid w:val="00F47E37"/>
    <w:rsid w:val="00F53C07"/>
    <w:rsid w:val="00F54B65"/>
    <w:rsid w:val="00F57636"/>
    <w:rsid w:val="00F63A04"/>
    <w:rsid w:val="00F640B6"/>
    <w:rsid w:val="00F67A2F"/>
    <w:rsid w:val="00F71A24"/>
    <w:rsid w:val="00F80E40"/>
    <w:rsid w:val="00F843E0"/>
    <w:rsid w:val="00F848D9"/>
    <w:rsid w:val="00F85481"/>
    <w:rsid w:val="00F85729"/>
    <w:rsid w:val="00FA5B82"/>
    <w:rsid w:val="00FA5F21"/>
    <w:rsid w:val="00FA639E"/>
    <w:rsid w:val="00FB23F1"/>
    <w:rsid w:val="00FC25E4"/>
    <w:rsid w:val="00FC3781"/>
    <w:rsid w:val="00FC4EF7"/>
    <w:rsid w:val="00FD7CF2"/>
    <w:rsid w:val="00FE1DEE"/>
    <w:rsid w:val="00FE6E0B"/>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B43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B7D09"/>
    <w:pPr>
      <w:keepNext/>
      <w:spacing w:after="180"/>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34"/>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numbering" w:customStyle="1" w:styleId="Style1">
    <w:name w:val="Style1"/>
    <w:uiPriority w:val="99"/>
    <w:rsid w:val="00F31F9F"/>
    <w:pPr>
      <w:numPr>
        <w:numId w:val="11"/>
      </w:numPr>
    </w:pPr>
  </w:style>
  <w:style w:type="character" w:customStyle="1" w:styleId="CommentChar">
    <w:name w:val="Comment Char"/>
    <w:basedOn w:val="DefaultParagraphFont"/>
    <w:link w:val="Comment"/>
    <w:rsid w:val="00F31F9F"/>
    <w:rPr>
      <w:rFonts w:ascii="Cambria" w:eastAsia="Cambria" w:hAnsi="Cambria" w:cs="Times New Roman"/>
    </w:rPr>
  </w:style>
  <w:style w:type="paragraph" w:customStyle="1" w:styleId="Heading30">
    <w:name w:val="Heading3"/>
    <w:basedOn w:val="Heading3"/>
    <w:rsid w:val="00F31F9F"/>
    <w:pPr>
      <w:keepLines w:val="0"/>
      <w:numPr>
        <w:ilvl w:val="0"/>
        <w:numId w:val="0"/>
      </w:numPr>
      <w:adjustRightInd/>
      <w:snapToGrid/>
      <w:spacing w:before="120" w:line="240" w:lineRule="auto"/>
    </w:pPr>
    <w:rPr>
      <w:bCs w:val="0"/>
      <w:kern w:val="16"/>
      <w:sz w:val="24"/>
      <w:szCs w:val="20"/>
      <w:lang w:eastAsia="en-AU"/>
    </w:rPr>
  </w:style>
  <w:style w:type="paragraph" w:styleId="TableofAuthorities">
    <w:name w:val="table of authorities"/>
    <w:basedOn w:val="Normal"/>
    <w:next w:val="Normal"/>
    <w:rsid w:val="00F31F9F"/>
    <w:pPr>
      <w:spacing w:after="0" w:line="240" w:lineRule="auto"/>
      <w:ind w:left="220" w:hanging="220"/>
    </w:pPr>
    <w:rPr>
      <w:rFonts w:eastAsia="Times New Roman"/>
      <w:kern w:val="16"/>
      <w:szCs w:val="24"/>
      <w:lang w:eastAsia="en-AU"/>
    </w:rPr>
  </w:style>
  <w:style w:type="table" w:customStyle="1" w:styleId="GridTableLight">
    <w:name w:val="Grid Table Light"/>
    <w:basedOn w:val="TableNormal"/>
    <w:uiPriority w:val="40"/>
    <w:rsid w:val="00FE6E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tabs>
        <w:tab w:val="clear" w:pos="1022"/>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B7D09"/>
    <w:pPr>
      <w:keepNext/>
      <w:spacing w:after="180"/>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34"/>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7"/>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8"/>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9"/>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numbering" w:customStyle="1" w:styleId="Style1">
    <w:name w:val="Style1"/>
    <w:uiPriority w:val="99"/>
    <w:rsid w:val="00F31F9F"/>
    <w:pPr>
      <w:numPr>
        <w:numId w:val="11"/>
      </w:numPr>
    </w:pPr>
  </w:style>
  <w:style w:type="character" w:customStyle="1" w:styleId="CommentChar">
    <w:name w:val="Comment Char"/>
    <w:basedOn w:val="DefaultParagraphFont"/>
    <w:link w:val="Comment"/>
    <w:rsid w:val="00F31F9F"/>
    <w:rPr>
      <w:rFonts w:ascii="Cambria" w:eastAsia="Cambria" w:hAnsi="Cambria" w:cs="Times New Roman"/>
    </w:rPr>
  </w:style>
  <w:style w:type="paragraph" w:customStyle="1" w:styleId="Heading30">
    <w:name w:val="Heading3"/>
    <w:basedOn w:val="Heading3"/>
    <w:rsid w:val="00F31F9F"/>
    <w:pPr>
      <w:keepLines w:val="0"/>
      <w:numPr>
        <w:ilvl w:val="0"/>
        <w:numId w:val="0"/>
      </w:numPr>
      <w:adjustRightInd/>
      <w:snapToGrid/>
      <w:spacing w:before="120" w:line="240" w:lineRule="auto"/>
    </w:pPr>
    <w:rPr>
      <w:bCs w:val="0"/>
      <w:kern w:val="16"/>
      <w:sz w:val="24"/>
      <w:szCs w:val="20"/>
      <w:lang w:eastAsia="en-AU"/>
    </w:rPr>
  </w:style>
  <w:style w:type="paragraph" w:styleId="TableofAuthorities">
    <w:name w:val="table of authorities"/>
    <w:basedOn w:val="Normal"/>
    <w:next w:val="Normal"/>
    <w:rsid w:val="00F31F9F"/>
    <w:pPr>
      <w:spacing w:after="0" w:line="240" w:lineRule="auto"/>
      <w:ind w:left="220" w:hanging="220"/>
    </w:pPr>
    <w:rPr>
      <w:rFonts w:eastAsia="Times New Roman"/>
      <w:kern w:val="16"/>
      <w:szCs w:val="24"/>
      <w:lang w:eastAsia="en-AU"/>
    </w:rPr>
  </w:style>
  <w:style w:type="table" w:customStyle="1" w:styleId="GridTableLight">
    <w:name w:val="Grid Table Light"/>
    <w:basedOn w:val="TableNormal"/>
    <w:uiPriority w:val="40"/>
    <w:rsid w:val="00FE6E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6773180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21135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195390944">
                  <w:marLeft w:val="0"/>
                  <w:marRight w:val="0"/>
                  <w:marTop w:val="0"/>
                  <w:marBottom w:val="0"/>
                  <w:divBdr>
                    <w:top w:val="none" w:sz="0" w:space="0" w:color="auto"/>
                    <w:left w:val="none" w:sz="0" w:space="0" w:color="auto"/>
                    <w:bottom w:val="none" w:sz="0" w:space="0" w:color="auto"/>
                    <w:right w:val="none" w:sz="0" w:space="0" w:color="auto"/>
                  </w:divBdr>
                </w:div>
                <w:div w:id="458377907">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header" Target="header4.xm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header" Target="header3.xml"/><Relationship Id="rId61"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footer" Target="footer2.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eader" Target="header5.xml"/><Relationship Id="rId67" Type="http://schemas.openxmlformats.org/officeDocument/2006/relationships/footer" Target="footer4.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248C1-1310-473D-8883-3018BA7FD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134</Pages>
  <Words>43697</Words>
  <Characters>249079</Characters>
  <Application>Microsoft Office Word</Application>
  <DocSecurity>0</DocSecurity>
  <Lines>2075</Lines>
  <Paragraphs>584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292192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Blinatumomab (rch) [Blincyto]</dc:title>
  <dc:subject>prescription medicines</dc:subject>
  <dc:creator>Therapeutic Goods Administration </dc:creator>
  <cp:keywords>AusPARs</cp:keywords>
  <dc:description/>
  <cp:lastModifiedBy>Therapeutic Goods Administration (TGA) </cp:lastModifiedBy>
  <cp:revision>8</cp:revision>
  <cp:lastPrinted>2015-09-22T23:53:00Z</cp:lastPrinted>
  <dcterms:created xsi:type="dcterms:W3CDTF">2018-02-06T22:33:00Z</dcterms:created>
  <dcterms:modified xsi:type="dcterms:W3CDTF">2018-02-08T07:11:00Z</dcterms:modified>
</cp:coreProperties>
</file>