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0A" w:rsidRDefault="00FD0BE3" w:rsidP="00963C18">
      <w:pPr>
        <w:pStyle w:val="Heading1"/>
        <w:ind w:left="1440" w:hanging="1440"/>
        <w:rPr>
          <w:vertAlign w:val="superscript"/>
        </w:rPr>
      </w:pPr>
      <w:r>
        <w:t>BLINCYTO</w:t>
      </w:r>
      <w:r w:rsidRPr="00FD0BE3">
        <w:rPr>
          <w:vertAlign w:val="superscript"/>
        </w:rPr>
        <w:t>®</w:t>
      </w:r>
    </w:p>
    <w:p w:rsidR="007F19D8" w:rsidRPr="007F19D8" w:rsidRDefault="007F19D8" w:rsidP="007F19D8">
      <w:pPr>
        <w:pStyle w:val="Text"/>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rPr>
          <w:b/>
          <w:bCs/>
        </w:rPr>
      </w:pPr>
      <w:r w:rsidRPr="007F19D8">
        <w:rPr>
          <w:b/>
          <w:bCs/>
        </w:rPr>
        <w:t>WARNING</w:t>
      </w:r>
    </w:p>
    <w:p w:rsidR="007F19D8" w:rsidRDefault="007F19D8" w:rsidP="000A4A4D">
      <w:pPr>
        <w:pStyle w:val="StyleBoxSinglesolidlineText215ptLinewidth"/>
      </w:pPr>
      <w:r>
        <w:t>The following have occurred in patients receiving BLINCYTO:</w:t>
      </w:r>
    </w:p>
    <w:p w:rsidR="007F19D8" w:rsidRDefault="007F19D8" w:rsidP="007F19D8">
      <w:pPr>
        <w:pStyle w:val="ListParagraph"/>
        <w:numPr>
          <w:ilvl w:val="0"/>
          <w:numId w:val="32"/>
        </w:numPr>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ind w:left="0" w:firstLine="0"/>
      </w:pPr>
      <w:r>
        <w:t>Cytokine Release Syndrome, which may be life-threatening or fatal</w:t>
      </w:r>
    </w:p>
    <w:p w:rsidR="007F19D8" w:rsidRDefault="007F19D8" w:rsidP="007F19D8">
      <w:pPr>
        <w:pStyle w:val="ListParagraph"/>
        <w:numPr>
          <w:ilvl w:val="0"/>
          <w:numId w:val="32"/>
        </w:numPr>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ind w:left="0" w:firstLine="0"/>
      </w:pPr>
      <w:r>
        <w:t>Neurological toxicities, which may be severe, life-threatening, or fatal</w:t>
      </w:r>
    </w:p>
    <w:p w:rsidR="007F19D8" w:rsidRDefault="007F19D8" w:rsidP="007F19D8">
      <w:pPr>
        <w:pStyle w:val="ListParagraph"/>
        <w:numPr>
          <w:ilvl w:val="0"/>
          <w:numId w:val="32"/>
        </w:numPr>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ind w:left="0" w:firstLine="0"/>
      </w:pPr>
      <w:r>
        <w:t>Reactivation of JC viral infection</w:t>
      </w:r>
    </w:p>
    <w:p w:rsidR="007F19D8" w:rsidRPr="007F19D8" w:rsidRDefault="007F19D8" w:rsidP="000A4A4D">
      <w:pPr>
        <w:pStyle w:val="StyleBoxSinglesolidlineText215ptLinewidth"/>
      </w:pPr>
      <w:r>
        <w:t>Interrupt or discontinue BLINCYTO as recommended if any of these adverse events occur (See Precautions and Dosage and Administration).</w:t>
      </w:r>
    </w:p>
    <w:p w:rsidR="00CD2743" w:rsidRPr="00963C18" w:rsidRDefault="00C63BF3" w:rsidP="00071D5D">
      <w:pPr>
        <w:pStyle w:val="Heading2"/>
      </w:pPr>
      <w:r>
        <w:t>NAME OF THE MEDICINE</w:t>
      </w:r>
    </w:p>
    <w:p w:rsidR="009B1C06" w:rsidRDefault="00FD0BE3" w:rsidP="00963C18">
      <w:pPr>
        <w:pStyle w:val="Text"/>
      </w:pPr>
      <w:proofErr w:type="spellStart"/>
      <w:r>
        <w:t>Blincyto</w:t>
      </w:r>
      <w:proofErr w:type="spellEnd"/>
      <w:r w:rsidRPr="00FD0BE3">
        <w:rPr>
          <w:vertAlign w:val="superscript"/>
        </w:rPr>
        <w:t>®</w:t>
      </w:r>
      <w:r w:rsidR="009B1C06">
        <w:t xml:space="preserve"> </w:t>
      </w:r>
      <w:r w:rsidR="009B1C06" w:rsidRPr="001715D7">
        <w:t xml:space="preserve">is the Amgen Inc. trademark for </w:t>
      </w:r>
      <w:proofErr w:type="spellStart"/>
      <w:r w:rsidR="009B1C06">
        <w:t>blinatumomab</w:t>
      </w:r>
      <w:proofErr w:type="spellEnd"/>
      <w:r w:rsidR="009B1C06" w:rsidRPr="001715D7">
        <w:t xml:space="preserve"> (</w:t>
      </w:r>
      <w:proofErr w:type="spellStart"/>
      <w:r w:rsidR="009B1C06" w:rsidRPr="001715D7">
        <w:t>rch</w:t>
      </w:r>
      <w:proofErr w:type="spellEnd"/>
      <w:r w:rsidR="009B1C06" w:rsidRPr="001715D7">
        <w:t>)</w:t>
      </w:r>
      <w:r w:rsidR="00A071E4">
        <w:t>.</w:t>
      </w:r>
    </w:p>
    <w:p w:rsidR="009B1C06" w:rsidRPr="00884C09" w:rsidRDefault="00363D00" w:rsidP="00884C09">
      <w:pPr>
        <w:rPr>
          <w:rFonts w:cs="Arial"/>
        </w:rPr>
      </w:pPr>
      <w:r w:rsidRPr="00884C09">
        <w:rPr>
          <w:rFonts w:cs="Arial"/>
          <w:noProof/>
          <w:lang w:val="en-AU" w:eastAsia="en-AU"/>
        </w:rPr>
        <w:drawing>
          <wp:inline distT="0" distB="0" distL="0" distR="0" wp14:anchorId="134E2FA4" wp14:editId="398655A2">
            <wp:extent cx="3649980" cy="2773680"/>
            <wp:effectExtent l="0" t="0" r="7620" b="7620"/>
            <wp:docPr id="1" name="Picture 1" descr="chemical structure for for blinatumomab (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9980" cy="2773680"/>
                    </a:xfrm>
                    <a:prstGeom prst="rect">
                      <a:avLst/>
                    </a:prstGeom>
                    <a:noFill/>
                    <a:ln>
                      <a:noFill/>
                    </a:ln>
                  </pic:spPr>
                </pic:pic>
              </a:graphicData>
            </a:graphic>
          </wp:inline>
        </w:drawing>
      </w:r>
    </w:p>
    <w:p w:rsidR="009B1C06" w:rsidRPr="00884C09" w:rsidRDefault="009B1C06" w:rsidP="00884C09">
      <w:pPr>
        <w:rPr>
          <w:rFonts w:cs="Arial"/>
        </w:rPr>
      </w:pPr>
      <w:r w:rsidRPr="00884C09">
        <w:rPr>
          <w:rFonts w:cs="Arial"/>
        </w:rPr>
        <w:t>CAS number:</w:t>
      </w:r>
      <w:r w:rsidR="00853B5B" w:rsidRPr="00884C09">
        <w:rPr>
          <w:rFonts w:cs="Arial"/>
        </w:rPr>
        <w:t xml:space="preserve"> 853426-35-4</w:t>
      </w:r>
    </w:p>
    <w:p w:rsidR="00767C0A" w:rsidRPr="00F2177A" w:rsidRDefault="00767C0A" w:rsidP="00071D5D">
      <w:pPr>
        <w:pStyle w:val="Heading2"/>
      </w:pPr>
      <w:r w:rsidRPr="00F2177A">
        <w:t>DESCRIPTION</w:t>
      </w:r>
    </w:p>
    <w:p w:rsidR="00767C0A" w:rsidRPr="00963C18" w:rsidRDefault="00DD0E23" w:rsidP="00963C18">
      <w:pPr>
        <w:pStyle w:val="Text"/>
        <w:rPr>
          <w:lang w:val="en-AU" w:eastAsia="en-AU"/>
        </w:rPr>
      </w:pPr>
      <w:proofErr w:type="spellStart"/>
      <w:r>
        <w:rPr>
          <w:lang w:val="en-AU" w:eastAsia="en-AU"/>
        </w:rPr>
        <w:t>Blinatumomab</w:t>
      </w:r>
      <w:proofErr w:type="spellEnd"/>
      <w:r w:rsidR="00E86C6D" w:rsidRPr="00F2177A">
        <w:rPr>
          <w:lang w:val="en-AU" w:eastAsia="en-AU"/>
        </w:rPr>
        <w:t xml:space="preserve"> is a bispecific </w:t>
      </w:r>
      <w:r w:rsidR="00EA4F8A">
        <w:rPr>
          <w:lang w:val="en-AU" w:eastAsia="en-AU"/>
        </w:rPr>
        <w:t>T cell</w:t>
      </w:r>
      <w:r w:rsidR="00E86C6D" w:rsidRPr="00F2177A">
        <w:rPr>
          <w:lang w:val="en-AU" w:eastAsia="en-AU"/>
        </w:rPr>
        <w:t xml:space="preserve"> engager (</w:t>
      </w:r>
      <w:proofErr w:type="spellStart"/>
      <w:r w:rsidR="00E86C6D" w:rsidRPr="00F2177A">
        <w:rPr>
          <w:lang w:val="en-AU" w:eastAsia="en-AU"/>
        </w:rPr>
        <w:t>BiTE</w:t>
      </w:r>
      <w:proofErr w:type="spellEnd"/>
      <w:r w:rsidR="00E86C6D" w:rsidRPr="00F2177A">
        <w:rPr>
          <w:vertAlign w:val="superscript"/>
          <w:lang w:val="en-AU" w:eastAsia="en-AU"/>
        </w:rPr>
        <w:t>®</w:t>
      </w:r>
      <w:r w:rsidR="00E86C6D" w:rsidRPr="00F2177A">
        <w:rPr>
          <w:lang w:val="en-AU" w:eastAsia="en-AU"/>
        </w:rPr>
        <w:t xml:space="preserve">) antibody construct that selectively binds with high affinity to CD19 (expressed on cells of B-lineage origin) </w:t>
      </w:r>
      <w:r w:rsidR="00907F8A">
        <w:rPr>
          <w:lang w:val="en-AU" w:eastAsia="en-AU"/>
        </w:rPr>
        <w:t xml:space="preserve">and CD3 (expressed on T cells). </w:t>
      </w:r>
      <w:r w:rsidR="00E86C6D" w:rsidRPr="00F2177A">
        <w:rPr>
          <w:lang w:val="en-AU" w:eastAsia="en-AU"/>
        </w:rPr>
        <w:t xml:space="preserve">Using recombinant DNA technology, </w:t>
      </w:r>
      <w:proofErr w:type="spellStart"/>
      <w:r w:rsidR="00FD0BE3">
        <w:rPr>
          <w:lang w:val="en-AU" w:eastAsia="en-AU"/>
        </w:rPr>
        <w:t>Blincyto</w:t>
      </w:r>
      <w:proofErr w:type="spellEnd"/>
      <w:r w:rsidR="00E86C6D" w:rsidRPr="00F2177A">
        <w:rPr>
          <w:lang w:val="en-AU" w:eastAsia="en-AU"/>
        </w:rPr>
        <w:t xml:space="preserve"> is produced in a well-characteri</w:t>
      </w:r>
      <w:r w:rsidR="00907F8A">
        <w:rPr>
          <w:lang w:val="en-AU" w:eastAsia="en-AU"/>
        </w:rPr>
        <w:t>s</w:t>
      </w:r>
      <w:r w:rsidR="00E86C6D" w:rsidRPr="00F2177A">
        <w:rPr>
          <w:lang w:val="en-AU" w:eastAsia="en-AU"/>
        </w:rPr>
        <w:t xml:space="preserve">ed mammalian cell (Chinese hamster ovary) culture and is purified by a series of steps that include measures to inactivate and remove viruses. It consists of 504 amino acids and has a molecular weight of approximately 54 </w:t>
      </w:r>
      <w:proofErr w:type="spellStart"/>
      <w:r w:rsidR="00E86C6D" w:rsidRPr="00F2177A">
        <w:rPr>
          <w:lang w:val="en-AU" w:eastAsia="en-AU"/>
        </w:rPr>
        <w:t>kilodaltons</w:t>
      </w:r>
      <w:proofErr w:type="spellEnd"/>
      <w:r w:rsidR="00E86C6D" w:rsidRPr="00F2177A">
        <w:rPr>
          <w:lang w:val="en-AU" w:eastAsia="en-AU"/>
        </w:rPr>
        <w:t>.</w:t>
      </w:r>
    </w:p>
    <w:p w:rsidR="00C63D53" w:rsidRPr="00F2177A" w:rsidRDefault="00C63D53" w:rsidP="00963C18">
      <w:pPr>
        <w:pStyle w:val="Text"/>
        <w:rPr>
          <w:color w:val="FF0000"/>
          <w:lang w:val="en-AU"/>
        </w:rPr>
      </w:pPr>
      <w:r w:rsidRPr="00F2177A">
        <w:rPr>
          <w:lang w:val="en-AU" w:eastAsia="en-AU"/>
        </w:rPr>
        <w:t xml:space="preserve">Each single-use vial </w:t>
      </w:r>
      <w:r w:rsidR="003D4212">
        <w:rPr>
          <w:lang w:val="en-AU" w:eastAsia="en-AU"/>
        </w:rPr>
        <w:t xml:space="preserve">of </w:t>
      </w:r>
      <w:proofErr w:type="spellStart"/>
      <w:r w:rsidR="003D4212">
        <w:rPr>
          <w:lang w:val="en-AU" w:eastAsia="en-AU"/>
        </w:rPr>
        <w:t>Blincyto</w:t>
      </w:r>
      <w:proofErr w:type="spellEnd"/>
      <w:r w:rsidR="003D4212">
        <w:rPr>
          <w:lang w:val="en-AU" w:eastAsia="en-AU"/>
        </w:rPr>
        <w:t xml:space="preserve"> </w:t>
      </w:r>
      <w:r w:rsidRPr="00F2177A">
        <w:rPr>
          <w:lang w:val="en-AU" w:eastAsia="en-AU"/>
        </w:rPr>
        <w:t xml:space="preserve">contains 38.5 </w:t>
      </w:r>
      <w:r w:rsidR="00601BD4">
        <w:rPr>
          <w:lang w:val="en-AU" w:eastAsia="en-AU"/>
        </w:rPr>
        <w:t>micrograms</w:t>
      </w:r>
      <w:r w:rsidRPr="00F2177A">
        <w:rPr>
          <w:lang w:val="en-AU" w:eastAsia="en-AU"/>
        </w:rPr>
        <w:t xml:space="preserve"> preservative-free </w:t>
      </w:r>
      <w:proofErr w:type="spellStart"/>
      <w:r w:rsidRPr="00F2177A">
        <w:rPr>
          <w:lang w:val="en-AU" w:eastAsia="en-AU"/>
        </w:rPr>
        <w:t>blinatumomab</w:t>
      </w:r>
      <w:proofErr w:type="spellEnd"/>
      <w:r w:rsidR="000C19C8">
        <w:rPr>
          <w:lang w:val="en-AU" w:eastAsia="en-AU"/>
        </w:rPr>
        <w:t xml:space="preserve">, </w:t>
      </w:r>
      <w:r w:rsidR="000C19C8" w:rsidRPr="00AD56CF">
        <w:rPr>
          <w:lang w:val="en-AU" w:eastAsia="en-AU"/>
        </w:rPr>
        <w:t xml:space="preserve">citric acid monohydrate, trehalose </w:t>
      </w:r>
      <w:proofErr w:type="spellStart"/>
      <w:r w:rsidR="000C19C8" w:rsidRPr="00AD56CF">
        <w:rPr>
          <w:lang w:val="en-AU" w:eastAsia="en-AU"/>
        </w:rPr>
        <w:t>d</w:t>
      </w:r>
      <w:r w:rsidR="00B67312">
        <w:rPr>
          <w:lang w:val="en-AU" w:eastAsia="en-AU"/>
        </w:rPr>
        <w:t>i</w:t>
      </w:r>
      <w:r w:rsidR="000C19C8" w:rsidRPr="00AD56CF">
        <w:rPr>
          <w:lang w:val="en-AU" w:eastAsia="en-AU"/>
        </w:rPr>
        <w:t>hydrate</w:t>
      </w:r>
      <w:proofErr w:type="spellEnd"/>
      <w:r w:rsidR="000C19C8" w:rsidRPr="00AD56CF">
        <w:rPr>
          <w:lang w:val="en-AU" w:eastAsia="en-AU"/>
        </w:rPr>
        <w:t xml:space="preserve">, lysine hydrochloride, </w:t>
      </w:r>
      <w:proofErr w:type="spellStart"/>
      <w:r w:rsidR="00C92E58" w:rsidRPr="00AD56CF">
        <w:rPr>
          <w:lang w:val="en-AU" w:eastAsia="en-AU"/>
        </w:rPr>
        <w:t>p</w:t>
      </w:r>
      <w:r w:rsidR="000C19C8" w:rsidRPr="00AD56CF">
        <w:rPr>
          <w:lang w:val="en-AU" w:eastAsia="en-AU"/>
        </w:rPr>
        <w:t>olysorbate</w:t>
      </w:r>
      <w:proofErr w:type="spellEnd"/>
      <w:r w:rsidR="000C19C8" w:rsidRPr="00AD56CF">
        <w:rPr>
          <w:lang w:val="en-AU" w:eastAsia="en-AU"/>
        </w:rPr>
        <w:t xml:space="preserve"> 80 and sodium hydroxide</w:t>
      </w:r>
      <w:r w:rsidRPr="00AD56CF">
        <w:rPr>
          <w:lang w:val="en-AU" w:eastAsia="en-AU"/>
        </w:rPr>
        <w:t xml:space="preserve">. After reconstitution with 3 mL of preservative-free </w:t>
      </w:r>
      <w:r w:rsidR="00C92E58" w:rsidRPr="00AD56CF">
        <w:rPr>
          <w:lang w:val="en-AU" w:eastAsia="en-AU"/>
        </w:rPr>
        <w:t>s</w:t>
      </w:r>
      <w:r w:rsidRPr="00AD56CF">
        <w:rPr>
          <w:lang w:val="en-AU" w:eastAsia="en-AU"/>
        </w:rPr>
        <w:t>terile</w:t>
      </w:r>
      <w:r w:rsidRPr="00F2177A">
        <w:rPr>
          <w:lang w:val="en-AU" w:eastAsia="en-AU"/>
        </w:rPr>
        <w:t xml:space="preserve"> </w:t>
      </w:r>
      <w:r w:rsidR="00B418CD">
        <w:rPr>
          <w:lang w:val="en-AU" w:eastAsia="en-AU"/>
        </w:rPr>
        <w:t>Water for Injections</w:t>
      </w:r>
      <w:r w:rsidRPr="00F2177A">
        <w:rPr>
          <w:lang w:val="en-AU" w:eastAsia="en-AU"/>
        </w:rPr>
        <w:t xml:space="preserve">, the resulting total volume of reconstituted solution is 3.1 mL and each mL contains 12.5 </w:t>
      </w:r>
      <w:r w:rsidR="002E0BB1">
        <w:rPr>
          <w:lang w:val="en-AU" w:eastAsia="en-AU"/>
        </w:rPr>
        <w:t>micrograms</w:t>
      </w:r>
      <w:r w:rsidRPr="00F2177A">
        <w:rPr>
          <w:lang w:val="en-AU" w:eastAsia="en-AU"/>
        </w:rPr>
        <w:t xml:space="preserve"> </w:t>
      </w:r>
      <w:proofErr w:type="spellStart"/>
      <w:r w:rsidRPr="00F2177A">
        <w:rPr>
          <w:lang w:val="en-AU" w:eastAsia="en-AU"/>
        </w:rPr>
        <w:t>blinatumomab</w:t>
      </w:r>
      <w:proofErr w:type="spellEnd"/>
      <w:r w:rsidRPr="00F2177A">
        <w:rPr>
          <w:lang w:val="en-AU" w:eastAsia="en-AU"/>
        </w:rPr>
        <w:t>.</w:t>
      </w:r>
    </w:p>
    <w:p w:rsidR="003D4212" w:rsidRPr="003D4212" w:rsidRDefault="003D4212" w:rsidP="00963C18">
      <w:pPr>
        <w:pStyle w:val="Text"/>
        <w:rPr>
          <w:lang w:val="en-AU" w:eastAsia="en-AU"/>
        </w:rPr>
      </w:pPr>
      <w:r w:rsidRPr="003D4212">
        <w:rPr>
          <w:lang w:val="en-AU" w:eastAsia="en-AU"/>
        </w:rPr>
        <w:t xml:space="preserve">Each single use vial of </w:t>
      </w:r>
      <w:r w:rsidR="00F829DA">
        <w:rPr>
          <w:lang w:val="en-AU" w:eastAsia="en-AU"/>
        </w:rPr>
        <w:t xml:space="preserve">IV </w:t>
      </w:r>
      <w:r w:rsidRPr="003D4212">
        <w:rPr>
          <w:lang w:val="en-AU" w:eastAsia="en-AU"/>
        </w:rPr>
        <w:t xml:space="preserve">solution </w:t>
      </w:r>
      <w:r w:rsidR="00C92E58">
        <w:rPr>
          <w:lang w:val="en-AU" w:eastAsia="en-AU"/>
        </w:rPr>
        <w:t xml:space="preserve">stabiliser </w:t>
      </w:r>
      <w:r w:rsidRPr="003D4212">
        <w:rPr>
          <w:lang w:val="en-AU" w:eastAsia="en-AU"/>
        </w:rPr>
        <w:t xml:space="preserve">contains </w:t>
      </w:r>
      <w:r w:rsidR="00C92E58">
        <w:rPr>
          <w:lang w:val="en-AU" w:eastAsia="en-AU"/>
        </w:rPr>
        <w:t>c</w:t>
      </w:r>
      <w:r w:rsidRPr="003D4212">
        <w:rPr>
          <w:lang w:val="en-AU" w:eastAsia="en-AU"/>
        </w:rPr>
        <w:t>itric acid monohydrate</w:t>
      </w:r>
      <w:r>
        <w:rPr>
          <w:lang w:val="en-AU" w:eastAsia="en-AU"/>
        </w:rPr>
        <w:t>, l</w:t>
      </w:r>
      <w:r w:rsidRPr="003D4212">
        <w:rPr>
          <w:lang w:val="en-AU" w:eastAsia="en-AU"/>
        </w:rPr>
        <w:t>ysine hydrochloride</w:t>
      </w:r>
      <w:r>
        <w:rPr>
          <w:lang w:val="en-AU" w:eastAsia="en-AU"/>
        </w:rPr>
        <w:t xml:space="preserve">, </w:t>
      </w:r>
      <w:proofErr w:type="spellStart"/>
      <w:r>
        <w:rPr>
          <w:lang w:val="en-AU" w:eastAsia="en-AU"/>
        </w:rPr>
        <w:t>p</w:t>
      </w:r>
      <w:r w:rsidRPr="003D4212">
        <w:rPr>
          <w:lang w:val="en-AU" w:eastAsia="en-AU"/>
        </w:rPr>
        <w:t>olysorbate</w:t>
      </w:r>
      <w:proofErr w:type="spellEnd"/>
      <w:r w:rsidRPr="003D4212">
        <w:rPr>
          <w:lang w:val="en-AU" w:eastAsia="en-AU"/>
        </w:rPr>
        <w:t xml:space="preserve"> 80</w:t>
      </w:r>
      <w:r>
        <w:rPr>
          <w:lang w:val="en-AU" w:eastAsia="en-AU"/>
        </w:rPr>
        <w:t xml:space="preserve">, </w:t>
      </w:r>
      <w:r w:rsidR="00C92E58">
        <w:rPr>
          <w:lang w:val="en-AU" w:eastAsia="en-AU"/>
        </w:rPr>
        <w:t>s</w:t>
      </w:r>
      <w:r w:rsidRPr="003D4212">
        <w:rPr>
          <w:lang w:val="en-AU" w:eastAsia="en-AU"/>
        </w:rPr>
        <w:t xml:space="preserve">odium </w:t>
      </w:r>
      <w:r w:rsidR="00C92E58">
        <w:rPr>
          <w:lang w:val="en-AU" w:eastAsia="en-AU"/>
        </w:rPr>
        <w:t>h</w:t>
      </w:r>
      <w:r w:rsidRPr="003D4212">
        <w:rPr>
          <w:lang w:val="en-AU" w:eastAsia="en-AU"/>
        </w:rPr>
        <w:t>ydroxide (for pH-adjustment)</w:t>
      </w:r>
      <w:r>
        <w:rPr>
          <w:lang w:val="en-AU" w:eastAsia="en-AU"/>
        </w:rPr>
        <w:t xml:space="preserve"> and </w:t>
      </w:r>
      <w:r w:rsidR="00B418CD">
        <w:rPr>
          <w:lang w:val="en-AU" w:eastAsia="en-AU"/>
        </w:rPr>
        <w:t>Water for Injections</w:t>
      </w:r>
      <w:r>
        <w:rPr>
          <w:lang w:val="en-AU" w:eastAsia="en-AU"/>
        </w:rPr>
        <w:t>.</w:t>
      </w:r>
    </w:p>
    <w:p w:rsidR="00767C0A" w:rsidRPr="00F2177A" w:rsidRDefault="00767C0A" w:rsidP="00071D5D">
      <w:pPr>
        <w:pStyle w:val="Heading2"/>
        <w:rPr>
          <w:lang w:val="en-AU"/>
        </w:rPr>
      </w:pPr>
      <w:r w:rsidRPr="00F2177A">
        <w:rPr>
          <w:lang w:val="en-AU"/>
        </w:rPr>
        <w:lastRenderedPageBreak/>
        <w:t>PHARMACOLOGY</w:t>
      </w:r>
    </w:p>
    <w:p w:rsidR="00CF3CFE" w:rsidRPr="00071D5D" w:rsidRDefault="00CF3CFE" w:rsidP="00071D5D">
      <w:pPr>
        <w:pStyle w:val="Heading3"/>
        <w:rPr>
          <w:lang w:val="en-AU"/>
        </w:rPr>
      </w:pPr>
      <w:r w:rsidRPr="00071D5D">
        <w:rPr>
          <w:lang w:val="en-AU"/>
        </w:rPr>
        <w:t>Mechanism of action</w:t>
      </w:r>
    </w:p>
    <w:p w:rsidR="006B63F5" w:rsidRPr="00F2177A" w:rsidRDefault="00907F8A" w:rsidP="00963C18">
      <w:pPr>
        <w:pStyle w:val="Text"/>
      </w:pPr>
      <w:proofErr w:type="spellStart"/>
      <w:r>
        <w:rPr>
          <w:lang w:val="en-AU" w:eastAsia="en-AU"/>
        </w:rPr>
        <w:t>Blinatumomab</w:t>
      </w:r>
      <w:proofErr w:type="spellEnd"/>
      <w:r>
        <w:rPr>
          <w:lang w:val="en-AU" w:eastAsia="en-AU"/>
        </w:rPr>
        <w:t xml:space="preserve"> is a bispecific T </w:t>
      </w:r>
      <w:r w:rsidR="00CF3CFE" w:rsidRPr="00F2177A">
        <w:rPr>
          <w:lang w:val="en-AU" w:eastAsia="en-AU"/>
        </w:rPr>
        <w:t>cell engager (</w:t>
      </w:r>
      <w:proofErr w:type="spellStart"/>
      <w:r w:rsidR="00CF3CFE" w:rsidRPr="00F2177A">
        <w:rPr>
          <w:lang w:val="en-AU" w:eastAsia="en-AU"/>
        </w:rPr>
        <w:t>BiTE</w:t>
      </w:r>
      <w:proofErr w:type="spellEnd"/>
      <w:r w:rsidR="00CF3CFE" w:rsidRPr="00EA4F8A">
        <w:rPr>
          <w:vertAlign w:val="superscript"/>
          <w:lang w:val="en-AU" w:eastAsia="en-AU"/>
        </w:rPr>
        <w:t>®</w:t>
      </w:r>
      <w:r w:rsidR="00CF3CFE" w:rsidRPr="00F2177A">
        <w:rPr>
          <w:lang w:val="en-AU" w:eastAsia="en-AU"/>
        </w:rPr>
        <w:t>) antibody construct that binds specifically to CD19 expressed on the surface of cells of B-lineage origin and CD3 expressed on the surface of T cells. It activates endogenous T cells by connecting CD3 in the T</w:t>
      </w:r>
      <w:r w:rsidR="00EA4F8A">
        <w:rPr>
          <w:lang w:val="en-AU" w:eastAsia="en-AU"/>
        </w:rPr>
        <w:t xml:space="preserve"> </w:t>
      </w:r>
      <w:r w:rsidR="00CF3CFE" w:rsidRPr="00F2177A">
        <w:rPr>
          <w:lang w:val="en-AU" w:eastAsia="en-AU"/>
        </w:rPr>
        <w:t>cell receptor (TCR) complex with CD19 on benign and malignant B cells. The anti-</w:t>
      </w:r>
      <w:r w:rsidR="007B3CD0">
        <w:rPr>
          <w:lang w:val="en-AU" w:eastAsia="en-AU"/>
        </w:rPr>
        <w:t>tumour</w:t>
      </w:r>
      <w:r w:rsidR="00CF3CFE" w:rsidRPr="00F2177A">
        <w:rPr>
          <w:lang w:val="en-AU" w:eastAsia="en-AU"/>
        </w:rPr>
        <w:t xml:space="preserve"> activity of </w:t>
      </w:r>
      <w:proofErr w:type="spellStart"/>
      <w:r w:rsidR="00CF3CFE" w:rsidRPr="00F2177A">
        <w:rPr>
          <w:lang w:val="en-AU" w:eastAsia="en-AU"/>
        </w:rPr>
        <w:t>blinatumomab</w:t>
      </w:r>
      <w:proofErr w:type="spellEnd"/>
      <w:r w:rsidR="00CF3CFE" w:rsidRPr="00F2177A">
        <w:rPr>
          <w:lang w:val="en-AU" w:eastAsia="en-AU"/>
        </w:rPr>
        <w:t xml:space="preserve"> immunotherapy is not dependent on T cells bearing a specific TCR or on peptide </w:t>
      </w:r>
      <w:proofErr w:type="gramStart"/>
      <w:r w:rsidR="00CF3CFE" w:rsidRPr="00F2177A">
        <w:rPr>
          <w:lang w:val="en-AU" w:eastAsia="en-AU"/>
        </w:rPr>
        <w:t>antigens presented by cancer cells, but is</w:t>
      </w:r>
      <w:proofErr w:type="gramEnd"/>
      <w:r w:rsidR="00CF3CFE" w:rsidRPr="00F2177A">
        <w:rPr>
          <w:lang w:val="en-AU" w:eastAsia="en-AU"/>
        </w:rPr>
        <w:t xml:space="preserve"> polyclonal in nature and independent of human leukocyte antigen (HLA) molecules on target cells. </w:t>
      </w:r>
      <w:proofErr w:type="spellStart"/>
      <w:r w:rsidR="00CF3CFE" w:rsidRPr="00F2177A">
        <w:rPr>
          <w:lang w:val="en-AU" w:eastAsia="en-AU"/>
        </w:rPr>
        <w:t>Blinatumomab</w:t>
      </w:r>
      <w:proofErr w:type="spellEnd"/>
      <w:r w:rsidR="00CF3CFE" w:rsidRPr="00F2177A">
        <w:rPr>
          <w:lang w:val="en-AU" w:eastAsia="en-AU"/>
        </w:rPr>
        <w:t xml:space="preserve"> mediates the formation of a </w:t>
      </w:r>
      <w:proofErr w:type="spellStart"/>
      <w:r w:rsidR="00CF3CFE" w:rsidRPr="00F2177A">
        <w:rPr>
          <w:lang w:val="en-AU" w:eastAsia="en-AU"/>
        </w:rPr>
        <w:t>cytolytic</w:t>
      </w:r>
      <w:proofErr w:type="spellEnd"/>
      <w:r w:rsidR="00CF3CFE" w:rsidRPr="00F2177A">
        <w:rPr>
          <w:lang w:val="en-AU" w:eastAsia="en-AU"/>
        </w:rPr>
        <w:t xml:space="preserve"> synapse between the T cell and the </w:t>
      </w:r>
      <w:r w:rsidR="009861F2">
        <w:rPr>
          <w:lang w:val="en-AU" w:eastAsia="en-AU"/>
        </w:rPr>
        <w:t>B</w:t>
      </w:r>
      <w:r w:rsidR="009861F2" w:rsidRPr="00F2177A">
        <w:rPr>
          <w:lang w:val="en-AU" w:eastAsia="en-AU"/>
        </w:rPr>
        <w:t xml:space="preserve"> </w:t>
      </w:r>
      <w:r w:rsidR="00CF3CFE" w:rsidRPr="00F2177A">
        <w:rPr>
          <w:lang w:val="en-AU" w:eastAsia="en-AU"/>
        </w:rPr>
        <w:t xml:space="preserve">cell, releasing proteolytic enzymes to kill both proliferating and resting target cells. </w:t>
      </w:r>
      <w:proofErr w:type="spellStart"/>
      <w:r w:rsidR="00CF3CFE" w:rsidRPr="00F2177A">
        <w:rPr>
          <w:lang w:val="en-AU" w:eastAsia="en-AU"/>
        </w:rPr>
        <w:t>Blinatumomab</w:t>
      </w:r>
      <w:proofErr w:type="spellEnd"/>
      <w:r w:rsidR="00CF3CFE" w:rsidRPr="00F2177A">
        <w:rPr>
          <w:lang w:val="en-AU" w:eastAsia="en-AU"/>
        </w:rPr>
        <w:t xml:space="preserve"> is associated with</w:t>
      </w:r>
      <w:r w:rsidR="007C4C2F">
        <w:rPr>
          <w:lang w:val="en-AU" w:eastAsia="en-AU"/>
        </w:rPr>
        <w:t xml:space="preserve"> </w:t>
      </w:r>
      <w:r w:rsidR="00CF3CFE" w:rsidRPr="00F2177A">
        <w:rPr>
          <w:lang w:val="en-AU" w:eastAsia="en-AU"/>
        </w:rPr>
        <w:t xml:space="preserve">transient upregulation of cell adhesion molecules, production of </w:t>
      </w:r>
      <w:proofErr w:type="spellStart"/>
      <w:r w:rsidR="00CF3CFE" w:rsidRPr="00F2177A">
        <w:rPr>
          <w:lang w:val="en-AU" w:eastAsia="en-AU"/>
        </w:rPr>
        <w:t>cytolytic</w:t>
      </w:r>
      <w:proofErr w:type="spellEnd"/>
      <w:r w:rsidR="00CF3CFE" w:rsidRPr="00F2177A">
        <w:rPr>
          <w:lang w:val="en-AU" w:eastAsia="en-AU"/>
        </w:rPr>
        <w:t xml:space="preserve"> proteins, release of inflammatory cytokines, and proliferation of T cells, and results in elimination of CD19+ cells.</w:t>
      </w:r>
    </w:p>
    <w:p w:rsidR="006B63F5" w:rsidRPr="00963C18" w:rsidRDefault="006B63F5" w:rsidP="00071D5D">
      <w:pPr>
        <w:pStyle w:val="Heading3"/>
        <w:rPr>
          <w:lang w:val="en-AU"/>
        </w:rPr>
      </w:pPr>
      <w:r w:rsidRPr="00963C18">
        <w:rPr>
          <w:lang w:val="en-AU"/>
        </w:rPr>
        <w:t>Pharmacodynamics</w:t>
      </w:r>
    </w:p>
    <w:p w:rsidR="00CF3CFE" w:rsidRPr="00F2177A" w:rsidRDefault="00CF3CFE" w:rsidP="00963C18">
      <w:pPr>
        <w:pStyle w:val="Text"/>
        <w:rPr>
          <w:lang w:val="en-AU" w:eastAsia="en-AU"/>
        </w:rPr>
      </w:pPr>
      <w:r w:rsidRPr="00F2177A">
        <w:rPr>
          <w:lang w:val="en-AU" w:eastAsia="en-AU"/>
        </w:rPr>
        <w:t>Consistent immune-</w:t>
      </w:r>
      <w:proofErr w:type="spellStart"/>
      <w:r w:rsidRPr="00F2177A">
        <w:rPr>
          <w:lang w:val="en-AU" w:eastAsia="en-AU"/>
        </w:rPr>
        <w:t>pharmacodynamic</w:t>
      </w:r>
      <w:proofErr w:type="spellEnd"/>
      <w:r w:rsidRPr="00F2177A">
        <w:rPr>
          <w:lang w:val="en-AU" w:eastAsia="en-AU"/>
        </w:rPr>
        <w:t xml:space="preserve"> responses were observed in the patients studied. During the continuous intravenous infusion over 4 weeks, the </w:t>
      </w:r>
      <w:proofErr w:type="spellStart"/>
      <w:r w:rsidRPr="00F2177A">
        <w:rPr>
          <w:lang w:val="en-AU" w:eastAsia="en-AU"/>
        </w:rPr>
        <w:t>pharmacodynamic</w:t>
      </w:r>
      <w:proofErr w:type="spellEnd"/>
      <w:r w:rsidRPr="00F2177A">
        <w:rPr>
          <w:lang w:val="en-AU" w:eastAsia="en-AU"/>
        </w:rPr>
        <w:t xml:space="preserve"> response was </w:t>
      </w:r>
      <w:r w:rsidR="00E14B3F">
        <w:rPr>
          <w:lang w:val="en-AU" w:eastAsia="en-AU"/>
        </w:rPr>
        <w:t>characterise</w:t>
      </w:r>
      <w:r w:rsidRPr="00F2177A">
        <w:rPr>
          <w:lang w:val="en-AU" w:eastAsia="en-AU"/>
        </w:rPr>
        <w:t>d by T</w:t>
      </w:r>
      <w:r w:rsidR="00EA4F8A">
        <w:rPr>
          <w:lang w:val="en-AU" w:eastAsia="en-AU"/>
        </w:rPr>
        <w:t xml:space="preserve"> </w:t>
      </w:r>
      <w:r w:rsidRPr="00F2177A">
        <w:rPr>
          <w:lang w:val="en-AU" w:eastAsia="en-AU"/>
        </w:rPr>
        <w:t xml:space="preserve">cell activation and initial redistribution, rapid peripheral </w:t>
      </w:r>
      <w:r w:rsidR="00EA4F8A">
        <w:rPr>
          <w:lang w:val="en-AU" w:eastAsia="en-AU"/>
        </w:rPr>
        <w:t>B cell</w:t>
      </w:r>
      <w:r w:rsidRPr="00F2177A">
        <w:rPr>
          <w:lang w:val="en-AU" w:eastAsia="en-AU"/>
        </w:rPr>
        <w:t xml:space="preserve"> depletion, and transient cytokine elevation.</w:t>
      </w:r>
    </w:p>
    <w:p w:rsidR="00CF3CFE" w:rsidRPr="00F2177A" w:rsidRDefault="00CF3CFE" w:rsidP="00963C18">
      <w:pPr>
        <w:pStyle w:val="Text"/>
        <w:rPr>
          <w:lang w:val="en-AU" w:eastAsia="en-AU"/>
        </w:rPr>
      </w:pPr>
      <w:r w:rsidRPr="00F2177A">
        <w:rPr>
          <w:lang w:val="en-AU" w:eastAsia="en-AU"/>
        </w:rPr>
        <w:t>Peripheral T cell redistribution (</w:t>
      </w:r>
      <w:proofErr w:type="spellStart"/>
      <w:r w:rsidRPr="00F2177A">
        <w:rPr>
          <w:lang w:val="en-AU" w:eastAsia="en-AU"/>
        </w:rPr>
        <w:t>ie</w:t>
      </w:r>
      <w:proofErr w:type="spellEnd"/>
      <w:r w:rsidRPr="00F2177A">
        <w:rPr>
          <w:lang w:val="en-AU" w:eastAsia="en-AU"/>
        </w:rPr>
        <w:t xml:space="preserve">, T cell adhesion to blood vessel endothelium and/or transmigration into tissue) occurred after start of </w:t>
      </w:r>
      <w:proofErr w:type="spellStart"/>
      <w:r w:rsidR="00FD0BE3">
        <w:rPr>
          <w:lang w:val="en-AU" w:eastAsia="en-AU"/>
        </w:rPr>
        <w:t>Blincyto</w:t>
      </w:r>
      <w:proofErr w:type="spellEnd"/>
      <w:r w:rsidRPr="00F2177A">
        <w:rPr>
          <w:lang w:val="en-AU" w:eastAsia="en-AU"/>
        </w:rPr>
        <w:t xml:space="preserve"> infusion or dose escalation. T cell counts initially declined within 1 to 2 days and then returned to baseline levels within 7 to 14 days in majority patients. Increase of T cell counts above baseline (T</w:t>
      </w:r>
      <w:r w:rsidR="00EA4F8A">
        <w:rPr>
          <w:lang w:val="en-AU" w:eastAsia="en-AU"/>
        </w:rPr>
        <w:t xml:space="preserve"> </w:t>
      </w:r>
      <w:r w:rsidRPr="00F2177A">
        <w:rPr>
          <w:lang w:val="en-AU" w:eastAsia="en-AU"/>
        </w:rPr>
        <w:t>cell expansion) was observed in few patients.</w:t>
      </w:r>
    </w:p>
    <w:p w:rsidR="00CF3CFE" w:rsidRPr="00F2177A" w:rsidRDefault="00CF3CFE" w:rsidP="00963C18">
      <w:pPr>
        <w:pStyle w:val="Text"/>
        <w:rPr>
          <w:lang w:val="en-AU" w:eastAsia="en-AU"/>
        </w:rPr>
      </w:pPr>
      <w:r w:rsidRPr="00F2177A">
        <w:rPr>
          <w:lang w:val="en-AU" w:eastAsia="en-AU"/>
        </w:rPr>
        <w:t xml:space="preserve">Peripheral </w:t>
      </w:r>
      <w:r w:rsidR="00EA4F8A">
        <w:rPr>
          <w:lang w:val="en-AU" w:eastAsia="en-AU"/>
        </w:rPr>
        <w:t>B cell</w:t>
      </w:r>
      <w:r w:rsidRPr="00F2177A">
        <w:rPr>
          <w:lang w:val="en-AU" w:eastAsia="en-AU"/>
        </w:rPr>
        <w:t xml:space="preserve"> counts decreased rapidly to an undetectable level during treatment at doses ≥ </w:t>
      </w:r>
      <w:proofErr w:type="gramStart"/>
      <w:r w:rsidRPr="00F2177A">
        <w:rPr>
          <w:lang w:val="en-AU" w:eastAsia="en-AU"/>
        </w:rPr>
        <w:t xml:space="preserve">5 </w:t>
      </w:r>
      <w:r w:rsidR="00601BD4">
        <w:rPr>
          <w:lang w:val="en-AU" w:eastAsia="en-AU"/>
        </w:rPr>
        <w:t>micrograms</w:t>
      </w:r>
      <w:r w:rsidRPr="00F2177A">
        <w:rPr>
          <w:lang w:val="en-AU" w:eastAsia="en-AU"/>
        </w:rPr>
        <w:t>/m</w:t>
      </w:r>
      <w:r w:rsidRPr="00BE0862">
        <w:rPr>
          <w:vertAlign w:val="superscript"/>
          <w:lang w:val="en-AU" w:eastAsia="en-AU"/>
        </w:rPr>
        <w:t>2</w:t>
      </w:r>
      <w:r w:rsidRPr="00F2177A">
        <w:rPr>
          <w:lang w:val="en-AU" w:eastAsia="en-AU"/>
        </w:rPr>
        <w:t>/day</w:t>
      </w:r>
      <w:proofErr w:type="gramEnd"/>
      <w:r w:rsidRPr="00F2177A">
        <w:rPr>
          <w:lang w:val="en-AU" w:eastAsia="en-AU"/>
        </w:rPr>
        <w:t xml:space="preserve"> or ≥ 9 </w:t>
      </w:r>
      <w:r w:rsidR="002E0BB1">
        <w:rPr>
          <w:lang w:val="en-AU" w:eastAsia="en-AU"/>
        </w:rPr>
        <w:t>micrograms</w:t>
      </w:r>
      <w:r w:rsidRPr="00F2177A">
        <w:rPr>
          <w:lang w:val="en-AU" w:eastAsia="en-AU"/>
        </w:rPr>
        <w:t xml:space="preserve">/day in the majority of </w:t>
      </w:r>
      <w:r w:rsidR="00A64F9F">
        <w:rPr>
          <w:lang w:val="en-AU" w:eastAsia="en-AU"/>
        </w:rPr>
        <w:t>patients</w:t>
      </w:r>
      <w:r w:rsidRPr="00F2177A">
        <w:rPr>
          <w:lang w:val="en-AU" w:eastAsia="en-AU"/>
        </w:rPr>
        <w:t xml:space="preserve">. No recovery of peripheral </w:t>
      </w:r>
      <w:r w:rsidR="00EA4F8A">
        <w:rPr>
          <w:lang w:val="en-AU" w:eastAsia="en-AU"/>
        </w:rPr>
        <w:t>B cell</w:t>
      </w:r>
      <w:r w:rsidRPr="00F2177A">
        <w:rPr>
          <w:lang w:val="en-AU" w:eastAsia="en-AU"/>
        </w:rPr>
        <w:t xml:space="preserve"> counts was observed during the 2-week </w:t>
      </w:r>
      <w:proofErr w:type="spellStart"/>
      <w:r w:rsidR="00FD0BE3">
        <w:rPr>
          <w:lang w:val="en-AU" w:eastAsia="en-AU"/>
        </w:rPr>
        <w:t>Blincyto</w:t>
      </w:r>
      <w:proofErr w:type="spellEnd"/>
      <w:r w:rsidRPr="00F2177A">
        <w:rPr>
          <w:lang w:val="en-AU" w:eastAsia="en-AU"/>
        </w:rPr>
        <w:t>-free period between treatment cycles. Incomplete depletion of B cells occurred at doses of 0.5</w:t>
      </w:r>
      <w:r w:rsidR="00C15720">
        <w:rPr>
          <w:lang w:val="en-AU" w:eastAsia="en-AU"/>
        </w:rPr>
        <w:t> </w:t>
      </w:r>
      <w:r w:rsidR="002E0BB1">
        <w:rPr>
          <w:lang w:val="en-AU" w:eastAsia="en-AU"/>
        </w:rPr>
        <w:t>micrograms</w:t>
      </w:r>
      <w:r w:rsidRPr="00F2177A">
        <w:rPr>
          <w:lang w:val="en-AU" w:eastAsia="en-AU"/>
        </w:rPr>
        <w:t>/m</w:t>
      </w:r>
      <w:r w:rsidRPr="00BE0862">
        <w:rPr>
          <w:vertAlign w:val="superscript"/>
          <w:lang w:val="en-AU" w:eastAsia="en-AU"/>
        </w:rPr>
        <w:t>2</w:t>
      </w:r>
      <w:r w:rsidRPr="00F2177A">
        <w:rPr>
          <w:lang w:val="en-AU" w:eastAsia="en-AU"/>
        </w:rPr>
        <w:t xml:space="preserve">/day and 1.5 </w:t>
      </w:r>
      <w:r w:rsidR="002E0BB1">
        <w:rPr>
          <w:lang w:val="en-AU" w:eastAsia="en-AU"/>
        </w:rPr>
        <w:t>micrograms</w:t>
      </w:r>
      <w:r w:rsidRPr="00F2177A">
        <w:rPr>
          <w:lang w:val="en-AU" w:eastAsia="en-AU"/>
        </w:rPr>
        <w:t>/m</w:t>
      </w:r>
      <w:r w:rsidRPr="00BE0862">
        <w:rPr>
          <w:vertAlign w:val="superscript"/>
          <w:lang w:val="en-AU" w:eastAsia="en-AU"/>
        </w:rPr>
        <w:t>2</w:t>
      </w:r>
      <w:r w:rsidRPr="00F2177A">
        <w:rPr>
          <w:lang w:val="en-AU" w:eastAsia="en-AU"/>
        </w:rPr>
        <w:t>/day and in a few non-responders at higher doses.</w:t>
      </w:r>
    </w:p>
    <w:p w:rsidR="00D259A6" w:rsidRPr="00F2177A" w:rsidRDefault="00CF3CFE" w:rsidP="00963C18">
      <w:pPr>
        <w:pStyle w:val="Text"/>
        <w:rPr>
          <w:lang w:val="en-AU"/>
        </w:rPr>
      </w:pPr>
      <w:r w:rsidRPr="00F2177A">
        <w:rPr>
          <w:lang w:val="en-AU" w:eastAsia="en-AU"/>
        </w:rPr>
        <w:t xml:space="preserve">Cytokines including IL-2, IL-4, IL-6, IL-8, IL-10, IL-12, TNF-α, and IFN-γ were measured, and IL-6, IL-10, and IFN-γ were most elevated. Transient elevation of cytokines was observed in the first 2 days following start of </w:t>
      </w:r>
      <w:proofErr w:type="spellStart"/>
      <w:r w:rsidR="00FD0BE3">
        <w:rPr>
          <w:lang w:val="en-AU" w:eastAsia="en-AU"/>
        </w:rPr>
        <w:t>Blincyto</w:t>
      </w:r>
      <w:proofErr w:type="spellEnd"/>
      <w:r w:rsidRPr="00F2177A">
        <w:rPr>
          <w:lang w:val="en-AU" w:eastAsia="en-AU"/>
        </w:rPr>
        <w:t xml:space="preserve"> infusion. The elevated cytokine levels returned to baseline within 24 to 48 hours during the infusion. In subsequent treatment cycles, cytokine elevation occurred in fewer patients with lesser intensity compared to the initial 48 hours of the first treatment cycle.</w:t>
      </w:r>
    </w:p>
    <w:p w:rsidR="006B63F5" w:rsidRPr="00963C18" w:rsidRDefault="006B63F5" w:rsidP="00071D5D">
      <w:pPr>
        <w:pStyle w:val="Heading3"/>
        <w:rPr>
          <w:lang w:val="en-AU"/>
        </w:rPr>
      </w:pPr>
      <w:r w:rsidRPr="00963C18">
        <w:rPr>
          <w:lang w:val="en-AU"/>
        </w:rPr>
        <w:t>Pharmacokinetics</w:t>
      </w:r>
    </w:p>
    <w:p w:rsidR="00F45D40" w:rsidRPr="00F2177A" w:rsidRDefault="00F45D40" w:rsidP="00963C18">
      <w:pPr>
        <w:pStyle w:val="Text"/>
        <w:rPr>
          <w:lang w:val="en-AU" w:eastAsia="en-AU"/>
        </w:rPr>
      </w:pPr>
      <w:r w:rsidRPr="00F2177A">
        <w:rPr>
          <w:lang w:val="en-AU" w:eastAsia="en-AU"/>
        </w:rPr>
        <w:t xml:space="preserve">The pharmacokinetics of </w:t>
      </w:r>
      <w:proofErr w:type="spellStart"/>
      <w:r w:rsidR="00DD0E23">
        <w:rPr>
          <w:lang w:val="en-AU" w:eastAsia="en-AU"/>
        </w:rPr>
        <w:t>Blincyto</w:t>
      </w:r>
      <w:proofErr w:type="spellEnd"/>
      <w:r w:rsidRPr="00F2177A">
        <w:rPr>
          <w:lang w:val="en-AU" w:eastAsia="en-AU"/>
        </w:rPr>
        <w:t xml:space="preserve"> appear linear over a dose range from 5 </w:t>
      </w:r>
      <w:proofErr w:type="gramStart"/>
      <w:r w:rsidRPr="00F2177A">
        <w:rPr>
          <w:lang w:val="en-AU" w:eastAsia="en-AU"/>
        </w:rPr>
        <w:t xml:space="preserve">to 90 </w:t>
      </w:r>
      <w:r w:rsidR="00AE642E">
        <w:rPr>
          <w:lang w:val="en-AU" w:eastAsia="en-AU"/>
        </w:rPr>
        <w:t>micrograms</w:t>
      </w:r>
      <w:r w:rsidRPr="00F2177A">
        <w:rPr>
          <w:lang w:val="en-AU" w:eastAsia="en-AU"/>
        </w:rPr>
        <w:t>/m</w:t>
      </w:r>
      <w:r w:rsidRPr="00BE0862">
        <w:rPr>
          <w:vertAlign w:val="superscript"/>
          <w:lang w:val="en-AU" w:eastAsia="en-AU"/>
        </w:rPr>
        <w:t>2</w:t>
      </w:r>
      <w:r w:rsidRPr="00F2177A">
        <w:rPr>
          <w:lang w:val="en-AU" w:eastAsia="en-AU"/>
        </w:rPr>
        <w:t xml:space="preserve">/day (approximately equivalent to 9 to 162 </w:t>
      </w:r>
      <w:r w:rsidR="00AE642E">
        <w:rPr>
          <w:lang w:val="en-AU" w:eastAsia="en-AU"/>
        </w:rPr>
        <w:t>micrograms</w:t>
      </w:r>
      <w:r w:rsidRPr="00F2177A">
        <w:rPr>
          <w:lang w:val="en-AU" w:eastAsia="en-AU"/>
        </w:rPr>
        <w:t>/day) in adult patients</w:t>
      </w:r>
      <w:proofErr w:type="gramEnd"/>
      <w:r w:rsidRPr="00F2177A">
        <w:rPr>
          <w:lang w:val="en-AU" w:eastAsia="en-AU"/>
        </w:rPr>
        <w:t>. Following continuous intravenous infusion, the steady state serum concentration (</w:t>
      </w:r>
      <w:proofErr w:type="spellStart"/>
      <w:r w:rsidRPr="00F2177A">
        <w:rPr>
          <w:lang w:val="en-AU" w:eastAsia="en-AU"/>
        </w:rPr>
        <w:t>Css</w:t>
      </w:r>
      <w:proofErr w:type="spellEnd"/>
      <w:r w:rsidRPr="00F2177A">
        <w:rPr>
          <w:lang w:val="en-AU" w:eastAsia="en-AU"/>
        </w:rPr>
        <w:t xml:space="preserve">) was achieved within a day and remained stable over time. The increase in mean </w:t>
      </w:r>
      <w:proofErr w:type="spellStart"/>
      <w:r w:rsidRPr="00F2177A">
        <w:rPr>
          <w:lang w:val="en-AU" w:eastAsia="en-AU"/>
        </w:rPr>
        <w:t>Css</w:t>
      </w:r>
      <w:proofErr w:type="spellEnd"/>
      <w:r w:rsidRPr="00F2177A">
        <w:rPr>
          <w:lang w:val="en-AU" w:eastAsia="en-AU"/>
        </w:rPr>
        <w:t xml:space="preserve"> values was approximately proportional to the dose in the range tested. At the clinical doses of 9 </w:t>
      </w:r>
      <w:r w:rsidR="002E0BB1">
        <w:rPr>
          <w:lang w:val="en-AU" w:eastAsia="en-AU"/>
        </w:rPr>
        <w:t>micrograms</w:t>
      </w:r>
      <w:r w:rsidRPr="00F2177A">
        <w:rPr>
          <w:lang w:val="en-AU" w:eastAsia="en-AU"/>
        </w:rPr>
        <w:t xml:space="preserve">/day and 28 </w:t>
      </w:r>
      <w:r w:rsidR="002E0BB1">
        <w:rPr>
          <w:lang w:val="en-AU" w:eastAsia="en-AU"/>
        </w:rPr>
        <w:t>micrograms</w:t>
      </w:r>
      <w:r w:rsidRPr="00F2177A">
        <w:rPr>
          <w:lang w:val="en-AU" w:eastAsia="en-AU"/>
        </w:rPr>
        <w:t xml:space="preserve">/day for the treatment of relapsed/refractory </w:t>
      </w:r>
      <w:r w:rsidR="00EA4F8A">
        <w:rPr>
          <w:lang w:val="en-AU" w:eastAsia="en-AU"/>
        </w:rPr>
        <w:t>acute</w:t>
      </w:r>
      <w:r w:rsidR="00963C18">
        <w:rPr>
          <w:lang w:val="en-AU" w:eastAsia="en-AU"/>
        </w:rPr>
        <w:t xml:space="preserve"> </w:t>
      </w:r>
      <w:r w:rsidR="00EA4F8A">
        <w:rPr>
          <w:lang w:val="en-AU" w:eastAsia="en-AU"/>
        </w:rPr>
        <w:t xml:space="preserve">lymphoblastic </w:t>
      </w:r>
      <w:proofErr w:type="spellStart"/>
      <w:r w:rsidR="00EA4F8A">
        <w:rPr>
          <w:lang w:val="en-AU" w:eastAsia="en-AU"/>
        </w:rPr>
        <w:t>leukemia</w:t>
      </w:r>
      <w:proofErr w:type="spellEnd"/>
      <w:r w:rsidR="00EA4F8A">
        <w:rPr>
          <w:lang w:val="en-AU" w:eastAsia="en-AU"/>
        </w:rPr>
        <w:t xml:space="preserve"> (</w:t>
      </w:r>
      <w:r w:rsidRPr="00F2177A">
        <w:rPr>
          <w:lang w:val="en-AU" w:eastAsia="en-AU"/>
        </w:rPr>
        <w:t>ALL</w:t>
      </w:r>
      <w:r w:rsidR="00EA4F8A">
        <w:rPr>
          <w:lang w:val="en-AU" w:eastAsia="en-AU"/>
        </w:rPr>
        <w:t>)</w:t>
      </w:r>
      <w:r w:rsidRPr="00F2177A">
        <w:rPr>
          <w:lang w:val="en-AU" w:eastAsia="en-AU"/>
        </w:rPr>
        <w:t xml:space="preserve">, the mean (SD) </w:t>
      </w:r>
      <w:proofErr w:type="spellStart"/>
      <w:r w:rsidRPr="00F2177A">
        <w:rPr>
          <w:lang w:val="en-AU" w:eastAsia="en-AU"/>
        </w:rPr>
        <w:t>Css</w:t>
      </w:r>
      <w:proofErr w:type="spellEnd"/>
      <w:r w:rsidRPr="00F2177A">
        <w:rPr>
          <w:lang w:val="en-AU" w:eastAsia="en-AU"/>
        </w:rPr>
        <w:t xml:space="preserve"> was 211 (258) </w:t>
      </w:r>
      <w:proofErr w:type="spellStart"/>
      <w:r w:rsidRPr="00F2177A">
        <w:rPr>
          <w:lang w:val="en-AU" w:eastAsia="en-AU"/>
        </w:rPr>
        <w:t>pg</w:t>
      </w:r>
      <w:proofErr w:type="spellEnd"/>
      <w:r w:rsidRPr="00F2177A">
        <w:rPr>
          <w:lang w:val="en-AU" w:eastAsia="en-AU"/>
        </w:rPr>
        <w:t xml:space="preserve">/mL and 621 (502) </w:t>
      </w:r>
      <w:proofErr w:type="spellStart"/>
      <w:r w:rsidRPr="00F2177A">
        <w:rPr>
          <w:lang w:val="en-AU" w:eastAsia="en-AU"/>
        </w:rPr>
        <w:t>pg</w:t>
      </w:r>
      <w:proofErr w:type="spellEnd"/>
      <w:r w:rsidRPr="00F2177A">
        <w:rPr>
          <w:lang w:val="en-AU" w:eastAsia="en-AU"/>
        </w:rPr>
        <w:t>/mL, respectively.</w:t>
      </w:r>
    </w:p>
    <w:p w:rsidR="00963C18" w:rsidRDefault="00F45D40" w:rsidP="00071D5D">
      <w:pPr>
        <w:pStyle w:val="Heading4"/>
        <w:rPr>
          <w:lang w:val="en-AU" w:eastAsia="en-AU"/>
        </w:rPr>
      </w:pPr>
      <w:r w:rsidRPr="00E809CE">
        <w:rPr>
          <w:lang w:val="en-AU" w:eastAsia="en-AU"/>
        </w:rPr>
        <w:t>Distribution</w:t>
      </w:r>
    </w:p>
    <w:p w:rsidR="00F45D40" w:rsidRPr="00963C18" w:rsidRDefault="00F45D40" w:rsidP="00963C18">
      <w:pPr>
        <w:pStyle w:val="Text"/>
        <w:rPr>
          <w:lang w:val="en-AU" w:eastAsia="en-AU"/>
        </w:rPr>
      </w:pPr>
      <w:r w:rsidRPr="00F2177A">
        <w:rPr>
          <w:lang w:val="en-AU" w:eastAsia="en-AU"/>
        </w:rPr>
        <w:t>The estimated mean (SD) volume of distribution based on terminal phase (</w:t>
      </w:r>
      <w:proofErr w:type="spellStart"/>
      <w:r w:rsidRPr="00F2177A">
        <w:rPr>
          <w:lang w:val="en-AU" w:eastAsia="en-AU"/>
        </w:rPr>
        <w:t>Vz</w:t>
      </w:r>
      <w:proofErr w:type="spellEnd"/>
      <w:r w:rsidRPr="00F2177A">
        <w:rPr>
          <w:lang w:val="en-AU" w:eastAsia="en-AU"/>
        </w:rPr>
        <w:t xml:space="preserve">) was 4.52 (2.89) L with continuous intravenous infusion of </w:t>
      </w:r>
      <w:proofErr w:type="spellStart"/>
      <w:r w:rsidR="00DD0E23">
        <w:rPr>
          <w:lang w:val="en-AU" w:eastAsia="en-AU"/>
        </w:rPr>
        <w:t>Blincyto</w:t>
      </w:r>
      <w:proofErr w:type="spellEnd"/>
      <w:r w:rsidRPr="00F2177A">
        <w:rPr>
          <w:lang w:val="en-AU" w:eastAsia="en-AU"/>
        </w:rPr>
        <w:t>.</w:t>
      </w:r>
    </w:p>
    <w:p w:rsidR="00F45D40" w:rsidRPr="00987441" w:rsidRDefault="00F45D40" w:rsidP="00071D5D">
      <w:pPr>
        <w:pStyle w:val="Heading4"/>
        <w:rPr>
          <w:lang w:val="en-AU" w:eastAsia="en-AU"/>
        </w:rPr>
      </w:pPr>
      <w:r w:rsidRPr="00987441">
        <w:rPr>
          <w:lang w:val="en-AU" w:eastAsia="en-AU"/>
        </w:rPr>
        <w:lastRenderedPageBreak/>
        <w:t>Metabolism</w:t>
      </w:r>
    </w:p>
    <w:p w:rsidR="00F45D40" w:rsidRPr="00F2177A" w:rsidRDefault="00F45D40" w:rsidP="00963C18">
      <w:pPr>
        <w:pStyle w:val="Text"/>
        <w:rPr>
          <w:lang w:val="en-AU" w:eastAsia="en-AU"/>
        </w:rPr>
      </w:pPr>
      <w:r w:rsidRPr="00F2177A">
        <w:rPr>
          <w:lang w:val="en-AU" w:eastAsia="en-AU"/>
        </w:rPr>
        <w:t xml:space="preserve">The metabolic pathway of </w:t>
      </w:r>
      <w:proofErr w:type="spellStart"/>
      <w:r w:rsidR="00DD0E23">
        <w:rPr>
          <w:lang w:val="en-AU" w:eastAsia="en-AU"/>
        </w:rPr>
        <w:t>Blincyto</w:t>
      </w:r>
      <w:proofErr w:type="spellEnd"/>
      <w:r w:rsidRPr="00F2177A">
        <w:rPr>
          <w:lang w:val="en-AU" w:eastAsia="en-AU"/>
        </w:rPr>
        <w:t xml:space="preserve"> has not been character</w:t>
      </w:r>
      <w:r w:rsidR="00C1787D">
        <w:rPr>
          <w:lang w:val="en-AU" w:eastAsia="en-AU"/>
        </w:rPr>
        <w:t>i</w:t>
      </w:r>
      <w:r w:rsidR="00E14B3F">
        <w:rPr>
          <w:lang w:val="en-AU" w:eastAsia="en-AU"/>
        </w:rPr>
        <w:t>s</w:t>
      </w:r>
      <w:r w:rsidRPr="00F2177A">
        <w:rPr>
          <w:lang w:val="en-AU" w:eastAsia="en-AU"/>
        </w:rPr>
        <w:t xml:space="preserve">ed. Like other protein therapeutics, </w:t>
      </w:r>
      <w:proofErr w:type="spellStart"/>
      <w:r w:rsidR="00FD0BE3">
        <w:rPr>
          <w:lang w:val="en-AU" w:eastAsia="en-AU"/>
        </w:rPr>
        <w:t>Blincyto</w:t>
      </w:r>
      <w:proofErr w:type="spellEnd"/>
      <w:r w:rsidRPr="00F2177A">
        <w:rPr>
          <w:lang w:val="en-AU" w:eastAsia="en-AU"/>
        </w:rPr>
        <w:t xml:space="preserve"> is expected to be degraded into small peptides and amino acids via catabolic pathways.</w:t>
      </w:r>
    </w:p>
    <w:p w:rsidR="00F45D40" w:rsidRPr="00987441" w:rsidRDefault="00F45D40" w:rsidP="00071D5D">
      <w:pPr>
        <w:pStyle w:val="Heading4"/>
        <w:rPr>
          <w:lang w:val="en-AU" w:eastAsia="en-AU"/>
        </w:rPr>
      </w:pPr>
      <w:r w:rsidRPr="00987441">
        <w:rPr>
          <w:lang w:val="en-AU" w:eastAsia="en-AU"/>
        </w:rPr>
        <w:t>Elimination</w:t>
      </w:r>
    </w:p>
    <w:p w:rsidR="009861F2" w:rsidRPr="00F2177A" w:rsidRDefault="00F45D40" w:rsidP="00963C18">
      <w:pPr>
        <w:pStyle w:val="Text"/>
        <w:rPr>
          <w:lang w:val="en-AU" w:eastAsia="en-AU"/>
        </w:rPr>
      </w:pPr>
      <w:r w:rsidRPr="00F2177A">
        <w:rPr>
          <w:lang w:val="en-AU" w:eastAsia="en-AU"/>
        </w:rPr>
        <w:t xml:space="preserve">The estimated mean (SD) systemic clearance with continuous intravenous infusion in patients receiving </w:t>
      </w:r>
      <w:proofErr w:type="spellStart"/>
      <w:r w:rsidR="00DD0E23">
        <w:rPr>
          <w:lang w:val="en-AU" w:eastAsia="en-AU"/>
        </w:rPr>
        <w:t>Blincyto</w:t>
      </w:r>
      <w:proofErr w:type="spellEnd"/>
      <w:r w:rsidRPr="00F2177A">
        <w:rPr>
          <w:lang w:val="en-AU" w:eastAsia="en-AU"/>
        </w:rPr>
        <w:t xml:space="preserve"> in clinical studies was 2.92 (2.83) L/hour. The mean (SD) half-life was 2.11 (1.42) hours. Negligible amounts of </w:t>
      </w:r>
      <w:proofErr w:type="spellStart"/>
      <w:r w:rsidR="00DD0E23">
        <w:rPr>
          <w:lang w:val="en-AU" w:eastAsia="en-AU"/>
        </w:rPr>
        <w:t>Blincyto</w:t>
      </w:r>
      <w:proofErr w:type="spellEnd"/>
      <w:r w:rsidRPr="00F2177A">
        <w:rPr>
          <w:lang w:val="en-AU" w:eastAsia="en-AU"/>
        </w:rPr>
        <w:t xml:space="preserve"> were excreted in the urine at the tested clinical doses.</w:t>
      </w:r>
    </w:p>
    <w:p w:rsidR="00F45D40" w:rsidRPr="00987441" w:rsidRDefault="00F45D40" w:rsidP="00071D5D">
      <w:pPr>
        <w:pStyle w:val="Heading4"/>
        <w:rPr>
          <w:lang w:val="en-AU" w:eastAsia="en-AU"/>
        </w:rPr>
      </w:pPr>
      <w:r w:rsidRPr="00987441">
        <w:rPr>
          <w:lang w:val="en-AU" w:eastAsia="en-AU"/>
        </w:rPr>
        <w:t>Body weight, Body surface area, Gender, and Age</w:t>
      </w:r>
    </w:p>
    <w:p w:rsidR="00F45D40" w:rsidRPr="00F2177A" w:rsidRDefault="00F45D40" w:rsidP="00963C18">
      <w:pPr>
        <w:pStyle w:val="Text"/>
        <w:rPr>
          <w:lang w:val="en-AU" w:eastAsia="en-AU"/>
        </w:rPr>
      </w:pPr>
      <w:r w:rsidRPr="00F2177A">
        <w:rPr>
          <w:lang w:val="en-AU" w:eastAsia="en-AU"/>
        </w:rPr>
        <w:t xml:space="preserve">A population pharmacokinetic analysis was performed to evaluate the effects of demographic characteristics on </w:t>
      </w:r>
      <w:proofErr w:type="spellStart"/>
      <w:r w:rsidR="00DD0E23">
        <w:rPr>
          <w:lang w:val="en-AU" w:eastAsia="en-AU"/>
        </w:rPr>
        <w:t>Blincyto</w:t>
      </w:r>
      <w:proofErr w:type="spellEnd"/>
      <w:r w:rsidRPr="00F2177A">
        <w:rPr>
          <w:lang w:val="en-AU" w:eastAsia="en-AU"/>
        </w:rPr>
        <w:t xml:space="preserve"> pharmacokinetics. Results suggest that age (18</w:t>
      </w:r>
      <w:r w:rsidR="00F848E5">
        <w:rPr>
          <w:lang w:val="en-AU" w:eastAsia="en-AU"/>
        </w:rPr>
        <w:t> </w:t>
      </w:r>
      <w:r w:rsidRPr="00F2177A">
        <w:rPr>
          <w:lang w:val="en-AU" w:eastAsia="en-AU"/>
        </w:rPr>
        <w:t>to 80 years of age), gender, body weight (44 to 134 kg), and body surface area (1.39 to 2.57 m</w:t>
      </w:r>
      <w:r w:rsidRPr="00BE0862">
        <w:rPr>
          <w:vertAlign w:val="superscript"/>
          <w:lang w:val="en-AU" w:eastAsia="en-AU"/>
        </w:rPr>
        <w:t>2</w:t>
      </w:r>
      <w:r w:rsidRPr="00F2177A">
        <w:rPr>
          <w:lang w:val="en-AU" w:eastAsia="en-AU"/>
        </w:rPr>
        <w:t xml:space="preserve">) do not influence the pharmacokinetics of </w:t>
      </w:r>
      <w:proofErr w:type="spellStart"/>
      <w:r w:rsidR="00DD0E23">
        <w:rPr>
          <w:lang w:val="en-AU" w:eastAsia="en-AU"/>
        </w:rPr>
        <w:t>Blincyto</w:t>
      </w:r>
      <w:proofErr w:type="spellEnd"/>
      <w:r w:rsidRPr="00F2177A">
        <w:rPr>
          <w:lang w:val="en-AU" w:eastAsia="en-AU"/>
        </w:rPr>
        <w:t>.</w:t>
      </w:r>
    </w:p>
    <w:p w:rsidR="006B63F5" w:rsidRPr="00963C18" w:rsidRDefault="006B63F5" w:rsidP="00071D5D">
      <w:pPr>
        <w:pStyle w:val="Heading3"/>
        <w:rPr>
          <w:i/>
          <w:lang w:val="en-AU" w:eastAsia="en-AU"/>
        </w:rPr>
      </w:pPr>
      <w:r w:rsidRPr="00963C18">
        <w:rPr>
          <w:lang w:val="en-AU" w:eastAsia="en-AU"/>
        </w:rPr>
        <w:t>Special populations</w:t>
      </w:r>
    </w:p>
    <w:p w:rsidR="006E7F4F" w:rsidRPr="00987441" w:rsidRDefault="006E7F4F" w:rsidP="00071D5D">
      <w:pPr>
        <w:pStyle w:val="Heading4"/>
        <w:rPr>
          <w:lang w:val="en-AU" w:eastAsia="en-AU"/>
        </w:rPr>
      </w:pPr>
      <w:r w:rsidRPr="00987441">
        <w:rPr>
          <w:lang w:val="en-AU" w:eastAsia="en-AU"/>
        </w:rPr>
        <w:t>Paediatric</w:t>
      </w:r>
    </w:p>
    <w:p w:rsidR="00B2273D" w:rsidRPr="00ED30B6" w:rsidRDefault="0099358E" w:rsidP="00963C18">
      <w:pPr>
        <w:pStyle w:val="Text"/>
      </w:pPr>
      <w:r w:rsidRPr="00F2177A">
        <w:rPr>
          <w:lang w:val="en-AU"/>
        </w:rPr>
        <w:t xml:space="preserve">There is limited experience in paediatric patients. </w:t>
      </w:r>
      <w:r w:rsidR="00B2273D" w:rsidRPr="00B2273D">
        <w:rPr>
          <w:lang w:val="en-AU"/>
        </w:rPr>
        <w:t xml:space="preserve">The pharmacokinetics of </w:t>
      </w:r>
      <w:proofErr w:type="spellStart"/>
      <w:r w:rsidR="00B2273D" w:rsidRPr="00B2273D">
        <w:rPr>
          <w:lang w:val="en-AU"/>
        </w:rPr>
        <w:t>Blincyto</w:t>
      </w:r>
      <w:proofErr w:type="spellEnd"/>
      <w:r w:rsidR="00B2273D" w:rsidRPr="00B2273D">
        <w:rPr>
          <w:lang w:val="en-AU"/>
        </w:rPr>
        <w:t xml:space="preserve"> was investigated in paediatric patients with relapsed/refractory ALL during a dose escalation/evaluation study. Preliminary pharmacokinetic analysis suggested that mean (SD) steady state concentration (</w:t>
      </w:r>
      <w:proofErr w:type="spellStart"/>
      <w:r w:rsidR="00B2273D" w:rsidRPr="00B2273D">
        <w:rPr>
          <w:lang w:val="en-AU"/>
        </w:rPr>
        <w:t>Css</w:t>
      </w:r>
      <w:proofErr w:type="spellEnd"/>
      <w:r w:rsidR="00B2273D" w:rsidRPr="00B2273D">
        <w:rPr>
          <w:lang w:val="en-AU"/>
        </w:rPr>
        <w:t xml:space="preserve">) of </w:t>
      </w:r>
      <w:proofErr w:type="spellStart"/>
      <w:r w:rsidR="00B2273D" w:rsidRPr="00B2273D">
        <w:rPr>
          <w:lang w:val="en-AU"/>
        </w:rPr>
        <w:t>Blincyto</w:t>
      </w:r>
      <w:proofErr w:type="spellEnd"/>
      <w:r w:rsidR="00B2273D" w:rsidRPr="00B2273D">
        <w:rPr>
          <w:lang w:val="en-AU"/>
        </w:rPr>
        <w:t xml:space="preserve"> was 620 (305) </w:t>
      </w:r>
      <w:proofErr w:type="spellStart"/>
      <w:r w:rsidR="00B2273D" w:rsidRPr="00B2273D">
        <w:rPr>
          <w:lang w:val="en-AU"/>
        </w:rPr>
        <w:t>pg</w:t>
      </w:r>
      <w:proofErr w:type="spellEnd"/>
      <w:r w:rsidR="00B2273D" w:rsidRPr="00B2273D">
        <w:rPr>
          <w:lang w:val="en-AU"/>
        </w:rPr>
        <w:t>/mL (</w:t>
      </w:r>
      <w:r w:rsidR="00A47498">
        <w:rPr>
          <w:lang w:val="en-AU"/>
        </w:rPr>
        <w:t>N</w:t>
      </w:r>
      <w:r w:rsidR="00B2273D" w:rsidRPr="00B2273D">
        <w:rPr>
          <w:lang w:val="en-AU"/>
        </w:rPr>
        <w:t>=14) in the 7 to</w:t>
      </w:r>
      <w:r w:rsidR="000F2608">
        <w:rPr>
          <w:lang w:val="en-AU"/>
        </w:rPr>
        <w:t xml:space="preserve"> </w:t>
      </w:r>
      <w:r w:rsidR="00B2273D" w:rsidRPr="00B2273D">
        <w:rPr>
          <w:lang w:val="en-AU"/>
        </w:rPr>
        <w:t xml:space="preserve">17 years age group, 390 (286) </w:t>
      </w:r>
      <w:proofErr w:type="spellStart"/>
      <w:r w:rsidR="00B2273D" w:rsidRPr="00B2273D">
        <w:rPr>
          <w:lang w:val="en-AU"/>
        </w:rPr>
        <w:t>pg</w:t>
      </w:r>
      <w:proofErr w:type="spellEnd"/>
      <w:r w:rsidR="00B2273D" w:rsidRPr="00B2273D">
        <w:rPr>
          <w:lang w:val="en-AU"/>
        </w:rPr>
        <w:t>/mL (</w:t>
      </w:r>
      <w:r w:rsidR="00A47498">
        <w:rPr>
          <w:lang w:val="en-AU"/>
        </w:rPr>
        <w:t>N</w:t>
      </w:r>
      <w:r w:rsidR="00B2273D" w:rsidRPr="00B2273D">
        <w:rPr>
          <w:lang w:val="en-AU"/>
        </w:rPr>
        <w:t xml:space="preserve">=12) in the 2 to 6 years age group and 552 (237) </w:t>
      </w:r>
      <w:proofErr w:type="spellStart"/>
      <w:r w:rsidR="00B2273D" w:rsidRPr="00B2273D">
        <w:rPr>
          <w:lang w:val="en-AU"/>
        </w:rPr>
        <w:t>pg</w:t>
      </w:r>
      <w:proofErr w:type="spellEnd"/>
      <w:r w:rsidR="00B2273D" w:rsidRPr="00B2273D">
        <w:rPr>
          <w:lang w:val="en-AU"/>
        </w:rPr>
        <w:t>/mL (</w:t>
      </w:r>
      <w:r w:rsidR="00A47498">
        <w:rPr>
          <w:lang w:val="en-AU"/>
        </w:rPr>
        <w:t>N</w:t>
      </w:r>
      <w:r w:rsidR="00B2273D" w:rsidRPr="00B2273D">
        <w:rPr>
          <w:lang w:val="en-AU"/>
        </w:rPr>
        <w:t xml:space="preserve">=34) in adults at dose of 15 </w:t>
      </w:r>
      <w:r w:rsidR="002E0BB1">
        <w:rPr>
          <w:lang w:val="en-AU"/>
        </w:rPr>
        <w:t>micrograms</w:t>
      </w:r>
      <w:r w:rsidR="00B2273D" w:rsidRPr="00B2273D">
        <w:rPr>
          <w:lang w:val="en-AU"/>
        </w:rPr>
        <w:t>/m</w:t>
      </w:r>
      <w:r w:rsidR="00B2273D" w:rsidRPr="00BE0862">
        <w:rPr>
          <w:vertAlign w:val="superscript"/>
          <w:lang w:val="en-AU"/>
        </w:rPr>
        <w:t>2</w:t>
      </w:r>
      <w:r w:rsidR="00B2273D" w:rsidRPr="00B2273D">
        <w:rPr>
          <w:lang w:val="en-AU"/>
        </w:rPr>
        <w:t>/day under continuous IV infusion.  The mean terminal elimination half-lives in paediatric and adult patients were approximately 2 hours</w:t>
      </w:r>
      <w:r w:rsidR="00B2273D" w:rsidRPr="00BE351D">
        <w:rPr>
          <w:lang w:val="en-AU"/>
        </w:rPr>
        <w:t>.</w:t>
      </w:r>
    </w:p>
    <w:p w:rsidR="009767A7" w:rsidRPr="00963C18" w:rsidRDefault="009767A7" w:rsidP="00071D5D">
      <w:pPr>
        <w:pStyle w:val="Heading4"/>
        <w:rPr>
          <w:lang w:val="en-AU" w:eastAsia="en-AU"/>
        </w:rPr>
      </w:pPr>
      <w:r w:rsidRPr="00963C18">
        <w:rPr>
          <w:lang w:val="en-AU" w:eastAsia="en-AU"/>
        </w:rPr>
        <w:t>Use in hepatic impairment</w:t>
      </w:r>
    </w:p>
    <w:p w:rsidR="00E36CA6" w:rsidRDefault="00E80C13" w:rsidP="00963C18">
      <w:pPr>
        <w:pStyle w:val="Text"/>
        <w:rPr>
          <w:lang w:val="en-AU"/>
        </w:rPr>
      </w:pPr>
      <w:r w:rsidRPr="00F2177A">
        <w:rPr>
          <w:lang w:val="en-AU"/>
        </w:rPr>
        <w:t xml:space="preserve">No formal pharmacokinetic studies using </w:t>
      </w:r>
      <w:proofErr w:type="spellStart"/>
      <w:r w:rsidRPr="00F2177A">
        <w:rPr>
          <w:lang w:val="en-AU"/>
        </w:rPr>
        <w:t>Blincyto</w:t>
      </w:r>
      <w:proofErr w:type="spellEnd"/>
      <w:r w:rsidRPr="00F2177A">
        <w:rPr>
          <w:lang w:val="en-AU"/>
        </w:rPr>
        <w:t xml:space="preserve"> have been conducted in patients with hepatic impairment. </w:t>
      </w:r>
      <w:r w:rsidR="00B2273D" w:rsidRPr="00B2273D">
        <w:rPr>
          <w:lang w:val="en-AU"/>
        </w:rPr>
        <w:t xml:space="preserve">Baseline alanine aminotransferase [ALT] and aspartate aminotransferase [AST] levels were used to assess the effect of hepatic impairment on the clearance of </w:t>
      </w:r>
      <w:proofErr w:type="spellStart"/>
      <w:r w:rsidR="00DD0E23">
        <w:rPr>
          <w:lang w:val="en-AU" w:eastAsia="en-AU"/>
        </w:rPr>
        <w:t>Blincyto</w:t>
      </w:r>
      <w:proofErr w:type="spellEnd"/>
      <w:r w:rsidR="00B2273D" w:rsidRPr="00B2273D">
        <w:rPr>
          <w:lang w:val="en-AU"/>
        </w:rPr>
        <w:t xml:space="preserve">. Population pharmacokinetic analysis suggested that there was no association between ALT or AST levels and the clearance of </w:t>
      </w:r>
      <w:proofErr w:type="spellStart"/>
      <w:r w:rsidR="00B2273D" w:rsidRPr="00B2273D">
        <w:rPr>
          <w:lang w:val="en-AU"/>
        </w:rPr>
        <w:t>blinatumomab</w:t>
      </w:r>
      <w:proofErr w:type="spellEnd"/>
      <w:r w:rsidR="00B2273D" w:rsidRPr="00B2273D">
        <w:rPr>
          <w:lang w:val="en-AU"/>
        </w:rPr>
        <w:t>.</w:t>
      </w:r>
    </w:p>
    <w:p w:rsidR="009767A7" w:rsidRPr="00963C18" w:rsidRDefault="009767A7" w:rsidP="00071D5D">
      <w:pPr>
        <w:pStyle w:val="Heading4"/>
        <w:rPr>
          <w:lang w:val="en-AU" w:eastAsia="en-AU"/>
        </w:rPr>
      </w:pPr>
      <w:r w:rsidRPr="00963C18">
        <w:rPr>
          <w:lang w:val="en-AU" w:eastAsia="en-AU"/>
        </w:rPr>
        <w:t>Use in renal impairment</w:t>
      </w:r>
    </w:p>
    <w:p w:rsidR="001C0295" w:rsidRDefault="009767A7" w:rsidP="00963C18">
      <w:pPr>
        <w:pStyle w:val="Text"/>
        <w:rPr>
          <w:lang w:val="en-AU"/>
        </w:rPr>
      </w:pPr>
      <w:r w:rsidRPr="00565164">
        <w:rPr>
          <w:lang w:val="en-GB"/>
        </w:rPr>
        <w:t xml:space="preserve">No formal pharmacokinetic studies of </w:t>
      </w:r>
      <w:proofErr w:type="spellStart"/>
      <w:r w:rsidRPr="00565164">
        <w:rPr>
          <w:lang w:val="en-GB"/>
        </w:rPr>
        <w:t>blinatumomab</w:t>
      </w:r>
      <w:proofErr w:type="spellEnd"/>
      <w:r w:rsidRPr="00565164">
        <w:rPr>
          <w:lang w:val="en-GB"/>
        </w:rPr>
        <w:t xml:space="preserve"> have been conducted in patients with renal </w:t>
      </w:r>
      <w:r>
        <w:rPr>
          <w:lang w:val="en-GB"/>
        </w:rPr>
        <w:t xml:space="preserve">impairment. </w:t>
      </w:r>
      <w:r w:rsidR="00B2273D" w:rsidRPr="00B2273D">
        <w:rPr>
          <w:lang w:val="en-AU"/>
        </w:rPr>
        <w:t xml:space="preserve">Pharmacokinetic analyses showed an approximately 2-fold difference in mean </w:t>
      </w:r>
      <w:proofErr w:type="spellStart"/>
      <w:r w:rsidR="00B2273D" w:rsidRPr="00B2273D">
        <w:rPr>
          <w:lang w:val="en-AU"/>
        </w:rPr>
        <w:t>blinatumomab</w:t>
      </w:r>
      <w:proofErr w:type="spellEnd"/>
      <w:r w:rsidR="00B2273D" w:rsidRPr="00B2273D">
        <w:rPr>
          <w:lang w:val="en-AU"/>
        </w:rPr>
        <w:t xml:space="preserve"> clearance values between </w:t>
      </w:r>
      <w:r w:rsidR="00A64F9F">
        <w:rPr>
          <w:lang w:val="en-AU"/>
        </w:rPr>
        <w:t>patients</w:t>
      </w:r>
      <w:r w:rsidR="00B2273D" w:rsidRPr="00B2273D">
        <w:rPr>
          <w:lang w:val="en-AU"/>
        </w:rPr>
        <w:t xml:space="preserve"> with moderate renal dysfunction and normal renal function.  </w:t>
      </w:r>
      <w:r w:rsidR="00BA728B">
        <w:rPr>
          <w:lang w:val="en-AU"/>
        </w:rPr>
        <w:t xml:space="preserve">Since </w:t>
      </w:r>
      <w:r w:rsidR="00B2273D" w:rsidRPr="00B2273D">
        <w:rPr>
          <w:lang w:val="en-AU"/>
        </w:rPr>
        <w:t xml:space="preserve">high inter-subject variability was discerned (CV% up to 95.6%), and clearance values in renal impaired </w:t>
      </w:r>
      <w:r w:rsidR="00A64F9F">
        <w:rPr>
          <w:lang w:val="en-AU"/>
        </w:rPr>
        <w:t>patients</w:t>
      </w:r>
      <w:r w:rsidR="00B2273D" w:rsidRPr="00B2273D">
        <w:rPr>
          <w:lang w:val="en-AU"/>
        </w:rPr>
        <w:t xml:space="preserve"> were essentially within the range observed in </w:t>
      </w:r>
      <w:r w:rsidR="00A64F9F">
        <w:rPr>
          <w:lang w:val="en-AU"/>
        </w:rPr>
        <w:t>patients</w:t>
      </w:r>
      <w:r w:rsidR="00B2273D" w:rsidRPr="00B2273D">
        <w:rPr>
          <w:lang w:val="en-AU"/>
        </w:rPr>
        <w:t xml:space="preserve"> with normal renal function,  no clinically meaningful impact of renal function on clinical outcomes is expected</w:t>
      </w:r>
      <w:r w:rsidR="005264AC" w:rsidRPr="00F2177A">
        <w:rPr>
          <w:lang w:val="en-AU"/>
        </w:rPr>
        <w:t>.</w:t>
      </w:r>
    </w:p>
    <w:p w:rsidR="00767C0A" w:rsidRPr="00F2177A" w:rsidRDefault="00767C0A" w:rsidP="00071D5D">
      <w:pPr>
        <w:pStyle w:val="Heading2"/>
      </w:pPr>
      <w:r w:rsidRPr="00F2177A">
        <w:t>CLINICAL TRIALS</w:t>
      </w:r>
    </w:p>
    <w:p w:rsidR="00E36CA6" w:rsidRDefault="00F3501B" w:rsidP="00963C18">
      <w:pPr>
        <w:pStyle w:val="Text"/>
        <w:rPr>
          <w:lang w:val="en-AU" w:eastAsia="en-AU"/>
        </w:rPr>
      </w:pPr>
      <w:r w:rsidRPr="00F2177A">
        <w:rPr>
          <w:lang w:val="en-AU" w:eastAsia="en-AU"/>
        </w:rPr>
        <w:t xml:space="preserve">A total of 225 patients aged ≥ 18 years of age with relapsed or refractory B-precursor Acute Lymphoblastic </w:t>
      </w:r>
      <w:r w:rsidR="001D040E">
        <w:rPr>
          <w:lang w:val="en-AU" w:eastAsia="en-AU"/>
        </w:rPr>
        <w:t>Leukaemia</w:t>
      </w:r>
      <w:r w:rsidRPr="00F2177A">
        <w:rPr>
          <w:lang w:val="en-AU" w:eastAsia="en-AU"/>
        </w:rPr>
        <w:t xml:space="preserve"> (ALL) were exposed to </w:t>
      </w:r>
      <w:proofErr w:type="spellStart"/>
      <w:r w:rsidR="00FD0BE3">
        <w:rPr>
          <w:lang w:val="en-AU" w:eastAsia="en-AU"/>
        </w:rPr>
        <w:t>Blincyto</w:t>
      </w:r>
      <w:proofErr w:type="spellEnd"/>
      <w:r w:rsidRPr="00F2177A">
        <w:rPr>
          <w:lang w:val="en-AU" w:eastAsia="en-AU"/>
        </w:rPr>
        <w:t xml:space="preserve"> during clinical trials.</w:t>
      </w:r>
    </w:p>
    <w:p w:rsidR="00F3501B" w:rsidRPr="00F2177A" w:rsidRDefault="00F3501B" w:rsidP="00963C18">
      <w:pPr>
        <w:pStyle w:val="Text"/>
        <w:rPr>
          <w:lang w:val="en-AU" w:eastAsia="en-AU"/>
        </w:rPr>
      </w:pPr>
      <w:r w:rsidRPr="00F2177A">
        <w:rPr>
          <w:lang w:val="en-AU" w:eastAsia="en-AU"/>
        </w:rPr>
        <w:t xml:space="preserve">In </w:t>
      </w:r>
      <w:r w:rsidRPr="00F2177A">
        <w:rPr>
          <w:bCs/>
          <w:lang w:val="en-AU" w:eastAsia="en-AU"/>
        </w:rPr>
        <w:t>Study 1</w:t>
      </w:r>
      <w:r w:rsidRPr="00F2177A">
        <w:rPr>
          <w:lang w:val="en-AU" w:eastAsia="en-AU"/>
        </w:rPr>
        <w:t xml:space="preserve">, the safety and efficacy of </w:t>
      </w:r>
      <w:proofErr w:type="spellStart"/>
      <w:r w:rsidR="00FD0BE3">
        <w:rPr>
          <w:lang w:val="en-AU" w:eastAsia="en-AU"/>
        </w:rPr>
        <w:t>Blincyto</w:t>
      </w:r>
      <w:proofErr w:type="spellEnd"/>
      <w:r w:rsidRPr="00F2177A">
        <w:rPr>
          <w:lang w:val="en-AU" w:eastAsia="en-AU"/>
        </w:rPr>
        <w:t xml:space="preserve"> were evaluated in an open-label, multicent</w:t>
      </w:r>
      <w:r w:rsidR="009979A4">
        <w:rPr>
          <w:lang w:val="en-AU" w:eastAsia="en-AU"/>
        </w:rPr>
        <w:t>re</w:t>
      </w:r>
      <w:r w:rsidRPr="00F2177A">
        <w:rPr>
          <w:lang w:val="en-AU" w:eastAsia="en-AU"/>
        </w:rPr>
        <w:t xml:space="preserve">, dose-escalation study in 36 patients (including 23 patients treated at a dose equivalent to the </w:t>
      </w:r>
      <w:proofErr w:type="spellStart"/>
      <w:r w:rsidRPr="00F2177A">
        <w:rPr>
          <w:lang w:val="en-AU" w:eastAsia="en-AU"/>
        </w:rPr>
        <w:t>registrational</w:t>
      </w:r>
      <w:proofErr w:type="spellEnd"/>
      <w:r w:rsidRPr="00F2177A">
        <w:rPr>
          <w:lang w:val="en-AU" w:eastAsia="en-AU"/>
        </w:rPr>
        <w:t xml:space="preserve"> dose) ≥ 18 years of age with relapsed and/or refractory B-precursor ALL (first or greater relapse, refractory, or relapse after</w:t>
      </w:r>
      <w:r w:rsidR="001E793D">
        <w:rPr>
          <w:lang w:val="en-AU" w:eastAsia="en-AU"/>
        </w:rPr>
        <w:t xml:space="preserve"> </w:t>
      </w:r>
      <w:r w:rsidRPr="00F2177A">
        <w:rPr>
          <w:lang w:val="en-AU" w:eastAsia="en-AU"/>
        </w:rPr>
        <w:t xml:space="preserve">haematopoietic stem cell transplantation [HSCT]). Fifteen out of 36 (41.7%) patients had undergone allogeneic </w:t>
      </w:r>
      <w:r w:rsidRPr="00F2177A">
        <w:rPr>
          <w:lang w:val="en-AU" w:eastAsia="en-AU"/>
        </w:rPr>
        <w:lastRenderedPageBreak/>
        <w:t xml:space="preserve">haematopoietic stem cell transplantation (HSCT) prior to receiving </w:t>
      </w:r>
      <w:proofErr w:type="spellStart"/>
      <w:r w:rsidR="00FD0BE3">
        <w:rPr>
          <w:lang w:val="en-AU" w:eastAsia="en-AU"/>
        </w:rPr>
        <w:t>Blincyto</w:t>
      </w:r>
      <w:proofErr w:type="spellEnd"/>
      <w:r w:rsidRPr="00F2177A">
        <w:rPr>
          <w:lang w:val="en-AU" w:eastAsia="en-AU"/>
        </w:rPr>
        <w:t>. The complete remission/complete remission with partial haematological recovery (CR/</w:t>
      </w:r>
      <w:proofErr w:type="spellStart"/>
      <w:r w:rsidRPr="00F2177A">
        <w:rPr>
          <w:lang w:val="en-AU" w:eastAsia="en-AU"/>
        </w:rPr>
        <w:t>CRh</w:t>
      </w:r>
      <w:proofErr w:type="spellEnd"/>
      <w:r w:rsidRPr="00F2177A">
        <w:rPr>
          <w:lang w:val="en-AU" w:eastAsia="en-AU"/>
        </w:rPr>
        <w:t xml:space="preserve">*) rate was 69.4% [25 out of 36 patients (95% CI: 51.9% - 83.7%): 15 (41.7%; 95% CI: 25.5% - 59.2%) CR; 10 (27.8%; 95% CI: 14.2% - 45.2%) </w:t>
      </w:r>
      <w:proofErr w:type="spellStart"/>
      <w:proofErr w:type="gramStart"/>
      <w:r w:rsidRPr="00F2177A">
        <w:rPr>
          <w:lang w:val="en-AU" w:eastAsia="en-AU"/>
        </w:rPr>
        <w:t>CRh</w:t>
      </w:r>
      <w:proofErr w:type="spellEnd"/>
      <w:r w:rsidRPr="00F2177A">
        <w:rPr>
          <w:lang w:val="en-AU" w:eastAsia="en-AU"/>
        </w:rPr>
        <w:t>*].</w:t>
      </w:r>
      <w:proofErr w:type="gramEnd"/>
      <w:r w:rsidRPr="00F2177A">
        <w:rPr>
          <w:lang w:val="en-AU" w:eastAsia="en-AU"/>
        </w:rPr>
        <w:t xml:space="preserve"> Twenty-two out of 25 (88%) patients with </w:t>
      </w:r>
      <w:proofErr w:type="spellStart"/>
      <w:r w:rsidR="009979A4">
        <w:rPr>
          <w:lang w:val="en-AU" w:eastAsia="en-AU"/>
        </w:rPr>
        <w:t>haematologic</w:t>
      </w:r>
      <w:proofErr w:type="spellEnd"/>
      <w:r w:rsidRPr="00F2177A">
        <w:rPr>
          <w:lang w:val="en-AU" w:eastAsia="en-AU"/>
        </w:rPr>
        <w:t xml:space="preserve"> CR also had Minimal Residual Disease (MRD) responses (defined as MRD by PCR&lt; 1 x 10</w:t>
      </w:r>
      <w:r w:rsidRPr="00F2177A">
        <w:rPr>
          <w:vertAlign w:val="superscript"/>
          <w:lang w:val="en-AU" w:eastAsia="en-AU"/>
        </w:rPr>
        <w:t>-4</w:t>
      </w:r>
      <w:r w:rsidRPr="00F2177A">
        <w:rPr>
          <w:lang w:val="en-AU" w:eastAsia="en-AU"/>
        </w:rPr>
        <w:t>). The median duration of remission was 8.9 months, and the median relapse-free survival (RFS) was 7.6 months. The median overall survival (OS) was 9.8 months.</w:t>
      </w:r>
    </w:p>
    <w:p w:rsidR="00F3501B" w:rsidRPr="00F2177A" w:rsidRDefault="00F3501B" w:rsidP="00963C18">
      <w:pPr>
        <w:pStyle w:val="Text"/>
        <w:rPr>
          <w:lang w:val="en-AU" w:eastAsia="en-AU"/>
        </w:rPr>
      </w:pPr>
      <w:r w:rsidRPr="00F2177A">
        <w:rPr>
          <w:bCs/>
          <w:lang w:val="en-AU" w:eastAsia="en-AU"/>
        </w:rPr>
        <w:t xml:space="preserve">In Study 2, the safety and efficacy of </w:t>
      </w:r>
      <w:proofErr w:type="spellStart"/>
      <w:r w:rsidR="00FD0BE3">
        <w:rPr>
          <w:bCs/>
          <w:lang w:val="en-AU" w:eastAsia="en-AU"/>
        </w:rPr>
        <w:t>Blincyto</w:t>
      </w:r>
      <w:proofErr w:type="spellEnd"/>
      <w:r w:rsidRPr="00F2177A">
        <w:rPr>
          <w:bCs/>
          <w:lang w:val="en-AU" w:eastAsia="en-AU"/>
        </w:rPr>
        <w:t xml:space="preserve"> were evaluated in an open-label, multicentre,</w:t>
      </w:r>
      <w:r w:rsidRPr="00F2177A">
        <w:rPr>
          <w:lang w:val="en-AU" w:eastAsia="en-AU"/>
        </w:rPr>
        <w:t xml:space="preserve"> single-arm study. Eligible patients were ≥ 18 years of age with Philadelphia chromosome-negative relapsed or refractory B-precursor ALL (relapsed with first remission duration of </w:t>
      </w:r>
      <w:r w:rsidR="009767A7">
        <w:rPr>
          <w:lang w:val="en-AU" w:eastAsia="en-AU"/>
        </w:rPr>
        <w:t>≤</w:t>
      </w:r>
      <w:r w:rsidRPr="00F2177A">
        <w:rPr>
          <w:lang w:val="en-AU" w:eastAsia="en-AU"/>
        </w:rPr>
        <w:t>12 months in first salvage or relapsed or refractory after first salvage</w:t>
      </w:r>
      <w:r w:rsidR="009767A7">
        <w:rPr>
          <w:lang w:val="en-AU" w:eastAsia="en-AU"/>
        </w:rPr>
        <w:t xml:space="preserve"> </w:t>
      </w:r>
      <w:r w:rsidRPr="00F2177A">
        <w:rPr>
          <w:lang w:val="en-AU" w:eastAsia="en-AU"/>
        </w:rPr>
        <w:t xml:space="preserve">therapy or relapsed within 12 months of allogeneic HSCT, and had </w:t>
      </w:r>
      <w:r w:rsidR="009767A7">
        <w:rPr>
          <w:lang w:val="en-AU" w:eastAsia="en-AU"/>
        </w:rPr>
        <w:t xml:space="preserve">≥ </w:t>
      </w:r>
      <w:r w:rsidRPr="00F2177A">
        <w:rPr>
          <w:lang w:val="en-AU" w:eastAsia="en-AU"/>
        </w:rPr>
        <w:t>10% blasts in bone marrow).</w:t>
      </w:r>
    </w:p>
    <w:p w:rsidR="00F3501B" w:rsidRPr="00F2177A" w:rsidRDefault="00FD0BE3" w:rsidP="00963C18">
      <w:pPr>
        <w:pStyle w:val="Text"/>
        <w:rPr>
          <w:lang w:val="en-AU" w:eastAsia="en-AU"/>
        </w:rPr>
      </w:pPr>
      <w:proofErr w:type="spellStart"/>
      <w:r>
        <w:rPr>
          <w:lang w:val="en-AU" w:eastAsia="en-AU"/>
        </w:rPr>
        <w:t>Blincyto</w:t>
      </w:r>
      <w:proofErr w:type="spellEnd"/>
      <w:r w:rsidR="00F3501B" w:rsidRPr="00F2177A">
        <w:rPr>
          <w:lang w:val="en-AU" w:eastAsia="en-AU"/>
        </w:rPr>
        <w:t xml:space="preserve"> was administered as a continuous intravenous infusion. In the first cycle, the initial dose was 9 </w:t>
      </w:r>
      <w:r w:rsidR="002E0BB1">
        <w:rPr>
          <w:lang w:val="en-AU" w:eastAsia="en-AU"/>
        </w:rPr>
        <w:t>micrograms</w:t>
      </w:r>
      <w:r w:rsidR="00F3501B" w:rsidRPr="00F2177A">
        <w:rPr>
          <w:lang w:val="en-AU" w:eastAsia="en-AU"/>
        </w:rPr>
        <w:t xml:space="preserve">/day for week 1, then 28 </w:t>
      </w:r>
      <w:r w:rsidR="002E0BB1">
        <w:rPr>
          <w:lang w:val="en-AU" w:eastAsia="en-AU"/>
        </w:rPr>
        <w:t>micrograms</w:t>
      </w:r>
      <w:r w:rsidR="00F3501B" w:rsidRPr="00F2177A">
        <w:rPr>
          <w:lang w:val="en-AU" w:eastAsia="en-AU"/>
        </w:rPr>
        <w:t xml:space="preserve">/day for the remaining 3 weeks. The target dose of 28 </w:t>
      </w:r>
      <w:r w:rsidR="002E0BB1">
        <w:rPr>
          <w:lang w:val="en-AU" w:eastAsia="en-AU"/>
        </w:rPr>
        <w:t>micrograms</w:t>
      </w:r>
      <w:r w:rsidR="00F3501B" w:rsidRPr="00F2177A">
        <w:rPr>
          <w:lang w:val="en-AU" w:eastAsia="en-AU"/>
        </w:rPr>
        <w:t xml:space="preserve">/day was administered in cycle 2 and subsequent cycles starting on day 1 of each cycle. Dose adjustment was possible in case of adverse events. The treated population included 189 patients who received at least 1 infusion of </w:t>
      </w:r>
      <w:proofErr w:type="spellStart"/>
      <w:r>
        <w:rPr>
          <w:lang w:val="en-AU" w:eastAsia="en-AU"/>
        </w:rPr>
        <w:t>Blincyto</w:t>
      </w:r>
      <w:proofErr w:type="spellEnd"/>
      <w:r w:rsidR="00F3501B" w:rsidRPr="00F2177A">
        <w:rPr>
          <w:lang w:val="en-AU" w:eastAsia="en-AU"/>
        </w:rPr>
        <w:t xml:space="preserve">; the median number of treatment cycles was 2 (range: 1 to 5). Patients who responded to </w:t>
      </w:r>
      <w:proofErr w:type="spellStart"/>
      <w:r>
        <w:rPr>
          <w:lang w:val="en-AU" w:eastAsia="en-AU"/>
        </w:rPr>
        <w:t>Blincyto</w:t>
      </w:r>
      <w:proofErr w:type="spellEnd"/>
      <w:r w:rsidR="00F3501B" w:rsidRPr="00F2177A">
        <w:rPr>
          <w:lang w:val="en-AU" w:eastAsia="en-AU"/>
        </w:rPr>
        <w:t xml:space="preserve"> but later relapsed had the option to be retreated with </w:t>
      </w:r>
      <w:proofErr w:type="spellStart"/>
      <w:r>
        <w:rPr>
          <w:lang w:val="en-AU" w:eastAsia="en-AU"/>
        </w:rPr>
        <w:t>Blincyto</w:t>
      </w:r>
      <w:proofErr w:type="spellEnd"/>
      <w:r w:rsidR="00F3501B" w:rsidRPr="00F2177A">
        <w:rPr>
          <w:lang w:val="en-AU" w:eastAsia="en-AU"/>
        </w:rPr>
        <w:t xml:space="preserve">. Among treated patients, the median age was 39 years (range: 18 to 79 years), 64 out of 189 (33.9%) had undergone HSCT prior to receiving </w:t>
      </w:r>
      <w:proofErr w:type="spellStart"/>
      <w:r>
        <w:rPr>
          <w:lang w:val="en-AU" w:eastAsia="en-AU"/>
        </w:rPr>
        <w:t>Blincyto</w:t>
      </w:r>
      <w:proofErr w:type="spellEnd"/>
      <w:r w:rsidR="00F3501B" w:rsidRPr="00F2177A">
        <w:rPr>
          <w:lang w:val="en-AU" w:eastAsia="en-AU"/>
        </w:rPr>
        <w:t xml:space="preserve"> and 32 out of 189 (16.9%) had received more than 2 prior salvage therapies.</w:t>
      </w:r>
    </w:p>
    <w:p w:rsidR="00F3501B" w:rsidRDefault="00F3501B" w:rsidP="00963C18">
      <w:pPr>
        <w:pStyle w:val="Text"/>
        <w:rPr>
          <w:lang w:val="en-AU" w:eastAsia="en-AU"/>
        </w:rPr>
      </w:pPr>
      <w:r w:rsidRPr="00F2177A">
        <w:rPr>
          <w:lang w:val="en-AU" w:eastAsia="en-AU"/>
        </w:rPr>
        <w:t>The primary endpoint was the CR/</w:t>
      </w:r>
      <w:proofErr w:type="spellStart"/>
      <w:r w:rsidRPr="00F2177A">
        <w:rPr>
          <w:lang w:val="en-AU" w:eastAsia="en-AU"/>
        </w:rPr>
        <w:t>CRh</w:t>
      </w:r>
      <w:proofErr w:type="spellEnd"/>
      <w:r w:rsidRPr="00F2177A">
        <w:rPr>
          <w:lang w:val="en-AU" w:eastAsia="en-AU"/>
        </w:rPr>
        <w:t xml:space="preserve">* rate within 2 cycles of treatment with </w:t>
      </w:r>
      <w:proofErr w:type="spellStart"/>
      <w:r w:rsidR="00FD0BE3">
        <w:rPr>
          <w:lang w:val="en-AU" w:eastAsia="en-AU"/>
        </w:rPr>
        <w:t>Blincyto</w:t>
      </w:r>
      <w:proofErr w:type="spellEnd"/>
      <w:r w:rsidRPr="00F2177A">
        <w:rPr>
          <w:lang w:val="en-AU" w:eastAsia="en-AU"/>
        </w:rPr>
        <w:t>. Eighty-one out of 189 (42.9%) patients achieved CR/</w:t>
      </w:r>
      <w:proofErr w:type="spellStart"/>
      <w:r w:rsidRPr="00F2177A">
        <w:rPr>
          <w:lang w:val="en-AU" w:eastAsia="en-AU"/>
        </w:rPr>
        <w:t>CRh</w:t>
      </w:r>
      <w:proofErr w:type="spellEnd"/>
      <w:r w:rsidRPr="00F2177A">
        <w:rPr>
          <w:lang w:val="en-AU" w:eastAsia="en-AU"/>
        </w:rPr>
        <w:t>* within the first 2 treatment cycles with the majority of responses (64 out of 81) occurring within cycle 1 of treatment</w:t>
      </w:r>
      <w:r w:rsidR="00971AE4">
        <w:rPr>
          <w:lang w:val="en-AU" w:eastAsia="en-AU"/>
        </w:rPr>
        <w:t xml:space="preserve"> (s</w:t>
      </w:r>
      <w:r w:rsidRPr="00F2177A">
        <w:rPr>
          <w:lang w:val="en-AU" w:eastAsia="en-AU"/>
        </w:rPr>
        <w:t>ee Table 1 and Figure 1 for efficacy results</w:t>
      </w:r>
      <w:r w:rsidR="00971AE4">
        <w:rPr>
          <w:lang w:val="en-AU" w:eastAsia="en-AU"/>
        </w:rPr>
        <w:t>)</w:t>
      </w:r>
      <w:r w:rsidRPr="00F2177A">
        <w:rPr>
          <w:lang w:val="en-AU" w:eastAsia="en-AU"/>
        </w:rPr>
        <w:t>. Four patients achieved CR during subsequent cycles, resulting in a cumulative CR rate of 35.4% (67 out of 189; 95% CI: 28.6% - 42.7%). Thirty-two out of 189 (16.9%) patients underwent allogeneic HSCT in CR/</w:t>
      </w:r>
      <w:proofErr w:type="spellStart"/>
      <w:r w:rsidRPr="00F2177A">
        <w:rPr>
          <w:lang w:val="en-AU" w:eastAsia="en-AU"/>
        </w:rPr>
        <w:t>CRh</w:t>
      </w:r>
      <w:proofErr w:type="spellEnd"/>
      <w:r w:rsidRPr="00F2177A">
        <w:rPr>
          <w:lang w:val="en-AU" w:eastAsia="en-AU"/>
        </w:rPr>
        <w:t xml:space="preserve">* induced with </w:t>
      </w:r>
      <w:proofErr w:type="spellStart"/>
      <w:r w:rsidR="00FD0BE3">
        <w:rPr>
          <w:lang w:val="en-AU" w:eastAsia="en-AU"/>
        </w:rPr>
        <w:t>Blincyto</w:t>
      </w:r>
      <w:proofErr w:type="spellEnd"/>
      <w:r w:rsidRPr="00F2177A">
        <w:rPr>
          <w:lang w:val="en-AU" w:eastAsia="en-AU"/>
        </w:rPr>
        <w:t>.</w:t>
      </w:r>
    </w:p>
    <w:p w:rsidR="00426BD0" w:rsidRPr="00ED30B6" w:rsidRDefault="00386DB8" w:rsidP="00C80B18">
      <w:pPr>
        <w:pStyle w:val="Caption"/>
        <w:pageBreakBefore/>
        <w:rPr>
          <w:b w:val="0"/>
          <w:color w:val="000000"/>
          <w:szCs w:val="22"/>
        </w:rPr>
      </w:pPr>
      <w:proofErr w:type="gramStart"/>
      <w:r>
        <w:lastRenderedPageBreak/>
        <w:t>Table </w:t>
      </w:r>
      <w:r>
        <w:fldChar w:fldCharType="begin"/>
      </w:r>
      <w:r>
        <w:instrText xml:space="preserve"> SEQ Table \* ARABIC </w:instrText>
      </w:r>
      <w:r>
        <w:fldChar w:fldCharType="separate"/>
      </w:r>
      <w:r w:rsidR="00B47022">
        <w:rPr>
          <w:noProof/>
        </w:rPr>
        <w:t>1</w:t>
      </w:r>
      <w:r>
        <w:fldChar w:fldCharType="end"/>
      </w:r>
      <w:r>
        <w:t>.</w:t>
      </w:r>
      <w:proofErr w:type="gramEnd"/>
      <w:r>
        <w:t xml:space="preserve">  </w:t>
      </w:r>
      <w:r w:rsidR="00426BD0" w:rsidRPr="00386DB8">
        <w:t xml:space="preserve">Efficacy results in </w:t>
      </w:r>
      <w:proofErr w:type="gramStart"/>
      <w:r w:rsidR="00426BD0" w:rsidRPr="00386DB8">
        <w:t>patients</w:t>
      </w:r>
      <w:proofErr w:type="gramEnd"/>
      <w:r w:rsidR="00426BD0" w:rsidRPr="00386DB8">
        <w:t xml:space="preserve"> ≥ 18 years of age with Philadelphia chromosome-negative relapsed or refractory B-precursor Acute Lymphoblastic </w:t>
      </w:r>
      <w:proofErr w:type="spellStart"/>
      <w:r w:rsidR="00426BD0" w:rsidRPr="00386DB8">
        <w:t>Leukaemia</w:t>
      </w:r>
      <w:proofErr w:type="spellEnd"/>
      <w:r w:rsidR="00426BD0" w:rsidRPr="00386DB8">
        <w:t xml:space="preserve"> (ALL) (Study 2)</w:t>
      </w:r>
    </w:p>
    <w:p w:rsidR="00426BD0" w:rsidRPr="00ED30B6" w:rsidRDefault="00426BD0" w:rsidP="00426BD0">
      <w:pPr>
        <w:autoSpaceDE w:val="0"/>
        <w:autoSpaceDN w:val="0"/>
        <w:adjustRightInd w:val="0"/>
        <w:jc w:val="center"/>
        <w:rPr>
          <w:rFonts w:cs="Arial"/>
          <w:b/>
          <w:bCs/>
          <w:sz w:val="20"/>
        </w:rPr>
      </w:pP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1.  Efficacy results in patients ≥ 18 years of age with Philadelphia chromosome-negative relapsed or refractory B-precursor Acute Lymphoblastic Leukaemia (ALL) (Study 2)"/>
      </w:tblPr>
      <w:tblGrid>
        <w:gridCol w:w="4640"/>
        <w:gridCol w:w="1985"/>
        <w:gridCol w:w="2430"/>
      </w:tblGrid>
      <w:tr w:rsidR="00426BD0" w:rsidRPr="00ED30B6" w:rsidTr="00071D5D">
        <w:trPr>
          <w:trHeight w:val="341"/>
          <w:tblHeader/>
          <w:jc w:val="center"/>
        </w:trPr>
        <w:tc>
          <w:tcPr>
            <w:tcW w:w="4640" w:type="dxa"/>
            <w:tcBorders>
              <w:bottom w:val="single" w:sz="4" w:space="0" w:color="auto"/>
              <w:right w:val="single" w:sz="4" w:space="0" w:color="auto"/>
            </w:tcBorders>
          </w:tcPr>
          <w:p w:rsidR="00426BD0" w:rsidRPr="00971AE4" w:rsidRDefault="00426BD0" w:rsidP="003A4556">
            <w:pPr>
              <w:spacing w:before="120" w:after="120"/>
              <w:rPr>
                <w:rFonts w:cs="Arial"/>
                <w:b/>
                <w:sz w:val="20"/>
              </w:rPr>
            </w:pPr>
          </w:p>
        </w:tc>
        <w:tc>
          <w:tcPr>
            <w:tcW w:w="1985" w:type="dxa"/>
            <w:tcBorders>
              <w:left w:val="single" w:sz="4" w:space="0" w:color="auto"/>
              <w:bottom w:val="single" w:sz="4" w:space="0" w:color="auto"/>
            </w:tcBorders>
          </w:tcPr>
          <w:p w:rsidR="00426BD0" w:rsidRPr="00971AE4" w:rsidRDefault="00426BD0" w:rsidP="003A4556">
            <w:pPr>
              <w:spacing w:before="120" w:after="120"/>
              <w:jc w:val="center"/>
              <w:rPr>
                <w:rFonts w:cs="Arial"/>
                <w:b/>
                <w:sz w:val="20"/>
              </w:rPr>
            </w:pPr>
            <w:proofErr w:type="gramStart"/>
            <w:r w:rsidRPr="00971AE4">
              <w:rPr>
                <w:rFonts w:cs="Arial"/>
                <w:b/>
                <w:sz w:val="20"/>
              </w:rPr>
              <w:t>n</w:t>
            </w:r>
            <w:proofErr w:type="gramEnd"/>
            <w:r w:rsidRPr="00971AE4">
              <w:rPr>
                <w:rFonts w:cs="Arial"/>
                <w:b/>
                <w:sz w:val="20"/>
              </w:rPr>
              <w:t xml:space="preserve"> (%)</w:t>
            </w:r>
          </w:p>
          <w:p w:rsidR="00426BD0" w:rsidRPr="00971AE4" w:rsidRDefault="00C1787D" w:rsidP="003A4556">
            <w:pPr>
              <w:spacing w:before="120" w:after="120"/>
              <w:jc w:val="center"/>
              <w:rPr>
                <w:rFonts w:cs="Arial"/>
                <w:b/>
                <w:sz w:val="20"/>
              </w:rPr>
            </w:pPr>
            <w:r>
              <w:rPr>
                <w:rFonts w:cs="Arial"/>
                <w:b/>
                <w:sz w:val="20"/>
              </w:rPr>
              <w:t>N</w:t>
            </w:r>
            <w:r w:rsidR="00426BD0" w:rsidRPr="00971AE4">
              <w:rPr>
                <w:rFonts w:cs="Arial"/>
                <w:b/>
                <w:sz w:val="20"/>
              </w:rPr>
              <w:t xml:space="preserve"> =189</w:t>
            </w:r>
          </w:p>
        </w:tc>
        <w:tc>
          <w:tcPr>
            <w:tcW w:w="2430" w:type="dxa"/>
            <w:tcBorders>
              <w:left w:val="nil"/>
              <w:bottom w:val="single" w:sz="4" w:space="0" w:color="auto"/>
            </w:tcBorders>
          </w:tcPr>
          <w:p w:rsidR="00426BD0" w:rsidRPr="00971AE4" w:rsidRDefault="00426BD0" w:rsidP="003A4556">
            <w:pPr>
              <w:spacing w:before="120" w:after="120"/>
              <w:jc w:val="center"/>
              <w:rPr>
                <w:rFonts w:cs="Arial"/>
                <w:b/>
                <w:sz w:val="20"/>
              </w:rPr>
            </w:pPr>
            <w:r w:rsidRPr="00971AE4">
              <w:rPr>
                <w:rFonts w:cs="Arial"/>
                <w:b/>
                <w:sz w:val="20"/>
              </w:rPr>
              <w:t>95% CI</w:t>
            </w:r>
          </w:p>
        </w:tc>
      </w:tr>
      <w:tr w:rsidR="00426BD0" w:rsidRPr="00ED30B6" w:rsidTr="00AD1EFC">
        <w:trPr>
          <w:jc w:val="center"/>
        </w:trPr>
        <w:tc>
          <w:tcPr>
            <w:tcW w:w="4640" w:type="dxa"/>
            <w:tcBorders>
              <w:top w:val="single" w:sz="4" w:space="0" w:color="auto"/>
            </w:tcBorders>
          </w:tcPr>
          <w:p w:rsidR="00426BD0" w:rsidRPr="00971AE4" w:rsidRDefault="00426BD0" w:rsidP="003A4556">
            <w:pPr>
              <w:spacing w:before="120" w:after="120"/>
              <w:rPr>
                <w:rFonts w:cs="Arial"/>
                <w:sz w:val="20"/>
              </w:rPr>
            </w:pPr>
            <w:r w:rsidRPr="00971AE4">
              <w:rPr>
                <w:rFonts w:cs="Arial"/>
                <w:sz w:val="20"/>
              </w:rPr>
              <w:t>Complete remission (CR)</w:t>
            </w:r>
            <w:r w:rsidRPr="00971AE4">
              <w:rPr>
                <w:rFonts w:cs="Arial"/>
                <w:sz w:val="20"/>
                <w:vertAlign w:val="superscript"/>
              </w:rPr>
              <w:t>1</w:t>
            </w:r>
            <w:r w:rsidRPr="00971AE4">
              <w:rPr>
                <w:rFonts w:cs="Arial"/>
                <w:sz w:val="20"/>
              </w:rPr>
              <w:t xml:space="preserve">/Complete remission with partial </w:t>
            </w:r>
            <w:proofErr w:type="spellStart"/>
            <w:r w:rsidRPr="00971AE4">
              <w:rPr>
                <w:rFonts w:cs="Arial"/>
                <w:sz w:val="20"/>
              </w:rPr>
              <w:t>haematological</w:t>
            </w:r>
            <w:proofErr w:type="spellEnd"/>
            <w:r w:rsidRPr="00971AE4">
              <w:rPr>
                <w:rFonts w:cs="Arial"/>
                <w:sz w:val="20"/>
              </w:rPr>
              <w:t xml:space="preserve"> recovery (</w:t>
            </w:r>
            <w:proofErr w:type="spellStart"/>
            <w:r w:rsidRPr="00971AE4">
              <w:rPr>
                <w:rFonts w:cs="Arial"/>
                <w:sz w:val="20"/>
              </w:rPr>
              <w:t>CRh</w:t>
            </w:r>
            <w:proofErr w:type="spellEnd"/>
            <w:r w:rsidRPr="00971AE4">
              <w:rPr>
                <w:rFonts w:cs="Arial"/>
                <w:sz w:val="20"/>
              </w:rPr>
              <w:t>*)</w:t>
            </w:r>
            <w:r w:rsidRPr="00971AE4">
              <w:rPr>
                <w:rFonts w:cs="Arial"/>
                <w:sz w:val="20"/>
                <w:vertAlign w:val="superscript"/>
              </w:rPr>
              <w:t>2</w:t>
            </w:r>
          </w:p>
        </w:tc>
        <w:tc>
          <w:tcPr>
            <w:tcW w:w="1985" w:type="dxa"/>
            <w:tcBorders>
              <w:top w:val="single" w:sz="4" w:space="0" w:color="auto"/>
            </w:tcBorders>
          </w:tcPr>
          <w:p w:rsidR="00426BD0" w:rsidRPr="00971AE4" w:rsidRDefault="00426BD0" w:rsidP="003A4556">
            <w:pPr>
              <w:spacing w:before="120" w:after="120"/>
              <w:jc w:val="center"/>
              <w:rPr>
                <w:rFonts w:cs="Arial"/>
                <w:sz w:val="20"/>
              </w:rPr>
            </w:pPr>
            <w:r w:rsidRPr="00971AE4">
              <w:rPr>
                <w:rFonts w:cs="Arial"/>
                <w:sz w:val="20"/>
              </w:rPr>
              <w:t xml:space="preserve">81 (42.9%) </w:t>
            </w:r>
          </w:p>
        </w:tc>
        <w:tc>
          <w:tcPr>
            <w:tcW w:w="2430" w:type="dxa"/>
            <w:tcBorders>
              <w:top w:val="single" w:sz="4" w:space="0" w:color="auto"/>
            </w:tcBorders>
          </w:tcPr>
          <w:p w:rsidR="00426BD0" w:rsidRPr="00971AE4" w:rsidRDefault="00426BD0" w:rsidP="003A4556">
            <w:pPr>
              <w:spacing w:before="120" w:after="120"/>
              <w:jc w:val="center"/>
              <w:rPr>
                <w:rFonts w:cs="Arial"/>
                <w:sz w:val="20"/>
              </w:rPr>
            </w:pPr>
            <w:r w:rsidRPr="00971AE4">
              <w:rPr>
                <w:rFonts w:cs="Arial"/>
                <w:sz w:val="20"/>
              </w:rPr>
              <w:t>[35.7% – 50.2%]</w:t>
            </w:r>
          </w:p>
        </w:tc>
      </w:tr>
      <w:tr w:rsidR="00426BD0" w:rsidRPr="00ED30B6" w:rsidTr="00705CE9">
        <w:trPr>
          <w:trHeight w:val="305"/>
          <w:jc w:val="center"/>
        </w:trPr>
        <w:tc>
          <w:tcPr>
            <w:tcW w:w="4640" w:type="dxa"/>
          </w:tcPr>
          <w:p w:rsidR="00426BD0" w:rsidRPr="00971AE4" w:rsidRDefault="00426BD0" w:rsidP="003A4556">
            <w:pPr>
              <w:spacing w:before="120" w:after="120"/>
              <w:ind w:left="720"/>
              <w:rPr>
                <w:rFonts w:cs="Arial"/>
                <w:sz w:val="20"/>
              </w:rPr>
            </w:pPr>
            <w:r w:rsidRPr="00971AE4">
              <w:rPr>
                <w:rFonts w:cs="Arial"/>
                <w:sz w:val="20"/>
              </w:rPr>
              <w:t xml:space="preserve">CR </w:t>
            </w:r>
          </w:p>
        </w:tc>
        <w:tc>
          <w:tcPr>
            <w:tcW w:w="1985" w:type="dxa"/>
          </w:tcPr>
          <w:p w:rsidR="00426BD0" w:rsidRPr="00971AE4" w:rsidRDefault="00426BD0" w:rsidP="003A4556">
            <w:pPr>
              <w:spacing w:before="120" w:after="120"/>
              <w:jc w:val="center"/>
              <w:rPr>
                <w:rFonts w:cs="Arial"/>
                <w:sz w:val="20"/>
              </w:rPr>
            </w:pPr>
            <w:r w:rsidRPr="00971AE4">
              <w:rPr>
                <w:rFonts w:cs="Arial"/>
                <w:sz w:val="20"/>
              </w:rPr>
              <w:t xml:space="preserve">63 (33.3%) </w:t>
            </w:r>
          </w:p>
        </w:tc>
        <w:tc>
          <w:tcPr>
            <w:tcW w:w="2430" w:type="dxa"/>
          </w:tcPr>
          <w:p w:rsidR="00426BD0" w:rsidRPr="00971AE4" w:rsidRDefault="00426BD0" w:rsidP="003A4556">
            <w:pPr>
              <w:spacing w:before="120" w:after="120"/>
              <w:jc w:val="center"/>
              <w:rPr>
                <w:rFonts w:cs="Arial"/>
                <w:sz w:val="20"/>
              </w:rPr>
            </w:pPr>
            <w:r w:rsidRPr="00971AE4">
              <w:rPr>
                <w:rFonts w:cs="Arial"/>
                <w:sz w:val="20"/>
              </w:rPr>
              <w:t>[26.7% – 40.5%]</w:t>
            </w:r>
          </w:p>
        </w:tc>
      </w:tr>
      <w:tr w:rsidR="00426BD0" w:rsidRPr="00ED30B6" w:rsidTr="00705CE9">
        <w:trPr>
          <w:jc w:val="center"/>
        </w:trPr>
        <w:tc>
          <w:tcPr>
            <w:tcW w:w="4640" w:type="dxa"/>
          </w:tcPr>
          <w:p w:rsidR="00426BD0" w:rsidRPr="00971AE4" w:rsidRDefault="00426BD0" w:rsidP="003A4556">
            <w:pPr>
              <w:spacing w:before="120" w:after="120"/>
              <w:ind w:left="720"/>
              <w:rPr>
                <w:rFonts w:cs="Arial"/>
                <w:sz w:val="20"/>
              </w:rPr>
            </w:pPr>
            <w:proofErr w:type="spellStart"/>
            <w:r w:rsidRPr="00971AE4">
              <w:rPr>
                <w:rFonts w:cs="Arial"/>
                <w:sz w:val="20"/>
              </w:rPr>
              <w:t>CRh</w:t>
            </w:r>
            <w:proofErr w:type="spellEnd"/>
            <w:r w:rsidRPr="00971AE4">
              <w:rPr>
                <w:rFonts w:cs="Arial"/>
                <w:sz w:val="20"/>
              </w:rPr>
              <w:t>*</w:t>
            </w:r>
          </w:p>
        </w:tc>
        <w:tc>
          <w:tcPr>
            <w:tcW w:w="1985" w:type="dxa"/>
          </w:tcPr>
          <w:p w:rsidR="00426BD0" w:rsidRPr="00971AE4" w:rsidRDefault="00426BD0" w:rsidP="003A4556">
            <w:pPr>
              <w:spacing w:before="120" w:after="120"/>
              <w:jc w:val="center"/>
              <w:rPr>
                <w:rFonts w:cs="Arial"/>
                <w:sz w:val="20"/>
              </w:rPr>
            </w:pPr>
            <w:r w:rsidRPr="00971AE4">
              <w:rPr>
                <w:rFonts w:cs="Arial"/>
                <w:sz w:val="20"/>
              </w:rPr>
              <w:t xml:space="preserve">18 (9.5%) </w:t>
            </w:r>
          </w:p>
        </w:tc>
        <w:tc>
          <w:tcPr>
            <w:tcW w:w="2430" w:type="dxa"/>
          </w:tcPr>
          <w:p w:rsidR="00426BD0" w:rsidRPr="00971AE4" w:rsidRDefault="00426BD0" w:rsidP="003A4556">
            <w:pPr>
              <w:spacing w:before="120" w:after="120"/>
              <w:jc w:val="center"/>
              <w:rPr>
                <w:rFonts w:cs="Arial"/>
                <w:sz w:val="20"/>
              </w:rPr>
            </w:pPr>
            <w:r w:rsidRPr="00971AE4">
              <w:rPr>
                <w:rFonts w:cs="Arial"/>
                <w:sz w:val="20"/>
              </w:rPr>
              <w:t>[5.7% – 14.6%]</w:t>
            </w:r>
          </w:p>
        </w:tc>
      </w:tr>
      <w:tr w:rsidR="00426BD0" w:rsidRPr="00ED30B6" w:rsidTr="00705CE9">
        <w:trPr>
          <w:jc w:val="center"/>
        </w:trPr>
        <w:tc>
          <w:tcPr>
            <w:tcW w:w="4640" w:type="dxa"/>
            <w:tcBorders>
              <w:bottom w:val="single" w:sz="4" w:space="0" w:color="auto"/>
            </w:tcBorders>
          </w:tcPr>
          <w:p w:rsidR="00426BD0" w:rsidRPr="00971AE4" w:rsidRDefault="00426BD0" w:rsidP="003A4556">
            <w:pPr>
              <w:spacing w:before="120" w:after="120"/>
              <w:rPr>
                <w:rFonts w:cs="Arial"/>
                <w:sz w:val="20"/>
              </w:rPr>
            </w:pPr>
            <w:r w:rsidRPr="00971AE4">
              <w:rPr>
                <w:rFonts w:cs="Arial"/>
                <w:sz w:val="20"/>
              </w:rPr>
              <w:t xml:space="preserve">Blast free </w:t>
            </w:r>
            <w:proofErr w:type="spellStart"/>
            <w:r w:rsidRPr="00971AE4">
              <w:rPr>
                <w:rFonts w:cs="Arial"/>
                <w:sz w:val="20"/>
              </w:rPr>
              <w:t>hypoplastic</w:t>
            </w:r>
            <w:proofErr w:type="spellEnd"/>
            <w:r w:rsidRPr="00971AE4">
              <w:rPr>
                <w:rFonts w:cs="Arial"/>
                <w:sz w:val="20"/>
              </w:rPr>
              <w:t xml:space="preserve"> or aplastic bone marrow</w:t>
            </w:r>
            <w:r w:rsidRPr="00971AE4">
              <w:rPr>
                <w:rFonts w:cs="Arial"/>
                <w:sz w:val="20"/>
                <w:vertAlign w:val="superscript"/>
              </w:rPr>
              <w:t>3</w:t>
            </w:r>
            <w:r w:rsidRPr="00971AE4">
              <w:rPr>
                <w:rFonts w:cs="Arial"/>
                <w:sz w:val="20"/>
              </w:rPr>
              <w:t xml:space="preserve"> </w:t>
            </w:r>
          </w:p>
        </w:tc>
        <w:tc>
          <w:tcPr>
            <w:tcW w:w="1985" w:type="dxa"/>
            <w:tcBorders>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 xml:space="preserve">17 (9%) </w:t>
            </w:r>
          </w:p>
        </w:tc>
        <w:tc>
          <w:tcPr>
            <w:tcW w:w="2430" w:type="dxa"/>
            <w:tcBorders>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[5.3% – 14.0%]</w:t>
            </w:r>
          </w:p>
        </w:tc>
      </w:tr>
      <w:tr w:rsidR="00426BD0" w:rsidRPr="00ED30B6" w:rsidTr="00AD1EFC">
        <w:trPr>
          <w:jc w:val="center"/>
        </w:trPr>
        <w:tc>
          <w:tcPr>
            <w:tcW w:w="4640" w:type="dxa"/>
            <w:tcBorders>
              <w:bottom w:val="single" w:sz="4" w:space="0" w:color="auto"/>
            </w:tcBorders>
          </w:tcPr>
          <w:p w:rsidR="00426BD0" w:rsidRPr="00971AE4" w:rsidRDefault="00426BD0" w:rsidP="003A4556">
            <w:pPr>
              <w:spacing w:before="120" w:after="120"/>
              <w:rPr>
                <w:rFonts w:cs="Arial"/>
                <w:sz w:val="20"/>
              </w:rPr>
            </w:pPr>
            <w:r w:rsidRPr="00971AE4">
              <w:rPr>
                <w:rFonts w:cs="Arial"/>
                <w:sz w:val="20"/>
              </w:rPr>
              <w:t>Partial remission</w:t>
            </w:r>
            <w:r w:rsidRPr="00971AE4">
              <w:rPr>
                <w:rFonts w:cs="Arial"/>
                <w:sz w:val="20"/>
                <w:vertAlign w:val="superscript"/>
              </w:rPr>
              <w:t>4</w:t>
            </w:r>
          </w:p>
        </w:tc>
        <w:tc>
          <w:tcPr>
            <w:tcW w:w="1985" w:type="dxa"/>
            <w:tcBorders>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 xml:space="preserve">5 (2.6%) </w:t>
            </w:r>
          </w:p>
        </w:tc>
        <w:tc>
          <w:tcPr>
            <w:tcW w:w="2430" w:type="dxa"/>
            <w:tcBorders>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[0.9% – 6.1%]</w:t>
            </w:r>
          </w:p>
        </w:tc>
      </w:tr>
      <w:tr w:rsidR="00426BD0" w:rsidRPr="00ED30B6" w:rsidTr="00AD1EFC">
        <w:trPr>
          <w:jc w:val="center"/>
        </w:trPr>
        <w:tc>
          <w:tcPr>
            <w:tcW w:w="4640" w:type="dxa"/>
            <w:tcBorders>
              <w:top w:val="single" w:sz="4" w:space="0" w:color="auto"/>
              <w:bottom w:val="single" w:sz="4" w:space="0" w:color="auto"/>
            </w:tcBorders>
          </w:tcPr>
          <w:p w:rsidR="00426BD0" w:rsidRPr="00971AE4" w:rsidRDefault="00426BD0" w:rsidP="003A4556">
            <w:pPr>
              <w:spacing w:before="120" w:after="120"/>
              <w:rPr>
                <w:rFonts w:cs="Arial"/>
                <w:sz w:val="20"/>
              </w:rPr>
            </w:pPr>
            <w:r w:rsidRPr="00971AE4">
              <w:rPr>
                <w:rFonts w:cs="Arial"/>
                <w:sz w:val="20"/>
              </w:rPr>
              <w:t>Relapse-free survival (RFS) for CR/</w:t>
            </w:r>
            <w:proofErr w:type="spellStart"/>
            <w:r w:rsidRPr="00971AE4">
              <w:rPr>
                <w:rFonts w:cs="Arial"/>
                <w:sz w:val="20"/>
              </w:rPr>
              <w:t>CRh</w:t>
            </w:r>
            <w:proofErr w:type="spellEnd"/>
            <w:r w:rsidRPr="00971AE4">
              <w:rPr>
                <w:rFonts w:cs="Arial"/>
                <w:sz w:val="20"/>
              </w:rPr>
              <w:t xml:space="preserve">* </w:t>
            </w:r>
          </w:p>
        </w:tc>
        <w:tc>
          <w:tcPr>
            <w:tcW w:w="1985" w:type="dxa"/>
            <w:tcBorders>
              <w:top w:val="single" w:sz="4" w:space="0" w:color="auto"/>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 xml:space="preserve">5.9 months </w:t>
            </w:r>
          </w:p>
        </w:tc>
        <w:tc>
          <w:tcPr>
            <w:tcW w:w="2430" w:type="dxa"/>
            <w:tcBorders>
              <w:top w:val="single" w:sz="4" w:space="0" w:color="auto"/>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[4.8 to 8.3 months]</w:t>
            </w:r>
          </w:p>
        </w:tc>
      </w:tr>
      <w:tr w:rsidR="00426BD0" w:rsidRPr="00ED30B6" w:rsidTr="00AD1EFC">
        <w:trPr>
          <w:jc w:val="center"/>
        </w:trPr>
        <w:tc>
          <w:tcPr>
            <w:tcW w:w="4640" w:type="dxa"/>
            <w:tcBorders>
              <w:top w:val="single" w:sz="4" w:space="0" w:color="auto"/>
              <w:bottom w:val="single" w:sz="4" w:space="0" w:color="auto"/>
            </w:tcBorders>
          </w:tcPr>
          <w:p w:rsidR="00426BD0" w:rsidRPr="00971AE4" w:rsidRDefault="00426BD0" w:rsidP="003A4556">
            <w:pPr>
              <w:spacing w:before="120" w:after="120"/>
              <w:rPr>
                <w:rFonts w:cs="Arial"/>
                <w:sz w:val="20"/>
              </w:rPr>
            </w:pPr>
            <w:r w:rsidRPr="00971AE4">
              <w:rPr>
                <w:rFonts w:cs="Arial"/>
                <w:sz w:val="20"/>
              </w:rPr>
              <w:t>Overall survival</w:t>
            </w:r>
          </w:p>
        </w:tc>
        <w:tc>
          <w:tcPr>
            <w:tcW w:w="1985" w:type="dxa"/>
            <w:tcBorders>
              <w:top w:val="single" w:sz="4" w:space="0" w:color="auto"/>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 xml:space="preserve">6.1 months </w:t>
            </w:r>
          </w:p>
        </w:tc>
        <w:tc>
          <w:tcPr>
            <w:tcW w:w="2430" w:type="dxa"/>
            <w:tcBorders>
              <w:top w:val="single" w:sz="4" w:space="0" w:color="auto"/>
              <w:bottom w:val="single" w:sz="4" w:space="0" w:color="auto"/>
            </w:tcBorders>
          </w:tcPr>
          <w:p w:rsidR="00426BD0" w:rsidRPr="00971AE4" w:rsidRDefault="00426BD0" w:rsidP="003A4556">
            <w:pPr>
              <w:spacing w:before="120" w:after="120"/>
              <w:jc w:val="center"/>
              <w:rPr>
                <w:rFonts w:cs="Arial"/>
                <w:sz w:val="20"/>
              </w:rPr>
            </w:pPr>
            <w:r w:rsidRPr="00971AE4">
              <w:rPr>
                <w:rFonts w:cs="Arial"/>
                <w:sz w:val="20"/>
              </w:rPr>
              <w:t>[4.2 to 7.5 months]</w:t>
            </w:r>
          </w:p>
        </w:tc>
      </w:tr>
      <w:tr w:rsidR="00426BD0" w:rsidRPr="00ED30B6" w:rsidTr="00AD1EFC">
        <w:trPr>
          <w:jc w:val="center"/>
        </w:trPr>
        <w:tc>
          <w:tcPr>
            <w:tcW w:w="9055" w:type="dxa"/>
            <w:gridSpan w:val="3"/>
            <w:tcBorders>
              <w:top w:val="single" w:sz="4" w:space="0" w:color="auto"/>
            </w:tcBorders>
          </w:tcPr>
          <w:p w:rsidR="00426BD0" w:rsidRPr="003A54B5" w:rsidRDefault="00426BD0" w:rsidP="00556A34">
            <w:pPr>
              <w:pStyle w:val="ListParagraph"/>
              <w:numPr>
                <w:ilvl w:val="0"/>
                <w:numId w:val="11"/>
              </w:numPr>
              <w:contextualSpacing w:val="0"/>
              <w:rPr>
                <w:rFonts w:cs="Arial"/>
                <w:sz w:val="18"/>
                <w:lang w:val="en-GB"/>
              </w:rPr>
            </w:pPr>
            <w:r w:rsidRPr="003A54B5">
              <w:rPr>
                <w:rFonts w:cs="Arial"/>
                <w:sz w:val="18"/>
                <w:lang w:val="en-GB"/>
              </w:rPr>
              <w:t xml:space="preserve">CR was defined as </w:t>
            </w:r>
            <w:r w:rsidRPr="003A54B5">
              <w:rPr>
                <w:rFonts w:cs="Arial"/>
                <w:sz w:val="18"/>
                <w:lang w:val="en-GB"/>
              </w:rPr>
              <w:sym w:font="Symbol" w:char="F0A3"/>
            </w:r>
            <w:r w:rsidRPr="003A54B5">
              <w:rPr>
                <w:rFonts w:cs="Arial"/>
                <w:sz w:val="18"/>
                <w:lang w:val="en-GB"/>
              </w:rPr>
              <w:t> 5% of blasts in the bone marrow, no evidence of disease, and full recovery of peripheral blood counts (platelets &gt; 100,000/</w:t>
            </w:r>
            <w:r w:rsidRPr="003A54B5">
              <w:rPr>
                <w:rFonts w:cs="Arial"/>
                <w:sz w:val="18"/>
                <w:lang w:val="en-GB"/>
              </w:rPr>
              <w:sym w:font="Symbol" w:char="F06D"/>
            </w:r>
            <w:r w:rsidRPr="003A54B5">
              <w:rPr>
                <w:rFonts w:cs="Arial"/>
                <w:sz w:val="18"/>
                <w:lang w:val="en-GB"/>
              </w:rPr>
              <w:t>L and absolute neutrophil counts [ANC] &gt; 1,000/</w:t>
            </w:r>
            <w:r w:rsidRPr="003A54B5">
              <w:rPr>
                <w:rFonts w:cs="Arial"/>
                <w:sz w:val="18"/>
                <w:lang w:val="en-GB"/>
              </w:rPr>
              <w:sym w:font="Symbol" w:char="F06D"/>
            </w:r>
            <w:r w:rsidRPr="003A54B5">
              <w:rPr>
                <w:rFonts w:cs="Arial"/>
                <w:sz w:val="18"/>
                <w:lang w:val="en-GB"/>
              </w:rPr>
              <w:t>L).</w:t>
            </w:r>
          </w:p>
          <w:p w:rsidR="00426BD0" w:rsidRPr="003A54B5" w:rsidRDefault="00426BD0" w:rsidP="00556A34">
            <w:pPr>
              <w:pStyle w:val="ListParagraph"/>
              <w:numPr>
                <w:ilvl w:val="0"/>
                <w:numId w:val="11"/>
              </w:numPr>
              <w:contextualSpacing w:val="0"/>
              <w:rPr>
                <w:rFonts w:cs="Arial"/>
                <w:sz w:val="18"/>
                <w:lang w:val="en-GB"/>
              </w:rPr>
            </w:pPr>
            <w:proofErr w:type="spellStart"/>
            <w:r w:rsidRPr="003A54B5">
              <w:rPr>
                <w:rFonts w:cs="Arial"/>
                <w:sz w:val="18"/>
                <w:lang w:val="en-GB"/>
              </w:rPr>
              <w:t>CRh</w:t>
            </w:r>
            <w:proofErr w:type="spellEnd"/>
            <w:r w:rsidRPr="003A54B5">
              <w:rPr>
                <w:rFonts w:cs="Arial"/>
                <w:sz w:val="18"/>
                <w:lang w:val="en-GB"/>
              </w:rPr>
              <w:t xml:space="preserve">* was defined as </w:t>
            </w:r>
            <w:r w:rsidRPr="003A54B5">
              <w:rPr>
                <w:rFonts w:cs="Arial"/>
                <w:sz w:val="18"/>
                <w:lang w:val="en-GB"/>
              </w:rPr>
              <w:sym w:font="Symbol" w:char="F0A3"/>
            </w:r>
            <w:r w:rsidRPr="003A54B5">
              <w:rPr>
                <w:rFonts w:cs="Arial"/>
                <w:sz w:val="18"/>
                <w:lang w:val="en-GB"/>
              </w:rPr>
              <w:t> 5% of blasts in the bone marrow, no evidence of disease, and partial recovery of peripheral blood counts (platelets &gt; 50,000/</w:t>
            </w:r>
            <w:r w:rsidRPr="003A54B5">
              <w:rPr>
                <w:rFonts w:cs="Arial"/>
                <w:sz w:val="18"/>
                <w:lang w:val="en-GB"/>
              </w:rPr>
              <w:sym w:font="Symbol" w:char="F06D"/>
            </w:r>
            <w:r w:rsidRPr="003A54B5">
              <w:rPr>
                <w:rFonts w:cs="Arial"/>
                <w:sz w:val="18"/>
                <w:lang w:val="en-GB"/>
              </w:rPr>
              <w:t>L and ANC &gt; 500/</w:t>
            </w:r>
            <w:r w:rsidRPr="003A54B5">
              <w:rPr>
                <w:rFonts w:cs="Arial"/>
                <w:sz w:val="18"/>
                <w:lang w:val="en-GB"/>
              </w:rPr>
              <w:sym w:font="Symbol" w:char="F06D"/>
            </w:r>
            <w:r w:rsidRPr="003A54B5">
              <w:rPr>
                <w:rFonts w:cs="Arial"/>
                <w:sz w:val="18"/>
                <w:lang w:val="en-GB"/>
              </w:rPr>
              <w:t>L).</w:t>
            </w:r>
          </w:p>
          <w:p w:rsidR="00426BD0" w:rsidRPr="003A54B5" w:rsidRDefault="00426BD0" w:rsidP="00556A34">
            <w:pPr>
              <w:pStyle w:val="ListParagraph"/>
              <w:numPr>
                <w:ilvl w:val="0"/>
                <w:numId w:val="11"/>
              </w:numPr>
              <w:contextualSpacing w:val="0"/>
              <w:rPr>
                <w:rFonts w:cs="Arial"/>
                <w:sz w:val="18"/>
                <w:lang w:val="en-GB"/>
              </w:rPr>
            </w:pPr>
            <w:r w:rsidRPr="003A54B5">
              <w:rPr>
                <w:rFonts w:cs="Arial"/>
                <w:sz w:val="18"/>
                <w:lang w:val="en-GB"/>
              </w:rPr>
              <w:t xml:space="preserve">Blast free </w:t>
            </w:r>
            <w:proofErr w:type="spellStart"/>
            <w:r w:rsidRPr="003A54B5">
              <w:rPr>
                <w:rFonts w:cs="Arial"/>
                <w:sz w:val="18"/>
                <w:lang w:val="en-GB"/>
              </w:rPr>
              <w:t>hypoplastic</w:t>
            </w:r>
            <w:proofErr w:type="spellEnd"/>
            <w:r w:rsidRPr="003A54B5">
              <w:rPr>
                <w:rFonts w:cs="Arial"/>
                <w:sz w:val="18"/>
                <w:lang w:val="en-GB"/>
              </w:rPr>
              <w:t xml:space="preserve"> or aplastic bone marrow was defined as bone marrow blasts </w:t>
            </w:r>
            <w:r w:rsidRPr="003A54B5">
              <w:rPr>
                <w:rFonts w:cs="Arial"/>
                <w:sz w:val="18"/>
                <w:lang w:val="en-GB"/>
              </w:rPr>
              <w:sym w:font="Symbol" w:char="F0A3"/>
            </w:r>
            <w:r w:rsidRPr="003A54B5">
              <w:rPr>
                <w:rFonts w:cs="Arial"/>
                <w:sz w:val="18"/>
                <w:lang w:val="en-GB"/>
              </w:rPr>
              <w:t xml:space="preserve"> 5%, no evidence of disease, insufficient recovery of peripheral counts: platelets ≤ 50,000/</w:t>
            </w:r>
            <w:proofErr w:type="spellStart"/>
            <w:r w:rsidRPr="003A54B5">
              <w:rPr>
                <w:rFonts w:cs="Arial"/>
                <w:sz w:val="18"/>
                <w:lang w:val="en-GB"/>
              </w:rPr>
              <w:t>μL</w:t>
            </w:r>
            <w:proofErr w:type="spellEnd"/>
            <w:r w:rsidRPr="003A54B5">
              <w:rPr>
                <w:rFonts w:cs="Arial"/>
                <w:sz w:val="18"/>
                <w:lang w:val="en-GB"/>
              </w:rPr>
              <w:t xml:space="preserve"> and/or ANC ≤ 500/</w:t>
            </w:r>
            <w:proofErr w:type="spellStart"/>
            <w:r w:rsidRPr="003A54B5">
              <w:rPr>
                <w:rFonts w:cs="Arial"/>
                <w:sz w:val="18"/>
                <w:lang w:val="en-GB"/>
              </w:rPr>
              <w:t>μL</w:t>
            </w:r>
            <w:proofErr w:type="spellEnd"/>
          </w:p>
          <w:p w:rsidR="00426BD0" w:rsidRPr="00ED30B6" w:rsidRDefault="00426BD0" w:rsidP="00556A34">
            <w:pPr>
              <w:pStyle w:val="ListParagraph"/>
              <w:numPr>
                <w:ilvl w:val="0"/>
                <w:numId w:val="11"/>
              </w:numPr>
              <w:contextualSpacing w:val="0"/>
              <w:rPr>
                <w:rFonts w:ascii="Times New Roman" w:hAnsi="Times New Roman"/>
                <w:sz w:val="18"/>
                <w:lang w:val="en-GB"/>
              </w:rPr>
            </w:pPr>
            <w:r w:rsidRPr="003A54B5">
              <w:rPr>
                <w:rFonts w:cs="Arial"/>
                <w:sz w:val="18"/>
                <w:lang w:val="en-GB"/>
              </w:rPr>
              <w:t>Partial remission was defined as bone marrow blasts 6% to 25% with at least a 50% reduction from baseline</w:t>
            </w:r>
          </w:p>
        </w:tc>
      </w:tr>
    </w:tbl>
    <w:p w:rsidR="0050250F" w:rsidRPr="00565164" w:rsidRDefault="00A64F9F" w:rsidP="00386DB8">
      <w:pPr>
        <w:pStyle w:val="Text"/>
        <w:rPr>
          <w:lang w:val="en-AU" w:eastAsia="en-AU"/>
        </w:rPr>
      </w:pPr>
      <w:r>
        <w:rPr>
          <w:lang w:val="en-AU" w:eastAsia="en-AU"/>
        </w:rPr>
        <w:t>Patients</w:t>
      </w:r>
      <w:r w:rsidR="00BE351D" w:rsidRPr="00BE351D">
        <w:rPr>
          <w:lang w:val="en-AU" w:eastAsia="en-AU"/>
        </w:rPr>
        <w:t xml:space="preserve"> with prior allogeneic HSCT had similar response rates to those without prior HSCT, older </w:t>
      </w:r>
      <w:r>
        <w:rPr>
          <w:lang w:val="en-AU" w:eastAsia="en-AU"/>
        </w:rPr>
        <w:t>patients</w:t>
      </w:r>
      <w:r w:rsidR="00BE351D" w:rsidRPr="00BE351D">
        <w:rPr>
          <w:lang w:val="en-AU" w:eastAsia="en-AU"/>
        </w:rPr>
        <w:t xml:space="preserve"> had similar response rates to younger </w:t>
      </w:r>
      <w:r>
        <w:rPr>
          <w:lang w:val="en-AU" w:eastAsia="en-AU"/>
        </w:rPr>
        <w:t>patients</w:t>
      </w:r>
      <w:r w:rsidR="00BE351D" w:rsidRPr="00BE351D">
        <w:rPr>
          <w:lang w:val="en-AU" w:eastAsia="en-AU"/>
        </w:rPr>
        <w:t xml:space="preserve">, and no substantial difference was observed in remission rates based on the number of lines of prior salvage treatment. </w:t>
      </w:r>
      <w:r w:rsidR="0050250F" w:rsidRPr="00565164">
        <w:rPr>
          <w:lang w:val="en-AU" w:eastAsia="en-AU"/>
        </w:rPr>
        <w:t>See Figure 1.</w:t>
      </w:r>
    </w:p>
    <w:p w:rsidR="0050250F" w:rsidRPr="00565164" w:rsidRDefault="0050250F" w:rsidP="00386DB8">
      <w:pPr>
        <w:pStyle w:val="Text"/>
        <w:rPr>
          <w:lang w:val="en-AU" w:eastAsia="en-AU"/>
        </w:rPr>
      </w:pPr>
      <w:r w:rsidRPr="00565164">
        <w:rPr>
          <w:lang w:val="en-AU" w:eastAsia="en-AU"/>
        </w:rPr>
        <w:t xml:space="preserve">To further assess survival, a </w:t>
      </w:r>
      <w:proofErr w:type="spellStart"/>
      <w:r w:rsidRPr="00565164">
        <w:rPr>
          <w:lang w:val="en-AU" w:eastAsia="en-AU"/>
        </w:rPr>
        <w:t>prespecified</w:t>
      </w:r>
      <w:proofErr w:type="spellEnd"/>
      <w:r w:rsidRPr="00565164">
        <w:rPr>
          <w:lang w:val="en-AU" w:eastAsia="en-AU"/>
        </w:rPr>
        <w:t xml:space="preserve"> landmark analysis comparing responders and non-responders in week 5 of cycles 1 and 2 was conducted. The median overall survival was 11.2 months (95% CI: 7.8 months to not estimable) among patients who achieved CR/</w:t>
      </w:r>
      <w:proofErr w:type="spellStart"/>
      <w:r w:rsidRPr="00565164">
        <w:rPr>
          <w:lang w:val="en-AU" w:eastAsia="en-AU"/>
        </w:rPr>
        <w:t>CRh</w:t>
      </w:r>
      <w:proofErr w:type="spellEnd"/>
      <w:r w:rsidRPr="00565164">
        <w:rPr>
          <w:lang w:val="en-AU" w:eastAsia="en-AU"/>
        </w:rPr>
        <w:t xml:space="preserve">* (N = 60) and 3.0 months (95% CI: 2.4 to 4 months) among non-responders (N = 101) in the cycle 1 analysis. The median overall survival was 9.9 months (95% CI: 6.8 months to not estimable) among </w:t>
      </w:r>
      <w:r w:rsidR="00A64F9F">
        <w:rPr>
          <w:lang w:val="en-AU" w:eastAsia="en-AU"/>
        </w:rPr>
        <w:t>patients</w:t>
      </w:r>
      <w:r w:rsidRPr="00565164">
        <w:rPr>
          <w:lang w:val="en-AU" w:eastAsia="en-AU"/>
        </w:rPr>
        <w:t xml:space="preserve"> who achieved CR/</w:t>
      </w:r>
      <w:proofErr w:type="spellStart"/>
      <w:r w:rsidRPr="00565164">
        <w:rPr>
          <w:lang w:val="en-AU" w:eastAsia="en-AU"/>
        </w:rPr>
        <w:t>CRh</w:t>
      </w:r>
      <w:proofErr w:type="spellEnd"/>
      <w:r w:rsidRPr="00565164">
        <w:rPr>
          <w:lang w:val="en-AU" w:eastAsia="en-AU"/>
        </w:rPr>
        <w:t xml:space="preserve">* (N = 79), and 2.7 months (95% CI: 1.6 to 4.5 months) among </w:t>
      </w:r>
      <w:proofErr w:type="spellStart"/>
      <w:r w:rsidRPr="00565164">
        <w:rPr>
          <w:lang w:val="en-AU" w:eastAsia="en-AU"/>
        </w:rPr>
        <w:t>nonresponders</w:t>
      </w:r>
      <w:proofErr w:type="spellEnd"/>
      <w:r w:rsidRPr="00565164">
        <w:rPr>
          <w:lang w:val="en-AU" w:eastAsia="en-AU"/>
        </w:rPr>
        <w:t xml:space="preserve"> (N = 50) in the cycle 2 analysis.</w:t>
      </w:r>
    </w:p>
    <w:p w:rsidR="0050250F" w:rsidRPr="00565164" w:rsidRDefault="0050250F" w:rsidP="00386DB8">
      <w:pPr>
        <w:pStyle w:val="Text"/>
        <w:rPr>
          <w:lang w:val="en-AU" w:eastAsia="en-AU"/>
        </w:rPr>
      </w:pPr>
      <w:r w:rsidRPr="00565164">
        <w:rPr>
          <w:lang w:val="en-AU" w:eastAsia="en-AU"/>
        </w:rPr>
        <w:t xml:space="preserve">In a </w:t>
      </w:r>
      <w:proofErr w:type="spellStart"/>
      <w:r w:rsidRPr="00565164">
        <w:rPr>
          <w:lang w:val="en-AU" w:eastAsia="en-AU"/>
        </w:rPr>
        <w:t>prespecified</w:t>
      </w:r>
      <w:proofErr w:type="spellEnd"/>
      <w:r w:rsidRPr="00565164">
        <w:rPr>
          <w:lang w:val="en-AU" w:eastAsia="en-AU"/>
        </w:rPr>
        <w:t xml:space="preserve"> exploratory analysis, 60 out of 73 MRD evaluable patients with CR/</w:t>
      </w:r>
      <w:proofErr w:type="spellStart"/>
      <w:r w:rsidRPr="00565164">
        <w:rPr>
          <w:lang w:val="en-AU" w:eastAsia="en-AU"/>
        </w:rPr>
        <w:t>CRh</w:t>
      </w:r>
      <w:proofErr w:type="spellEnd"/>
      <w:r w:rsidRPr="00565164">
        <w:rPr>
          <w:lang w:val="en-AU" w:eastAsia="en-AU"/>
        </w:rPr>
        <w:t>* (82.2%) also had a MRD response (defined as MRD by PCR &lt; 1 x 10</w:t>
      </w:r>
      <w:r w:rsidRPr="00565164">
        <w:rPr>
          <w:vertAlign w:val="superscript"/>
          <w:lang w:val="en-AU" w:eastAsia="en-AU"/>
        </w:rPr>
        <w:t>-4</w:t>
      </w:r>
      <w:r w:rsidRPr="00565164">
        <w:rPr>
          <w:lang w:val="en-AU" w:eastAsia="en-AU"/>
        </w:rPr>
        <w:t>).</w:t>
      </w:r>
    </w:p>
    <w:p w:rsidR="00426BD0" w:rsidRPr="000657DD" w:rsidRDefault="00386DB8" w:rsidP="00386DB8">
      <w:pPr>
        <w:pStyle w:val="Caption"/>
        <w:rPr>
          <w:rFonts w:cs="Arial"/>
          <w:b w:val="0"/>
          <w:bCs/>
          <w:color w:val="000000"/>
          <w:szCs w:val="22"/>
          <w:lang w:val="en-GB"/>
        </w:rPr>
      </w:pPr>
      <w:proofErr w:type="gramStart"/>
      <w:r>
        <w:lastRenderedPageBreak/>
        <w:t>Figure </w:t>
      </w:r>
      <w:r>
        <w:fldChar w:fldCharType="begin"/>
      </w:r>
      <w:r>
        <w:instrText xml:space="preserve"> SEQ Figure \* ARABIC </w:instrText>
      </w:r>
      <w:r>
        <w:fldChar w:fldCharType="separate"/>
      </w:r>
      <w:r>
        <w:rPr>
          <w:noProof/>
        </w:rPr>
        <w:t>1</w:t>
      </w:r>
      <w:r>
        <w:fldChar w:fldCharType="end"/>
      </w:r>
      <w:r>
        <w:t>.</w:t>
      </w:r>
      <w:proofErr w:type="gramEnd"/>
      <w:r>
        <w:t xml:space="preserve">  </w:t>
      </w:r>
      <w:r w:rsidR="00426BD0" w:rsidRPr="00386DB8">
        <w:t>CR/</w:t>
      </w:r>
      <w:proofErr w:type="spellStart"/>
      <w:r w:rsidR="00426BD0" w:rsidRPr="00386DB8">
        <w:t>CRh</w:t>
      </w:r>
      <w:proofErr w:type="spellEnd"/>
      <w:r w:rsidR="00426BD0" w:rsidRPr="00386DB8">
        <w:t xml:space="preserve">* Rate </w:t>
      </w:r>
      <w:proofErr w:type="gramStart"/>
      <w:r w:rsidR="00426BD0" w:rsidRPr="00386DB8">
        <w:t>During</w:t>
      </w:r>
      <w:proofErr w:type="gramEnd"/>
      <w:r w:rsidR="00426BD0" w:rsidRPr="00386DB8">
        <w:t xml:space="preserve"> the First Two Cycles by Subgroup (Study 2)</w:t>
      </w:r>
    </w:p>
    <w:p w:rsidR="0050250F" w:rsidRDefault="00426BD0" w:rsidP="00F3501B">
      <w:pPr>
        <w:autoSpaceDE w:val="0"/>
        <w:autoSpaceDN w:val="0"/>
        <w:adjustRightInd w:val="0"/>
        <w:rPr>
          <w:rFonts w:cs="Arial"/>
          <w:sz w:val="20"/>
          <w:lang w:val="en-AU" w:eastAsia="en-AU"/>
        </w:rPr>
      </w:pPr>
      <w:r w:rsidRPr="00334D79">
        <w:rPr>
          <w:rFonts w:cs="Arial"/>
          <w:noProof/>
          <w:sz w:val="20"/>
          <w:lang w:val="en-AU" w:eastAsia="en-AU"/>
        </w:rPr>
        <w:drawing>
          <wp:inline distT="0" distB="0" distL="0" distR="0" wp14:anchorId="3091F099" wp14:editId="69C7E4D6">
            <wp:extent cx="5257800" cy="3021050"/>
            <wp:effectExtent l="0" t="0" r="0" b="8255"/>
            <wp:docPr id="2" name="Picture 2" descr="Figure 1.  CR/CRh* Rate During the First Two Cycles by Subgroup (Stud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3021050"/>
                    </a:xfrm>
                    <a:prstGeom prst="rect">
                      <a:avLst/>
                    </a:prstGeom>
                    <a:noFill/>
                    <a:ln>
                      <a:noFill/>
                    </a:ln>
                  </pic:spPr>
                </pic:pic>
              </a:graphicData>
            </a:graphic>
          </wp:inline>
        </w:drawing>
      </w:r>
    </w:p>
    <w:p w:rsidR="00A64F9F" w:rsidRPr="00B96B2E" w:rsidRDefault="00A64F9F" w:rsidP="00386DB8">
      <w:pPr>
        <w:pStyle w:val="FootnoteText"/>
      </w:pPr>
      <w:r w:rsidRPr="00B96B2E">
        <w:t>n</w:t>
      </w:r>
      <w:r>
        <w:t xml:space="preserve"> = number of patients</w:t>
      </w:r>
      <w:r w:rsidRPr="00B96B2E">
        <w:t xml:space="preserve"> who achieved CR or </w:t>
      </w:r>
      <w:proofErr w:type="spellStart"/>
      <w:r w:rsidRPr="00B96B2E">
        <w:t>CRh</w:t>
      </w:r>
      <w:proofErr w:type="spellEnd"/>
      <w:r w:rsidRPr="00B96B2E">
        <w:t>* in the first two cycles of treatment in the specified group</w:t>
      </w:r>
    </w:p>
    <w:p w:rsidR="0050250F" w:rsidRDefault="00A64F9F" w:rsidP="00386DB8">
      <w:pPr>
        <w:pStyle w:val="FootnoteText"/>
        <w:rPr>
          <w:rFonts w:cs="Arial"/>
          <w:sz w:val="20"/>
          <w:lang w:val="en-AU" w:eastAsia="en-AU"/>
        </w:rPr>
      </w:pPr>
      <w:r w:rsidRPr="00B96B2E">
        <w:t xml:space="preserve">N = total number of </w:t>
      </w:r>
      <w:r>
        <w:t>patients</w:t>
      </w:r>
      <w:r w:rsidRPr="00B96B2E">
        <w:t xml:space="preserve"> in the specified group</w:t>
      </w:r>
    </w:p>
    <w:p w:rsidR="0050250F" w:rsidRPr="00565164" w:rsidRDefault="0050250F" w:rsidP="00386DB8">
      <w:pPr>
        <w:pStyle w:val="Text"/>
        <w:rPr>
          <w:lang w:val="en-AU" w:eastAsia="en-AU"/>
        </w:rPr>
      </w:pPr>
      <w:r w:rsidRPr="00565164">
        <w:rPr>
          <w:lang w:val="en-AU" w:eastAsia="en-AU"/>
        </w:rPr>
        <w:t xml:space="preserve">In Study 3, </w:t>
      </w:r>
      <w:proofErr w:type="spellStart"/>
      <w:r w:rsidR="00FD0BE3">
        <w:rPr>
          <w:lang w:val="en-AU" w:eastAsia="en-AU"/>
        </w:rPr>
        <w:t>Blincyto</w:t>
      </w:r>
      <w:proofErr w:type="spellEnd"/>
      <w:r w:rsidRPr="00565164">
        <w:rPr>
          <w:lang w:val="en-AU" w:eastAsia="en-AU"/>
        </w:rPr>
        <w:t xml:space="preserve"> was evaluat</w:t>
      </w:r>
      <w:r w:rsidR="009767A7">
        <w:rPr>
          <w:lang w:val="en-AU" w:eastAsia="en-AU"/>
        </w:rPr>
        <w:t>ed in a confirmatory, multicentre</w:t>
      </w:r>
      <w:r w:rsidRPr="00565164">
        <w:rPr>
          <w:lang w:val="en-AU" w:eastAsia="en-AU"/>
        </w:rPr>
        <w:t xml:space="preserve">, single-arm study in 116 </w:t>
      </w:r>
      <w:proofErr w:type="gramStart"/>
      <w:r w:rsidRPr="00565164">
        <w:rPr>
          <w:lang w:val="en-AU" w:eastAsia="en-AU"/>
        </w:rPr>
        <w:t>patients</w:t>
      </w:r>
      <w:proofErr w:type="gramEnd"/>
      <w:r w:rsidRPr="00565164">
        <w:rPr>
          <w:lang w:val="en-AU" w:eastAsia="en-AU"/>
        </w:rPr>
        <w:t xml:space="preserve"> ≥ 18 years of age with MRD including 5 patients (4.3%) with Philadelphia positive ALL. The primary endpoint was the proportion of patients who achieved complete MRD response defined by absence of MRD after one cycle of </w:t>
      </w:r>
      <w:proofErr w:type="spellStart"/>
      <w:r w:rsidR="00FD0BE3">
        <w:rPr>
          <w:lang w:val="en-AU" w:eastAsia="en-AU"/>
        </w:rPr>
        <w:t>Blincyto</w:t>
      </w:r>
      <w:proofErr w:type="spellEnd"/>
      <w:r w:rsidRPr="00565164">
        <w:rPr>
          <w:lang w:val="en-AU" w:eastAsia="en-AU"/>
        </w:rPr>
        <w:t xml:space="preserve"> treatment. The percentage of patients who achieved complete MRD response after one cycle of treatment was 77.9% (95% CI: 69.1% - 85.1%).</w:t>
      </w:r>
    </w:p>
    <w:p w:rsidR="00A071E4" w:rsidRPr="00DE6D43" w:rsidRDefault="00A071E4" w:rsidP="00386DB8">
      <w:pPr>
        <w:pStyle w:val="Text"/>
        <w:rPr>
          <w:lang w:val="en-AU" w:eastAsia="en-AU"/>
        </w:rPr>
      </w:pPr>
      <w:r w:rsidRPr="00A071E4">
        <w:rPr>
          <w:lang w:val="en-AU" w:eastAsia="en-AU"/>
        </w:rPr>
        <w:t>Study 4 was an open-label, multicent</w:t>
      </w:r>
      <w:r w:rsidR="006467F8">
        <w:rPr>
          <w:lang w:val="en-AU" w:eastAsia="en-AU"/>
        </w:rPr>
        <w:t>re</w:t>
      </w:r>
      <w:r w:rsidRPr="00A071E4">
        <w:rPr>
          <w:lang w:val="en-AU" w:eastAsia="en-AU"/>
        </w:rPr>
        <w:t xml:space="preserve">, single-arm study to establish the safety, efficacy and tolerability of </w:t>
      </w:r>
      <w:proofErr w:type="spellStart"/>
      <w:r w:rsidRPr="00A071E4">
        <w:rPr>
          <w:lang w:val="en-AU" w:eastAsia="en-AU"/>
        </w:rPr>
        <w:t>Blincyto</w:t>
      </w:r>
      <w:proofErr w:type="spellEnd"/>
      <w:r w:rsidRPr="00A071E4">
        <w:rPr>
          <w:lang w:val="en-AU" w:eastAsia="en-AU"/>
        </w:rPr>
        <w:t xml:space="preserve"> in 21 adult patients (≥ 18 years old) with MRD (defined as MRD by PCR </w:t>
      </w:r>
      <w:r w:rsidR="006C1D07">
        <w:rPr>
          <w:lang w:val="en-AU" w:eastAsia="en-AU"/>
        </w:rPr>
        <w:t>≥</w:t>
      </w:r>
      <w:r w:rsidRPr="00A071E4">
        <w:rPr>
          <w:lang w:val="en-AU" w:eastAsia="en-AU"/>
        </w:rPr>
        <w:t xml:space="preserve"> 1 x 10</w:t>
      </w:r>
      <w:r w:rsidRPr="00A071E4">
        <w:rPr>
          <w:vertAlign w:val="superscript"/>
          <w:lang w:val="en-AU" w:eastAsia="en-AU"/>
        </w:rPr>
        <w:t>-4</w:t>
      </w:r>
      <w:r w:rsidRPr="00A071E4">
        <w:rPr>
          <w:lang w:val="en-AU" w:eastAsia="en-AU"/>
        </w:rPr>
        <w:t xml:space="preserve">) following established induction/consolidation therapy of B-precursor ALL. </w:t>
      </w:r>
      <w:r w:rsidR="00A64F9F">
        <w:rPr>
          <w:lang w:val="en-AU" w:eastAsia="en-AU"/>
        </w:rPr>
        <w:t>Patients</w:t>
      </w:r>
      <w:r w:rsidRPr="00A071E4">
        <w:rPr>
          <w:lang w:val="en-AU" w:eastAsia="en-AU"/>
        </w:rPr>
        <w:t xml:space="preserve"> received </w:t>
      </w:r>
      <w:proofErr w:type="spellStart"/>
      <w:r w:rsidRPr="00A071E4">
        <w:rPr>
          <w:lang w:val="en-AU" w:eastAsia="en-AU"/>
        </w:rPr>
        <w:t>blinatumomab</w:t>
      </w:r>
      <w:proofErr w:type="spellEnd"/>
      <w:r w:rsidRPr="00A071E4">
        <w:rPr>
          <w:lang w:val="en-AU" w:eastAsia="en-AU"/>
        </w:rPr>
        <w:t xml:space="preserve"> doses of 15 </w:t>
      </w:r>
      <w:proofErr w:type="spellStart"/>
      <w:r w:rsidRPr="00A071E4">
        <w:rPr>
          <w:lang w:val="en-AU" w:eastAsia="en-AU"/>
        </w:rPr>
        <w:t>μg</w:t>
      </w:r>
      <w:proofErr w:type="spellEnd"/>
      <w:r w:rsidRPr="00A071E4">
        <w:rPr>
          <w:lang w:val="en-AU" w:eastAsia="en-AU"/>
        </w:rPr>
        <w:t>/m</w:t>
      </w:r>
      <w:r w:rsidRPr="00A071E4">
        <w:rPr>
          <w:vertAlign w:val="superscript"/>
          <w:lang w:val="en-AU" w:eastAsia="en-AU"/>
        </w:rPr>
        <w:t>2</w:t>
      </w:r>
      <w:r w:rsidRPr="00A071E4">
        <w:rPr>
          <w:lang w:val="en-AU" w:eastAsia="en-AU"/>
        </w:rPr>
        <w:t xml:space="preserve">/day; non-responders were escalated to 30 </w:t>
      </w:r>
      <w:proofErr w:type="spellStart"/>
      <w:r w:rsidRPr="00A071E4">
        <w:rPr>
          <w:lang w:val="en-AU" w:eastAsia="en-AU"/>
        </w:rPr>
        <w:t>μg</w:t>
      </w:r>
      <w:proofErr w:type="spellEnd"/>
      <w:r w:rsidRPr="00A071E4">
        <w:rPr>
          <w:lang w:val="en-AU" w:eastAsia="en-AU"/>
        </w:rPr>
        <w:t>/m</w:t>
      </w:r>
      <w:r w:rsidRPr="00A071E4">
        <w:rPr>
          <w:vertAlign w:val="superscript"/>
          <w:lang w:val="en-AU" w:eastAsia="en-AU"/>
        </w:rPr>
        <w:t>2</w:t>
      </w:r>
      <w:r w:rsidRPr="00A071E4">
        <w:rPr>
          <w:lang w:val="en-AU" w:eastAsia="en-AU"/>
        </w:rPr>
        <w:t xml:space="preserve">/day. The primary endpoint was the MRD response rate, which was defined by the incidence of MRD negativity within 4 cycles of treatment with </w:t>
      </w:r>
      <w:proofErr w:type="spellStart"/>
      <w:r w:rsidRPr="00A071E4">
        <w:rPr>
          <w:lang w:val="en-AU" w:eastAsia="en-AU"/>
        </w:rPr>
        <w:t>blinatumomab</w:t>
      </w:r>
      <w:proofErr w:type="spellEnd"/>
      <w:r w:rsidRPr="00A071E4">
        <w:rPr>
          <w:lang w:val="en-AU" w:eastAsia="en-AU"/>
        </w:rPr>
        <w:t xml:space="preserve">. MRD response was observed in 80% (16/20) of evaluable </w:t>
      </w:r>
      <w:r w:rsidR="00A64F9F">
        <w:rPr>
          <w:lang w:val="en-AU" w:eastAsia="en-AU"/>
        </w:rPr>
        <w:t>patients</w:t>
      </w:r>
      <w:r w:rsidRPr="00A071E4">
        <w:rPr>
          <w:lang w:val="en-AU" w:eastAsia="en-AU"/>
        </w:rPr>
        <w:t xml:space="preserve"> in the full analysis set, with all MRD responses having been observed within cycle 1.</w:t>
      </w:r>
    </w:p>
    <w:p w:rsidR="0050250F" w:rsidRDefault="0050250F" w:rsidP="00386DB8">
      <w:pPr>
        <w:pStyle w:val="Text"/>
        <w:rPr>
          <w:lang w:val="en-AU" w:eastAsia="en-AU"/>
        </w:rPr>
      </w:pPr>
      <w:r w:rsidRPr="00565164">
        <w:rPr>
          <w:lang w:val="en-AU" w:eastAsia="en-AU"/>
        </w:rPr>
        <w:t>A pooled analysis of multicent</w:t>
      </w:r>
      <w:r w:rsidR="009767A7">
        <w:rPr>
          <w:lang w:val="en-AU" w:eastAsia="en-AU"/>
        </w:rPr>
        <w:t>re</w:t>
      </w:r>
      <w:r w:rsidRPr="00565164">
        <w:rPr>
          <w:lang w:val="en-AU" w:eastAsia="en-AU"/>
        </w:rPr>
        <w:t xml:space="preserve">, historical data (Study </w:t>
      </w:r>
      <w:r w:rsidR="00A071E4">
        <w:rPr>
          <w:lang w:val="en-AU" w:eastAsia="en-AU"/>
        </w:rPr>
        <w:t>5</w:t>
      </w:r>
      <w:r w:rsidRPr="00565164">
        <w:rPr>
          <w:lang w:val="en-AU" w:eastAsia="en-AU"/>
        </w:rPr>
        <w:t>) on adult relapsed or refractory ALL patients (n = 694 with available CR data; n = 1,112 with available OS data) was performed to provide a summary of key clinical outcomes among patients who receive salvage therapy. The CR definition included patients who experienced complete bone marrow recovery with full peripheral blood count recovery as well as some patients at some cent</w:t>
      </w:r>
      <w:r w:rsidR="009767A7">
        <w:rPr>
          <w:lang w:val="en-AU" w:eastAsia="en-AU"/>
        </w:rPr>
        <w:t>re</w:t>
      </w:r>
      <w:r w:rsidRPr="00565164">
        <w:rPr>
          <w:lang w:val="en-AU" w:eastAsia="en-AU"/>
        </w:rPr>
        <w:t>s with partial</w:t>
      </w:r>
      <w:r w:rsidR="00BE351D">
        <w:rPr>
          <w:lang w:val="en-AU" w:eastAsia="en-AU"/>
        </w:rPr>
        <w:t xml:space="preserve"> </w:t>
      </w:r>
      <w:r w:rsidRPr="00565164">
        <w:rPr>
          <w:lang w:val="en-AU" w:eastAsia="en-AU"/>
        </w:rPr>
        <w:t>peripheral blood count recovery. The historical data included relapsed or refractory ALL patients who relapsed within 12 months of initial treatment, were refractory to prior treatment(s), relapsed within 12 months of allogeneic HSCT, or were in second or later salvage treatment. Among these patients, the CR rate, adjusted to the patient profile in Study</w:t>
      </w:r>
      <w:r w:rsidR="00BE351D">
        <w:rPr>
          <w:lang w:val="en-AU" w:eastAsia="en-AU"/>
        </w:rPr>
        <w:t xml:space="preserve"> </w:t>
      </w:r>
      <w:r w:rsidRPr="00565164">
        <w:rPr>
          <w:lang w:val="en-AU" w:eastAsia="en-AU"/>
        </w:rPr>
        <w:t xml:space="preserve">2 was 23.8% (95% CI: 19.8% - 27.5%) and median OS was 3.3 months (95% CI: 2.8 to 3.6 </w:t>
      </w:r>
      <w:r w:rsidRPr="005C64FC">
        <w:rPr>
          <w:lang w:val="en-AU" w:eastAsia="en-AU"/>
        </w:rPr>
        <w:t>months).</w:t>
      </w:r>
    </w:p>
    <w:p w:rsidR="002E0BB1" w:rsidRDefault="002E0BB1" w:rsidP="00386DB8">
      <w:pPr>
        <w:pStyle w:val="Text"/>
        <w:rPr>
          <w:lang w:val="en-AU" w:eastAsia="en-AU"/>
        </w:rPr>
      </w:pPr>
      <w:r>
        <w:t xml:space="preserve">The approval for the use of </w:t>
      </w:r>
      <w:proofErr w:type="spellStart"/>
      <w:r w:rsidR="00AE07B5">
        <w:t>Blincyto</w:t>
      </w:r>
      <w:proofErr w:type="spellEnd"/>
      <w:r>
        <w:t xml:space="preserve"> in adults with ALL is based upon phase II non-</w:t>
      </w:r>
      <w:proofErr w:type="spellStart"/>
      <w:r>
        <w:t>randomised</w:t>
      </w:r>
      <w:proofErr w:type="spellEnd"/>
      <w:r>
        <w:t xml:space="preserve"> evidence. The results of a </w:t>
      </w:r>
      <w:proofErr w:type="spellStart"/>
      <w:r>
        <w:t>randomised</w:t>
      </w:r>
      <w:proofErr w:type="spellEnd"/>
      <w:r>
        <w:t>, active-controlled phase III study of efficacy and safety for this indication are awaited.</w:t>
      </w:r>
    </w:p>
    <w:p w:rsidR="00EB657B" w:rsidRPr="00386DB8" w:rsidRDefault="00EB657B" w:rsidP="00071D5D">
      <w:pPr>
        <w:pStyle w:val="Heading3"/>
        <w:rPr>
          <w:i/>
          <w:lang w:val="en-AU" w:eastAsia="en-AU"/>
        </w:rPr>
      </w:pPr>
      <w:r w:rsidRPr="00386DB8">
        <w:rPr>
          <w:lang w:val="en-AU" w:eastAsia="en-AU"/>
        </w:rPr>
        <w:lastRenderedPageBreak/>
        <w:t>Paediatric population</w:t>
      </w:r>
    </w:p>
    <w:p w:rsidR="00A47498" w:rsidRPr="005C64FC" w:rsidRDefault="00A47498" w:rsidP="00386DB8">
      <w:pPr>
        <w:pStyle w:val="Text"/>
        <w:rPr>
          <w:rFonts w:eastAsia="SimSun"/>
          <w:lang w:eastAsia="zh-TW"/>
        </w:rPr>
      </w:pPr>
      <w:r>
        <w:t xml:space="preserve">The safety and efficacy of </w:t>
      </w:r>
      <w:proofErr w:type="spellStart"/>
      <w:r>
        <w:t>Blincyto</w:t>
      </w:r>
      <w:proofErr w:type="spellEnd"/>
      <w:r>
        <w:t xml:space="preserve"> have not yet been established</w:t>
      </w:r>
      <w:r w:rsidRPr="005C64FC">
        <w:t xml:space="preserve"> in </w:t>
      </w:r>
      <w:proofErr w:type="spellStart"/>
      <w:r w:rsidRPr="005C64FC">
        <w:t>paediatric</w:t>
      </w:r>
      <w:proofErr w:type="spellEnd"/>
      <w:r w:rsidRPr="005C64FC">
        <w:t xml:space="preserve"> patients</w:t>
      </w:r>
      <w:r w:rsidRPr="005C64FC">
        <w:rPr>
          <w:rFonts w:eastAsia="SimSun"/>
          <w:lang w:eastAsia="zh-TW"/>
        </w:rPr>
        <w:t xml:space="preserve">. Do not use the recommended adult fixed dose in </w:t>
      </w:r>
      <w:proofErr w:type="spellStart"/>
      <w:r w:rsidRPr="005C64FC">
        <w:rPr>
          <w:rFonts w:eastAsia="SimSun"/>
          <w:lang w:eastAsia="zh-TW"/>
        </w:rPr>
        <w:t>paediatric</w:t>
      </w:r>
      <w:proofErr w:type="spellEnd"/>
      <w:r w:rsidRPr="005C64FC">
        <w:rPr>
          <w:rFonts w:eastAsia="SimSun"/>
          <w:lang w:eastAsia="zh-TW"/>
        </w:rPr>
        <w:t xml:space="preserve"> patients.</w:t>
      </w:r>
    </w:p>
    <w:p w:rsidR="00767C0A" w:rsidRPr="00565164" w:rsidRDefault="00767C0A" w:rsidP="00071D5D">
      <w:pPr>
        <w:pStyle w:val="Heading2"/>
        <w:rPr>
          <w:lang w:val="en-AU"/>
        </w:rPr>
      </w:pPr>
      <w:r w:rsidRPr="00565164">
        <w:rPr>
          <w:lang w:val="en-AU"/>
        </w:rPr>
        <w:t>INDICATIONS</w:t>
      </w:r>
    </w:p>
    <w:p w:rsidR="00767C0A" w:rsidRPr="00565164" w:rsidRDefault="00FD0BE3" w:rsidP="00386DB8">
      <w:pPr>
        <w:pStyle w:val="Text"/>
      </w:pPr>
      <w:proofErr w:type="spellStart"/>
      <w:r>
        <w:rPr>
          <w:lang w:val="en-AU" w:eastAsia="en-AU"/>
        </w:rPr>
        <w:t>Blincyto</w:t>
      </w:r>
      <w:proofErr w:type="spellEnd"/>
      <w:r w:rsidR="00885F8B" w:rsidRPr="00565164">
        <w:rPr>
          <w:lang w:val="en-AU" w:eastAsia="en-AU"/>
        </w:rPr>
        <w:t xml:space="preserve"> is indicated for the treatment of adults with Philadelphia chromosome-negative relapsed or refractory B-precursor acute lymphoblastic leukaemia (ALL).</w:t>
      </w:r>
    </w:p>
    <w:p w:rsidR="00767C0A" w:rsidRPr="00565164" w:rsidRDefault="00767C0A" w:rsidP="00071D5D">
      <w:pPr>
        <w:pStyle w:val="Heading2"/>
        <w:rPr>
          <w:lang w:val="en-AU"/>
        </w:rPr>
      </w:pPr>
      <w:r w:rsidRPr="00565164">
        <w:rPr>
          <w:lang w:val="en-AU"/>
        </w:rPr>
        <w:t>CONTRAINDICATIONS</w:t>
      </w:r>
    </w:p>
    <w:p w:rsidR="00885F8B" w:rsidRPr="00565164" w:rsidRDefault="00FD0BE3" w:rsidP="00386DB8">
      <w:pPr>
        <w:pStyle w:val="Text"/>
      </w:pPr>
      <w:proofErr w:type="spellStart"/>
      <w:r>
        <w:t>B</w:t>
      </w:r>
      <w:r w:rsidR="00621EFB">
        <w:t>lincyto</w:t>
      </w:r>
      <w:proofErr w:type="spellEnd"/>
      <w:r w:rsidR="00536C05" w:rsidRPr="00565164">
        <w:rPr>
          <w:vertAlign w:val="superscript"/>
        </w:rPr>
        <w:t xml:space="preserve"> </w:t>
      </w:r>
      <w:r w:rsidR="006B63F5" w:rsidRPr="00565164">
        <w:t xml:space="preserve">is contraindicated in patients with known hypersensitivity to </w:t>
      </w:r>
      <w:r w:rsidR="0053571D">
        <w:t xml:space="preserve">CHO-cell derived proteins, </w:t>
      </w:r>
      <w:proofErr w:type="spellStart"/>
      <w:r w:rsidR="00885F8B" w:rsidRPr="00565164">
        <w:t>blinatumomab</w:t>
      </w:r>
      <w:proofErr w:type="spellEnd"/>
      <w:r w:rsidR="00885F8B" w:rsidRPr="00565164">
        <w:t xml:space="preserve"> or any of the excipients (see DESCRIPTION).</w:t>
      </w:r>
    </w:p>
    <w:p w:rsidR="00767C0A" w:rsidRPr="00565164" w:rsidRDefault="00767C0A" w:rsidP="00071D5D">
      <w:pPr>
        <w:pStyle w:val="Heading2"/>
      </w:pPr>
      <w:r w:rsidRPr="00565164">
        <w:t>PRECAUTIONS</w:t>
      </w:r>
    </w:p>
    <w:p w:rsidR="00885F8B" w:rsidRPr="00386DB8" w:rsidRDefault="00885F8B" w:rsidP="00071D5D">
      <w:pPr>
        <w:pStyle w:val="Heading3"/>
      </w:pPr>
      <w:r w:rsidRPr="00386DB8">
        <w:t>Neurologic Events</w:t>
      </w:r>
    </w:p>
    <w:p w:rsidR="00885F8B" w:rsidRPr="00565164" w:rsidRDefault="00885F8B" w:rsidP="00386DB8">
      <w:pPr>
        <w:pStyle w:val="Text"/>
        <w:rPr>
          <w:lang w:val="en-AU" w:eastAsia="en-AU"/>
        </w:rPr>
      </w:pPr>
      <w:r w:rsidRPr="00565164">
        <w:rPr>
          <w:lang w:val="en-AU" w:eastAsia="en-AU"/>
        </w:rPr>
        <w:t xml:space="preserve">Neurologic events have been observed in patients receiving </w:t>
      </w:r>
      <w:proofErr w:type="spellStart"/>
      <w:r w:rsidR="00FD0BE3">
        <w:rPr>
          <w:lang w:val="en-AU" w:eastAsia="en-AU"/>
        </w:rPr>
        <w:t>Blincyto</w:t>
      </w:r>
      <w:proofErr w:type="spellEnd"/>
      <w:r w:rsidRPr="00565164">
        <w:rPr>
          <w:lang w:val="en-AU" w:eastAsia="en-AU"/>
        </w:rPr>
        <w:t xml:space="preserve">. Grade 3 or higher (severe or life-threatening) neurologic events following initiation of </w:t>
      </w:r>
      <w:proofErr w:type="spellStart"/>
      <w:r w:rsidR="00FD0BE3">
        <w:rPr>
          <w:lang w:val="en-AU" w:eastAsia="en-AU"/>
        </w:rPr>
        <w:t>Blincyto</w:t>
      </w:r>
      <w:proofErr w:type="spellEnd"/>
      <w:r w:rsidRPr="00565164">
        <w:rPr>
          <w:lang w:val="en-AU" w:eastAsia="en-AU"/>
        </w:rPr>
        <w:t xml:space="preserve"> administration included encephalopathy, convulsions, speech disorders, disturbances in consciousness, confusion and disorientation, and coordination and balance disorders. The median time to onset of a neurologic event was 9 days, and the majority of events resolved</w:t>
      </w:r>
      <w:r w:rsidR="00373E48">
        <w:rPr>
          <w:lang w:val="en-AU" w:eastAsia="en-AU"/>
        </w:rPr>
        <w:t xml:space="preserve"> </w:t>
      </w:r>
      <w:r w:rsidRPr="00565164">
        <w:rPr>
          <w:lang w:val="en-AU" w:eastAsia="en-AU"/>
        </w:rPr>
        <w:t xml:space="preserve">and infrequently led to </w:t>
      </w:r>
      <w:proofErr w:type="spellStart"/>
      <w:r w:rsidR="00FD0BE3">
        <w:rPr>
          <w:lang w:val="en-AU" w:eastAsia="en-AU"/>
        </w:rPr>
        <w:t>Blincyto</w:t>
      </w:r>
      <w:proofErr w:type="spellEnd"/>
      <w:r w:rsidRPr="00565164">
        <w:rPr>
          <w:lang w:val="en-AU" w:eastAsia="en-AU"/>
        </w:rPr>
        <w:t xml:space="preserve"> treatment discontinuation. Some events were reported with a fatal outcome.</w:t>
      </w:r>
    </w:p>
    <w:p w:rsidR="00885F8B" w:rsidRDefault="00885F8B" w:rsidP="00386DB8">
      <w:pPr>
        <w:pStyle w:val="Text"/>
        <w:rPr>
          <w:iCs/>
          <w:lang w:val="en-AU" w:eastAsia="en-AU"/>
        </w:rPr>
      </w:pPr>
      <w:r w:rsidRPr="00565164">
        <w:rPr>
          <w:lang w:val="en-AU" w:eastAsia="en-AU"/>
        </w:rPr>
        <w:t xml:space="preserve">There is limited experience with </w:t>
      </w:r>
      <w:proofErr w:type="spellStart"/>
      <w:r w:rsidR="00FD0BE3">
        <w:rPr>
          <w:lang w:val="en-AU" w:eastAsia="en-AU"/>
        </w:rPr>
        <w:t>Blincyto</w:t>
      </w:r>
      <w:proofErr w:type="spellEnd"/>
      <w:r w:rsidRPr="00565164">
        <w:rPr>
          <w:lang w:val="en-AU" w:eastAsia="en-AU"/>
        </w:rPr>
        <w:t xml:space="preserve"> in patients with a history of neurologic events. Patients receiving </w:t>
      </w:r>
      <w:proofErr w:type="spellStart"/>
      <w:r w:rsidR="00FD0BE3">
        <w:rPr>
          <w:lang w:val="en-AU" w:eastAsia="en-AU"/>
        </w:rPr>
        <w:t>Blincyto</w:t>
      </w:r>
      <w:proofErr w:type="spellEnd"/>
      <w:r w:rsidRPr="00565164">
        <w:rPr>
          <w:lang w:val="en-AU" w:eastAsia="en-AU"/>
        </w:rPr>
        <w:t xml:space="preserve"> should be clinically monitored for signs and symptoms of neurologic events. Management of these signs and symptoms may require either temporary interruption or discontinuation of </w:t>
      </w:r>
      <w:proofErr w:type="spellStart"/>
      <w:r w:rsidR="00FD0BE3">
        <w:rPr>
          <w:lang w:val="en-AU" w:eastAsia="en-AU"/>
        </w:rPr>
        <w:t>Blincyto</w:t>
      </w:r>
      <w:proofErr w:type="spellEnd"/>
      <w:r w:rsidRPr="00565164">
        <w:rPr>
          <w:lang w:val="en-AU" w:eastAsia="en-AU"/>
        </w:rPr>
        <w:t xml:space="preserve"> </w:t>
      </w:r>
      <w:r w:rsidR="00500E03" w:rsidRPr="00500E03">
        <w:rPr>
          <w:iCs/>
          <w:lang w:val="en-AU" w:eastAsia="en-AU"/>
        </w:rPr>
        <w:t>(</w:t>
      </w:r>
      <w:r w:rsidRPr="00500E03">
        <w:rPr>
          <w:iCs/>
          <w:lang w:val="en-AU" w:eastAsia="en-AU"/>
        </w:rPr>
        <w:t xml:space="preserve">see </w:t>
      </w:r>
      <w:r w:rsidR="00B05932">
        <w:rPr>
          <w:iCs/>
          <w:lang w:val="en-AU" w:eastAsia="en-AU"/>
        </w:rPr>
        <w:t>DOSAGE AND ADMINISTRATION</w:t>
      </w:r>
      <w:r w:rsidR="00500E03" w:rsidRPr="00500E03">
        <w:rPr>
          <w:iCs/>
          <w:lang w:val="en-AU" w:eastAsia="en-AU"/>
        </w:rPr>
        <w:t>).</w:t>
      </w:r>
    </w:p>
    <w:p w:rsidR="00253C3A" w:rsidRPr="00386DB8" w:rsidRDefault="00253C3A" w:rsidP="00071D5D">
      <w:pPr>
        <w:pStyle w:val="Heading3"/>
      </w:pPr>
      <w:r w:rsidRPr="00386DB8">
        <w:t>Infections</w:t>
      </w:r>
    </w:p>
    <w:p w:rsidR="00253C3A" w:rsidRPr="00565164" w:rsidRDefault="00253C3A" w:rsidP="00386DB8">
      <w:pPr>
        <w:pStyle w:val="Text"/>
        <w:rPr>
          <w:lang w:val="en-AU" w:eastAsia="en-AU"/>
        </w:rPr>
      </w:pPr>
      <w:r w:rsidRPr="00565164">
        <w:rPr>
          <w:lang w:val="en-AU" w:eastAsia="en-AU"/>
        </w:rPr>
        <w:t xml:space="preserve">Patients with ALL are immunocompromised and consequently at increased risk for serious infections. In patients receiving </w:t>
      </w:r>
      <w:proofErr w:type="spellStart"/>
      <w:r w:rsidR="00FD0BE3">
        <w:rPr>
          <w:lang w:val="en-AU" w:eastAsia="en-AU"/>
        </w:rPr>
        <w:t>Blincyto</w:t>
      </w:r>
      <w:proofErr w:type="spellEnd"/>
      <w:r w:rsidRPr="00565164">
        <w:rPr>
          <w:lang w:val="en-AU" w:eastAsia="en-AU"/>
        </w:rPr>
        <w:t>, serious infections, including sepsis, pneumonia, bacter</w:t>
      </w:r>
      <w:r w:rsidR="009767A7">
        <w:rPr>
          <w:lang w:val="en-AU" w:eastAsia="en-AU"/>
        </w:rPr>
        <w:t>a</w:t>
      </w:r>
      <w:r w:rsidRPr="00565164">
        <w:rPr>
          <w:lang w:val="en-AU" w:eastAsia="en-AU"/>
        </w:rPr>
        <w:t>emia, opportunistic infections, and catheter site infections have been observed, some of which were life-threatening or fatal. Patients with Eastern Cooperative Oncology Group (ECOG) performance status ≥ 2 experienced a higher incidence of serious infections</w:t>
      </w:r>
      <w:r w:rsidR="00373E48">
        <w:rPr>
          <w:lang w:val="en-AU" w:eastAsia="en-AU"/>
        </w:rPr>
        <w:t xml:space="preserve"> </w:t>
      </w:r>
      <w:r w:rsidRPr="00565164">
        <w:rPr>
          <w:lang w:val="en-AU" w:eastAsia="en-AU"/>
        </w:rPr>
        <w:t xml:space="preserve">compared to patients with ECOG performance status of &lt; 2. There is limited experience with </w:t>
      </w:r>
      <w:proofErr w:type="spellStart"/>
      <w:r w:rsidR="00FD0BE3">
        <w:rPr>
          <w:lang w:val="en-AU" w:eastAsia="en-AU"/>
        </w:rPr>
        <w:t>Blincyto</w:t>
      </w:r>
      <w:proofErr w:type="spellEnd"/>
      <w:r w:rsidRPr="00565164">
        <w:rPr>
          <w:lang w:val="en-AU" w:eastAsia="en-AU"/>
        </w:rPr>
        <w:t xml:space="preserve"> in patients with an active uncontrolled infection.</w:t>
      </w:r>
    </w:p>
    <w:p w:rsidR="00253C3A" w:rsidRPr="00565164" w:rsidRDefault="00253C3A" w:rsidP="00386DB8">
      <w:pPr>
        <w:pStyle w:val="Text"/>
        <w:rPr>
          <w:lang w:val="en-AU" w:eastAsia="en-AU"/>
        </w:rPr>
      </w:pPr>
      <w:r w:rsidRPr="00565164">
        <w:rPr>
          <w:lang w:val="en-AU" w:eastAsia="en-AU"/>
        </w:rPr>
        <w:t xml:space="preserve">Monitor patients for signs and symptoms of infection and treat appropriately. Management of infections may require either temporary interruption or discontinuation of </w:t>
      </w:r>
      <w:proofErr w:type="spellStart"/>
      <w:r w:rsidR="00FD0BE3" w:rsidRPr="00500E03">
        <w:rPr>
          <w:lang w:val="en-AU" w:eastAsia="en-AU"/>
        </w:rPr>
        <w:t>Blincyto</w:t>
      </w:r>
      <w:proofErr w:type="spellEnd"/>
      <w:r w:rsidRPr="00500E03">
        <w:rPr>
          <w:lang w:val="en-AU" w:eastAsia="en-AU"/>
        </w:rPr>
        <w:t xml:space="preserve"> </w:t>
      </w:r>
      <w:r w:rsidR="00500E03" w:rsidRPr="00500E03">
        <w:rPr>
          <w:iCs/>
          <w:lang w:val="en-AU" w:eastAsia="en-AU"/>
        </w:rPr>
        <w:t>(</w:t>
      </w:r>
      <w:r w:rsidRPr="00500E03">
        <w:rPr>
          <w:iCs/>
          <w:lang w:val="en-AU" w:eastAsia="en-AU"/>
        </w:rPr>
        <w:t xml:space="preserve">see </w:t>
      </w:r>
      <w:r w:rsidR="00B05932">
        <w:rPr>
          <w:iCs/>
          <w:lang w:val="en-AU" w:eastAsia="en-AU"/>
        </w:rPr>
        <w:t>DOSAGE AND ADMINISTRATION</w:t>
      </w:r>
      <w:r w:rsidR="00500E03" w:rsidRPr="00500E03">
        <w:rPr>
          <w:iCs/>
          <w:lang w:val="en-AU" w:eastAsia="en-AU"/>
        </w:rPr>
        <w:t>).</w:t>
      </w:r>
    </w:p>
    <w:p w:rsidR="00253C3A" w:rsidRPr="00B53B13" w:rsidRDefault="00FD0BE3" w:rsidP="00386DB8">
      <w:pPr>
        <w:pStyle w:val="Text"/>
        <w:rPr>
          <w:lang w:val="en-AU" w:eastAsia="en-AU"/>
        </w:rPr>
      </w:pPr>
      <w:proofErr w:type="spellStart"/>
      <w:r>
        <w:rPr>
          <w:lang w:val="en-AU" w:eastAsia="en-AU"/>
        </w:rPr>
        <w:t>Blincyto</w:t>
      </w:r>
      <w:proofErr w:type="spellEnd"/>
      <w:r w:rsidR="00253C3A" w:rsidRPr="00565164">
        <w:rPr>
          <w:lang w:val="en-AU" w:eastAsia="en-AU"/>
        </w:rPr>
        <w:t xml:space="preserve"> should be prepared by personnel appropriately trained in aseptic </w:t>
      </w:r>
      <w:proofErr w:type="gramStart"/>
      <w:r w:rsidR="00D31949">
        <w:rPr>
          <w:lang w:val="en-AU" w:eastAsia="en-AU"/>
        </w:rPr>
        <w:t>preparation</w:t>
      </w:r>
      <w:r w:rsidR="00BC343A" w:rsidRPr="00565164">
        <w:rPr>
          <w:lang w:val="en-AU" w:eastAsia="en-AU"/>
        </w:rPr>
        <w:t xml:space="preserve"> </w:t>
      </w:r>
      <w:r w:rsidR="00253C3A" w:rsidRPr="00565164">
        <w:rPr>
          <w:lang w:val="en-AU" w:eastAsia="en-AU"/>
        </w:rPr>
        <w:t xml:space="preserve"> of</w:t>
      </w:r>
      <w:proofErr w:type="gramEnd"/>
      <w:r w:rsidR="00253C3A" w:rsidRPr="00565164">
        <w:rPr>
          <w:lang w:val="en-AU" w:eastAsia="en-AU"/>
        </w:rPr>
        <w:t xml:space="preserve"> oncology drugs. Aseptic technique must be strictly observed when preparing the solution for infusion and when performing routine catheter care</w:t>
      </w:r>
      <w:r w:rsidR="00253C3A" w:rsidRPr="00B53B13">
        <w:rPr>
          <w:lang w:val="en-AU" w:eastAsia="en-AU"/>
        </w:rPr>
        <w:t xml:space="preserve"> </w:t>
      </w:r>
      <w:r w:rsidR="00B53B13" w:rsidRPr="00B53B13">
        <w:rPr>
          <w:iCs/>
          <w:lang w:val="en-AU" w:eastAsia="en-AU"/>
        </w:rPr>
        <w:t>(</w:t>
      </w:r>
      <w:r w:rsidR="00B53B13">
        <w:rPr>
          <w:iCs/>
          <w:lang w:val="en-AU" w:eastAsia="en-AU"/>
        </w:rPr>
        <w:t xml:space="preserve">see </w:t>
      </w:r>
      <w:r w:rsidR="00B53B13">
        <w:t>DOSAGE AND ADMINISTRATION, Reconstitution and Preparation of Solution for Infusion).</w:t>
      </w:r>
    </w:p>
    <w:p w:rsidR="00E36CA6" w:rsidRDefault="00BC343A" w:rsidP="00071D5D">
      <w:pPr>
        <w:pStyle w:val="Heading3"/>
      </w:pPr>
      <w:r w:rsidRPr="00386DB8">
        <w:t>Cytokine Release Syndrome</w:t>
      </w:r>
    </w:p>
    <w:p w:rsidR="00E36CA6" w:rsidRDefault="00BC343A" w:rsidP="00386DB8">
      <w:pPr>
        <w:pStyle w:val="Text"/>
      </w:pPr>
      <w:r w:rsidRPr="00565164">
        <w:t xml:space="preserve">Cytokine Release Syndrome (CRS) which may be life-threatening or fatal has been reported in patients receiving </w:t>
      </w:r>
      <w:proofErr w:type="spellStart"/>
      <w:r w:rsidRPr="00500E03">
        <w:t>Blincyto</w:t>
      </w:r>
      <w:proofErr w:type="spellEnd"/>
      <w:r w:rsidRPr="00500E03">
        <w:t xml:space="preserve"> (</w:t>
      </w:r>
      <w:r w:rsidR="003A09E4">
        <w:t>Adverse Events</w:t>
      </w:r>
      <w:r w:rsidRPr="00500E03">
        <w:t>).</w:t>
      </w:r>
    </w:p>
    <w:p w:rsidR="00E36CA6" w:rsidRDefault="00BC343A" w:rsidP="00386DB8">
      <w:pPr>
        <w:pStyle w:val="Text"/>
      </w:pPr>
      <w:r w:rsidRPr="00565164">
        <w:t xml:space="preserve">Serious adverse events that may be associated with CRS included pyrexia, asthenia, headache, hypotension, total bilirubin increased, and nausea; these events infrequently led to </w:t>
      </w:r>
      <w:proofErr w:type="spellStart"/>
      <w:r w:rsidRPr="00565164">
        <w:t>Blincyto</w:t>
      </w:r>
      <w:proofErr w:type="spellEnd"/>
      <w:r w:rsidRPr="00565164">
        <w:t xml:space="preserve"> discontinuation.  In some cases, disseminated intravascular coagulation</w:t>
      </w:r>
      <w:r w:rsidRPr="00D2262E">
        <w:t xml:space="preserve">, capillary leak syndrome, and </w:t>
      </w:r>
      <w:proofErr w:type="spellStart"/>
      <w:r w:rsidRPr="00D2262E">
        <w:t>haemophagocytic</w:t>
      </w:r>
      <w:proofErr w:type="spellEnd"/>
      <w:r w:rsidRPr="00D2262E">
        <w:t xml:space="preserve"> </w:t>
      </w:r>
      <w:proofErr w:type="spellStart"/>
      <w:r w:rsidRPr="00D2262E">
        <w:t>lymphohistiocytosis</w:t>
      </w:r>
      <w:proofErr w:type="spellEnd"/>
      <w:r w:rsidRPr="00D2262E">
        <w:t xml:space="preserve">/macrophage </w:t>
      </w:r>
      <w:r w:rsidRPr="00D2262E">
        <w:lastRenderedPageBreak/>
        <w:t>activation syndrome</w:t>
      </w:r>
      <w:r w:rsidRPr="00565164">
        <w:t xml:space="preserve"> have been reported in the setting of CRS. Patients should be closely monitored for signs or symptoms of these events.</w:t>
      </w:r>
    </w:p>
    <w:p w:rsidR="00BC343A" w:rsidRPr="00565164" w:rsidRDefault="00BC343A" w:rsidP="00386DB8">
      <w:pPr>
        <w:pStyle w:val="Text"/>
        <w:rPr>
          <w:iCs/>
        </w:rPr>
      </w:pPr>
      <w:r w:rsidRPr="00565164">
        <w:rPr>
          <w:rFonts w:eastAsia="Arial,Italic"/>
          <w:iCs/>
        </w:rPr>
        <w:t xml:space="preserve">Management of these events may require either temporary interruption or discontinuation of </w:t>
      </w:r>
      <w:proofErr w:type="spellStart"/>
      <w:r w:rsidRPr="00565164">
        <w:rPr>
          <w:rFonts w:eastAsia="Arial,Italic"/>
          <w:iCs/>
        </w:rPr>
        <w:t>Blincyto</w:t>
      </w:r>
      <w:proofErr w:type="spellEnd"/>
      <w:r w:rsidRPr="00565164">
        <w:rPr>
          <w:rFonts w:eastAsia="Arial,Italic"/>
          <w:iCs/>
        </w:rPr>
        <w:t xml:space="preserve"> </w:t>
      </w:r>
      <w:r w:rsidRPr="00565164">
        <w:rPr>
          <w:iCs/>
        </w:rPr>
        <w:t>(</w:t>
      </w:r>
      <w:r w:rsidR="00500E03" w:rsidRPr="00565164">
        <w:t xml:space="preserve">see </w:t>
      </w:r>
      <w:r w:rsidR="00B53B13">
        <w:t>DOSAGE AND ADMINISTRATION</w:t>
      </w:r>
      <w:r w:rsidRPr="00565164">
        <w:rPr>
          <w:iCs/>
        </w:rPr>
        <w:t>).</w:t>
      </w:r>
    </w:p>
    <w:p w:rsidR="00BC343A" w:rsidRPr="00386DB8" w:rsidRDefault="00BC343A" w:rsidP="00071D5D">
      <w:pPr>
        <w:pStyle w:val="Heading3"/>
      </w:pPr>
      <w:r w:rsidRPr="00386DB8">
        <w:t>Infusion Reactions</w:t>
      </w:r>
    </w:p>
    <w:p w:rsidR="00BC343A" w:rsidRPr="00565164" w:rsidRDefault="00BC343A" w:rsidP="00386DB8">
      <w:pPr>
        <w:pStyle w:val="Text"/>
        <w:rPr>
          <w:lang w:val="en-GB"/>
        </w:rPr>
      </w:pPr>
      <w:r w:rsidRPr="00565164">
        <w:rPr>
          <w:lang w:val="en-GB"/>
        </w:rPr>
        <w:t xml:space="preserve">Infusion reactions may be clinically indistinguishable from manifestations of </w:t>
      </w:r>
      <w:r w:rsidR="003A09E4">
        <w:rPr>
          <w:lang w:val="en-GB"/>
        </w:rPr>
        <w:t>CRS.</w:t>
      </w:r>
    </w:p>
    <w:p w:rsidR="00E36CA6" w:rsidRDefault="00BC343A" w:rsidP="00386DB8">
      <w:pPr>
        <w:pStyle w:val="Text"/>
        <w:rPr>
          <w:rFonts w:cs="Arial"/>
          <w:szCs w:val="22"/>
        </w:rPr>
      </w:pPr>
      <w:r w:rsidRPr="00565164">
        <w:rPr>
          <w:rFonts w:cs="Arial"/>
          <w:szCs w:val="22"/>
        </w:rPr>
        <w:t>Patients should be observed closely for infusion reactions, especially during the first infusion</w:t>
      </w:r>
      <w:r w:rsidR="0053571D">
        <w:rPr>
          <w:rFonts w:cs="Arial"/>
          <w:szCs w:val="22"/>
        </w:rPr>
        <w:t xml:space="preserve"> of</w:t>
      </w:r>
      <w:r w:rsidRPr="00565164">
        <w:rPr>
          <w:rFonts w:cs="Arial"/>
          <w:szCs w:val="22"/>
        </w:rPr>
        <w:t xml:space="preserve"> the first cycle and treated appropriately.  </w:t>
      </w:r>
      <w:r w:rsidRPr="00565164">
        <w:rPr>
          <w:rFonts w:eastAsia="Arial,Italic" w:cs="Arial"/>
          <w:iCs/>
          <w:szCs w:val="22"/>
        </w:rPr>
        <w:t xml:space="preserve">Management of infusion reactions may require either temporary interruption or discontinuation of </w:t>
      </w:r>
      <w:proofErr w:type="spellStart"/>
      <w:r w:rsidRPr="00565164">
        <w:rPr>
          <w:rFonts w:eastAsia="Arial,Italic" w:cs="Arial"/>
          <w:iCs/>
          <w:szCs w:val="22"/>
        </w:rPr>
        <w:t>Blincyto</w:t>
      </w:r>
      <w:proofErr w:type="spellEnd"/>
      <w:r w:rsidRPr="00565164">
        <w:rPr>
          <w:rFonts w:eastAsia="Arial,Italic" w:cs="Arial"/>
          <w:iCs/>
          <w:szCs w:val="22"/>
        </w:rPr>
        <w:t xml:space="preserve"> </w:t>
      </w:r>
      <w:r w:rsidRPr="00565164">
        <w:rPr>
          <w:rFonts w:cs="Arial"/>
          <w:iCs/>
          <w:szCs w:val="22"/>
        </w:rPr>
        <w:t xml:space="preserve">(see </w:t>
      </w:r>
      <w:r w:rsidR="00B53B13">
        <w:rPr>
          <w:rFonts w:cs="Arial"/>
          <w:szCs w:val="22"/>
        </w:rPr>
        <w:t>DOSAGE AND ADMINISTRATION</w:t>
      </w:r>
      <w:r w:rsidRPr="00565164">
        <w:rPr>
          <w:rFonts w:cs="Arial"/>
          <w:iCs/>
          <w:szCs w:val="22"/>
        </w:rPr>
        <w:t>)</w:t>
      </w:r>
      <w:r w:rsidRPr="00565164">
        <w:rPr>
          <w:rFonts w:cs="Arial"/>
          <w:szCs w:val="22"/>
        </w:rPr>
        <w:t xml:space="preserve">. </w:t>
      </w:r>
    </w:p>
    <w:p w:rsidR="00E36CA6" w:rsidRDefault="00BC343A" w:rsidP="00071D5D">
      <w:pPr>
        <w:pStyle w:val="Heading3"/>
      </w:pPr>
      <w:proofErr w:type="spellStart"/>
      <w:r w:rsidRPr="00386DB8">
        <w:t>Tumour</w:t>
      </w:r>
      <w:proofErr w:type="spellEnd"/>
      <w:r w:rsidRPr="00386DB8">
        <w:t xml:space="preserve"> Lysis Syndrome</w:t>
      </w:r>
    </w:p>
    <w:p w:rsidR="00E36CA6" w:rsidRDefault="0053571D" w:rsidP="00386DB8">
      <w:pPr>
        <w:pStyle w:val="Text"/>
      </w:pPr>
      <w:proofErr w:type="spellStart"/>
      <w:r>
        <w:t>Tumour</w:t>
      </w:r>
      <w:proofErr w:type="spellEnd"/>
      <w:r>
        <w:t xml:space="preserve"> Lysis S</w:t>
      </w:r>
      <w:r w:rsidR="00BC343A" w:rsidRPr="00565164">
        <w:t xml:space="preserve">yndrome (TLS), which may be life-threatening or </w:t>
      </w:r>
      <w:proofErr w:type="gramStart"/>
      <w:r w:rsidR="00BC343A" w:rsidRPr="00565164">
        <w:t>fatal</w:t>
      </w:r>
      <w:proofErr w:type="gramEnd"/>
      <w:r w:rsidR="00BC343A" w:rsidRPr="00565164">
        <w:t xml:space="preserve"> has been observed in patients receiving </w:t>
      </w:r>
      <w:proofErr w:type="spellStart"/>
      <w:r w:rsidR="00BC343A" w:rsidRPr="00565164">
        <w:t>Blincyto</w:t>
      </w:r>
      <w:proofErr w:type="spellEnd"/>
      <w:r w:rsidR="00BC343A" w:rsidRPr="00565164">
        <w:t>.</w:t>
      </w:r>
    </w:p>
    <w:p w:rsidR="00E36CA6" w:rsidRDefault="00BC343A" w:rsidP="00386DB8">
      <w:pPr>
        <w:pStyle w:val="Text"/>
      </w:pPr>
      <w:r w:rsidRPr="00565164">
        <w:rPr>
          <w:color w:val="000000" w:themeColor="text1"/>
        </w:rPr>
        <w:t xml:space="preserve">Appropriate prophylactic measures including hydration should be used for the prevention of TLS during </w:t>
      </w:r>
      <w:proofErr w:type="spellStart"/>
      <w:r w:rsidRPr="00565164">
        <w:rPr>
          <w:color w:val="000000" w:themeColor="text1"/>
        </w:rPr>
        <w:t>Blincyto</w:t>
      </w:r>
      <w:proofErr w:type="spellEnd"/>
      <w:r w:rsidRPr="00565164">
        <w:rPr>
          <w:color w:val="000000" w:themeColor="text1"/>
        </w:rPr>
        <w:t xml:space="preserve"> treatment.  </w:t>
      </w:r>
      <w:r w:rsidRPr="00565164">
        <w:t xml:space="preserve">Patients should be closely monitored for signs or symptoms of TLS.  </w:t>
      </w:r>
      <w:r w:rsidRPr="00565164">
        <w:rPr>
          <w:rFonts w:eastAsia="Arial,Italic"/>
          <w:iCs/>
        </w:rPr>
        <w:t xml:space="preserve">Management of </w:t>
      </w:r>
      <w:r w:rsidRPr="00A11CCA">
        <w:rPr>
          <w:rFonts w:eastAsia="Arial,Italic"/>
          <w:iCs/>
        </w:rPr>
        <w:t xml:space="preserve">these events may require either temporary interruption or discontinuation of </w:t>
      </w:r>
      <w:proofErr w:type="spellStart"/>
      <w:r w:rsidRPr="00A11CCA">
        <w:rPr>
          <w:rFonts w:eastAsia="Arial,Italic"/>
          <w:iCs/>
        </w:rPr>
        <w:t>Blincyto</w:t>
      </w:r>
      <w:proofErr w:type="spellEnd"/>
      <w:r w:rsidRPr="00A11CCA">
        <w:rPr>
          <w:rFonts w:eastAsia="Arial,Italic"/>
          <w:iCs/>
        </w:rPr>
        <w:t xml:space="preserve"> </w:t>
      </w:r>
      <w:r w:rsidRPr="00A11CCA">
        <w:rPr>
          <w:iCs/>
        </w:rPr>
        <w:t xml:space="preserve">(see </w:t>
      </w:r>
      <w:r w:rsidR="00B53B13">
        <w:t>DOSAGE AND ADMINISTRATION</w:t>
      </w:r>
      <w:r w:rsidRPr="00A11CCA">
        <w:rPr>
          <w:iCs/>
        </w:rPr>
        <w:t>)</w:t>
      </w:r>
      <w:r w:rsidRPr="00A11CCA">
        <w:t>.</w:t>
      </w:r>
    </w:p>
    <w:p w:rsidR="00BC343A" w:rsidRPr="00386DB8" w:rsidRDefault="00BC343A" w:rsidP="00071D5D">
      <w:pPr>
        <w:pStyle w:val="Heading3"/>
      </w:pPr>
      <w:r w:rsidRPr="00386DB8">
        <w:t>Neutropenia and Febrile Neutropenia</w:t>
      </w:r>
    </w:p>
    <w:p w:rsidR="00E36CA6" w:rsidRDefault="00BC343A" w:rsidP="00386DB8">
      <w:pPr>
        <w:pStyle w:val="Text"/>
      </w:pPr>
      <w:r w:rsidRPr="00565164">
        <w:t xml:space="preserve">Neutropenia and febrile </w:t>
      </w:r>
      <w:r w:rsidR="00EA7FF6">
        <w:t>neutrop</w:t>
      </w:r>
      <w:r w:rsidR="001D040E">
        <w:t>enia</w:t>
      </w:r>
      <w:r w:rsidRPr="00565164">
        <w:t xml:space="preserve">, </w:t>
      </w:r>
      <w:r w:rsidRPr="00565164">
        <w:rPr>
          <w:color w:val="000000"/>
        </w:rPr>
        <w:t xml:space="preserve">including life threatening cases, </w:t>
      </w:r>
      <w:r w:rsidRPr="00565164">
        <w:t xml:space="preserve">have been observed in patients receiving </w:t>
      </w:r>
      <w:proofErr w:type="spellStart"/>
      <w:r w:rsidRPr="00565164">
        <w:t>Blincyto</w:t>
      </w:r>
      <w:proofErr w:type="spellEnd"/>
      <w:r w:rsidRPr="00565164">
        <w:t xml:space="preserve">.  </w:t>
      </w:r>
      <w:r w:rsidRPr="00565164">
        <w:rPr>
          <w:rStyle w:val="followingxmchange"/>
          <w:rFonts w:cs="Arial"/>
          <w:szCs w:val="22"/>
        </w:rPr>
        <w:t xml:space="preserve">Monitor laboratory parameters </w:t>
      </w:r>
      <w:r w:rsidRPr="00565164">
        <w:t xml:space="preserve">(including, but not limited to white blood cell count and absolute neutrophil count) during </w:t>
      </w:r>
      <w:proofErr w:type="spellStart"/>
      <w:r w:rsidRPr="00565164">
        <w:t>Blincyto</w:t>
      </w:r>
      <w:proofErr w:type="spellEnd"/>
      <w:r w:rsidRPr="00565164">
        <w:t xml:space="preserve"> infusion and treat appropriately.</w:t>
      </w:r>
    </w:p>
    <w:p w:rsidR="0091308D" w:rsidRPr="00386DB8" w:rsidRDefault="0091308D" w:rsidP="00071D5D">
      <w:pPr>
        <w:pStyle w:val="Heading3"/>
      </w:pPr>
      <w:r w:rsidRPr="00386DB8">
        <w:t>Medication Errors</w:t>
      </w:r>
    </w:p>
    <w:p w:rsidR="0091308D" w:rsidRPr="00565164" w:rsidRDefault="0091308D" w:rsidP="00386DB8">
      <w:pPr>
        <w:pStyle w:val="Text"/>
        <w:rPr>
          <w:iCs/>
        </w:rPr>
      </w:pPr>
      <w:r w:rsidRPr="00565164">
        <w:rPr>
          <w:rStyle w:val="xmchange"/>
          <w:rFonts w:eastAsia="Arial Unicode MS" w:cs="Arial"/>
          <w:color w:val="000000"/>
          <w:szCs w:val="22"/>
        </w:rPr>
        <w:t xml:space="preserve">Medication errors have been observed with </w:t>
      </w:r>
      <w:proofErr w:type="spellStart"/>
      <w:r w:rsidRPr="00565164">
        <w:rPr>
          <w:rStyle w:val="xmchange"/>
          <w:rFonts w:eastAsia="Arial Unicode MS" w:cs="Arial"/>
          <w:color w:val="000000"/>
          <w:szCs w:val="22"/>
        </w:rPr>
        <w:t>Blincyto</w:t>
      </w:r>
      <w:proofErr w:type="spellEnd"/>
      <w:r w:rsidRPr="00565164">
        <w:rPr>
          <w:rStyle w:val="xmchange"/>
          <w:rFonts w:eastAsia="Arial Unicode MS" w:cs="Arial"/>
          <w:color w:val="000000"/>
          <w:szCs w:val="22"/>
        </w:rPr>
        <w:t xml:space="preserve"> treatment.  </w:t>
      </w:r>
      <w:r w:rsidRPr="00565164">
        <w:rPr>
          <w:rStyle w:val="followingxmchange"/>
          <w:rFonts w:cs="Arial"/>
          <w:color w:val="000000"/>
          <w:szCs w:val="22"/>
        </w:rPr>
        <w:t xml:space="preserve">It is very important that the instructions for preparation (including </w:t>
      </w:r>
      <w:r w:rsidRPr="00565164">
        <w:rPr>
          <w:rStyle w:val="followingxmchange"/>
          <w:rFonts w:cs="Arial"/>
          <w:szCs w:val="22"/>
        </w:rPr>
        <w:t>reconstitution and dilution</w:t>
      </w:r>
      <w:r w:rsidRPr="00565164">
        <w:rPr>
          <w:rStyle w:val="followingxmchange"/>
          <w:rFonts w:cs="Arial"/>
          <w:color w:val="000000"/>
          <w:szCs w:val="22"/>
        </w:rPr>
        <w:t xml:space="preserve">) and administration are strictly followed to </w:t>
      </w:r>
      <w:proofErr w:type="spellStart"/>
      <w:r w:rsidR="00804A9A">
        <w:rPr>
          <w:rStyle w:val="followingxmchange"/>
          <w:rFonts w:cs="Arial"/>
          <w:color w:val="000000"/>
          <w:szCs w:val="22"/>
        </w:rPr>
        <w:t>minimise</w:t>
      </w:r>
      <w:proofErr w:type="spellEnd"/>
      <w:r w:rsidRPr="00565164">
        <w:rPr>
          <w:rStyle w:val="apple-converted-space"/>
          <w:rFonts w:cs="Arial"/>
          <w:color w:val="000000"/>
          <w:szCs w:val="22"/>
        </w:rPr>
        <w:t> </w:t>
      </w:r>
      <w:r w:rsidRPr="00565164">
        <w:rPr>
          <w:rStyle w:val="followingxmchange"/>
          <w:rFonts w:cs="Arial"/>
          <w:szCs w:val="22"/>
        </w:rPr>
        <w:t>medication errors </w:t>
      </w:r>
      <w:r w:rsidRPr="00565164">
        <w:rPr>
          <w:rStyle w:val="followingxmchange"/>
          <w:rFonts w:cs="Arial"/>
          <w:color w:val="000000"/>
          <w:szCs w:val="22"/>
        </w:rPr>
        <w:t xml:space="preserve">(including </w:t>
      </w:r>
      <w:proofErr w:type="spellStart"/>
      <w:r w:rsidRPr="00565164">
        <w:rPr>
          <w:rStyle w:val="followingxmchange"/>
          <w:rFonts w:cs="Arial"/>
          <w:color w:val="000000"/>
          <w:szCs w:val="22"/>
        </w:rPr>
        <w:t>underdose</w:t>
      </w:r>
      <w:proofErr w:type="spellEnd"/>
      <w:r w:rsidRPr="00565164">
        <w:rPr>
          <w:rStyle w:val="followingxmchange"/>
          <w:rFonts w:cs="Arial"/>
          <w:color w:val="000000"/>
          <w:szCs w:val="22"/>
        </w:rPr>
        <w:t xml:space="preserve"> and overdose) </w:t>
      </w:r>
      <w:r w:rsidRPr="00A11CCA">
        <w:rPr>
          <w:iCs/>
        </w:rPr>
        <w:t xml:space="preserve">(see </w:t>
      </w:r>
      <w:r w:rsidR="00B53B13">
        <w:t>DOSAGE AND ADMINISTRATION</w:t>
      </w:r>
      <w:r w:rsidRPr="00565164">
        <w:rPr>
          <w:iCs/>
        </w:rPr>
        <w:t>).</w:t>
      </w:r>
    </w:p>
    <w:p w:rsidR="0091308D" w:rsidRPr="00386DB8" w:rsidRDefault="0091308D" w:rsidP="00071D5D">
      <w:pPr>
        <w:pStyle w:val="Heading3"/>
      </w:pPr>
      <w:r w:rsidRPr="00386DB8">
        <w:t>Elevated Liver Enzymes</w:t>
      </w:r>
    </w:p>
    <w:p w:rsidR="0091308D" w:rsidRPr="00565164" w:rsidRDefault="0091308D" w:rsidP="00386DB8">
      <w:pPr>
        <w:pStyle w:val="Text"/>
        <w:rPr>
          <w:b/>
          <w:bCs/>
          <w:lang w:val="en-GB"/>
        </w:rPr>
      </w:pPr>
      <w:r w:rsidRPr="00565164">
        <w:rPr>
          <w:lang w:val="en-GB"/>
        </w:rPr>
        <w:t xml:space="preserve">Treatment with </w:t>
      </w:r>
      <w:proofErr w:type="spellStart"/>
      <w:r w:rsidRPr="00565164">
        <w:rPr>
          <w:lang w:val="en-GB"/>
        </w:rPr>
        <w:t>Blincyto</w:t>
      </w:r>
      <w:proofErr w:type="spellEnd"/>
      <w:r w:rsidRPr="00565164">
        <w:rPr>
          <w:lang w:val="en-GB"/>
        </w:rPr>
        <w:t xml:space="preserve"> was associated with transient elevations in liver enzymes.  The majority of the events were observed within the first week of </w:t>
      </w:r>
      <w:proofErr w:type="spellStart"/>
      <w:r w:rsidRPr="00565164">
        <w:rPr>
          <w:lang w:val="en-GB"/>
        </w:rPr>
        <w:t>Blincyto</w:t>
      </w:r>
      <w:proofErr w:type="spellEnd"/>
      <w:r w:rsidRPr="00565164">
        <w:rPr>
          <w:lang w:val="en-GB"/>
        </w:rPr>
        <w:t xml:space="preserve"> initiation and did not require interruption or discontinuation of </w:t>
      </w:r>
      <w:proofErr w:type="spellStart"/>
      <w:r w:rsidRPr="00565164">
        <w:rPr>
          <w:lang w:val="en-GB"/>
        </w:rPr>
        <w:t>Blincyto</w:t>
      </w:r>
      <w:proofErr w:type="spellEnd"/>
      <w:r w:rsidRPr="007F2EE1">
        <w:rPr>
          <w:lang w:val="en-GB"/>
        </w:rPr>
        <w:t>.</w:t>
      </w:r>
    </w:p>
    <w:p w:rsidR="0091308D" w:rsidRPr="00565164" w:rsidRDefault="0091308D" w:rsidP="00386DB8">
      <w:pPr>
        <w:pStyle w:val="Text"/>
        <w:rPr>
          <w:rFonts w:cs="Arial"/>
          <w:szCs w:val="22"/>
        </w:rPr>
      </w:pPr>
      <w:r w:rsidRPr="00565164">
        <w:rPr>
          <w:rFonts w:cs="Arial"/>
          <w:szCs w:val="22"/>
        </w:rPr>
        <w:t>Monitor alanine aminotransferase (ALT), aspartate aminotransferase (AST), gamma-</w:t>
      </w:r>
      <w:proofErr w:type="spellStart"/>
      <w:r w:rsidRPr="00565164">
        <w:rPr>
          <w:rFonts w:cs="Arial"/>
          <w:szCs w:val="22"/>
        </w:rPr>
        <w:t>glutamyl</w:t>
      </w:r>
      <w:proofErr w:type="spellEnd"/>
      <w:r w:rsidRPr="00565164">
        <w:rPr>
          <w:rFonts w:cs="Arial"/>
          <w:szCs w:val="22"/>
        </w:rPr>
        <w:t xml:space="preserve"> transferase (GGT), and total blood bilirubin prior to the start of and during </w:t>
      </w:r>
      <w:proofErr w:type="spellStart"/>
      <w:r w:rsidRPr="00565164">
        <w:rPr>
          <w:rFonts w:cs="Arial"/>
          <w:szCs w:val="22"/>
        </w:rPr>
        <w:t>Blincyto</w:t>
      </w:r>
      <w:proofErr w:type="spellEnd"/>
      <w:r w:rsidRPr="00565164">
        <w:rPr>
          <w:rFonts w:cs="Arial"/>
          <w:szCs w:val="22"/>
        </w:rPr>
        <w:t xml:space="preserve"> </w:t>
      </w:r>
      <w:r w:rsidRPr="00B53B13">
        <w:rPr>
          <w:rFonts w:cs="Arial"/>
          <w:szCs w:val="22"/>
        </w:rPr>
        <w:t xml:space="preserve">treatment </w:t>
      </w:r>
      <w:r w:rsidRPr="00B53B13">
        <w:rPr>
          <w:rFonts w:cs="Arial"/>
          <w:iCs/>
          <w:szCs w:val="22"/>
        </w:rPr>
        <w:t xml:space="preserve">(see </w:t>
      </w:r>
      <w:r w:rsidR="00B53B13">
        <w:rPr>
          <w:rFonts w:cs="Arial"/>
          <w:szCs w:val="22"/>
        </w:rPr>
        <w:t>DOSAGE AND ADMINISTRATION</w:t>
      </w:r>
      <w:r w:rsidR="00B53B13">
        <w:rPr>
          <w:rFonts w:cs="Arial"/>
          <w:iCs/>
          <w:szCs w:val="22"/>
        </w:rPr>
        <w:t>, Preparation and Administration)</w:t>
      </w:r>
      <w:r w:rsidRPr="00B53B13">
        <w:rPr>
          <w:rFonts w:cs="Arial"/>
          <w:iCs/>
          <w:szCs w:val="22"/>
        </w:rPr>
        <w:t>.</w:t>
      </w:r>
    </w:p>
    <w:p w:rsidR="0091308D" w:rsidRPr="00386DB8" w:rsidRDefault="0091308D" w:rsidP="00071D5D">
      <w:pPr>
        <w:pStyle w:val="Heading3"/>
      </w:pPr>
      <w:r w:rsidRPr="00386DB8">
        <w:t>Leukoencephalopathy</w:t>
      </w:r>
    </w:p>
    <w:p w:rsidR="000657DD" w:rsidRPr="000657DD" w:rsidRDefault="0091308D" w:rsidP="00386DB8">
      <w:pPr>
        <w:pStyle w:val="Text"/>
        <w:rPr>
          <w:lang w:val="en-AU" w:eastAsia="en-AU"/>
        </w:rPr>
      </w:pPr>
      <w:r w:rsidRPr="000657DD">
        <w:rPr>
          <w:lang w:val="en-AU" w:eastAsia="en-AU"/>
        </w:rPr>
        <w:t xml:space="preserve">Cranial magnetic resonance imaging (MRI) changes showing leukoencephalopathy have been observed in patients receiving </w:t>
      </w:r>
      <w:proofErr w:type="spellStart"/>
      <w:r w:rsidRPr="000657DD">
        <w:rPr>
          <w:lang w:val="en-AU" w:eastAsia="en-AU"/>
        </w:rPr>
        <w:t>Blincyto</w:t>
      </w:r>
      <w:proofErr w:type="spellEnd"/>
      <w:r w:rsidRPr="000657DD">
        <w:rPr>
          <w:lang w:val="en-AU" w:eastAsia="en-AU"/>
        </w:rPr>
        <w:t>, especially in patients with prior treatment with cranial irradiation and anti-</w:t>
      </w:r>
      <w:proofErr w:type="spellStart"/>
      <w:r w:rsidRPr="000657DD">
        <w:rPr>
          <w:lang w:val="en-AU" w:eastAsia="en-AU"/>
        </w:rPr>
        <w:t>leukaemic</w:t>
      </w:r>
      <w:proofErr w:type="spellEnd"/>
      <w:r w:rsidRPr="000657DD">
        <w:rPr>
          <w:lang w:val="en-AU" w:eastAsia="en-AU"/>
        </w:rPr>
        <w:t xml:space="preserve"> chemotherapy (including systemic high dose methotrexate or intrathecal </w:t>
      </w:r>
      <w:proofErr w:type="spellStart"/>
      <w:r w:rsidRPr="000657DD">
        <w:rPr>
          <w:lang w:val="en-AU" w:eastAsia="en-AU"/>
        </w:rPr>
        <w:t>cytarabine</w:t>
      </w:r>
      <w:proofErr w:type="spellEnd"/>
      <w:r w:rsidRPr="000657DD">
        <w:rPr>
          <w:lang w:val="en-AU" w:eastAsia="en-AU"/>
        </w:rPr>
        <w:t>).  The clinical significance of these imaging changes is unknown.</w:t>
      </w:r>
    </w:p>
    <w:p w:rsidR="00760A8C" w:rsidRPr="00386DB8" w:rsidRDefault="00760A8C" w:rsidP="00071D5D">
      <w:pPr>
        <w:pStyle w:val="Heading3"/>
      </w:pPr>
      <w:r w:rsidRPr="00386DB8">
        <w:t>Effects on Fertility</w:t>
      </w:r>
    </w:p>
    <w:p w:rsidR="001C0295" w:rsidRPr="00565164" w:rsidRDefault="007A04FC" w:rsidP="00386DB8">
      <w:pPr>
        <w:pStyle w:val="Text"/>
      </w:pPr>
      <w:r w:rsidRPr="00565164">
        <w:rPr>
          <w:lang w:val="en-AU" w:eastAsia="en-AU"/>
        </w:rPr>
        <w:t xml:space="preserve">No studies have been conducted to evaluate the effects of </w:t>
      </w:r>
      <w:proofErr w:type="spellStart"/>
      <w:r w:rsidR="00FD0BE3">
        <w:rPr>
          <w:lang w:val="en-AU" w:eastAsia="en-AU"/>
        </w:rPr>
        <w:t>Blincyto</w:t>
      </w:r>
      <w:proofErr w:type="spellEnd"/>
      <w:r w:rsidRPr="00565164">
        <w:rPr>
          <w:lang w:val="en-AU" w:eastAsia="en-AU"/>
        </w:rPr>
        <w:t xml:space="preserve"> on fertility. There were no effects on male or female mouse reproductive organs in 13-week toxicity studies with the murine surrogate molecule.</w:t>
      </w:r>
    </w:p>
    <w:p w:rsidR="00760A8C" w:rsidRPr="00386DB8" w:rsidRDefault="00760A8C" w:rsidP="00071D5D">
      <w:pPr>
        <w:pStyle w:val="Heading3"/>
      </w:pPr>
      <w:r w:rsidRPr="00386DB8">
        <w:lastRenderedPageBreak/>
        <w:t>Use in Pregnancy</w:t>
      </w:r>
    </w:p>
    <w:p w:rsidR="005F5D02" w:rsidRDefault="005F5D02" w:rsidP="00071D5D">
      <w:pPr>
        <w:pStyle w:val="Heading4"/>
      </w:pPr>
      <w:r w:rsidRPr="002F01C1">
        <w:t xml:space="preserve">Pregnancy Category: </w:t>
      </w:r>
      <w:r w:rsidR="00271B3E">
        <w:t>C</w:t>
      </w:r>
    </w:p>
    <w:p w:rsidR="007A04FC" w:rsidRPr="00565164" w:rsidRDefault="007A04FC" w:rsidP="00386DB8">
      <w:pPr>
        <w:pStyle w:val="Text"/>
        <w:rPr>
          <w:lang w:val="en-AU" w:eastAsia="en-AU"/>
        </w:rPr>
      </w:pPr>
      <w:r w:rsidRPr="00565164">
        <w:rPr>
          <w:lang w:val="en-AU" w:eastAsia="en-AU"/>
        </w:rPr>
        <w:t xml:space="preserve">The safety and efficacy of </w:t>
      </w:r>
      <w:proofErr w:type="spellStart"/>
      <w:r w:rsidR="00621EFB">
        <w:rPr>
          <w:lang w:val="en-AU" w:eastAsia="en-AU"/>
        </w:rPr>
        <w:t>blinatumomab</w:t>
      </w:r>
      <w:proofErr w:type="spellEnd"/>
      <w:r w:rsidRPr="00565164">
        <w:rPr>
          <w:lang w:val="en-AU" w:eastAsia="en-AU"/>
        </w:rPr>
        <w:t xml:space="preserve"> in pregnant women has not been established. In a developmental toxicity study conducted in mice using a murine surrogate molecule, there was no indication of maternal toxicity, </w:t>
      </w:r>
      <w:proofErr w:type="spellStart"/>
      <w:r w:rsidRPr="00565164">
        <w:rPr>
          <w:lang w:val="en-AU" w:eastAsia="en-AU"/>
        </w:rPr>
        <w:t>embryo</w:t>
      </w:r>
      <w:r w:rsidR="000D6C3C">
        <w:rPr>
          <w:lang w:val="en-AU" w:eastAsia="en-AU"/>
        </w:rPr>
        <w:t>foetal</w:t>
      </w:r>
      <w:proofErr w:type="spellEnd"/>
      <w:r w:rsidR="000D6C3C">
        <w:rPr>
          <w:lang w:val="en-AU" w:eastAsia="en-AU"/>
        </w:rPr>
        <w:t xml:space="preserve"> </w:t>
      </w:r>
      <w:r w:rsidRPr="00565164">
        <w:rPr>
          <w:lang w:val="en-AU" w:eastAsia="en-AU"/>
        </w:rPr>
        <w:t>toxicity, or teratogenicity. The expected depletions of B and T cells were observed in the pregnant mice but haematological effects were not assessed in foetuses.</w:t>
      </w:r>
    </w:p>
    <w:p w:rsidR="007A04FC" w:rsidRDefault="000D6C3C" w:rsidP="00386DB8">
      <w:pPr>
        <w:pStyle w:val="Text"/>
        <w:rPr>
          <w:lang w:val="en-AU" w:eastAsia="en-AU"/>
        </w:rPr>
      </w:pPr>
      <w:r w:rsidRPr="000D6C3C">
        <w:rPr>
          <w:lang w:val="en-AU" w:eastAsia="en-AU"/>
        </w:rPr>
        <w:t xml:space="preserve">Treatment of pregnant women with </w:t>
      </w:r>
      <w:proofErr w:type="spellStart"/>
      <w:r w:rsidRPr="000D6C3C">
        <w:rPr>
          <w:lang w:val="en-AU" w:eastAsia="en-AU"/>
        </w:rPr>
        <w:t>blinatumomab</w:t>
      </w:r>
      <w:proofErr w:type="spellEnd"/>
      <w:r w:rsidRPr="000D6C3C">
        <w:rPr>
          <w:lang w:val="en-AU" w:eastAsia="en-AU"/>
        </w:rPr>
        <w:t xml:space="preserve"> may compromise the immunity of the f</w:t>
      </w:r>
      <w:r>
        <w:rPr>
          <w:lang w:val="en-AU" w:eastAsia="en-AU"/>
        </w:rPr>
        <w:t>o</w:t>
      </w:r>
      <w:r w:rsidRPr="000D6C3C">
        <w:rPr>
          <w:lang w:val="en-AU" w:eastAsia="en-AU"/>
        </w:rPr>
        <w:t>etus</w:t>
      </w:r>
      <w:r>
        <w:t xml:space="preserve">. </w:t>
      </w:r>
      <w:proofErr w:type="spellStart"/>
      <w:r w:rsidR="00FD0BE3">
        <w:rPr>
          <w:lang w:val="en-AU" w:eastAsia="en-AU"/>
        </w:rPr>
        <w:t>Blincyto</w:t>
      </w:r>
      <w:proofErr w:type="spellEnd"/>
      <w:r w:rsidR="007A04FC" w:rsidRPr="00565164">
        <w:rPr>
          <w:lang w:val="en-AU" w:eastAsia="en-AU"/>
        </w:rPr>
        <w:t xml:space="preserve"> should be used during pregnancy only if the potential benefit outweighs the potential risk to the foetus.</w:t>
      </w:r>
    </w:p>
    <w:p w:rsidR="00DB26DD" w:rsidRPr="008E5523" w:rsidRDefault="00DB26DD" w:rsidP="00386DB8">
      <w:pPr>
        <w:pStyle w:val="Text"/>
        <w:rPr>
          <w:lang w:val="en-AU" w:eastAsia="en-AU"/>
        </w:rPr>
      </w:pPr>
      <w:r w:rsidRPr="008E5523">
        <w:rPr>
          <w:lang w:val="en-AU" w:eastAsia="en-AU"/>
        </w:rPr>
        <w:t xml:space="preserve">Women of childbearing potential should use contraception during and for at least 24 hours after treatment with </w:t>
      </w:r>
      <w:proofErr w:type="spellStart"/>
      <w:r w:rsidRPr="008E5523">
        <w:rPr>
          <w:lang w:val="en-AU" w:eastAsia="en-AU"/>
        </w:rPr>
        <w:t>Blincyto</w:t>
      </w:r>
      <w:proofErr w:type="spellEnd"/>
      <w:r w:rsidRPr="008E5523">
        <w:rPr>
          <w:lang w:val="en-AU" w:eastAsia="en-AU"/>
        </w:rPr>
        <w:t>.</w:t>
      </w:r>
    </w:p>
    <w:p w:rsidR="009C5DD9" w:rsidRPr="00565164" w:rsidRDefault="009C5DD9" w:rsidP="00386DB8">
      <w:pPr>
        <w:pStyle w:val="Text"/>
        <w:rPr>
          <w:lang w:val="en-AU" w:eastAsia="en-AU"/>
        </w:rPr>
      </w:pPr>
      <w:r w:rsidRPr="009C5DD9">
        <w:rPr>
          <w:lang w:val="en-AU" w:eastAsia="en-AU"/>
        </w:rPr>
        <w:t>Due to the potential for depletion of B lymphocytes in infants following exposure to BLINCYTO during pregnancy, the infant’s B lymphocytes should be monitored before the initiation of live virus vaccination.  Live virus vaccines can be administered when the B lymphocytes are within the normal range</w:t>
      </w:r>
    </w:p>
    <w:p w:rsidR="00760A8C" w:rsidRPr="00386DB8" w:rsidRDefault="00760A8C" w:rsidP="00071D5D">
      <w:pPr>
        <w:pStyle w:val="Heading3"/>
      </w:pPr>
      <w:r w:rsidRPr="00386DB8">
        <w:t xml:space="preserve">Use in </w:t>
      </w:r>
      <w:r w:rsidR="0094743A" w:rsidRPr="00386DB8">
        <w:t>L</w:t>
      </w:r>
      <w:r w:rsidRPr="00386DB8">
        <w:t>actation</w:t>
      </w:r>
    </w:p>
    <w:p w:rsidR="00E36CA6" w:rsidRDefault="007A04FC" w:rsidP="00386DB8">
      <w:pPr>
        <w:pStyle w:val="Text"/>
        <w:rPr>
          <w:lang w:val="en-AU" w:eastAsia="en-AU"/>
        </w:rPr>
      </w:pPr>
      <w:r w:rsidRPr="00565164">
        <w:rPr>
          <w:lang w:val="en-AU" w:eastAsia="en-AU"/>
        </w:rPr>
        <w:t xml:space="preserve">It is unknown whether </w:t>
      </w:r>
      <w:proofErr w:type="spellStart"/>
      <w:r w:rsidRPr="00565164">
        <w:rPr>
          <w:lang w:val="en-AU" w:eastAsia="en-AU"/>
        </w:rPr>
        <w:t>blinatumomab</w:t>
      </w:r>
      <w:proofErr w:type="spellEnd"/>
      <w:r w:rsidRPr="00565164">
        <w:rPr>
          <w:lang w:val="en-AU" w:eastAsia="en-AU"/>
        </w:rPr>
        <w:t xml:space="preserve"> or metabolites are excr</w:t>
      </w:r>
      <w:r w:rsidR="00BE6FF5" w:rsidRPr="00565164">
        <w:rPr>
          <w:lang w:val="en-AU" w:eastAsia="en-AU"/>
        </w:rPr>
        <w:t>eted in human milk.</w:t>
      </w:r>
    </w:p>
    <w:p w:rsidR="00BE6FF5" w:rsidRPr="00565164" w:rsidRDefault="00BE6FF5" w:rsidP="00386DB8">
      <w:pPr>
        <w:pStyle w:val="Text"/>
        <w:rPr>
          <w:lang w:val="en-AU" w:eastAsia="en-AU"/>
        </w:rPr>
      </w:pPr>
      <w:r w:rsidRPr="00565164">
        <w:rPr>
          <w:lang w:val="en-AU" w:eastAsia="en-AU"/>
        </w:rPr>
        <w:t>A risk to</w:t>
      </w:r>
      <w:r w:rsidR="007A04FC" w:rsidRPr="00565164">
        <w:rPr>
          <w:lang w:val="en-AU" w:eastAsia="en-AU"/>
        </w:rPr>
        <w:t xml:space="preserve"> newborns or infants cannot be excluded. </w:t>
      </w:r>
      <w:r w:rsidR="00EE6E21" w:rsidRPr="00EE6E21">
        <w:t xml:space="preserve">Because of the potential for </w:t>
      </w:r>
      <w:proofErr w:type="spellStart"/>
      <w:r w:rsidR="00EE6E21" w:rsidRPr="00EE6E21">
        <w:t>Blincyto</w:t>
      </w:r>
      <w:proofErr w:type="spellEnd"/>
      <w:r w:rsidR="00EE6E21" w:rsidRPr="00EE6E21">
        <w:t xml:space="preserve"> to cause adverse effects in infants, nursing should be discontinued during and for at least 24 hours after </w:t>
      </w:r>
      <w:r w:rsidR="00EE6E21">
        <w:t xml:space="preserve">treatment with </w:t>
      </w:r>
      <w:proofErr w:type="spellStart"/>
      <w:r w:rsidR="00EE6E21">
        <w:t>Blincyto</w:t>
      </w:r>
      <w:proofErr w:type="spellEnd"/>
      <w:r w:rsidR="00EE6E21">
        <w:t>.</w:t>
      </w:r>
    </w:p>
    <w:p w:rsidR="00760A8C" w:rsidRPr="00386DB8" w:rsidRDefault="00760A8C" w:rsidP="00071D5D">
      <w:pPr>
        <w:pStyle w:val="Heading3"/>
      </w:pPr>
      <w:proofErr w:type="spellStart"/>
      <w:r w:rsidRPr="00386DB8">
        <w:t>Paediatric</w:t>
      </w:r>
      <w:proofErr w:type="spellEnd"/>
      <w:r w:rsidRPr="00386DB8">
        <w:t xml:space="preserve"> Use</w:t>
      </w:r>
    </w:p>
    <w:p w:rsidR="00906264" w:rsidRPr="00565164" w:rsidRDefault="00CD73CE" w:rsidP="00386DB8">
      <w:pPr>
        <w:pStyle w:val="Text"/>
        <w:rPr>
          <w:lang w:val="en-GB"/>
        </w:rPr>
      </w:pPr>
      <w:r w:rsidRPr="00565164">
        <w:rPr>
          <w:lang w:val="en-GB"/>
        </w:rPr>
        <w:t xml:space="preserve">The safety and efficacy of </w:t>
      </w:r>
      <w:proofErr w:type="spellStart"/>
      <w:r w:rsidRPr="00565164">
        <w:rPr>
          <w:lang w:val="en-GB"/>
        </w:rPr>
        <w:t>Blincyto</w:t>
      </w:r>
      <w:proofErr w:type="spellEnd"/>
      <w:r w:rsidRPr="00565164">
        <w:rPr>
          <w:lang w:val="en-GB"/>
        </w:rPr>
        <w:t xml:space="preserve"> has not yet been established in paediatric patients.  </w:t>
      </w:r>
      <w:r w:rsidR="00A22C70" w:rsidRPr="00565164">
        <w:rPr>
          <w:lang w:val="en-GB"/>
        </w:rPr>
        <w:t>Do not</w:t>
      </w:r>
      <w:r w:rsidR="00906264" w:rsidRPr="00565164">
        <w:rPr>
          <w:lang w:val="en-GB"/>
        </w:rPr>
        <w:t xml:space="preserve"> </w:t>
      </w:r>
      <w:r w:rsidR="00A22C70" w:rsidRPr="00565164">
        <w:rPr>
          <w:lang w:val="en-GB"/>
        </w:rPr>
        <w:t>use the recommended adult fixed dose in paediatric patients.</w:t>
      </w:r>
    </w:p>
    <w:p w:rsidR="00760A8C" w:rsidRPr="00386DB8" w:rsidRDefault="00760A8C" w:rsidP="00071D5D">
      <w:pPr>
        <w:pStyle w:val="Heading3"/>
      </w:pPr>
      <w:r w:rsidRPr="00386DB8">
        <w:t>Use in the Elderly</w:t>
      </w:r>
    </w:p>
    <w:p w:rsidR="001C0295" w:rsidRPr="00565164" w:rsidRDefault="007B1F93" w:rsidP="00386DB8">
      <w:pPr>
        <w:pStyle w:val="Text"/>
        <w:rPr>
          <w:lang w:val="en-AU" w:eastAsia="en-AU"/>
        </w:rPr>
      </w:pPr>
      <w:r w:rsidRPr="00565164">
        <w:rPr>
          <w:lang w:val="en-AU" w:eastAsia="en-AU"/>
        </w:rPr>
        <w:t xml:space="preserve">Generally, safety and efficacy were similar between elderly patients (≥ 65 years of age) and patients less than 65 years of age treated with </w:t>
      </w:r>
      <w:proofErr w:type="spellStart"/>
      <w:r w:rsidR="00FD0BE3">
        <w:rPr>
          <w:lang w:val="en-AU" w:eastAsia="en-AU"/>
        </w:rPr>
        <w:t>Blincyto</w:t>
      </w:r>
      <w:proofErr w:type="spellEnd"/>
      <w:r w:rsidRPr="00565164">
        <w:rPr>
          <w:lang w:val="en-AU" w:eastAsia="en-AU"/>
        </w:rPr>
        <w:t>. However, elderly patients may be more susceptible to serious neurologic events such as cognitive disorder, encephalopathy, and confusion</w:t>
      </w:r>
      <w:r w:rsidR="00C621FC" w:rsidRPr="00565164">
        <w:rPr>
          <w:lang w:val="en-AU" w:eastAsia="en-AU"/>
        </w:rPr>
        <w:t>.</w:t>
      </w:r>
    </w:p>
    <w:p w:rsidR="00760A8C" w:rsidRPr="00386DB8" w:rsidRDefault="00760A8C" w:rsidP="00071D5D">
      <w:pPr>
        <w:pStyle w:val="Heading3"/>
      </w:pPr>
      <w:r w:rsidRPr="00386DB8">
        <w:t>Genotoxicity</w:t>
      </w:r>
    </w:p>
    <w:p w:rsidR="001C0295" w:rsidRPr="00565164" w:rsidRDefault="00D862DB" w:rsidP="00386DB8">
      <w:pPr>
        <w:pStyle w:val="Text"/>
      </w:pPr>
      <w:r w:rsidRPr="00565164">
        <w:rPr>
          <w:lang w:val="en-AU" w:eastAsia="en-AU"/>
        </w:rPr>
        <w:t xml:space="preserve">No mutagenicity studies have been conducted with </w:t>
      </w:r>
      <w:proofErr w:type="spellStart"/>
      <w:r w:rsidRPr="00565164">
        <w:rPr>
          <w:lang w:val="en-AU" w:eastAsia="en-AU"/>
        </w:rPr>
        <w:t>blinatumomab</w:t>
      </w:r>
      <w:proofErr w:type="spellEnd"/>
      <w:r w:rsidRPr="00565164">
        <w:rPr>
          <w:lang w:val="en-AU" w:eastAsia="en-AU"/>
        </w:rPr>
        <w:t xml:space="preserve">; however, </w:t>
      </w:r>
      <w:proofErr w:type="spellStart"/>
      <w:r w:rsidRPr="00565164">
        <w:rPr>
          <w:lang w:val="en-AU" w:eastAsia="en-AU"/>
        </w:rPr>
        <w:t>blinatumomab</w:t>
      </w:r>
      <w:proofErr w:type="spellEnd"/>
      <w:r w:rsidRPr="00565164">
        <w:rPr>
          <w:lang w:val="en-AU" w:eastAsia="en-AU"/>
        </w:rPr>
        <w:t xml:space="preserve"> is not expected to alter DNA or chromosomes.</w:t>
      </w:r>
    </w:p>
    <w:p w:rsidR="005F5D02" w:rsidRPr="00386DB8" w:rsidRDefault="005F5D02" w:rsidP="00071D5D">
      <w:pPr>
        <w:pStyle w:val="Heading3"/>
      </w:pPr>
      <w:r w:rsidRPr="00386DB8">
        <w:t>Carcinogenicity</w:t>
      </w:r>
    </w:p>
    <w:p w:rsidR="005F5D02" w:rsidRDefault="005F5D02" w:rsidP="00386DB8">
      <w:pPr>
        <w:pStyle w:val="Text"/>
        <w:rPr>
          <w:lang w:val="en-AU" w:eastAsia="en-AU"/>
        </w:rPr>
      </w:pPr>
      <w:r w:rsidRPr="00565164">
        <w:rPr>
          <w:lang w:val="en-AU" w:eastAsia="en-AU"/>
        </w:rPr>
        <w:t xml:space="preserve">No carcinogenicity studies have been conducted with </w:t>
      </w:r>
      <w:proofErr w:type="spellStart"/>
      <w:r w:rsidRPr="00565164">
        <w:rPr>
          <w:lang w:val="en-AU" w:eastAsia="en-AU"/>
        </w:rPr>
        <w:t>blinatumomab</w:t>
      </w:r>
      <w:proofErr w:type="spellEnd"/>
      <w:r w:rsidRPr="00565164">
        <w:rPr>
          <w:lang w:val="en-AU" w:eastAsia="en-AU"/>
        </w:rPr>
        <w:t>.</w:t>
      </w:r>
    </w:p>
    <w:p w:rsidR="00EA4F8A" w:rsidRPr="00386DB8" w:rsidRDefault="00EA4F8A" w:rsidP="00071D5D">
      <w:pPr>
        <w:pStyle w:val="Heading3"/>
      </w:pPr>
      <w:r w:rsidRPr="00386DB8">
        <w:t>Immunogenicity</w:t>
      </w:r>
    </w:p>
    <w:p w:rsidR="00E36CA6" w:rsidRDefault="00EA4F8A" w:rsidP="00386DB8">
      <w:pPr>
        <w:pStyle w:val="Text"/>
      </w:pPr>
      <w:r w:rsidRPr="00286E72">
        <w:t xml:space="preserve">In clinical studies, 0.9% (2 out of 225) of patients with relapsed or refractory ALL treated with </w:t>
      </w:r>
      <w:proofErr w:type="spellStart"/>
      <w:r w:rsidRPr="00286E72">
        <w:t>Blincyto</w:t>
      </w:r>
      <w:proofErr w:type="spellEnd"/>
      <w:r w:rsidRPr="00286E72">
        <w:t xml:space="preserve"> tested positive for anti-</w:t>
      </w:r>
      <w:proofErr w:type="spellStart"/>
      <w:r w:rsidRPr="00286E72">
        <w:t>blinatumomab</w:t>
      </w:r>
      <w:proofErr w:type="spellEnd"/>
      <w:r w:rsidRPr="00286E72">
        <w:t xml:space="preserve"> antibodies; both were </w:t>
      </w:r>
      <w:proofErr w:type="spellStart"/>
      <w:r w:rsidRPr="00286E72">
        <w:t>neutralising</w:t>
      </w:r>
      <w:proofErr w:type="spellEnd"/>
      <w:r w:rsidRPr="00286E72">
        <w:t xml:space="preserve"> antibodies.</w:t>
      </w:r>
    </w:p>
    <w:p w:rsidR="00E36CA6" w:rsidRDefault="00EA4F8A" w:rsidP="00386DB8">
      <w:pPr>
        <w:pStyle w:val="Text"/>
      </w:pPr>
      <w:r w:rsidRPr="00286E72">
        <w:t>Anti-</w:t>
      </w:r>
      <w:proofErr w:type="spellStart"/>
      <w:r w:rsidRPr="00286E72">
        <w:t>blinatumomab</w:t>
      </w:r>
      <w:proofErr w:type="spellEnd"/>
      <w:r w:rsidRPr="00286E72">
        <w:t xml:space="preserve"> antibody formation might affect pharmacokinetics of </w:t>
      </w:r>
      <w:proofErr w:type="spellStart"/>
      <w:r w:rsidRPr="00286E72">
        <w:t>Blincyto</w:t>
      </w:r>
      <w:proofErr w:type="spellEnd"/>
      <w:r w:rsidRPr="00286E72">
        <w:t>. No association was seen between antibody development and development of adverse events.</w:t>
      </w:r>
    </w:p>
    <w:p w:rsidR="00EA4F8A" w:rsidRPr="00286E72" w:rsidRDefault="00EA4F8A" w:rsidP="00386DB8">
      <w:pPr>
        <w:pStyle w:val="Text"/>
      </w:pPr>
      <w:r w:rsidRPr="00D31949">
        <w:t>If formation of anti-</w:t>
      </w:r>
      <w:proofErr w:type="spellStart"/>
      <w:r w:rsidRPr="00D31949">
        <w:t>blinatumomab</w:t>
      </w:r>
      <w:proofErr w:type="spellEnd"/>
      <w:r w:rsidRPr="00D31949">
        <w:t xml:space="preserve"> antibodies with a clinically significant effect is suspected, contact </w:t>
      </w:r>
      <w:r w:rsidRPr="00D31949">
        <w:rPr>
          <w:rFonts w:cs="Arial"/>
          <w:lang w:val="en-AU" w:eastAsia="en-AU"/>
        </w:rPr>
        <w:t>Amgen’s Medical Information line on 1800 803 638 (</w:t>
      </w:r>
      <w:proofErr w:type="spellStart"/>
      <w:r w:rsidRPr="00D31949">
        <w:rPr>
          <w:rFonts w:cs="Arial"/>
          <w:lang w:val="en-AU" w:eastAsia="en-AU"/>
        </w:rPr>
        <w:t>freecall</w:t>
      </w:r>
      <w:proofErr w:type="spellEnd"/>
      <w:r w:rsidRPr="00D31949">
        <w:rPr>
          <w:rFonts w:cs="Arial"/>
          <w:lang w:val="en-AU" w:eastAsia="en-AU"/>
        </w:rPr>
        <w:t xml:space="preserve"> within Australia)</w:t>
      </w:r>
      <w:r w:rsidRPr="00D31949">
        <w:t xml:space="preserve"> to discuss antibody testing.</w:t>
      </w:r>
    </w:p>
    <w:p w:rsidR="00EA4F8A" w:rsidRPr="00286E72" w:rsidRDefault="00EA4F8A" w:rsidP="00386DB8">
      <w:pPr>
        <w:pStyle w:val="Text"/>
      </w:pPr>
      <w:r w:rsidRPr="00286E72">
        <w:lastRenderedPageBreak/>
        <w:t>The detection of anti-</w:t>
      </w:r>
      <w:proofErr w:type="spellStart"/>
      <w:r w:rsidRPr="00286E72">
        <w:t>blinatumomab</w:t>
      </w:r>
      <w:proofErr w:type="spellEnd"/>
      <w:r w:rsidRPr="00286E72">
        <w:t xml:space="preserve"> antibody formation is highly dependent on the sensitivity and specificity of the assay. Additionally, the observed incidence of antibody (including </w:t>
      </w:r>
      <w:proofErr w:type="spellStart"/>
      <w:r w:rsidRPr="00286E72">
        <w:t>neutralising</w:t>
      </w:r>
      <w:proofErr w:type="spellEnd"/>
      <w:r w:rsidRPr="00286E72">
        <w:t xml:space="preserve"> antibody) positivity in an assay may be influenced by several factors, including assay methodology, sample handling, timing of sample collection, concomitant medications, and underlying disease. For these reasons, comparison of the incidence of antibodies to </w:t>
      </w:r>
      <w:proofErr w:type="spellStart"/>
      <w:r w:rsidRPr="00286E72">
        <w:t>blinatumomab</w:t>
      </w:r>
      <w:proofErr w:type="spellEnd"/>
      <w:r w:rsidRPr="00286E72">
        <w:t xml:space="preserve"> with the incidence of antibodies to other products may be misleading.</w:t>
      </w:r>
    </w:p>
    <w:p w:rsidR="00E36CA6" w:rsidRDefault="005F5D02" w:rsidP="00071D5D">
      <w:pPr>
        <w:pStyle w:val="Heading3"/>
      </w:pPr>
      <w:r w:rsidRPr="00386DB8">
        <w:t>Effects on Laboratory Tests</w:t>
      </w:r>
    </w:p>
    <w:p w:rsidR="005F5D02" w:rsidRDefault="005F5D02" w:rsidP="00386DB8">
      <w:pPr>
        <w:pStyle w:val="Text"/>
      </w:pPr>
      <w:r w:rsidRPr="00565164">
        <w:t>No interactions with laboratory and diagnostic tests have been identified.</w:t>
      </w:r>
    </w:p>
    <w:p w:rsidR="00B74011" w:rsidRPr="00386DB8" w:rsidRDefault="00B74011" w:rsidP="00071D5D">
      <w:pPr>
        <w:pStyle w:val="Heading3"/>
      </w:pPr>
      <w:r w:rsidRPr="00386DB8">
        <w:t>Effects on ability to drive and use machines</w:t>
      </w:r>
    </w:p>
    <w:p w:rsidR="00E36CA6" w:rsidRDefault="00B74011" w:rsidP="00386DB8">
      <w:pPr>
        <w:pStyle w:val="Text"/>
      </w:pPr>
      <w:r w:rsidRPr="00565164">
        <w:t xml:space="preserve">No studies on effects of </w:t>
      </w:r>
      <w:proofErr w:type="spellStart"/>
      <w:r w:rsidRPr="00565164">
        <w:t>Blincyto</w:t>
      </w:r>
      <w:proofErr w:type="spellEnd"/>
      <w:r w:rsidRPr="00565164">
        <w:t xml:space="preserve"> on the ability to drive and use machines have been performed. However, due to the potential for neurologic events, patients receiving </w:t>
      </w:r>
      <w:proofErr w:type="spellStart"/>
      <w:r w:rsidRPr="00565164">
        <w:t>Blincyto</w:t>
      </w:r>
      <w:proofErr w:type="spellEnd"/>
      <w:r w:rsidRPr="00565164">
        <w:t xml:space="preserve"> should refrain from driving, engaging in hazardous occupations or activities such as driving or operating heavy or potentially dangerous machinery while </w:t>
      </w:r>
      <w:proofErr w:type="spellStart"/>
      <w:r w:rsidRPr="00565164">
        <w:t>Blincyto</w:t>
      </w:r>
      <w:proofErr w:type="spellEnd"/>
      <w:r w:rsidRPr="00565164">
        <w:t xml:space="preserve"> is being administered.  Patients should be advised that they may experience neurologic events.</w:t>
      </w:r>
    </w:p>
    <w:p w:rsidR="00E36CA6" w:rsidRDefault="00193268" w:rsidP="00071D5D">
      <w:pPr>
        <w:pStyle w:val="Heading2"/>
      </w:pPr>
      <w:r>
        <w:t>INTERACTIONS WITH OTHER MEDICINES</w:t>
      </w:r>
    </w:p>
    <w:p w:rsidR="005F5D02" w:rsidRDefault="005F5D02" w:rsidP="00386DB8">
      <w:pPr>
        <w:pStyle w:val="Text"/>
        <w:rPr>
          <w:lang w:val="en-AU" w:eastAsia="en-AU"/>
        </w:rPr>
      </w:pPr>
      <w:r w:rsidRPr="00565164">
        <w:rPr>
          <w:lang w:val="en-AU" w:eastAsia="en-AU"/>
        </w:rPr>
        <w:t xml:space="preserve">No formal drug interaction studies have been conducted with </w:t>
      </w:r>
      <w:proofErr w:type="spellStart"/>
      <w:r>
        <w:rPr>
          <w:lang w:val="en-AU" w:eastAsia="en-AU"/>
        </w:rPr>
        <w:t>Blincyto</w:t>
      </w:r>
      <w:proofErr w:type="spellEnd"/>
      <w:r w:rsidRPr="00565164">
        <w:rPr>
          <w:lang w:val="en-AU" w:eastAsia="en-AU"/>
        </w:rPr>
        <w:t xml:space="preserve">. </w:t>
      </w:r>
      <w:proofErr w:type="spellStart"/>
      <w:r>
        <w:rPr>
          <w:lang w:val="en-AU" w:eastAsia="en-AU"/>
        </w:rPr>
        <w:t>Blincyto</w:t>
      </w:r>
      <w:proofErr w:type="spellEnd"/>
      <w:r w:rsidRPr="00565164">
        <w:rPr>
          <w:lang w:val="en-AU" w:eastAsia="en-AU"/>
        </w:rPr>
        <w:t xml:space="preserve"> is not expected to affect CYP450 enzyme activities</w:t>
      </w:r>
      <w:r w:rsidRPr="00B5204D">
        <w:rPr>
          <w:lang w:val="en-AU" w:eastAsia="en-AU"/>
        </w:rPr>
        <w:t>.</w:t>
      </w:r>
    </w:p>
    <w:p w:rsidR="00EA4F8A" w:rsidRDefault="00EA4F8A" w:rsidP="00386DB8">
      <w:pPr>
        <w:pStyle w:val="Text"/>
        <w:rPr>
          <w:color w:val="000000"/>
          <w:lang w:val="en-AU" w:eastAsia="en-AU"/>
        </w:rPr>
      </w:pPr>
      <w:r w:rsidRPr="00F2177A">
        <w:rPr>
          <w:color w:val="000000"/>
          <w:lang w:val="en-AU" w:eastAsia="en-AU"/>
        </w:rPr>
        <w:t>Transient elevation of cytokines may affect CYP450 enzyme activities. Based on physiologically based pharmacokinetic model</w:t>
      </w:r>
      <w:r>
        <w:rPr>
          <w:color w:val="000000"/>
          <w:lang w:val="en-AU" w:eastAsia="en-AU"/>
        </w:rPr>
        <w:t>li</w:t>
      </w:r>
      <w:r w:rsidRPr="00F2177A">
        <w:rPr>
          <w:color w:val="000000"/>
          <w:lang w:val="en-AU" w:eastAsia="en-AU"/>
        </w:rPr>
        <w:t xml:space="preserve">ng, the effect of transient cytokine elevation on activities of CYP450 enzymes is less than 30%, lasting for less than a week; the effect on exposures to sensitive CYP450 substrates are less than 2-fold. Hence, </w:t>
      </w:r>
      <w:proofErr w:type="spellStart"/>
      <w:r>
        <w:rPr>
          <w:lang w:val="en-AU" w:eastAsia="en-AU"/>
        </w:rPr>
        <w:t>Blincyto</w:t>
      </w:r>
      <w:proofErr w:type="spellEnd"/>
      <w:r w:rsidRPr="00F2177A">
        <w:rPr>
          <w:color w:val="000000"/>
          <w:lang w:val="en-AU" w:eastAsia="en-AU"/>
        </w:rPr>
        <w:t>-mediated cytokine elevation appears to have a low potential of clinically meaningful drug interaction.</w:t>
      </w:r>
    </w:p>
    <w:p w:rsidR="00DF7AEB" w:rsidRPr="00071D5D" w:rsidRDefault="00DF7AEB" w:rsidP="00071D5D">
      <w:pPr>
        <w:pStyle w:val="Heading3"/>
        <w:rPr>
          <w:b w:val="0"/>
          <w:i/>
          <w:u w:val="none"/>
        </w:rPr>
      </w:pPr>
      <w:proofErr w:type="spellStart"/>
      <w:r w:rsidRPr="00071D5D">
        <w:rPr>
          <w:b w:val="0"/>
          <w:i/>
          <w:u w:val="none"/>
        </w:rPr>
        <w:t>Immunisation</w:t>
      </w:r>
      <w:proofErr w:type="spellEnd"/>
    </w:p>
    <w:p w:rsidR="00DF7AEB" w:rsidRDefault="00DF7AEB" w:rsidP="00386DB8">
      <w:pPr>
        <w:pStyle w:val="Text"/>
        <w:rPr>
          <w:lang w:val="en-AU" w:eastAsia="en-AU"/>
        </w:rPr>
      </w:pPr>
      <w:r w:rsidRPr="009C5DD9">
        <w:t xml:space="preserve">The safety of </w:t>
      </w:r>
      <w:proofErr w:type="spellStart"/>
      <w:r w:rsidRPr="009C5DD9">
        <w:t>immunisation</w:t>
      </w:r>
      <w:proofErr w:type="spellEnd"/>
      <w:r w:rsidRPr="009C5DD9">
        <w:t xml:space="preserve"> with live viral vaccines during or following </w:t>
      </w:r>
      <w:proofErr w:type="spellStart"/>
      <w:r w:rsidRPr="009C5DD9">
        <w:t>Blincyto</w:t>
      </w:r>
      <w:proofErr w:type="spellEnd"/>
      <w:r w:rsidR="00F22B0A">
        <w:t xml:space="preserve"> therapy has not been studied. </w:t>
      </w:r>
      <w:r w:rsidRPr="009C5DD9">
        <w:t xml:space="preserve">Vaccination with live virus vaccines is not recommended for at least 2 weeks prior to the start of </w:t>
      </w:r>
      <w:proofErr w:type="spellStart"/>
      <w:r w:rsidRPr="009C5DD9">
        <w:t>Blincyto</w:t>
      </w:r>
      <w:proofErr w:type="spellEnd"/>
      <w:r w:rsidRPr="009C5DD9">
        <w:t xml:space="preserve"> treatment, during treatment, and until recovery of B lymphocytes to normal range following last cycle of </w:t>
      </w:r>
      <w:proofErr w:type="spellStart"/>
      <w:r w:rsidRPr="009C5DD9">
        <w:t>Blincyto</w:t>
      </w:r>
      <w:proofErr w:type="spellEnd"/>
      <w:r w:rsidR="00175B1C">
        <w:t>.</w:t>
      </w:r>
    </w:p>
    <w:p w:rsidR="00767C0A" w:rsidRPr="00E96583" w:rsidRDefault="00767C0A" w:rsidP="00071D5D">
      <w:pPr>
        <w:pStyle w:val="Heading2"/>
      </w:pPr>
      <w:r w:rsidRPr="00E96583">
        <w:t>ADVERSE EFFECTS</w:t>
      </w:r>
    </w:p>
    <w:p w:rsidR="00E36CA6" w:rsidRDefault="00EB0BA1" w:rsidP="00386DB8">
      <w:pPr>
        <w:pStyle w:val="Text"/>
      </w:pPr>
      <w:r w:rsidRPr="007860B2">
        <w:t xml:space="preserve">The most serious adverse reactions that may occur during </w:t>
      </w:r>
      <w:proofErr w:type="spellStart"/>
      <w:r w:rsidRPr="007860B2">
        <w:t>Blincyto</w:t>
      </w:r>
      <w:proofErr w:type="spellEnd"/>
      <w:r w:rsidRPr="007860B2">
        <w:t xml:space="preserve"> treatment include: neurologic events, infections, </w:t>
      </w:r>
      <w:r w:rsidR="00CD34CB">
        <w:t>CRS</w:t>
      </w:r>
      <w:r w:rsidRPr="007860B2">
        <w:t xml:space="preserve">, </w:t>
      </w:r>
      <w:r w:rsidR="00CD34CB">
        <w:t>TLS</w:t>
      </w:r>
      <w:r w:rsidRPr="007860B2">
        <w:t>, and neutropenia/febrile neutropenia.</w:t>
      </w:r>
    </w:p>
    <w:p w:rsidR="00EB0BA1" w:rsidRPr="007860B2" w:rsidRDefault="00EB0BA1" w:rsidP="00386DB8">
      <w:pPr>
        <w:pStyle w:val="Text"/>
      </w:pPr>
      <w:r w:rsidRPr="007860B2">
        <w:t>The most common adverse reactions (occurring in &gt;</w:t>
      </w:r>
      <w:r w:rsidRPr="00286E72">
        <w:t> </w:t>
      </w:r>
      <w:r w:rsidRPr="007860B2">
        <w:t xml:space="preserve">20% of </w:t>
      </w:r>
      <w:r w:rsidR="00A64F9F">
        <w:t>patients</w:t>
      </w:r>
      <w:r w:rsidRPr="007860B2">
        <w:t xml:space="preserve"> in a dataset of pooled clinical studies (n = 475)) were: pyrexia, headache, fatigue, nausea, tremor, </w:t>
      </w:r>
      <w:proofErr w:type="spellStart"/>
      <w:r w:rsidRPr="007860B2">
        <w:t>hypokalaemia</w:t>
      </w:r>
      <w:proofErr w:type="spellEnd"/>
      <w:r w:rsidRPr="007860B2">
        <w:t xml:space="preserve">, </w:t>
      </w:r>
      <w:proofErr w:type="spellStart"/>
      <w:r w:rsidRPr="007860B2">
        <w:t>diarrhoea</w:t>
      </w:r>
      <w:proofErr w:type="spellEnd"/>
      <w:r w:rsidRPr="007860B2">
        <w:t xml:space="preserve"> and chills.</w:t>
      </w:r>
    </w:p>
    <w:p w:rsidR="00EB0BA1" w:rsidRPr="00286E72" w:rsidRDefault="00EB0BA1" w:rsidP="00386DB8">
      <w:pPr>
        <w:pStyle w:val="Text"/>
      </w:pPr>
      <w:r w:rsidRPr="007860B2">
        <w:t>Adverse reactions are presented below by system organ class and frequency category.</w:t>
      </w:r>
      <w:r w:rsidRPr="00286E72">
        <w:t xml:space="preserve"> </w:t>
      </w:r>
      <w:r w:rsidRPr="007860B2">
        <w:t xml:space="preserve">Frequency categories were determined from the crude incidence rate reported for each adverse reaction in a dataset of pooled </w:t>
      </w:r>
      <w:r w:rsidR="003F3CA6">
        <w:t xml:space="preserve">ongoing and complete </w:t>
      </w:r>
      <w:r w:rsidRPr="007860B2">
        <w:t>clinical studies (n = 475).</w:t>
      </w:r>
      <w:r w:rsidRPr="00286E72">
        <w:t xml:space="preserve"> </w:t>
      </w:r>
      <w:r w:rsidRPr="007860B2">
        <w:t>Within each system organ class, adverse reactions are presented in order of decreasing seriousness.</w:t>
      </w:r>
    </w:p>
    <w:tbl>
      <w:tblPr>
        <w:tblStyle w:val="TableGrid"/>
        <w:tblW w:w="8647" w:type="dxa"/>
        <w:tblInd w:w="108" w:type="dxa"/>
        <w:tblLayout w:type="fixed"/>
        <w:tblLook w:val="04A0" w:firstRow="1" w:lastRow="0" w:firstColumn="1" w:lastColumn="0" w:noHBand="0" w:noVBand="1"/>
        <w:tblDescription w:val="This table list the system organ class by adverse reactions. Each reaction is classed by Very common (≥ 1/10), Common (≥ 1/100 to &lt; 1/10) and Uncommon (≥ 1/1000 to &lt; 1/100).&#10;"/>
      </w:tblPr>
      <w:tblGrid>
        <w:gridCol w:w="2213"/>
        <w:gridCol w:w="2322"/>
        <w:gridCol w:w="2322"/>
        <w:gridCol w:w="1790"/>
      </w:tblGrid>
      <w:tr w:rsidR="00EB0BA1" w:rsidRPr="00286E72" w:rsidTr="00071D5D">
        <w:trPr>
          <w:cantSplit/>
          <w:tblHeader/>
        </w:trPr>
        <w:tc>
          <w:tcPr>
            <w:tcW w:w="2213" w:type="dxa"/>
          </w:tcPr>
          <w:p w:rsidR="00EB0BA1" w:rsidRPr="00286E72" w:rsidRDefault="00EB0BA1" w:rsidP="00254FE2">
            <w:pPr>
              <w:pageBreakBefore/>
              <w:rPr>
                <w:b/>
                <w:szCs w:val="22"/>
              </w:rPr>
            </w:pPr>
            <w:proofErr w:type="spellStart"/>
            <w:r w:rsidRPr="00286E72">
              <w:rPr>
                <w:b/>
                <w:szCs w:val="22"/>
              </w:rPr>
              <w:lastRenderedPageBreak/>
              <w:t>MedDRA</w:t>
            </w:r>
            <w:proofErr w:type="spellEnd"/>
            <w:r w:rsidRPr="00286E72">
              <w:rPr>
                <w:b/>
                <w:szCs w:val="22"/>
              </w:rPr>
              <w:t xml:space="preserve"> system organ class</w:t>
            </w:r>
          </w:p>
        </w:tc>
        <w:tc>
          <w:tcPr>
            <w:tcW w:w="2322" w:type="dxa"/>
          </w:tcPr>
          <w:p w:rsidR="00EB0BA1" w:rsidRPr="00286E72" w:rsidRDefault="00EB0BA1" w:rsidP="00F802AE">
            <w:pPr>
              <w:rPr>
                <w:b/>
                <w:szCs w:val="22"/>
              </w:rPr>
            </w:pPr>
            <w:r w:rsidRPr="00286E72">
              <w:rPr>
                <w:b/>
                <w:szCs w:val="22"/>
              </w:rPr>
              <w:t>Very common</w:t>
            </w:r>
            <w:r w:rsidRPr="00286E72">
              <w:rPr>
                <w:b/>
                <w:szCs w:val="22"/>
              </w:rPr>
              <w:br/>
              <w:t>(≥ 1/10)</w:t>
            </w:r>
          </w:p>
        </w:tc>
        <w:tc>
          <w:tcPr>
            <w:tcW w:w="2322" w:type="dxa"/>
          </w:tcPr>
          <w:p w:rsidR="00EB0BA1" w:rsidRPr="00286E72" w:rsidRDefault="00EB0BA1" w:rsidP="00F802AE">
            <w:pPr>
              <w:rPr>
                <w:b/>
                <w:szCs w:val="22"/>
              </w:rPr>
            </w:pPr>
            <w:r w:rsidRPr="00286E72">
              <w:rPr>
                <w:b/>
                <w:szCs w:val="22"/>
              </w:rPr>
              <w:t>Common</w:t>
            </w:r>
            <w:r w:rsidRPr="00286E72">
              <w:rPr>
                <w:b/>
                <w:szCs w:val="22"/>
              </w:rPr>
              <w:br/>
              <w:t>(≥ 1/100 to &lt; 1/10)</w:t>
            </w:r>
          </w:p>
        </w:tc>
        <w:tc>
          <w:tcPr>
            <w:tcW w:w="1790" w:type="dxa"/>
          </w:tcPr>
          <w:p w:rsidR="00EB0BA1" w:rsidRPr="00286E72" w:rsidRDefault="00EB0BA1" w:rsidP="00F802AE">
            <w:pPr>
              <w:rPr>
                <w:b/>
                <w:szCs w:val="22"/>
              </w:rPr>
            </w:pPr>
            <w:r w:rsidRPr="00286E72">
              <w:rPr>
                <w:b/>
                <w:szCs w:val="22"/>
              </w:rPr>
              <w:t>Uncommon</w:t>
            </w:r>
            <w:r w:rsidRPr="00286E72">
              <w:rPr>
                <w:b/>
                <w:szCs w:val="22"/>
              </w:rPr>
              <w:br/>
              <w:t>(≥ 1/1000 to &lt; 1/100)</w:t>
            </w:r>
          </w:p>
        </w:tc>
      </w:tr>
      <w:tr w:rsidR="00EB0BA1" w:rsidRPr="00286E72" w:rsidTr="00386DB8">
        <w:trPr>
          <w:cantSplit/>
        </w:trPr>
        <w:tc>
          <w:tcPr>
            <w:tcW w:w="2213" w:type="dxa"/>
          </w:tcPr>
          <w:p w:rsidR="00EB0BA1" w:rsidRPr="00286E72" w:rsidRDefault="00EB0BA1" w:rsidP="00F802AE">
            <w:pPr>
              <w:rPr>
                <w:szCs w:val="22"/>
              </w:rPr>
            </w:pPr>
            <w:r w:rsidRPr="00286E72">
              <w:rPr>
                <w:szCs w:val="22"/>
              </w:rPr>
              <w:t>Infections and infestations</w:t>
            </w:r>
          </w:p>
        </w:tc>
        <w:tc>
          <w:tcPr>
            <w:tcW w:w="2322" w:type="dxa"/>
          </w:tcPr>
          <w:p w:rsidR="00EB0BA1" w:rsidRPr="00286E72" w:rsidRDefault="00EB0BA1" w:rsidP="00F802AE">
            <w:pPr>
              <w:rPr>
                <w:szCs w:val="22"/>
              </w:rPr>
            </w:pPr>
            <w:r w:rsidRPr="00286E72">
              <w:rPr>
                <w:szCs w:val="22"/>
              </w:rPr>
              <w:t>Fungal infections</w:t>
            </w:r>
            <w:r w:rsidRPr="00286E72">
              <w:rPr>
                <w:szCs w:val="22"/>
              </w:rPr>
              <w:br/>
              <w:t>Bacterial infections</w:t>
            </w:r>
            <w:r w:rsidRPr="00286E72">
              <w:rPr>
                <w:szCs w:val="22"/>
              </w:rPr>
              <w:br/>
              <w:t>Viral infections</w:t>
            </w:r>
            <w:r w:rsidRPr="00286E72">
              <w:rPr>
                <w:szCs w:val="22"/>
              </w:rPr>
              <w:br/>
              <w:t>Other pathogen infections</w:t>
            </w:r>
          </w:p>
        </w:tc>
        <w:tc>
          <w:tcPr>
            <w:tcW w:w="2322" w:type="dxa"/>
          </w:tcPr>
          <w:p w:rsidR="00EB0BA1" w:rsidRPr="00286E72" w:rsidRDefault="00EB0BA1" w:rsidP="00F802AE">
            <w:pPr>
              <w:rPr>
                <w:szCs w:val="22"/>
              </w:rPr>
            </w:pPr>
            <w:r w:rsidRPr="00286E72">
              <w:rPr>
                <w:szCs w:val="22"/>
              </w:rPr>
              <w:t>Sepsis</w:t>
            </w:r>
            <w:r w:rsidRPr="00286E72">
              <w:rPr>
                <w:szCs w:val="22"/>
              </w:rPr>
              <w:br/>
              <w:t>Pneumonia</w:t>
            </w:r>
            <w:r w:rsidRPr="00286E72">
              <w:rPr>
                <w:szCs w:val="22"/>
              </w:rPr>
              <w:br/>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Blood and lymphatic system disorders</w:t>
            </w:r>
          </w:p>
        </w:tc>
        <w:tc>
          <w:tcPr>
            <w:tcW w:w="2322" w:type="dxa"/>
          </w:tcPr>
          <w:p w:rsidR="00E36CA6" w:rsidRDefault="00EB0BA1" w:rsidP="00F802AE">
            <w:pPr>
              <w:rPr>
                <w:szCs w:val="22"/>
              </w:rPr>
            </w:pPr>
            <w:r w:rsidRPr="00286E72">
              <w:rPr>
                <w:szCs w:val="22"/>
              </w:rPr>
              <w:t>Febrile neutropenia</w:t>
            </w:r>
            <w:r w:rsidRPr="00286E72">
              <w:rPr>
                <w:szCs w:val="22"/>
              </w:rPr>
              <w:br/>
            </w:r>
            <w:proofErr w:type="spellStart"/>
            <w:r w:rsidRPr="00286E72">
              <w:rPr>
                <w:szCs w:val="22"/>
              </w:rPr>
              <w:t>Neutropenia</w:t>
            </w:r>
            <w:proofErr w:type="spellEnd"/>
            <w:r w:rsidRPr="00286E72">
              <w:rPr>
                <w:szCs w:val="22"/>
              </w:rPr>
              <w:br/>
              <w:t>Thrombocytopenia</w:t>
            </w:r>
            <w:r w:rsidRPr="00286E72">
              <w:rPr>
                <w:szCs w:val="22"/>
              </w:rPr>
              <w:br/>
            </w:r>
            <w:proofErr w:type="spellStart"/>
            <w:r w:rsidRPr="00286E72">
              <w:rPr>
                <w:szCs w:val="22"/>
              </w:rPr>
              <w:t>Anaemia</w:t>
            </w:r>
            <w:proofErr w:type="spellEnd"/>
          </w:p>
          <w:p w:rsidR="00EB0BA1" w:rsidRPr="00286E72" w:rsidRDefault="00EB0BA1" w:rsidP="00F802AE">
            <w:pPr>
              <w:rPr>
                <w:szCs w:val="22"/>
              </w:rPr>
            </w:pPr>
            <w:r w:rsidRPr="00286E72">
              <w:rPr>
                <w:szCs w:val="22"/>
              </w:rPr>
              <w:t>Leukopenia</w:t>
            </w:r>
            <w:r w:rsidRPr="00286E72">
              <w:rPr>
                <w:szCs w:val="22"/>
              </w:rPr>
              <w:br/>
              <w:t>Lymphopenia</w:t>
            </w:r>
          </w:p>
        </w:tc>
        <w:tc>
          <w:tcPr>
            <w:tcW w:w="2322" w:type="dxa"/>
          </w:tcPr>
          <w:p w:rsidR="00EB0BA1" w:rsidRPr="00286E72" w:rsidRDefault="00EB0BA1" w:rsidP="00F802AE">
            <w:pPr>
              <w:rPr>
                <w:szCs w:val="22"/>
              </w:rPr>
            </w:pPr>
            <w:r w:rsidRPr="00286E72">
              <w:rPr>
                <w:szCs w:val="22"/>
              </w:rPr>
              <w:t>Leukocytosis</w:t>
            </w:r>
          </w:p>
        </w:tc>
        <w:tc>
          <w:tcPr>
            <w:tcW w:w="1790" w:type="dxa"/>
          </w:tcPr>
          <w:p w:rsidR="00EB0BA1" w:rsidRPr="00286E72" w:rsidRDefault="00EB0BA1" w:rsidP="00F802AE">
            <w:pPr>
              <w:rPr>
                <w:szCs w:val="22"/>
              </w:rPr>
            </w:pPr>
            <w:proofErr w:type="spellStart"/>
            <w:r w:rsidRPr="00286E72">
              <w:rPr>
                <w:szCs w:val="22"/>
              </w:rPr>
              <w:t>Haemophagocytic</w:t>
            </w:r>
            <w:proofErr w:type="spellEnd"/>
            <w:r w:rsidRPr="00286E72">
              <w:rPr>
                <w:szCs w:val="22"/>
              </w:rPr>
              <w:t xml:space="preserve"> </w:t>
            </w:r>
            <w:proofErr w:type="spellStart"/>
            <w:r w:rsidRPr="00286E72">
              <w:rPr>
                <w:szCs w:val="22"/>
              </w:rPr>
              <w:t>histiocytosis</w:t>
            </w:r>
            <w:proofErr w:type="spellEnd"/>
          </w:p>
        </w:tc>
      </w:tr>
      <w:tr w:rsidR="00EB0BA1" w:rsidRPr="00286E72" w:rsidTr="00386DB8">
        <w:trPr>
          <w:cantSplit/>
        </w:trPr>
        <w:tc>
          <w:tcPr>
            <w:tcW w:w="2213" w:type="dxa"/>
          </w:tcPr>
          <w:p w:rsidR="00EB0BA1" w:rsidRPr="00286E72" w:rsidRDefault="00EB0BA1" w:rsidP="00F802AE">
            <w:pPr>
              <w:rPr>
                <w:szCs w:val="22"/>
              </w:rPr>
            </w:pPr>
            <w:r w:rsidRPr="00286E72">
              <w:rPr>
                <w:szCs w:val="22"/>
              </w:rPr>
              <w:t>Immune system disorders</w:t>
            </w:r>
          </w:p>
        </w:tc>
        <w:tc>
          <w:tcPr>
            <w:tcW w:w="2322" w:type="dxa"/>
          </w:tcPr>
          <w:p w:rsidR="00EB0BA1" w:rsidRPr="00286E72" w:rsidRDefault="00EB0BA1" w:rsidP="00F802AE">
            <w:pPr>
              <w:rPr>
                <w:szCs w:val="22"/>
              </w:rPr>
            </w:pPr>
          </w:p>
        </w:tc>
        <w:tc>
          <w:tcPr>
            <w:tcW w:w="2322" w:type="dxa"/>
          </w:tcPr>
          <w:p w:rsidR="00EB0BA1" w:rsidRPr="00286E72" w:rsidRDefault="00EB0BA1" w:rsidP="00F802AE">
            <w:pPr>
              <w:rPr>
                <w:szCs w:val="22"/>
              </w:rPr>
            </w:pPr>
            <w:r w:rsidRPr="00286E72">
              <w:rPr>
                <w:szCs w:val="22"/>
              </w:rPr>
              <w:t>Cytokine release syndrome</w:t>
            </w:r>
            <w:r w:rsidRPr="00286E72">
              <w:rPr>
                <w:szCs w:val="22"/>
              </w:rPr>
              <w:br/>
              <w:t>Hypersensitivity</w:t>
            </w:r>
          </w:p>
        </w:tc>
        <w:tc>
          <w:tcPr>
            <w:tcW w:w="1790" w:type="dxa"/>
          </w:tcPr>
          <w:p w:rsidR="00EB0BA1" w:rsidRPr="00286E72" w:rsidRDefault="00EB0BA1" w:rsidP="00F802AE">
            <w:pPr>
              <w:rPr>
                <w:szCs w:val="22"/>
              </w:rPr>
            </w:pPr>
            <w:r w:rsidRPr="00286E72">
              <w:rPr>
                <w:szCs w:val="22"/>
              </w:rPr>
              <w:t>Cytokine storm</w:t>
            </w:r>
          </w:p>
        </w:tc>
      </w:tr>
      <w:tr w:rsidR="00EB0BA1" w:rsidRPr="00286E72" w:rsidTr="00386DB8">
        <w:trPr>
          <w:cantSplit/>
        </w:trPr>
        <w:tc>
          <w:tcPr>
            <w:tcW w:w="2213" w:type="dxa"/>
          </w:tcPr>
          <w:p w:rsidR="00EB0BA1" w:rsidRPr="00286E72" w:rsidRDefault="00EB0BA1" w:rsidP="000F2608">
            <w:pPr>
              <w:rPr>
                <w:szCs w:val="22"/>
              </w:rPr>
            </w:pPr>
            <w:r w:rsidRPr="00286E72">
              <w:rPr>
                <w:szCs w:val="22"/>
              </w:rPr>
              <w:t xml:space="preserve">Metabolism and nutrition </w:t>
            </w:r>
            <w:r w:rsidR="000F2608">
              <w:rPr>
                <w:szCs w:val="22"/>
              </w:rPr>
              <w:t>d</w:t>
            </w:r>
            <w:r w:rsidRPr="00286E72">
              <w:rPr>
                <w:szCs w:val="22"/>
              </w:rPr>
              <w:t>isorders</w:t>
            </w:r>
          </w:p>
        </w:tc>
        <w:tc>
          <w:tcPr>
            <w:tcW w:w="2322" w:type="dxa"/>
          </w:tcPr>
          <w:p w:rsidR="00EB0BA1" w:rsidRPr="00286E72" w:rsidRDefault="00EE38A0" w:rsidP="00F802AE">
            <w:pPr>
              <w:rPr>
                <w:szCs w:val="22"/>
              </w:rPr>
            </w:pPr>
            <w:proofErr w:type="spellStart"/>
            <w:r>
              <w:rPr>
                <w:szCs w:val="22"/>
              </w:rPr>
              <w:t>Hypokala</w:t>
            </w:r>
            <w:r w:rsidR="00EB0BA1" w:rsidRPr="00286E72">
              <w:rPr>
                <w:szCs w:val="22"/>
              </w:rPr>
              <w:t>emia</w:t>
            </w:r>
            <w:proofErr w:type="spellEnd"/>
            <w:r w:rsidR="00EB0BA1" w:rsidRPr="00286E72">
              <w:rPr>
                <w:szCs w:val="22"/>
              </w:rPr>
              <w:br/>
            </w:r>
            <w:proofErr w:type="spellStart"/>
            <w:r w:rsidR="00EB0BA1" w:rsidRPr="00286E72">
              <w:rPr>
                <w:szCs w:val="22"/>
              </w:rPr>
              <w:t>Hyperglycaemia</w:t>
            </w:r>
            <w:proofErr w:type="spellEnd"/>
          </w:p>
        </w:tc>
        <w:tc>
          <w:tcPr>
            <w:tcW w:w="2322" w:type="dxa"/>
          </w:tcPr>
          <w:p w:rsidR="00EB0BA1" w:rsidRPr="00286E72" w:rsidRDefault="00EB0BA1" w:rsidP="00F802AE">
            <w:pPr>
              <w:rPr>
                <w:szCs w:val="22"/>
              </w:rPr>
            </w:pPr>
            <w:proofErr w:type="spellStart"/>
            <w:r w:rsidRPr="00286E72">
              <w:rPr>
                <w:szCs w:val="22"/>
              </w:rPr>
              <w:t>Tumour</w:t>
            </w:r>
            <w:proofErr w:type="spellEnd"/>
            <w:r w:rsidRPr="00286E72">
              <w:rPr>
                <w:szCs w:val="22"/>
              </w:rPr>
              <w:t xml:space="preserve"> lysis syndrome Hypomagnesaemia</w:t>
            </w:r>
            <w:r w:rsidRPr="00286E72">
              <w:rPr>
                <w:szCs w:val="22"/>
              </w:rPr>
              <w:br/>
              <w:t>Hypoalbuminemia</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071D5D">
            <w:pPr>
              <w:rPr>
                <w:szCs w:val="22"/>
              </w:rPr>
            </w:pPr>
            <w:r w:rsidRPr="00286E72">
              <w:rPr>
                <w:szCs w:val="22"/>
              </w:rPr>
              <w:t>Psychiatric disorders</w:t>
            </w:r>
          </w:p>
        </w:tc>
        <w:tc>
          <w:tcPr>
            <w:tcW w:w="2322" w:type="dxa"/>
          </w:tcPr>
          <w:p w:rsidR="00EB0BA1" w:rsidRPr="00286E72" w:rsidRDefault="00EB0BA1" w:rsidP="00071D5D">
            <w:pPr>
              <w:rPr>
                <w:szCs w:val="22"/>
              </w:rPr>
            </w:pPr>
            <w:r w:rsidRPr="00286E72">
              <w:rPr>
                <w:szCs w:val="22"/>
              </w:rPr>
              <w:t>Insomnia</w:t>
            </w:r>
          </w:p>
        </w:tc>
        <w:tc>
          <w:tcPr>
            <w:tcW w:w="2322" w:type="dxa"/>
          </w:tcPr>
          <w:p w:rsidR="00EB0BA1" w:rsidRPr="00286E72" w:rsidRDefault="00EB0BA1" w:rsidP="00071D5D">
            <w:pPr>
              <w:rPr>
                <w:szCs w:val="22"/>
              </w:rPr>
            </w:pPr>
            <w:r w:rsidRPr="00286E72">
              <w:rPr>
                <w:szCs w:val="22"/>
              </w:rPr>
              <w:t>Confusion</w:t>
            </w:r>
            <w:r w:rsidRPr="00286E72">
              <w:rPr>
                <w:szCs w:val="22"/>
              </w:rPr>
              <w:br/>
              <w:t>Disorientation</w:t>
            </w:r>
          </w:p>
        </w:tc>
        <w:tc>
          <w:tcPr>
            <w:tcW w:w="1790" w:type="dxa"/>
          </w:tcPr>
          <w:p w:rsidR="00EB0BA1" w:rsidRPr="00286E72" w:rsidRDefault="00EB0BA1" w:rsidP="00071D5D">
            <w:pPr>
              <w:rPr>
                <w:szCs w:val="22"/>
              </w:rPr>
            </w:pPr>
          </w:p>
        </w:tc>
      </w:tr>
      <w:tr w:rsidR="00EB0BA1" w:rsidRPr="00286E72" w:rsidTr="00386DB8">
        <w:trPr>
          <w:cantSplit/>
        </w:trPr>
        <w:tc>
          <w:tcPr>
            <w:tcW w:w="2213" w:type="dxa"/>
          </w:tcPr>
          <w:p w:rsidR="00EB0BA1" w:rsidRPr="00286E72" w:rsidRDefault="00EB0BA1" w:rsidP="00071D5D">
            <w:pPr>
              <w:rPr>
                <w:szCs w:val="22"/>
              </w:rPr>
            </w:pPr>
            <w:r w:rsidRPr="00286E72">
              <w:rPr>
                <w:szCs w:val="22"/>
              </w:rPr>
              <w:t>Nervous system disorders</w:t>
            </w:r>
          </w:p>
        </w:tc>
        <w:tc>
          <w:tcPr>
            <w:tcW w:w="2322" w:type="dxa"/>
          </w:tcPr>
          <w:p w:rsidR="00E36CA6" w:rsidRDefault="00EB0BA1" w:rsidP="00071D5D">
            <w:pPr>
              <w:rPr>
                <w:szCs w:val="22"/>
              </w:rPr>
            </w:pPr>
            <w:r w:rsidRPr="00286E72">
              <w:rPr>
                <w:szCs w:val="22"/>
              </w:rPr>
              <w:t>Tremor</w:t>
            </w:r>
          </w:p>
          <w:p w:rsidR="00EB0BA1" w:rsidRPr="00286E72" w:rsidRDefault="00EB0BA1" w:rsidP="00071D5D">
            <w:pPr>
              <w:rPr>
                <w:szCs w:val="22"/>
              </w:rPr>
            </w:pPr>
            <w:r w:rsidRPr="00286E72">
              <w:rPr>
                <w:szCs w:val="22"/>
              </w:rPr>
              <w:t>Headache</w:t>
            </w:r>
            <w:r w:rsidRPr="00286E72">
              <w:rPr>
                <w:szCs w:val="22"/>
              </w:rPr>
              <w:br/>
              <w:t>Dizziness</w:t>
            </w:r>
          </w:p>
        </w:tc>
        <w:tc>
          <w:tcPr>
            <w:tcW w:w="2322" w:type="dxa"/>
          </w:tcPr>
          <w:p w:rsidR="00E36CA6" w:rsidRDefault="00EB0BA1" w:rsidP="00071D5D">
            <w:pPr>
              <w:rPr>
                <w:szCs w:val="22"/>
              </w:rPr>
            </w:pPr>
            <w:r w:rsidRPr="00286E72">
              <w:rPr>
                <w:szCs w:val="22"/>
              </w:rPr>
              <w:t>Encephalopathy Convulsion</w:t>
            </w:r>
            <w:r w:rsidRPr="00286E72">
              <w:rPr>
                <w:szCs w:val="22"/>
              </w:rPr>
              <w:br/>
              <w:t>Aphasia</w:t>
            </w:r>
            <w:r w:rsidRPr="00286E72">
              <w:rPr>
                <w:szCs w:val="22"/>
              </w:rPr>
              <w:br/>
            </w:r>
            <w:proofErr w:type="spellStart"/>
            <w:r w:rsidRPr="00286E72">
              <w:rPr>
                <w:szCs w:val="22"/>
              </w:rPr>
              <w:t>Paraesthesia</w:t>
            </w:r>
            <w:proofErr w:type="spellEnd"/>
          </w:p>
          <w:p w:rsidR="00EB0BA1" w:rsidRPr="00286E72" w:rsidRDefault="00EB0BA1" w:rsidP="00071D5D">
            <w:pPr>
              <w:rPr>
                <w:szCs w:val="22"/>
              </w:rPr>
            </w:pPr>
            <w:r w:rsidRPr="00286E72">
              <w:rPr>
                <w:szCs w:val="22"/>
              </w:rPr>
              <w:t>Speech disorder Memory impairment</w:t>
            </w:r>
            <w:r w:rsidRPr="00286E72">
              <w:rPr>
                <w:szCs w:val="22"/>
              </w:rPr>
              <w:br/>
              <w:t>Cognitive disorder</w:t>
            </w:r>
          </w:p>
        </w:tc>
        <w:tc>
          <w:tcPr>
            <w:tcW w:w="1790" w:type="dxa"/>
          </w:tcPr>
          <w:p w:rsidR="00EB0BA1" w:rsidRPr="00286E72" w:rsidRDefault="00EB0BA1" w:rsidP="00071D5D">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Cardiac disorders</w:t>
            </w:r>
          </w:p>
        </w:tc>
        <w:tc>
          <w:tcPr>
            <w:tcW w:w="2322" w:type="dxa"/>
          </w:tcPr>
          <w:p w:rsidR="00EB0BA1" w:rsidRPr="00286E72" w:rsidRDefault="00EB0BA1" w:rsidP="00F802AE">
            <w:pPr>
              <w:rPr>
                <w:szCs w:val="22"/>
              </w:rPr>
            </w:pPr>
          </w:p>
        </w:tc>
        <w:tc>
          <w:tcPr>
            <w:tcW w:w="2322" w:type="dxa"/>
          </w:tcPr>
          <w:p w:rsidR="00EB0BA1" w:rsidRPr="00286E72" w:rsidRDefault="00EB0BA1" w:rsidP="00F802AE">
            <w:pPr>
              <w:rPr>
                <w:szCs w:val="22"/>
              </w:rPr>
            </w:pPr>
            <w:r w:rsidRPr="00286E72">
              <w:rPr>
                <w:szCs w:val="22"/>
              </w:rPr>
              <w:t>Tachycardia</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Vascular disorders</w:t>
            </w:r>
          </w:p>
        </w:tc>
        <w:tc>
          <w:tcPr>
            <w:tcW w:w="2322" w:type="dxa"/>
          </w:tcPr>
          <w:p w:rsidR="00EB0BA1" w:rsidRPr="00286E72" w:rsidRDefault="00EB0BA1" w:rsidP="00F802AE">
            <w:pPr>
              <w:rPr>
                <w:szCs w:val="22"/>
              </w:rPr>
            </w:pPr>
            <w:r w:rsidRPr="00286E72">
              <w:rPr>
                <w:szCs w:val="22"/>
              </w:rPr>
              <w:t>Hypotension</w:t>
            </w:r>
          </w:p>
        </w:tc>
        <w:tc>
          <w:tcPr>
            <w:tcW w:w="2322" w:type="dxa"/>
          </w:tcPr>
          <w:p w:rsidR="00EB0BA1" w:rsidRPr="00286E72" w:rsidRDefault="00EB0BA1" w:rsidP="00F802AE">
            <w:pPr>
              <w:rPr>
                <w:szCs w:val="22"/>
              </w:rPr>
            </w:pPr>
            <w:r w:rsidRPr="00286E72">
              <w:rPr>
                <w:szCs w:val="22"/>
              </w:rPr>
              <w:t>Capillary leak syndrome</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Respiratory, thoracic and mediastinal disorders</w:t>
            </w:r>
          </w:p>
        </w:tc>
        <w:tc>
          <w:tcPr>
            <w:tcW w:w="2322" w:type="dxa"/>
          </w:tcPr>
          <w:p w:rsidR="00EB0BA1" w:rsidRPr="00286E72" w:rsidRDefault="00EB0BA1" w:rsidP="00F802AE">
            <w:pPr>
              <w:rPr>
                <w:szCs w:val="22"/>
              </w:rPr>
            </w:pPr>
            <w:r w:rsidRPr="00286E72">
              <w:rPr>
                <w:szCs w:val="22"/>
              </w:rPr>
              <w:t>Cough</w:t>
            </w:r>
          </w:p>
        </w:tc>
        <w:tc>
          <w:tcPr>
            <w:tcW w:w="2322" w:type="dxa"/>
          </w:tcPr>
          <w:p w:rsidR="00EB0BA1" w:rsidRPr="00286E72" w:rsidRDefault="00EB0BA1" w:rsidP="00F802AE">
            <w:pPr>
              <w:rPr>
                <w:szCs w:val="22"/>
              </w:rPr>
            </w:pP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Gastrointestinal disorders</w:t>
            </w:r>
          </w:p>
        </w:tc>
        <w:tc>
          <w:tcPr>
            <w:tcW w:w="2322" w:type="dxa"/>
          </w:tcPr>
          <w:p w:rsidR="00E36CA6" w:rsidRDefault="00EB0BA1" w:rsidP="00F802AE">
            <w:pPr>
              <w:rPr>
                <w:szCs w:val="22"/>
              </w:rPr>
            </w:pPr>
            <w:r w:rsidRPr="00286E72">
              <w:rPr>
                <w:szCs w:val="22"/>
              </w:rPr>
              <w:t>Vomiting</w:t>
            </w:r>
          </w:p>
          <w:p w:rsidR="00E36CA6" w:rsidRDefault="00EB0BA1" w:rsidP="00F802AE">
            <w:pPr>
              <w:rPr>
                <w:szCs w:val="22"/>
              </w:rPr>
            </w:pPr>
            <w:r w:rsidRPr="00286E72">
              <w:rPr>
                <w:szCs w:val="22"/>
              </w:rPr>
              <w:t xml:space="preserve">Abdominal </w:t>
            </w:r>
            <w:r w:rsidR="00CD34CB">
              <w:rPr>
                <w:szCs w:val="22"/>
              </w:rPr>
              <w:t>p</w:t>
            </w:r>
            <w:r w:rsidRPr="00286E72">
              <w:rPr>
                <w:szCs w:val="22"/>
              </w:rPr>
              <w:t xml:space="preserve">ain </w:t>
            </w:r>
            <w:proofErr w:type="spellStart"/>
            <w:r w:rsidRPr="00286E72">
              <w:rPr>
                <w:szCs w:val="22"/>
              </w:rPr>
              <w:t>Diarrhoea</w:t>
            </w:r>
            <w:proofErr w:type="spellEnd"/>
          </w:p>
          <w:p w:rsidR="00E36CA6" w:rsidRDefault="00EB0BA1" w:rsidP="00F802AE">
            <w:pPr>
              <w:rPr>
                <w:szCs w:val="22"/>
              </w:rPr>
            </w:pPr>
            <w:r w:rsidRPr="00286E72">
              <w:rPr>
                <w:szCs w:val="22"/>
              </w:rPr>
              <w:t>Constipation</w:t>
            </w:r>
          </w:p>
          <w:p w:rsidR="00EB0BA1" w:rsidRPr="00286E72" w:rsidRDefault="00EB0BA1" w:rsidP="00F802AE">
            <w:pPr>
              <w:rPr>
                <w:szCs w:val="22"/>
              </w:rPr>
            </w:pPr>
            <w:r w:rsidRPr="00286E72">
              <w:rPr>
                <w:szCs w:val="22"/>
              </w:rPr>
              <w:t>Nausea</w:t>
            </w:r>
          </w:p>
        </w:tc>
        <w:tc>
          <w:tcPr>
            <w:tcW w:w="2322" w:type="dxa"/>
          </w:tcPr>
          <w:p w:rsidR="00EB0BA1" w:rsidRPr="00286E72" w:rsidRDefault="00EB0BA1" w:rsidP="00F802AE">
            <w:pPr>
              <w:rPr>
                <w:szCs w:val="22"/>
              </w:rPr>
            </w:pPr>
          </w:p>
        </w:tc>
        <w:tc>
          <w:tcPr>
            <w:tcW w:w="1790" w:type="dxa"/>
          </w:tcPr>
          <w:p w:rsidR="00EB0BA1" w:rsidRPr="00286E72" w:rsidRDefault="00EB0BA1" w:rsidP="00F802AE">
            <w:pPr>
              <w:rPr>
                <w:szCs w:val="22"/>
              </w:rPr>
            </w:pPr>
          </w:p>
        </w:tc>
      </w:tr>
      <w:tr w:rsidR="00EB0BA1" w:rsidRPr="00286E72" w:rsidTr="00071D5D">
        <w:tc>
          <w:tcPr>
            <w:tcW w:w="2213" w:type="dxa"/>
          </w:tcPr>
          <w:p w:rsidR="00EB0BA1" w:rsidRPr="007860B2" w:rsidRDefault="00EB0BA1" w:rsidP="00F802AE">
            <w:pPr>
              <w:rPr>
                <w:szCs w:val="22"/>
              </w:rPr>
            </w:pPr>
            <w:r w:rsidRPr="007860B2">
              <w:rPr>
                <w:szCs w:val="22"/>
              </w:rPr>
              <w:t>Hepatobiliary disorders</w:t>
            </w:r>
          </w:p>
        </w:tc>
        <w:tc>
          <w:tcPr>
            <w:tcW w:w="2322" w:type="dxa"/>
          </w:tcPr>
          <w:p w:rsidR="00EB0BA1" w:rsidRPr="007860B2" w:rsidRDefault="00EB0BA1" w:rsidP="00F802AE">
            <w:pPr>
              <w:rPr>
                <w:szCs w:val="22"/>
              </w:rPr>
            </w:pPr>
            <w:r w:rsidRPr="007860B2">
              <w:rPr>
                <w:szCs w:val="22"/>
              </w:rPr>
              <w:t>Increased liver enzymes (including increased alanine aminotransferase, increased aspartate aminotransferase and</w:t>
            </w:r>
            <w:r w:rsidRPr="00286E72">
              <w:rPr>
                <w:szCs w:val="22"/>
              </w:rPr>
              <w:t xml:space="preserve"> </w:t>
            </w:r>
            <w:r w:rsidRPr="007860B2">
              <w:rPr>
                <w:szCs w:val="22"/>
              </w:rPr>
              <w:t>gamma-</w:t>
            </w:r>
            <w:proofErr w:type="spellStart"/>
            <w:r w:rsidRPr="007860B2">
              <w:rPr>
                <w:szCs w:val="22"/>
              </w:rPr>
              <w:t>glutamyl</w:t>
            </w:r>
            <w:proofErr w:type="spellEnd"/>
            <w:r w:rsidRPr="007860B2">
              <w:rPr>
                <w:szCs w:val="22"/>
              </w:rPr>
              <w:t xml:space="preserve"> transferase)</w:t>
            </w:r>
          </w:p>
        </w:tc>
        <w:tc>
          <w:tcPr>
            <w:tcW w:w="2322" w:type="dxa"/>
          </w:tcPr>
          <w:p w:rsidR="00EB0BA1" w:rsidRPr="007860B2" w:rsidRDefault="00EB0BA1" w:rsidP="00F802AE">
            <w:pPr>
              <w:rPr>
                <w:szCs w:val="22"/>
              </w:rPr>
            </w:pPr>
            <w:r w:rsidRPr="007860B2">
              <w:rPr>
                <w:szCs w:val="22"/>
              </w:rPr>
              <w:t>Increased blood bilirubin</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Skin and subcutaneous tissue disorders</w:t>
            </w:r>
          </w:p>
        </w:tc>
        <w:tc>
          <w:tcPr>
            <w:tcW w:w="2322" w:type="dxa"/>
          </w:tcPr>
          <w:p w:rsidR="00EB0BA1" w:rsidRPr="00286E72" w:rsidRDefault="00EB0BA1" w:rsidP="00F802AE">
            <w:pPr>
              <w:rPr>
                <w:szCs w:val="22"/>
              </w:rPr>
            </w:pPr>
            <w:r w:rsidRPr="00286E72">
              <w:rPr>
                <w:szCs w:val="22"/>
              </w:rPr>
              <w:t>Rash</w:t>
            </w:r>
          </w:p>
        </w:tc>
        <w:tc>
          <w:tcPr>
            <w:tcW w:w="2322" w:type="dxa"/>
          </w:tcPr>
          <w:p w:rsidR="00EB0BA1" w:rsidRPr="00286E72" w:rsidRDefault="00EB0BA1" w:rsidP="00F802AE">
            <w:pPr>
              <w:rPr>
                <w:szCs w:val="22"/>
              </w:rPr>
            </w:pP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lastRenderedPageBreak/>
              <w:t>Musculoskeletal and connective tissue disorders</w:t>
            </w:r>
          </w:p>
        </w:tc>
        <w:tc>
          <w:tcPr>
            <w:tcW w:w="2322" w:type="dxa"/>
          </w:tcPr>
          <w:p w:rsidR="00EB0BA1" w:rsidRPr="00286E72" w:rsidRDefault="00EB0BA1" w:rsidP="00F802AE">
            <w:pPr>
              <w:rPr>
                <w:szCs w:val="22"/>
              </w:rPr>
            </w:pPr>
            <w:r w:rsidRPr="00286E72">
              <w:rPr>
                <w:szCs w:val="22"/>
              </w:rPr>
              <w:t>Back pain</w:t>
            </w:r>
            <w:r w:rsidRPr="00286E72">
              <w:rPr>
                <w:szCs w:val="22"/>
              </w:rPr>
              <w:br/>
            </w:r>
            <w:proofErr w:type="spellStart"/>
            <w:r w:rsidRPr="00286E72">
              <w:rPr>
                <w:szCs w:val="22"/>
              </w:rPr>
              <w:t>Pain</w:t>
            </w:r>
            <w:proofErr w:type="spellEnd"/>
            <w:r w:rsidRPr="00286E72">
              <w:rPr>
                <w:szCs w:val="22"/>
              </w:rPr>
              <w:t xml:space="preserve"> in extremity</w:t>
            </w:r>
          </w:p>
        </w:tc>
        <w:tc>
          <w:tcPr>
            <w:tcW w:w="2322" w:type="dxa"/>
          </w:tcPr>
          <w:p w:rsidR="00EB0BA1" w:rsidRPr="00286E72" w:rsidRDefault="00EB0BA1" w:rsidP="00F802AE">
            <w:pPr>
              <w:rPr>
                <w:szCs w:val="22"/>
              </w:rPr>
            </w:pPr>
            <w:r w:rsidRPr="00286E72">
              <w:rPr>
                <w:szCs w:val="22"/>
              </w:rPr>
              <w:t>Arthralgia</w:t>
            </w:r>
            <w:r w:rsidRPr="00286E72">
              <w:rPr>
                <w:szCs w:val="22"/>
              </w:rPr>
              <w:br/>
              <w:t>Bone pain</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General disorders and administration site conditions</w:t>
            </w:r>
          </w:p>
        </w:tc>
        <w:tc>
          <w:tcPr>
            <w:tcW w:w="2322" w:type="dxa"/>
          </w:tcPr>
          <w:p w:rsidR="00EB0BA1" w:rsidRPr="00286E72" w:rsidRDefault="00EB0BA1" w:rsidP="00F802AE">
            <w:pPr>
              <w:rPr>
                <w:szCs w:val="22"/>
              </w:rPr>
            </w:pPr>
            <w:r w:rsidRPr="00286E72">
              <w:rPr>
                <w:szCs w:val="22"/>
              </w:rPr>
              <w:t>Pyrexia</w:t>
            </w:r>
            <w:r w:rsidRPr="00286E72">
              <w:rPr>
                <w:szCs w:val="22"/>
              </w:rPr>
              <w:br/>
              <w:t xml:space="preserve">Peripheral </w:t>
            </w:r>
            <w:proofErr w:type="spellStart"/>
            <w:r w:rsidRPr="00286E72">
              <w:rPr>
                <w:szCs w:val="22"/>
              </w:rPr>
              <w:t>oedema</w:t>
            </w:r>
            <w:proofErr w:type="spellEnd"/>
            <w:r w:rsidRPr="00286E72">
              <w:rPr>
                <w:szCs w:val="22"/>
              </w:rPr>
              <w:br/>
              <w:t>Fatigue</w:t>
            </w:r>
            <w:r w:rsidRPr="00286E72">
              <w:rPr>
                <w:szCs w:val="22"/>
              </w:rPr>
              <w:br/>
              <w:t>Chills</w:t>
            </w:r>
          </w:p>
        </w:tc>
        <w:tc>
          <w:tcPr>
            <w:tcW w:w="2322" w:type="dxa"/>
          </w:tcPr>
          <w:p w:rsidR="00EB0BA1" w:rsidRPr="00286E72" w:rsidRDefault="00EB0BA1" w:rsidP="00F802AE">
            <w:pPr>
              <w:rPr>
                <w:szCs w:val="22"/>
              </w:rPr>
            </w:pPr>
            <w:r w:rsidRPr="00286E72">
              <w:rPr>
                <w:szCs w:val="22"/>
              </w:rPr>
              <w:t>Chest pain</w:t>
            </w:r>
            <w:r w:rsidRPr="00286E72">
              <w:rPr>
                <w:szCs w:val="22"/>
              </w:rPr>
              <w:br/>
            </w:r>
            <w:proofErr w:type="spellStart"/>
            <w:r w:rsidRPr="00286E72">
              <w:rPr>
                <w:szCs w:val="22"/>
              </w:rPr>
              <w:t>Oedema</w:t>
            </w:r>
            <w:proofErr w:type="spellEnd"/>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Investigations</w:t>
            </w:r>
          </w:p>
        </w:tc>
        <w:tc>
          <w:tcPr>
            <w:tcW w:w="2322" w:type="dxa"/>
          </w:tcPr>
          <w:p w:rsidR="00EB0BA1" w:rsidRPr="00286E72" w:rsidRDefault="00EB0BA1" w:rsidP="00F802AE">
            <w:pPr>
              <w:rPr>
                <w:szCs w:val="22"/>
              </w:rPr>
            </w:pPr>
            <w:r w:rsidRPr="00286E72">
              <w:rPr>
                <w:szCs w:val="22"/>
              </w:rPr>
              <w:t>Increased weight</w:t>
            </w:r>
            <w:r w:rsidRPr="00286E72">
              <w:rPr>
                <w:szCs w:val="22"/>
              </w:rPr>
              <w:br/>
            </w:r>
          </w:p>
        </w:tc>
        <w:tc>
          <w:tcPr>
            <w:tcW w:w="2322" w:type="dxa"/>
          </w:tcPr>
          <w:p w:rsidR="00EB0BA1" w:rsidRPr="00286E72" w:rsidRDefault="00EB0BA1" w:rsidP="00F802AE">
            <w:pPr>
              <w:rPr>
                <w:szCs w:val="22"/>
              </w:rPr>
            </w:pPr>
            <w:r w:rsidRPr="00286E72">
              <w:rPr>
                <w:szCs w:val="22"/>
              </w:rPr>
              <w:t>Decreased immunoglobulins</w:t>
            </w:r>
          </w:p>
        </w:tc>
        <w:tc>
          <w:tcPr>
            <w:tcW w:w="1790" w:type="dxa"/>
          </w:tcPr>
          <w:p w:rsidR="00EB0BA1" w:rsidRPr="00286E72" w:rsidRDefault="00EB0BA1" w:rsidP="00F802AE">
            <w:pPr>
              <w:rPr>
                <w:szCs w:val="22"/>
              </w:rPr>
            </w:pPr>
          </w:p>
        </w:tc>
      </w:tr>
      <w:tr w:rsidR="00EB0BA1" w:rsidRPr="00286E72" w:rsidTr="00386DB8">
        <w:trPr>
          <w:cantSplit/>
        </w:trPr>
        <w:tc>
          <w:tcPr>
            <w:tcW w:w="2213" w:type="dxa"/>
          </w:tcPr>
          <w:p w:rsidR="00EB0BA1" w:rsidRPr="00286E72" w:rsidRDefault="00EB0BA1" w:rsidP="00F802AE">
            <w:pPr>
              <w:rPr>
                <w:szCs w:val="22"/>
              </w:rPr>
            </w:pPr>
            <w:r w:rsidRPr="00286E72">
              <w:rPr>
                <w:szCs w:val="22"/>
              </w:rPr>
              <w:t>Injury, poisoning and procedural complications</w:t>
            </w:r>
          </w:p>
        </w:tc>
        <w:tc>
          <w:tcPr>
            <w:tcW w:w="2322" w:type="dxa"/>
          </w:tcPr>
          <w:p w:rsidR="00EB0BA1" w:rsidRPr="00286E72" w:rsidRDefault="00EB0BA1" w:rsidP="00F802AE">
            <w:pPr>
              <w:rPr>
                <w:szCs w:val="22"/>
              </w:rPr>
            </w:pPr>
            <w:r w:rsidRPr="00286E72">
              <w:rPr>
                <w:szCs w:val="22"/>
              </w:rPr>
              <w:t xml:space="preserve">Infusion-related reactions and associated symptoms including wheezing, flushing, face swelling, </w:t>
            </w:r>
            <w:proofErr w:type="spellStart"/>
            <w:r w:rsidRPr="00286E72">
              <w:rPr>
                <w:szCs w:val="22"/>
              </w:rPr>
              <w:t>dyspnoea</w:t>
            </w:r>
            <w:proofErr w:type="spellEnd"/>
            <w:r w:rsidRPr="00286E72">
              <w:rPr>
                <w:szCs w:val="22"/>
              </w:rPr>
              <w:t>, hypotension, and hypertension</w:t>
            </w:r>
          </w:p>
        </w:tc>
        <w:tc>
          <w:tcPr>
            <w:tcW w:w="2322" w:type="dxa"/>
          </w:tcPr>
          <w:p w:rsidR="00EB0BA1" w:rsidRPr="00286E72" w:rsidRDefault="00EB0BA1" w:rsidP="00F802AE">
            <w:pPr>
              <w:rPr>
                <w:szCs w:val="22"/>
              </w:rPr>
            </w:pPr>
          </w:p>
        </w:tc>
        <w:tc>
          <w:tcPr>
            <w:tcW w:w="1790" w:type="dxa"/>
          </w:tcPr>
          <w:p w:rsidR="00EB0BA1" w:rsidRPr="00286E72" w:rsidRDefault="00EB0BA1" w:rsidP="00F802AE">
            <w:pPr>
              <w:rPr>
                <w:szCs w:val="22"/>
              </w:rPr>
            </w:pPr>
          </w:p>
        </w:tc>
      </w:tr>
    </w:tbl>
    <w:p w:rsidR="00386DB8" w:rsidRDefault="00386DB8" w:rsidP="00386DB8">
      <w:pPr>
        <w:pStyle w:val="TablePageNumber"/>
      </w:pPr>
      <w:r>
        <w:t>Page 2 of 2</w:t>
      </w:r>
    </w:p>
    <w:p w:rsidR="00EB0BA1" w:rsidRPr="00EB0BA1" w:rsidRDefault="00EB0BA1" w:rsidP="00254FE2">
      <w:pPr>
        <w:pStyle w:val="Heading3"/>
      </w:pPr>
      <w:r w:rsidRPr="00254FE2">
        <w:rPr>
          <w:u w:val="none"/>
        </w:rPr>
        <w:t>Neurologic</w:t>
      </w:r>
      <w:r w:rsidRPr="00EB0BA1">
        <w:t xml:space="preserve"> events</w:t>
      </w:r>
    </w:p>
    <w:p w:rsidR="00EB0BA1" w:rsidRPr="00EB0BA1" w:rsidRDefault="00EB0BA1" w:rsidP="00386DB8">
      <w:pPr>
        <w:pStyle w:val="Text"/>
      </w:pPr>
      <w:r w:rsidRPr="00EB0BA1">
        <w:t xml:space="preserve">In clinical studies with </w:t>
      </w:r>
      <w:proofErr w:type="spellStart"/>
      <w:r w:rsidRPr="00EB0BA1">
        <w:t>Blincyto</w:t>
      </w:r>
      <w:proofErr w:type="spellEnd"/>
      <w:r w:rsidRPr="00EB0BA1">
        <w:t xml:space="preserve">, approximately 50% of </w:t>
      </w:r>
      <w:r w:rsidR="00A64F9F">
        <w:t>patients</w:t>
      </w:r>
      <w:r w:rsidRPr="00EB0BA1">
        <w:t xml:space="preserve"> experienced one or more neurologic adverse reactions (including psychiatric disorders), primarily involving the central nervous system. Serious neurologic adverse reactions were observed in &lt; 20% of </w:t>
      </w:r>
      <w:r w:rsidR="00A64F9F">
        <w:t>patients</w:t>
      </w:r>
      <w:r w:rsidRPr="00EB0BA1">
        <w:t xml:space="preserve">, of which the most common were encephalopathy, tremor, and </w:t>
      </w:r>
      <w:proofErr w:type="spellStart"/>
      <w:r w:rsidRPr="00EB0BA1">
        <w:t>confusional</w:t>
      </w:r>
      <w:proofErr w:type="spellEnd"/>
      <w:r w:rsidRPr="00EB0BA1">
        <w:t xml:space="preserve"> state. Fatal encephalopathy has been reported, however, the majority of neurologic events (&gt; 90%) were clinically reversible. The median time to onset of neurologic event was 9 days. For clinical management of neurologic events, see </w:t>
      </w:r>
      <w:r w:rsidR="002A3BAD">
        <w:t>PRECAUTIONS, Neurological Events and DOSAGE AND ADMINISTRATION, Dosage Adjustments</w:t>
      </w:r>
      <w:r w:rsidRPr="00EB0BA1">
        <w:t>.</w:t>
      </w:r>
    </w:p>
    <w:p w:rsidR="00EB0BA1" w:rsidRPr="00EB0BA1" w:rsidRDefault="00EB0BA1" w:rsidP="00254FE2">
      <w:pPr>
        <w:pStyle w:val="Heading3"/>
      </w:pPr>
      <w:r w:rsidRPr="00254FE2">
        <w:rPr>
          <w:u w:val="none"/>
        </w:rPr>
        <w:t>Infections</w:t>
      </w:r>
    </w:p>
    <w:p w:rsidR="00EB0BA1" w:rsidRPr="00EB0BA1" w:rsidRDefault="00EB0BA1" w:rsidP="00386DB8">
      <w:pPr>
        <w:pStyle w:val="Text"/>
      </w:pPr>
      <w:r w:rsidRPr="00EB0BA1">
        <w:t xml:space="preserve">Life-threatening or fatal viral, bacterial, and fungal infections have been reported in patients treated with </w:t>
      </w:r>
      <w:proofErr w:type="spellStart"/>
      <w:r w:rsidRPr="00EB0BA1">
        <w:t>Blincyto</w:t>
      </w:r>
      <w:proofErr w:type="spellEnd"/>
      <w:r w:rsidRPr="00EB0BA1">
        <w:t>. In addition, reactivation of J</w:t>
      </w:r>
      <w:r w:rsidR="00FE1ADC">
        <w:t xml:space="preserve">C </w:t>
      </w:r>
      <w:r w:rsidRPr="00EB0BA1">
        <w:t xml:space="preserve">and BK viral infections has been observed. </w:t>
      </w:r>
      <w:r w:rsidR="00A64F9F">
        <w:t>Patients</w:t>
      </w:r>
      <w:r w:rsidRPr="00EB0BA1">
        <w:t xml:space="preserve"> with ECOG performance status ≥ 2 experienced a higher incidence of serious infections compared to patients with ECOG performance status of &lt; 2. For clinical management of infections, see </w:t>
      </w:r>
      <w:r w:rsidR="002A3BAD">
        <w:t xml:space="preserve">PRECAUTIONS, </w:t>
      </w:r>
      <w:r w:rsidR="00D40EBD">
        <w:t>Infections</w:t>
      </w:r>
      <w:r w:rsidRPr="00EB0BA1">
        <w:t>.</w:t>
      </w:r>
    </w:p>
    <w:p w:rsidR="00EB0BA1" w:rsidRPr="00254FE2" w:rsidRDefault="00EB0BA1" w:rsidP="00254FE2">
      <w:pPr>
        <w:pStyle w:val="Heading3"/>
        <w:rPr>
          <w:u w:val="none"/>
        </w:rPr>
      </w:pPr>
      <w:r w:rsidRPr="00254FE2">
        <w:rPr>
          <w:u w:val="none"/>
        </w:rPr>
        <w:t>Cytokine release syndrome (CRS)</w:t>
      </w:r>
    </w:p>
    <w:p w:rsidR="00EB0BA1" w:rsidRPr="00EB0BA1" w:rsidRDefault="00EB0BA1" w:rsidP="00386DB8">
      <w:pPr>
        <w:pStyle w:val="Text"/>
      </w:pPr>
      <w:r w:rsidRPr="00EB0BA1">
        <w:t xml:space="preserve">In clinical studies with </w:t>
      </w:r>
      <w:proofErr w:type="spellStart"/>
      <w:r w:rsidRPr="00EB0BA1">
        <w:t>Blincyto</w:t>
      </w:r>
      <w:proofErr w:type="spellEnd"/>
      <w:r w:rsidRPr="00EB0BA1">
        <w:t xml:space="preserve">, serious CRS reactions were reported in &lt; 2% of </w:t>
      </w:r>
      <w:r w:rsidR="00A64F9F">
        <w:t>patients</w:t>
      </w:r>
      <w:r w:rsidRPr="00EB0BA1">
        <w:t xml:space="preserve"> with a median time to onset of 2 days. For clinical management of CRS, see </w:t>
      </w:r>
      <w:r w:rsidR="00D40EBD">
        <w:t>PRECAUTIONS, Cytokine Release Syndrome</w:t>
      </w:r>
      <w:r w:rsidRPr="00EB0BA1">
        <w:t>.</w:t>
      </w:r>
    </w:p>
    <w:p w:rsidR="00EB0BA1" w:rsidRPr="00254FE2" w:rsidRDefault="00EB0BA1" w:rsidP="00254FE2">
      <w:pPr>
        <w:pStyle w:val="Heading3"/>
        <w:rPr>
          <w:u w:val="none"/>
        </w:rPr>
      </w:pPr>
      <w:r w:rsidRPr="00254FE2">
        <w:rPr>
          <w:u w:val="none"/>
        </w:rPr>
        <w:t>Elevated liver enzymes</w:t>
      </w:r>
    </w:p>
    <w:p w:rsidR="00EB0BA1" w:rsidRPr="00EB0BA1" w:rsidRDefault="00EB0BA1" w:rsidP="00386DB8">
      <w:pPr>
        <w:pStyle w:val="Text"/>
      </w:pPr>
      <w:r w:rsidRPr="00EB0BA1">
        <w:t xml:space="preserve">In clinical studies with </w:t>
      </w:r>
      <w:proofErr w:type="spellStart"/>
      <w:r w:rsidRPr="00EB0BA1">
        <w:t>Blincyto</w:t>
      </w:r>
      <w:proofErr w:type="spellEnd"/>
      <w:r w:rsidRPr="00EB0BA1">
        <w:t xml:space="preserve">, approximately 30% of </w:t>
      </w:r>
      <w:r w:rsidR="00A64F9F">
        <w:t>patients</w:t>
      </w:r>
      <w:r w:rsidRPr="00EB0BA1">
        <w:t xml:space="preserve"> reported elevated liver enzymes. Less than 2% of </w:t>
      </w:r>
      <w:proofErr w:type="gramStart"/>
      <w:r w:rsidR="00A64F9F">
        <w:t>patients</w:t>
      </w:r>
      <w:proofErr w:type="gramEnd"/>
      <w:r w:rsidRPr="00EB0BA1">
        <w:t xml:space="preserve"> experienced serious adverse reactions such as ALT increased, AST increased, and blood bilirubin increased. The median time to onset to the first event was 3 days from the start of </w:t>
      </w:r>
      <w:proofErr w:type="spellStart"/>
      <w:r w:rsidRPr="00EB0BA1">
        <w:t>Blincyto</w:t>
      </w:r>
      <w:proofErr w:type="spellEnd"/>
      <w:r w:rsidRPr="00EB0BA1">
        <w:t xml:space="preserve"> treatment initiation and did not require interruption or discontinuation of </w:t>
      </w:r>
      <w:proofErr w:type="spellStart"/>
      <w:r w:rsidRPr="00EB0BA1">
        <w:t>Blincyto</w:t>
      </w:r>
      <w:proofErr w:type="spellEnd"/>
      <w:r w:rsidRPr="00EB0BA1">
        <w:t xml:space="preserve">. The duration of hepatic adverse reactions has generally been brief and with rapid resolution, often when continuing uninterrupted </w:t>
      </w:r>
      <w:r w:rsidRPr="00EB0BA1">
        <w:lastRenderedPageBreak/>
        <w:t xml:space="preserve">treatment with </w:t>
      </w:r>
      <w:proofErr w:type="spellStart"/>
      <w:r w:rsidRPr="00EB0BA1">
        <w:t>Blincyto</w:t>
      </w:r>
      <w:proofErr w:type="spellEnd"/>
      <w:r w:rsidRPr="00EB0BA1">
        <w:t xml:space="preserve">. For clinical management of elevated liver enzymes, see </w:t>
      </w:r>
      <w:r w:rsidR="00D40EBD">
        <w:t>PRECAUTIONS, Elevated Liver Enzymes.</w:t>
      </w:r>
    </w:p>
    <w:p w:rsidR="00EB0BA1" w:rsidRPr="00254FE2" w:rsidRDefault="00EB0BA1" w:rsidP="00254FE2">
      <w:pPr>
        <w:pStyle w:val="Heading3"/>
        <w:rPr>
          <w:u w:val="none"/>
        </w:rPr>
      </w:pPr>
      <w:proofErr w:type="spellStart"/>
      <w:r w:rsidRPr="00254FE2">
        <w:rPr>
          <w:u w:val="none"/>
        </w:rPr>
        <w:t>Paediatric</w:t>
      </w:r>
      <w:proofErr w:type="spellEnd"/>
      <w:r w:rsidRPr="00254FE2">
        <w:rPr>
          <w:u w:val="none"/>
        </w:rPr>
        <w:t xml:space="preserve"> population</w:t>
      </w:r>
    </w:p>
    <w:p w:rsidR="00EB0BA1" w:rsidRDefault="00EB0BA1" w:rsidP="00386DB8">
      <w:pPr>
        <w:pStyle w:val="Text"/>
      </w:pPr>
      <w:r w:rsidRPr="005C64FC">
        <w:t xml:space="preserve">Forty-one </w:t>
      </w:r>
      <w:proofErr w:type="spellStart"/>
      <w:r w:rsidRPr="005C64FC">
        <w:t>paediatric</w:t>
      </w:r>
      <w:proofErr w:type="spellEnd"/>
      <w:r w:rsidRPr="005C64FC">
        <w:t xml:space="preserve"> </w:t>
      </w:r>
      <w:r w:rsidR="00A64F9F">
        <w:t>patients</w:t>
      </w:r>
      <w:r w:rsidRPr="005C64FC">
        <w:t xml:space="preserve"> (35 </w:t>
      </w:r>
      <w:r w:rsidR="00A64F9F">
        <w:t>patients</w:t>
      </w:r>
      <w:r w:rsidRPr="005C64FC">
        <w:t xml:space="preserve"> aged between 2 and 11 years old and 6 </w:t>
      </w:r>
      <w:r w:rsidR="00A64F9F">
        <w:t>patients</w:t>
      </w:r>
      <w:r w:rsidRPr="005C64FC">
        <w:t xml:space="preserve"> aged between 12 and 17 years old) with relapsed or refractory ALL have received </w:t>
      </w:r>
      <w:proofErr w:type="spellStart"/>
      <w:r w:rsidRPr="005C64FC">
        <w:t>Blincyto</w:t>
      </w:r>
      <w:proofErr w:type="spellEnd"/>
      <w:r w:rsidRPr="005C64FC">
        <w:t xml:space="preserve"> in a dose escalation/evaluation study. The safety results in this study were consistent with the safety profile of </w:t>
      </w:r>
      <w:proofErr w:type="spellStart"/>
      <w:r w:rsidRPr="005C64FC">
        <w:t>Blincyto</w:t>
      </w:r>
      <w:proofErr w:type="spellEnd"/>
      <w:r w:rsidRPr="005C64FC">
        <w:t xml:space="preserve"> in adult relapsed or refractory ALL studies.</w:t>
      </w:r>
    </w:p>
    <w:p w:rsidR="005F5D02" w:rsidRPr="00254FE2" w:rsidRDefault="005F5D02" w:rsidP="00254FE2">
      <w:pPr>
        <w:pStyle w:val="Heading3"/>
        <w:rPr>
          <w:u w:val="none"/>
          <w:lang w:val="en-AU" w:eastAsia="en-AU"/>
        </w:rPr>
      </w:pPr>
      <w:r w:rsidRPr="00254FE2">
        <w:rPr>
          <w:u w:val="none"/>
          <w:lang w:val="en-AU" w:eastAsia="en-AU"/>
        </w:rPr>
        <w:t>Post-marketing experience</w:t>
      </w:r>
    </w:p>
    <w:p w:rsidR="005F5D02" w:rsidRPr="005F5D02" w:rsidRDefault="005F5D02" w:rsidP="00386DB8">
      <w:pPr>
        <w:pStyle w:val="Text"/>
        <w:rPr>
          <w:lang w:val="en-AU" w:eastAsia="en-AU"/>
        </w:rPr>
      </w:pPr>
      <w:r w:rsidRPr="005F5D02">
        <w:rPr>
          <w:lang w:val="en-AU" w:eastAsia="en-AU"/>
        </w:rPr>
        <w:t>Not applicable at this time.</w:t>
      </w:r>
    </w:p>
    <w:p w:rsidR="00767C0A" w:rsidRPr="00565164" w:rsidRDefault="00767C0A" w:rsidP="00071D5D">
      <w:pPr>
        <w:pStyle w:val="Heading2"/>
      </w:pPr>
      <w:r w:rsidRPr="00565164">
        <w:t>DOSAGE AND ADMINISTRATION</w:t>
      </w:r>
    </w:p>
    <w:p w:rsidR="001605E0" w:rsidRPr="00386DB8" w:rsidRDefault="001605E0" w:rsidP="00071D5D">
      <w:pPr>
        <w:pStyle w:val="Heading3"/>
        <w:rPr>
          <w:lang w:val="en-AU"/>
        </w:rPr>
      </w:pPr>
      <w:r w:rsidRPr="00386DB8">
        <w:rPr>
          <w:lang w:val="en-AU"/>
        </w:rPr>
        <w:t>Dosage</w:t>
      </w:r>
    </w:p>
    <w:p w:rsidR="003D1338" w:rsidRDefault="00FD0BE3" w:rsidP="001500F7">
      <w:pPr>
        <w:pStyle w:val="Text"/>
        <w:rPr>
          <w:lang w:val="en-AU" w:eastAsia="en-AU"/>
        </w:rPr>
      </w:pPr>
      <w:proofErr w:type="spellStart"/>
      <w:r>
        <w:rPr>
          <w:lang w:val="en-AU" w:eastAsia="en-AU"/>
        </w:rPr>
        <w:t>Blincyto</w:t>
      </w:r>
      <w:proofErr w:type="spellEnd"/>
      <w:r w:rsidR="003D1338" w:rsidRPr="00565164">
        <w:rPr>
          <w:lang w:val="en-AU" w:eastAsia="en-AU"/>
        </w:rPr>
        <w:t xml:space="preserve"> is administered as a continuous intravenous infusion delivered at a constant flow rate using an infusion pump. A single cycle of treatment is 4 weeks of continuous infusion. Each cycle of treatment is separated by a 2-week treatment-free interval. Patients may receive 2 cycles of induction treatment followed by 3 additional cycles of </w:t>
      </w:r>
      <w:proofErr w:type="spellStart"/>
      <w:r>
        <w:rPr>
          <w:lang w:val="en-AU" w:eastAsia="en-AU"/>
        </w:rPr>
        <w:t>Blincyto</w:t>
      </w:r>
      <w:proofErr w:type="spellEnd"/>
      <w:r w:rsidR="003D1338" w:rsidRPr="00565164">
        <w:rPr>
          <w:lang w:val="en-AU" w:eastAsia="en-AU"/>
        </w:rPr>
        <w:t xml:space="preserve"> consolidation treatment.</w:t>
      </w:r>
    </w:p>
    <w:p w:rsidR="003D1338" w:rsidRPr="00565164" w:rsidRDefault="003307DC" w:rsidP="001500F7">
      <w:pPr>
        <w:pStyle w:val="Text"/>
        <w:rPr>
          <w:lang w:val="en-AU" w:eastAsia="en-AU"/>
        </w:rPr>
      </w:pPr>
      <w:r>
        <w:rPr>
          <w:lang w:val="en-AU" w:eastAsia="en-AU"/>
        </w:rPr>
        <w:t xml:space="preserve">Use of </w:t>
      </w:r>
      <w:proofErr w:type="spellStart"/>
      <w:r w:rsidR="00BF5AED">
        <w:rPr>
          <w:lang w:val="en-AU" w:eastAsia="en-AU"/>
        </w:rPr>
        <w:t>Blincyto</w:t>
      </w:r>
      <w:proofErr w:type="spellEnd"/>
      <w:r w:rsidR="00BF5AED">
        <w:rPr>
          <w:lang w:val="en-AU" w:eastAsia="en-AU"/>
        </w:rPr>
        <w:t xml:space="preserve"> should be </w:t>
      </w:r>
      <w:r>
        <w:rPr>
          <w:lang w:val="en-AU" w:eastAsia="en-AU"/>
        </w:rPr>
        <w:t>restricted to</w:t>
      </w:r>
      <w:r w:rsidR="00E8114C">
        <w:rPr>
          <w:lang w:val="en-AU" w:eastAsia="en-AU"/>
        </w:rPr>
        <w:t xml:space="preserve"> physicians experienced in the treatment of adult haematological malignancies.</w:t>
      </w:r>
    </w:p>
    <w:p w:rsidR="003D1338" w:rsidRPr="003951D0" w:rsidRDefault="003D1338" w:rsidP="003951D0">
      <w:pPr>
        <w:pStyle w:val="Heading4"/>
        <w:rPr>
          <w:b/>
          <w:lang w:val="en-AU" w:eastAsia="en-AU"/>
        </w:rPr>
      </w:pPr>
      <w:r w:rsidRPr="003951D0">
        <w:rPr>
          <w:b/>
          <w:lang w:val="en-AU" w:eastAsia="en-AU"/>
        </w:rPr>
        <w:t>Starting Dose</w:t>
      </w:r>
    </w:p>
    <w:p w:rsidR="003D1338" w:rsidRPr="00565164" w:rsidRDefault="003D1338" w:rsidP="001500F7">
      <w:pPr>
        <w:pStyle w:val="Text"/>
        <w:rPr>
          <w:lang w:val="en-AU" w:eastAsia="en-AU"/>
        </w:rPr>
      </w:pPr>
      <w:r w:rsidRPr="00565164">
        <w:rPr>
          <w:lang w:val="en-AU" w:eastAsia="en-AU"/>
        </w:rPr>
        <w:t xml:space="preserve">The recommended initial dose of </w:t>
      </w:r>
      <w:proofErr w:type="spellStart"/>
      <w:r w:rsidR="00FD0BE3">
        <w:rPr>
          <w:lang w:val="en-AU" w:eastAsia="en-AU"/>
        </w:rPr>
        <w:t>Blincyto</w:t>
      </w:r>
      <w:proofErr w:type="spellEnd"/>
      <w:r w:rsidRPr="00565164">
        <w:rPr>
          <w:lang w:val="en-AU" w:eastAsia="en-AU"/>
        </w:rPr>
        <w:t xml:space="preserve"> in the first cycle is 9 </w:t>
      </w:r>
      <w:r w:rsidR="002E0BB1">
        <w:rPr>
          <w:lang w:val="en-AU" w:eastAsia="en-AU"/>
        </w:rPr>
        <w:t>micrograms</w:t>
      </w:r>
      <w:r w:rsidRPr="00565164">
        <w:rPr>
          <w:lang w:val="en-AU" w:eastAsia="en-AU"/>
        </w:rPr>
        <w:t>/day for week 1 (first 7 days) of treatment.</w:t>
      </w:r>
    </w:p>
    <w:p w:rsidR="003D1338" w:rsidRPr="003951D0" w:rsidRDefault="003D1338" w:rsidP="003951D0">
      <w:pPr>
        <w:pStyle w:val="Heading4"/>
        <w:rPr>
          <w:b/>
          <w:lang w:val="en-AU" w:eastAsia="en-AU"/>
        </w:rPr>
      </w:pPr>
      <w:r w:rsidRPr="003951D0">
        <w:rPr>
          <w:b/>
          <w:lang w:val="en-AU" w:eastAsia="en-AU"/>
        </w:rPr>
        <w:t>Subsequent Dose</w:t>
      </w:r>
    </w:p>
    <w:p w:rsidR="003D1338" w:rsidRPr="00565164" w:rsidRDefault="003D1338" w:rsidP="001500F7">
      <w:pPr>
        <w:pStyle w:val="Text"/>
        <w:rPr>
          <w:lang w:val="en-AU" w:eastAsia="en-AU"/>
        </w:rPr>
      </w:pPr>
      <w:r w:rsidRPr="00565164">
        <w:rPr>
          <w:lang w:val="en-AU" w:eastAsia="en-AU"/>
        </w:rPr>
        <w:t xml:space="preserve">Increase the dose to 28 </w:t>
      </w:r>
      <w:r w:rsidR="002E0BB1">
        <w:rPr>
          <w:lang w:val="en-AU" w:eastAsia="en-AU"/>
        </w:rPr>
        <w:t>micrograms</w:t>
      </w:r>
      <w:r w:rsidRPr="00565164">
        <w:rPr>
          <w:lang w:val="en-AU" w:eastAsia="en-AU"/>
        </w:rPr>
        <w:t xml:space="preserve">/day starting at week 2 through week 4 of the first cycle. All subsequent cycles should be dosed at 28 </w:t>
      </w:r>
      <w:r w:rsidR="002E0BB1">
        <w:rPr>
          <w:lang w:val="en-AU" w:eastAsia="en-AU"/>
        </w:rPr>
        <w:t>micrograms</w:t>
      </w:r>
      <w:r w:rsidRPr="00565164">
        <w:rPr>
          <w:lang w:val="en-AU" w:eastAsia="en-AU"/>
        </w:rPr>
        <w:t>/day throughout the entire 4-week treatment period.</w:t>
      </w:r>
    </w:p>
    <w:p w:rsidR="003D1338" w:rsidRDefault="003D1338" w:rsidP="001500F7">
      <w:pPr>
        <w:pStyle w:val="Text"/>
        <w:rPr>
          <w:lang w:val="en-AU" w:eastAsia="en-AU"/>
        </w:rPr>
      </w:pPr>
      <w:r w:rsidRPr="00565164">
        <w:rPr>
          <w:lang w:val="en-AU" w:eastAsia="en-AU"/>
        </w:rPr>
        <w:t xml:space="preserve">Hospitalisation is recommended at a minimum for the first 9 days of the first cycle and the first 2 days of the second cycle. For all subsequent cycle starts and </w:t>
      </w:r>
      <w:proofErr w:type="spellStart"/>
      <w:r w:rsidRPr="00565164">
        <w:rPr>
          <w:lang w:val="en-AU" w:eastAsia="en-AU"/>
        </w:rPr>
        <w:t>reinitiation</w:t>
      </w:r>
      <w:proofErr w:type="spellEnd"/>
      <w:r w:rsidRPr="00565164">
        <w:rPr>
          <w:lang w:val="en-AU" w:eastAsia="en-AU"/>
        </w:rPr>
        <w:t xml:space="preserve"> (</w:t>
      </w:r>
      <w:proofErr w:type="spellStart"/>
      <w:r w:rsidRPr="00565164">
        <w:rPr>
          <w:lang w:val="en-AU" w:eastAsia="en-AU"/>
        </w:rPr>
        <w:t>eg</w:t>
      </w:r>
      <w:proofErr w:type="spellEnd"/>
      <w:r w:rsidRPr="00565164">
        <w:rPr>
          <w:lang w:val="en-AU" w:eastAsia="en-AU"/>
        </w:rPr>
        <w:t>, if treatment is interrupted for 4 or more hours), supervision by a healthcare professional or hospitali</w:t>
      </w:r>
      <w:r w:rsidR="007B3CD0">
        <w:rPr>
          <w:lang w:val="en-AU" w:eastAsia="en-AU"/>
        </w:rPr>
        <w:t>s</w:t>
      </w:r>
      <w:r w:rsidRPr="00565164">
        <w:rPr>
          <w:lang w:val="en-AU" w:eastAsia="en-AU"/>
        </w:rPr>
        <w:t>ation is recommended.</w:t>
      </w:r>
    </w:p>
    <w:p w:rsidR="005B02B5" w:rsidRPr="003951D0" w:rsidRDefault="005B02B5" w:rsidP="003951D0">
      <w:pPr>
        <w:pStyle w:val="Heading4"/>
        <w:rPr>
          <w:b/>
          <w:lang w:val="en-AU" w:eastAsia="en-AU"/>
        </w:rPr>
      </w:pPr>
      <w:r w:rsidRPr="003951D0">
        <w:rPr>
          <w:b/>
          <w:lang w:val="en-AU" w:eastAsia="en-AU"/>
        </w:rPr>
        <w:t>Special Populations</w:t>
      </w:r>
    </w:p>
    <w:p w:rsidR="005F5D02" w:rsidRPr="00E809CE" w:rsidRDefault="005F5D02" w:rsidP="003951D0">
      <w:pPr>
        <w:pStyle w:val="Heading5"/>
      </w:pPr>
      <w:r w:rsidRPr="00E809CE">
        <w:t>Use in Elderly</w:t>
      </w:r>
    </w:p>
    <w:p w:rsidR="005F5D02" w:rsidRPr="00F2177A" w:rsidRDefault="005F5D02" w:rsidP="001500F7">
      <w:pPr>
        <w:pStyle w:val="Text"/>
        <w:rPr>
          <w:lang w:val="en-AU"/>
        </w:rPr>
      </w:pPr>
      <w:r w:rsidRPr="004F6CE3">
        <w:rPr>
          <w:lang w:val="en-AU"/>
        </w:rPr>
        <w:t>No dose adjustment is necessary in elderly patients (≥ 65 years of age).</w:t>
      </w:r>
    </w:p>
    <w:p w:rsidR="005F5D02" w:rsidRPr="00E809CE" w:rsidRDefault="005F5D02" w:rsidP="003951D0">
      <w:pPr>
        <w:pStyle w:val="Heading5"/>
      </w:pPr>
      <w:r w:rsidRPr="00E809CE">
        <w:t xml:space="preserve">Use in </w:t>
      </w:r>
      <w:proofErr w:type="spellStart"/>
      <w:r w:rsidRPr="00E809CE">
        <w:t>Paediatrics</w:t>
      </w:r>
      <w:proofErr w:type="spellEnd"/>
    </w:p>
    <w:p w:rsidR="00E36CA6" w:rsidRDefault="005F5D02" w:rsidP="001500F7">
      <w:pPr>
        <w:pStyle w:val="Text"/>
        <w:rPr>
          <w:lang w:val="en-AU" w:eastAsia="en-AU"/>
        </w:rPr>
      </w:pPr>
      <w:r w:rsidRPr="001605E0">
        <w:rPr>
          <w:lang w:val="en-AU" w:eastAsia="en-AU"/>
        </w:rPr>
        <w:t xml:space="preserve">The safety and efficacy of </w:t>
      </w:r>
      <w:proofErr w:type="spellStart"/>
      <w:r w:rsidRPr="001605E0">
        <w:rPr>
          <w:lang w:val="en-AU" w:eastAsia="en-AU"/>
        </w:rPr>
        <w:t>Blincyto</w:t>
      </w:r>
      <w:proofErr w:type="spellEnd"/>
      <w:r w:rsidRPr="001605E0">
        <w:rPr>
          <w:lang w:val="en-AU" w:eastAsia="en-AU"/>
        </w:rPr>
        <w:t xml:space="preserve"> has not yet been established in paediatric patients.</w:t>
      </w:r>
    </w:p>
    <w:p w:rsidR="007C791D" w:rsidRPr="00E809CE" w:rsidRDefault="007C791D" w:rsidP="003951D0">
      <w:pPr>
        <w:pStyle w:val="Heading5"/>
      </w:pPr>
      <w:r w:rsidRPr="00E809CE">
        <w:t>Renal impairment</w:t>
      </w:r>
    </w:p>
    <w:p w:rsidR="007C791D" w:rsidRPr="007C791D" w:rsidRDefault="007C791D" w:rsidP="001500F7">
      <w:pPr>
        <w:pStyle w:val="Text"/>
        <w:rPr>
          <w:lang w:val="en-GB"/>
        </w:rPr>
      </w:pPr>
      <w:r w:rsidRPr="007C791D">
        <w:rPr>
          <w:lang w:val="en-GB"/>
        </w:rPr>
        <w:t xml:space="preserve">No formal pharmacokinetic studies using </w:t>
      </w:r>
      <w:proofErr w:type="spellStart"/>
      <w:r w:rsidRPr="007C791D">
        <w:rPr>
          <w:lang w:val="en-GB"/>
        </w:rPr>
        <w:t>Blincyto</w:t>
      </w:r>
      <w:proofErr w:type="spellEnd"/>
      <w:r w:rsidRPr="007C791D">
        <w:rPr>
          <w:lang w:val="en-GB"/>
        </w:rPr>
        <w:t xml:space="preserve"> have been conducted in patients with renal impairment.  Based on pharmacokinetic analyses, dose adjustment is not necessary in patients with mild to moderate renal dysfunction (see </w:t>
      </w:r>
      <w:r w:rsidR="00E96583">
        <w:rPr>
          <w:lang w:val="en-GB"/>
        </w:rPr>
        <w:t>PHARMACOLOGY, Pharmacokinetics</w:t>
      </w:r>
      <w:r w:rsidRPr="007C791D">
        <w:rPr>
          <w:lang w:val="en-GB"/>
        </w:rPr>
        <w:t>).</w:t>
      </w:r>
    </w:p>
    <w:p w:rsidR="007C791D" w:rsidRPr="00E809CE" w:rsidRDefault="007C791D" w:rsidP="003951D0">
      <w:pPr>
        <w:pStyle w:val="Heading5"/>
      </w:pPr>
      <w:r w:rsidRPr="00E809CE">
        <w:t>Hepatic impairment</w:t>
      </w:r>
    </w:p>
    <w:p w:rsidR="007C791D" w:rsidRPr="007C791D" w:rsidRDefault="007C791D" w:rsidP="001500F7">
      <w:pPr>
        <w:pStyle w:val="Text"/>
        <w:rPr>
          <w:u w:val="single"/>
          <w:lang w:val="en-GB"/>
        </w:rPr>
      </w:pPr>
      <w:r w:rsidRPr="007C791D">
        <w:rPr>
          <w:lang w:val="en-GB"/>
        </w:rPr>
        <w:t xml:space="preserve">No formal pharmacokinetic studies using </w:t>
      </w:r>
      <w:proofErr w:type="spellStart"/>
      <w:r w:rsidRPr="007C791D">
        <w:rPr>
          <w:lang w:val="en-GB"/>
        </w:rPr>
        <w:t>Blincyto</w:t>
      </w:r>
      <w:proofErr w:type="spellEnd"/>
      <w:r w:rsidRPr="007C791D">
        <w:rPr>
          <w:lang w:val="en-GB"/>
        </w:rPr>
        <w:t xml:space="preserve"> have been conducted in patients with hepatic impairment. Since </w:t>
      </w:r>
      <w:proofErr w:type="spellStart"/>
      <w:r w:rsidRPr="007C791D">
        <w:rPr>
          <w:lang w:val="en-GB"/>
        </w:rPr>
        <w:t>Blincyto</w:t>
      </w:r>
      <w:proofErr w:type="spellEnd"/>
      <w:r w:rsidRPr="007C791D">
        <w:rPr>
          <w:lang w:val="en-GB"/>
        </w:rPr>
        <w:t xml:space="preserve"> is a protein and not metabolised via the hepatic </w:t>
      </w:r>
      <w:r w:rsidRPr="007C791D">
        <w:rPr>
          <w:lang w:val="en-GB"/>
        </w:rPr>
        <w:lastRenderedPageBreak/>
        <w:t xml:space="preserve">pathway, the effect of liver dysfunction on drug exposure is not expected and dose adjustment is not necessary </w:t>
      </w:r>
      <w:r w:rsidR="00E96583" w:rsidRPr="007C791D">
        <w:rPr>
          <w:lang w:val="en-GB"/>
        </w:rPr>
        <w:t xml:space="preserve">(see </w:t>
      </w:r>
      <w:r w:rsidR="00E96583">
        <w:rPr>
          <w:lang w:val="en-GB"/>
        </w:rPr>
        <w:t>PHARMACOLOGY, Pharmacokinetics</w:t>
      </w:r>
      <w:r w:rsidR="00E96583" w:rsidRPr="007C791D">
        <w:rPr>
          <w:lang w:val="en-GB"/>
        </w:rPr>
        <w:t>).</w:t>
      </w:r>
    </w:p>
    <w:p w:rsidR="003D1338" w:rsidRPr="001500F7" w:rsidRDefault="003D1338" w:rsidP="003951D0">
      <w:pPr>
        <w:pStyle w:val="Heading3"/>
        <w:rPr>
          <w:lang w:val="en-AU"/>
        </w:rPr>
      </w:pPr>
      <w:r w:rsidRPr="001500F7">
        <w:rPr>
          <w:lang w:val="en-AU"/>
        </w:rPr>
        <w:t>Premedication and Additional Medication Recommendations</w:t>
      </w:r>
    </w:p>
    <w:p w:rsidR="003D1338" w:rsidRPr="00565164" w:rsidRDefault="003D1338" w:rsidP="001500F7">
      <w:pPr>
        <w:pStyle w:val="Text"/>
        <w:rPr>
          <w:lang w:val="en-AU" w:eastAsia="en-AU"/>
        </w:rPr>
      </w:pPr>
      <w:proofErr w:type="spellStart"/>
      <w:r w:rsidRPr="00565164">
        <w:rPr>
          <w:lang w:val="en-AU" w:eastAsia="en-AU"/>
        </w:rPr>
        <w:t>Premedicate</w:t>
      </w:r>
      <w:proofErr w:type="spellEnd"/>
      <w:r w:rsidRPr="00565164">
        <w:rPr>
          <w:lang w:val="en-AU" w:eastAsia="en-AU"/>
        </w:rPr>
        <w:t xml:space="preserve"> with 20 mg intravenous dexamethasone 1 hour prior to initiation of each cycle of </w:t>
      </w:r>
      <w:proofErr w:type="spellStart"/>
      <w:r w:rsidR="00FD0BE3">
        <w:rPr>
          <w:lang w:val="en-AU" w:eastAsia="en-AU"/>
        </w:rPr>
        <w:t>Blincyto</w:t>
      </w:r>
      <w:proofErr w:type="spellEnd"/>
      <w:r w:rsidRPr="00565164">
        <w:rPr>
          <w:lang w:val="en-AU" w:eastAsia="en-AU"/>
        </w:rPr>
        <w:t xml:space="preserve"> therapy.</w:t>
      </w:r>
    </w:p>
    <w:p w:rsidR="003D1338" w:rsidRPr="00565164" w:rsidRDefault="003D1338" w:rsidP="001500F7">
      <w:pPr>
        <w:pStyle w:val="Text"/>
        <w:rPr>
          <w:lang w:val="en-AU" w:eastAsia="en-AU"/>
        </w:rPr>
      </w:pPr>
      <w:r w:rsidRPr="00565164">
        <w:rPr>
          <w:lang w:val="en-AU" w:eastAsia="en-AU"/>
        </w:rPr>
        <w:t xml:space="preserve">Intrathecal chemotherapy prophylaxis is recommended before and during </w:t>
      </w:r>
      <w:proofErr w:type="spellStart"/>
      <w:r w:rsidR="00FD0BE3">
        <w:rPr>
          <w:lang w:val="en-AU" w:eastAsia="en-AU"/>
        </w:rPr>
        <w:t>Blincyto</w:t>
      </w:r>
      <w:proofErr w:type="spellEnd"/>
      <w:r w:rsidRPr="00565164">
        <w:rPr>
          <w:lang w:val="en-AU" w:eastAsia="en-AU"/>
        </w:rPr>
        <w:t xml:space="preserve"> therapy to prevent central nervous system ALL relapse.</w:t>
      </w:r>
    </w:p>
    <w:p w:rsidR="00843C73" w:rsidRPr="001500F7" w:rsidRDefault="00843C73" w:rsidP="003951D0">
      <w:pPr>
        <w:pStyle w:val="Heading3"/>
        <w:rPr>
          <w:lang w:val="en-AU"/>
        </w:rPr>
      </w:pPr>
      <w:r w:rsidRPr="001500F7">
        <w:rPr>
          <w:lang w:val="en-AU"/>
        </w:rPr>
        <w:t>Pre-phase Treatment for Patients with High Tumour Burden</w:t>
      </w:r>
    </w:p>
    <w:p w:rsidR="00843C73" w:rsidRPr="00565164" w:rsidRDefault="00843C73" w:rsidP="001500F7">
      <w:pPr>
        <w:pStyle w:val="Text"/>
        <w:rPr>
          <w:lang w:val="en-AU"/>
        </w:rPr>
      </w:pPr>
      <w:r w:rsidRPr="00565164">
        <w:rPr>
          <w:lang w:val="en-AU" w:eastAsia="en-AU"/>
        </w:rPr>
        <w:t xml:space="preserve">For patients with ≥ 50% </w:t>
      </w:r>
      <w:proofErr w:type="spellStart"/>
      <w:r w:rsidRPr="00565164">
        <w:rPr>
          <w:lang w:val="en-AU" w:eastAsia="en-AU"/>
        </w:rPr>
        <w:t>leukaemic</w:t>
      </w:r>
      <w:proofErr w:type="spellEnd"/>
      <w:r w:rsidRPr="00565164">
        <w:rPr>
          <w:lang w:val="en-AU" w:eastAsia="en-AU"/>
        </w:rPr>
        <w:t xml:space="preserve"> blasts or &gt; 15,000/</w:t>
      </w:r>
      <w:r w:rsidR="003D3FB0">
        <w:rPr>
          <w:lang w:val="en-AU" w:eastAsia="en-AU"/>
        </w:rPr>
        <w:t xml:space="preserve">µL </w:t>
      </w:r>
      <w:r w:rsidRPr="00565164">
        <w:rPr>
          <w:lang w:val="en-AU" w:eastAsia="en-AU"/>
        </w:rPr>
        <w:t xml:space="preserve">peripheral blood </w:t>
      </w:r>
      <w:proofErr w:type="spellStart"/>
      <w:r w:rsidRPr="00565164">
        <w:rPr>
          <w:lang w:val="en-AU" w:eastAsia="en-AU"/>
        </w:rPr>
        <w:t>leukaemic</w:t>
      </w:r>
      <w:proofErr w:type="spellEnd"/>
      <w:r w:rsidRPr="00565164">
        <w:rPr>
          <w:lang w:val="en-AU" w:eastAsia="en-AU"/>
        </w:rPr>
        <w:t xml:space="preserve"> </w:t>
      </w:r>
      <w:r w:rsidRPr="00565164">
        <w:rPr>
          <w:lang w:val="en-AU"/>
        </w:rPr>
        <w:t>blast counts treat with dexamethasone (not to exceed 24 mg/day).</w:t>
      </w:r>
    </w:p>
    <w:p w:rsidR="003D1338" w:rsidRPr="001500F7" w:rsidRDefault="00843C73" w:rsidP="003951D0">
      <w:pPr>
        <w:pStyle w:val="Heading3"/>
        <w:rPr>
          <w:lang w:val="en-AU"/>
        </w:rPr>
      </w:pPr>
      <w:r w:rsidRPr="001500F7">
        <w:rPr>
          <w:lang w:val="en-AU"/>
        </w:rPr>
        <w:t>Dosage Adjustments</w:t>
      </w:r>
    </w:p>
    <w:p w:rsidR="00843C73" w:rsidRPr="00565164" w:rsidRDefault="00843C73" w:rsidP="001500F7">
      <w:pPr>
        <w:pStyle w:val="Text"/>
        <w:rPr>
          <w:lang w:val="en-AU" w:eastAsia="en-AU"/>
        </w:rPr>
      </w:pPr>
      <w:r w:rsidRPr="001605E0">
        <w:rPr>
          <w:b/>
          <w:bCs/>
          <w:lang w:val="en-AU" w:eastAsia="en-AU"/>
        </w:rPr>
        <w:t>Withhold dose</w:t>
      </w:r>
      <w:r w:rsidRPr="00565164">
        <w:rPr>
          <w:b/>
          <w:bCs/>
          <w:lang w:val="en-AU" w:eastAsia="en-AU"/>
        </w:rPr>
        <w:t xml:space="preserve"> </w:t>
      </w:r>
      <w:r w:rsidRPr="00565164">
        <w:rPr>
          <w:lang w:val="en-AU" w:eastAsia="en-AU"/>
        </w:rPr>
        <w:t>if the following occur:</w:t>
      </w:r>
    </w:p>
    <w:p w:rsidR="00843C73" w:rsidRPr="00565164" w:rsidRDefault="00843C73" w:rsidP="001500F7">
      <w:pPr>
        <w:pStyle w:val="TextBullet"/>
        <w:rPr>
          <w:lang w:val="en-AU" w:eastAsia="en-AU"/>
        </w:rPr>
      </w:pPr>
      <w:r w:rsidRPr="00565164">
        <w:rPr>
          <w:lang w:val="en-AU" w:eastAsia="en-AU"/>
        </w:rPr>
        <w:t xml:space="preserve">Grade 3* (severe) neurologic events at 28 </w:t>
      </w:r>
      <w:r w:rsidR="00601BD4">
        <w:rPr>
          <w:lang w:val="en-AU" w:eastAsia="en-AU"/>
        </w:rPr>
        <w:t>micrograms</w:t>
      </w:r>
      <w:r w:rsidRPr="00565164">
        <w:rPr>
          <w:lang w:val="en-AU" w:eastAsia="en-AU"/>
        </w:rPr>
        <w:t>/day dose</w:t>
      </w:r>
    </w:p>
    <w:p w:rsidR="00843C73" w:rsidRDefault="00843C73" w:rsidP="001500F7">
      <w:pPr>
        <w:pStyle w:val="TextBullet"/>
        <w:rPr>
          <w:lang w:val="en-AU" w:eastAsia="en-AU"/>
        </w:rPr>
      </w:pPr>
      <w:r w:rsidRPr="00565164">
        <w:rPr>
          <w:lang w:val="en-AU" w:eastAsia="en-AU"/>
        </w:rPr>
        <w:t>Grade 4* (life-threatening) non-neurologic events</w:t>
      </w:r>
    </w:p>
    <w:p w:rsidR="00843C73" w:rsidRPr="00565164" w:rsidRDefault="00843C73" w:rsidP="001500F7">
      <w:pPr>
        <w:pStyle w:val="Text"/>
        <w:rPr>
          <w:b/>
          <w:bCs/>
          <w:lang w:val="en-AU" w:eastAsia="en-AU"/>
        </w:rPr>
      </w:pPr>
      <w:r w:rsidRPr="00565164">
        <w:rPr>
          <w:u w:val="single"/>
          <w:lang w:val="en-AU" w:eastAsia="en-AU"/>
        </w:rPr>
        <w:t>Grade 3* (severe) Neurologic Events:</w:t>
      </w:r>
      <w:r w:rsidRPr="00565164">
        <w:rPr>
          <w:lang w:val="en-AU" w:eastAsia="en-AU"/>
        </w:rPr>
        <w:t xml:space="preserve"> Upon improvement to Grade 1* (mild) or return to baseline, reinitiate treatment at 9 </w:t>
      </w:r>
      <w:r w:rsidR="00601BD4">
        <w:rPr>
          <w:lang w:val="en-AU" w:eastAsia="en-AU"/>
        </w:rPr>
        <w:t>micrograms</w:t>
      </w:r>
      <w:r w:rsidRPr="00565164">
        <w:rPr>
          <w:lang w:val="en-AU" w:eastAsia="en-AU"/>
        </w:rPr>
        <w:t xml:space="preserve">/day under the supervision of a healthcare professional. The dose may </w:t>
      </w:r>
      <w:r w:rsidR="0030207C">
        <w:rPr>
          <w:lang w:val="en-AU" w:eastAsia="en-AU"/>
        </w:rPr>
        <w:t xml:space="preserve">subsequently </w:t>
      </w:r>
      <w:r w:rsidRPr="00565164">
        <w:rPr>
          <w:lang w:val="en-AU" w:eastAsia="en-AU"/>
        </w:rPr>
        <w:t xml:space="preserve">be increased to 28 </w:t>
      </w:r>
      <w:r w:rsidR="00601BD4">
        <w:rPr>
          <w:lang w:val="en-AU" w:eastAsia="en-AU"/>
        </w:rPr>
        <w:t>micrograms</w:t>
      </w:r>
      <w:r w:rsidRPr="00565164">
        <w:rPr>
          <w:lang w:val="en-AU" w:eastAsia="en-AU"/>
        </w:rPr>
        <w:t xml:space="preserve">/day. For </w:t>
      </w:r>
      <w:proofErr w:type="spellStart"/>
      <w:r w:rsidRPr="00565164">
        <w:rPr>
          <w:lang w:val="en-AU" w:eastAsia="en-AU"/>
        </w:rPr>
        <w:t>reinitiation</w:t>
      </w:r>
      <w:proofErr w:type="spellEnd"/>
      <w:r w:rsidRPr="00565164">
        <w:rPr>
          <w:lang w:val="en-AU" w:eastAsia="en-AU"/>
        </w:rPr>
        <w:t xml:space="preserve">, </w:t>
      </w:r>
      <w:proofErr w:type="spellStart"/>
      <w:r w:rsidRPr="00565164">
        <w:rPr>
          <w:lang w:val="en-AU" w:eastAsia="en-AU"/>
        </w:rPr>
        <w:t>premedicate</w:t>
      </w:r>
      <w:proofErr w:type="spellEnd"/>
      <w:r w:rsidRPr="00565164">
        <w:rPr>
          <w:lang w:val="en-AU" w:eastAsia="en-AU"/>
        </w:rPr>
        <w:t xml:space="preserve"> with 24 mg dexamethasone with a 4-day taper. As secondary prophylaxis, consider appropriate anticonvulsant medication.</w:t>
      </w:r>
    </w:p>
    <w:p w:rsidR="00843C73" w:rsidRPr="00565164" w:rsidRDefault="00843C73" w:rsidP="001500F7">
      <w:pPr>
        <w:pStyle w:val="Text"/>
        <w:rPr>
          <w:lang w:val="en-AU" w:eastAsia="en-AU"/>
        </w:rPr>
      </w:pPr>
      <w:r w:rsidRPr="00565164">
        <w:rPr>
          <w:u w:val="single"/>
          <w:lang w:val="en-AU" w:eastAsia="en-AU"/>
        </w:rPr>
        <w:t>Grade 4* (life-threatening) Non-neurologic Events:</w:t>
      </w:r>
      <w:r w:rsidRPr="00565164">
        <w:rPr>
          <w:lang w:val="en-AU" w:eastAsia="en-AU"/>
        </w:rPr>
        <w:t xml:space="preserve"> Upon improvement to Grade 1* (mild) or return to baseline, reinitiate treatment at 9 </w:t>
      </w:r>
      <w:r w:rsidR="00601BD4">
        <w:rPr>
          <w:lang w:val="en-AU" w:eastAsia="en-AU"/>
        </w:rPr>
        <w:t>micrograms</w:t>
      </w:r>
      <w:r w:rsidRPr="00565164">
        <w:rPr>
          <w:lang w:val="en-AU" w:eastAsia="en-AU"/>
        </w:rPr>
        <w:t xml:space="preserve">/day or 28 </w:t>
      </w:r>
      <w:r w:rsidR="00601BD4">
        <w:rPr>
          <w:lang w:val="en-AU" w:eastAsia="en-AU"/>
        </w:rPr>
        <w:t>micrograms</w:t>
      </w:r>
      <w:r w:rsidRPr="00565164">
        <w:rPr>
          <w:lang w:val="en-AU" w:eastAsia="en-AU"/>
        </w:rPr>
        <w:t xml:space="preserve">/day under the supervision of a healthcare professional. If reinitiated at 9 </w:t>
      </w:r>
      <w:r w:rsidR="002E0BB1">
        <w:rPr>
          <w:lang w:val="en-AU" w:eastAsia="en-AU"/>
        </w:rPr>
        <w:t>micrograms</w:t>
      </w:r>
      <w:r w:rsidRPr="00565164">
        <w:rPr>
          <w:lang w:val="en-AU" w:eastAsia="en-AU"/>
        </w:rPr>
        <w:t xml:space="preserve">/day, the dose may be increased to 28 </w:t>
      </w:r>
      <w:r w:rsidR="002E0BB1">
        <w:rPr>
          <w:lang w:val="en-AU" w:eastAsia="en-AU"/>
        </w:rPr>
        <w:t>micrograms</w:t>
      </w:r>
      <w:r w:rsidRPr="00565164">
        <w:rPr>
          <w:lang w:val="en-AU" w:eastAsia="en-AU"/>
        </w:rPr>
        <w:t xml:space="preserve">/day. If treatment interruption is less than 1 week, resume cycle to complete 4 weeks on </w:t>
      </w:r>
      <w:proofErr w:type="spellStart"/>
      <w:r w:rsidR="00FD0BE3">
        <w:rPr>
          <w:lang w:val="en-AU" w:eastAsia="en-AU"/>
        </w:rPr>
        <w:t>Blincyto</w:t>
      </w:r>
      <w:proofErr w:type="spellEnd"/>
      <w:r w:rsidRPr="00565164">
        <w:rPr>
          <w:lang w:val="en-AU" w:eastAsia="en-AU"/>
        </w:rPr>
        <w:t>. If treatment interruption is more than 1 week, start a new cycle</w:t>
      </w:r>
      <w:r w:rsidR="004F6CE3">
        <w:rPr>
          <w:lang w:val="en-AU" w:eastAsia="en-AU"/>
        </w:rPr>
        <w:t xml:space="preserve">. </w:t>
      </w:r>
      <w:r w:rsidR="00EF69E0">
        <w:rPr>
          <w:lang w:val="en-AU" w:eastAsia="en-AU"/>
        </w:rPr>
        <w:t>A</w:t>
      </w:r>
      <w:r w:rsidRPr="00565164">
        <w:rPr>
          <w:lang w:val="en-AU" w:eastAsia="en-AU"/>
        </w:rPr>
        <w:t xml:space="preserve"> benefit-risk assessment is recommended whether to reinitiate or permanently discontinue </w:t>
      </w:r>
      <w:proofErr w:type="spellStart"/>
      <w:r w:rsidR="00FD0BE3">
        <w:rPr>
          <w:lang w:val="en-AU" w:eastAsia="en-AU"/>
        </w:rPr>
        <w:t>Blincyto</w:t>
      </w:r>
      <w:proofErr w:type="spellEnd"/>
      <w:r w:rsidRPr="00565164">
        <w:rPr>
          <w:lang w:val="en-AU" w:eastAsia="en-AU"/>
        </w:rPr>
        <w:t xml:space="preserve"> treatment.</w:t>
      </w:r>
    </w:p>
    <w:p w:rsidR="00843C73" w:rsidRPr="00565164" w:rsidRDefault="00843C73" w:rsidP="001500F7">
      <w:pPr>
        <w:pStyle w:val="Text"/>
        <w:rPr>
          <w:lang w:val="en-AU" w:eastAsia="en-AU"/>
        </w:rPr>
      </w:pPr>
      <w:r w:rsidRPr="001500F7">
        <w:rPr>
          <w:b/>
          <w:lang w:val="en-AU" w:eastAsia="en-AU"/>
        </w:rPr>
        <w:t>Consider permanent discontinuation</w:t>
      </w:r>
      <w:r w:rsidRPr="00565164">
        <w:rPr>
          <w:lang w:val="en-AU" w:eastAsia="en-AU"/>
        </w:rPr>
        <w:t xml:space="preserve"> if the following occur:</w:t>
      </w:r>
    </w:p>
    <w:p w:rsidR="00843C73" w:rsidRPr="00565164" w:rsidRDefault="00843C73" w:rsidP="001500F7">
      <w:pPr>
        <w:pStyle w:val="TextBullet"/>
        <w:rPr>
          <w:lang w:val="en-AU" w:eastAsia="en-AU"/>
        </w:rPr>
      </w:pPr>
      <w:r w:rsidRPr="00565164">
        <w:rPr>
          <w:lang w:val="en-AU" w:eastAsia="en-AU"/>
        </w:rPr>
        <w:t>Grade 4* (life-threatening) neurologic event</w:t>
      </w:r>
    </w:p>
    <w:p w:rsidR="00843C73" w:rsidRPr="00565164" w:rsidRDefault="00B235A5" w:rsidP="001500F7">
      <w:pPr>
        <w:pStyle w:val="TextBullet"/>
        <w:rPr>
          <w:lang w:val="en-AU" w:eastAsia="en-AU"/>
        </w:rPr>
      </w:pPr>
      <w:r w:rsidRPr="00565164">
        <w:rPr>
          <w:lang w:val="en-AU" w:eastAsia="en-AU"/>
        </w:rPr>
        <w:t>Mo</w:t>
      </w:r>
      <w:r w:rsidR="00843C73" w:rsidRPr="00565164">
        <w:rPr>
          <w:lang w:val="en-AU" w:eastAsia="en-AU"/>
        </w:rPr>
        <w:t>re than one convulsion</w:t>
      </w:r>
    </w:p>
    <w:p w:rsidR="00843C73" w:rsidRPr="00565164" w:rsidRDefault="00843C73" w:rsidP="001500F7">
      <w:pPr>
        <w:pStyle w:val="TextBullet"/>
        <w:rPr>
          <w:lang w:val="en-AU" w:eastAsia="en-AU"/>
        </w:rPr>
      </w:pPr>
      <w:r w:rsidRPr="00565164">
        <w:rPr>
          <w:lang w:val="en-AU" w:eastAsia="en-AU"/>
        </w:rPr>
        <w:t>Neurologic event leading to treatment interruption that requires greater than a week to resolve or improve to Grade 1* (mild)</w:t>
      </w:r>
    </w:p>
    <w:p w:rsidR="00843C73" w:rsidRPr="00565164" w:rsidRDefault="00843C73" w:rsidP="001500F7">
      <w:pPr>
        <w:pStyle w:val="TextBullet"/>
        <w:rPr>
          <w:lang w:val="en-AU" w:eastAsia="en-AU"/>
        </w:rPr>
      </w:pPr>
      <w:r w:rsidRPr="00565164">
        <w:rPr>
          <w:lang w:val="en-AU" w:eastAsia="en-AU"/>
        </w:rPr>
        <w:t xml:space="preserve">Grade 3* (severe) neurologic event that occurs at 9 </w:t>
      </w:r>
      <w:r w:rsidR="002E0BB1">
        <w:rPr>
          <w:lang w:val="en-AU" w:eastAsia="en-AU"/>
        </w:rPr>
        <w:t>micrograms</w:t>
      </w:r>
      <w:r w:rsidRPr="00565164">
        <w:rPr>
          <w:lang w:val="en-AU" w:eastAsia="en-AU"/>
        </w:rPr>
        <w:t>/day dose leading to treatment interruption</w:t>
      </w:r>
    </w:p>
    <w:p w:rsidR="00843C73" w:rsidRPr="001500F7" w:rsidRDefault="00843C73" w:rsidP="001500F7">
      <w:pPr>
        <w:pStyle w:val="Text"/>
        <w:rPr>
          <w:b/>
          <w:bCs/>
          <w:i/>
          <w:lang w:val="en-AU" w:eastAsia="en-AU"/>
        </w:rPr>
      </w:pPr>
      <w:r w:rsidRPr="001500F7">
        <w:rPr>
          <w:i/>
          <w:lang w:val="en-AU" w:eastAsia="en-AU"/>
        </w:rPr>
        <w:t>*Grading based on NCI Common Terminology Criteria for Adverse Events (CTCAE) version 4.0</w:t>
      </w:r>
    </w:p>
    <w:p w:rsidR="00843C73" w:rsidRPr="001500F7" w:rsidRDefault="007F24E2" w:rsidP="003951D0">
      <w:pPr>
        <w:pStyle w:val="Heading3"/>
        <w:rPr>
          <w:lang w:val="en-AU"/>
        </w:rPr>
      </w:pPr>
      <w:r w:rsidRPr="001500F7">
        <w:rPr>
          <w:lang w:val="en-AU"/>
        </w:rPr>
        <w:t xml:space="preserve">Preparation and </w:t>
      </w:r>
      <w:r w:rsidR="00843C73" w:rsidRPr="001500F7">
        <w:rPr>
          <w:lang w:val="en-AU"/>
        </w:rPr>
        <w:t>Administration</w:t>
      </w:r>
    </w:p>
    <w:p w:rsidR="00CF3060" w:rsidRPr="00254FE2" w:rsidRDefault="00CF3060" w:rsidP="00254FE2">
      <w:pPr>
        <w:rPr>
          <w:b/>
          <w:bCs/>
        </w:rPr>
      </w:pPr>
      <w:r w:rsidRPr="00254FE2">
        <w:rPr>
          <w:b/>
          <w:bCs/>
        </w:rPr>
        <w:t xml:space="preserve">Important Note: Do not flush infusion lines into the patient, as it will cause an inadvertent bolus of drug to be administered. </w:t>
      </w:r>
      <w:proofErr w:type="spellStart"/>
      <w:r w:rsidR="00FD0BE3" w:rsidRPr="00254FE2">
        <w:rPr>
          <w:b/>
          <w:bCs/>
        </w:rPr>
        <w:t>Blincyto</w:t>
      </w:r>
      <w:proofErr w:type="spellEnd"/>
      <w:r w:rsidRPr="00254FE2">
        <w:rPr>
          <w:b/>
          <w:bCs/>
        </w:rPr>
        <w:t xml:space="preserve"> should be infused through a dedicated lumen.</w:t>
      </w:r>
    </w:p>
    <w:p w:rsidR="00CF3060" w:rsidRPr="00565164" w:rsidRDefault="00CF3060" w:rsidP="001500F7">
      <w:pPr>
        <w:pStyle w:val="Text"/>
        <w:rPr>
          <w:lang w:val="en-AU" w:eastAsia="en-AU"/>
        </w:rPr>
      </w:pPr>
      <w:r w:rsidRPr="00565164">
        <w:rPr>
          <w:lang w:val="en-AU" w:eastAsia="en-AU"/>
        </w:rPr>
        <w:t xml:space="preserve">The </w:t>
      </w:r>
      <w:proofErr w:type="spellStart"/>
      <w:r w:rsidR="00FD0BE3">
        <w:rPr>
          <w:lang w:val="en-AU" w:eastAsia="en-AU"/>
        </w:rPr>
        <w:t>Blincyto</w:t>
      </w:r>
      <w:proofErr w:type="spellEnd"/>
      <w:r w:rsidRPr="00565164">
        <w:rPr>
          <w:lang w:val="en-AU" w:eastAsia="en-AU"/>
        </w:rPr>
        <w:t xml:space="preserve"> solution for infusion must be administered using IV tubing that contains </w:t>
      </w:r>
      <w:r w:rsidR="006C1B3D">
        <w:rPr>
          <w:lang w:val="en-AU" w:eastAsia="en-AU"/>
        </w:rPr>
        <w:t>a</w:t>
      </w:r>
      <w:r w:rsidRPr="00565164">
        <w:rPr>
          <w:lang w:val="en-AU" w:eastAsia="en-AU"/>
        </w:rPr>
        <w:t xml:space="preserve"> sterile, </w:t>
      </w:r>
      <w:proofErr w:type="spellStart"/>
      <w:r w:rsidRPr="00565164">
        <w:rPr>
          <w:lang w:val="en-AU" w:eastAsia="en-AU"/>
        </w:rPr>
        <w:t>nonpyrogenic</w:t>
      </w:r>
      <w:proofErr w:type="spellEnd"/>
      <w:r w:rsidRPr="00565164">
        <w:rPr>
          <w:lang w:val="en-AU" w:eastAsia="en-AU"/>
        </w:rPr>
        <w:t xml:space="preserve">, low protein-binding 0.2 micron </w:t>
      </w:r>
      <w:r w:rsidR="006C1B3D">
        <w:rPr>
          <w:lang w:val="en-AU" w:eastAsia="en-AU"/>
        </w:rPr>
        <w:t xml:space="preserve">in-line </w:t>
      </w:r>
      <w:r w:rsidRPr="00565164">
        <w:rPr>
          <w:lang w:val="en-AU" w:eastAsia="en-AU"/>
        </w:rPr>
        <w:t>filter.</w:t>
      </w:r>
    </w:p>
    <w:p w:rsidR="00CF3060" w:rsidRPr="00565164" w:rsidRDefault="00CF3060" w:rsidP="001500F7">
      <w:pPr>
        <w:pStyle w:val="Text"/>
        <w:rPr>
          <w:lang w:val="en-AU" w:eastAsia="en-AU"/>
        </w:rPr>
      </w:pPr>
      <w:r w:rsidRPr="00565164">
        <w:rPr>
          <w:lang w:val="en-AU" w:eastAsia="en-AU"/>
        </w:rPr>
        <w:lastRenderedPageBreak/>
        <w:t xml:space="preserve">A therapeutic dose of 9 </w:t>
      </w:r>
      <w:r w:rsidR="002E0BB1">
        <w:rPr>
          <w:lang w:val="en-AU" w:eastAsia="en-AU"/>
        </w:rPr>
        <w:t>micrograms</w:t>
      </w:r>
      <w:r w:rsidRPr="00565164">
        <w:rPr>
          <w:lang w:val="en-AU" w:eastAsia="en-AU"/>
        </w:rPr>
        <w:t xml:space="preserve">/day or 28 </w:t>
      </w:r>
      <w:r w:rsidR="002E0BB1">
        <w:rPr>
          <w:lang w:val="en-AU" w:eastAsia="en-AU"/>
        </w:rPr>
        <w:t>micrograms</w:t>
      </w:r>
      <w:r w:rsidRPr="00565164">
        <w:rPr>
          <w:lang w:val="en-AU" w:eastAsia="en-AU"/>
        </w:rPr>
        <w:t xml:space="preserve">/day should be administered to the patient by infusing a total of 240 mL </w:t>
      </w:r>
      <w:proofErr w:type="spellStart"/>
      <w:r w:rsidR="00FD0BE3">
        <w:rPr>
          <w:lang w:val="en-AU" w:eastAsia="en-AU"/>
        </w:rPr>
        <w:t>Blincyto</w:t>
      </w:r>
      <w:proofErr w:type="spellEnd"/>
      <w:r w:rsidRPr="00565164">
        <w:rPr>
          <w:lang w:val="en-AU" w:eastAsia="en-AU"/>
        </w:rPr>
        <w:t xml:space="preserve"> solution for infusion at one of the following constant infusion rates:</w:t>
      </w:r>
    </w:p>
    <w:p w:rsidR="00CF3060" w:rsidRPr="000B7912" w:rsidRDefault="00CF3060" w:rsidP="001500F7">
      <w:pPr>
        <w:pStyle w:val="TextBullet"/>
        <w:rPr>
          <w:lang w:val="en-AU" w:eastAsia="en-AU"/>
        </w:rPr>
      </w:pPr>
      <w:r w:rsidRPr="000B7912">
        <w:rPr>
          <w:lang w:val="en-AU" w:eastAsia="en-AU"/>
        </w:rPr>
        <w:t>Infusion rate of 10 mL/h for a duration of 24 hours</w:t>
      </w:r>
    </w:p>
    <w:p w:rsidR="00CF3060" w:rsidRPr="000B7912" w:rsidRDefault="00CF3060" w:rsidP="001500F7">
      <w:pPr>
        <w:pStyle w:val="TextBullet"/>
        <w:rPr>
          <w:lang w:val="en-AU" w:eastAsia="en-AU"/>
        </w:rPr>
      </w:pPr>
      <w:r w:rsidRPr="000B7912">
        <w:rPr>
          <w:lang w:val="en-AU" w:eastAsia="en-AU"/>
        </w:rPr>
        <w:t>Infusion rate of 5 mL/h for a duration of 48 hours</w:t>
      </w:r>
    </w:p>
    <w:p w:rsidR="00CF3060" w:rsidRPr="000B7912" w:rsidRDefault="00CF3060" w:rsidP="001500F7">
      <w:pPr>
        <w:pStyle w:val="TextBullet"/>
        <w:rPr>
          <w:lang w:val="en-AU" w:eastAsia="en-AU"/>
        </w:rPr>
      </w:pPr>
      <w:r w:rsidRPr="000B7912">
        <w:rPr>
          <w:lang w:val="en-AU" w:eastAsia="en-AU"/>
        </w:rPr>
        <w:t>Infusion rate of 3.3 mL/h for a duration of 72 hours</w:t>
      </w:r>
    </w:p>
    <w:p w:rsidR="00CF3060" w:rsidRPr="000B7912" w:rsidRDefault="00CF3060" w:rsidP="001500F7">
      <w:pPr>
        <w:pStyle w:val="TextBullet"/>
        <w:rPr>
          <w:lang w:val="en-AU" w:eastAsia="en-AU"/>
        </w:rPr>
      </w:pPr>
      <w:r w:rsidRPr="000B7912">
        <w:rPr>
          <w:lang w:val="en-AU" w:eastAsia="en-AU"/>
        </w:rPr>
        <w:t>Infusion rate of 2.5 mL/h for a duration of 96 hours</w:t>
      </w:r>
    </w:p>
    <w:p w:rsidR="00783F2E" w:rsidRDefault="00C22BFB" w:rsidP="001500F7">
      <w:pPr>
        <w:pStyle w:val="Text"/>
        <w:rPr>
          <w:lang w:val="en-AU" w:eastAsia="en-AU"/>
        </w:rPr>
      </w:pPr>
      <w:r>
        <w:rPr>
          <w:lang w:val="en-AU" w:eastAsia="en-AU"/>
        </w:rPr>
        <w:t>Clearly label the prepared IV infusion bag or cassette with the dose, infusion rate and duration of infusion.</w:t>
      </w:r>
    </w:p>
    <w:p w:rsidR="00CF3060" w:rsidRPr="00565164" w:rsidRDefault="00CF3060" w:rsidP="001500F7">
      <w:pPr>
        <w:pStyle w:val="Text"/>
        <w:rPr>
          <w:lang w:val="en-AU" w:eastAsia="en-AU"/>
        </w:rPr>
      </w:pPr>
      <w:r w:rsidRPr="00565164">
        <w:rPr>
          <w:lang w:val="en-AU" w:eastAsia="en-AU"/>
        </w:rPr>
        <w:t xml:space="preserve">At the end of the infusion, any unused </w:t>
      </w:r>
      <w:proofErr w:type="spellStart"/>
      <w:r w:rsidR="00FD0BE3">
        <w:rPr>
          <w:lang w:val="en-AU" w:eastAsia="en-AU"/>
        </w:rPr>
        <w:t>Blincyto</w:t>
      </w:r>
      <w:proofErr w:type="spellEnd"/>
      <w:r w:rsidRPr="00565164">
        <w:rPr>
          <w:lang w:val="en-AU" w:eastAsia="en-AU"/>
        </w:rPr>
        <w:t xml:space="preserve"> solution in the IV bag and IV lines should be disposed of in accordance with local requirements.</w:t>
      </w:r>
    </w:p>
    <w:p w:rsidR="00CF3060" w:rsidRPr="00565164" w:rsidRDefault="00CF3060" w:rsidP="003951D0">
      <w:pPr>
        <w:pStyle w:val="Heading2"/>
        <w:rPr>
          <w:lang w:val="en-AU" w:eastAsia="en-AU"/>
        </w:rPr>
      </w:pPr>
      <w:r w:rsidRPr="00565164">
        <w:rPr>
          <w:lang w:val="en-AU" w:eastAsia="en-AU"/>
        </w:rPr>
        <w:t>Change of IV bag</w:t>
      </w:r>
      <w:r w:rsidR="00964053">
        <w:rPr>
          <w:lang w:val="en-AU" w:eastAsia="en-AU"/>
        </w:rPr>
        <w:t xml:space="preserve"> or cassette</w:t>
      </w:r>
    </w:p>
    <w:p w:rsidR="00CF3060" w:rsidRPr="00565164" w:rsidRDefault="00CF3060" w:rsidP="001500F7">
      <w:pPr>
        <w:pStyle w:val="Text"/>
        <w:rPr>
          <w:lang w:val="en-AU" w:eastAsia="en-AU"/>
        </w:rPr>
      </w:pPr>
      <w:r w:rsidRPr="00565164">
        <w:rPr>
          <w:lang w:val="en-AU" w:eastAsia="en-AU"/>
        </w:rPr>
        <w:t>The IV bag</w:t>
      </w:r>
      <w:r w:rsidR="000C3C4A">
        <w:rPr>
          <w:lang w:val="en-AU" w:eastAsia="en-AU"/>
        </w:rPr>
        <w:t xml:space="preserve"> </w:t>
      </w:r>
      <w:r w:rsidR="000C3C4A" w:rsidRPr="000C3C4A">
        <w:rPr>
          <w:lang w:val="en-AU" w:eastAsia="en-AU"/>
        </w:rPr>
        <w:t>or cassette</w:t>
      </w:r>
      <w:r w:rsidR="00941526">
        <w:rPr>
          <w:lang w:val="en-AU" w:eastAsia="en-AU"/>
        </w:rPr>
        <w:t xml:space="preserve"> </w:t>
      </w:r>
      <w:r w:rsidRPr="00565164">
        <w:rPr>
          <w:lang w:val="en-AU" w:eastAsia="en-AU"/>
        </w:rPr>
        <w:t>must be changed at least every 96 hours by a healthcare professional for sterility reasons.</w:t>
      </w:r>
    </w:p>
    <w:p w:rsidR="00CF3060" w:rsidRPr="00565164" w:rsidRDefault="00CF3060" w:rsidP="003951D0">
      <w:pPr>
        <w:pStyle w:val="Heading2"/>
        <w:rPr>
          <w:lang w:val="en-AU" w:eastAsia="en-AU"/>
        </w:rPr>
      </w:pPr>
      <w:r w:rsidRPr="00565164">
        <w:rPr>
          <w:lang w:val="en-AU" w:eastAsia="en-AU"/>
        </w:rPr>
        <w:t>Pump Specifications</w:t>
      </w:r>
    </w:p>
    <w:p w:rsidR="00CF3060" w:rsidRPr="002F01C1" w:rsidRDefault="00CF3060" w:rsidP="001500F7">
      <w:pPr>
        <w:pStyle w:val="Text"/>
        <w:rPr>
          <w:lang w:val="en-AU" w:eastAsia="en-AU"/>
        </w:rPr>
      </w:pPr>
      <w:r w:rsidRPr="00565164">
        <w:rPr>
          <w:lang w:val="en-AU" w:eastAsia="en-AU"/>
        </w:rPr>
        <w:t xml:space="preserve">The infusion pump used to administer </w:t>
      </w:r>
      <w:proofErr w:type="spellStart"/>
      <w:r w:rsidR="00FD0BE3">
        <w:rPr>
          <w:lang w:val="en-AU" w:eastAsia="en-AU"/>
        </w:rPr>
        <w:t>Blincyto</w:t>
      </w:r>
      <w:proofErr w:type="spellEnd"/>
      <w:r w:rsidRPr="00565164">
        <w:rPr>
          <w:lang w:val="en-AU" w:eastAsia="en-AU"/>
        </w:rPr>
        <w:t xml:space="preserve"> solution for infusion should be programmable, lockable and have an </w:t>
      </w:r>
      <w:r w:rsidRPr="002F01C1">
        <w:rPr>
          <w:lang w:val="en-AU" w:eastAsia="en-AU"/>
        </w:rPr>
        <w:t>alarm.</w:t>
      </w:r>
      <w:r w:rsidR="002F01C1" w:rsidRPr="002F01C1">
        <w:rPr>
          <w:lang w:val="en-AU" w:eastAsia="en-AU"/>
        </w:rPr>
        <w:t xml:space="preserve"> Elastomeric pumps should not be used.</w:t>
      </w:r>
    </w:p>
    <w:p w:rsidR="007F24E2" w:rsidRPr="001500F7" w:rsidRDefault="007F24E2" w:rsidP="003951D0">
      <w:pPr>
        <w:pStyle w:val="Heading3"/>
        <w:rPr>
          <w:lang w:val="en-AU"/>
        </w:rPr>
      </w:pPr>
      <w:r w:rsidRPr="001500F7">
        <w:rPr>
          <w:lang w:val="en-AU"/>
        </w:rPr>
        <w:t>Reconstitution and Preparation of Solution for Infusion</w:t>
      </w:r>
    </w:p>
    <w:p w:rsidR="00804A9A" w:rsidRDefault="00804A9A" w:rsidP="001500F7">
      <w:pPr>
        <w:pStyle w:val="Text"/>
        <w:rPr>
          <w:rFonts w:cs="Arial"/>
          <w:szCs w:val="22"/>
          <w:lang w:val="en-AU" w:eastAsia="en-AU"/>
        </w:rPr>
      </w:pPr>
      <w:r w:rsidRPr="00565164">
        <w:rPr>
          <w:lang w:val="en-AU" w:eastAsia="en-AU"/>
        </w:rPr>
        <w:t xml:space="preserve">It is very important that the instructions for preparation and administration provided in this section are strictly followed to minimise medication errors (including </w:t>
      </w:r>
      <w:proofErr w:type="spellStart"/>
      <w:r w:rsidRPr="00565164">
        <w:rPr>
          <w:lang w:val="en-AU" w:eastAsia="en-AU"/>
        </w:rPr>
        <w:t>underdose</w:t>
      </w:r>
      <w:proofErr w:type="spellEnd"/>
      <w:r w:rsidRPr="00565164">
        <w:rPr>
          <w:lang w:val="en-AU" w:eastAsia="en-AU"/>
        </w:rPr>
        <w:t xml:space="preserve"> and overdose) </w:t>
      </w:r>
      <w:r w:rsidRPr="00B5204D">
        <w:rPr>
          <w:iCs/>
          <w:lang w:val="en-AU" w:eastAsia="en-AU"/>
        </w:rPr>
        <w:t xml:space="preserve">(see </w:t>
      </w:r>
      <w:r w:rsidR="00B5204D" w:rsidRPr="00B5204D">
        <w:rPr>
          <w:iCs/>
          <w:lang w:val="en-AU" w:eastAsia="en-AU"/>
        </w:rPr>
        <w:t>PRECAUTIONS</w:t>
      </w:r>
      <w:r w:rsidRPr="00B5204D">
        <w:rPr>
          <w:iCs/>
          <w:lang w:val="en-AU" w:eastAsia="en-AU"/>
        </w:rPr>
        <w:t>).</w:t>
      </w:r>
    </w:p>
    <w:p w:rsidR="00294B5D" w:rsidRPr="003951D0" w:rsidRDefault="00294B5D" w:rsidP="003951D0">
      <w:pPr>
        <w:pStyle w:val="Heading4"/>
        <w:rPr>
          <w:u w:val="single"/>
          <w:lang w:val="en-AU" w:eastAsia="en-AU"/>
        </w:rPr>
      </w:pPr>
      <w:r w:rsidRPr="003951D0">
        <w:rPr>
          <w:u w:val="single"/>
          <w:lang w:val="en-AU" w:eastAsia="en-AU"/>
        </w:rPr>
        <w:t>Aseptic preparation</w:t>
      </w:r>
    </w:p>
    <w:p w:rsidR="00E36CA6" w:rsidRDefault="00294B5D" w:rsidP="001500F7">
      <w:pPr>
        <w:pStyle w:val="Text"/>
        <w:rPr>
          <w:rStyle w:val="followingxmchange"/>
          <w:rFonts w:cs="Arial"/>
          <w:color w:val="000000"/>
          <w:szCs w:val="22"/>
        </w:rPr>
      </w:pPr>
      <w:proofErr w:type="spellStart"/>
      <w:r w:rsidRPr="00565164">
        <w:rPr>
          <w:rStyle w:val="followingxmchange"/>
          <w:rFonts w:cs="Arial"/>
          <w:color w:val="000000"/>
          <w:szCs w:val="22"/>
        </w:rPr>
        <w:t>Blincyto</w:t>
      </w:r>
      <w:proofErr w:type="spellEnd"/>
      <w:r w:rsidRPr="00565164">
        <w:rPr>
          <w:rStyle w:val="followingxmchange"/>
          <w:rFonts w:cs="Arial"/>
          <w:color w:val="000000"/>
          <w:szCs w:val="22"/>
        </w:rPr>
        <w:t xml:space="preserve"> does not contain antimicrobial preservatives, aseptic </w:t>
      </w:r>
      <w:r w:rsidR="00A12778">
        <w:rPr>
          <w:rStyle w:val="followingxmchange"/>
          <w:rFonts w:cs="Arial"/>
          <w:color w:val="000000"/>
          <w:szCs w:val="22"/>
        </w:rPr>
        <w:t xml:space="preserve">preparation </w:t>
      </w:r>
      <w:r w:rsidRPr="00565164">
        <w:rPr>
          <w:rStyle w:val="followingxmchange"/>
          <w:rFonts w:cs="Arial"/>
          <w:color w:val="000000"/>
          <w:szCs w:val="22"/>
        </w:rPr>
        <w:t xml:space="preserve">must therefore be ensured when preparing the infusion. Preparation of </w:t>
      </w:r>
      <w:proofErr w:type="spellStart"/>
      <w:r w:rsidRPr="00565164">
        <w:rPr>
          <w:rStyle w:val="followingxmchange"/>
          <w:rFonts w:cs="Arial"/>
          <w:color w:val="000000"/>
          <w:szCs w:val="22"/>
        </w:rPr>
        <w:t>Blincyto</w:t>
      </w:r>
      <w:proofErr w:type="spellEnd"/>
      <w:r w:rsidRPr="00565164">
        <w:rPr>
          <w:rStyle w:val="followingxmchange"/>
          <w:rFonts w:cs="Arial"/>
          <w:color w:val="000000"/>
          <w:szCs w:val="22"/>
        </w:rPr>
        <w:t xml:space="preserve"> should be:</w:t>
      </w:r>
    </w:p>
    <w:p w:rsidR="00294B5D" w:rsidRPr="00565164" w:rsidRDefault="00294B5D" w:rsidP="001500F7">
      <w:pPr>
        <w:pStyle w:val="TextBullet"/>
        <w:rPr>
          <w:rStyle w:val="followingxmchange"/>
          <w:rFonts w:cs="Arial"/>
          <w:color w:val="000000"/>
          <w:szCs w:val="22"/>
          <w:lang w:val="en-GB"/>
        </w:rPr>
      </w:pPr>
      <w:r w:rsidRPr="00565164">
        <w:rPr>
          <w:rStyle w:val="followingxmchange"/>
          <w:rFonts w:cs="Arial"/>
          <w:color w:val="000000"/>
          <w:szCs w:val="22"/>
          <w:lang w:val="en-GB"/>
        </w:rPr>
        <w:t>performed under aseptic conditions by trained personnel in accordance with good practice rules especially with respect to the aseptic preparation of parenteral products</w:t>
      </w:r>
    </w:p>
    <w:p w:rsidR="00294B5D" w:rsidRPr="00565164" w:rsidRDefault="00294B5D" w:rsidP="001500F7">
      <w:pPr>
        <w:pStyle w:val="TextBullet"/>
        <w:rPr>
          <w:lang w:val="en-GB"/>
        </w:rPr>
      </w:pPr>
      <w:proofErr w:type="gramStart"/>
      <w:r w:rsidRPr="00565164">
        <w:rPr>
          <w:rStyle w:val="followingxmchange"/>
          <w:rFonts w:cs="Arial"/>
          <w:color w:val="000000"/>
          <w:szCs w:val="22"/>
          <w:lang w:val="en-GB"/>
        </w:rPr>
        <w:t>prepared</w:t>
      </w:r>
      <w:proofErr w:type="gramEnd"/>
      <w:r w:rsidRPr="00565164">
        <w:rPr>
          <w:rStyle w:val="followingxmchange"/>
          <w:rFonts w:cs="Arial"/>
          <w:color w:val="000000"/>
          <w:szCs w:val="22"/>
          <w:lang w:val="en-GB"/>
        </w:rPr>
        <w:t xml:space="preserve"> in </w:t>
      </w:r>
      <w:r w:rsidRPr="00565164">
        <w:rPr>
          <w:lang w:val="en-GB"/>
        </w:rPr>
        <w:t>a laminar flow hood or biological safety cabinet using standard precautions for the safe handling of intravenous agents.</w:t>
      </w:r>
    </w:p>
    <w:p w:rsidR="00843C73" w:rsidRDefault="00843C73" w:rsidP="001500F7">
      <w:pPr>
        <w:pStyle w:val="Text"/>
        <w:rPr>
          <w:i/>
          <w:iCs/>
          <w:lang w:val="en-AU" w:eastAsia="en-AU"/>
        </w:rPr>
      </w:pPr>
      <w:r w:rsidRPr="00565164">
        <w:rPr>
          <w:lang w:val="en-AU" w:eastAsia="en-AU"/>
        </w:rPr>
        <w:t xml:space="preserve">To prevent accidental contamination, prepare </w:t>
      </w:r>
      <w:proofErr w:type="spellStart"/>
      <w:r w:rsidR="00FD0BE3">
        <w:rPr>
          <w:lang w:val="en-AU" w:eastAsia="en-AU"/>
        </w:rPr>
        <w:t>Blincyto</w:t>
      </w:r>
      <w:proofErr w:type="spellEnd"/>
      <w:r w:rsidRPr="00565164">
        <w:rPr>
          <w:lang w:val="en-AU" w:eastAsia="en-AU"/>
        </w:rPr>
        <w:t xml:space="preserve"> according to aseptic standards</w:t>
      </w:r>
      <w:r w:rsidR="00804A9A">
        <w:rPr>
          <w:lang w:val="en-AU" w:eastAsia="en-AU"/>
        </w:rPr>
        <w:t>.</w:t>
      </w:r>
    </w:p>
    <w:p w:rsidR="000E600B" w:rsidRPr="003951D0" w:rsidRDefault="000E600B" w:rsidP="003951D0">
      <w:pPr>
        <w:pStyle w:val="Heading4"/>
        <w:rPr>
          <w:u w:val="single"/>
          <w:lang w:val="en-AU" w:eastAsia="en-AU"/>
        </w:rPr>
      </w:pPr>
      <w:r w:rsidRPr="003951D0">
        <w:rPr>
          <w:u w:val="single"/>
          <w:lang w:val="en-AU" w:eastAsia="en-AU"/>
        </w:rPr>
        <w:t>Special considerations to support accurate preparation</w:t>
      </w:r>
    </w:p>
    <w:p w:rsidR="000E600B" w:rsidRPr="001500F7" w:rsidRDefault="000E600B" w:rsidP="00EA2DF3">
      <w:pPr>
        <w:pStyle w:val="TextBullet"/>
        <w:numPr>
          <w:ilvl w:val="0"/>
          <w:numId w:val="30"/>
        </w:numPr>
        <w:rPr>
          <w:lang w:val="en-AU" w:eastAsia="en-AU"/>
        </w:rPr>
      </w:pPr>
      <w:r w:rsidRPr="00AD56CF">
        <w:rPr>
          <w:lang w:val="en-AU" w:eastAsia="en-AU"/>
        </w:rPr>
        <w:t>IV Solution Stabili</w:t>
      </w:r>
      <w:r w:rsidR="00840A3A" w:rsidRPr="00AD56CF">
        <w:rPr>
          <w:lang w:val="en-AU" w:eastAsia="en-AU"/>
        </w:rPr>
        <w:t>s</w:t>
      </w:r>
      <w:r w:rsidRPr="00AD56CF">
        <w:rPr>
          <w:lang w:val="en-AU" w:eastAsia="en-AU"/>
        </w:rPr>
        <w:t xml:space="preserve">er is provided with the </w:t>
      </w:r>
      <w:proofErr w:type="spellStart"/>
      <w:r w:rsidR="00FD0BE3" w:rsidRPr="00AD56CF">
        <w:rPr>
          <w:lang w:val="en-AU" w:eastAsia="en-AU"/>
        </w:rPr>
        <w:t>Blincyto</w:t>
      </w:r>
      <w:proofErr w:type="spellEnd"/>
      <w:r w:rsidRPr="00AD56CF">
        <w:rPr>
          <w:lang w:val="en-AU" w:eastAsia="en-AU"/>
        </w:rPr>
        <w:t xml:space="preserve"> package and is used to coat the prefilled IV bag </w:t>
      </w:r>
      <w:r w:rsidR="00964053">
        <w:rPr>
          <w:lang w:val="en-AU" w:eastAsia="en-AU"/>
        </w:rPr>
        <w:t xml:space="preserve">or cassette </w:t>
      </w:r>
      <w:r w:rsidRPr="00AD56CF">
        <w:rPr>
          <w:lang w:val="en-AU" w:eastAsia="en-AU"/>
        </w:rPr>
        <w:t xml:space="preserve">prior to addition of reconstituted </w:t>
      </w:r>
      <w:proofErr w:type="spellStart"/>
      <w:r w:rsidR="00FD0BE3" w:rsidRPr="00AD56CF">
        <w:rPr>
          <w:lang w:val="en-AU" w:eastAsia="en-AU"/>
        </w:rPr>
        <w:t>Blincyto</w:t>
      </w:r>
      <w:proofErr w:type="spellEnd"/>
      <w:r w:rsidRPr="00AD56CF">
        <w:rPr>
          <w:lang w:val="en-AU" w:eastAsia="en-AU"/>
        </w:rPr>
        <w:t xml:space="preserve"> to prevent adhesion of </w:t>
      </w:r>
      <w:proofErr w:type="spellStart"/>
      <w:r w:rsidR="00FD0BE3" w:rsidRPr="00AD56CF">
        <w:rPr>
          <w:lang w:val="en-AU" w:eastAsia="en-AU"/>
        </w:rPr>
        <w:t>Blincyto</w:t>
      </w:r>
      <w:proofErr w:type="spellEnd"/>
      <w:r w:rsidRPr="00AD56CF">
        <w:rPr>
          <w:lang w:val="en-AU" w:eastAsia="en-AU"/>
        </w:rPr>
        <w:t xml:space="preserve"> to IV bags</w:t>
      </w:r>
      <w:r w:rsidR="003720F8" w:rsidRPr="00AD56CF">
        <w:rPr>
          <w:lang w:val="en-AU" w:eastAsia="en-AU"/>
        </w:rPr>
        <w:t xml:space="preserve"> </w:t>
      </w:r>
      <w:r w:rsidR="00964053">
        <w:rPr>
          <w:lang w:val="en-AU" w:eastAsia="en-AU"/>
        </w:rPr>
        <w:t xml:space="preserve">or cassettes </w:t>
      </w:r>
      <w:r w:rsidRPr="00AD56CF">
        <w:rPr>
          <w:lang w:val="en-AU" w:eastAsia="en-AU"/>
        </w:rPr>
        <w:t>and IV lines. Do not use IV Solution Stabili</w:t>
      </w:r>
      <w:r w:rsidR="00364FB5" w:rsidRPr="00AD56CF">
        <w:rPr>
          <w:lang w:val="en-AU" w:eastAsia="en-AU"/>
        </w:rPr>
        <w:t>s</w:t>
      </w:r>
      <w:r w:rsidR="00F86214">
        <w:rPr>
          <w:lang w:val="en-AU" w:eastAsia="en-AU"/>
        </w:rPr>
        <w:t xml:space="preserve">er for reconstitution </w:t>
      </w:r>
      <w:r w:rsidRPr="00AD56CF">
        <w:rPr>
          <w:lang w:val="en-AU" w:eastAsia="en-AU"/>
        </w:rPr>
        <w:t xml:space="preserve">of </w:t>
      </w:r>
      <w:proofErr w:type="spellStart"/>
      <w:r w:rsidR="00FD0BE3" w:rsidRPr="00AD56CF">
        <w:rPr>
          <w:lang w:val="en-AU" w:eastAsia="en-AU"/>
        </w:rPr>
        <w:t>Blincyto</w:t>
      </w:r>
      <w:proofErr w:type="spellEnd"/>
      <w:r w:rsidRPr="00AD56CF">
        <w:rPr>
          <w:lang w:val="en-AU" w:eastAsia="en-AU"/>
        </w:rPr>
        <w:t>.</w:t>
      </w:r>
    </w:p>
    <w:p w:rsidR="000E600B" w:rsidRPr="001500F7" w:rsidRDefault="000E600B" w:rsidP="00EA2DF3">
      <w:pPr>
        <w:pStyle w:val="TextBullet"/>
        <w:numPr>
          <w:ilvl w:val="0"/>
          <w:numId w:val="30"/>
        </w:numPr>
        <w:rPr>
          <w:lang w:val="en-AU" w:eastAsia="en-AU"/>
        </w:rPr>
      </w:pPr>
      <w:r w:rsidRPr="00AD56CF">
        <w:rPr>
          <w:lang w:val="en-AU" w:eastAsia="en-AU"/>
        </w:rPr>
        <w:t xml:space="preserve">The entire volume of the </w:t>
      </w:r>
      <w:r w:rsidR="00364FB5" w:rsidRPr="00AD56CF">
        <w:rPr>
          <w:lang w:val="en-AU" w:eastAsia="en-AU"/>
        </w:rPr>
        <w:t>reconstituted and diluted</w:t>
      </w:r>
      <w:r w:rsidRPr="00AD56CF">
        <w:rPr>
          <w:lang w:val="en-AU" w:eastAsia="en-AU"/>
        </w:rPr>
        <w:t xml:space="preserve"> </w:t>
      </w:r>
      <w:proofErr w:type="spellStart"/>
      <w:r w:rsidR="00FD0BE3" w:rsidRPr="00AD56CF">
        <w:rPr>
          <w:lang w:val="en-AU" w:eastAsia="en-AU"/>
        </w:rPr>
        <w:t>Blincyto</w:t>
      </w:r>
      <w:proofErr w:type="spellEnd"/>
      <w:r w:rsidRPr="00AD56CF">
        <w:rPr>
          <w:lang w:val="en-AU" w:eastAsia="en-AU"/>
        </w:rPr>
        <w:t xml:space="preserve"> will be more than the volume administered to the patient (240 mL) to account for the priming of the IV line and to </w:t>
      </w:r>
      <w:r w:rsidR="00EF69E0">
        <w:rPr>
          <w:lang w:val="en-AU" w:eastAsia="en-AU"/>
        </w:rPr>
        <w:t xml:space="preserve">ensure </w:t>
      </w:r>
      <w:r w:rsidRPr="00AD56CF">
        <w:rPr>
          <w:lang w:val="en-AU" w:eastAsia="en-AU"/>
        </w:rPr>
        <w:t xml:space="preserve">that the patient will receive the full dose of </w:t>
      </w:r>
      <w:proofErr w:type="spellStart"/>
      <w:r w:rsidR="00FD0BE3" w:rsidRPr="00AD56CF">
        <w:rPr>
          <w:lang w:val="en-AU" w:eastAsia="en-AU"/>
        </w:rPr>
        <w:t>Blincyto</w:t>
      </w:r>
      <w:proofErr w:type="spellEnd"/>
      <w:r w:rsidRPr="00AD56CF">
        <w:rPr>
          <w:lang w:val="en-AU" w:eastAsia="en-AU"/>
        </w:rPr>
        <w:t>.</w:t>
      </w:r>
    </w:p>
    <w:p w:rsidR="000E600B" w:rsidRPr="001500F7" w:rsidRDefault="000E600B" w:rsidP="00EA2DF3">
      <w:pPr>
        <w:pStyle w:val="TextBullet"/>
        <w:numPr>
          <w:ilvl w:val="0"/>
          <w:numId w:val="30"/>
        </w:numPr>
        <w:rPr>
          <w:lang w:val="en-AU" w:eastAsia="en-AU"/>
        </w:rPr>
      </w:pPr>
      <w:r w:rsidRPr="00397B5C">
        <w:rPr>
          <w:lang w:val="en-AU" w:eastAsia="en-AU"/>
        </w:rPr>
        <w:t>When preparing an IV bag, remove air from IV bag</w:t>
      </w:r>
      <w:r w:rsidRPr="00AD56CF">
        <w:rPr>
          <w:lang w:val="en-AU" w:eastAsia="en-AU"/>
        </w:rPr>
        <w:t>. This is particularly important for use with an ambulatory infusion pump.</w:t>
      </w:r>
    </w:p>
    <w:p w:rsidR="00294B5D" w:rsidRDefault="000E600B" w:rsidP="00EA2DF3">
      <w:pPr>
        <w:pStyle w:val="TextBullet"/>
        <w:numPr>
          <w:ilvl w:val="0"/>
          <w:numId w:val="30"/>
        </w:numPr>
        <w:rPr>
          <w:lang w:val="en-AU" w:eastAsia="en-AU"/>
        </w:rPr>
      </w:pPr>
      <w:r w:rsidRPr="00AD56CF">
        <w:rPr>
          <w:lang w:val="en-AU" w:eastAsia="en-AU"/>
        </w:rPr>
        <w:t xml:space="preserve">Use the specific volumes described in the </w:t>
      </w:r>
      <w:r w:rsidR="00364FB5" w:rsidRPr="00AD56CF">
        <w:rPr>
          <w:lang w:val="en-AU" w:eastAsia="en-AU"/>
        </w:rPr>
        <w:t>reconstituti</w:t>
      </w:r>
      <w:r w:rsidR="00804A9A" w:rsidRPr="00AD56CF">
        <w:rPr>
          <w:lang w:val="en-AU" w:eastAsia="en-AU"/>
        </w:rPr>
        <w:t>on</w:t>
      </w:r>
      <w:r w:rsidR="00364FB5" w:rsidRPr="00AD56CF">
        <w:rPr>
          <w:lang w:val="en-AU" w:eastAsia="en-AU"/>
        </w:rPr>
        <w:t xml:space="preserve"> and </w:t>
      </w:r>
      <w:r w:rsidR="00804A9A" w:rsidRPr="00AD56CF">
        <w:rPr>
          <w:lang w:val="en-AU" w:eastAsia="en-AU"/>
        </w:rPr>
        <w:t xml:space="preserve">dilution </w:t>
      </w:r>
      <w:r w:rsidRPr="00AD56CF">
        <w:rPr>
          <w:lang w:val="en-AU" w:eastAsia="en-AU"/>
        </w:rPr>
        <w:t>instructions.</w:t>
      </w:r>
    </w:p>
    <w:p w:rsidR="002C6F7F" w:rsidRPr="003951D0" w:rsidRDefault="002C6F7F" w:rsidP="003951D0">
      <w:pPr>
        <w:pStyle w:val="Heading4"/>
        <w:rPr>
          <w:u w:val="single"/>
          <w:lang w:val="en-AU" w:eastAsia="en-AU"/>
        </w:rPr>
      </w:pPr>
      <w:r w:rsidRPr="003951D0">
        <w:rPr>
          <w:u w:val="single"/>
          <w:lang w:val="en-AU" w:eastAsia="en-AU"/>
        </w:rPr>
        <w:lastRenderedPageBreak/>
        <w:t>Other considerations</w:t>
      </w:r>
    </w:p>
    <w:p w:rsidR="00E36CA6" w:rsidRDefault="002C6F7F" w:rsidP="001500F7">
      <w:pPr>
        <w:pStyle w:val="TextBullet"/>
        <w:rPr>
          <w:color w:val="000000"/>
          <w:lang w:val="en-GB"/>
        </w:rPr>
      </w:pPr>
      <w:proofErr w:type="spellStart"/>
      <w:r w:rsidRPr="002C6F7F">
        <w:rPr>
          <w:color w:val="000000"/>
          <w:lang w:val="en-GB"/>
        </w:rPr>
        <w:t>Blincyto</w:t>
      </w:r>
      <w:proofErr w:type="spellEnd"/>
      <w:r w:rsidRPr="002C6F7F">
        <w:rPr>
          <w:color w:val="000000"/>
          <w:lang w:val="en-GB"/>
        </w:rPr>
        <w:t xml:space="preserve"> is compatible with </w:t>
      </w:r>
      <w:r w:rsidRPr="002C6F7F">
        <w:rPr>
          <w:lang w:val="en-GB"/>
        </w:rPr>
        <w:t>polyolefin, PVC non-di-</w:t>
      </w:r>
      <w:proofErr w:type="spellStart"/>
      <w:r w:rsidRPr="002C6F7F">
        <w:rPr>
          <w:lang w:val="en-GB"/>
        </w:rPr>
        <w:t>ethylhexylphthalate</w:t>
      </w:r>
      <w:proofErr w:type="spellEnd"/>
      <w:r w:rsidRPr="002C6F7F">
        <w:rPr>
          <w:lang w:val="en-GB"/>
        </w:rPr>
        <w:t xml:space="preserve"> (non-DEHP), or ethyl vinyl acetate (EVA) infusion bags/pump cassettes</w:t>
      </w:r>
      <w:r w:rsidRPr="002C6F7F">
        <w:rPr>
          <w:color w:val="000000"/>
          <w:lang w:val="en-GB"/>
        </w:rPr>
        <w:t>.</w:t>
      </w:r>
    </w:p>
    <w:p w:rsidR="002C6F7F" w:rsidRPr="002C6F7F" w:rsidRDefault="002C6F7F" w:rsidP="001500F7">
      <w:pPr>
        <w:pStyle w:val="TextBullet"/>
        <w:rPr>
          <w:b/>
          <w:bCs/>
          <w:i/>
          <w:szCs w:val="22"/>
          <w:lang w:val="en-AU" w:eastAsia="en-AU"/>
        </w:rPr>
      </w:pPr>
      <w:r w:rsidRPr="002C6F7F">
        <w:rPr>
          <w:lang w:val="en-GB"/>
        </w:rPr>
        <w:t>Any unused medicinal product or waste material should be disposed of in accordance with local requirements.</w:t>
      </w:r>
    </w:p>
    <w:p w:rsidR="000E600B" w:rsidRPr="00565164" w:rsidRDefault="000E600B" w:rsidP="001500F7">
      <w:pPr>
        <w:pStyle w:val="Text"/>
        <w:rPr>
          <w:lang w:val="en-AU" w:eastAsia="en-AU"/>
        </w:rPr>
      </w:pPr>
      <w:r w:rsidRPr="00565164">
        <w:rPr>
          <w:lang w:val="en-AU" w:eastAsia="en-AU"/>
        </w:rPr>
        <w:t xml:space="preserve">Specific </w:t>
      </w:r>
      <w:r w:rsidR="00364FB5" w:rsidRPr="00565164">
        <w:rPr>
          <w:lang w:val="en-AU" w:eastAsia="en-AU"/>
        </w:rPr>
        <w:t xml:space="preserve">reconstitution and dilution </w:t>
      </w:r>
      <w:r w:rsidRPr="00565164">
        <w:rPr>
          <w:lang w:val="en-AU" w:eastAsia="en-AU"/>
        </w:rPr>
        <w:t xml:space="preserve">instructions are provided </w:t>
      </w:r>
      <w:r w:rsidR="00C465B0">
        <w:rPr>
          <w:lang w:val="en-AU" w:eastAsia="en-AU"/>
        </w:rPr>
        <w:t xml:space="preserve">below </w:t>
      </w:r>
      <w:r w:rsidRPr="00565164">
        <w:rPr>
          <w:lang w:val="en-AU" w:eastAsia="en-AU"/>
        </w:rPr>
        <w:t xml:space="preserve">for each dose and infusion time. Verify the prescribed dose and infusion time of </w:t>
      </w:r>
      <w:proofErr w:type="spellStart"/>
      <w:r w:rsidR="00FD0BE3">
        <w:rPr>
          <w:lang w:val="en-AU" w:eastAsia="en-AU"/>
        </w:rPr>
        <w:t>Blincyto</w:t>
      </w:r>
      <w:proofErr w:type="spellEnd"/>
      <w:r w:rsidRPr="00565164">
        <w:rPr>
          <w:lang w:val="en-AU" w:eastAsia="en-AU"/>
        </w:rPr>
        <w:t xml:space="preserve"> and identify the appropriate dosing preparation section listed below. Follow the steps for reconstituting </w:t>
      </w:r>
      <w:proofErr w:type="spellStart"/>
      <w:r w:rsidR="00FD0BE3">
        <w:rPr>
          <w:lang w:val="en-AU" w:eastAsia="en-AU"/>
        </w:rPr>
        <w:t>Blincyto</w:t>
      </w:r>
      <w:proofErr w:type="spellEnd"/>
      <w:r w:rsidRPr="00565164">
        <w:rPr>
          <w:lang w:val="en-AU" w:eastAsia="en-AU"/>
        </w:rPr>
        <w:t xml:space="preserve"> and preparing </w:t>
      </w:r>
      <w:r w:rsidR="00D706E8">
        <w:rPr>
          <w:lang w:val="en-AU" w:eastAsia="en-AU"/>
        </w:rPr>
        <w:t>either</w:t>
      </w:r>
      <w:r w:rsidRPr="00565164">
        <w:rPr>
          <w:lang w:val="en-AU" w:eastAsia="en-AU"/>
        </w:rPr>
        <w:t xml:space="preserve"> </w:t>
      </w:r>
      <w:r w:rsidR="00D706E8">
        <w:rPr>
          <w:lang w:val="en-AU" w:eastAsia="en-AU"/>
        </w:rPr>
        <w:t xml:space="preserve">an </w:t>
      </w:r>
      <w:r w:rsidRPr="00565164">
        <w:rPr>
          <w:lang w:val="en-AU" w:eastAsia="en-AU"/>
        </w:rPr>
        <w:t>IV bag</w:t>
      </w:r>
      <w:r w:rsidR="00D706E8">
        <w:rPr>
          <w:lang w:val="en-AU" w:eastAsia="en-AU"/>
        </w:rPr>
        <w:t xml:space="preserve"> or a cassette.</w:t>
      </w:r>
    </w:p>
    <w:p w:rsidR="000E600B" w:rsidRPr="003951D0" w:rsidRDefault="00B62C11" w:rsidP="003951D0">
      <w:pPr>
        <w:pStyle w:val="Heading4"/>
        <w:rPr>
          <w:u w:val="single"/>
          <w:lang w:val="en-AU" w:eastAsia="en-AU"/>
        </w:rPr>
      </w:pPr>
      <w:r w:rsidRPr="003951D0">
        <w:rPr>
          <w:u w:val="single"/>
          <w:lang w:val="en-AU" w:eastAsia="en-AU"/>
        </w:rPr>
        <w:t>Gather supplies</w:t>
      </w:r>
    </w:p>
    <w:p w:rsidR="00B62C11" w:rsidRPr="00565164" w:rsidRDefault="00B62C11" w:rsidP="001500F7">
      <w:pPr>
        <w:pStyle w:val="Text"/>
        <w:rPr>
          <w:lang w:val="en-AU" w:eastAsia="en-AU"/>
        </w:rPr>
      </w:pPr>
      <w:r w:rsidRPr="00335EAA">
        <w:rPr>
          <w:b/>
          <w:bCs/>
          <w:lang w:val="en-AU" w:eastAsia="en-AU"/>
        </w:rPr>
        <w:t xml:space="preserve">NOTE: </w:t>
      </w:r>
      <w:r w:rsidR="00BB2B38">
        <w:rPr>
          <w:lang w:val="en-AU" w:eastAsia="en-AU"/>
        </w:rPr>
        <w:t xml:space="preserve">A </w:t>
      </w:r>
      <w:proofErr w:type="spellStart"/>
      <w:r w:rsidR="00BB2B38" w:rsidRPr="00335EAA">
        <w:rPr>
          <w:lang w:val="en-AU" w:eastAsia="en-AU"/>
        </w:rPr>
        <w:t>Blincyto</w:t>
      </w:r>
      <w:proofErr w:type="spellEnd"/>
      <w:r w:rsidR="00BB2B38" w:rsidRPr="00335EAA">
        <w:rPr>
          <w:lang w:val="en-AU" w:eastAsia="en-AU"/>
        </w:rPr>
        <w:t xml:space="preserve"> </w:t>
      </w:r>
      <w:r w:rsidR="00BB2B38">
        <w:rPr>
          <w:lang w:val="en-AU" w:eastAsia="en-AU"/>
        </w:rPr>
        <w:t xml:space="preserve">composite pack </w:t>
      </w:r>
      <w:r w:rsidRPr="00335EAA">
        <w:rPr>
          <w:lang w:val="en-AU" w:eastAsia="en-AU"/>
        </w:rPr>
        <w:t xml:space="preserve">includes 1 vial of </w:t>
      </w:r>
      <w:proofErr w:type="spellStart"/>
      <w:r w:rsidR="00FD0BE3" w:rsidRPr="00335EAA">
        <w:rPr>
          <w:lang w:val="en-AU" w:eastAsia="en-AU"/>
        </w:rPr>
        <w:t>Blincyto</w:t>
      </w:r>
      <w:proofErr w:type="spellEnd"/>
      <w:r w:rsidRPr="00335EAA">
        <w:rPr>
          <w:lang w:val="en-AU" w:eastAsia="en-AU"/>
        </w:rPr>
        <w:t xml:space="preserve"> and 1 vial of IV </w:t>
      </w:r>
      <w:r w:rsidR="00173FC4">
        <w:rPr>
          <w:lang w:val="en-AU" w:eastAsia="en-AU"/>
        </w:rPr>
        <w:t>s</w:t>
      </w:r>
      <w:r w:rsidRPr="00335EAA">
        <w:rPr>
          <w:lang w:val="en-AU" w:eastAsia="en-AU"/>
        </w:rPr>
        <w:t xml:space="preserve">olution </w:t>
      </w:r>
      <w:r w:rsidR="00173FC4">
        <w:rPr>
          <w:lang w:val="en-AU" w:eastAsia="en-AU"/>
        </w:rPr>
        <w:t>s</w:t>
      </w:r>
      <w:r w:rsidR="00840A3A">
        <w:rPr>
          <w:lang w:val="en-AU" w:eastAsia="en-AU"/>
        </w:rPr>
        <w:t>tabil</w:t>
      </w:r>
      <w:r w:rsidR="00D706E8">
        <w:rPr>
          <w:lang w:val="en-AU" w:eastAsia="en-AU"/>
        </w:rPr>
        <w:t>i</w:t>
      </w:r>
      <w:r w:rsidR="00840A3A">
        <w:rPr>
          <w:lang w:val="en-AU" w:eastAsia="en-AU"/>
        </w:rPr>
        <w:t>ser</w:t>
      </w:r>
      <w:r w:rsidRPr="00335EAA">
        <w:rPr>
          <w:lang w:val="en-AU" w:eastAsia="en-AU"/>
        </w:rPr>
        <w:t>.</w:t>
      </w:r>
      <w:r w:rsidR="00840A3A">
        <w:rPr>
          <w:lang w:val="en-AU" w:eastAsia="en-AU"/>
        </w:rPr>
        <w:t xml:space="preserve"> </w:t>
      </w:r>
      <w:r w:rsidRPr="00565164">
        <w:rPr>
          <w:lang w:val="en-AU" w:eastAsia="en-AU"/>
        </w:rPr>
        <w:t>Before preparation, ensure you have the following supplies ready.</w:t>
      </w:r>
    </w:p>
    <w:p w:rsidR="00F1273D" w:rsidRPr="00F1273D" w:rsidRDefault="00B62C11" w:rsidP="00556A34">
      <w:pPr>
        <w:pStyle w:val="ListParagraph"/>
        <w:numPr>
          <w:ilvl w:val="0"/>
          <w:numId w:val="1"/>
        </w:numPr>
        <w:autoSpaceDE w:val="0"/>
        <w:autoSpaceDN w:val="0"/>
        <w:adjustRightInd w:val="0"/>
        <w:ind w:left="360"/>
        <w:rPr>
          <w:rFonts w:cs="Arial"/>
          <w:i/>
          <w:iCs/>
          <w:szCs w:val="22"/>
          <w:lang w:val="en-AU" w:eastAsia="en-AU"/>
        </w:rPr>
      </w:pPr>
      <w:r w:rsidRPr="00565164">
        <w:rPr>
          <w:rFonts w:cs="Arial"/>
          <w:szCs w:val="22"/>
          <w:lang w:val="en-AU" w:eastAsia="en-AU"/>
        </w:rPr>
        <w:t xml:space="preserve">1 package of </w:t>
      </w:r>
      <w:proofErr w:type="spellStart"/>
      <w:r w:rsidR="00FD0BE3">
        <w:rPr>
          <w:rFonts w:cs="Arial"/>
          <w:szCs w:val="22"/>
          <w:lang w:val="en-AU" w:eastAsia="en-AU"/>
        </w:rPr>
        <w:t>Blincyto</w:t>
      </w:r>
      <w:proofErr w:type="spellEnd"/>
      <w:r w:rsidRPr="00565164">
        <w:rPr>
          <w:rFonts w:cs="Arial"/>
          <w:szCs w:val="22"/>
          <w:lang w:val="en-AU" w:eastAsia="en-AU"/>
        </w:rPr>
        <w:t xml:space="preserve"> for preparation of</w:t>
      </w:r>
      <w:r w:rsidR="00F1273D">
        <w:rPr>
          <w:rFonts w:cs="Arial"/>
          <w:szCs w:val="22"/>
          <w:lang w:val="en-AU" w:eastAsia="en-AU"/>
        </w:rPr>
        <w:t>:</w:t>
      </w:r>
    </w:p>
    <w:p w:rsidR="00F1273D" w:rsidRPr="00F1273D" w:rsidRDefault="00B62C11" w:rsidP="00EA2DF3">
      <w:pPr>
        <w:pStyle w:val="ListParagraph"/>
        <w:numPr>
          <w:ilvl w:val="1"/>
          <w:numId w:val="21"/>
        </w:numPr>
        <w:autoSpaceDE w:val="0"/>
        <w:autoSpaceDN w:val="0"/>
        <w:adjustRightInd w:val="0"/>
        <w:ind w:left="1080"/>
        <w:rPr>
          <w:rFonts w:cs="Arial"/>
          <w:i/>
          <w:iCs/>
          <w:szCs w:val="22"/>
          <w:lang w:val="en-AU" w:eastAsia="en-AU"/>
        </w:rPr>
      </w:pPr>
      <w:r w:rsidRPr="00565164">
        <w:rPr>
          <w:rFonts w:cs="Arial"/>
          <w:szCs w:val="22"/>
          <w:lang w:val="en-AU" w:eastAsia="en-AU"/>
        </w:rPr>
        <w:t xml:space="preserve">9 </w:t>
      </w:r>
      <w:r w:rsidR="002E0BB1">
        <w:rPr>
          <w:rFonts w:cs="Arial"/>
          <w:szCs w:val="22"/>
          <w:lang w:val="en-AU" w:eastAsia="en-AU"/>
        </w:rPr>
        <w:t>micrograms</w:t>
      </w:r>
      <w:r w:rsidRPr="00565164">
        <w:rPr>
          <w:rFonts w:cs="Arial"/>
          <w:szCs w:val="22"/>
          <w:lang w:val="en-AU" w:eastAsia="en-AU"/>
        </w:rPr>
        <w:t>/day dose infused over 24 hours at a rate of 10 mL/h</w:t>
      </w:r>
    </w:p>
    <w:p w:rsidR="00F1273D" w:rsidRPr="00F1273D" w:rsidRDefault="00B62C11" w:rsidP="00EA2DF3">
      <w:pPr>
        <w:pStyle w:val="ListParagraph"/>
        <w:numPr>
          <w:ilvl w:val="1"/>
          <w:numId w:val="21"/>
        </w:numPr>
        <w:autoSpaceDE w:val="0"/>
        <w:autoSpaceDN w:val="0"/>
        <w:adjustRightInd w:val="0"/>
        <w:ind w:left="1080"/>
        <w:rPr>
          <w:rFonts w:cs="Arial"/>
          <w:i/>
          <w:iCs/>
          <w:szCs w:val="22"/>
          <w:lang w:val="en-AU" w:eastAsia="en-AU"/>
        </w:rPr>
      </w:pPr>
      <w:r w:rsidRPr="00565164">
        <w:rPr>
          <w:rFonts w:cs="Arial"/>
          <w:szCs w:val="22"/>
          <w:lang w:val="en-AU" w:eastAsia="en-AU"/>
        </w:rPr>
        <w:t xml:space="preserve">9 </w:t>
      </w:r>
      <w:r w:rsidR="002E0BB1">
        <w:rPr>
          <w:rFonts w:cs="Arial"/>
          <w:szCs w:val="22"/>
          <w:lang w:val="en-AU" w:eastAsia="en-AU"/>
        </w:rPr>
        <w:t>micrograms</w:t>
      </w:r>
      <w:r w:rsidRPr="00565164">
        <w:rPr>
          <w:rFonts w:cs="Arial"/>
          <w:szCs w:val="22"/>
          <w:lang w:val="en-AU" w:eastAsia="en-AU"/>
        </w:rPr>
        <w:t>/day dose infused over 48 hours at a rate of 5 mL/h</w:t>
      </w:r>
    </w:p>
    <w:p w:rsidR="00E36CA6" w:rsidRDefault="00B62C11" w:rsidP="00EA2DF3">
      <w:pPr>
        <w:pStyle w:val="ListParagraph"/>
        <w:numPr>
          <w:ilvl w:val="1"/>
          <w:numId w:val="21"/>
        </w:numPr>
        <w:autoSpaceDE w:val="0"/>
        <w:autoSpaceDN w:val="0"/>
        <w:adjustRightInd w:val="0"/>
        <w:ind w:left="1080"/>
        <w:rPr>
          <w:rFonts w:cs="Arial"/>
          <w:szCs w:val="22"/>
          <w:lang w:val="en-AU" w:eastAsia="en-AU"/>
        </w:rPr>
      </w:pPr>
      <w:r w:rsidRPr="00565164">
        <w:rPr>
          <w:rFonts w:cs="Arial"/>
          <w:szCs w:val="22"/>
          <w:lang w:val="en-AU" w:eastAsia="en-AU"/>
        </w:rPr>
        <w:t xml:space="preserve">9 </w:t>
      </w:r>
      <w:r w:rsidR="002E0BB1">
        <w:rPr>
          <w:rFonts w:cs="Arial"/>
          <w:szCs w:val="22"/>
          <w:lang w:val="en-AU" w:eastAsia="en-AU"/>
        </w:rPr>
        <w:t>micrograms</w:t>
      </w:r>
      <w:r w:rsidRPr="00565164">
        <w:rPr>
          <w:rFonts w:cs="Arial"/>
          <w:szCs w:val="22"/>
          <w:lang w:val="en-AU" w:eastAsia="en-AU"/>
        </w:rPr>
        <w:t>/day dose infused over 72 hours at a rate of 3.3 mL/h</w:t>
      </w:r>
    </w:p>
    <w:p w:rsidR="00843C73" w:rsidRPr="00565164" w:rsidRDefault="00B62C11" w:rsidP="00EA2DF3">
      <w:pPr>
        <w:pStyle w:val="ListParagraph"/>
        <w:numPr>
          <w:ilvl w:val="1"/>
          <w:numId w:val="21"/>
        </w:numPr>
        <w:autoSpaceDE w:val="0"/>
        <w:autoSpaceDN w:val="0"/>
        <w:adjustRightInd w:val="0"/>
        <w:ind w:left="1080"/>
        <w:rPr>
          <w:rFonts w:cs="Arial"/>
          <w:i/>
          <w:iCs/>
          <w:szCs w:val="22"/>
          <w:lang w:val="en-AU" w:eastAsia="en-AU"/>
        </w:rPr>
      </w:pPr>
      <w:r w:rsidRPr="00565164">
        <w:rPr>
          <w:rFonts w:cs="Arial"/>
          <w:szCs w:val="22"/>
          <w:lang w:val="en-AU" w:eastAsia="en-AU"/>
        </w:rPr>
        <w:t xml:space="preserve">28 </w:t>
      </w:r>
      <w:r w:rsidR="002E0BB1">
        <w:rPr>
          <w:rFonts w:cs="Arial"/>
          <w:szCs w:val="22"/>
          <w:lang w:val="en-AU" w:eastAsia="en-AU"/>
        </w:rPr>
        <w:t>micrograms</w:t>
      </w:r>
      <w:r w:rsidRPr="00565164">
        <w:rPr>
          <w:rFonts w:cs="Arial"/>
          <w:szCs w:val="22"/>
          <w:lang w:val="en-AU" w:eastAsia="en-AU"/>
        </w:rPr>
        <w:t>/day dose infused over 24 hours at a rate of 10 mL/h</w:t>
      </w:r>
    </w:p>
    <w:p w:rsidR="00F1273D" w:rsidRDefault="00B62C11" w:rsidP="00556A34">
      <w:pPr>
        <w:pStyle w:val="ListParagraph"/>
        <w:numPr>
          <w:ilvl w:val="0"/>
          <w:numId w:val="1"/>
        </w:numPr>
        <w:autoSpaceDE w:val="0"/>
        <w:autoSpaceDN w:val="0"/>
        <w:adjustRightInd w:val="0"/>
        <w:ind w:left="360"/>
        <w:rPr>
          <w:rFonts w:cs="Arial"/>
          <w:szCs w:val="22"/>
          <w:lang w:val="en-AU" w:eastAsia="en-AU"/>
        </w:rPr>
      </w:pPr>
      <w:r w:rsidRPr="00565164">
        <w:rPr>
          <w:rFonts w:cs="Arial"/>
          <w:szCs w:val="22"/>
          <w:lang w:val="en-AU" w:eastAsia="en-AU"/>
        </w:rPr>
        <w:t xml:space="preserve">2 packages of </w:t>
      </w:r>
      <w:proofErr w:type="spellStart"/>
      <w:r w:rsidR="00FD0BE3">
        <w:rPr>
          <w:rFonts w:cs="Arial"/>
          <w:szCs w:val="22"/>
          <w:lang w:val="en-AU" w:eastAsia="en-AU"/>
        </w:rPr>
        <w:t>Blincyto</w:t>
      </w:r>
      <w:proofErr w:type="spellEnd"/>
      <w:r w:rsidRPr="00565164">
        <w:rPr>
          <w:rFonts w:cs="Arial"/>
          <w:szCs w:val="22"/>
          <w:lang w:val="en-AU" w:eastAsia="en-AU"/>
        </w:rPr>
        <w:t xml:space="preserve"> for preparation of</w:t>
      </w:r>
      <w:r w:rsidR="00F1273D">
        <w:rPr>
          <w:rFonts w:cs="Arial"/>
          <w:szCs w:val="22"/>
          <w:lang w:val="en-AU" w:eastAsia="en-AU"/>
        </w:rPr>
        <w:t>:</w:t>
      </w:r>
    </w:p>
    <w:p w:rsidR="00F1273D" w:rsidRDefault="00B62C11" w:rsidP="00EA2DF3">
      <w:pPr>
        <w:pStyle w:val="ListParagraph"/>
        <w:numPr>
          <w:ilvl w:val="1"/>
          <w:numId w:val="22"/>
        </w:numPr>
        <w:autoSpaceDE w:val="0"/>
        <w:autoSpaceDN w:val="0"/>
        <w:adjustRightInd w:val="0"/>
        <w:ind w:left="1080"/>
        <w:rPr>
          <w:rFonts w:cs="Arial"/>
          <w:szCs w:val="22"/>
          <w:lang w:val="en-AU" w:eastAsia="en-AU"/>
        </w:rPr>
      </w:pPr>
      <w:r w:rsidRPr="00565164">
        <w:rPr>
          <w:rFonts w:cs="Arial"/>
          <w:szCs w:val="22"/>
          <w:lang w:val="en-AU" w:eastAsia="en-AU"/>
        </w:rPr>
        <w:t xml:space="preserve">9 </w:t>
      </w:r>
      <w:r w:rsidR="002E0BB1">
        <w:rPr>
          <w:rFonts w:cs="Arial"/>
          <w:szCs w:val="22"/>
          <w:lang w:val="en-AU" w:eastAsia="en-AU"/>
        </w:rPr>
        <w:t>micrograms</w:t>
      </w:r>
      <w:r w:rsidRPr="00565164">
        <w:rPr>
          <w:rFonts w:cs="Arial"/>
          <w:szCs w:val="22"/>
          <w:lang w:val="en-AU" w:eastAsia="en-AU"/>
        </w:rPr>
        <w:t xml:space="preserve">/day dose infused over 96 hours at a rate of 2.5 mL/h </w:t>
      </w:r>
      <w:r w:rsidR="00C33F0B">
        <w:rPr>
          <w:rFonts w:cs="Arial"/>
          <w:szCs w:val="22"/>
          <w:lang w:val="en-AU" w:eastAsia="en-AU"/>
        </w:rPr>
        <w:t>(note: if using cassettes either 1 or 2 vials may be required)</w:t>
      </w:r>
    </w:p>
    <w:p w:rsidR="00B62C11" w:rsidRPr="00565164" w:rsidRDefault="00B62C11" w:rsidP="00EA2DF3">
      <w:pPr>
        <w:pStyle w:val="ListParagraph"/>
        <w:numPr>
          <w:ilvl w:val="1"/>
          <w:numId w:val="22"/>
        </w:numPr>
        <w:autoSpaceDE w:val="0"/>
        <w:autoSpaceDN w:val="0"/>
        <w:adjustRightInd w:val="0"/>
        <w:ind w:left="1080"/>
        <w:rPr>
          <w:rFonts w:cs="Arial"/>
          <w:szCs w:val="22"/>
          <w:lang w:val="en-AU" w:eastAsia="en-AU"/>
        </w:rPr>
      </w:pPr>
      <w:r w:rsidRPr="00565164">
        <w:rPr>
          <w:rFonts w:cs="Arial"/>
          <w:szCs w:val="22"/>
          <w:lang w:val="en-AU" w:eastAsia="en-AU"/>
        </w:rPr>
        <w:t xml:space="preserve">28 </w:t>
      </w:r>
      <w:r w:rsidR="002E0BB1">
        <w:rPr>
          <w:rFonts w:cs="Arial"/>
          <w:szCs w:val="22"/>
          <w:lang w:val="en-AU" w:eastAsia="en-AU"/>
        </w:rPr>
        <w:t>micrograms</w:t>
      </w:r>
      <w:r w:rsidRPr="00565164">
        <w:rPr>
          <w:rFonts w:cs="Arial"/>
          <w:szCs w:val="22"/>
          <w:lang w:val="en-AU" w:eastAsia="en-AU"/>
        </w:rPr>
        <w:t>/day dose infused over 48 hours at a rate of 5 mL/h</w:t>
      </w:r>
    </w:p>
    <w:p w:rsidR="00F1273D" w:rsidRDefault="00B62C11" w:rsidP="00556A34">
      <w:pPr>
        <w:pStyle w:val="ListParagraph"/>
        <w:numPr>
          <w:ilvl w:val="0"/>
          <w:numId w:val="1"/>
        </w:numPr>
        <w:autoSpaceDE w:val="0"/>
        <w:autoSpaceDN w:val="0"/>
        <w:adjustRightInd w:val="0"/>
        <w:ind w:left="360"/>
        <w:rPr>
          <w:rFonts w:cs="Arial"/>
          <w:szCs w:val="22"/>
          <w:lang w:val="en-AU" w:eastAsia="en-AU"/>
        </w:rPr>
      </w:pPr>
      <w:r w:rsidRPr="00565164">
        <w:rPr>
          <w:rFonts w:cs="Arial"/>
          <w:szCs w:val="22"/>
          <w:lang w:val="en-AU" w:eastAsia="en-AU"/>
        </w:rPr>
        <w:t xml:space="preserve">3 </w:t>
      </w:r>
      <w:r w:rsidRPr="007567A8">
        <w:rPr>
          <w:rFonts w:cs="Arial"/>
          <w:szCs w:val="22"/>
          <w:lang w:val="en-AU" w:eastAsia="en-AU"/>
        </w:rPr>
        <w:t xml:space="preserve">packages of </w:t>
      </w:r>
      <w:proofErr w:type="spellStart"/>
      <w:r w:rsidR="00FD0BE3" w:rsidRPr="007567A8">
        <w:rPr>
          <w:rFonts w:cs="Arial"/>
          <w:szCs w:val="22"/>
          <w:lang w:val="en-AU" w:eastAsia="en-AU"/>
        </w:rPr>
        <w:t>Blincyto</w:t>
      </w:r>
      <w:proofErr w:type="spellEnd"/>
      <w:r w:rsidRPr="007567A8">
        <w:rPr>
          <w:rFonts w:cs="Arial"/>
          <w:szCs w:val="22"/>
          <w:lang w:val="en-AU" w:eastAsia="en-AU"/>
        </w:rPr>
        <w:t xml:space="preserve"> for preparation of</w:t>
      </w:r>
      <w:r w:rsidR="00F1273D">
        <w:rPr>
          <w:rFonts w:cs="Arial"/>
          <w:szCs w:val="22"/>
          <w:lang w:val="en-AU" w:eastAsia="en-AU"/>
        </w:rPr>
        <w:t>:</w:t>
      </w:r>
    </w:p>
    <w:p w:rsidR="00B62C11" w:rsidRPr="007567A8" w:rsidRDefault="00B62C11" w:rsidP="00556A34">
      <w:pPr>
        <w:pStyle w:val="ListParagraph"/>
        <w:numPr>
          <w:ilvl w:val="1"/>
          <w:numId w:val="1"/>
        </w:numPr>
        <w:autoSpaceDE w:val="0"/>
        <w:autoSpaceDN w:val="0"/>
        <w:adjustRightInd w:val="0"/>
        <w:ind w:left="1080"/>
        <w:rPr>
          <w:rFonts w:cs="Arial"/>
          <w:szCs w:val="22"/>
          <w:lang w:val="en-AU" w:eastAsia="en-AU"/>
        </w:rPr>
      </w:pPr>
      <w:r w:rsidRPr="007567A8">
        <w:rPr>
          <w:rFonts w:cs="Arial"/>
          <w:szCs w:val="22"/>
          <w:lang w:val="en-AU" w:eastAsia="en-AU"/>
        </w:rPr>
        <w:t xml:space="preserve">28 </w:t>
      </w:r>
      <w:r w:rsidR="002E0BB1">
        <w:rPr>
          <w:rFonts w:cs="Arial"/>
          <w:szCs w:val="22"/>
          <w:lang w:val="en-AU" w:eastAsia="en-AU"/>
        </w:rPr>
        <w:t>micrograms</w:t>
      </w:r>
      <w:r w:rsidRPr="007567A8">
        <w:rPr>
          <w:rFonts w:cs="Arial"/>
          <w:szCs w:val="22"/>
          <w:lang w:val="en-AU" w:eastAsia="en-AU"/>
        </w:rPr>
        <w:t>/day dose infused over 72 hours at a rate of 3.3 mL/h</w:t>
      </w:r>
    </w:p>
    <w:p w:rsidR="00F1273D" w:rsidRDefault="00B62C11" w:rsidP="00556A34">
      <w:pPr>
        <w:pStyle w:val="ListParagraph"/>
        <w:numPr>
          <w:ilvl w:val="0"/>
          <w:numId w:val="1"/>
        </w:numPr>
        <w:autoSpaceDE w:val="0"/>
        <w:autoSpaceDN w:val="0"/>
        <w:adjustRightInd w:val="0"/>
        <w:ind w:left="360"/>
        <w:rPr>
          <w:rFonts w:cs="Arial"/>
          <w:szCs w:val="22"/>
          <w:lang w:val="en-AU" w:eastAsia="en-AU"/>
        </w:rPr>
      </w:pPr>
      <w:r w:rsidRPr="007567A8">
        <w:rPr>
          <w:rFonts w:cs="Arial"/>
          <w:szCs w:val="22"/>
          <w:lang w:val="en-AU" w:eastAsia="en-AU"/>
        </w:rPr>
        <w:t xml:space="preserve">4 packages of </w:t>
      </w:r>
      <w:proofErr w:type="spellStart"/>
      <w:r w:rsidR="00FD0BE3" w:rsidRPr="007567A8">
        <w:rPr>
          <w:rFonts w:cs="Arial"/>
          <w:szCs w:val="22"/>
          <w:lang w:val="en-AU" w:eastAsia="en-AU"/>
        </w:rPr>
        <w:t>Blincyto</w:t>
      </w:r>
      <w:proofErr w:type="spellEnd"/>
      <w:r w:rsidR="00F1273D">
        <w:rPr>
          <w:rFonts w:cs="Arial"/>
          <w:szCs w:val="22"/>
          <w:lang w:val="en-AU" w:eastAsia="en-AU"/>
        </w:rPr>
        <w:t xml:space="preserve"> for preparation of:</w:t>
      </w:r>
    </w:p>
    <w:p w:rsidR="00B62C11" w:rsidRPr="007567A8" w:rsidRDefault="00B62C11" w:rsidP="00556A34">
      <w:pPr>
        <w:pStyle w:val="ListParagraph"/>
        <w:numPr>
          <w:ilvl w:val="1"/>
          <w:numId w:val="1"/>
        </w:numPr>
        <w:autoSpaceDE w:val="0"/>
        <w:autoSpaceDN w:val="0"/>
        <w:adjustRightInd w:val="0"/>
        <w:ind w:left="1080"/>
        <w:rPr>
          <w:rFonts w:cs="Arial"/>
          <w:szCs w:val="22"/>
          <w:lang w:val="en-AU" w:eastAsia="en-AU"/>
        </w:rPr>
      </w:pPr>
      <w:r w:rsidRPr="007567A8">
        <w:rPr>
          <w:rFonts w:cs="Arial"/>
          <w:szCs w:val="22"/>
          <w:lang w:val="en-AU" w:eastAsia="en-AU"/>
        </w:rPr>
        <w:t xml:space="preserve">28 </w:t>
      </w:r>
      <w:r w:rsidR="00AE642E">
        <w:rPr>
          <w:rFonts w:cs="Arial"/>
          <w:szCs w:val="22"/>
          <w:lang w:val="en-AU" w:eastAsia="en-AU"/>
        </w:rPr>
        <w:t>micrograms</w:t>
      </w:r>
      <w:r w:rsidRPr="007567A8">
        <w:rPr>
          <w:rFonts w:cs="Arial"/>
          <w:szCs w:val="22"/>
          <w:lang w:val="en-AU" w:eastAsia="en-AU"/>
        </w:rPr>
        <w:t>/day dose infused over 96 hours at a rate of 2.5 mL/h</w:t>
      </w:r>
    </w:p>
    <w:p w:rsidR="00382CC2" w:rsidRPr="00B67312" w:rsidRDefault="00382CC2" w:rsidP="001500F7">
      <w:pPr>
        <w:pStyle w:val="Text"/>
      </w:pPr>
      <w:r>
        <w:t xml:space="preserve">The extractable amount of </w:t>
      </w:r>
      <w:proofErr w:type="spellStart"/>
      <w:r>
        <w:t>blinatumomab</w:t>
      </w:r>
      <w:proofErr w:type="spellEnd"/>
      <w:r>
        <w:t xml:space="preserve"> </w:t>
      </w:r>
      <w:r w:rsidR="00BD110D">
        <w:t xml:space="preserve">per </w:t>
      </w:r>
      <w:r w:rsidRPr="00B67312">
        <w:t xml:space="preserve">vial is 35 </w:t>
      </w:r>
      <w:r w:rsidR="00AE642E">
        <w:t>micrograms</w:t>
      </w:r>
      <w:r>
        <w:t xml:space="preserve"> in a volume of 2.8 mL reconstituted solution.</w:t>
      </w:r>
    </w:p>
    <w:p w:rsidR="00B62C11" w:rsidRPr="007567A8" w:rsidRDefault="00B62C11" w:rsidP="001500F7">
      <w:pPr>
        <w:pStyle w:val="Text"/>
        <w:rPr>
          <w:lang w:val="en-AU" w:eastAsia="en-AU"/>
        </w:rPr>
      </w:pPr>
      <w:r w:rsidRPr="007567A8">
        <w:rPr>
          <w:lang w:val="en-AU" w:eastAsia="en-AU"/>
        </w:rPr>
        <w:t xml:space="preserve">The following supplies are also required, but </w:t>
      </w:r>
      <w:r w:rsidRPr="007567A8">
        <w:rPr>
          <w:b/>
          <w:bCs/>
          <w:lang w:val="en-AU" w:eastAsia="en-AU"/>
        </w:rPr>
        <w:t xml:space="preserve">not </w:t>
      </w:r>
      <w:r w:rsidRPr="007567A8">
        <w:rPr>
          <w:lang w:val="en-AU" w:eastAsia="en-AU"/>
        </w:rPr>
        <w:t>included in the package:</w:t>
      </w:r>
    </w:p>
    <w:p w:rsidR="00B62C11" w:rsidRPr="007567A8" w:rsidRDefault="00B62C11" w:rsidP="00556A34">
      <w:pPr>
        <w:pStyle w:val="ListParagraph"/>
        <w:numPr>
          <w:ilvl w:val="0"/>
          <w:numId w:val="2"/>
        </w:numPr>
        <w:autoSpaceDE w:val="0"/>
        <w:autoSpaceDN w:val="0"/>
        <w:adjustRightInd w:val="0"/>
        <w:ind w:left="360"/>
        <w:rPr>
          <w:rFonts w:cs="Arial"/>
          <w:szCs w:val="22"/>
          <w:lang w:val="en-AU" w:eastAsia="en-AU"/>
        </w:rPr>
      </w:pPr>
      <w:r w:rsidRPr="007567A8">
        <w:rPr>
          <w:rFonts w:cs="Arial"/>
          <w:szCs w:val="22"/>
          <w:lang w:val="en-AU" w:eastAsia="en-AU"/>
        </w:rPr>
        <w:t>Sterile single-use disposable syringes</w:t>
      </w:r>
    </w:p>
    <w:p w:rsidR="00B62C11" w:rsidRPr="007567A8" w:rsidRDefault="00335EAA" w:rsidP="00556A34">
      <w:pPr>
        <w:pStyle w:val="ListParagraph"/>
        <w:numPr>
          <w:ilvl w:val="0"/>
          <w:numId w:val="2"/>
        </w:numPr>
        <w:autoSpaceDE w:val="0"/>
        <w:autoSpaceDN w:val="0"/>
        <w:adjustRightInd w:val="0"/>
        <w:ind w:left="360"/>
        <w:rPr>
          <w:rFonts w:cs="Arial"/>
          <w:szCs w:val="22"/>
          <w:lang w:val="en-AU" w:eastAsia="en-AU"/>
        </w:rPr>
      </w:pPr>
      <w:r w:rsidRPr="007567A8">
        <w:rPr>
          <w:rFonts w:cs="Arial"/>
          <w:szCs w:val="22"/>
          <w:lang w:val="en-AU" w:eastAsia="en-AU"/>
        </w:rPr>
        <w:t xml:space="preserve">21 </w:t>
      </w:r>
      <w:r w:rsidR="00B62C11" w:rsidRPr="007567A8">
        <w:rPr>
          <w:rFonts w:cs="Arial"/>
          <w:szCs w:val="22"/>
          <w:lang w:val="en-AU" w:eastAsia="en-AU"/>
        </w:rPr>
        <w:t>to 23 gauge needle(s) (recommended)</w:t>
      </w:r>
    </w:p>
    <w:p w:rsidR="00B62C11" w:rsidRPr="007567A8" w:rsidRDefault="00B62C11" w:rsidP="00556A34">
      <w:pPr>
        <w:pStyle w:val="ListParagraph"/>
        <w:numPr>
          <w:ilvl w:val="0"/>
          <w:numId w:val="2"/>
        </w:numPr>
        <w:autoSpaceDE w:val="0"/>
        <w:autoSpaceDN w:val="0"/>
        <w:adjustRightInd w:val="0"/>
        <w:ind w:left="360"/>
        <w:rPr>
          <w:rFonts w:cs="Arial"/>
          <w:szCs w:val="22"/>
          <w:lang w:val="en-AU" w:eastAsia="en-AU"/>
        </w:rPr>
      </w:pPr>
      <w:r w:rsidRPr="007567A8">
        <w:rPr>
          <w:rFonts w:cs="Arial"/>
          <w:szCs w:val="22"/>
          <w:lang w:val="en-AU" w:eastAsia="en-AU"/>
        </w:rPr>
        <w:t xml:space="preserve">Preservative-free Sterile </w:t>
      </w:r>
      <w:r w:rsidR="00161222">
        <w:rPr>
          <w:rFonts w:cs="Arial"/>
          <w:szCs w:val="22"/>
          <w:lang w:val="en-AU" w:eastAsia="en-AU"/>
        </w:rPr>
        <w:t>Water for Injections</w:t>
      </w:r>
    </w:p>
    <w:p w:rsidR="00B62C11" w:rsidRPr="007567A8" w:rsidRDefault="00B62C11" w:rsidP="00556A34">
      <w:pPr>
        <w:pStyle w:val="ListParagraph"/>
        <w:numPr>
          <w:ilvl w:val="0"/>
          <w:numId w:val="2"/>
        </w:numPr>
        <w:autoSpaceDE w:val="0"/>
        <w:autoSpaceDN w:val="0"/>
        <w:adjustRightInd w:val="0"/>
        <w:ind w:left="360"/>
        <w:rPr>
          <w:rFonts w:cs="Arial"/>
          <w:szCs w:val="22"/>
          <w:lang w:val="en-AU" w:eastAsia="en-AU"/>
        </w:rPr>
      </w:pPr>
      <w:r w:rsidRPr="007567A8">
        <w:rPr>
          <w:rFonts w:cs="Arial"/>
          <w:szCs w:val="22"/>
          <w:lang w:val="en-AU" w:eastAsia="en-AU"/>
        </w:rPr>
        <w:t xml:space="preserve">250 mL 0.9% </w:t>
      </w:r>
      <w:r w:rsidR="008301D0">
        <w:rPr>
          <w:rFonts w:cs="Arial"/>
          <w:szCs w:val="22"/>
          <w:lang w:val="en-AU" w:eastAsia="en-AU"/>
        </w:rPr>
        <w:t>s</w:t>
      </w:r>
      <w:r w:rsidRPr="007567A8">
        <w:rPr>
          <w:rFonts w:cs="Arial"/>
          <w:szCs w:val="22"/>
          <w:lang w:val="en-AU" w:eastAsia="en-AU"/>
        </w:rPr>
        <w:t xml:space="preserve">odium </w:t>
      </w:r>
      <w:r w:rsidR="008301D0">
        <w:rPr>
          <w:rFonts w:cs="Arial"/>
          <w:szCs w:val="22"/>
          <w:lang w:val="en-AU" w:eastAsia="en-AU"/>
        </w:rPr>
        <w:t>c</w:t>
      </w:r>
      <w:r w:rsidRPr="007567A8">
        <w:rPr>
          <w:rFonts w:cs="Arial"/>
          <w:szCs w:val="22"/>
          <w:lang w:val="en-AU" w:eastAsia="en-AU"/>
        </w:rPr>
        <w:t>hloride IV bag</w:t>
      </w:r>
      <w:r w:rsidR="00C33F0B">
        <w:rPr>
          <w:rFonts w:cs="Arial"/>
          <w:szCs w:val="22"/>
          <w:lang w:val="en-AU" w:eastAsia="en-AU"/>
        </w:rPr>
        <w:t xml:space="preserve"> OR a 250 mL cassette</w:t>
      </w:r>
    </w:p>
    <w:p w:rsidR="00B62C11" w:rsidRPr="007567A8" w:rsidRDefault="00C33F0B" w:rsidP="00F322F7">
      <w:pPr>
        <w:pStyle w:val="StyleListParagraphBold"/>
        <w:ind w:left="1134"/>
        <w:rPr>
          <w:lang w:val="en-AU" w:eastAsia="en-AU"/>
        </w:rPr>
      </w:pPr>
      <w:r>
        <w:rPr>
          <w:lang w:val="en-AU" w:eastAsia="en-AU"/>
        </w:rPr>
        <w:t>If using IV bags, t</w:t>
      </w:r>
      <w:r w:rsidRPr="007567A8">
        <w:rPr>
          <w:lang w:val="en-AU" w:eastAsia="en-AU"/>
        </w:rPr>
        <w:t xml:space="preserve">o </w:t>
      </w:r>
      <w:r w:rsidR="00804A9A" w:rsidRPr="007567A8">
        <w:rPr>
          <w:lang w:val="en-AU" w:eastAsia="en-AU"/>
        </w:rPr>
        <w:t>minimise</w:t>
      </w:r>
      <w:r w:rsidR="00B62C11" w:rsidRPr="007567A8">
        <w:rPr>
          <w:lang w:val="en-AU" w:eastAsia="en-AU"/>
        </w:rPr>
        <w:t xml:space="preserve"> the number of aseptic transfers, it is recommended to use a</w:t>
      </w:r>
      <w:r w:rsidR="00335EAA" w:rsidRPr="007567A8">
        <w:rPr>
          <w:lang w:val="en-AU" w:eastAsia="en-AU"/>
        </w:rPr>
        <w:t xml:space="preserve"> 250 mL-prefilled IV bag. 250 m</w:t>
      </w:r>
      <w:r w:rsidR="00161222">
        <w:rPr>
          <w:lang w:val="en-AU" w:eastAsia="en-AU"/>
        </w:rPr>
        <w:t>L</w:t>
      </w:r>
      <w:r w:rsidR="00335EAA" w:rsidRPr="007567A8">
        <w:rPr>
          <w:lang w:val="en-AU" w:eastAsia="en-AU"/>
        </w:rPr>
        <w:t xml:space="preserve"> </w:t>
      </w:r>
      <w:r w:rsidR="00B62C11" w:rsidRPr="007567A8">
        <w:rPr>
          <w:lang w:val="en-AU" w:eastAsia="en-AU"/>
        </w:rPr>
        <w:t>prefilled</w:t>
      </w:r>
      <w:r w:rsidR="004116FA" w:rsidRPr="007567A8">
        <w:rPr>
          <w:lang w:val="en-AU" w:eastAsia="en-AU"/>
        </w:rPr>
        <w:t xml:space="preserve"> </w:t>
      </w:r>
      <w:r w:rsidR="00B62C11" w:rsidRPr="007567A8">
        <w:rPr>
          <w:lang w:val="en-AU" w:eastAsia="en-AU"/>
        </w:rPr>
        <w:t xml:space="preserve">IV bags typically contain overfill with a total volume of 265 to 275 </w:t>
      </w:r>
      <w:proofErr w:type="spellStart"/>
      <w:r w:rsidR="00B62C11" w:rsidRPr="007567A8">
        <w:rPr>
          <w:lang w:val="en-AU" w:eastAsia="en-AU"/>
        </w:rPr>
        <w:t>mL.</w:t>
      </w:r>
      <w:proofErr w:type="spellEnd"/>
      <w:r w:rsidR="00B62C11" w:rsidRPr="007567A8">
        <w:rPr>
          <w:lang w:val="en-AU" w:eastAsia="en-AU"/>
        </w:rPr>
        <w:t xml:space="preserve"> </w:t>
      </w:r>
      <w:proofErr w:type="spellStart"/>
      <w:r w:rsidR="00FD0BE3" w:rsidRPr="007567A8">
        <w:rPr>
          <w:lang w:val="en-AU" w:eastAsia="en-AU"/>
        </w:rPr>
        <w:t>Blincyto</w:t>
      </w:r>
      <w:proofErr w:type="spellEnd"/>
      <w:r w:rsidR="00B62C11" w:rsidRPr="007567A8">
        <w:rPr>
          <w:lang w:val="en-AU" w:eastAsia="en-AU"/>
        </w:rPr>
        <w:t xml:space="preserve"> dose</w:t>
      </w:r>
      <w:r w:rsidR="004116FA" w:rsidRPr="007567A8">
        <w:rPr>
          <w:lang w:val="en-AU" w:eastAsia="en-AU"/>
        </w:rPr>
        <w:t xml:space="preserve"> </w:t>
      </w:r>
      <w:r w:rsidR="00B62C11" w:rsidRPr="007567A8">
        <w:rPr>
          <w:lang w:val="en-AU" w:eastAsia="en-AU"/>
        </w:rPr>
        <w:t>calculations are based on a starting volume of 265 mL to 275 mL</w:t>
      </w:r>
      <w:r w:rsidR="004116FA" w:rsidRPr="007567A8">
        <w:rPr>
          <w:lang w:val="en-AU" w:eastAsia="en-AU"/>
        </w:rPr>
        <w:t xml:space="preserve"> </w:t>
      </w:r>
      <w:r w:rsidR="00B62C11" w:rsidRPr="007567A8">
        <w:rPr>
          <w:lang w:val="en-AU" w:eastAsia="en-AU"/>
        </w:rPr>
        <w:t xml:space="preserve">0.9% </w:t>
      </w:r>
      <w:r w:rsidR="008301D0">
        <w:rPr>
          <w:lang w:val="en-AU" w:eastAsia="en-AU"/>
        </w:rPr>
        <w:t>s</w:t>
      </w:r>
      <w:r w:rsidR="00B62C11" w:rsidRPr="007567A8">
        <w:rPr>
          <w:lang w:val="en-AU" w:eastAsia="en-AU"/>
        </w:rPr>
        <w:t xml:space="preserve">odium </w:t>
      </w:r>
      <w:proofErr w:type="spellStart"/>
      <w:r w:rsidR="008301D0">
        <w:rPr>
          <w:lang w:val="en-AU" w:eastAsia="en-AU"/>
        </w:rPr>
        <w:t>sodium</w:t>
      </w:r>
      <w:proofErr w:type="spellEnd"/>
      <w:r w:rsidR="008301D0">
        <w:rPr>
          <w:lang w:val="en-AU" w:eastAsia="en-AU"/>
        </w:rPr>
        <w:t xml:space="preserve"> chloride</w:t>
      </w:r>
      <w:r w:rsidR="00B62C11" w:rsidRPr="007567A8">
        <w:rPr>
          <w:lang w:val="en-AU" w:eastAsia="en-AU"/>
        </w:rPr>
        <w:t>.</w:t>
      </w:r>
    </w:p>
    <w:p w:rsidR="00B83CF2" w:rsidRPr="00B83CF2" w:rsidRDefault="00B62C11" w:rsidP="00556A34">
      <w:pPr>
        <w:pStyle w:val="ListParagraph"/>
        <w:numPr>
          <w:ilvl w:val="2"/>
          <w:numId w:val="3"/>
        </w:numPr>
        <w:autoSpaceDE w:val="0"/>
        <w:autoSpaceDN w:val="0"/>
        <w:adjustRightInd w:val="0"/>
        <w:ind w:left="720"/>
        <w:rPr>
          <w:rFonts w:cs="Arial"/>
          <w:szCs w:val="22"/>
          <w:lang w:val="en-AU" w:eastAsia="en-AU"/>
        </w:rPr>
      </w:pPr>
      <w:r w:rsidRPr="00B83CF2">
        <w:rPr>
          <w:rFonts w:cs="Arial"/>
          <w:szCs w:val="22"/>
          <w:lang w:val="en-AU" w:eastAsia="en-AU"/>
        </w:rPr>
        <w:t>Use only polyolefin, PVC non-di-</w:t>
      </w:r>
      <w:proofErr w:type="spellStart"/>
      <w:r w:rsidRPr="00B83CF2">
        <w:rPr>
          <w:rFonts w:cs="Arial"/>
          <w:szCs w:val="22"/>
          <w:lang w:val="en-AU" w:eastAsia="en-AU"/>
        </w:rPr>
        <w:t>ethylhexylphthalate</w:t>
      </w:r>
      <w:proofErr w:type="spellEnd"/>
      <w:r w:rsidRPr="00B83CF2">
        <w:rPr>
          <w:rFonts w:cs="Arial"/>
          <w:szCs w:val="22"/>
          <w:lang w:val="en-AU" w:eastAsia="en-AU"/>
        </w:rPr>
        <w:t xml:space="preserve"> (non-DEHP), or ethyl vinyl acetate (EVA) infusion</w:t>
      </w:r>
      <w:r w:rsidR="004116FA" w:rsidRPr="00B83CF2">
        <w:rPr>
          <w:rFonts w:cs="Arial"/>
          <w:szCs w:val="22"/>
          <w:lang w:val="en-AU" w:eastAsia="en-AU"/>
        </w:rPr>
        <w:t xml:space="preserve"> </w:t>
      </w:r>
      <w:r w:rsidRPr="00B83CF2">
        <w:rPr>
          <w:rFonts w:cs="Arial"/>
          <w:szCs w:val="22"/>
          <w:lang w:val="en-AU" w:eastAsia="en-AU"/>
        </w:rPr>
        <w:t>bags/pump cassettes.</w:t>
      </w:r>
    </w:p>
    <w:p w:rsidR="00B83CF2" w:rsidRPr="00B83CF2" w:rsidRDefault="00B62C11" w:rsidP="00556A34">
      <w:pPr>
        <w:pStyle w:val="ListParagraph"/>
        <w:numPr>
          <w:ilvl w:val="0"/>
          <w:numId w:val="2"/>
        </w:numPr>
        <w:autoSpaceDE w:val="0"/>
        <w:autoSpaceDN w:val="0"/>
        <w:adjustRightInd w:val="0"/>
        <w:ind w:left="360"/>
        <w:rPr>
          <w:rFonts w:cs="Arial"/>
          <w:szCs w:val="22"/>
          <w:lang w:val="en-AU" w:eastAsia="en-AU"/>
        </w:rPr>
      </w:pPr>
      <w:r w:rsidRPr="00B83CF2">
        <w:rPr>
          <w:rFonts w:cs="Arial"/>
          <w:szCs w:val="22"/>
          <w:lang w:val="en-AU" w:eastAsia="en-AU"/>
        </w:rPr>
        <w:t>Polyolefin, PVC non-DEHP, or EVA IV tubing with a sterile, non-pyrogenic, low protein-binding 0.2 micron in-line</w:t>
      </w:r>
      <w:r w:rsidR="004116FA" w:rsidRPr="00B83CF2">
        <w:rPr>
          <w:rFonts w:cs="Arial"/>
          <w:szCs w:val="22"/>
          <w:lang w:val="en-AU" w:eastAsia="en-AU"/>
        </w:rPr>
        <w:t xml:space="preserve"> </w:t>
      </w:r>
      <w:r w:rsidRPr="00B83CF2">
        <w:rPr>
          <w:rFonts w:cs="Arial"/>
          <w:szCs w:val="22"/>
          <w:lang w:val="en-AU" w:eastAsia="en-AU"/>
        </w:rPr>
        <w:t>filter</w:t>
      </w:r>
    </w:p>
    <w:p w:rsidR="00B83CF2" w:rsidRPr="00B83CF2" w:rsidRDefault="00B62C11" w:rsidP="00556A34">
      <w:pPr>
        <w:pStyle w:val="ListParagraph"/>
        <w:numPr>
          <w:ilvl w:val="2"/>
          <w:numId w:val="3"/>
        </w:numPr>
        <w:autoSpaceDE w:val="0"/>
        <w:autoSpaceDN w:val="0"/>
        <w:adjustRightInd w:val="0"/>
        <w:ind w:left="720"/>
        <w:rPr>
          <w:rFonts w:cs="Arial"/>
          <w:b/>
          <w:i/>
          <w:szCs w:val="22"/>
          <w:lang w:val="en-AU"/>
        </w:rPr>
      </w:pPr>
      <w:r w:rsidRPr="00B83CF2">
        <w:rPr>
          <w:rFonts w:cs="Arial"/>
          <w:szCs w:val="22"/>
          <w:lang w:val="en-AU" w:eastAsia="en-AU"/>
        </w:rPr>
        <w:t>Ensure that the IV tubing is compatible with the infusion pump</w:t>
      </w:r>
    </w:p>
    <w:p w:rsidR="00D706E8" w:rsidRDefault="00D706E8" w:rsidP="003951D0">
      <w:pPr>
        <w:pStyle w:val="Heading2"/>
        <w:rPr>
          <w:lang w:val="en-AU" w:eastAsia="en-AU"/>
        </w:rPr>
      </w:pPr>
      <w:r w:rsidRPr="00565164">
        <w:rPr>
          <w:lang w:val="en-AU" w:eastAsia="en-AU"/>
        </w:rPr>
        <w:lastRenderedPageBreak/>
        <w:t xml:space="preserve">Preparation of </w:t>
      </w:r>
      <w:proofErr w:type="spellStart"/>
      <w:r>
        <w:rPr>
          <w:lang w:val="en-AU" w:eastAsia="en-AU"/>
        </w:rPr>
        <w:t>Blincyto</w:t>
      </w:r>
      <w:proofErr w:type="spellEnd"/>
      <w:r w:rsidRPr="00565164">
        <w:rPr>
          <w:lang w:val="en-AU" w:eastAsia="en-AU"/>
        </w:rPr>
        <w:t xml:space="preserve"> Solution for Infusion using a Prefilled 250 mL 0.9% Sodium Chloride IV Bag</w:t>
      </w:r>
    </w:p>
    <w:p w:rsidR="00F5792E" w:rsidRPr="00641665" w:rsidRDefault="00812A91" w:rsidP="00641665">
      <w:pPr>
        <w:pStyle w:val="Heading3"/>
        <w:numPr>
          <w:ilvl w:val="0"/>
          <w:numId w:val="35"/>
        </w:numPr>
        <w:rPr>
          <w:u w:val="none"/>
        </w:rPr>
      </w:pPr>
      <w:r w:rsidRPr="00641665">
        <w:rPr>
          <w:u w:val="none"/>
        </w:rPr>
        <w:t xml:space="preserve">Preparation of </w:t>
      </w:r>
      <w:proofErr w:type="spellStart"/>
      <w:r w:rsidR="00FD0BE3" w:rsidRPr="00641665">
        <w:rPr>
          <w:u w:val="none"/>
        </w:rPr>
        <w:t>Blincyto</w:t>
      </w:r>
      <w:proofErr w:type="spellEnd"/>
      <w:r w:rsidRPr="00641665">
        <w:rPr>
          <w:u w:val="none"/>
        </w:rPr>
        <w:t xml:space="preserve"> 9 </w:t>
      </w:r>
      <w:r w:rsidR="00AE642E" w:rsidRPr="00641665">
        <w:rPr>
          <w:u w:val="none"/>
        </w:rPr>
        <w:t>micrograms</w:t>
      </w:r>
      <w:r w:rsidRPr="00641665">
        <w:rPr>
          <w:u w:val="none"/>
        </w:rPr>
        <w:t>/day infused over 24 hours at a rate of 10 mL/h</w:t>
      </w:r>
    </w:p>
    <w:p w:rsidR="00812A91" w:rsidRPr="007567A8" w:rsidRDefault="00812A91" w:rsidP="00556A34">
      <w:pPr>
        <w:pStyle w:val="TextItalicized"/>
        <w:numPr>
          <w:ilvl w:val="0"/>
          <w:numId w:val="5"/>
        </w:numPr>
        <w:ind w:left="357" w:hanging="357"/>
        <w:rPr>
          <w:rFonts w:ascii="Arial" w:hAnsi="Arial" w:cs="Arial"/>
          <w:i w:val="0"/>
          <w:color w:val="auto"/>
          <w:sz w:val="22"/>
          <w:szCs w:val="22"/>
        </w:rPr>
      </w:pPr>
      <w:r w:rsidRPr="007567A8">
        <w:rPr>
          <w:rFonts w:ascii="Arial" w:hAnsi="Arial" w:cs="Arial"/>
          <w:i w:val="0"/>
          <w:color w:val="auto"/>
          <w:sz w:val="22"/>
          <w:szCs w:val="22"/>
        </w:rPr>
        <w:t xml:space="preserve">Use a prefilled 250 mL 0.9% </w:t>
      </w:r>
      <w:r w:rsidR="008301D0">
        <w:rPr>
          <w:rFonts w:ascii="Arial" w:hAnsi="Arial" w:cs="Arial"/>
          <w:i w:val="0"/>
          <w:color w:val="auto"/>
          <w:sz w:val="22"/>
          <w:szCs w:val="22"/>
        </w:rPr>
        <w:t>Sodium chloride</w:t>
      </w:r>
      <w:r w:rsidR="00AA2A78">
        <w:rPr>
          <w:rFonts w:ascii="Arial" w:hAnsi="Arial" w:cs="Arial"/>
          <w:i w:val="0"/>
          <w:color w:val="auto"/>
          <w:sz w:val="22"/>
          <w:szCs w:val="22"/>
        </w:rPr>
        <w:t xml:space="preserve"> IV bag. </w:t>
      </w:r>
      <w:r w:rsidRPr="007567A8">
        <w:rPr>
          <w:rFonts w:ascii="Arial" w:hAnsi="Arial" w:cs="Arial"/>
          <w:i w:val="0"/>
          <w:color w:val="auto"/>
          <w:sz w:val="22"/>
          <w:szCs w:val="22"/>
        </w:rPr>
        <w:t xml:space="preserve">250 mL-prefilled bags typically contain overfill to a </w:t>
      </w:r>
      <w:r w:rsidR="00656BCF">
        <w:rPr>
          <w:rFonts w:ascii="Arial" w:hAnsi="Arial" w:cs="Arial"/>
          <w:i w:val="0"/>
          <w:color w:val="auto"/>
          <w:sz w:val="22"/>
          <w:szCs w:val="22"/>
        </w:rPr>
        <w:t xml:space="preserve">total volume of 265 to 275 </w:t>
      </w:r>
      <w:proofErr w:type="spellStart"/>
      <w:r w:rsidR="00656BCF">
        <w:rPr>
          <w:rFonts w:ascii="Arial" w:hAnsi="Arial" w:cs="Arial"/>
          <w:i w:val="0"/>
          <w:color w:val="auto"/>
          <w:sz w:val="22"/>
          <w:szCs w:val="22"/>
        </w:rPr>
        <w:t>mL.</w:t>
      </w:r>
      <w:proofErr w:type="spellEnd"/>
      <w:r w:rsidR="00656BCF">
        <w:rPr>
          <w:rFonts w:ascii="Arial" w:hAnsi="Arial" w:cs="Arial"/>
          <w:i w:val="0"/>
          <w:color w:val="auto"/>
          <w:sz w:val="22"/>
          <w:szCs w:val="22"/>
        </w:rPr>
        <w:t xml:space="preserve"> </w:t>
      </w:r>
      <w:r w:rsidRPr="007567A8">
        <w:rPr>
          <w:rFonts w:ascii="Arial" w:hAnsi="Arial" w:cs="Arial"/>
          <w:i w:val="0"/>
          <w:color w:val="auto"/>
          <w:sz w:val="22"/>
          <w:szCs w:val="22"/>
        </w:rPr>
        <w:t xml:space="preserve">If necessary adjust the IV bag volume by adding or removing 0.9% </w:t>
      </w:r>
      <w:r w:rsidR="00656BCF">
        <w:rPr>
          <w:rFonts w:ascii="Arial" w:hAnsi="Arial" w:cs="Arial"/>
          <w:i w:val="0"/>
          <w:color w:val="auto"/>
          <w:sz w:val="22"/>
          <w:szCs w:val="22"/>
        </w:rPr>
        <w:t>s</w:t>
      </w:r>
      <w:r w:rsidRPr="007567A8">
        <w:rPr>
          <w:rFonts w:ascii="Arial" w:hAnsi="Arial" w:cs="Arial"/>
          <w:i w:val="0"/>
          <w:color w:val="auto"/>
          <w:sz w:val="22"/>
          <w:szCs w:val="22"/>
        </w:rPr>
        <w:t xml:space="preserve">odium </w:t>
      </w:r>
      <w:r w:rsidR="00656BCF">
        <w:rPr>
          <w:rFonts w:ascii="Arial" w:hAnsi="Arial" w:cs="Arial"/>
          <w:i w:val="0"/>
          <w:color w:val="auto"/>
          <w:sz w:val="22"/>
          <w:szCs w:val="22"/>
        </w:rPr>
        <w:t>c</w:t>
      </w:r>
      <w:r w:rsidRPr="007567A8">
        <w:rPr>
          <w:rFonts w:ascii="Arial" w:hAnsi="Arial" w:cs="Arial"/>
          <w:i w:val="0"/>
          <w:color w:val="auto"/>
          <w:sz w:val="22"/>
          <w:szCs w:val="22"/>
        </w:rPr>
        <w:t xml:space="preserve">hloride to achieve a starting volume between 265 and 275 </w:t>
      </w:r>
      <w:proofErr w:type="spellStart"/>
      <w:r w:rsidRPr="007567A8">
        <w:rPr>
          <w:rFonts w:ascii="Arial" w:hAnsi="Arial" w:cs="Arial"/>
          <w:i w:val="0"/>
          <w:color w:val="auto"/>
          <w:sz w:val="22"/>
          <w:szCs w:val="22"/>
        </w:rPr>
        <w:t>mL.</w:t>
      </w:r>
      <w:proofErr w:type="spellEnd"/>
    </w:p>
    <w:p w:rsidR="00E36CA6"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 xml:space="preserve">Using a 10 mL syringe, aseptically transfer 5.5 mL of IV </w:t>
      </w:r>
      <w:r w:rsidR="00173FC4">
        <w:rPr>
          <w:rFonts w:ascii="Arial" w:hAnsi="Arial" w:cs="Arial"/>
          <w:i w:val="0"/>
          <w:color w:val="auto"/>
          <w:sz w:val="22"/>
          <w:szCs w:val="22"/>
        </w:rPr>
        <w:t>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to the IV bag.  Gently mix the contents of the bag to avoid foaming.  Discard remaining IV </w:t>
      </w:r>
      <w:r w:rsidR="00173FC4">
        <w:rPr>
          <w:rFonts w:ascii="Arial" w:hAnsi="Arial" w:cs="Arial"/>
          <w:i w:val="0"/>
          <w:color w:val="auto"/>
          <w:sz w:val="22"/>
          <w:szCs w:val="22"/>
        </w:rPr>
        <w:t>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vial.</w:t>
      </w:r>
    </w:p>
    <w:p w:rsidR="00812A91" w:rsidRPr="007567A8"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 xml:space="preserve">Using a 5 mL syringe, reconstitute one vial of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using 3 mL of preservative-free Sterile </w:t>
      </w:r>
      <w:r w:rsidR="00B418CD">
        <w:rPr>
          <w:rFonts w:ascii="Arial" w:hAnsi="Arial" w:cs="Arial"/>
          <w:i w:val="0"/>
          <w:color w:val="auto"/>
          <w:sz w:val="22"/>
          <w:szCs w:val="22"/>
        </w:rPr>
        <w:t>Water for Injections</w:t>
      </w:r>
      <w:r w:rsidR="00AA2A78">
        <w:rPr>
          <w:rFonts w:ascii="Arial" w:hAnsi="Arial" w:cs="Arial"/>
          <w:i w:val="0"/>
          <w:color w:val="auto"/>
          <w:sz w:val="22"/>
          <w:szCs w:val="22"/>
        </w:rPr>
        <w:t xml:space="preserve">. </w:t>
      </w:r>
      <w:r w:rsidRPr="007567A8">
        <w:rPr>
          <w:rFonts w:ascii="Arial" w:hAnsi="Arial" w:cs="Arial"/>
          <w:i w:val="0"/>
          <w:color w:val="auto"/>
          <w:sz w:val="22"/>
          <w:szCs w:val="22"/>
        </w:rPr>
        <w:t xml:space="preserve">Direct preservative-free Sterile </w:t>
      </w:r>
      <w:r w:rsidR="00B418CD">
        <w:rPr>
          <w:rFonts w:ascii="Arial" w:hAnsi="Arial" w:cs="Arial"/>
          <w:i w:val="0"/>
          <w:color w:val="auto"/>
          <w:sz w:val="22"/>
          <w:szCs w:val="22"/>
        </w:rPr>
        <w:t>Water for Injections</w:t>
      </w:r>
      <w:r w:rsidRPr="007567A8">
        <w:rPr>
          <w:rFonts w:ascii="Arial" w:hAnsi="Arial" w:cs="Arial"/>
          <w:i w:val="0"/>
          <w:color w:val="auto"/>
          <w:sz w:val="22"/>
          <w:szCs w:val="22"/>
        </w:rPr>
        <w:t xml:space="preserve"> toward the side of the vial during reconstitution.  Gently swirl contents to avoid excess foaming.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shake</w:t>
      </w:r>
      <w:r w:rsidRPr="007567A8">
        <w:rPr>
          <w:rFonts w:ascii="Arial" w:hAnsi="Arial" w:cs="Arial"/>
          <w:i w:val="0"/>
          <w:color w:val="auto"/>
          <w:sz w:val="22"/>
          <w:szCs w:val="22"/>
        </w:rPr>
        <w:t>.</w:t>
      </w:r>
    </w:p>
    <w:p w:rsidR="00812A91" w:rsidRPr="003951D0" w:rsidRDefault="00812A91" w:rsidP="00757204">
      <w:pPr>
        <w:pStyle w:val="StyleListParagraphBold"/>
        <w:ind w:left="709"/>
      </w:pPr>
      <w:r w:rsidRPr="003951D0">
        <w:t xml:space="preserve">Do not reconstitute </w:t>
      </w:r>
      <w:proofErr w:type="spellStart"/>
      <w:r w:rsidR="00FD0BE3" w:rsidRPr="003951D0">
        <w:t>Blincyto</w:t>
      </w:r>
      <w:proofErr w:type="spellEnd"/>
      <w:r w:rsidRPr="003951D0">
        <w:t xml:space="preserve"> with IV </w:t>
      </w:r>
      <w:r w:rsidR="00173FC4" w:rsidRPr="003951D0">
        <w:t>s</w:t>
      </w:r>
      <w:r w:rsidRPr="003951D0">
        <w:t xml:space="preserve">olution </w:t>
      </w:r>
      <w:proofErr w:type="spellStart"/>
      <w:r w:rsidR="00173FC4" w:rsidRPr="003951D0">
        <w:t>s</w:t>
      </w:r>
      <w:r w:rsidR="00840A3A" w:rsidRPr="003951D0">
        <w:t>tabil</w:t>
      </w:r>
      <w:r w:rsidR="006C1B3D" w:rsidRPr="003951D0">
        <w:t>i</w:t>
      </w:r>
      <w:r w:rsidR="00840A3A" w:rsidRPr="003951D0">
        <w:t>ser</w:t>
      </w:r>
      <w:proofErr w:type="spellEnd"/>
      <w:r w:rsidRPr="003951D0">
        <w:t>.</w:t>
      </w:r>
    </w:p>
    <w:p w:rsidR="00E36CA6" w:rsidRDefault="00812A91" w:rsidP="003951D0">
      <w:pPr>
        <w:pStyle w:val="ListParagraph"/>
        <w:numPr>
          <w:ilvl w:val="0"/>
          <w:numId w:val="2"/>
        </w:numPr>
      </w:pPr>
      <w:r w:rsidRPr="007567A8">
        <w:t xml:space="preserve">The addition of preservative-free Sterile </w:t>
      </w:r>
      <w:r w:rsidR="00B418CD">
        <w:t>Water for Injections</w:t>
      </w:r>
      <w:r w:rsidRPr="007567A8">
        <w:t xml:space="preserve"> to the </w:t>
      </w:r>
      <w:proofErr w:type="spellStart"/>
      <w:r w:rsidRPr="007567A8">
        <w:t>lyophili</w:t>
      </w:r>
      <w:r w:rsidR="003720F8" w:rsidRPr="007567A8">
        <w:t>s</w:t>
      </w:r>
      <w:r w:rsidRPr="007567A8">
        <w:t>ed</w:t>
      </w:r>
      <w:proofErr w:type="spellEnd"/>
      <w:r w:rsidRPr="007567A8">
        <w:t xml:space="preserve"> powder results in a total volume of 3.1 mL for a final </w:t>
      </w:r>
      <w:proofErr w:type="spellStart"/>
      <w:r w:rsidR="00FD0BE3" w:rsidRPr="007567A8">
        <w:t>Blincyto</w:t>
      </w:r>
      <w:proofErr w:type="spellEnd"/>
      <w:r w:rsidRPr="007567A8">
        <w:t xml:space="preserve"> concentration of 12.5</w:t>
      </w:r>
      <w:r w:rsidR="008E5523">
        <w:t xml:space="preserve"> micro</w:t>
      </w:r>
      <w:r w:rsidR="00FA0CDA" w:rsidRPr="007567A8">
        <w:t>g</w:t>
      </w:r>
      <w:r w:rsidR="008E5523">
        <w:t>rams</w:t>
      </w:r>
      <w:r w:rsidRPr="007567A8">
        <w:t>/</w:t>
      </w:r>
      <w:proofErr w:type="spellStart"/>
      <w:r w:rsidRPr="007567A8">
        <w:t>mL.</w:t>
      </w:r>
      <w:proofErr w:type="spellEnd"/>
    </w:p>
    <w:p w:rsidR="00E36CA6"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 xml:space="preserve">Visually inspect the reconstituted solution for particulate matter and discoloration during reconstitution and prior to infusion.  The resulting solution should be clear to slightly opalescent, </w:t>
      </w:r>
      <w:proofErr w:type="spellStart"/>
      <w:r w:rsidRPr="007567A8">
        <w:rPr>
          <w:rFonts w:ascii="Arial" w:hAnsi="Arial" w:cs="Arial"/>
          <w:i w:val="0"/>
          <w:color w:val="auto"/>
          <w:sz w:val="22"/>
          <w:szCs w:val="22"/>
        </w:rPr>
        <w:t>colo</w:t>
      </w:r>
      <w:r w:rsidR="00AA2A78">
        <w:rPr>
          <w:rFonts w:ascii="Arial" w:hAnsi="Arial" w:cs="Arial"/>
          <w:i w:val="0"/>
          <w:color w:val="auto"/>
          <w:sz w:val="22"/>
          <w:szCs w:val="22"/>
        </w:rPr>
        <w:t>u</w:t>
      </w:r>
      <w:r w:rsidRPr="007567A8">
        <w:rPr>
          <w:rFonts w:ascii="Arial" w:hAnsi="Arial" w:cs="Arial"/>
          <w:i w:val="0"/>
          <w:color w:val="auto"/>
          <w:sz w:val="22"/>
          <w:szCs w:val="22"/>
        </w:rPr>
        <w:t>rless</w:t>
      </w:r>
      <w:proofErr w:type="spellEnd"/>
      <w:r w:rsidRPr="007567A8">
        <w:rPr>
          <w:rFonts w:ascii="Arial" w:hAnsi="Arial" w:cs="Arial"/>
          <w:i w:val="0"/>
          <w:color w:val="auto"/>
          <w:sz w:val="22"/>
          <w:szCs w:val="22"/>
        </w:rPr>
        <w:t xml:space="preserve"> to slightly yellow.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use </w:t>
      </w:r>
      <w:r w:rsidRPr="007567A8" w:rsidDel="0001278F">
        <w:rPr>
          <w:rFonts w:ascii="Arial" w:hAnsi="Arial" w:cs="Arial"/>
          <w:b/>
          <w:i w:val="0"/>
          <w:color w:val="auto"/>
          <w:sz w:val="22"/>
          <w:szCs w:val="22"/>
        </w:rPr>
        <w:t xml:space="preserve">if </w:t>
      </w:r>
      <w:r w:rsidRPr="007567A8">
        <w:rPr>
          <w:rFonts w:ascii="Arial" w:hAnsi="Arial" w:cs="Arial"/>
          <w:b/>
          <w:i w:val="0"/>
          <w:color w:val="auto"/>
          <w:sz w:val="22"/>
          <w:szCs w:val="22"/>
        </w:rPr>
        <w:t>solution is cloudy or has precipitated</w:t>
      </w:r>
      <w:r w:rsidRPr="007567A8">
        <w:rPr>
          <w:rFonts w:ascii="Arial" w:hAnsi="Arial" w:cs="Arial"/>
          <w:i w:val="0"/>
          <w:color w:val="auto"/>
          <w:sz w:val="22"/>
          <w:szCs w:val="22"/>
        </w:rPr>
        <w:t>.</w:t>
      </w:r>
    </w:p>
    <w:p w:rsidR="00E36CA6"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 xml:space="preserve">Using a 1 mL syringe, aseptically transfer 0.83 mL of reconstituted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into the IV bag.  Gently mix the contents of the bag to avoid foaming.</w:t>
      </w:r>
    </w:p>
    <w:p w:rsidR="00E36CA6"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Under aseptic conditions, attach the IV tubing to the IV bag with the sterile 0.2 micron in-line filter.</w:t>
      </w:r>
    </w:p>
    <w:p w:rsidR="00E36CA6" w:rsidRDefault="00812A91" w:rsidP="00556A34">
      <w:pPr>
        <w:pStyle w:val="TextItalicized"/>
        <w:numPr>
          <w:ilvl w:val="0"/>
          <w:numId w:val="5"/>
        </w:numPr>
        <w:rPr>
          <w:rFonts w:ascii="Arial" w:hAnsi="Arial" w:cs="Arial"/>
          <w:b/>
          <w:i w:val="0"/>
          <w:color w:val="auto"/>
          <w:sz w:val="22"/>
          <w:szCs w:val="22"/>
        </w:rPr>
      </w:pPr>
      <w:r w:rsidRPr="007567A8">
        <w:rPr>
          <w:rFonts w:ascii="Arial" w:hAnsi="Arial" w:cs="Arial"/>
          <w:i w:val="0"/>
          <w:color w:val="auto"/>
          <w:sz w:val="22"/>
          <w:szCs w:val="22"/>
        </w:rPr>
        <w:t xml:space="preserve">Remove air from the IV bag and prime the IV line </w:t>
      </w:r>
      <w:r w:rsidRPr="007567A8">
        <w:rPr>
          <w:rFonts w:ascii="Arial" w:hAnsi="Arial" w:cs="Arial"/>
          <w:b/>
          <w:i w:val="0"/>
          <w:color w:val="auto"/>
          <w:sz w:val="22"/>
          <w:szCs w:val="22"/>
        </w:rPr>
        <w:t xml:space="preserve">only </w:t>
      </w:r>
      <w:r w:rsidRPr="007567A8">
        <w:rPr>
          <w:rFonts w:ascii="Arial" w:hAnsi="Arial" w:cs="Arial"/>
          <w:i w:val="0"/>
          <w:color w:val="auto"/>
          <w:sz w:val="22"/>
          <w:szCs w:val="22"/>
        </w:rPr>
        <w:t xml:space="preserve">with the prepared solution for infusion. </w:t>
      </w:r>
      <w:r w:rsidRPr="007567A8">
        <w:rPr>
          <w:rFonts w:ascii="Arial" w:hAnsi="Arial" w:cs="Arial"/>
          <w:b/>
          <w:i w:val="0"/>
          <w:color w:val="auto"/>
          <w:sz w:val="22"/>
          <w:szCs w:val="22"/>
        </w:rPr>
        <w:t xml:space="preserve">Do not prime with 0.9% </w:t>
      </w:r>
      <w:r w:rsidR="00656BCF">
        <w:rPr>
          <w:rFonts w:ascii="Arial" w:hAnsi="Arial" w:cs="Arial"/>
          <w:b/>
          <w:i w:val="0"/>
          <w:color w:val="auto"/>
          <w:sz w:val="22"/>
          <w:szCs w:val="22"/>
        </w:rPr>
        <w:t>s</w:t>
      </w:r>
      <w:r w:rsidR="008301D0">
        <w:rPr>
          <w:rFonts w:ascii="Arial" w:hAnsi="Arial" w:cs="Arial"/>
          <w:b/>
          <w:i w:val="0"/>
          <w:color w:val="auto"/>
          <w:sz w:val="22"/>
          <w:szCs w:val="22"/>
        </w:rPr>
        <w:t>odium chloride</w:t>
      </w:r>
      <w:r w:rsidRPr="007567A8">
        <w:rPr>
          <w:rFonts w:ascii="Arial" w:hAnsi="Arial" w:cs="Arial"/>
          <w:b/>
          <w:i w:val="0"/>
          <w:color w:val="auto"/>
          <w:sz w:val="22"/>
          <w:szCs w:val="22"/>
        </w:rPr>
        <w:t>.</w:t>
      </w:r>
    </w:p>
    <w:p w:rsidR="00812A91" w:rsidRPr="007567A8" w:rsidRDefault="00812A91" w:rsidP="00556A34">
      <w:pPr>
        <w:pStyle w:val="TextItalicized"/>
        <w:numPr>
          <w:ilvl w:val="0"/>
          <w:numId w:val="5"/>
        </w:numPr>
        <w:rPr>
          <w:rFonts w:ascii="Arial" w:hAnsi="Arial" w:cs="Arial"/>
          <w:i w:val="0"/>
          <w:color w:val="auto"/>
          <w:sz w:val="22"/>
          <w:szCs w:val="22"/>
        </w:rPr>
      </w:pPr>
      <w:r w:rsidRPr="007567A8">
        <w:rPr>
          <w:rFonts w:ascii="Arial" w:hAnsi="Arial" w:cs="Arial"/>
          <w:i w:val="0"/>
          <w:color w:val="auto"/>
          <w:sz w:val="22"/>
          <w:szCs w:val="22"/>
        </w:rPr>
        <w:t xml:space="preserve">Store at </w:t>
      </w:r>
      <w:r w:rsidRPr="007567A8">
        <w:rPr>
          <w:rFonts w:ascii="Arial" w:hAnsi="Arial" w:cs="Arial"/>
          <w:bCs/>
          <w:i w:val="0"/>
          <w:sz w:val="22"/>
          <w:szCs w:val="22"/>
          <w:lang w:val="en-GB" w:eastAsia="zh-TW"/>
        </w:rPr>
        <w:t>2°C to 8°C</w:t>
      </w:r>
      <w:r w:rsidRPr="007567A8">
        <w:rPr>
          <w:rFonts w:ascii="Arial" w:hAnsi="Arial" w:cs="Arial"/>
          <w:b/>
          <w:bCs/>
          <w:i w:val="0"/>
          <w:sz w:val="22"/>
          <w:szCs w:val="22"/>
          <w:lang w:val="en-GB" w:eastAsia="zh-TW"/>
        </w:rPr>
        <w:t xml:space="preserve"> </w:t>
      </w:r>
      <w:r w:rsidRPr="007567A8">
        <w:rPr>
          <w:rFonts w:ascii="Arial" w:hAnsi="Arial" w:cs="Arial"/>
          <w:i w:val="0"/>
          <w:color w:val="auto"/>
          <w:sz w:val="22"/>
          <w:szCs w:val="22"/>
        </w:rPr>
        <w:t>if not used immediately.</w:t>
      </w:r>
    </w:p>
    <w:p w:rsidR="00812A91" w:rsidRPr="00641665" w:rsidRDefault="00812A91" w:rsidP="00641665">
      <w:pPr>
        <w:pStyle w:val="Heading3"/>
        <w:numPr>
          <w:ilvl w:val="0"/>
          <w:numId w:val="35"/>
        </w:numPr>
        <w:rPr>
          <w:u w:val="none"/>
        </w:rPr>
      </w:pPr>
      <w:r w:rsidRPr="00641665">
        <w:rPr>
          <w:u w:val="none"/>
        </w:rPr>
        <w:t xml:space="preserve">Preparation of </w:t>
      </w:r>
      <w:proofErr w:type="spellStart"/>
      <w:r w:rsidR="00FD0BE3" w:rsidRPr="00641665">
        <w:rPr>
          <w:u w:val="none"/>
        </w:rPr>
        <w:t>Blincyto</w:t>
      </w:r>
      <w:proofErr w:type="spellEnd"/>
      <w:r w:rsidRPr="00641665">
        <w:rPr>
          <w:u w:val="none"/>
        </w:rPr>
        <w:t xml:space="preserve"> 9 </w:t>
      </w:r>
      <w:r w:rsidR="00AE642E" w:rsidRPr="00641665">
        <w:rPr>
          <w:u w:val="none"/>
        </w:rPr>
        <w:t>micrograms</w:t>
      </w:r>
      <w:r w:rsidRPr="00641665">
        <w:rPr>
          <w:u w:val="none"/>
        </w:rPr>
        <w:t>/day infused over 48 hours at a rate of 5 mL/h</w:t>
      </w:r>
    </w:p>
    <w:p w:rsidR="00812A91" w:rsidRPr="007567A8"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Use a prefilled 250</w:t>
      </w:r>
      <w:r w:rsidR="00C5663D">
        <w:rPr>
          <w:rFonts w:ascii="Arial" w:hAnsi="Arial" w:cs="Arial"/>
          <w:i w:val="0"/>
          <w:color w:val="auto"/>
          <w:sz w:val="22"/>
          <w:szCs w:val="22"/>
        </w:rPr>
        <w:t xml:space="preserve"> mL 0.9% s</w:t>
      </w:r>
      <w:r w:rsidR="005A2C00" w:rsidRPr="007567A8">
        <w:rPr>
          <w:rFonts w:ascii="Arial" w:hAnsi="Arial" w:cs="Arial"/>
          <w:i w:val="0"/>
          <w:color w:val="auto"/>
          <w:sz w:val="22"/>
          <w:szCs w:val="22"/>
        </w:rPr>
        <w:t xml:space="preserve">odium </w:t>
      </w:r>
      <w:r w:rsidR="00C5663D">
        <w:rPr>
          <w:rFonts w:ascii="Arial" w:hAnsi="Arial" w:cs="Arial"/>
          <w:i w:val="0"/>
          <w:color w:val="auto"/>
          <w:sz w:val="22"/>
          <w:szCs w:val="22"/>
        </w:rPr>
        <w:t>c</w:t>
      </w:r>
      <w:r w:rsidR="005A2C00" w:rsidRPr="007567A8">
        <w:rPr>
          <w:rFonts w:ascii="Arial" w:hAnsi="Arial" w:cs="Arial"/>
          <w:i w:val="0"/>
          <w:color w:val="auto"/>
          <w:sz w:val="22"/>
          <w:szCs w:val="22"/>
        </w:rPr>
        <w:t>hloride IV bag.</w:t>
      </w:r>
      <w:r w:rsidR="00AA2A78">
        <w:rPr>
          <w:rFonts w:ascii="Arial" w:hAnsi="Arial" w:cs="Arial"/>
          <w:i w:val="0"/>
          <w:color w:val="auto"/>
          <w:sz w:val="22"/>
          <w:szCs w:val="22"/>
        </w:rPr>
        <w:t xml:space="preserve"> </w:t>
      </w:r>
      <w:r w:rsidRPr="007567A8">
        <w:rPr>
          <w:rFonts w:ascii="Arial" w:hAnsi="Arial" w:cs="Arial"/>
          <w:i w:val="0"/>
          <w:color w:val="auto"/>
          <w:sz w:val="22"/>
          <w:szCs w:val="22"/>
        </w:rPr>
        <w:t xml:space="preserve">250 mL-prefilled bags typically contain overfill to a total volume of 265 to 275 </w:t>
      </w:r>
      <w:proofErr w:type="spellStart"/>
      <w:r w:rsidRPr="007567A8">
        <w:rPr>
          <w:rFonts w:ascii="Arial" w:hAnsi="Arial" w:cs="Arial"/>
          <w:i w:val="0"/>
          <w:color w:val="auto"/>
          <w:sz w:val="22"/>
          <w:szCs w:val="22"/>
        </w:rPr>
        <w:t>mL.</w:t>
      </w:r>
      <w:proofErr w:type="spellEnd"/>
      <w:r w:rsidRPr="007567A8">
        <w:rPr>
          <w:rFonts w:ascii="Arial" w:hAnsi="Arial" w:cs="Arial"/>
          <w:i w:val="0"/>
          <w:color w:val="auto"/>
          <w:sz w:val="22"/>
          <w:szCs w:val="22"/>
        </w:rPr>
        <w:t xml:space="preserve">  If necessary adjust the IV bag volume by adding or removing 0.9% </w:t>
      </w:r>
      <w:r w:rsidR="00173FC4">
        <w:rPr>
          <w:rFonts w:ascii="Arial" w:hAnsi="Arial" w:cs="Arial"/>
          <w:i w:val="0"/>
          <w:color w:val="auto"/>
          <w:sz w:val="22"/>
          <w:szCs w:val="22"/>
        </w:rPr>
        <w:t>s</w:t>
      </w:r>
      <w:r w:rsidRPr="007567A8">
        <w:rPr>
          <w:rFonts w:ascii="Arial" w:hAnsi="Arial" w:cs="Arial"/>
          <w:i w:val="0"/>
          <w:color w:val="auto"/>
          <w:sz w:val="22"/>
          <w:szCs w:val="22"/>
        </w:rPr>
        <w:t xml:space="preserve">odium </w:t>
      </w:r>
      <w:r w:rsidR="00173FC4">
        <w:rPr>
          <w:rFonts w:ascii="Arial" w:hAnsi="Arial" w:cs="Arial"/>
          <w:i w:val="0"/>
          <w:color w:val="auto"/>
          <w:sz w:val="22"/>
          <w:szCs w:val="22"/>
        </w:rPr>
        <w:t>c</w:t>
      </w:r>
      <w:r w:rsidRPr="007567A8">
        <w:rPr>
          <w:rFonts w:ascii="Arial" w:hAnsi="Arial" w:cs="Arial"/>
          <w:i w:val="0"/>
          <w:color w:val="auto"/>
          <w:sz w:val="22"/>
          <w:szCs w:val="22"/>
        </w:rPr>
        <w:t xml:space="preserve">hloride to achieve a starting </w:t>
      </w:r>
      <w:r w:rsidR="006B7C63" w:rsidRPr="007567A8">
        <w:rPr>
          <w:rFonts w:ascii="Arial" w:hAnsi="Arial" w:cs="Arial"/>
          <w:i w:val="0"/>
          <w:color w:val="auto"/>
          <w:sz w:val="22"/>
          <w:szCs w:val="22"/>
        </w:rPr>
        <w:t xml:space="preserve">volume between 265 and 275 </w:t>
      </w:r>
      <w:proofErr w:type="spellStart"/>
      <w:r w:rsidR="006B7C63" w:rsidRPr="007567A8">
        <w:rPr>
          <w:rFonts w:ascii="Arial" w:hAnsi="Arial" w:cs="Arial"/>
          <w:i w:val="0"/>
          <w:color w:val="auto"/>
          <w:sz w:val="22"/>
          <w:szCs w:val="22"/>
        </w:rPr>
        <w:t>mL</w:t>
      </w:r>
      <w:r w:rsidR="006B7C63" w:rsidRPr="007567A8">
        <w:rPr>
          <w:rFonts w:ascii="Arial" w:hAnsi="Arial" w:cs="Arial"/>
          <w:i w:val="0"/>
          <w:sz w:val="22"/>
          <w:szCs w:val="22"/>
        </w:rPr>
        <w:t>.</w:t>
      </w:r>
      <w:proofErr w:type="spellEnd"/>
    </w:p>
    <w:p w:rsidR="00E36CA6"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 xml:space="preserve">Using a 10 mL syringe, aseptically transfer 5.5 mL of IV </w:t>
      </w:r>
      <w:r w:rsidR="00173FC4">
        <w:rPr>
          <w:rFonts w:ascii="Arial" w:hAnsi="Arial" w:cs="Arial"/>
          <w:i w:val="0"/>
          <w:color w:val="auto"/>
          <w:sz w:val="22"/>
          <w:szCs w:val="22"/>
        </w:rPr>
        <w:t>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to the IV bag.  Gently mix the contents of the bag to avoid foaming.  Discard remaining IV </w:t>
      </w:r>
      <w:r w:rsidR="00173FC4">
        <w:rPr>
          <w:rFonts w:ascii="Arial" w:hAnsi="Arial" w:cs="Arial"/>
          <w:i w:val="0"/>
          <w:color w:val="auto"/>
          <w:sz w:val="22"/>
          <w:szCs w:val="22"/>
        </w:rPr>
        <w:t>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vial.</w:t>
      </w:r>
    </w:p>
    <w:p w:rsidR="00812A91" w:rsidRPr="007567A8"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 xml:space="preserve">Using a 5 mL syringe, reconstitute one vial of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using 3 mL of preservative-free Sterile </w:t>
      </w:r>
      <w:r w:rsidR="00B418CD">
        <w:rPr>
          <w:rFonts w:ascii="Arial" w:hAnsi="Arial" w:cs="Arial"/>
          <w:i w:val="0"/>
          <w:color w:val="auto"/>
          <w:sz w:val="22"/>
          <w:szCs w:val="22"/>
        </w:rPr>
        <w:t>Water for Injections</w:t>
      </w:r>
      <w:r w:rsidRPr="007567A8">
        <w:rPr>
          <w:rFonts w:ascii="Arial" w:hAnsi="Arial" w:cs="Arial"/>
          <w:i w:val="0"/>
          <w:color w:val="auto"/>
          <w:sz w:val="22"/>
          <w:szCs w:val="22"/>
        </w:rPr>
        <w:t xml:space="preserve">.  Direct preservative-free Sterile </w:t>
      </w:r>
      <w:r w:rsidR="00B418CD">
        <w:rPr>
          <w:rFonts w:ascii="Arial" w:hAnsi="Arial" w:cs="Arial"/>
          <w:i w:val="0"/>
          <w:color w:val="auto"/>
          <w:sz w:val="22"/>
          <w:szCs w:val="22"/>
        </w:rPr>
        <w:t>Water for Injections</w:t>
      </w:r>
      <w:r w:rsidRPr="007567A8">
        <w:rPr>
          <w:rFonts w:ascii="Arial" w:hAnsi="Arial" w:cs="Arial"/>
          <w:i w:val="0"/>
          <w:color w:val="auto"/>
          <w:sz w:val="22"/>
          <w:szCs w:val="22"/>
        </w:rPr>
        <w:t xml:space="preserve"> toward the side of the vial during reconstitution.  Gently swirl contents to avoid excess foaming.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shake</w:t>
      </w:r>
      <w:r w:rsidRPr="007567A8">
        <w:rPr>
          <w:rFonts w:ascii="Arial" w:hAnsi="Arial" w:cs="Arial"/>
          <w:i w:val="0"/>
          <w:color w:val="auto"/>
          <w:sz w:val="22"/>
          <w:szCs w:val="22"/>
        </w:rPr>
        <w:t>.</w:t>
      </w:r>
    </w:p>
    <w:p w:rsidR="00812A91" w:rsidRPr="003951D0" w:rsidRDefault="00812A91" w:rsidP="00757204">
      <w:pPr>
        <w:pStyle w:val="StyleListParagraphBold1"/>
        <w:numPr>
          <w:ilvl w:val="0"/>
          <w:numId w:val="2"/>
        </w:numPr>
      </w:pPr>
      <w:r w:rsidRPr="003951D0">
        <w:t xml:space="preserve">Do </w:t>
      </w:r>
      <w:r w:rsidRPr="003951D0">
        <w:rPr>
          <w:u w:val="single"/>
        </w:rPr>
        <w:t>not</w:t>
      </w:r>
      <w:r w:rsidRPr="003951D0">
        <w:t xml:space="preserve"> reconstitute </w:t>
      </w:r>
      <w:proofErr w:type="spellStart"/>
      <w:r w:rsidR="00FD0BE3" w:rsidRPr="003951D0">
        <w:t>Blincyto</w:t>
      </w:r>
      <w:proofErr w:type="spellEnd"/>
      <w:r w:rsidRPr="003951D0">
        <w:t xml:space="preserve"> with IV </w:t>
      </w:r>
      <w:r w:rsidR="00173FC4" w:rsidRPr="003951D0">
        <w:t>s</w:t>
      </w:r>
      <w:r w:rsidRPr="003951D0">
        <w:t xml:space="preserve">olution </w:t>
      </w:r>
      <w:proofErr w:type="spellStart"/>
      <w:r w:rsidR="00173FC4" w:rsidRPr="003951D0">
        <w:t>s</w:t>
      </w:r>
      <w:r w:rsidR="00840A3A" w:rsidRPr="003951D0">
        <w:t>tabil</w:t>
      </w:r>
      <w:r w:rsidR="001E76ED" w:rsidRPr="003951D0">
        <w:t>i</w:t>
      </w:r>
      <w:r w:rsidR="00840A3A" w:rsidRPr="003951D0">
        <w:t>ser</w:t>
      </w:r>
      <w:proofErr w:type="spellEnd"/>
      <w:r w:rsidRPr="003951D0">
        <w:t>.</w:t>
      </w:r>
    </w:p>
    <w:p w:rsidR="00E36CA6" w:rsidRDefault="00812A91" w:rsidP="003951D0">
      <w:pPr>
        <w:pStyle w:val="ListParagraph"/>
        <w:numPr>
          <w:ilvl w:val="0"/>
          <w:numId w:val="2"/>
        </w:numPr>
      </w:pPr>
      <w:r w:rsidRPr="007567A8">
        <w:t xml:space="preserve">The addition of preservative-free Sterile </w:t>
      </w:r>
      <w:r w:rsidR="00B418CD">
        <w:t>Water for Injections</w:t>
      </w:r>
      <w:r w:rsidRPr="007567A8">
        <w:t xml:space="preserve"> to the </w:t>
      </w:r>
      <w:proofErr w:type="spellStart"/>
      <w:r w:rsidRPr="007567A8">
        <w:t>lyophili</w:t>
      </w:r>
      <w:r w:rsidR="005A2C00" w:rsidRPr="007567A8">
        <w:t>s</w:t>
      </w:r>
      <w:r w:rsidRPr="007567A8">
        <w:t>ed</w:t>
      </w:r>
      <w:proofErr w:type="spellEnd"/>
      <w:r w:rsidRPr="007567A8">
        <w:t xml:space="preserve"> powder results in a total volume of 3.1 mL for a final </w:t>
      </w:r>
      <w:proofErr w:type="spellStart"/>
      <w:r w:rsidR="00FD0BE3" w:rsidRPr="007567A8">
        <w:t>Blincyto</w:t>
      </w:r>
      <w:proofErr w:type="spellEnd"/>
      <w:r w:rsidR="008E5523">
        <w:t xml:space="preserve"> concentration of 12.5 micro</w:t>
      </w:r>
      <w:r w:rsidR="008E5523" w:rsidRPr="007567A8">
        <w:t>g</w:t>
      </w:r>
      <w:r w:rsidR="008E5523">
        <w:t>rams</w:t>
      </w:r>
      <w:r w:rsidR="00D95F66">
        <w:t>/</w:t>
      </w:r>
      <w:proofErr w:type="spellStart"/>
      <w:r w:rsidRPr="007567A8">
        <w:t>mL.</w:t>
      </w:r>
      <w:proofErr w:type="spellEnd"/>
    </w:p>
    <w:p w:rsidR="00E36CA6"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Visually inspect the reconstituted solution for particulate matter and discoloration during reconst</w:t>
      </w:r>
      <w:r w:rsidR="00AA2A78">
        <w:rPr>
          <w:rFonts w:ascii="Arial" w:hAnsi="Arial" w:cs="Arial"/>
          <w:i w:val="0"/>
          <w:color w:val="auto"/>
          <w:sz w:val="22"/>
          <w:szCs w:val="22"/>
        </w:rPr>
        <w:t xml:space="preserve">itution and prior to infusion. </w:t>
      </w:r>
      <w:r w:rsidRPr="007567A8">
        <w:rPr>
          <w:rFonts w:ascii="Arial" w:hAnsi="Arial" w:cs="Arial"/>
          <w:i w:val="0"/>
          <w:color w:val="auto"/>
          <w:sz w:val="22"/>
          <w:szCs w:val="22"/>
        </w:rPr>
        <w:t>The resulting solution should be clear to slightly opalescent</w:t>
      </w:r>
      <w:r w:rsidR="00AA2A78">
        <w:rPr>
          <w:rFonts w:ascii="Arial" w:hAnsi="Arial" w:cs="Arial"/>
          <w:i w:val="0"/>
          <w:color w:val="auto"/>
          <w:sz w:val="22"/>
          <w:szCs w:val="22"/>
        </w:rPr>
        <w:t xml:space="preserve">, </w:t>
      </w:r>
      <w:proofErr w:type="spellStart"/>
      <w:r w:rsidR="00AA2A78">
        <w:rPr>
          <w:rFonts w:ascii="Arial" w:hAnsi="Arial" w:cs="Arial"/>
          <w:i w:val="0"/>
          <w:color w:val="auto"/>
          <w:sz w:val="22"/>
          <w:szCs w:val="22"/>
        </w:rPr>
        <w:t>colourless</w:t>
      </w:r>
      <w:proofErr w:type="spellEnd"/>
      <w:r w:rsidR="00AA2A78">
        <w:rPr>
          <w:rFonts w:ascii="Arial" w:hAnsi="Arial" w:cs="Arial"/>
          <w:i w:val="0"/>
          <w:color w:val="auto"/>
          <w:sz w:val="22"/>
          <w:szCs w:val="22"/>
        </w:rPr>
        <w:t xml:space="preserve"> to slightly yellow.</w:t>
      </w:r>
      <w:r w:rsidRPr="007567A8">
        <w:rPr>
          <w:rFonts w:ascii="Arial" w:hAnsi="Arial" w:cs="Arial"/>
          <w:i w:val="0"/>
          <w:color w:val="auto"/>
          <w:sz w:val="22"/>
          <w:szCs w:val="22"/>
        </w:rPr>
        <w:t xml:space="preserve">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use </w:t>
      </w:r>
      <w:r w:rsidRPr="007567A8" w:rsidDel="0001278F">
        <w:rPr>
          <w:rFonts w:ascii="Arial" w:hAnsi="Arial" w:cs="Arial"/>
          <w:b/>
          <w:i w:val="0"/>
          <w:color w:val="auto"/>
          <w:sz w:val="22"/>
          <w:szCs w:val="22"/>
        </w:rPr>
        <w:t xml:space="preserve">if </w:t>
      </w:r>
      <w:r w:rsidRPr="007567A8">
        <w:rPr>
          <w:rFonts w:ascii="Arial" w:hAnsi="Arial" w:cs="Arial"/>
          <w:b/>
          <w:i w:val="0"/>
          <w:color w:val="auto"/>
          <w:sz w:val="22"/>
          <w:szCs w:val="22"/>
        </w:rPr>
        <w:t>solution is cloudy or has precipitated</w:t>
      </w:r>
      <w:r w:rsidRPr="007567A8">
        <w:rPr>
          <w:rFonts w:ascii="Arial" w:hAnsi="Arial" w:cs="Arial"/>
          <w:i w:val="0"/>
          <w:color w:val="auto"/>
          <w:sz w:val="22"/>
          <w:szCs w:val="22"/>
        </w:rPr>
        <w:t>.</w:t>
      </w:r>
    </w:p>
    <w:p w:rsidR="00E36CA6"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lastRenderedPageBreak/>
        <w:t xml:space="preserve">Using a 3 mL syringe, aseptically transfer 1.7 mL of reconstituted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into the IV bag.  Gently mix the contents of the bag to avoid foaming.</w:t>
      </w:r>
    </w:p>
    <w:p w:rsidR="00E36CA6"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Under aseptic conditions, attach the IV tubing to the IV bag with the sterile 0.2 micron in-line filter.</w:t>
      </w:r>
    </w:p>
    <w:p w:rsidR="00812A91" w:rsidRPr="007567A8" w:rsidRDefault="00812A91" w:rsidP="00556A34">
      <w:pPr>
        <w:pStyle w:val="TextItalicized"/>
        <w:numPr>
          <w:ilvl w:val="0"/>
          <w:numId w:val="7"/>
        </w:numPr>
        <w:rPr>
          <w:rFonts w:ascii="Arial" w:hAnsi="Arial" w:cs="Arial"/>
          <w:i w:val="0"/>
          <w:color w:val="auto"/>
          <w:sz w:val="22"/>
          <w:szCs w:val="22"/>
        </w:rPr>
      </w:pPr>
      <w:r w:rsidRPr="007567A8">
        <w:rPr>
          <w:rFonts w:ascii="Arial" w:hAnsi="Arial" w:cs="Arial"/>
          <w:i w:val="0"/>
          <w:color w:val="auto"/>
          <w:sz w:val="22"/>
          <w:szCs w:val="22"/>
        </w:rPr>
        <w:t xml:space="preserve">Remove air from the IV bag and prime the IV line </w:t>
      </w:r>
      <w:r w:rsidRPr="007567A8">
        <w:rPr>
          <w:rFonts w:ascii="Arial" w:hAnsi="Arial" w:cs="Arial"/>
          <w:b/>
          <w:i w:val="0"/>
          <w:color w:val="auto"/>
          <w:sz w:val="22"/>
          <w:szCs w:val="22"/>
        </w:rPr>
        <w:t xml:space="preserve">only </w:t>
      </w:r>
      <w:r w:rsidRPr="007567A8">
        <w:rPr>
          <w:rFonts w:ascii="Arial" w:hAnsi="Arial" w:cs="Arial"/>
          <w:i w:val="0"/>
          <w:color w:val="auto"/>
          <w:sz w:val="22"/>
          <w:szCs w:val="22"/>
        </w:rPr>
        <w:t xml:space="preserve">with the prepared solution for infusion.  </w:t>
      </w:r>
      <w:r w:rsidRPr="007567A8">
        <w:rPr>
          <w:rFonts w:ascii="Arial" w:hAnsi="Arial" w:cs="Arial"/>
          <w:b/>
          <w:i w:val="0"/>
          <w:color w:val="auto"/>
          <w:sz w:val="22"/>
          <w:szCs w:val="22"/>
        </w:rPr>
        <w:t xml:space="preserve">Do not prime with 0.9% </w:t>
      </w:r>
      <w:r w:rsidR="00C5663D">
        <w:rPr>
          <w:rFonts w:ascii="Arial" w:hAnsi="Arial" w:cs="Arial"/>
          <w:b/>
          <w:i w:val="0"/>
          <w:color w:val="auto"/>
          <w:sz w:val="22"/>
          <w:szCs w:val="22"/>
        </w:rPr>
        <w:t>s</w:t>
      </w:r>
      <w:r w:rsidRPr="007567A8">
        <w:rPr>
          <w:rFonts w:ascii="Arial" w:hAnsi="Arial" w:cs="Arial"/>
          <w:b/>
          <w:i w:val="0"/>
          <w:color w:val="auto"/>
          <w:sz w:val="22"/>
          <w:szCs w:val="22"/>
        </w:rPr>
        <w:t xml:space="preserve">odium </w:t>
      </w:r>
      <w:r w:rsidR="00C5663D">
        <w:rPr>
          <w:rFonts w:ascii="Arial" w:hAnsi="Arial" w:cs="Arial"/>
          <w:b/>
          <w:i w:val="0"/>
          <w:color w:val="auto"/>
          <w:sz w:val="22"/>
          <w:szCs w:val="22"/>
        </w:rPr>
        <w:t>c</w:t>
      </w:r>
      <w:r w:rsidRPr="007567A8">
        <w:rPr>
          <w:rFonts w:ascii="Arial" w:hAnsi="Arial" w:cs="Arial"/>
          <w:b/>
          <w:i w:val="0"/>
          <w:color w:val="auto"/>
          <w:sz w:val="22"/>
          <w:szCs w:val="22"/>
        </w:rPr>
        <w:t>hloride.</w:t>
      </w:r>
    </w:p>
    <w:p w:rsidR="00812A91" w:rsidRPr="007567A8" w:rsidRDefault="00812A91" w:rsidP="00556A34">
      <w:pPr>
        <w:pStyle w:val="TextItalicized"/>
        <w:numPr>
          <w:ilvl w:val="0"/>
          <w:numId w:val="7"/>
        </w:numPr>
        <w:rPr>
          <w:rFonts w:ascii="Arial" w:hAnsi="Arial" w:cs="Arial"/>
          <w:color w:val="auto"/>
          <w:sz w:val="22"/>
          <w:szCs w:val="22"/>
        </w:rPr>
      </w:pPr>
      <w:r w:rsidRPr="007567A8">
        <w:rPr>
          <w:rFonts w:ascii="Arial" w:hAnsi="Arial" w:cs="Arial"/>
          <w:i w:val="0"/>
          <w:color w:val="auto"/>
          <w:sz w:val="22"/>
          <w:szCs w:val="22"/>
        </w:rPr>
        <w:t xml:space="preserve">Store at </w:t>
      </w:r>
      <w:r w:rsidRPr="007567A8">
        <w:rPr>
          <w:rFonts w:ascii="Arial" w:hAnsi="Arial" w:cs="Arial"/>
          <w:bCs/>
          <w:i w:val="0"/>
          <w:sz w:val="22"/>
          <w:szCs w:val="22"/>
          <w:lang w:val="en-GB" w:eastAsia="zh-TW"/>
        </w:rPr>
        <w:t>2°C to 8°C</w:t>
      </w:r>
      <w:r w:rsidRPr="007567A8">
        <w:rPr>
          <w:rFonts w:ascii="Arial" w:hAnsi="Arial" w:cs="Arial"/>
          <w:b/>
          <w:bCs/>
          <w:sz w:val="22"/>
          <w:szCs w:val="22"/>
          <w:lang w:val="en-GB" w:eastAsia="zh-TW"/>
        </w:rPr>
        <w:t xml:space="preserve"> </w:t>
      </w:r>
      <w:r w:rsidRPr="007567A8">
        <w:rPr>
          <w:rFonts w:ascii="Arial" w:hAnsi="Arial" w:cs="Arial"/>
          <w:i w:val="0"/>
          <w:color w:val="auto"/>
          <w:sz w:val="22"/>
          <w:szCs w:val="22"/>
        </w:rPr>
        <w:t>if not used immediately</w:t>
      </w:r>
    </w:p>
    <w:p w:rsidR="00812A91" w:rsidRPr="00641665" w:rsidRDefault="009702B6" w:rsidP="00641665">
      <w:pPr>
        <w:pStyle w:val="Heading3"/>
        <w:numPr>
          <w:ilvl w:val="0"/>
          <w:numId w:val="35"/>
        </w:numPr>
        <w:rPr>
          <w:u w:val="none"/>
          <w:lang w:val="en-AU"/>
        </w:rPr>
      </w:pPr>
      <w:r w:rsidRPr="00641665">
        <w:rPr>
          <w:u w:val="none"/>
        </w:rPr>
        <w:t xml:space="preserve">Preparation of </w:t>
      </w:r>
      <w:proofErr w:type="spellStart"/>
      <w:r w:rsidR="00FD0BE3" w:rsidRPr="00641665">
        <w:rPr>
          <w:u w:val="none"/>
        </w:rPr>
        <w:t>Blincyto</w:t>
      </w:r>
      <w:proofErr w:type="spellEnd"/>
      <w:r w:rsidRPr="00641665">
        <w:rPr>
          <w:u w:val="none"/>
        </w:rPr>
        <w:t xml:space="preserve"> 9 </w:t>
      </w:r>
      <w:r w:rsidR="00AE642E" w:rsidRPr="00641665">
        <w:rPr>
          <w:u w:val="none"/>
        </w:rPr>
        <w:t>micrograms/</w:t>
      </w:r>
      <w:r w:rsidRPr="00641665">
        <w:rPr>
          <w:u w:val="none"/>
        </w:rPr>
        <w:t>day infused over 72 hours at a rate of 3.3 mL/h</w:t>
      </w:r>
    </w:p>
    <w:p w:rsidR="00E36CA6" w:rsidRDefault="009702B6" w:rsidP="00556A34">
      <w:pPr>
        <w:pStyle w:val="TextItalicized"/>
        <w:numPr>
          <w:ilvl w:val="0"/>
          <w:numId w:val="9"/>
        </w:numPr>
        <w:ind w:left="357" w:hanging="357"/>
        <w:rPr>
          <w:rFonts w:ascii="Arial" w:hAnsi="Arial" w:cs="Arial"/>
          <w:i w:val="0"/>
          <w:color w:val="auto"/>
          <w:sz w:val="22"/>
          <w:szCs w:val="22"/>
        </w:rPr>
      </w:pPr>
      <w:r w:rsidRPr="007567A8">
        <w:rPr>
          <w:rFonts w:ascii="Arial" w:hAnsi="Arial" w:cs="Arial"/>
          <w:i w:val="0"/>
          <w:color w:val="auto"/>
          <w:sz w:val="22"/>
          <w:szCs w:val="22"/>
        </w:rPr>
        <w:t xml:space="preserve">Use a prefilled 250 mL 0.9% </w:t>
      </w:r>
      <w:r w:rsidR="00C5663D">
        <w:rPr>
          <w:rFonts w:ascii="Arial" w:hAnsi="Arial" w:cs="Arial"/>
          <w:i w:val="0"/>
          <w:color w:val="auto"/>
          <w:sz w:val="22"/>
          <w:szCs w:val="22"/>
        </w:rPr>
        <w:t>s</w:t>
      </w:r>
      <w:r w:rsidRPr="007567A8">
        <w:rPr>
          <w:rFonts w:ascii="Arial" w:hAnsi="Arial" w:cs="Arial"/>
          <w:i w:val="0"/>
          <w:color w:val="auto"/>
          <w:sz w:val="22"/>
          <w:szCs w:val="22"/>
        </w:rPr>
        <w:t xml:space="preserve">odium </w:t>
      </w:r>
      <w:r w:rsidR="00C5663D">
        <w:rPr>
          <w:rFonts w:ascii="Arial" w:hAnsi="Arial" w:cs="Arial"/>
          <w:i w:val="0"/>
          <w:color w:val="auto"/>
          <w:sz w:val="22"/>
          <w:szCs w:val="22"/>
        </w:rPr>
        <w:t>c</w:t>
      </w:r>
      <w:r w:rsidRPr="007567A8">
        <w:rPr>
          <w:rFonts w:ascii="Arial" w:hAnsi="Arial" w:cs="Arial"/>
          <w:i w:val="0"/>
          <w:color w:val="auto"/>
          <w:sz w:val="22"/>
          <w:szCs w:val="22"/>
        </w:rPr>
        <w:t xml:space="preserve">hloride IV bag.  250 mL-prefilled bags typically contain overfill to a </w:t>
      </w:r>
      <w:r w:rsidR="00AA2A78">
        <w:rPr>
          <w:rFonts w:ascii="Arial" w:hAnsi="Arial" w:cs="Arial"/>
          <w:i w:val="0"/>
          <w:color w:val="auto"/>
          <w:sz w:val="22"/>
          <w:szCs w:val="22"/>
        </w:rPr>
        <w:t xml:space="preserve">total volume of 265 to 275 </w:t>
      </w:r>
      <w:proofErr w:type="spellStart"/>
      <w:r w:rsidR="00AA2A78">
        <w:rPr>
          <w:rFonts w:ascii="Arial" w:hAnsi="Arial" w:cs="Arial"/>
          <w:i w:val="0"/>
          <w:color w:val="auto"/>
          <w:sz w:val="22"/>
          <w:szCs w:val="22"/>
        </w:rPr>
        <w:t>mL.</w:t>
      </w:r>
      <w:proofErr w:type="spellEnd"/>
      <w:r w:rsidR="00AA2A78">
        <w:rPr>
          <w:rFonts w:ascii="Arial" w:hAnsi="Arial" w:cs="Arial"/>
          <w:i w:val="0"/>
          <w:color w:val="auto"/>
          <w:sz w:val="22"/>
          <w:szCs w:val="22"/>
        </w:rPr>
        <w:t xml:space="preserve"> </w:t>
      </w:r>
      <w:r w:rsidRPr="007567A8">
        <w:rPr>
          <w:rFonts w:ascii="Arial" w:hAnsi="Arial" w:cs="Arial"/>
          <w:i w:val="0"/>
          <w:color w:val="auto"/>
          <w:sz w:val="22"/>
          <w:szCs w:val="22"/>
        </w:rPr>
        <w:t xml:space="preserve">If necessary adjust the IV bag volume by adding or removing 0.9% </w:t>
      </w:r>
      <w:r w:rsidR="00C5663D">
        <w:rPr>
          <w:rFonts w:ascii="Arial" w:hAnsi="Arial" w:cs="Arial"/>
          <w:i w:val="0"/>
          <w:color w:val="auto"/>
          <w:sz w:val="22"/>
          <w:szCs w:val="22"/>
        </w:rPr>
        <w:t>s</w:t>
      </w:r>
      <w:r w:rsidRPr="007567A8">
        <w:rPr>
          <w:rFonts w:ascii="Arial" w:hAnsi="Arial" w:cs="Arial"/>
          <w:i w:val="0"/>
          <w:color w:val="auto"/>
          <w:sz w:val="22"/>
          <w:szCs w:val="22"/>
        </w:rPr>
        <w:t xml:space="preserve">odium </w:t>
      </w:r>
      <w:r w:rsidR="00C5663D">
        <w:rPr>
          <w:rFonts w:ascii="Arial" w:hAnsi="Arial" w:cs="Arial"/>
          <w:i w:val="0"/>
          <w:color w:val="auto"/>
          <w:sz w:val="22"/>
          <w:szCs w:val="22"/>
        </w:rPr>
        <w:t>c</w:t>
      </w:r>
      <w:r w:rsidRPr="007567A8">
        <w:rPr>
          <w:rFonts w:ascii="Arial" w:hAnsi="Arial" w:cs="Arial"/>
          <w:i w:val="0"/>
          <w:color w:val="auto"/>
          <w:sz w:val="22"/>
          <w:szCs w:val="22"/>
        </w:rPr>
        <w:t xml:space="preserve">hloride to achieve a starting volume between 265 and 275 </w:t>
      </w:r>
      <w:proofErr w:type="spellStart"/>
      <w:r w:rsidRPr="007567A8">
        <w:rPr>
          <w:rFonts w:ascii="Arial" w:hAnsi="Arial" w:cs="Arial"/>
          <w:i w:val="0"/>
          <w:color w:val="auto"/>
          <w:sz w:val="22"/>
          <w:szCs w:val="22"/>
        </w:rPr>
        <w:t>mL.</w:t>
      </w:r>
      <w:proofErr w:type="spellEnd"/>
    </w:p>
    <w:p w:rsidR="00E36CA6"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Using a 10 mL syringe, ase</w:t>
      </w:r>
      <w:r w:rsidR="00173FC4">
        <w:rPr>
          <w:rFonts w:ascii="Arial" w:hAnsi="Arial" w:cs="Arial"/>
          <w:i w:val="0"/>
          <w:color w:val="auto"/>
          <w:sz w:val="22"/>
          <w:szCs w:val="22"/>
        </w:rPr>
        <w:t>ptically transfer 5.6 mL of IV 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to the IV bag.  Gently mix the content</w:t>
      </w:r>
      <w:r w:rsidR="00AA2A78">
        <w:rPr>
          <w:rFonts w:ascii="Arial" w:hAnsi="Arial" w:cs="Arial"/>
          <w:i w:val="0"/>
          <w:color w:val="auto"/>
          <w:sz w:val="22"/>
          <w:szCs w:val="22"/>
        </w:rPr>
        <w:t xml:space="preserve">s of the bag to avoid foaming. </w:t>
      </w:r>
      <w:r w:rsidRPr="007567A8">
        <w:rPr>
          <w:rFonts w:ascii="Arial" w:hAnsi="Arial" w:cs="Arial"/>
          <w:i w:val="0"/>
          <w:color w:val="auto"/>
          <w:sz w:val="22"/>
          <w:szCs w:val="22"/>
        </w:rPr>
        <w:t xml:space="preserve">Discard remaining IV </w:t>
      </w:r>
      <w:r w:rsidR="00173FC4">
        <w:rPr>
          <w:rFonts w:ascii="Arial" w:hAnsi="Arial" w:cs="Arial"/>
          <w:i w:val="0"/>
          <w:color w:val="auto"/>
          <w:sz w:val="22"/>
          <w:szCs w:val="22"/>
        </w:rPr>
        <w:t>s</w:t>
      </w:r>
      <w:r w:rsidRPr="007567A8">
        <w:rPr>
          <w:rFonts w:ascii="Arial" w:hAnsi="Arial" w:cs="Arial"/>
          <w:i w:val="0"/>
          <w:color w:val="auto"/>
          <w:sz w:val="22"/>
          <w:szCs w:val="22"/>
        </w:rPr>
        <w:t xml:space="preserve">olution </w:t>
      </w:r>
      <w:proofErr w:type="spellStart"/>
      <w:r w:rsidR="00173FC4">
        <w:rPr>
          <w:rFonts w:ascii="Arial" w:hAnsi="Arial" w:cs="Arial"/>
          <w:i w:val="0"/>
          <w:color w:val="auto"/>
          <w:sz w:val="22"/>
          <w:szCs w:val="22"/>
        </w:rPr>
        <w:t>s</w:t>
      </w:r>
      <w:r w:rsidR="00840A3A" w:rsidRPr="007567A8">
        <w:rPr>
          <w:rFonts w:ascii="Arial" w:hAnsi="Arial" w:cs="Arial"/>
          <w:i w:val="0"/>
          <w:color w:val="auto"/>
          <w:sz w:val="22"/>
          <w:szCs w:val="22"/>
        </w:rPr>
        <w:t>tabil</w:t>
      </w:r>
      <w:r w:rsidR="001E76ED">
        <w:rPr>
          <w:rFonts w:ascii="Arial" w:hAnsi="Arial" w:cs="Arial"/>
          <w:i w:val="0"/>
          <w:color w:val="auto"/>
          <w:sz w:val="22"/>
          <w:szCs w:val="22"/>
        </w:rPr>
        <w:t>i</w:t>
      </w:r>
      <w:r w:rsidR="00840A3A" w:rsidRPr="007567A8">
        <w:rPr>
          <w:rFonts w:ascii="Arial" w:hAnsi="Arial" w:cs="Arial"/>
          <w:i w:val="0"/>
          <w:color w:val="auto"/>
          <w:sz w:val="22"/>
          <w:szCs w:val="22"/>
        </w:rPr>
        <w:t>ser</w:t>
      </w:r>
      <w:proofErr w:type="spellEnd"/>
      <w:r w:rsidRPr="007567A8">
        <w:rPr>
          <w:rFonts w:ascii="Arial" w:hAnsi="Arial" w:cs="Arial"/>
          <w:i w:val="0"/>
          <w:color w:val="auto"/>
          <w:sz w:val="22"/>
          <w:szCs w:val="22"/>
        </w:rPr>
        <w:t xml:space="preserve"> vial.</w:t>
      </w:r>
    </w:p>
    <w:p w:rsidR="009702B6" w:rsidRPr="007567A8"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 xml:space="preserve">Using a 5 mL syringe, reconstitute one vial of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using 3 mL of preservative-free Sterile </w:t>
      </w:r>
      <w:r w:rsidR="00B418CD">
        <w:rPr>
          <w:rFonts w:ascii="Arial" w:hAnsi="Arial" w:cs="Arial"/>
          <w:i w:val="0"/>
          <w:color w:val="auto"/>
          <w:sz w:val="22"/>
          <w:szCs w:val="22"/>
        </w:rPr>
        <w:t>Water for Injections</w:t>
      </w:r>
      <w:r w:rsidR="00AA2A78">
        <w:rPr>
          <w:rFonts w:ascii="Arial" w:hAnsi="Arial" w:cs="Arial"/>
          <w:i w:val="0"/>
          <w:color w:val="auto"/>
          <w:sz w:val="22"/>
          <w:szCs w:val="22"/>
        </w:rPr>
        <w:t xml:space="preserve">. </w:t>
      </w:r>
      <w:r w:rsidRPr="007567A8">
        <w:rPr>
          <w:rFonts w:ascii="Arial" w:hAnsi="Arial" w:cs="Arial"/>
          <w:i w:val="0"/>
          <w:color w:val="auto"/>
          <w:sz w:val="22"/>
          <w:szCs w:val="22"/>
        </w:rPr>
        <w:t xml:space="preserve">Direct preservative-free Sterile </w:t>
      </w:r>
      <w:r w:rsidR="00B418CD">
        <w:rPr>
          <w:rFonts w:ascii="Arial" w:hAnsi="Arial" w:cs="Arial"/>
          <w:i w:val="0"/>
          <w:color w:val="auto"/>
          <w:sz w:val="22"/>
          <w:szCs w:val="22"/>
        </w:rPr>
        <w:t>Water for Injections</w:t>
      </w:r>
      <w:r w:rsidRPr="007567A8">
        <w:rPr>
          <w:rFonts w:ascii="Arial" w:hAnsi="Arial" w:cs="Arial"/>
          <w:i w:val="0"/>
          <w:color w:val="auto"/>
          <w:sz w:val="22"/>
          <w:szCs w:val="22"/>
        </w:rPr>
        <w:t xml:space="preserve"> toward the side of the vial during reconstitution.  Gently swirl contents to avoid excess foaming.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shake</w:t>
      </w:r>
      <w:r w:rsidRPr="007567A8">
        <w:rPr>
          <w:rFonts w:ascii="Arial" w:hAnsi="Arial" w:cs="Arial"/>
          <w:i w:val="0"/>
          <w:color w:val="auto"/>
          <w:sz w:val="22"/>
          <w:szCs w:val="22"/>
        </w:rPr>
        <w:t>.</w:t>
      </w:r>
    </w:p>
    <w:p w:rsidR="009702B6" w:rsidRPr="007567A8" w:rsidRDefault="009702B6" w:rsidP="00641665">
      <w:pPr>
        <w:pStyle w:val="StyleListParagraphBold1"/>
        <w:numPr>
          <w:ilvl w:val="0"/>
          <w:numId w:val="36"/>
        </w:numPr>
        <w:ind w:left="709"/>
      </w:pPr>
      <w:r w:rsidRPr="003951D0">
        <w:t xml:space="preserve">Do </w:t>
      </w:r>
      <w:r w:rsidRPr="003951D0">
        <w:rPr>
          <w:u w:val="single"/>
        </w:rPr>
        <w:t>not</w:t>
      </w:r>
      <w:r w:rsidRPr="003951D0">
        <w:t xml:space="preserve"> reconstitute </w:t>
      </w:r>
      <w:proofErr w:type="spellStart"/>
      <w:r w:rsidR="00FD0BE3" w:rsidRPr="003951D0">
        <w:t>Blincyto</w:t>
      </w:r>
      <w:proofErr w:type="spellEnd"/>
      <w:r w:rsidRPr="003951D0">
        <w:t xml:space="preserve"> with IV </w:t>
      </w:r>
      <w:r w:rsidR="00173FC4" w:rsidRPr="003951D0">
        <w:t>s</w:t>
      </w:r>
      <w:r w:rsidRPr="003951D0">
        <w:t xml:space="preserve">olution </w:t>
      </w:r>
      <w:proofErr w:type="spellStart"/>
      <w:r w:rsidR="00173FC4" w:rsidRPr="003951D0">
        <w:t>s</w:t>
      </w:r>
      <w:r w:rsidR="00840A3A" w:rsidRPr="003951D0">
        <w:t>tabil</w:t>
      </w:r>
      <w:r w:rsidR="001E76ED" w:rsidRPr="003951D0">
        <w:t>i</w:t>
      </w:r>
      <w:r w:rsidR="00840A3A" w:rsidRPr="003951D0">
        <w:t>ser</w:t>
      </w:r>
      <w:proofErr w:type="spellEnd"/>
      <w:r w:rsidR="003951D0">
        <w:t>.</w:t>
      </w:r>
    </w:p>
    <w:p w:rsidR="009702B6" w:rsidRPr="007567A8" w:rsidRDefault="009702B6" w:rsidP="003951D0">
      <w:pPr>
        <w:pStyle w:val="ListParagraph"/>
        <w:numPr>
          <w:ilvl w:val="0"/>
          <w:numId w:val="2"/>
        </w:numPr>
      </w:pPr>
      <w:r w:rsidRPr="007567A8">
        <w:t xml:space="preserve">The addition of preservative-free Sterile </w:t>
      </w:r>
      <w:r w:rsidR="00B418CD">
        <w:t>Water for Injections</w:t>
      </w:r>
      <w:r w:rsidRPr="007567A8">
        <w:t xml:space="preserve"> to the </w:t>
      </w:r>
      <w:proofErr w:type="spellStart"/>
      <w:r w:rsidRPr="007567A8">
        <w:t>lyophili</w:t>
      </w:r>
      <w:r w:rsidR="005A2C00" w:rsidRPr="007567A8">
        <w:t>s</w:t>
      </w:r>
      <w:r w:rsidRPr="007567A8">
        <w:t>ed</w:t>
      </w:r>
      <w:proofErr w:type="spellEnd"/>
      <w:r w:rsidRPr="007567A8">
        <w:t xml:space="preserve"> powder results in a total volume of 3.1 mL for a final </w:t>
      </w:r>
      <w:proofErr w:type="spellStart"/>
      <w:r w:rsidR="00FD0BE3" w:rsidRPr="007567A8">
        <w:t>Blincyto</w:t>
      </w:r>
      <w:proofErr w:type="spellEnd"/>
      <w:r w:rsidRPr="007567A8">
        <w:t xml:space="preserve"> co</w:t>
      </w:r>
      <w:r w:rsidR="005A2C00" w:rsidRPr="007567A8">
        <w:t xml:space="preserve">ncentration of 12.5 </w:t>
      </w:r>
      <w:r w:rsidR="00D95F66">
        <w:t>micro</w:t>
      </w:r>
      <w:r w:rsidR="00D95F66" w:rsidRPr="007567A8">
        <w:t>g</w:t>
      </w:r>
      <w:r w:rsidR="00D95F66">
        <w:t>rams</w:t>
      </w:r>
      <w:r w:rsidR="005A2C00" w:rsidRPr="007567A8">
        <w:t>/</w:t>
      </w:r>
      <w:proofErr w:type="spellStart"/>
      <w:r w:rsidR="005A2C00" w:rsidRPr="007567A8">
        <w:t>mL.</w:t>
      </w:r>
      <w:proofErr w:type="spellEnd"/>
    </w:p>
    <w:p w:rsidR="00E36CA6"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Visually inspect the reconstituted solution for particulate matter and discoloration during reconstitution and prior to infusion.  The resulting solution should be clear to slightly opalescent</w:t>
      </w:r>
      <w:r w:rsidR="00AA2A78">
        <w:rPr>
          <w:rFonts w:ascii="Arial" w:hAnsi="Arial" w:cs="Arial"/>
          <w:i w:val="0"/>
          <w:color w:val="auto"/>
          <w:sz w:val="22"/>
          <w:szCs w:val="22"/>
        </w:rPr>
        <w:t xml:space="preserve">, </w:t>
      </w:r>
      <w:proofErr w:type="spellStart"/>
      <w:r w:rsidR="00AA2A78">
        <w:rPr>
          <w:rFonts w:ascii="Arial" w:hAnsi="Arial" w:cs="Arial"/>
          <w:i w:val="0"/>
          <w:color w:val="auto"/>
          <w:sz w:val="22"/>
          <w:szCs w:val="22"/>
        </w:rPr>
        <w:t>colourless</w:t>
      </w:r>
      <w:proofErr w:type="spellEnd"/>
      <w:r w:rsidR="00AA2A78">
        <w:rPr>
          <w:rFonts w:ascii="Arial" w:hAnsi="Arial" w:cs="Arial"/>
          <w:i w:val="0"/>
          <w:color w:val="auto"/>
          <w:sz w:val="22"/>
          <w:szCs w:val="22"/>
        </w:rPr>
        <w:t xml:space="preserve"> to slightly yellow.</w:t>
      </w:r>
      <w:r w:rsidRPr="007567A8">
        <w:rPr>
          <w:rFonts w:ascii="Arial" w:hAnsi="Arial" w:cs="Arial"/>
          <w:i w:val="0"/>
          <w:color w:val="auto"/>
          <w:sz w:val="22"/>
          <w:szCs w:val="22"/>
        </w:rPr>
        <w:t xml:space="preserve"> </w:t>
      </w:r>
      <w:r w:rsidRPr="007567A8">
        <w:rPr>
          <w:rFonts w:ascii="Arial" w:hAnsi="Arial" w:cs="Arial"/>
          <w:b/>
          <w:i w:val="0"/>
          <w:color w:val="auto"/>
          <w:sz w:val="22"/>
          <w:szCs w:val="22"/>
        </w:rPr>
        <w:t xml:space="preserve">Do </w:t>
      </w:r>
      <w:r w:rsidRPr="007567A8">
        <w:rPr>
          <w:rFonts w:ascii="Arial" w:hAnsi="Arial" w:cs="Arial"/>
          <w:b/>
          <w:i w:val="0"/>
          <w:color w:val="auto"/>
          <w:sz w:val="22"/>
          <w:szCs w:val="22"/>
          <w:u w:val="single"/>
        </w:rPr>
        <w:t>not</w:t>
      </w:r>
      <w:r w:rsidRPr="007567A8">
        <w:rPr>
          <w:rFonts w:ascii="Arial" w:hAnsi="Arial" w:cs="Arial"/>
          <w:b/>
          <w:i w:val="0"/>
          <w:color w:val="auto"/>
          <w:sz w:val="22"/>
          <w:szCs w:val="22"/>
        </w:rPr>
        <w:t xml:space="preserve"> use </w:t>
      </w:r>
      <w:r w:rsidRPr="007567A8" w:rsidDel="0001278F">
        <w:rPr>
          <w:rFonts w:ascii="Arial" w:hAnsi="Arial" w:cs="Arial"/>
          <w:b/>
          <w:i w:val="0"/>
          <w:color w:val="auto"/>
          <w:sz w:val="22"/>
          <w:szCs w:val="22"/>
        </w:rPr>
        <w:t xml:space="preserve">if </w:t>
      </w:r>
      <w:r w:rsidRPr="007567A8">
        <w:rPr>
          <w:rFonts w:ascii="Arial" w:hAnsi="Arial" w:cs="Arial"/>
          <w:b/>
          <w:i w:val="0"/>
          <w:color w:val="auto"/>
          <w:sz w:val="22"/>
          <w:szCs w:val="22"/>
        </w:rPr>
        <w:t>solution is cloudy or has precipitated</w:t>
      </w:r>
      <w:r w:rsidRPr="007567A8">
        <w:rPr>
          <w:rFonts w:ascii="Arial" w:hAnsi="Arial" w:cs="Arial"/>
          <w:i w:val="0"/>
          <w:color w:val="auto"/>
          <w:sz w:val="22"/>
          <w:szCs w:val="22"/>
        </w:rPr>
        <w:t>.</w:t>
      </w:r>
    </w:p>
    <w:p w:rsidR="00E36CA6"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 xml:space="preserve">Using a 3 mL syringe, aseptically transfer 2.5 mL of reconstituted </w:t>
      </w:r>
      <w:proofErr w:type="spellStart"/>
      <w:r w:rsidR="00FD0BE3" w:rsidRPr="007567A8">
        <w:rPr>
          <w:rFonts w:ascii="Arial" w:hAnsi="Arial" w:cs="Arial"/>
          <w:i w:val="0"/>
          <w:color w:val="auto"/>
          <w:sz w:val="22"/>
          <w:szCs w:val="22"/>
        </w:rPr>
        <w:t>Blincyto</w:t>
      </w:r>
      <w:proofErr w:type="spellEnd"/>
      <w:r w:rsidRPr="007567A8">
        <w:rPr>
          <w:rFonts w:ascii="Arial" w:hAnsi="Arial" w:cs="Arial"/>
          <w:i w:val="0"/>
          <w:color w:val="auto"/>
          <w:sz w:val="22"/>
          <w:szCs w:val="22"/>
        </w:rPr>
        <w:t xml:space="preserve"> into the IV bag.  Gently mix the contents of the bag to avoid foaming.</w:t>
      </w:r>
    </w:p>
    <w:p w:rsidR="00E36CA6"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Under aseptic conditions, attach the IV tubing to the IV bag</w:t>
      </w:r>
      <w:r w:rsidR="00A12778">
        <w:rPr>
          <w:rFonts w:ascii="Arial" w:hAnsi="Arial" w:cs="Arial"/>
          <w:i w:val="0"/>
          <w:color w:val="auto"/>
          <w:sz w:val="22"/>
          <w:szCs w:val="22"/>
        </w:rPr>
        <w:t xml:space="preserve"> </w:t>
      </w:r>
      <w:r w:rsidRPr="007567A8">
        <w:rPr>
          <w:rFonts w:ascii="Arial" w:hAnsi="Arial" w:cs="Arial"/>
          <w:i w:val="0"/>
          <w:color w:val="auto"/>
          <w:sz w:val="22"/>
          <w:szCs w:val="22"/>
        </w:rPr>
        <w:t>with the sterile 0.2 micron in-line filter.</w:t>
      </w:r>
    </w:p>
    <w:p w:rsidR="009702B6" w:rsidRPr="007567A8" w:rsidRDefault="009702B6" w:rsidP="00556A34">
      <w:pPr>
        <w:pStyle w:val="TextItalicized"/>
        <w:numPr>
          <w:ilvl w:val="0"/>
          <w:numId w:val="9"/>
        </w:numPr>
        <w:rPr>
          <w:rFonts w:ascii="Arial" w:hAnsi="Arial" w:cs="Arial"/>
          <w:i w:val="0"/>
          <w:color w:val="auto"/>
          <w:sz w:val="22"/>
          <w:szCs w:val="22"/>
        </w:rPr>
      </w:pPr>
      <w:r w:rsidRPr="007567A8">
        <w:rPr>
          <w:rFonts w:ascii="Arial" w:hAnsi="Arial" w:cs="Arial"/>
          <w:i w:val="0"/>
          <w:color w:val="auto"/>
          <w:sz w:val="22"/>
          <w:szCs w:val="22"/>
        </w:rPr>
        <w:t xml:space="preserve">Remove air from the IV bag and prime the IV line </w:t>
      </w:r>
      <w:r w:rsidRPr="007567A8">
        <w:rPr>
          <w:rFonts w:ascii="Arial" w:hAnsi="Arial" w:cs="Arial"/>
          <w:b/>
          <w:i w:val="0"/>
          <w:color w:val="auto"/>
          <w:sz w:val="22"/>
          <w:szCs w:val="22"/>
        </w:rPr>
        <w:t xml:space="preserve">only </w:t>
      </w:r>
      <w:r w:rsidRPr="007567A8">
        <w:rPr>
          <w:rFonts w:ascii="Arial" w:hAnsi="Arial" w:cs="Arial"/>
          <w:i w:val="0"/>
          <w:color w:val="auto"/>
          <w:sz w:val="22"/>
          <w:szCs w:val="22"/>
        </w:rPr>
        <w:t xml:space="preserve">with the prepared solution for infusion. </w:t>
      </w:r>
      <w:r w:rsidRPr="007567A8">
        <w:rPr>
          <w:rFonts w:ascii="Arial" w:hAnsi="Arial" w:cs="Arial"/>
          <w:b/>
          <w:i w:val="0"/>
          <w:color w:val="auto"/>
          <w:sz w:val="22"/>
          <w:szCs w:val="22"/>
        </w:rPr>
        <w:t xml:space="preserve">Do not prime with 0.9% </w:t>
      </w:r>
      <w:r w:rsidR="00C5663D">
        <w:rPr>
          <w:rFonts w:ascii="Arial" w:hAnsi="Arial" w:cs="Arial"/>
          <w:b/>
          <w:i w:val="0"/>
          <w:color w:val="auto"/>
          <w:sz w:val="22"/>
          <w:szCs w:val="22"/>
        </w:rPr>
        <w:t>s</w:t>
      </w:r>
      <w:r w:rsidRPr="007567A8">
        <w:rPr>
          <w:rFonts w:ascii="Arial" w:hAnsi="Arial" w:cs="Arial"/>
          <w:b/>
          <w:i w:val="0"/>
          <w:color w:val="auto"/>
          <w:sz w:val="22"/>
          <w:szCs w:val="22"/>
        </w:rPr>
        <w:t xml:space="preserve">odium </w:t>
      </w:r>
      <w:r w:rsidR="00C5663D">
        <w:rPr>
          <w:rFonts w:ascii="Arial" w:hAnsi="Arial" w:cs="Arial"/>
          <w:b/>
          <w:i w:val="0"/>
          <w:color w:val="auto"/>
          <w:sz w:val="22"/>
          <w:szCs w:val="22"/>
        </w:rPr>
        <w:t>c</w:t>
      </w:r>
      <w:r w:rsidRPr="007567A8">
        <w:rPr>
          <w:rFonts w:ascii="Arial" w:hAnsi="Arial" w:cs="Arial"/>
          <w:b/>
          <w:i w:val="0"/>
          <w:color w:val="auto"/>
          <w:sz w:val="22"/>
          <w:szCs w:val="22"/>
        </w:rPr>
        <w:t>hloride.</w:t>
      </w:r>
    </w:p>
    <w:p w:rsidR="006E7F4F" w:rsidRPr="00056891" w:rsidRDefault="009702B6" w:rsidP="00556A34">
      <w:pPr>
        <w:pStyle w:val="TextItalicized"/>
        <w:numPr>
          <w:ilvl w:val="0"/>
          <w:numId w:val="9"/>
        </w:numPr>
        <w:rPr>
          <w:rFonts w:ascii="Arial" w:hAnsi="Arial" w:cs="Arial"/>
          <w:i w:val="0"/>
          <w:color w:val="auto"/>
          <w:sz w:val="22"/>
          <w:szCs w:val="22"/>
          <w:lang w:val="en-AU"/>
        </w:rPr>
      </w:pPr>
      <w:r w:rsidRPr="00056891">
        <w:rPr>
          <w:rFonts w:ascii="Arial" w:hAnsi="Arial" w:cs="Arial"/>
          <w:i w:val="0"/>
          <w:color w:val="auto"/>
          <w:sz w:val="22"/>
          <w:szCs w:val="22"/>
        </w:rPr>
        <w:t xml:space="preserve">Store at </w:t>
      </w:r>
      <w:r w:rsidRPr="00056891">
        <w:rPr>
          <w:rFonts w:ascii="Arial" w:hAnsi="Arial" w:cs="Arial"/>
          <w:bCs/>
          <w:i w:val="0"/>
          <w:color w:val="auto"/>
          <w:sz w:val="22"/>
          <w:szCs w:val="22"/>
          <w:lang w:val="en-GB" w:eastAsia="zh-TW"/>
        </w:rPr>
        <w:t>2°C to 8°C</w:t>
      </w:r>
      <w:r w:rsidRPr="00056891">
        <w:rPr>
          <w:rFonts w:ascii="Arial" w:hAnsi="Arial" w:cs="Arial"/>
          <w:b/>
          <w:bCs/>
          <w:i w:val="0"/>
          <w:color w:val="auto"/>
          <w:sz w:val="22"/>
          <w:szCs w:val="22"/>
          <w:lang w:val="en-GB" w:eastAsia="zh-TW"/>
        </w:rPr>
        <w:t xml:space="preserve"> </w:t>
      </w:r>
      <w:r w:rsidRPr="00056891">
        <w:rPr>
          <w:rFonts w:ascii="Arial" w:hAnsi="Arial" w:cs="Arial"/>
          <w:i w:val="0"/>
          <w:color w:val="auto"/>
          <w:sz w:val="22"/>
          <w:szCs w:val="22"/>
        </w:rPr>
        <w:t>if not used immediately</w:t>
      </w:r>
    </w:p>
    <w:p w:rsidR="007925BA" w:rsidRPr="00641665" w:rsidRDefault="007925BA" w:rsidP="00641665">
      <w:pPr>
        <w:pStyle w:val="Heading3"/>
        <w:numPr>
          <w:ilvl w:val="0"/>
          <w:numId w:val="35"/>
        </w:numPr>
        <w:rPr>
          <w:u w:val="none"/>
        </w:rPr>
      </w:pPr>
      <w:r w:rsidRPr="00641665">
        <w:rPr>
          <w:u w:val="none"/>
        </w:rPr>
        <w:t xml:space="preserve">Preparation of </w:t>
      </w:r>
      <w:proofErr w:type="spellStart"/>
      <w:r w:rsidRPr="00641665">
        <w:rPr>
          <w:u w:val="none"/>
        </w:rPr>
        <w:t>Blincyto</w:t>
      </w:r>
      <w:proofErr w:type="spellEnd"/>
      <w:r w:rsidRPr="00641665">
        <w:rPr>
          <w:u w:val="none"/>
        </w:rPr>
        <w:t xml:space="preserve"> 9 </w:t>
      </w:r>
      <w:r w:rsidR="00AE642E" w:rsidRPr="00641665">
        <w:rPr>
          <w:u w:val="none"/>
        </w:rPr>
        <w:t>micrograms</w:t>
      </w:r>
      <w:r w:rsidRPr="00641665">
        <w:rPr>
          <w:u w:val="none"/>
        </w:rPr>
        <w:t>/day infused over 96 hours at a rate of 2.5mL/h</w:t>
      </w:r>
    </w:p>
    <w:p w:rsidR="007925BA" w:rsidRPr="007567A8" w:rsidRDefault="007925BA" w:rsidP="00EA2DF3">
      <w:pPr>
        <w:pStyle w:val="TextItalicized"/>
        <w:numPr>
          <w:ilvl w:val="0"/>
          <w:numId w:val="14"/>
        </w:numPr>
        <w:ind w:hanging="357"/>
        <w:rPr>
          <w:rFonts w:ascii="Arial" w:hAnsi="Arial" w:cs="Arial"/>
          <w:i w:val="0"/>
          <w:color w:val="auto"/>
          <w:sz w:val="22"/>
          <w:szCs w:val="22"/>
          <w:lang w:val="en-GB"/>
        </w:rPr>
      </w:pPr>
      <w:r w:rsidRPr="007567A8">
        <w:rPr>
          <w:rFonts w:ascii="Arial" w:hAnsi="Arial" w:cs="Arial"/>
          <w:i w:val="0"/>
          <w:color w:val="auto"/>
          <w:sz w:val="22"/>
          <w:szCs w:val="22"/>
          <w:lang w:val="en-GB"/>
        </w:rPr>
        <w:t xml:space="preserve">Use a prefilled 250 mL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Pr="007567A8">
        <w:rPr>
          <w:rFonts w:ascii="Arial" w:hAnsi="Arial" w:cs="Arial"/>
          <w:i w:val="0"/>
          <w:color w:val="auto"/>
          <w:sz w:val="22"/>
          <w:szCs w:val="22"/>
          <w:lang w:val="en-GB"/>
        </w:rPr>
        <w:t xml:space="preserve">hloride IV bag.  250 mL-prefilled bags typically contain overfill to a total volume of 265 to 275 </w:t>
      </w:r>
      <w:proofErr w:type="spellStart"/>
      <w:r w:rsidRPr="007567A8">
        <w:rPr>
          <w:rFonts w:ascii="Arial" w:hAnsi="Arial" w:cs="Arial"/>
          <w:i w:val="0"/>
          <w:color w:val="auto"/>
          <w:sz w:val="22"/>
          <w:szCs w:val="22"/>
          <w:lang w:val="en-GB"/>
        </w:rPr>
        <w:t>mL.</w:t>
      </w:r>
      <w:proofErr w:type="spellEnd"/>
      <w:r w:rsidRPr="007567A8">
        <w:rPr>
          <w:rFonts w:ascii="Arial" w:hAnsi="Arial" w:cs="Arial"/>
          <w:i w:val="0"/>
          <w:color w:val="auto"/>
          <w:sz w:val="22"/>
          <w:szCs w:val="22"/>
          <w:lang w:val="en-GB"/>
        </w:rPr>
        <w:t xml:space="preserve"> If necessary adjust the IV bag volume by adding or removing 0.9% </w:t>
      </w:r>
      <w:r w:rsidR="00AA2A78">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AA2A78">
        <w:rPr>
          <w:rFonts w:ascii="Arial" w:hAnsi="Arial" w:cs="Arial"/>
          <w:i w:val="0"/>
          <w:color w:val="auto"/>
          <w:sz w:val="22"/>
          <w:szCs w:val="22"/>
          <w:lang w:val="en-GB"/>
        </w:rPr>
        <w:t>c</w:t>
      </w:r>
      <w:r w:rsidRPr="007567A8">
        <w:rPr>
          <w:rFonts w:ascii="Arial" w:hAnsi="Arial" w:cs="Arial"/>
          <w:i w:val="0"/>
          <w:color w:val="auto"/>
          <w:sz w:val="22"/>
          <w:szCs w:val="22"/>
          <w:lang w:val="en-GB"/>
        </w:rPr>
        <w:t xml:space="preserve">hloride to achieve a starting </w:t>
      </w:r>
      <w:r w:rsidR="00056891">
        <w:rPr>
          <w:rFonts w:ascii="Arial" w:hAnsi="Arial" w:cs="Arial"/>
          <w:i w:val="0"/>
          <w:color w:val="auto"/>
          <w:sz w:val="22"/>
          <w:szCs w:val="22"/>
          <w:lang w:val="en-GB"/>
        </w:rPr>
        <w:t xml:space="preserve">volume between 265 and 275 </w:t>
      </w:r>
      <w:proofErr w:type="spellStart"/>
      <w:r w:rsidR="00056891">
        <w:rPr>
          <w:rFonts w:ascii="Arial" w:hAnsi="Arial" w:cs="Arial"/>
          <w:i w:val="0"/>
          <w:color w:val="auto"/>
          <w:sz w:val="22"/>
          <w:szCs w:val="22"/>
          <w:lang w:val="en-GB"/>
        </w:rPr>
        <w:t>mL.</w:t>
      </w:r>
      <w:proofErr w:type="spellEnd"/>
    </w:p>
    <w:p w:rsidR="00E36CA6"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10 mL syringe, aseptically transfer 5.6 mL of </w:t>
      </w:r>
      <w:r w:rsidR="001E76ED">
        <w:rPr>
          <w:rFonts w:ascii="Arial" w:hAnsi="Arial" w:cs="Arial"/>
          <w:i w:val="0"/>
          <w:color w:val="auto"/>
          <w:sz w:val="22"/>
          <w:szCs w:val="22"/>
          <w:lang w:val="en-GB"/>
        </w:rPr>
        <w:t>IV solution stabiliser</w:t>
      </w:r>
      <w:r w:rsidR="00AA2A78">
        <w:rPr>
          <w:rFonts w:ascii="Arial" w:hAnsi="Arial" w:cs="Arial"/>
          <w:i w:val="0"/>
          <w:color w:val="auto"/>
          <w:sz w:val="22"/>
          <w:szCs w:val="22"/>
          <w:lang w:val="en-GB"/>
        </w:rPr>
        <w:t xml:space="preserve"> to the IV bag. </w:t>
      </w:r>
      <w:r w:rsidRPr="007567A8">
        <w:rPr>
          <w:rFonts w:ascii="Arial" w:hAnsi="Arial" w:cs="Arial"/>
          <w:i w:val="0"/>
          <w:color w:val="auto"/>
          <w:sz w:val="22"/>
          <w:szCs w:val="22"/>
          <w:lang w:val="en-GB"/>
        </w:rPr>
        <w:t>Gently mix the content</w:t>
      </w:r>
      <w:r w:rsidR="00AA2A78">
        <w:rPr>
          <w:rFonts w:ascii="Arial" w:hAnsi="Arial" w:cs="Arial"/>
          <w:i w:val="0"/>
          <w:color w:val="auto"/>
          <w:sz w:val="22"/>
          <w:szCs w:val="22"/>
          <w:lang w:val="en-GB"/>
        </w:rPr>
        <w:t xml:space="preserve">s of the bag to avoid foaming. </w:t>
      </w:r>
      <w:r w:rsidRPr="007567A8">
        <w:rPr>
          <w:rFonts w:ascii="Arial" w:hAnsi="Arial" w:cs="Arial"/>
          <w:i w:val="0"/>
          <w:color w:val="auto"/>
          <w:sz w:val="22"/>
          <w:szCs w:val="22"/>
          <w:lang w:val="en-GB"/>
        </w:rPr>
        <w:t xml:space="preserve">Discard remaining </w:t>
      </w:r>
      <w:r w:rsidR="001E76ED">
        <w:rPr>
          <w:rFonts w:ascii="Arial" w:hAnsi="Arial" w:cs="Arial"/>
          <w:i w:val="0"/>
          <w:color w:val="auto"/>
          <w:sz w:val="22"/>
          <w:szCs w:val="22"/>
          <w:lang w:val="en-GB"/>
        </w:rPr>
        <w:t>IV solution stabiliser</w:t>
      </w:r>
      <w:r w:rsidR="001E76ED" w:rsidRPr="007567A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vial.</w:t>
      </w:r>
    </w:p>
    <w:p w:rsidR="007925BA" w:rsidRPr="007567A8" w:rsidRDefault="00AA2A78" w:rsidP="00EA2DF3">
      <w:pPr>
        <w:pStyle w:val="TextItalicized"/>
        <w:numPr>
          <w:ilvl w:val="0"/>
          <w:numId w:val="14"/>
        </w:numPr>
        <w:rPr>
          <w:rFonts w:ascii="Arial" w:hAnsi="Arial" w:cs="Arial"/>
          <w:i w:val="0"/>
          <w:color w:val="auto"/>
          <w:sz w:val="22"/>
          <w:szCs w:val="22"/>
          <w:lang w:val="en-GB"/>
        </w:rPr>
      </w:pPr>
      <w:r>
        <w:rPr>
          <w:rFonts w:ascii="Arial" w:hAnsi="Arial" w:cs="Arial"/>
          <w:i w:val="0"/>
          <w:color w:val="auto"/>
          <w:sz w:val="22"/>
          <w:szCs w:val="22"/>
          <w:lang w:val="en-GB"/>
        </w:rPr>
        <w:t xml:space="preserve">Use two vials of </w:t>
      </w:r>
      <w:proofErr w:type="spellStart"/>
      <w:r>
        <w:rPr>
          <w:rFonts w:ascii="Arial" w:hAnsi="Arial" w:cs="Arial"/>
          <w:i w:val="0"/>
          <w:color w:val="auto"/>
          <w:sz w:val="22"/>
          <w:szCs w:val="22"/>
          <w:lang w:val="en-GB"/>
        </w:rPr>
        <w:t>Blincyto</w:t>
      </w:r>
      <w:proofErr w:type="spellEnd"/>
      <w:r>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Using a 5 mL syringe, reconstitute each vial of </w:t>
      </w:r>
      <w:proofErr w:type="spellStart"/>
      <w:r w:rsidR="007925BA" w:rsidRPr="007567A8">
        <w:rPr>
          <w:rFonts w:ascii="Arial" w:hAnsi="Arial" w:cs="Arial"/>
          <w:i w:val="0"/>
          <w:color w:val="auto"/>
          <w:sz w:val="22"/>
          <w:szCs w:val="22"/>
          <w:lang w:val="en-GB"/>
        </w:rPr>
        <w:t>Blincyto</w:t>
      </w:r>
      <w:proofErr w:type="spellEnd"/>
      <w:r w:rsidR="007925BA" w:rsidRPr="007567A8">
        <w:rPr>
          <w:rFonts w:ascii="Arial" w:hAnsi="Arial" w:cs="Arial"/>
          <w:i w:val="0"/>
          <w:color w:val="auto"/>
          <w:sz w:val="22"/>
          <w:szCs w:val="22"/>
          <w:lang w:val="en-GB"/>
        </w:rPr>
        <w:t xml:space="preserve"> using 3 mL of preservative-free Sterile </w:t>
      </w:r>
      <w:r w:rsidR="00B418CD">
        <w:rPr>
          <w:rFonts w:ascii="Arial" w:hAnsi="Arial" w:cs="Arial"/>
          <w:i w:val="0"/>
          <w:color w:val="auto"/>
          <w:sz w:val="22"/>
          <w:szCs w:val="22"/>
          <w:lang w:val="en-GB"/>
        </w:rPr>
        <w:t>Water for Injections</w:t>
      </w:r>
      <w:r>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Direct preservative-free Sterile </w:t>
      </w:r>
      <w:r w:rsidR="000C6D0B">
        <w:rPr>
          <w:rFonts w:ascii="Arial" w:hAnsi="Arial" w:cs="Arial"/>
          <w:i w:val="0"/>
          <w:color w:val="auto"/>
          <w:sz w:val="22"/>
          <w:szCs w:val="22"/>
          <w:lang w:val="en-GB"/>
        </w:rPr>
        <w:t>Water for Injection</w:t>
      </w:r>
      <w:r w:rsidR="007925BA" w:rsidRPr="007567A8">
        <w:rPr>
          <w:rFonts w:ascii="Arial" w:hAnsi="Arial" w:cs="Arial"/>
          <w:i w:val="0"/>
          <w:color w:val="auto"/>
          <w:sz w:val="22"/>
          <w:szCs w:val="22"/>
          <w:lang w:val="en-GB"/>
        </w:rPr>
        <w:t>s toward the side of the vial during reconstitut</w:t>
      </w:r>
      <w:r>
        <w:rPr>
          <w:rFonts w:ascii="Arial" w:hAnsi="Arial" w:cs="Arial"/>
          <w:i w:val="0"/>
          <w:color w:val="auto"/>
          <w:sz w:val="22"/>
          <w:szCs w:val="22"/>
          <w:lang w:val="en-GB"/>
        </w:rPr>
        <w:t xml:space="preserve">ion. </w:t>
      </w:r>
      <w:r w:rsidR="007925BA" w:rsidRPr="007567A8">
        <w:rPr>
          <w:rFonts w:ascii="Arial" w:hAnsi="Arial" w:cs="Arial"/>
          <w:i w:val="0"/>
          <w:color w:val="auto"/>
          <w:sz w:val="22"/>
          <w:szCs w:val="22"/>
          <w:lang w:val="en-GB"/>
        </w:rPr>
        <w:t xml:space="preserve">Gently swirl contents to avoid excess foaming.  </w:t>
      </w:r>
      <w:r w:rsidR="007925BA" w:rsidRPr="007567A8">
        <w:rPr>
          <w:rFonts w:ascii="Arial" w:hAnsi="Arial" w:cs="Arial"/>
          <w:b/>
          <w:i w:val="0"/>
          <w:color w:val="auto"/>
          <w:sz w:val="22"/>
          <w:szCs w:val="22"/>
          <w:lang w:val="en-GB"/>
        </w:rPr>
        <w:t xml:space="preserve">Do </w:t>
      </w:r>
      <w:r w:rsidR="007925BA" w:rsidRPr="007567A8">
        <w:rPr>
          <w:rFonts w:ascii="Arial" w:hAnsi="Arial" w:cs="Arial"/>
          <w:b/>
          <w:i w:val="0"/>
          <w:color w:val="auto"/>
          <w:sz w:val="22"/>
          <w:szCs w:val="22"/>
          <w:u w:val="single"/>
          <w:lang w:val="en-GB"/>
        </w:rPr>
        <w:t>not</w:t>
      </w:r>
      <w:r w:rsidR="007925BA" w:rsidRPr="007567A8">
        <w:rPr>
          <w:rFonts w:ascii="Arial" w:hAnsi="Arial" w:cs="Arial"/>
          <w:b/>
          <w:i w:val="0"/>
          <w:color w:val="auto"/>
          <w:sz w:val="22"/>
          <w:szCs w:val="22"/>
          <w:lang w:val="en-GB"/>
        </w:rPr>
        <w:t xml:space="preserve"> shake</w:t>
      </w:r>
      <w:r w:rsidR="007925BA" w:rsidRPr="007567A8">
        <w:rPr>
          <w:rFonts w:ascii="Arial" w:hAnsi="Arial" w:cs="Arial"/>
          <w:i w:val="0"/>
          <w:color w:val="auto"/>
          <w:sz w:val="22"/>
          <w:szCs w:val="22"/>
          <w:lang w:val="en-GB"/>
        </w:rPr>
        <w:t>.</w:t>
      </w:r>
    </w:p>
    <w:p w:rsidR="007925BA" w:rsidRPr="003951D0" w:rsidRDefault="007925BA" w:rsidP="00F322F7">
      <w:pPr>
        <w:pStyle w:val="StyleListParagraphBold1"/>
        <w:numPr>
          <w:ilvl w:val="0"/>
          <w:numId w:val="2"/>
        </w:numPr>
        <w:ind w:left="1134"/>
        <w:rPr>
          <w:lang w:val="en-GB"/>
        </w:rPr>
      </w:pPr>
      <w:r w:rsidRPr="007567A8">
        <w:rPr>
          <w:lang w:val="en-GB"/>
        </w:rPr>
        <w:t xml:space="preserve">Do </w:t>
      </w:r>
      <w:r w:rsidRPr="007567A8">
        <w:rPr>
          <w:u w:val="single"/>
          <w:lang w:val="en-GB"/>
        </w:rPr>
        <w:t>not</w:t>
      </w:r>
      <w:r w:rsidRPr="007567A8">
        <w:rPr>
          <w:lang w:val="en-GB"/>
        </w:rPr>
        <w:t xml:space="preserve"> reconstitute </w:t>
      </w:r>
      <w:proofErr w:type="spellStart"/>
      <w:r w:rsidRPr="007567A8">
        <w:rPr>
          <w:lang w:val="en-GB"/>
        </w:rPr>
        <w:t>Blincyto</w:t>
      </w:r>
      <w:proofErr w:type="spellEnd"/>
      <w:r w:rsidRPr="007567A8">
        <w:rPr>
          <w:lang w:val="en-GB"/>
        </w:rPr>
        <w:t xml:space="preserve"> with </w:t>
      </w:r>
      <w:r w:rsidR="006C1B3D" w:rsidRPr="007567A8">
        <w:t xml:space="preserve">IV </w:t>
      </w:r>
      <w:r w:rsidR="006C1B3D">
        <w:t>s</w:t>
      </w:r>
      <w:r w:rsidR="006C1B3D" w:rsidRPr="007567A8">
        <w:t xml:space="preserve">olution </w:t>
      </w:r>
      <w:proofErr w:type="spellStart"/>
      <w:r w:rsidR="006C1B3D">
        <w:t>s</w:t>
      </w:r>
      <w:r w:rsidR="006C1B3D" w:rsidRPr="007567A8">
        <w:t>tabil</w:t>
      </w:r>
      <w:r w:rsidR="006C1B3D">
        <w:t>i</w:t>
      </w:r>
      <w:r w:rsidR="006C1B3D" w:rsidRPr="007567A8">
        <w:t>ser</w:t>
      </w:r>
      <w:proofErr w:type="spellEnd"/>
      <w:r w:rsidR="006C1B3D">
        <w:t>.</w:t>
      </w:r>
    </w:p>
    <w:p w:rsidR="00E36CA6" w:rsidRDefault="007925BA" w:rsidP="00F322F7">
      <w:pPr>
        <w:pStyle w:val="ListParagraph"/>
        <w:numPr>
          <w:ilvl w:val="0"/>
          <w:numId w:val="2"/>
        </w:numPr>
        <w:ind w:left="1134"/>
        <w:rPr>
          <w:rFonts w:cs="Arial"/>
          <w:szCs w:val="22"/>
          <w:lang w:val="en-GB"/>
        </w:rPr>
      </w:pPr>
      <w:r w:rsidRPr="003951D0">
        <w:lastRenderedPageBreak/>
        <w:t xml:space="preserve">The addition of preservative-free Sterile </w:t>
      </w:r>
      <w:r w:rsidR="00B418CD" w:rsidRPr="003951D0">
        <w:t>Water for Injections</w:t>
      </w:r>
      <w:r w:rsidRPr="003951D0">
        <w:t xml:space="preserve"> to the </w:t>
      </w:r>
      <w:proofErr w:type="spellStart"/>
      <w:r w:rsidRPr="003951D0">
        <w:t>lyophili</w:t>
      </w:r>
      <w:r w:rsidR="000C6D0B" w:rsidRPr="003951D0">
        <w:t>s</w:t>
      </w:r>
      <w:r w:rsidRPr="003951D0">
        <w:t>ed</w:t>
      </w:r>
      <w:proofErr w:type="spellEnd"/>
      <w:r w:rsidRPr="003951D0">
        <w:t xml:space="preserve"> powder results in a total volume of 3.1 mL for a final </w:t>
      </w:r>
      <w:proofErr w:type="spellStart"/>
      <w:r w:rsidRPr="003951D0">
        <w:t>Blincyto</w:t>
      </w:r>
      <w:proofErr w:type="spellEnd"/>
      <w:r w:rsidRPr="003951D0">
        <w:t xml:space="preserve"> concentration </w:t>
      </w:r>
      <w:r w:rsidRPr="003951D0">
        <w:rPr>
          <w:rFonts w:cs="Arial"/>
          <w:szCs w:val="22"/>
          <w:lang w:val="en-GB"/>
        </w:rPr>
        <w:t xml:space="preserve">of 12.5 </w:t>
      </w:r>
      <w:r w:rsidR="00D95F66" w:rsidRPr="003951D0">
        <w:rPr>
          <w:rFonts w:cs="Arial"/>
          <w:szCs w:val="22"/>
        </w:rPr>
        <w:t>micrograms</w:t>
      </w:r>
      <w:r w:rsidRPr="003951D0">
        <w:rPr>
          <w:rFonts w:cs="Arial"/>
          <w:szCs w:val="22"/>
          <w:lang w:val="en-GB"/>
        </w:rPr>
        <w:t>/</w:t>
      </w:r>
      <w:proofErr w:type="spellStart"/>
      <w:r w:rsidRPr="003951D0">
        <w:rPr>
          <w:rFonts w:cs="Arial"/>
          <w:szCs w:val="22"/>
          <w:lang w:val="en-GB"/>
        </w:rPr>
        <w:t>mL.</w:t>
      </w:r>
      <w:proofErr w:type="spellEnd"/>
    </w:p>
    <w:p w:rsidR="00E36CA6"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Visually inspect the reconstituted solution for particulate matter and discoloration during reconstitution and prior to infusion.  The resulting solution should be clear to slightly opalescent, colourless to slightly yellow.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use </w:t>
      </w:r>
      <w:r w:rsidRPr="007567A8" w:rsidDel="0001278F">
        <w:rPr>
          <w:rFonts w:ascii="Arial" w:hAnsi="Arial" w:cs="Arial"/>
          <w:b/>
          <w:i w:val="0"/>
          <w:color w:val="auto"/>
          <w:sz w:val="22"/>
          <w:szCs w:val="22"/>
          <w:lang w:val="en-GB"/>
        </w:rPr>
        <w:t xml:space="preserve">if </w:t>
      </w:r>
      <w:r w:rsidRPr="007567A8">
        <w:rPr>
          <w:rFonts w:ascii="Arial" w:hAnsi="Arial" w:cs="Arial"/>
          <w:b/>
          <w:i w:val="0"/>
          <w:color w:val="auto"/>
          <w:sz w:val="22"/>
          <w:szCs w:val="22"/>
          <w:lang w:val="en-GB"/>
        </w:rPr>
        <w:t>solution is cloudy or has precipitated</w:t>
      </w:r>
      <w:r w:rsidRPr="007567A8">
        <w:rPr>
          <w:rFonts w:ascii="Arial" w:hAnsi="Arial" w:cs="Arial"/>
          <w:i w:val="0"/>
          <w:color w:val="auto"/>
          <w:sz w:val="22"/>
          <w:szCs w:val="22"/>
          <w:lang w:val="en-GB"/>
        </w:rPr>
        <w:t>.</w:t>
      </w:r>
    </w:p>
    <w:p w:rsidR="00E36CA6"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Using a 3 mL syringe, aseptically transfer 3.</w:t>
      </w:r>
      <w:r w:rsidR="0073171C">
        <w:rPr>
          <w:rFonts w:ascii="Arial" w:hAnsi="Arial" w:cs="Arial"/>
          <w:i w:val="0"/>
          <w:color w:val="auto"/>
          <w:sz w:val="22"/>
          <w:szCs w:val="22"/>
          <w:lang w:val="en-GB"/>
        </w:rPr>
        <w:t>3</w:t>
      </w:r>
      <w:r w:rsidRPr="007567A8">
        <w:rPr>
          <w:rFonts w:ascii="Arial" w:hAnsi="Arial" w:cs="Arial"/>
          <w:i w:val="0"/>
          <w:color w:val="auto"/>
          <w:sz w:val="22"/>
          <w:szCs w:val="22"/>
          <w:lang w:val="en-GB"/>
        </w:rPr>
        <w:t xml:space="preserve"> mL of reconstituted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into the IV bag (2.0 mL from one vial and the remaining 1.5mL from the second vial).  Gently mix the contents of the bag to avoid foaming.</w:t>
      </w:r>
    </w:p>
    <w:p w:rsidR="00E36CA6"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Under aseptic conditions, attach the IV tubing to the IV bag with the sterile 0.2 micron in-line filter.</w:t>
      </w:r>
    </w:p>
    <w:p w:rsidR="007925BA" w:rsidRPr="007567A8"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Remove air from the IV bag and prime the IV line </w:t>
      </w:r>
      <w:r w:rsidRPr="007567A8">
        <w:rPr>
          <w:rFonts w:ascii="Arial" w:hAnsi="Arial" w:cs="Arial"/>
          <w:b/>
          <w:i w:val="0"/>
          <w:color w:val="auto"/>
          <w:sz w:val="22"/>
          <w:szCs w:val="22"/>
          <w:lang w:val="en-GB"/>
        </w:rPr>
        <w:t xml:space="preserve">only </w:t>
      </w:r>
      <w:r w:rsidRPr="007567A8">
        <w:rPr>
          <w:rFonts w:ascii="Arial" w:hAnsi="Arial" w:cs="Arial"/>
          <w:i w:val="0"/>
          <w:color w:val="auto"/>
          <w:sz w:val="22"/>
          <w:szCs w:val="22"/>
          <w:lang w:val="en-GB"/>
        </w:rPr>
        <w:t xml:space="preserve">with the prepared solution for infusion. </w:t>
      </w:r>
      <w:r w:rsidRPr="007567A8">
        <w:rPr>
          <w:rFonts w:ascii="Arial" w:hAnsi="Arial" w:cs="Arial"/>
          <w:b/>
          <w:i w:val="0"/>
          <w:color w:val="auto"/>
          <w:sz w:val="22"/>
          <w:szCs w:val="22"/>
          <w:lang w:val="en-GB"/>
        </w:rPr>
        <w:t xml:space="preserve">Do not prime with 0.9% </w:t>
      </w:r>
      <w:r w:rsidR="00C5663D">
        <w:rPr>
          <w:rFonts w:ascii="Arial" w:hAnsi="Arial" w:cs="Arial"/>
          <w:b/>
          <w:i w:val="0"/>
          <w:color w:val="auto"/>
          <w:sz w:val="22"/>
          <w:szCs w:val="22"/>
          <w:lang w:val="en-GB"/>
        </w:rPr>
        <w:t>s</w:t>
      </w:r>
      <w:r w:rsidRPr="007567A8">
        <w:rPr>
          <w:rFonts w:ascii="Arial" w:hAnsi="Arial" w:cs="Arial"/>
          <w:b/>
          <w:i w:val="0"/>
          <w:color w:val="auto"/>
          <w:sz w:val="22"/>
          <w:szCs w:val="22"/>
          <w:lang w:val="en-GB"/>
        </w:rPr>
        <w:t xml:space="preserve">odium </w:t>
      </w:r>
      <w:r w:rsidR="00C5663D">
        <w:rPr>
          <w:rFonts w:ascii="Arial" w:hAnsi="Arial" w:cs="Arial"/>
          <w:b/>
          <w:i w:val="0"/>
          <w:color w:val="auto"/>
          <w:sz w:val="22"/>
          <w:szCs w:val="22"/>
          <w:lang w:val="en-GB"/>
        </w:rPr>
        <w:t>c</w:t>
      </w:r>
      <w:r w:rsidRPr="007567A8">
        <w:rPr>
          <w:rFonts w:ascii="Arial" w:hAnsi="Arial" w:cs="Arial"/>
          <w:b/>
          <w:i w:val="0"/>
          <w:color w:val="auto"/>
          <w:sz w:val="22"/>
          <w:szCs w:val="22"/>
          <w:lang w:val="en-GB"/>
        </w:rPr>
        <w:t>hloride.</w:t>
      </w:r>
    </w:p>
    <w:p w:rsidR="007925BA" w:rsidRPr="007567A8" w:rsidRDefault="007925BA" w:rsidP="00EA2DF3">
      <w:pPr>
        <w:pStyle w:val="TextItalicized"/>
        <w:numPr>
          <w:ilvl w:val="0"/>
          <w:numId w:val="14"/>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Store at </w:t>
      </w:r>
      <w:r w:rsidRPr="007567A8">
        <w:rPr>
          <w:rFonts w:ascii="Arial" w:hAnsi="Arial" w:cs="Arial"/>
          <w:bCs/>
          <w:i w:val="0"/>
          <w:sz w:val="22"/>
          <w:szCs w:val="22"/>
          <w:lang w:val="en-GB" w:eastAsia="zh-TW"/>
        </w:rPr>
        <w:t>2°C to 8°C</w:t>
      </w:r>
      <w:r w:rsidRPr="007567A8">
        <w:rPr>
          <w:rFonts w:ascii="Arial" w:hAnsi="Arial" w:cs="Arial"/>
          <w:b/>
          <w:bCs/>
          <w:sz w:val="22"/>
          <w:szCs w:val="22"/>
          <w:lang w:val="en-GB" w:eastAsia="zh-TW"/>
        </w:rPr>
        <w:t xml:space="preserve"> </w:t>
      </w:r>
      <w:r w:rsidRPr="007567A8">
        <w:rPr>
          <w:rFonts w:ascii="Arial" w:hAnsi="Arial" w:cs="Arial"/>
          <w:i w:val="0"/>
          <w:color w:val="auto"/>
          <w:sz w:val="22"/>
          <w:szCs w:val="22"/>
          <w:lang w:val="en-GB"/>
        </w:rPr>
        <w:t>if not used immediately</w:t>
      </w:r>
    </w:p>
    <w:p w:rsidR="007925BA" w:rsidRPr="00641665" w:rsidRDefault="007925BA" w:rsidP="00641665">
      <w:pPr>
        <w:pStyle w:val="Heading3"/>
        <w:numPr>
          <w:ilvl w:val="0"/>
          <w:numId w:val="35"/>
        </w:numPr>
        <w:rPr>
          <w:u w:val="none"/>
        </w:rPr>
      </w:pPr>
      <w:r w:rsidRPr="00641665">
        <w:rPr>
          <w:u w:val="none"/>
        </w:rPr>
        <w:t xml:space="preserve">Preparation of </w:t>
      </w:r>
      <w:proofErr w:type="spellStart"/>
      <w:r w:rsidRPr="00641665">
        <w:rPr>
          <w:u w:val="none"/>
        </w:rPr>
        <w:t>Blincyto</w:t>
      </w:r>
      <w:proofErr w:type="spellEnd"/>
      <w:r w:rsidRPr="00641665">
        <w:rPr>
          <w:u w:val="none"/>
        </w:rPr>
        <w:t xml:space="preserve"> 28 </w:t>
      </w:r>
      <w:r w:rsidR="00AE642E" w:rsidRPr="00641665">
        <w:rPr>
          <w:u w:val="none"/>
        </w:rPr>
        <w:t>micrograms</w:t>
      </w:r>
      <w:r w:rsidRPr="00641665">
        <w:rPr>
          <w:u w:val="none"/>
        </w:rPr>
        <w:t>/day infused over 24 hours at a rate of 10 mL/h</w:t>
      </w:r>
    </w:p>
    <w:p w:rsidR="007925BA" w:rsidRPr="007567A8" w:rsidRDefault="00C5663D" w:rsidP="00EA2DF3">
      <w:pPr>
        <w:pStyle w:val="TextItalicized"/>
        <w:numPr>
          <w:ilvl w:val="0"/>
          <w:numId w:val="12"/>
        </w:numPr>
        <w:ind w:hanging="357"/>
        <w:rPr>
          <w:rFonts w:ascii="Arial" w:hAnsi="Arial" w:cs="Arial"/>
          <w:i w:val="0"/>
          <w:color w:val="auto"/>
          <w:sz w:val="22"/>
          <w:szCs w:val="22"/>
          <w:lang w:val="en-GB"/>
        </w:rPr>
      </w:pPr>
      <w:r>
        <w:rPr>
          <w:rFonts w:ascii="Arial" w:hAnsi="Arial" w:cs="Arial"/>
          <w:i w:val="0"/>
          <w:color w:val="auto"/>
          <w:sz w:val="22"/>
          <w:szCs w:val="22"/>
          <w:lang w:val="en-GB"/>
        </w:rPr>
        <w:t>Use a prefilled 250 mL 0.9% s</w:t>
      </w:r>
      <w:r w:rsidR="007925BA" w:rsidRPr="007567A8">
        <w:rPr>
          <w:rFonts w:ascii="Arial" w:hAnsi="Arial" w:cs="Arial"/>
          <w:i w:val="0"/>
          <w:color w:val="auto"/>
          <w:sz w:val="22"/>
          <w:szCs w:val="22"/>
          <w:lang w:val="en-GB"/>
        </w:rPr>
        <w:t xml:space="preserve">odium </w:t>
      </w:r>
      <w:r>
        <w:rPr>
          <w:rFonts w:ascii="Arial" w:hAnsi="Arial" w:cs="Arial"/>
          <w:i w:val="0"/>
          <w:color w:val="auto"/>
          <w:sz w:val="22"/>
          <w:szCs w:val="22"/>
          <w:lang w:val="en-GB"/>
        </w:rPr>
        <w:t>c</w:t>
      </w:r>
      <w:r w:rsidR="00AA2A78">
        <w:rPr>
          <w:rFonts w:ascii="Arial" w:hAnsi="Arial" w:cs="Arial"/>
          <w:i w:val="0"/>
          <w:color w:val="auto"/>
          <w:sz w:val="22"/>
          <w:szCs w:val="22"/>
          <w:lang w:val="en-GB"/>
        </w:rPr>
        <w:t xml:space="preserve">hloride IV bag. </w:t>
      </w:r>
      <w:r w:rsidR="007925BA" w:rsidRPr="007567A8">
        <w:rPr>
          <w:rFonts w:ascii="Arial" w:hAnsi="Arial" w:cs="Arial"/>
          <w:i w:val="0"/>
          <w:color w:val="auto"/>
          <w:sz w:val="22"/>
          <w:szCs w:val="22"/>
          <w:lang w:val="en-GB"/>
        </w:rPr>
        <w:t xml:space="preserve">250 mL-prefilled bags typically contain overfill to a </w:t>
      </w:r>
      <w:r w:rsidR="00AA2A78">
        <w:rPr>
          <w:rFonts w:ascii="Arial" w:hAnsi="Arial" w:cs="Arial"/>
          <w:i w:val="0"/>
          <w:color w:val="auto"/>
          <w:sz w:val="22"/>
          <w:szCs w:val="22"/>
          <w:lang w:val="en-GB"/>
        </w:rPr>
        <w:t xml:space="preserve">total volume of 265 to 275 </w:t>
      </w:r>
      <w:proofErr w:type="spellStart"/>
      <w:r w:rsidR="00AA2A78">
        <w:rPr>
          <w:rFonts w:ascii="Arial" w:hAnsi="Arial" w:cs="Arial"/>
          <w:i w:val="0"/>
          <w:color w:val="auto"/>
          <w:sz w:val="22"/>
          <w:szCs w:val="22"/>
          <w:lang w:val="en-GB"/>
        </w:rPr>
        <w:t>mL.</w:t>
      </w:r>
      <w:proofErr w:type="spellEnd"/>
      <w:r w:rsidR="00AA2A78">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If necessary adjust the IV bag volume by adding or removing 0.9% </w:t>
      </w:r>
      <w:r>
        <w:rPr>
          <w:rFonts w:ascii="Arial" w:hAnsi="Arial" w:cs="Arial"/>
          <w:i w:val="0"/>
          <w:color w:val="auto"/>
          <w:sz w:val="22"/>
          <w:szCs w:val="22"/>
          <w:lang w:val="en-GB"/>
        </w:rPr>
        <w:t>s</w:t>
      </w:r>
      <w:r w:rsidR="007925BA" w:rsidRPr="007567A8">
        <w:rPr>
          <w:rFonts w:ascii="Arial" w:hAnsi="Arial" w:cs="Arial"/>
          <w:i w:val="0"/>
          <w:color w:val="auto"/>
          <w:sz w:val="22"/>
          <w:szCs w:val="22"/>
          <w:lang w:val="en-GB"/>
        </w:rPr>
        <w:t xml:space="preserve">odium </w:t>
      </w:r>
      <w:r>
        <w:rPr>
          <w:rFonts w:ascii="Arial" w:hAnsi="Arial" w:cs="Arial"/>
          <w:i w:val="0"/>
          <w:color w:val="auto"/>
          <w:sz w:val="22"/>
          <w:szCs w:val="22"/>
          <w:lang w:val="en-GB"/>
        </w:rPr>
        <w:t>c</w:t>
      </w:r>
      <w:r w:rsidR="007925BA" w:rsidRPr="007567A8">
        <w:rPr>
          <w:rFonts w:ascii="Arial" w:hAnsi="Arial" w:cs="Arial"/>
          <w:i w:val="0"/>
          <w:color w:val="auto"/>
          <w:sz w:val="22"/>
          <w:szCs w:val="22"/>
          <w:lang w:val="en-GB"/>
        </w:rPr>
        <w:t>hloride to achieve a starting volume between</w:t>
      </w:r>
      <w:r w:rsidR="00056891">
        <w:rPr>
          <w:rFonts w:ascii="Arial" w:hAnsi="Arial" w:cs="Arial"/>
          <w:i w:val="0"/>
          <w:color w:val="auto"/>
          <w:sz w:val="22"/>
          <w:szCs w:val="22"/>
          <w:lang w:val="en-GB"/>
        </w:rPr>
        <w:t xml:space="preserve"> 265 and 275 </w:t>
      </w:r>
      <w:proofErr w:type="spellStart"/>
      <w:r w:rsidR="00056891">
        <w:rPr>
          <w:rFonts w:ascii="Arial" w:hAnsi="Arial" w:cs="Arial"/>
          <w:i w:val="0"/>
          <w:color w:val="auto"/>
          <w:sz w:val="22"/>
          <w:szCs w:val="22"/>
          <w:lang w:val="en-GB"/>
        </w:rPr>
        <w:t>mL.</w:t>
      </w:r>
      <w:proofErr w:type="spellEnd"/>
    </w:p>
    <w:p w:rsidR="00E36CA6"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10 mL syringe, aseptically transfer 5.6 mL of </w:t>
      </w:r>
      <w:r w:rsidR="001E76ED">
        <w:rPr>
          <w:rFonts w:ascii="Arial" w:hAnsi="Arial" w:cs="Arial"/>
          <w:i w:val="0"/>
          <w:color w:val="auto"/>
          <w:sz w:val="22"/>
          <w:szCs w:val="22"/>
          <w:lang w:val="en-GB"/>
        </w:rPr>
        <w:t>IV solution stabiliser</w:t>
      </w:r>
      <w:r w:rsidR="00AA2A78">
        <w:rPr>
          <w:rFonts w:ascii="Arial" w:hAnsi="Arial" w:cs="Arial"/>
          <w:i w:val="0"/>
          <w:color w:val="auto"/>
          <w:sz w:val="22"/>
          <w:szCs w:val="22"/>
          <w:lang w:val="en-GB"/>
        </w:rPr>
        <w:t xml:space="preserve"> to the IV bag. </w:t>
      </w:r>
      <w:r w:rsidRPr="007567A8">
        <w:rPr>
          <w:rFonts w:ascii="Arial" w:hAnsi="Arial" w:cs="Arial"/>
          <w:i w:val="0"/>
          <w:color w:val="auto"/>
          <w:sz w:val="22"/>
          <w:szCs w:val="22"/>
          <w:lang w:val="en-GB"/>
        </w:rPr>
        <w:t>Gently mix the content</w:t>
      </w:r>
      <w:r w:rsidR="00AA2A78">
        <w:rPr>
          <w:rFonts w:ascii="Arial" w:hAnsi="Arial" w:cs="Arial"/>
          <w:i w:val="0"/>
          <w:color w:val="auto"/>
          <w:sz w:val="22"/>
          <w:szCs w:val="22"/>
          <w:lang w:val="en-GB"/>
        </w:rPr>
        <w:t xml:space="preserve">s of the bag to avoid foaming. </w:t>
      </w:r>
      <w:r w:rsidRPr="007567A8">
        <w:rPr>
          <w:rFonts w:ascii="Arial" w:hAnsi="Arial" w:cs="Arial"/>
          <w:i w:val="0"/>
          <w:color w:val="auto"/>
          <w:sz w:val="22"/>
          <w:szCs w:val="22"/>
          <w:lang w:val="en-GB"/>
        </w:rPr>
        <w:t xml:space="preserve">Discard remaining </w:t>
      </w:r>
      <w:r w:rsidR="001E76ED">
        <w:rPr>
          <w:rFonts w:ascii="Arial" w:hAnsi="Arial" w:cs="Arial"/>
          <w:i w:val="0"/>
          <w:color w:val="auto"/>
          <w:sz w:val="22"/>
          <w:szCs w:val="22"/>
          <w:lang w:val="en-GB"/>
        </w:rPr>
        <w:t>IV solution stabiliser</w:t>
      </w:r>
      <w:r w:rsidR="001E76ED" w:rsidRPr="007567A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vial.</w:t>
      </w:r>
    </w:p>
    <w:p w:rsidR="007925BA" w:rsidRPr="007567A8"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5 mL syringe, reconstitute one vial of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using 3 mL of preservative-free Sterile </w:t>
      </w:r>
      <w:r w:rsidR="00B418CD">
        <w:rPr>
          <w:rFonts w:ascii="Arial" w:hAnsi="Arial" w:cs="Arial"/>
          <w:i w:val="0"/>
          <w:color w:val="auto"/>
          <w:sz w:val="22"/>
          <w:szCs w:val="22"/>
          <w:lang w:val="en-GB"/>
        </w:rPr>
        <w:t>Water for Injections</w:t>
      </w:r>
      <w:r w:rsidR="00AA2A7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 xml:space="preserve">Direct preservative-free Sterile </w:t>
      </w:r>
      <w:r w:rsidR="00B418CD">
        <w:rPr>
          <w:rFonts w:ascii="Arial" w:hAnsi="Arial" w:cs="Arial"/>
          <w:i w:val="0"/>
          <w:color w:val="auto"/>
          <w:sz w:val="22"/>
          <w:szCs w:val="22"/>
          <w:lang w:val="en-GB"/>
        </w:rPr>
        <w:t>Water for Injections</w:t>
      </w:r>
      <w:r w:rsidRPr="007567A8">
        <w:rPr>
          <w:rFonts w:ascii="Arial" w:hAnsi="Arial" w:cs="Arial"/>
          <w:i w:val="0"/>
          <w:color w:val="auto"/>
          <w:sz w:val="22"/>
          <w:szCs w:val="22"/>
          <w:lang w:val="en-GB"/>
        </w:rPr>
        <w:t xml:space="preserve"> toward the side of t</w:t>
      </w:r>
      <w:r w:rsidR="00AA2A78">
        <w:rPr>
          <w:rFonts w:ascii="Arial" w:hAnsi="Arial" w:cs="Arial"/>
          <w:i w:val="0"/>
          <w:color w:val="auto"/>
          <w:sz w:val="22"/>
          <w:szCs w:val="22"/>
          <w:lang w:val="en-GB"/>
        </w:rPr>
        <w:t xml:space="preserve">he vial during reconstitution. </w:t>
      </w:r>
      <w:r w:rsidRPr="007567A8">
        <w:rPr>
          <w:rFonts w:ascii="Arial" w:hAnsi="Arial" w:cs="Arial"/>
          <w:i w:val="0"/>
          <w:color w:val="auto"/>
          <w:sz w:val="22"/>
          <w:szCs w:val="22"/>
          <w:lang w:val="en-GB"/>
        </w:rPr>
        <w:t xml:space="preserve">Gently swirl contents to avoid excess foaming.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shake</w:t>
      </w:r>
      <w:r w:rsidRPr="007567A8">
        <w:rPr>
          <w:rFonts w:ascii="Arial" w:hAnsi="Arial" w:cs="Arial"/>
          <w:i w:val="0"/>
          <w:color w:val="auto"/>
          <w:sz w:val="22"/>
          <w:szCs w:val="22"/>
          <w:lang w:val="en-GB"/>
        </w:rPr>
        <w:t>.</w:t>
      </w:r>
    </w:p>
    <w:p w:rsidR="00E36CA6" w:rsidRDefault="007925BA" w:rsidP="007648D0">
      <w:pPr>
        <w:pStyle w:val="StyleListParagraphBold1"/>
        <w:numPr>
          <w:ilvl w:val="0"/>
          <w:numId w:val="2"/>
        </w:numPr>
        <w:ind w:left="1134"/>
        <w:rPr>
          <w:lang w:val="en-GB"/>
        </w:rPr>
      </w:pPr>
      <w:r w:rsidRPr="007567A8">
        <w:rPr>
          <w:lang w:val="en-GB"/>
        </w:rPr>
        <w:t xml:space="preserve">Do </w:t>
      </w:r>
      <w:r w:rsidRPr="007567A8">
        <w:rPr>
          <w:u w:val="single"/>
          <w:lang w:val="en-GB"/>
        </w:rPr>
        <w:t>not</w:t>
      </w:r>
      <w:r w:rsidRPr="007567A8">
        <w:rPr>
          <w:lang w:val="en-GB"/>
        </w:rPr>
        <w:t xml:space="preserve"> reconstitute </w:t>
      </w:r>
      <w:proofErr w:type="spellStart"/>
      <w:r w:rsidRPr="007567A8">
        <w:rPr>
          <w:lang w:val="en-GB"/>
        </w:rPr>
        <w:t>Blincyto</w:t>
      </w:r>
      <w:proofErr w:type="spellEnd"/>
      <w:r w:rsidRPr="007567A8">
        <w:rPr>
          <w:lang w:val="en-GB"/>
        </w:rPr>
        <w:t xml:space="preserve"> with </w:t>
      </w:r>
      <w:r w:rsidR="006C1B3D" w:rsidRPr="007567A8">
        <w:t xml:space="preserve">IV </w:t>
      </w:r>
      <w:r w:rsidR="006C1B3D">
        <w:t>s</w:t>
      </w:r>
      <w:r w:rsidR="006C1B3D" w:rsidRPr="007567A8">
        <w:t xml:space="preserve">olution </w:t>
      </w:r>
      <w:proofErr w:type="spellStart"/>
      <w:r w:rsidR="006C1B3D">
        <w:t>s</w:t>
      </w:r>
      <w:r w:rsidR="006C1B3D" w:rsidRPr="007567A8">
        <w:t>tabil</w:t>
      </w:r>
      <w:r w:rsidR="006C1B3D">
        <w:t>i</w:t>
      </w:r>
      <w:r w:rsidR="006C1B3D" w:rsidRPr="007567A8">
        <w:t>ser</w:t>
      </w:r>
      <w:proofErr w:type="spellEnd"/>
      <w:r w:rsidRPr="007567A8">
        <w:rPr>
          <w:lang w:val="en-GB"/>
        </w:rPr>
        <w:t>.</w:t>
      </w:r>
    </w:p>
    <w:p w:rsidR="00E36CA6" w:rsidRDefault="007925BA" w:rsidP="007648D0">
      <w:pPr>
        <w:pStyle w:val="ListParagraph"/>
        <w:numPr>
          <w:ilvl w:val="0"/>
          <w:numId w:val="2"/>
        </w:numPr>
        <w:ind w:left="1134"/>
        <w:rPr>
          <w:lang w:val="en-GB"/>
        </w:rPr>
      </w:pPr>
      <w:r w:rsidRPr="003951D0">
        <w:rPr>
          <w:lang w:val="en-GB"/>
        </w:rPr>
        <w:t xml:space="preserve">The addition of preservative-free Sterile </w:t>
      </w:r>
      <w:r w:rsidR="00B418CD" w:rsidRPr="003951D0">
        <w:rPr>
          <w:lang w:val="en-GB"/>
        </w:rPr>
        <w:t>Water for Injections</w:t>
      </w:r>
      <w:r w:rsidRPr="003951D0">
        <w:rPr>
          <w:lang w:val="en-GB"/>
        </w:rPr>
        <w:t xml:space="preserve"> to the lyophili</w:t>
      </w:r>
      <w:r w:rsidR="000C6D0B" w:rsidRPr="003951D0">
        <w:rPr>
          <w:lang w:val="en-GB"/>
        </w:rPr>
        <w:t>s</w:t>
      </w:r>
      <w:r w:rsidRPr="003951D0">
        <w:rPr>
          <w:lang w:val="en-GB"/>
        </w:rPr>
        <w:t xml:space="preserve">ed powder results in a total volume of 3.1 mL for a final </w:t>
      </w:r>
      <w:proofErr w:type="spellStart"/>
      <w:r w:rsidRPr="003951D0">
        <w:rPr>
          <w:lang w:val="en-GB"/>
        </w:rPr>
        <w:t>Blincyto</w:t>
      </w:r>
      <w:proofErr w:type="spellEnd"/>
      <w:r w:rsidRPr="003951D0">
        <w:rPr>
          <w:lang w:val="en-GB"/>
        </w:rPr>
        <w:t xml:space="preserve"> concentration of 12.5 </w:t>
      </w:r>
      <w:r w:rsidR="00D95F66">
        <w:t>micro</w:t>
      </w:r>
      <w:r w:rsidR="00D95F66" w:rsidRPr="007567A8">
        <w:t>g</w:t>
      </w:r>
      <w:r w:rsidR="00D95F66">
        <w:t>rams</w:t>
      </w:r>
      <w:r w:rsidRPr="003951D0">
        <w:rPr>
          <w:lang w:val="en-GB"/>
        </w:rPr>
        <w:t>/</w:t>
      </w:r>
      <w:proofErr w:type="spellStart"/>
      <w:r w:rsidRPr="003951D0">
        <w:rPr>
          <w:lang w:val="en-GB"/>
        </w:rPr>
        <w:t>mL.</w:t>
      </w:r>
      <w:proofErr w:type="spellEnd"/>
    </w:p>
    <w:p w:rsidR="00E36CA6"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Visually inspect the reconstituted solution for particulate matter and discoloration during reconstitution and prior to infusion.  The resulting solution should be clear to slightly opalescent, colourless to slightly yellow.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use </w:t>
      </w:r>
      <w:r w:rsidRPr="007567A8" w:rsidDel="0001278F">
        <w:rPr>
          <w:rFonts w:ascii="Arial" w:hAnsi="Arial" w:cs="Arial"/>
          <w:b/>
          <w:i w:val="0"/>
          <w:color w:val="auto"/>
          <w:sz w:val="22"/>
          <w:szCs w:val="22"/>
          <w:lang w:val="en-GB"/>
        </w:rPr>
        <w:t xml:space="preserve">if </w:t>
      </w:r>
      <w:r w:rsidRPr="007567A8">
        <w:rPr>
          <w:rFonts w:ascii="Arial" w:hAnsi="Arial" w:cs="Arial"/>
          <w:b/>
          <w:i w:val="0"/>
          <w:color w:val="auto"/>
          <w:sz w:val="22"/>
          <w:szCs w:val="22"/>
          <w:lang w:val="en-GB"/>
        </w:rPr>
        <w:t>solution is cloudy or has precipitated</w:t>
      </w:r>
      <w:r w:rsidRPr="007567A8">
        <w:rPr>
          <w:rFonts w:ascii="Arial" w:hAnsi="Arial" w:cs="Arial"/>
          <w:i w:val="0"/>
          <w:color w:val="auto"/>
          <w:sz w:val="22"/>
          <w:szCs w:val="22"/>
          <w:lang w:val="en-GB"/>
        </w:rPr>
        <w:t>.</w:t>
      </w:r>
    </w:p>
    <w:p w:rsidR="00E36CA6"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Using a 3 mL syringe, aseptically transfer 2.6 mL of reconstit</w:t>
      </w:r>
      <w:r w:rsidR="00AA2A78">
        <w:rPr>
          <w:rFonts w:ascii="Arial" w:hAnsi="Arial" w:cs="Arial"/>
          <w:i w:val="0"/>
          <w:color w:val="auto"/>
          <w:sz w:val="22"/>
          <w:szCs w:val="22"/>
          <w:lang w:val="en-GB"/>
        </w:rPr>
        <w:t xml:space="preserve">uted </w:t>
      </w:r>
      <w:proofErr w:type="spellStart"/>
      <w:r w:rsidR="00AA2A78">
        <w:rPr>
          <w:rFonts w:ascii="Arial" w:hAnsi="Arial" w:cs="Arial"/>
          <w:i w:val="0"/>
          <w:color w:val="auto"/>
          <w:sz w:val="22"/>
          <w:szCs w:val="22"/>
          <w:lang w:val="en-GB"/>
        </w:rPr>
        <w:t>Blincyto</w:t>
      </w:r>
      <w:proofErr w:type="spellEnd"/>
      <w:r w:rsidR="00AA2A78">
        <w:rPr>
          <w:rFonts w:ascii="Arial" w:hAnsi="Arial" w:cs="Arial"/>
          <w:i w:val="0"/>
          <w:color w:val="auto"/>
          <w:sz w:val="22"/>
          <w:szCs w:val="22"/>
          <w:lang w:val="en-GB"/>
        </w:rPr>
        <w:t xml:space="preserve"> into the IV bag. </w:t>
      </w:r>
      <w:r w:rsidRPr="007567A8">
        <w:rPr>
          <w:rFonts w:ascii="Arial" w:hAnsi="Arial" w:cs="Arial"/>
          <w:i w:val="0"/>
          <w:color w:val="auto"/>
          <w:sz w:val="22"/>
          <w:szCs w:val="22"/>
          <w:lang w:val="en-GB"/>
        </w:rPr>
        <w:t>Gently mix the contents of the bag to avoid foaming.</w:t>
      </w:r>
    </w:p>
    <w:p w:rsidR="00E36CA6"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Under aseptic conditions, attach the IV tubing to the IV bag with the sterile 0.2 micron in-line filter.</w:t>
      </w:r>
    </w:p>
    <w:p w:rsidR="007925BA" w:rsidRPr="007567A8"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Remove air from the IV bag and prime the IV line </w:t>
      </w:r>
      <w:r w:rsidRPr="007567A8">
        <w:rPr>
          <w:rFonts w:ascii="Arial" w:hAnsi="Arial" w:cs="Arial"/>
          <w:b/>
          <w:i w:val="0"/>
          <w:color w:val="auto"/>
          <w:sz w:val="22"/>
          <w:szCs w:val="22"/>
          <w:lang w:val="en-GB"/>
        </w:rPr>
        <w:t xml:space="preserve">only </w:t>
      </w:r>
      <w:r w:rsidRPr="007567A8">
        <w:rPr>
          <w:rFonts w:ascii="Arial" w:hAnsi="Arial" w:cs="Arial"/>
          <w:i w:val="0"/>
          <w:color w:val="auto"/>
          <w:sz w:val="22"/>
          <w:szCs w:val="22"/>
          <w:lang w:val="en-GB"/>
        </w:rPr>
        <w:t xml:space="preserve">with the prepared solution for infusion. </w:t>
      </w:r>
      <w:r w:rsidRPr="007567A8">
        <w:rPr>
          <w:rFonts w:ascii="Arial" w:hAnsi="Arial" w:cs="Arial"/>
          <w:b/>
          <w:i w:val="0"/>
          <w:color w:val="auto"/>
          <w:sz w:val="22"/>
          <w:szCs w:val="22"/>
          <w:lang w:val="en-GB"/>
        </w:rPr>
        <w:t xml:space="preserve">Do not prime with 0.9% </w:t>
      </w:r>
      <w:r w:rsidR="00C5663D">
        <w:rPr>
          <w:rFonts w:ascii="Arial" w:hAnsi="Arial" w:cs="Arial"/>
          <w:b/>
          <w:i w:val="0"/>
          <w:color w:val="auto"/>
          <w:sz w:val="22"/>
          <w:szCs w:val="22"/>
          <w:lang w:val="en-GB"/>
        </w:rPr>
        <w:t>s</w:t>
      </w:r>
      <w:r w:rsidRPr="007567A8">
        <w:rPr>
          <w:rFonts w:ascii="Arial" w:hAnsi="Arial" w:cs="Arial"/>
          <w:b/>
          <w:i w:val="0"/>
          <w:color w:val="auto"/>
          <w:sz w:val="22"/>
          <w:szCs w:val="22"/>
          <w:lang w:val="en-GB"/>
        </w:rPr>
        <w:t xml:space="preserve">odium </w:t>
      </w:r>
      <w:r w:rsidR="00C5663D">
        <w:rPr>
          <w:rFonts w:ascii="Arial" w:hAnsi="Arial" w:cs="Arial"/>
          <w:b/>
          <w:i w:val="0"/>
          <w:color w:val="auto"/>
          <w:sz w:val="22"/>
          <w:szCs w:val="22"/>
          <w:lang w:val="en-GB"/>
        </w:rPr>
        <w:t>c</w:t>
      </w:r>
      <w:r w:rsidRPr="007567A8">
        <w:rPr>
          <w:rFonts w:ascii="Arial" w:hAnsi="Arial" w:cs="Arial"/>
          <w:b/>
          <w:i w:val="0"/>
          <w:color w:val="auto"/>
          <w:sz w:val="22"/>
          <w:szCs w:val="22"/>
          <w:lang w:val="en-GB"/>
        </w:rPr>
        <w:t>hloride.</w:t>
      </w:r>
    </w:p>
    <w:p w:rsidR="007925BA" w:rsidRPr="007567A8" w:rsidRDefault="007925BA" w:rsidP="00EA2DF3">
      <w:pPr>
        <w:pStyle w:val="TextItalicized"/>
        <w:numPr>
          <w:ilvl w:val="0"/>
          <w:numId w:val="12"/>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Store at </w:t>
      </w:r>
      <w:r w:rsidRPr="007567A8">
        <w:rPr>
          <w:rFonts w:ascii="Arial" w:hAnsi="Arial" w:cs="Arial"/>
          <w:bCs/>
          <w:i w:val="0"/>
          <w:sz w:val="22"/>
          <w:szCs w:val="22"/>
          <w:lang w:val="en-GB" w:eastAsia="zh-TW"/>
        </w:rPr>
        <w:t>2°C to 8°C</w:t>
      </w:r>
      <w:r w:rsidRPr="007567A8">
        <w:rPr>
          <w:rFonts w:ascii="Arial" w:hAnsi="Arial" w:cs="Arial"/>
          <w:b/>
          <w:bCs/>
          <w:i w:val="0"/>
          <w:sz w:val="22"/>
          <w:szCs w:val="22"/>
          <w:lang w:val="en-GB" w:eastAsia="zh-TW"/>
        </w:rPr>
        <w:t xml:space="preserve"> </w:t>
      </w:r>
      <w:r w:rsidRPr="007567A8">
        <w:rPr>
          <w:rFonts w:ascii="Arial" w:hAnsi="Arial" w:cs="Arial"/>
          <w:i w:val="0"/>
          <w:color w:val="auto"/>
          <w:sz w:val="22"/>
          <w:szCs w:val="22"/>
          <w:lang w:val="en-GB"/>
        </w:rPr>
        <w:t>if not used immediately</w:t>
      </w:r>
    </w:p>
    <w:p w:rsidR="007925BA" w:rsidRPr="00641665" w:rsidRDefault="007925BA" w:rsidP="00641665">
      <w:pPr>
        <w:pStyle w:val="Heading3"/>
        <w:numPr>
          <w:ilvl w:val="0"/>
          <w:numId w:val="35"/>
        </w:numPr>
        <w:rPr>
          <w:u w:val="none"/>
        </w:rPr>
      </w:pPr>
      <w:r w:rsidRPr="00641665">
        <w:rPr>
          <w:u w:val="none"/>
        </w:rPr>
        <w:t xml:space="preserve">Preparation of </w:t>
      </w:r>
      <w:proofErr w:type="spellStart"/>
      <w:r w:rsidRPr="00641665">
        <w:rPr>
          <w:u w:val="none"/>
        </w:rPr>
        <w:t>Blincyto</w:t>
      </w:r>
      <w:proofErr w:type="spellEnd"/>
      <w:r w:rsidRPr="00641665">
        <w:rPr>
          <w:u w:val="none"/>
        </w:rPr>
        <w:t xml:space="preserve"> 28 </w:t>
      </w:r>
      <w:r w:rsidR="00AE642E" w:rsidRPr="00641665">
        <w:rPr>
          <w:u w:val="none"/>
        </w:rPr>
        <w:t>micrograms</w:t>
      </w:r>
      <w:r w:rsidRPr="00641665">
        <w:rPr>
          <w:u w:val="none"/>
        </w:rPr>
        <w:t>/day infused over 48 hours at a rate of 5 mL/h</w:t>
      </w:r>
    </w:p>
    <w:p w:rsidR="007925BA" w:rsidRPr="007567A8" w:rsidRDefault="007925BA" w:rsidP="00EA2DF3">
      <w:pPr>
        <w:pStyle w:val="TextItalicized"/>
        <w:numPr>
          <w:ilvl w:val="0"/>
          <w:numId w:val="13"/>
        </w:numPr>
        <w:ind w:hanging="357"/>
        <w:rPr>
          <w:rFonts w:ascii="Arial" w:hAnsi="Arial" w:cs="Arial"/>
          <w:i w:val="0"/>
          <w:color w:val="auto"/>
          <w:sz w:val="22"/>
          <w:szCs w:val="22"/>
          <w:lang w:val="en-GB"/>
        </w:rPr>
      </w:pPr>
      <w:r w:rsidRPr="007567A8">
        <w:rPr>
          <w:rFonts w:ascii="Arial" w:hAnsi="Arial" w:cs="Arial"/>
          <w:i w:val="0"/>
          <w:color w:val="auto"/>
          <w:sz w:val="22"/>
          <w:szCs w:val="22"/>
          <w:lang w:val="en-GB"/>
        </w:rPr>
        <w:t xml:space="preserve">Use a prefilled 250 mL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Pr="007567A8">
        <w:rPr>
          <w:rFonts w:ascii="Arial" w:hAnsi="Arial" w:cs="Arial"/>
          <w:i w:val="0"/>
          <w:color w:val="auto"/>
          <w:sz w:val="22"/>
          <w:szCs w:val="22"/>
          <w:lang w:val="en-GB"/>
        </w:rPr>
        <w:t xml:space="preserve">hloride IV bag.  250 mL-pre-filled bags typically contain overfill to a </w:t>
      </w:r>
      <w:r w:rsidR="00AA2A78">
        <w:rPr>
          <w:rFonts w:ascii="Arial" w:hAnsi="Arial" w:cs="Arial"/>
          <w:i w:val="0"/>
          <w:color w:val="auto"/>
          <w:sz w:val="22"/>
          <w:szCs w:val="22"/>
          <w:lang w:val="en-GB"/>
        </w:rPr>
        <w:t xml:space="preserve">total volume of 265 to 275 </w:t>
      </w:r>
      <w:proofErr w:type="spellStart"/>
      <w:r w:rsidR="00AA2A78">
        <w:rPr>
          <w:rFonts w:ascii="Arial" w:hAnsi="Arial" w:cs="Arial"/>
          <w:i w:val="0"/>
          <w:color w:val="auto"/>
          <w:sz w:val="22"/>
          <w:szCs w:val="22"/>
          <w:lang w:val="en-GB"/>
        </w:rPr>
        <w:t>mL.</w:t>
      </w:r>
      <w:proofErr w:type="spellEnd"/>
      <w:r w:rsidR="00AA2A7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 xml:space="preserve">If necessary adjust the IV bag volume by adding or removing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Pr="007567A8">
        <w:rPr>
          <w:rFonts w:ascii="Arial" w:hAnsi="Arial" w:cs="Arial"/>
          <w:i w:val="0"/>
          <w:color w:val="auto"/>
          <w:sz w:val="22"/>
          <w:szCs w:val="22"/>
          <w:lang w:val="en-GB"/>
        </w:rPr>
        <w:t xml:space="preserve">hloride to achieve a starting </w:t>
      </w:r>
      <w:r w:rsidR="00056891">
        <w:rPr>
          <w:rFonts w:ascii="Arial" w:hAnsi="Arial" w:cs="Arial"/>
          <w:i w:val="0"/>
          <w:color w:val="auto"/>
          <w:sz w:val="22"/>
          <w:szCs w:val="22"/>
          <w:lang w:val="en-GB"/>
        </w:rPr>
        <w:t xml:space="preserve">volume between 265 and 275 </w:t>
      </w:r>
      <w:proofErr w:type="spellStart"/>
      <w:r w:rsidR="00056891">
        <w:rPr>
          <w:rFonts w:ascii="Arial" w:hAnsi="Arial" w:cs="Arial"/>
          <w:i w:val="0"/>
          <w:color w:val="auto"/>
          <w:sz w:val="22"/>
          <w:szCs w:val="22"/>
          <w:lang w:val="en-GB"/>
        </w:rPr>
        <w:t>mL.</w:t>
      </w:r>
      <w:proofErr w:type="spellEnd"/>
    </w:p>
    <w:p w:rsidR="00E36CA6"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lastRenderedPageBreak/>
        <w:t>Using a 10</w:t>
      </w:r>
      <w:r w:rsidRPr="007567A8">
        <w:rPr>
          <w:rFonts w:ascii="Arial" w:hAnsi="Arial" w:cs="Arial"/>
          <w:i w:val="0"/>
          <w:strike/>
          <w:color w:val="auto"/>
          <w:sz w:val="22"/>
          <w:szCs w:val="22"/>
          <w:lang w:val="en-GB"/>
        </w:rPr>
        <w:t xml:space="preserve"> </w:t>
      </w:r>
      <w:r w:rsidRPr="007567A8">
        <w:rPr>
          <w:rFonts w:ascii="Arial" w:hAnsi="Arial" w:cs="Arial"/>
          <w:i w:val="0"/>
          <w:color w:val="auto"/>
          <w:sz w:val="22"/>
          <w:szCs w:val="22"/>
          <w:lang w:val="en-GB"/>
        </w:rPr>
        <w:t xml:space="preserve">mL syringe, aseptically transfer 5.6 mL of </w:t>
      </w:r>
      <w:r w:rsidR="001E76ED">
        <w:rPr>
          <w:rFonts w:ascii="Arial" w:hAnsi="Arial" w:cs="Arial"/>
          <w:i w:val="0"/>
          <w:color w:val="auto"/>
          <w:sz w:val="22"/>
          <w:szCs w:val="22"/>
          <w:lang w:val="en-GB"/>
        </w:rPr>
        <w:t>IV solution stabiliser</w:t>
      </w:r>
      <w:r w:rsidR="00AA2A78">
        <w:rPr>
          <w:rFonts w:ascii="Arial" w:hAnsi="Arial" w:cs="Arial"/>
          <w:i w:val="0"/>
          <w:color w:val="auto"/>
          <w:sz w:val="22"/>
          <w:szCs w:val="22"/>
          <w:lang w:val="en-GB"/>
        </w:rPr>
        <w:t xml:space="preserve"> to the IV bag. </w:t>
      </w:r>
      <w:r w:rsidRPr="007567A8">
        <w:rPr>
          <w:rFonts w:ascii="Arial" w:hAnsi="Arial" w:cs="Arial"/>
          <w:i w:val="0"/>
          <w:color w:val="auto"/>
          <w:sz w:val="22"/>
          <w:szCs w:val="22"/>
          <w:lang w:val="en-GB"/>
        </w:rPr>
        <w:t>Gently mix the content</w:t>
      </w:r>
      <w:r w:rsidR="00AA2A78">
        <w:rPr>
          <w:rFonts w:ascii="Arial" w:hAnsi="Arial" w:cs="Arial"/>
          <w:i w:val="0"/>
          <w:color w:val="auto"/>
          <w:sz w:val="22"/>
          <w:szCs w:val="22"/>
          <w:lang w:val="en-GB"/>
        </w:rPr>
        <w:t xml:space="preserve">s of the bag to avoid foaming. </w:t>
      </w:r>
      <w:r w:rsidRPr="007567A8">
        <w:rPr>
          <w:rFonts w:ascii="Arial" w:hAnsi="Arial" w:cs="Arial"/>
          <w:i w:val="0"/>
          <w:color w:val="auto"/>
          <w:sz w:val="22"/>
          <w:szCs w:val="22"/>
          <w:lang w:val="en-GB"/>
        </w:rPr>
        <w:t xml:space="preserve">Discard remaining </w:t>
      </w:r>
      <w:r w:rsidR="001E76ED">
        <w:rPr>
          <w:rFonts w:ascii="Arial" w:hAnsi="Arial" w:cs="Arial"/>
          <w:i w:val="0"/>
          <w:color w:val="auto"/>
          <w:sz w:val="22"/>
          <w:szCs w:val="22"/>
          <w:lang w:val="en-GB"/>
        </w:rPr>
        <w:t>IV solution stabiliser</w:t>
      </w:r>
      <w:r w:rsidR="001E76ED" w:rsidRPr="007567A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vials.</w:t>
      </w:r>
    </w:p>
    <w:p w:rsidR="007925BA" w:rsidRPr="007567A8" w:rsidRDefault="00AA2A78" w:rsidP="00EA2DF3">
      <w:pPr>
        <w:pStyle w:val="TextItalicized"/>
        <w:numPr>
          <w:ilvl w:val="0"/>
          <w:numId w:val="13"/>
        </w:numPr>
        <w:rPr>
          <w:rFonts w:ascii="Arial" w:hAnsi="Arial" w:cs="Arial"/>
          <w:i w:val="0"/>
          <w:color w:val="auto"/>
          <w:sz w:val="22"/>
          <w:szCs w:val="22"/>
          <w:lang w:val="en-GB"/>
        </w:rPr>
      </w:pPr>
      <w:r>
        <w:rPr>
          <w:rFonts w:ascii="Arial" w:hAnsi="Arial" w:cs="Arial"/>
          <w:i w:val="0"/>
          <w:color w:val="auto"/>
          <w:sz w:val="22"/>
          <w:szCs w:val="22"/>
          <w:lang w:val="en-GB"/>
        </w:rPr>
        <w:t xml:space="preserve">Use two vials of </w:t>
      </w:r>
      <w:proofErr w:type="spellStart"/>
      <w:r>
        <w:rPr>
          <w:rFonts w:ascii="Arial" w:hAnsi="Arial" w:cs="Arial"/>
          <w:i w:val="0"/>
          <w:color w:val="auto"/>
          <w:sz w:val="22"/>
          <w:szCs w:val="22"/>
          <w:lang w:val="en-GB"/>
        </w:rPr>
        <w:t>Blincyto</w:t>
      </w:r>
      <w:proofErr w:type="spellEnd"/>
      <w:r>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Using a 5 mL syringe, reconstitute each vial of </w:t>
      </w:r>
      <w:proofErr w:type="spellStart"/>
      <w:r w:rsidR="007925BA" w:rsidRPr="007567A8">
        <w:rPr>
          <w:rFonts w:ascii="Arial" w:hAnsi="Arial" w:cs="Arial"/>
          <w:i w:val="0"/>
          <w:color w:val="auto"/>
          <w:sz w:val="22"/>
          <w:szCs w:val="22"/>
          <w:lang w:val="en-GB"/>
        </w:rPr>
        <w:t>Blincyto</w:t>
      </w:r>
      <w:proofErr w:type="spellEnd"/>
      <w:r w:rsidR="007925BA" w:rsidRPr="007567A8">
        <w:rPr>
          <w:rFonts w:ascii="Arial" w:hAnsi="Arial" w:cs="Arial"/>
          <w:i w:val="0"/>
          <w:color w:val="auto"/>
          <w:sz w:val="22"/>
          <w:szCs w:val="22"/>
          <w:lang w:val="en-GB"/>
        </w:rPr>
        <w:t xml:space="preserve"> using 3 mL of preservative-free Sterile </w:t>
      </w:r>
      <w:r w:rsidR="00B418CD">
        <w:rPr>
          <w:rFonts w:ascii="Arial" w:hAnsi="Arial" w:cs="Arial"/>
          <w:i w:val="0"/>
          <w:color w:val="auto"/>
          <w:sz w:val="22"/>
          <w:szCs w:val="22"/>
          <w:lang w:val="en-GB"/>
        </w:rPr>
        <w:t>Water for Injections</w:t>
      </w:r>
      <w:r w:rsidR="007925BA" w:rsidRPr="007567A8">
        <w:rPr>
          <w:rFonts w:ascii="Arial" w:hAnsi="Arial" w:cs="Arial"/>
          <w:i w:val="0"/>
          <w:color w:val="auto"/>
          <w:sz w:val="22"/>
          <w:szCs w:val="22"/>
          <w:lang w:val="en-GB"/>
        </w:rPr>
        <w:t xml:space="preserve">.  Direct preservative-free Sterile </w:t>
      </w:r>
      <w:r w:rsidR="00B418CD">
        <w:rPr>
          <w:rFonts w:ascii="Arial" w:hAnsi="Arial" w:cs="Arial"/>
          <w:i w:val="0"/>
          <w:color w:val="auto"/>
          <w:sz w:val="22"/>
          <w:szCs w:val="22"/>
          <w:lang w:val="en-GB"/>
        </w:rPr>
        <w:t>Water for Injections</w:t>
      </w:r>
      <w:r w:rsidR="007925BA" w:rsidRPr="007567A8">
        <w:rPr>
          <w:rFonts w:ascii="Arial" w:hAnsi="Arial" w:cs="Arial"/>
          <w:i w:val="0"/>
          <w:color w:val="auto"/>
          <w:sz w:val="22"/>
          <w:szCs w:val="22"/>
          <w:lang w:val="en-GB"/>
        </w:rPr>
        <w:t xml:space="preserve"> toward the side of the vial during reconstitution.  Gently swirl contents to avoid excess foaming. </w:t>
      </w:r>
      <w:r w:rsidR="007925BA" w:rsidRPr="007567A8">
        <w:rPr>
          <w:rFonts w:ascii="Arial" w:hAnsi="Arial" w:cs="Arial"/>
          <w:b/>
          <w:i w:val="0"/>
          <w:color w:val="auto"/>
          <w:sz w:val="22"/>
          <w:szCs w:val="22"/>
          <w:lang w:val="en-GB"/>
        </w:rPr>
        <w:t xml:space="preserve">Do </w:t>
      </w:r>
      <w:r w:rsidR="007925BA" w:rsidRPr="007567A8">
        <w:rPr>
          <w:rFonts w:ascii="Arial" w:hAnsi="Arial" w:cs="Arial"/>
          <w:b/>
          <w:i w:val="0"/>
          <w:color w:val="auto"/>
          <w:sz w:val="22"/>
          <w:szCs w:val="22"/>
          <w:u w:val="single"/>
          <w:lang w:val="en-GB"/>
        </w:rPr>
        <w:t>not</w:t>
      </w:r>
      <w:r w:rsidR="007925BA" w:rsidRPr="007567A8">
        <w:rPr>
          <w:rFonts w:ascii="Arial" w:hAnsi="Arial" w:cs="Arial"/>
          <w:b/>
          <w:i w:val="0"/>
          <w:color w:val="auto"/>
          <w:sz w:val="22"/>
          <w:szCs w:val="22"/>
          <w:lang w:val="en-GB"/>
        </w:rPr>
        <w:t xml:space="preserve"> shake</w:t>
      </w:r>
      <w:r w:rsidR="007925BA" w:rsidRPr="007567A8">
        <w:rPr>
          <w:rFonts w:ascii="Arial" w:hAnsi="Arial" w:cs="Arial"/>
          <w:i w:val="0"/>
          <w:color w:val="auto"/>
          <w:sz w:val="22"/>
          <w:szCs w:val="22"/>
          <w:lang w:val="en-GB"/>
        </w:rPr>
        <w:t>.</w:t>
      </w:r>
    </w:p>
    <w:p w:rsidR="00E36CA6" w:rsidRDefault="007925BA" w:rsidP="007648D0">
      <w:pPr>
        <w:pStyle w:val="StyleListParagraphBold1"/>
        <w:numPr>
          <w:ilvl w:val="0"/>
          <w:numId w:val="2"/>
        </w:numPr>
        <w:ind w:left="1134"/>
        <w:rPr>
          <w:lang w:val="en-GB"/>
        </w:rPr>
      </w:pPr>
      <w:r w:rsidRPr="007567A8">
        <w:rPr>
          <w:lang w:val="en-GB"/>
        </w:rPr>
        <w:t xml:space="preserve">Do </w:t>
      </w:r>
      <w:r w:rsidRPr="007567A8">
        <w:rPr>
          <w:u w:val="single"/>
          <w:lang w:val="en-GB"/>
        </w:rPr>
        <w:t>not</w:t>
      </w:r>
      <w:r w:rsidRPr="007567A8">
        <w:rPr>
          <w:lang w:val="en-GB"/>
        </w:rPr>
        <w:t xml:space="preserve"> reconstitute </w:t>
      </w:r>
      <w:proofErr w:type="spellStart"/>
      <w:r w:rsidRPr="007567A8">
        <w:rPr>
          <w:lang w:val="en-GB"/>
        </w:rPr>
        <w:t>Blincyto</w:t>
      </w:r>
      <w:proofErr w:type="spellEnd"/>
      <w:r w:rsidRPr="007567A8">
        <w:rPr>
          <w:lang w:val="en-GB"/>
        </w:rPr>
        <w:t xml:space="preserve"> with </w:t>
      </w:r>
      <w:r w:rsidR="006C1B3D" w:rsidRPr="007567A8">
        <w:t xml:space="preserve">IV </w:t>
      </w:r>
      <w:r w:rsidR="006C1B3D">
        <w:t>s</w:t>
      </w:r>
      <w:r w:rsidR="006C1B3D" w:rsidRPr="007567A8">
        <w:t xml:space="preserve">olution </w:t>
      </w:r>
      <w:proofErr w:type="spellStart"/>
      <w:r w:rsidR="006C1B3D">
        <w:t>s</w:t>
      </w:r>
      <w:r w:rsidR="006C1B3D" w:rsidRPr="007567A8">
        <w:t>tabil</w:t>
      </w:r>
      <w:r w:rsidR="006C1B3D">
        <w:t>i</w:t>
      </w:r>
      <w:r w:rsidR="006C1B3D" w:rsidRPr="007567A8">
        <w:t>ser</w:t>
      </w:r>
      <w:proofErr w:type="spellEnd"/>
      <w:r w:rsidRPr="007567A8">
        <w:rPr>
          <w:lang w:val="en-GB"/>
        </w:rPr>
        <w:t>.</w:t>
      </w:r>
    </w:p>
    <w:p w:rsidR="00E36CA6" w:rsidRDefault="007925BA" w:rsidP="007648D0">
      <w:pPr>
        <w:pStyle w:val="ListParagraph"/>
        <w:numPr>
          <w:ilvl w:val="0"/>
          <w:numId w:val="2"/>
        </w:numPr>
        <w:ind w:left="1134"/>
        <w:rPr>
          <w:lang w:val="en-GB"/>
        </w:rPr>
      </w:pPr>
      <w:r w:rsidRPr="003951D0">
        <w:rPr>
          <w:lang w:val="en-GB"/>
        </w:rPr>
        <w:t xml:space="preserve">The addition of preservative-free Sterile </w:t>
      </w:r>
      <w:r w:rsidR="00B418CD" w:rsidRPr="003951D0">
        <w:rPr>
          <w:lang w:val="en-GB"/>
        </w:rPr>
        <w:t>Water for Injections</w:t>
      </w:r>
      <w:r w:rsidRPr="003951D0">
        <w:rPr>
          <w:lang w:val="en-GB"/>
        </w:rPr>
        <w:t xml:space="preserve"> to the lyophili</w:t>
      </w:r>
      <w:r w:rsidR="000C6D0B" w:rsidRPr="003951D0">
        <w:rPr>
          <w:lang w:val="en-GB"/>
        </w:rPr>
        <w:t>s</w:t>
      </w:r>
      <w:r w:rsidRPr="003951D0">
        <w:rPr>
          <w:lang w:val="en-GB"/>
        </w:rPr>
        <w:t xml:space="preserve">ed powder results in a total volume of 3.1 mL for a final </w:t>
      </w:r>
      <w:proofErr w:type="spellStart"/>
      <w:r w:rsidRPr="003951D0">
        <w:rPr>
          <w:lang w:val="en-GB"/>
        </w:rPr>
        <w:t>Blincyto</w:t>
      </w:r>
      <w:proofErr w:type="spellEnd"/>
      <w:r w:rsidRPr="003951D0">
        <w:rPr>
          <w:lang w:val="en-GB"/>
        </w:rPr>
        <w:t xml:space="preserve"> concentration of 12.5 </w:t>
      </w:r>
      <w:r w:rsidR="00D95F66">
        <w:t>micro</w:t>
      </w:r>
      <w:r w:rsidR="00D95F66" w:rsidRPr="007567A8">
        <w:t>g</w:t>
      </w:r>
      <w:r w:rsidR="00D95F66">
        <w:t>rams</w:t>
      </w:r>
      <w:r w:rsidRPr="003951D0">
        <w:rPr>
          <w:lang w:val="en-GB"/>
        </w:rPr>
        <w:t>/</w:t>
      </w:r>
      <w:proofErr w:type="spellStart"/>
      <w:r w:rsidRPr="003951D0">
        <w:rPr>
          <w:lang w:val="en-GB"/>
        </w:rPr>
        <w:t>mL.</w:t>
      </w:r>
      <w:proofErr w:type="spellEnd"/>
    </w:p>
    <w:p w:rsidR="00E36CA6"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Visually inspect the reconstituted solution for particulate matter and discoloration during reconstitution and prior to infusion.  The resulting solution should be clear to slightly opalescent, colourless to slightly yellow.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use </w:t>
      </w:r>
      <w:r w:rsidRPr="007567A8" w:rsidDel="0001278F">
        <w:rPr>
          <w:rFonts w:ascii="Arial" w:hAnsi="Arial" w:cs="Arial"/>
          <w:b/>
          <w:i w:val="0"/>
          <w:color w:val="auto"/>
          <w:sz w:val="22"/>
          <w:szCs w:val="22"/>
          <w:lang w:val="en-GB"/>
        </w:rPr>
        <w:t xml:space="preserve">if </w:t>
      </w:r>
      <w:r w:rsidRPr="007567A8">
        <w:rPr>
          <w:rFonts w:ascii="Arial" w:hAnsi="Arial" w:cs="Arial"/>
          <w:b/>
          <w:i w:val="0"/>
          <w:color w:val="auto"/>
          <w:sz w:val="22"/>
          <w:szCs w:val="22"/>
          <w:lang w:val="en-GB"/>
        </w:rPr>
        <w:t>solution is cloudy or has precipitated</w:t>
      </w:r>
      <w:r w:rsidRPr="007567A8">
        <w:rPr>
          <w:rFonts w:ascii="Arial" w:hAnsi="Arial" w:cs="Arial"/>
          <w:i w:val="0"/>
          <w:color w:val="auto"/>
          <w:sz w:val="22"/>
          <w:szCs w:val="22"/>
          <w:lang w:val="en-GB"/>
        </w:rPr>
        <w:t>.</w:t>
      </w:r>
    </w:p>
    <w:p w:rsidR="00E36CA6"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3 mL syringe, aseptically transfer 5.2 mL of reconstituted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into the IV bag (2.7 mL from one vial and the remaining </w:t>
      </w:r>
      <w:r w:rsidR="00AA2A78">
        <w:rPr>
          <w:rFonts w:ascii="Arial" w:hAnsi="Arial" w:cs="Arial"/>
          <w:i w:val="0"/>
          <w:color w:val="auto"/>
          <w:sz w:val="22"/>
          <w:szCs w:val="22"/>
          <w:lang w:val="en-GB"/>
        </w:rPr>
        <w:t xml:space="preserve">2.5 mL from the second vial). </w:t>
      </w:r>
      <w:r w:rsidRPr="007567A8">
        <w:rPr>
          <w:rFonts w:ascii="Arial" w:hAnsi="Arial" w:cs="Arial"/>
          <w:i w:val="0"/>
          <w:color w:val="auto"/>
          <w:sz w:val="22"/>
          <w:szCs w:val="22"/>
          <w:lang w:val="en-GB"/>
        </w:rPr>
        <w:t>Gently mix the contents of the bag to avoid foaming.</w:t>
      </w:r>
    </w:p>
    <w:p w:rsidR="00E36CA6"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t>Under aseptic conditions, attach the IV tubing to the IV bag with the sterile 0.2 micron in-line filter.</w:t>
      </w:r>
    </w:p>
    <w:p w:rsidR="007925BA" w:rsidRPr="007567A8"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Remove air from the IV bag and prime the IV line </w:t>
      </w:r>
      <w:r w:rsidRPr="007567A8">
        <w:rPr>
          <w:rFonts w:ascii="Arial" w:hAnsi="Arial" w:cs="Arial"/>
          <w:b/>
          <w:i w:val="0"/>
          <w:color w:val="auto"/>
          <w:sz w:val="22"/>
          <w:szCs w:val="22"/>
          <w:lang w:val="en-GB"/>
        </w:rPr>
        <w:t xml:space="preserve">only </w:t>
      </w:r>
      <w:r w:rsidRPr="007567A8">
        <w:rPr>
          <w:rFonts w:ascii="Arial" w:hAnsi="Arial" w:cs="Arial"/>
          <w:i w:val="0"/>
          <w:color w:val="auto"/>
          <w:sz w:val="22"/>
          <w:szCs w:val="22"/>
          <w:lang w:val="en-GB"/>
        </w:rPr>
        <w:t xml:space="preserve">with the prepared solution for infusion. </w:t>
      </w:r>
      <w:r w:rsidRPr="007567A8">
        <w:rPr>
          <w:rFonts w:ascii="Arial" w:hAnsi="Arial" w:cs="Arial"/>
          <w:b/>
          <w:i w:val="0"/>
          <w:color w:val="auto"/>
          <w:sz w:val="22"/>
          <w:szCs w:val="22"/>
          <w:lang w:val="en-GB"/>
        </w:rPr>
        <w:t xml:space="preserve">Do not prime with 0.9% </w:t>
      </w:r>
      <w:r w:rsidR="00C5663D">
        <w:rPr>
          <w:rFonts w:ascii="Arial" w:hAnsi="Arial" w:cs="Arial"/>
          <w:b/>
          <w:i w:val="0"/>
          <w:color w:val="auto"/>
          <w:sz w:val="22"/>
          <w:szCs w:val="22"/>
          <w:lang w:val="en-GB"/>
        </w:rPr>
        <w:t>s</w:t>
      </w:r>
      <w:r w:rsidRPr="007567A8">
        <w:rPr>
          <w:rFonts w:ascii="Arial" w:hAnsi="Arial" w:cs="Arial"/>
          <w:b/>
          <w:i w:val="0"/>
          <w:color w:val="auto"/>
          <w:sz w:val="22"/>
          <w:szCs w:val="22"/>
          <w:lang w:val="en-GB"/>
        </w:rPr>
        <w:t xml:space="preserve">odium </w:t>
      </w:r>
      <w:r w:rsidR="00C5663D">
        <w:rPr>
          <w:rFonts w:ascii="Arial" w:hAnsi="Arial" w:cs="Arial"/>
          <w:b/>
          <w:i w:val="0"/>
          <w:color w:val="auto"/>
          <w:sz w:val="22"/>
          <w:szCs w:val="22"/>
          <w:lang w:val="en-GB"/>
        </w:rPr>
        <w:t>c</w:t>
      </w:r>
      <w:r w:rsidRPr="007567A8">
        <w:rPr>
          <w:rFonts w:ascii="Arial" w:hAnsi="Arial" w:cs="Arial"/>
          <w:b/>
          <w:i w:val="0"/>
          <w:color w:val="auto"/>
          <w:sz w:val="22"/>
          <w:szCs w:val="22"/>
          <w:lang w:val="en-GB"/>
        </w:rPr>
        <w:t>hloride.</w:t>
      </w:r>
    </w:p>
    <w:p w:rsidR="00E36CA6" w:rsidRDefault="007925BA" w:rsidP="00EA2DF3">
      <w:pPr>
        <w:pStyle w:val="TextItalicized"/>
        <w:numPr>
          <w:ilvl w:val="0"/>
          <w:numId w:val="13"/>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Store at </w:t>
      </w:r>
      <w:r w:rsidRPr="007567A8">
        <w:rPr>
          <w:rFonts w:ascii="Arial" w:hAnsi="Arial" w:cs="Arial"/>
          <w:bCs/>
          <w:i w:val="0"/>
          <w:sz w:val="22"/>
          <w:szCs w:val="22"/>
          <w:lang w:val="en-GB" w:eastAsia="zh-TW"/>
        </w:rPr>
        <w:t>2°C to 8°C</w:t>
      </w:r>
      <w:r w:rsidRPr="007567A8">
        <w:rPr>
          <w:rFonts w:ascii="Arial" w:hAnsi="Arial" w:cs="Arial"/>
          <w:b/>
          <w:bCs/>
          <w:sz w:val="22"/>
          <w:szCs w:val="22"/>
          <w:lang w:val="en-GB" w:eastAsia="zh-TW"/>
        </w:rPr>
        <w:t xml:space="preserve"> </w:t>
      </w:r>
      <w:r w:rsidRPr="007567A8">
        <w:rPr>
          <w:rFonts w:ascii="Arial" w:hAnsi="Arial" w:cs="Arial"/>
          <w:i w:val="0"/>
          <w:color w:val="auto"/>
          <w:sz w:val="22"/>
          <w:szCs w:val="22"/>
          <w:lang w:val="en-GB"/>
        </w:rPr>
        <w:t>if not used immediately.</w:t>
      </w:r>
    </w:p>
    <w:p w:rsidR="007925BA" w:rsidRPr="00641665" w:rsidRDefault="007925BA" w:rsidP="00641665">
      <w:pPr>
        <w:pStyle w:val="Heading3"/>
        <w:numPr>
          <w:ilvl w:val="0"/>
          <w:numId w:val="35"/>
        </w:numPr>
        <w:rPr>
          <w:u w:val="none"/>
        </w:rPr>
      </w:pPr>
      <w:r w:rsidRPr="00641665">
        <w:rPr>
          <w:u w:val="none"/>
        </w:rPr>
        <w:t xml:space="preserve">Preparation of </w:t>
      </w:r>
      <w:proofErr w:type="spellStart"/>
      <w:r w:rsidRPr="00641665">
        <w:rPr>
          <w:u w:val="none"/>
        </w:rPr>
        <w:t>Blincyto</w:t>
      </w:r>
      <w:proofErr w:type="spellEnd"/>
      <w:r w:rsidRPr="00641665">
        <w:rPr>
          <w:u w:val="none"/>
        </w:rPr>
        <w:t xml:space="preserve"> 28 </w:t>
      </w:r>
      <w:r w:rsidR="00AE642E" w:rsidRPr="00641665">
        <w:rPr>
          <w:u w:val="none"/>
        </w:rPr>
        <w:t>micrograms</w:t>
      </w:r>
      <w:r w:rsidRPr="00641665">
        <w:rPr>
          <w:u w:val="none"/>
        </w:rPr>
        <w:t>/day infused over 72 hours at a rate of 3.3 mL/h</w:t>
      </w:r>
    </w:p>
    <w:p w:rsidR="007925BA" w:rsidRPr="007567A8" w:rsidRDefault="007925BA" w:rsidP="00EA2DF3">
      <w:pPr>
        <w:pStyle w:val="TextItalicized"/>
        <w:numPr>
          <w:ilvl w:val="0"/>
          <w:numId w:val="20"/>
        </w:numPr>
        <w:ind w:hanging="357"/>
        <w:rPr>
          <w:rFonts w:ascii="Arial" w:hAnsi="Arial" w:cs="Arial"/>
          <w:i w:val="0"/>
          <w:color w:val="auto"/>
          <w:sz w:val="22"/>
          <w:szCs w:val="22"/>
          <w:lang w:val="en-GB"/>
        </w:rPr>
      </w:pPr>
      <w:r w:rsidRPr="007567A8">
        <w:rPr>
          <w:rFonts w:ascii="Arial" w:hAnsi="Arial" w:cs="Arial"/>
          <w:i w:val="0"/>
          <w:color w:val="auto"/>
          <w:sz w:val="22"/>
          <w:szCs w:val="22"/>
          <w:lang w:val="en-GB"/>
        </w:rPr>
        <w:t xml:space="preserve">Use a prefilled 250 mL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00AA2A78">
        <w:rPr>
          <w:rFonts w:ascii="Arial" w:hAnsi="Arial" w:cs="Arial"/>
          <w:i w:val="0"/>
          <w:color w:val="auto"/>
          <w:sz w:val="22"/>
          <w:szCs w:val="22"/>
          <w:lang w:val="en-GB"/>
        </w:rPr>
        <w:t xml:space="preserve">hloride IV bag. </w:t>
      </w:r>
      <w:r w:rsidRPr="007567A8">
        <w:rPr>
          <w:rFonts w:ascii="Arial" w:hAnsi="Arial" w:cs="Arial"/>
          <w:i w:val="0"/>
          <w:color w:val="auto"/>
          <w:sz w:val="22"/>
          <w:szCs w:val="22"/>
          <w:lang w:val="en-GB"/>
        </w:rPr>
        <w:t xml:space="preserve">250 mL-prefilled bags typically contain overfill to a </w:t>
      </w:r>
      <w:r w:rsidR="00AA2A78">
        <w:rPr>
          <w:rFonts w:ascii="Arial" w:hAnsi="Arial" w:cs="Arial"/>
          <w:i w:val="0"/>
          <w:color w:val="auto"/>
          <w:sz w:val="22"/>
          <w:szCs w:val="22"/>
          <w:lang w:val="en-GB"/>
        </w:rPr>
        <w:t xml:space="preserve">total volume of 265 to 275 </w:t>
      </w:r>
      <w:proofErr w:type="spellStart"/>
      <w:r w:rsidR="00AA2A78">
        <w:rPr>
          <w:rFonts w:ascii="Arial" w:hAnsi="Arial" w:cs="Arial"/>
          <w:i w:val="0"/>
          <w:color w:val="auto"/>
          <w:sz w:val="22"/>
          <w:szCs w:val="22"/>
          <w:lang w:val="en-GB"/>
        </w:rPr>
        <w:t>mL.</w:t>
      </w:r>
      <w:proofErr w:type="spellEnd"/>
      <w:r w:rsidR="00AA2A7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 xml:space="preserve">If necessary adjust the IV bag volume by adding or removing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Pr="007567A8">
        <w:rPr>
          <w:rFonts w:ascii="Arial" w:hAnsi="Arial" w:cs="Arial"/>
          <w:i w:val="0"/>
          <w:color w:val="auto"/>
          <w:sz w:val="22"/>
          <w:szCs w:val="22"/>
          <w:lang w:val="en-GB"/>
        </w:rPr>
        <w:t>hloride to achieve a starting volume between</w:t>
      </w:r>
      <w:r w:rsidR="00056891">
        <w:rPr>
          <w:rFonts w:ascii="Arial" w:hAnsi="Arial" w:cs="Arial"/>
          <w:i w:val="0"/>
          <w:color w:val="auto"/>
          <w:sz w:val="22"/>
          <w:szCs w:val="22"/>
          <w:lang w:val="en-GB"/>
        </w:rPr>
        <w:t xml:space="preserve"> 265 and 275 </w:t>
      </w:r>
      <w:proofErr w:type="spellStart"/>
      <w:r w:rsidR="00056891">
        <w:rPr>
          <w:rFonts w:ascii="Arial" w:hAnsi="Arial" w:cs="Arial"/>
          <w:i w:val="0"/>
          <w:color w:val="auto"/>
          <w:sz w:val="22"/>
          <w:szCs w:val="22"/>
          <w:lang w:val="en-GB"/>
        </w:rPr>
        <w:t>mL.</w:t>
      </w:r>
      <w:proofErr w:type="spellEnd"/>
    </w:p>
    <w:p w:rsidR="00E36CA6"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10 mL syringe, aseptically transfer 5.7 mL of </w:t>
      </w:r>
      <w:r w:rsidR="001E76ED">
        <w:rPr>
          <w:rFonts w:ascii="Arial" w:hAnsi="Arial" w:cs="Arial"/>
          <w:i w:val="0"/>
          <w:color w:val="auto"/>
          <w:sz w:val="22"/>
          <w:szCs w:val="22"/>
          <w:lang w:val="en-GB"/>
        </w:rPr>
        <w:t>IV solution stabiliser</w:t>
      </w:r>
      <w:r w:rsidR="001E76ED" w:rsidRPr="007567A8">
        <w:rPr>
          <w:rFonts w:ascii="Arial" w:hAnsi="Arial" w:cs="Arial"/>
          <w:i w:val="0"/>
          <w:color w:val="auto"/>
          <w:sz w:val="22"/>
          <w:szCs w:val="22"/>
          <w:lang w:val="en-GB"/>
        </w:rPr>
        <w:t xml:space="preserve"> </w:t>
      </w:r>
      <w:r w:rsidR="00AA2A78">
        <w:rPr>
          <w:rFonts w:ascii="Arial" w:hAnsi="Arial" w:cs="Arial"/>
          <w:i w:val="0"/>
          <w:color w:val="auto"/>
          <w:sz w:val="22"/>
          <w:szCs w:val="22"/>
          <w:lang w:val="en-GB"/>
        </w:rPr>
        <w:t xml:space="preserve">to the IV bag. </w:t>
      </w:r>
      <w:r w:rsidRPr="007567A8">
        <w:rPr>
          <w:rFonts w:ascii="Arial" w:hAnsi="Arial" w:cs="Arial"/>
          <w:i w:val="0"/>
          <w:color w:val="auto"/>
          <w:sz w:val="22"/>
          <w:szCs w:val="22"/>
          <w:lang w:val="en-GB"/>
        </w:rPr>
        <w:t>Gently mix the content</w:t>
      </w:r>
      <w:r w:rsidR="00AA2A78">
        <w:rPr>
          <w:rFonts w:ascii="Arial" w:hAnsi="Arial" w:cs="Arial"/>
          <w:i w:val="0"/>
          <w:color w:val="auto"/>
          <w:sz w:val="22"/>
          <w:szCs w:val="22"/>
          <w:lang w:val="en-GB"/>
        </w:rPr>
        <w:t xml:space="preserve">s of the bag to avoid foaming. </w:t>
      </w:r>
      <w:r w:rsidRPr="007567A8">
        <w:rPr>
          <w:rFonts w:ascii="Arial" w:hAnsi="Arial" w:cs="Arial"/>
          <w:i w:val="0"/>
          <w:color w:val="auto"/>
          <w:sz w:val="22"/>
          <w:szCs w:val="22"/>
          <w:lang w:val="en-GB"/>
        </w:rPr>
        <w:t xml:space="preserve">Discard remaining </w:t>
      </w:r>
      <w:r w:rsidR="001E76ED">
        <w:rPr>
          <w:rFonts w:ascii="Arial" w:hAnsi="Arial" w:cs="Arial"/>
          <w:i w:val="0"/>
          <w:color w:val="auto"/>
          <w:sz w:val="22"/>
          <w:szCs w:val="22"/>
          <w:lang w:val="en-GB"/>
        </w:rPr>
        <w:t>IV solution stabiliser</w:t>
      </w:r>
      <w:r w:rsidR="001E76ED" w:rsidRPr="007567A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vials.</w:t>
      </w:r>
    </w:p>
    <w:p w:rsidR="007925BA" w:rsidRPr="007567A8" w:rsidRDefault="00AA2A78" w:rsidP="00EA2DF3">
      <w:pPr>
        <w:pStyle w:val="TextItalicized"/>
        <w:numPr>
          <w:ilvl w:val="0"/>
          <w:numId w:val="20"/>
        </w:numPr>
        <w:rPr>
          <w:rFonts w:ascii="Arial" w:hAnsi="Arial" w:cs="Arial"/>
          <w:i w:val="0"/>
          <w:color w:val="auto"/>
          <w:sz w:val="22"/>
          <w:szCs w:val="22"/>
          <w:lang w:val="en-GB"/>
        </w:rPr>
      </w:pPr>
      <w:r>
        <w:rPr>
          <w:rFonts w:ascii="Arial" w:hAnsi="Arial" w:cs="Arial"/>
          <w:i w:val="0"/>
          <w:color w:val="auto"/>
          <w:sz w:val="22"/>
          <w:szCs w:val="22"/>
          <w:lang w:val="en-GB"/>
        </w:rPr>
        <w:t xml:space="preserve">Use three vials of </w:t>
      </w:r>
      <w:proofErr w:type="spellStart"/>
      <w:r>
        <w:rPr>
          <w:rFonts w:ascii="Arial" w:hAnsi="Arial" w:cs="Arial"/>
          <w:i w:val="0"/>
          <w:color w:val="auto"/>
          <w:sz w:val="22"/>
          <w:szCs w:val="22"/>
          <w:lang w:val="en-GB"/>
        </w:rPr>
        <w:t>Blincyto</w:t>
      </w:r>
      <w:proofErr w:type="spellEnd"/>
      <w:r>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Using a 5 mL syringe, reconstitute each vial of </w:t>
      </w:r>
      <w:proofErr w:type="spellStart"/>
      <w:r w:rsidR="007925BA" w:rsidRPr="007567A8">
        <w:rPr>
          <w:rFonts w:ascii="Arial" w:hAnsi="Arial" w:cs="Arial"/>
          <w:i w:val="0"/>
          <w:color w:val="auto"/>
          <w:sz w:val="22"/>
          <w:szCs w:val="22"/>
          <w:lang w:val="en-GB"/>
        </w:rPr>
        <w:t>Blincyto</w:t>
      </w:r>
      <w:proofErr w:type="spellEnd"/>
      <w:r w:rsidR="007925BA" w:rsidRPr="007567A8">
        <w:rPr>
          <w:rFonts w:ascii="Arial" w:hAnsi="Arial" w:cs="Arial"/>
          <w:i w:val="0"/>
          <w:color w:val="auto"/>
          <w:sz w:val="22"/>
          <w:szCs w:val="22"/>
          <w:lang w:val="en-GB"/>
        </w:rPr>
        <w:t xml:space="preserve"> using 3 mL of preservative-free Sterile </w:t>
      </w:r>
      <w:r w:rsidR="00B418CD">
        <w:rPr>
          <w:rFonts w:ascii="Arial" w:hAnsi="Arial" w:cs="Arial"/>
          <w:i w:val="0"/>
          <w:color w:val="auto"/>
          <w:sz w:val="22"/>
          <w:szCs w:val="22"/>
          <w:lang w:val="en-GB"/>
        </w:rPr>
        <w:t>Water for Injections</w:t>
      </w:r>
      <w:r>
        <w:rPr>
          <w:rFonts w:ascii="Arial" w:hAnsi="Arial" w:cs="Arial"/>
          <w:i w:val="0"/>
          <w:color w:val="auto"/>
          <w:sz w:val="22"/>
          <w:szCs w:val="22"/>
          <w:lang w:val="en-GB"/>
        </w:rPr>
        <w:t xml:space="preserve">. </w:t>
      </w:r>
      <w:r w:rsidR="007925BA" w:rsidRPr="007567A8">
        <w:rPr>
          <w:rFonts w:ascii="Arial" w:hAnsi="Arial" w:cs="Arial"/>
          <w:i w:val="0"/>
          <w:color w:val="auto"/>
          <w:sz w:val="22"/>
          <w:szCs w:val="22"/>
          <w:lang w:val="en-GB"/>
        </w:rPr>
        <w:t xml:space="preserve">Direct preservative-free Sterile </w:t>
      </w:r>
      <w:r w:rsidR="00B418CD">
        <w:rPr>
          <w:rFonts w:ascii="Arial" w:hAnsi="Arial" w:cs="Arial"/>
          <w:i w:val="0"/>
          <w:color w:val="auto"/>
          <w:sz w:val="22"/>
          <w:szCs w:val="22"/>
          <w:lang w:val="en-GB"/>
        </w:rPr>
        <w:t>Water for Injections</w:t>
      </w:r>
      <w:r w:rsidR="007925BA" w:rsidRPr="007567A8">
        <w:rPr>
          <w:rFonts w:ascii="Arial" w:hAnsi="Arial" w:cs="Arial"/>
          <w:i w:val="0"/>
          <w:color w:val="auto"/>
          <w:sz w:val="22"/>
          <w:szCs w:val="22"/>
          <w:lang w:val="en-GB"/>
        </w:rPr>
        <w:t xml:space="preserve"> toward the side of t</w:t>
      </w:r>
      <w:r>
        <w:rPr>
          <w:rFonts w:ascii="Arial" w:hAnsi="Arial" w:cs="Arial"/>
          <w:i w:val="0"/>
          <w:color w:val="auto"/>
          <w:sz w:val="22"/>
          <w:szCs w:val="22"/>
          <w:lang w:val="en-GB"/>
        </w:rPr>
        <w:t xml:space="preserve">he vial during reconstitution. </w:t>
      </w:r>
      <w:r w:rsidR="007925BA" w:rsidRPr="007567A8">
        <w:rPr>
          <w:rFonts w:ascii="Arial" w:hAnsi="Arial" w:cs="Arial"/>
          <w:i w:val="0"/>
          <w:color w:val="auto"/>
          <w:sz w:val="22"/>
          <w:szCs w:val="22"/>
          <w:lang w:val="en-GB"/>
        </w:rPr>
        <w:t xml:space="preserve">Gently swirl contents to avoid excess foaming. </w:t>
      </w:r>
      <w:r w:rsidR="007925BA" w:rsidRPr="007567A8">
        <w:rPr>
          <w:rFonts w:ascii="Arial" w:hAnsi="Arial" w:cs="Arial"/>
          <w:b/>
          <w:i w:val="0"/>
          <w:color w:val="auto"/>
          <w:sz w:val="22"/>
          <w:szCs w:val="22"/>
          <w:lang w:val="en-GB"/>
        </w:rPr>
        <w:t xml:space="preserve">Do </w:t>
      </w:r>
      <w:r w:rsidR="007925BA" w:rsidRPr="007567A8">
        <w:rPr>
          <w:rFonts w:ascii="Arial" w:hAnsi="Arial" w:cs="Arial"/>
          <w:b/>
          <w:i w:val="0"/>
          <w:color w:val="auto"/>
          <w:sz w:val="22"/>
          <w:szCs w:val="22"/>
          <w:u w:val="single"/>
          <w:lang w:val="en-GB"/>
        </w:rPr>
        <w:t>not</w:t>
      </w:r>
      <w:r w:rsidR="007925BA" w:rsidRPr="007567A8">
        <w:rPr>
          <w:rFonts w:ascii="Arial" w:hAnsi="Arial" w:cs="Arial"/>
          <w:b/>
          <w:i w:val="0"/>
          <w:color w:val="auto"/>
          <w:sz w:val="22"/>
          <w:szCs w:val="22"/>
          <w:lang w:val="en-GB"/>
        </w:rPr>
        <w:t xml:space="preserve"> shake</w:t>
      </w:r>
      <w:r w:rsidR="007925BA" w:rsidRPr="007567A8">
        <w:rPr>
          <w:rFonts w:ascii="Arial" w:hAnsi="Arial" w:cs="Arial"/>
          <w:i w:val="0"/>
          <w:color w:val="auto"/>
          <w:sz w:val="22"/>
          <w:szCs w:val="22"/>
          <w:lang w:val="en-GB"/>
        </w:rPr>
        <w:t>.</w:t>
      </w:r>
    </w:p>
    <w:p w:rsidR="00E36CA6" w:rsidRDefault="007925BA" w:rsidP="007648D0">
      <w:pPr>
        <w:pStyle w:val="StyleListParagraphBold1"/>
        <w:numPr>
          <w:ilvl w:val="0"/>
          <w:numId w:val="2"/>
        </w:numPr>
        <w:ind w:left="1134"/>
        <w:rPr>
          <w:lang w:val="en-GB"/>
        </w:rPr>
      </w:pPr>
      <w:r w:rsidRPr="007567A8">
        <w:rPr>
          <w:lang w:val="en-GB"/>
        </w:rPr>
        <w:t xml:space="preserve">Do not reconstitute </w:t>
      </w:r>
      <w:proofErr w:type="spellStart"/>
      <w:r w:rsidRPr="007567A8">
        <w:rPr>
          <w:lang w:val="en-GB"/>
        </w:rPr>
        <w:t>Blincyto</w:t>
      </w:r>
      <w:proofErr w:type="spellEnd"/>
      <w:r w:rsidRPr="007567A8">
        <w:rPr>
          <w:lang w:val="en-GB"/>
        </w:rPr>
        <w:t xml:space="preserve"> with </w:t>
      </w:r>
      <w:r w:rsidR="006C1B3D" w:rsidRPr="003951D0">
        <w:rPr>
          <w:lang w:val="en-GB"/>
        </w:rPr>
        <w:t>IV solution stabiliser</w:t>
      </w:r>
      <w:r w:rsidRPr="007567A8">
        <w:rPr>
          <w:lang w:val="en-GB"/>
        </w:rPr>
        <w:t>.</w:t>
      </w:r>
    </w:p>
    <w:p w:rsidR="00E36CA6" w:rsidRDefault="007925BA" w:rsidP="007648D0">
      <w:pPr>
        <w:pStyle w:val="ListParagraph"/>
        <w:numPr>
          <w:ilvl w:val="0"/>
          <w:numId w:val="2"/>
        </w:numPr>
        <w:ind w:left="1134"/>
        <w:rPr>
          <w:lang w:val="en-GB"/>
        </w:rPr>
      </w:pPr>
      <w:r w:rsidRPr="003951D0">
        <w:rPr>
          <w:lang w:val="en-GB"/>
        </w:rPr>
        <w:t xml:space="preserve">The addition of preservative-free Sterile </w:t>
      </w:r>
      <w:r w:rsidR="00B418CD" w:rsidRPr="003951D0">
        <w:rPr>
          <w:lang w:val="en-GB"/>
        </w:rPr>
        <w:t>Water for Injections</w:t>
      </w:r>
      <w:r w:rsidRPr="003951D0">
        <w:rPr>
          <w:lang w:val="en-GB"/>
        </w:rPr>
        <w:t xml:space="preserve"> to the lyophili</w:t>
      </w:r>
      <w:r w:rsidR="000C6D0B" w:rsidRPr="003951D0">
        <w:rPr>
          <w:lang w:val="en-GB"/>
        </w:rPr>
        <w:t>s</w:t>
      </w:r>
      <w:r w:rsidRPr="003951D0">
        <w:rPr>
          <w:lang w:val="en-GB"/>
        </w:rPr>
        <w:t xml:space="preserve">ed powder results in a total volume of 3.1 mL for a final </w:t>
      </w:r>
      <w:proofErr w:type="spellStart"/>
      <w:r w:rsidRPr="003951D0">
        <w:rPr>
          <w:lang w:val="en-GB"/>
        </w:rPr>
        <w:t>Blincyto</w:t>
      </w:r>
      <w:proofErr w:type="spellEnd"/>
      <w:r w:rsidRPr="003951D0">
        <w:rPr>
          <w:lang w:val="en-GB"/>
        </w:rPr>
        <w:t xml:space="preserve"> concentration of 12.5 </w:t>
      </w:r>
      <w:r w:rsidR="00D95F66">
        <w:t>micro</w:t>
      </w:r>
      <w:r w:rsidR="00D95F66" w:rsidRPr="007567A8">
        <w:t>g</w:t>
      </w:r>
      <w:r w:rsidR="00D95F66">
        <w:t>rams</w:t>
      </w:r>
      <w:r w:rsidRPr="003951D0">
        <w:rPr>
          <w:lang w:val="en-GB"/>
        </w:rPr>
        <w:t>/</w:t>
      </w:r>
      <w:proofErr w:type="spellStart"/>
      <w:r w:rsidRPr="003951D0">
        <w:rPr>
          <w:lang w:val="en-GB"/>
        </w:rPr>
        <w:t>mL.</w:t>
      </w:r>
      <w:proofErr w:type="spellEnd"/>
    </w:p>
    <w:p w:rsidR="00E36CA6"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Visually inspect the reconstituted solution for particulate matter and discoloration during reconst</w:t>
      </w:r>
      <w:r w:rsidR="00AA2A78">
        <w:rPr>
          <w:rFonts w:ascii="Arial" w:hAnsi="Arial" w:cs="Arial"/>
          <w:i w:val="0"/>
          <w:color w:val="auto"/>
          <w:sz w:val="22"/>
          <w:szCs w:val="22"/>
          <w:lang w:val="en-GB"/>
        </w:rPr>
        <w:t xml:space="preserve">itution and prior to infusion. </w:t>
      </w:r>
      <w:r w:rsidRPr="007567A8">
        <w:rPr>
          <w:rFonts w:ascii="Arial" w:hAnsi="Arial" w:cs="Arial"/>
          <w:i w:val="0"/>
          <w:color w:val="auto"/>
          <w:sz w:val="22"/>
          <w:szCs w:val="22"/>
          <w:lang w:val="en-GB"/>
        </w:rPr>
        <w:t xml:space="preserve">The resulting solution should be clear to slightly opalescent, colourless to slightly yellow.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use </w:t>
      </w:r>
      <w:r w:rsidRPr="007567A8" w:rsidDel="0001278F">
        <w:rPr>
          <w:rFonts w:ascii="Arial" w:hAnsi="Arial" w:cs="Arial"/>
          <w:b/>
          <w:i w:val="0"/>
          <w:color w:val="auto"/>
          <w:sz w:val="22"/>
          <w:szCs w:val="22"/>
          <w:lang w:val="en-GB"/>
        </w:rPr>
        <w:t xml:space="preserve">if </w:t>
      </w:r>
      <w:r w:rsidRPr="007567A8">
        <w:rPr>
          <w:rFonts w:ascii="Arial" w:hAnsi="Arial" w:cs="Arial"/>
          <w:b/>
          <w:i w:val="0"/>
          <w:color w:val="auto"/>
          <w:sz w:val="22"/>
          <w:szCs w:val="22"/>
          <w:lang w:val="en-GB"/>
        </w:rPr>
        <w:t>solution is cloudy or has precipitated</w:t>
      </w:r>
      <w:r w:rsidRPr="007567A8">
        <w:rPr>
          <w:rFonts w:ascii="Arial" w:hAnsi="Arial" w:cs="Arial"/>
          <w:i w:val="0"/>
          <w:color w:val="auto"/>
          <w:sz w:val="22"/>
          <w:szCs w:val="22"/>
          <w:lang w:val="en-GB"/>
        </w:rPr>
        <w:t>.</w:t>
      </w:r>
    </w:p>
    <w:p w:rsidR="00E36CA6"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5 mL syringe, aseptically transfer 8 mL of reconstituted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into the IV bag (3.0 mL from each of the first two vials and the remaining 2.0 mL from the third vial).  Gently mix the contents of the bag to avoid foaming.</w:t>
      </w:r>
    </w:p>
    <w:p w:rsidR="00E36CA6"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Under aseptic conditions, attach the IV tubing to the IV bag with the sterile 0.2 micron in-line filter.</w:t>
      </w:r>
    </w:p>
    <w:p w:rsidR="007925BA" w:rsidRPr="007567A8"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Remove air from the IV bag and prime the IV line </w:t>
      </w:r>
      <w:r w:rsidRPr="007567A8">
        <w:rPr>
          <w:rFonts w:ascii="Arial" w:hAnsi="Arial" w:cs="Arial"/>
          <w:b/>
          <w:i w:val="0"/>
          <w:color w:val="auto"/>
          <w:sz w:val="22"/>
          <w:szCs w:val="22"/>
          <w:lang w:val="en-GB"/>
        </w:rPr>
        <w:t xml:space="preserve">only </w:t>
      </w:r>
      <w:r w:rsidRPr="007567A8">
        <w:rPr>
          <w:rFonts w:ascii="Arial" w:hAnsi="Arial" w:cs="Arial"/>
          <w:i w:val="0"/>
          <w:color w:val="auto"/>
          <w:sz w:val="22"/>
          <w:szCs w:val="22"/>
          <w:lang w:val="en-GB"/>
        </w:rPr>
        <w:t xml:space="preserve">with the prepared solution for infusion. </w:t>
      </w:r>
      <w:r w:rsidRPr="007567A8">
        <w:rPr>
          <w:rFonts w:ascii="Arial" w:hAnsi="Arial" w:cs="Arial"/>
          <w:b/>
          <w:i w:val="0"/>
          <w:color w:val="auto"/>
          <w:sz w:val="22"/>
          <w:szCs w:val="22"/>
          <w:lang w:val="en-GB"/>
        </w:rPr>
        <w:t xml:space="preserve">Do not prime with 0.9% </w:t>
      </w:r>
      <w:r w:rsidR="00C5663D">
        <w:rPr>
          <w:rFonts w:ascii="Arial" w:hAnsi="Arial" w:cs="Arial"/>
          <w:b/>
          <w:i w:val="0"/>
          <w:color w:val="auto"/>
          <w:sz w:val="22"/>
          <w:szCs w:val="22"/>
          <w:lang w:val="en-GB"/>
        </w:rPr>
        <w:t>s</w:t>
      </w:r>
      <w:r w:rsidRPr="007567A8">
        <w:rPr>
          <w:rFonts w:ascii="Arial" w:hAnsi="Arial" w:cs="Arial"/>
          <w:b/>
          <w:i w:val="0"/>
          <w:color w:val="auto"/>
          <w:sz w:val="22"/>
          <w:szCs w:val="22"/>
          <w:lang w:val="en-GB"/>
        </w:rPr>
        <w:t xml:space="preserve">odium </w:t>
      </w:r>
      <w:r w:rsidR="00C5663D">
        <w:rPr>
          <w:rFonts w:ascii="Arial" w:hAnsi="Arial" w:cs="Arial"/>
          <w:b/>
          <w:i w:val="0"/>
          <w:color w:val="auto"/>
          <w:sz w:val="22"/>
          <w:szCs w:val="22"/>
          <w:lang w:val="en-GB"/>
        </w:rPr>
        <w:t>c</w:t>
      </w:r>
      <w:r w:rsidRPr="007567A8">
        <w:rPr>
          <w:rFonts w:ascii="Arial" w:hAnsi="Arial" w:cs="Arial"/>
          <w:b/>
          <w:i w:val="0"/>
          <w:color w:val="auto"/>
          <w:sz w:val="22"/>
          <w:szCs w:val="22"/>
          <w:lang w:val="en-GB"/>
        </w:rPr>
        <w:t>hloride.</w:t>
      </w:r>
    </w:p>
    <w:p w:rsidR="00E36CA6" w:rsidRDefault="007925BA" w:rsidP="00EA2DF3">
      <w:pPr>
        <w:pStyle w:val="TextItalicized"/>
        <w:numPr>
          <w:ilvl w:val="0"/>
          <w:numId w:val="20"/>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Store at </w:t>
      </w:r>
      <w:r w:rsidRPr="007567A8">
        <w:rPr>
          <w:rFonts w:ascii="Arial" w:hAnsi="Arial" w:cs="Arial"/>
          <w:bCs/>
          <w:i w:val="0"/>
          <w:sz w:val="22"/>
          <w:szCs w:val="22"/>
          <w:lang w:val="en-GB" w:eastAsia="zh-TW"/>
        </w:rPr>
        <w:t>2°C to 8°C</w:t>
      </w:r>
      <w:r w:rsidRPr="007567A8">
        <w:rPr>
          <w:rFonts w:ascii="Arial" w:hAnsi="Arial" w:cs="Arial"/>
          <w:b/>
          <w:bCs/>
          <w:sz w:val="22"/>
          <w:szCs w:val="22"/>
          <w:lang w:val="en-GB" w:eastAsia="zh-TW"/>
        </w:rPr>
        <w:t xml:space="preserve"> </w:t>
      </w:r>
      <w:r w:rsidRPr="007567A8">
        <w:rPr>
          <w:rFonts w:ascii="Arial" w:hAnsi="Arial" w:cs="Arial"/>
          <w:i w:val="0"/>
          <w:color w:val="auto"/>
          <w:sz w:val="22"/>
          <w:szCs w:val="22"/>
          <w:lang w:val="en-GB"/>
        </w:rPr>
        <w:t>if not used immediately.</w:t>
      </w:r>
    </w:p>
    <w:p w:rsidR="007925BA" w:rsidRPr="00641665" w:rsidRDefault="007925BA" w:rsidP="00641665">
      <w:pPr>
        <w:pStyle w:val="Heading3"/>
        <w:numPr>
          <w:ilvl w:val="0"/>
          <w:numId w:val="35"/>
        </w:numPr>
        <w:rPr>
          <w:u w:val="none"/>
        </w:rPr>
      </w:pPr>
      <w:r w:rsidRPr="00641665">
        <w:rPr>
          <w:u w:val="none"/>
        </w:rPr>
        <w:lastRenderedPageBreak/>
        <w:t xml:space="preserve">Preparation of </w:t>
      </w:r>
      <w:proofErr w:type="spellStart"/>
      <w:r w:rsidRPr="00641665">
        <w:rPr>
          <w:u w:val="none"/>
        </w:rPr>
        <w:t>Blincyto</w:t>
      </w:r>
      <w:proofErr w:type="spellEnd"/>
      <w:r w:rsidRPr="00641665">
        <w:rPr>
          <w:u w:val="none"/>
        </w:rPr>
        <w:t xml:space="preserve"> 28 </w:t>
      </w:r>
      <w:r w:rsidR="00AE642E" w:rsidRPr="00641665">
        <w:rPr>
          <w:u w:val="none"/>
        </w:rPr>
        <w:t>micrograms</w:t>
      </w:r>
      <w:r w:rsidRPr="00641665">
        <w:rPr>
          <w:u w:val="none"/>
        </w:rPr>
        <w:t>/day infused over 96 hours at a rate of 2.5mL/h</w:t>
      </w:r>
    </w:p>
    <w:p w:rsidR="00E36CA6" w:rsidRDefault="007925BA" w:rsidP="00EA2DF3">
      <w:pPr>
        <w:pStyle w:val="TextItalicized"/>
        <w:numPr>
          <w:ilvl w:val="0"/>
          <w:numId w:val="18"/>
        </w:numPr>
        <w:ind w:hanging="357"/>
        <w:rPr>
          <w:rFonts w:ascii="Arial" w:hAnsi="Arial" w:cs="Arial"/>
          <w:i w:val="0"/>
          <w:color w:val="auto"/>
          <w:sz w:val="22"/>
          <w:szCs w:val="22"/>
          <w:lang w:val="en-GB"/>
        </w:rPr>
      </w:pPr>
      <w:r w:rsidRPr="007567A8">
        <w:rPr>
          <w:rFonts w:ascii="Arial" w:hAnsi="Arial" w:cs="Arial"/>
          <w:i w:val="0"/>
          <w:color w:val="auto"/>
          <w:sz w:val="22"/>
          <w:szCs w:val="22"/>
          <w:lang w:val="en-GB"/>
        </w:rPr>
        <w:t xml:space="preserve">Use a prefilled 250 mL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00656BCF">
        <w:rPr>
          <w:rFonts w:ascii="Arial" w:hAnsi="Arial" w:cs="Arial"/>
          <w:i w:val="0"/>
          <w:color w:val="auto"/>
          <w:sz w:val="22"/>
          <w:szCs w:val="22"/>
          <w:lang w:val="en-GB"/>
        </w:rPr>
        <w:t>hloride IV bag.</w:t>
      </w:r>
      <w:r w:rsidRPr="007567A8">
        <w:rPr>
          <w:rFonts w:ascii="Arial" w:hAnsi="Arial" w:cs="Arial"/>
          <w:i w:val="0"/>
          <w:color w:val="auto"/>
          <w:sz w:val="22"/>
          <w:szCs w:val="22"/>
          <w:lang w:val="en-GB"/>
        </w:rPr>
        <w:t xml:space="preserve"> 250 mL-prefilled bags typically contain overfill to a </w:t>
      </w:r>
      <w:r w:rsidR="00656BCF">
        <w:rPr>
          <w:rFonts w:ascii="Arial" w:hAnsi="Arial" w:cs="Arial"/>
          <w:i w:val="0"/>
          <w:color w:val="auto"/>
          <w:sz w:val="22"/>
          <w:szCs w:val="22"/>
          <w:lang w:val="en-GB"/>
        </w:rPr>
        <w:t xml:space="preserve">total volume of 265 to 275 </w:t>
      </w:r>
      <w:proofErr w:type="spellStart"/>
      <w:r w:rsidR="00656BCF">
        <w:rPr>
          <w:rFonts w:ascii="Arial" w:hAnsi="Arial" w:cs="Arial"/>
          <w:i w:val="0"/>
          <w:color w:val="auto"/>
          <w:sz w:val="22"/>
          <w:szCs w:val="22"/>
          <w:lang w:val="en-GB"/>
        </w:rPr>
        <w:t>mL.</w:t>
      </w:r>
      <w:proofErr w:type="spellEnd"/>
      <w:r w:rsidR="00656BCF">
        <w:rPr>
          <w:rFonts w:ascii="Arial" w:hAnsi="Arial" w:cs="Arial"/>
          <w:i w:val="0"/>
          <w:color w:val="auto"/>
          <w:sz w:val="22"/>
          <w:szCs w:val="22"/>
          <w:lang w:val="en-GB"/>
        </w:rPr>
        <w:t xml:space="preserve"> </w:t>
      </w:r>
      <w:r w:rsidRPr="007567A8">
        <w:rPr>
          <w:rFonts w:ascii="Arial" w:hAnsi="Arial" w:cs="Arial"/>
          <w:i w:val="0"/>
          <w:color w:val="auto"/>
          <w:sz w:val="22"/>
          <w:szCs w:val="22"/>
          <w:lang w:val="en-GB"/>
        </w:rPr>
        <w:t xml:space="preserve">If necessary adjust the IV bag volume by adding or removing 0.9% </w:t>
      </w:r>
      <w:r w:rsidR="00C5663D">
        <w:rPr>
          <w:rFonts w:ascii="Arial" w:hAnsi="Arial" w:cs="Arial"/>
          <w:i w:val="0"/>
          <w:color w:val="auto"/>
          <w:sz w:val="22"/>
          <w:szCs w:val="22"/>
          <w:lang w:val="en-GB"/>
        </w:rPr>
        <w:t>s</w:t>
      </w:r>
      <w:r w:rsidRPr="007567A8">
        <w:rPr>
          <w:rFonts w:ascii="Arial" w:hAnsi="Arial" w:cs="Arial"/>
          <w:i w:val="0"/>
          <w:color w:val="auto"/>
          <w:sz w:val="22"/>
          <w:szCs w:val="22"/>
          <w:lang w:val="en-GB"/>
        </w:rPr>
        <w:t xml:space="preserve">odium </w:t>
      </w:r>
      <w:r w:rsidR="00C5663D">
        <w:rPr>
          <w:rFonts w:ascii="Arial" w:hAnsi="Arial" w:cs="Arial"/>
          <w:i w:val="0"/>
          <w:color w:val="auto"/>
          <w:sz w:val="22"/>
          <w:szCs w:val="22"/>
          <w:lang w:val="en-GB"/>
        </w:rPr>
        <w:t>c</w:t>
      </w:r>
      <w:r w:rsidRPr="007567A8">
        <w:rPr>
          <w:rFonts w:ascii="Arial" w:hAnsi="Arial" w:cs="Arial"/>
          <w:i w:val="0"/>
          <w:color w:val="auto"/>
          <w:sz w:val="22"/>
          <w:szCs w:val="22"/>
          <w:lang w:val="en-GB"/>
        </w:rPr>
        <w:t xml:space="preserve">hloride to achieve a starting volume between 265 and 275 </w:t>
      </w:r>
      <w:proofErr w:type="spellStart"/>
      <w:r w:rsidRPr="007567A8">
        <w:rPr>
          <w:rFonts w:ascii="Arial" w:hAnsi="Arial" w:cs="Arial"/>
          <w:i w:val="0"/>
          <w:color w:val="auto"/>
          <w:sz w:val="22"/>
          <w:szCs w:val="22"/>
          <w:lang w:val="en-GB"/>
        </w:rPr>
        <w:t>mL.</w:t>
      </w:r>
      <w:proofErr w:type="spellEnd"/>
    </w:p>
    <w:p w:rsidR="00E36CA6"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10 mL syringe, aseptically transfer 5.7 mL of </w:t>
      </w:r>
      <w:r w:rsidR="006C1B3D">
        <w:rPr>
          <w:rFonts w:ascii="Arial" w:hAnsi="Arial" w:cs="Arial"/>
          <w:i w:val="0"/>
          <w:color w:val="auto"/>
          <w:sz w:val="22"/>
          <w:szCs w:val="22"/>
          <w:lang w:val="en-GB"/>
        </w:rPr>
        <w:t>IV solution stabiliser</w:t>
      </w:r>
      <w:r w:rsidR="00656BCF">
        <w:rPr>
          <w:rFonts w:ascii="Arial" w:hAnsi="Arial" w:cs="Arial"/>
          <w:i w:val="0"/>
          <w:color w:val="auto"/>
          <w:sz w:val="22"/>
          <w:szCs w:val="22"/>
          <w:lang w:val="en-GB"/>
        </w:rPr>
        <w:t xml:space="preserve"> to the IV bag. </w:t>
      </w:r>
      <w:r w:rsidRPr="007567A8">
        <w:rPr>
          <w:rFonts w:ascii="Arial" w:hAnsi="Arial" w:cs="Arial"/>
          <w:i w:val="0"/>
          <w:color w:val="auto"/>
          <w:sz w:val="22"/>
          <w:szCs w:val="22"/>
          <w:lang w:val="en-GB"/>
        </w:rPr>
        <w:t>Gently mix the conten</w:t>
      </w:r>
      <w:r w:rsidR="00656BCF">
        <w:rPr>
          <w:rFonts w:ascii="Arial" w:hAnsi="Arial" w:cs="Arial"/>
          <w:i w:val="0"/>
          <w:color w:val="auto"/>
          <w:sz w:val="22"/>
          <w:szCs w:val="22"/>
          <w:lang w:val="en-GB"/>
        </w:rPr>
        <w:t>ts of the bag to avoid foaming.</w:t>
      </w:r>
      <w:r w:rsidRPr="007567A8">
        <w:rPr>
          <w:rFonts w:ascii="Arial" w:hAnsi="Arial" w:cs="Arial"/>
          <w:i w:val="0"/>
          <w:color w:val="auto"/>
          <w:sz w:val="22"/>
          <w:szCs w:val="22"/>
          <w:lang w:val="en-GB"/>
        </w:rPr>
        <w:t xml:space="preserve"> Discard remaining </w:t>
      </w:r>
      <w:r w:rsidR="006C1B3D">
        <w:rPr>
          <w:rFonts w:ascii="Arial" w:hAnsi="Arial" w:cs="Arial"/>
          <w:i w:val="0"/>
          <w:color w:val="auto"/>
          <w:sz w:val="22"/>
          <w:szCs w:val="22"/>
          <w:lang w:val="en-GB"/>
        </w:rPr>
        <w:t>IV solution stabiliser</w:t>
      </w:r>
      <w:r w:rsidR="006C1B3D" w:rsidRPr="007567A8">
        <w:rPr>
          <w:rFonts w:ascii="Arial" w:hAnsi="Arial" w:cs="Arial"/>
          <w:i w:val="0"/>
          <w:color w:val="auto"/>
          <w:sz w:val="22"/>
          <w:szCs w:val="22"/>
          <w:lang w:val="en-GB"/>
        </w:rPr>
        <w:t xml:space="preserve"> </w:t>
      </w:r>
      <w:r w:rsidRPr="007567A8">
        <w:rPr>
          <w:rFonts w:ascii="Arial" w:hAnsi="Arial" w:cs="Arial"/>
          <w:i w:val="0"/>
          <w:color w:val="auto"/>
          <w:sz w:val="22"/>
          <w:szCs w:val="22"/>
          <w:lang w:val="en-GB"/>
        </w:rPr>
        <w:t>vials.</w:t>
      </w:r>
    </w:p>
    <w:p w:rsidR="007925BA" w:rsidRPr="007567A8"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Use four vials of </w:t>
      </w:r>
      <w:proofErr w:type="spellStart"/>
      <w:r w:rsidR="00656BCF">
        <w:rPr>
          <w:rFonts w:ascii="Arial" w:hAnsi="Arial" w:cs="Arial"/>
          <w:i w:val="0"/>
          <w:color w:val="auto"/>
          <w:sz w:val="22"/>
          <w:szCs w:val="22"/>
          <w:lang w:val="en-GB"/>
        </w:rPr>
        <w:t>Blincyto</w:t>
      </w:r>
      <w:proofErr w:type="spellEnd"/>
      <w:r w:rsidR="00656BCF">
        <w:rPr>
          <w:rFonts w:ascii="Arial" w:hAnsi="Arial" w:cs="Arial"/>
          <w:i w:val="0"/>
          <w:color w:val="auto"/>
          <w:sz w:val="22"/>
          <w:szCs w:val="22"/>
          <w:lang w:val="en-GB"/>
        </w:rPr>
        <w:t>.</w:t>
      </w:r>
      <w:r w:rsidRPr="007567A8">
        <w:rPr>
          <w:rFonts w:ascii="Arial" w:hAnsi="Arial" w:cs="Arial"/>
          <w:i w:val="0"/>
          <w:color w:val="auto"/>
          <w:sz w:val="22"/>
          <w:szCs w:val="22"/>
          <w:lang w:val="en-GB"/>
        </w:rPr>
        <w:t xml:space="preserve"> Using a 5 mL syringe, reconstitute each vial of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using 3 mL of preservative-free Sterile </w:t>
      </w:r>
      <w:r w:rsidR="00B418CD">
        <w:rPr>
          <w:rFonts w:ascii="Arial" w:hAnsi="Arial" w:cs="Arial"/>
          <w:i w:val="0"/>
          <w:color w:val="auto"/>
          <w:sz w:val="22"/>
          <w:szCs w:val="22"/>
          <w:lang w:val="en-GB"/>
        </w:rPr>
        <w:t>Water for Injections</w:t>
      </w:r>
      <w:r w:rsidRPr="007567A8">
        <w:rPr>
          <w:rFonts w:ascii="Arial" w:hAnsi="Arial" w:cs="Arial"/>
          <w:i w:val="0"/>
          <w:color w:val="auto"/>
          <w:sz w:val="22"/>
          <w:szCs w:val="22"/>
          <w:lang w:val="en-GB"/>
        </w:rPr>
        <w:t xml:space="preserve">.  Direct preservative-free Sterile </w:t>
      </w:r>
      <w:r w:rsidR="000C6D0B">
        <w:rPr>
          <w:rFonts w:ascii="Arial" w:hAnsi="Arial" w:cs="Arial"/>
          <w:i w:val="0"/>
          <w:color w:val="auto"/>
          <w:sz w:val="22"/>
          <w:szCs w:val="22"/>
          <w:lang w:val="en-GB"/>
        </w:rPr>
        <w:t>Water for Injection</w:t>
      </w:r>
      <w:r w:rsidRPr="007567A8">
        <w:rPr>
          <w:rFonts w:ascii="Arial" w:hAnsi="Arial" w:cs="Arial"/>
          <w:i w:val="0"/>
          <w:color w:val="auto"/>
          <w:sz w:val="22"/>
          <w:szCs w:val="22"/>
          <w:lang w:val="en-GB"/>
        </w:rPr>
        <w:t xml:space="preserve">s toward the side of the vial during reconstitution. Gently swirl contents to avoid excess foaming.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shake</w:t>
      </w:r>
      <w:r w:rsidRPr="007567A8">
        <w:rPr>
          <w:rFonts w:ascii="Arial" w:hAnsi="Arial" w:cs="Arial"/>
          <w:i w:val="0"/>
          <w:color w:val="auto"/>
          <w:sz w:val="22"/>
          <w:szCs w:val="22"/>
          <w:lang w:val="en-GB"/>
        </w:rPr>
        <w:t>.</w:t>
      </w:r>
    </w:p>
    <w:p w:rsidR="007925BA" w:rsidRPr="007648D0" w:rsidRDefault="007925BA" w:rsidP="007648D0">
      <w:pPr>
        <w:pStyle w:val="ListParagraph"/>
        <w:numPr>
          <w:ilvl w:val="0"/>
          <w:numId w:val="37"/>
        </w:numPr>
        <w:ind w:left="1134"/>
        <w:rPr>
          <w:b/>
          <w:bCs/>
          <w:lang w:val="en-GB"/>
        </w:rPr>
      </w:pPr>
      <w:r w:rsidRPr="007648D0">
        <w:rPr>
          <w:b/>
          <w:bCs/>
          <w:lang w:val="en-GB"/>
        </w:rPr>
        <w:t xml:space="preserve">Do not reconstitute </w:t>
      </w:r>
      <w:proofErr w:type="spellStart"/>
      <w:r w:rsidRPr="007648D0">
        <w:rPr>
          <w:b/>
          <w:bCs/>
          <w:lang w:val="en-GB"/>
        </w:rPr>
        <w:t>Blincyto</w:t>
      </w:r>
      <w:proofErr w:type="spellEnd"/>
      <w:r w:rsidRPr="007648D0">
        <w:rPr>
          <w:b/>
          <w:bCs/>
          <w:lang w:val="en-GB"/>
        </w:rPr>
        <w:t xml:space="preserve"> with </w:t>
      </w:r>
      <w:r w:rsidR="006C1B3D" w:rsidRPr="007648D0">
        <w:rPr>
          <w:b/>
          <w:bCs/>
        </w:rPr>
        <w:t xml:space="preserve">IV solution </w:t>
      </w:r>
      <w:proofErr w:type="spellStart"/>
      <w:r w:rsidR="006C1B3D" w:rsidRPr="007648D0">
        <w:rPr>
          <w:b/>
          <w:bCs/>
        </w:rPr>
        <w:t>stabiliser</w:t>
      </w:r>
      <w:proofErr w:type="spellEnd"/>
      <w:r w:rsidR="003951D0" w:rsidRPr="007648D0">
        <w:rPr>
          <w:b/>
          <w:bCs/>
          <w:lang w:val="en-GB"/>
        </w:rPr>
        <w:t>.</w:t>
      </w:r>
    </w:p>
    <w:p w:rsidR="00E36CA6" w:rsidRDefault="007925BA" w:rsidP="007648D0">
      <w:pPr>
        <w:pStyle w:val="ListParagraph"/>
        <w:numPr>
          <w:ilvl w:val="0"/>
          <w:numId w:val="2"/>
        </w:numPr>
        <w:ind w:left="1134"/>
        <w:rPr>
          <w:lang w:val="en-GB"/>
        </w:rPr>
      </w:pPr>
      <w:r w:rsidRPr="003951D0">
        <w:rPr>
          <w:lang w:val="en-GB"/>
        </w:rPr>
        <w:t xml:space="preserve">The addition of preservative-free Sterile </w:t>
      </w:r>
      <w:r w:rsidR="000C6D0B" w:rsidRPr="003951D0">
        <w:rPr>
          <w:lang w:val="en-GB"/>
        </w:rPr>
        <w:t>Water for Injection</w:t>
      </w:r>
      <w:r w:rsidRPr="003951D0">
        <w:rPr>
          <w:lang w:val="en-GB"/>
        </w:rPr>
        <w:t>s to the lyophili</w:t>
      </w:r>
      <w:r w:rsidR="000C6D0B" w:rsidRPr="003951D0">
        <w:rPr>
          <w:lang w:val="en-GB"/>
        </w:rPr>
        <w:t>s</w:t>
      </w:r>
      <w:r w:rsidRPr="003951D0">
        <w:rPr>
          <w:lang w:val="en-GB"/>
        </w:rPr>
        <w:t xml:space="preserve">ed powder results in a total volume of 3.1 mL for a final </w:t>
      </w:r>
      <w:proofErr w:type="spellStart"/>
      <w:r w:rsidRPr="003951D0">
        <w:rPr>
          <w:lang w:val="en-GB"/>
        </w:rPr>
        <w:t>Blincyto</w:t>
      </w:r>
      <w:proofErr w:type="spellEnd"/>
      <w:r w:rsidRPr="003951D0">
        <w:rPr>
          <w:lang w:val="en-GB"/>
        </w:rPr>
        <w:t xml:space="preserve"> concentration of 12.5 </w:t>
      </w:r>
      <w:r w:rsidR="00D95F66">
        <w:t>micro</w:t>
      </w:r>
      <w:r w:rsidR="00D95F66" w:rsidRPr="007567A8">
        <w:t>g</w:t>
      </w:r>
      <w:r w:rsidR="00D95F66">
        <w:t>rams</w:t>
      </w:r>
      <w:r w:rsidRPr="003951D0">
        <w:rPr>
          <w:lang w:val="en-GB"/>
        </w:rPr>
        <w:t>/</w:t>
      </w:r>
      <w:proofErr w:type="spellStart"/>
      <w:r w:rsidRPr="003951D0">
        <w:rPr>
          <w:lang w:val="en-GB"/>
        </w:rPr>
        <w:t>mL.</w:t>
      </w:r>
      <w:proofErr w:type="spellEnd"/>
    </w:p>
    <w:p w:rsidR="00E36CA6"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Visually inspect the reconstituted solution for particulate matter and discoloration during reconst</w:t>
      </w:r>
      <w:r w:rsidR="00656BCF">
        <w:rPr>
          <w:rFonts w:ascii="Arial" w:hAnsi="Arial" w:cs="Arial"/>
          <w:i w:val="0"/>
          <w:color w:val="auto"/>
          <w:sz w:val="22"/>
          <w:szCs w:val="22"/>
          <w:lang w:val="en-GB"/>
        </w:rPr>
        <w:t xml:space="preserve">itution and prior to infusion. </w:t>
      </w:r>
      <w:r w:rsidRPr="007567A8">
        <w:rPr>
          <w:rFonts w:ascii="Arial" w:hAnsi="Arial" w:cs="Arial"/>
          <w:i w:val="0"/>
          <w:color w:val="auto"/>
          <w:sz w:val="22"/>
          <w:szCs w:val="22"/>
          <w:lang w:val="en-GB"/>
        </w:rPr>
        <w:t xml:space="preserve">The resulting solution should be clear to slightly opalescent, colourless to slightly yellow. </w:t>
      </w:r>
      <w:r w:rsidRPr="007567A8">
        <w:rPr>
          <w:rFonts w:ascii="Arial" w:hAnsi="Arial" w:cs="Arial"/>
          <w:b/>
          <w:i w:val="0"/>
          <w:color w:val="auto"/>
          <w:sz w:val="22"/>
          <w:szCs w:val="22"/>
          <w:lang w:val="en-GB"/>
        </w:rPr>
        <w:t xml:space="preserve">Do </w:t>
      </w:r>
      <w:r w:rsidRPr="007567A8">
        <w:rPr>
          <w:rFonts w:ascii="Arial" w:hAnsi="Arial" w:cs="Arial"/>
          <w:b/>
          <w:i w:val="0"/>
          <w:color w:val="auto"/>
          <w:sz w:val="22"/>
          <w:szCs w:val="22"/>
          <w:u w:val="single"/>
          <w:lang w:val="en-GB"/>
        </w:rPr>
        <w:t>not</w:t>
      </w:r>
      <w:r w:rsidRPr="007567A8">
        <w:rPr>
          <w:rFonts w:ascii="Arial" w:hAnsi="Arial" w:cs="Arial"/>
          <w:b/>
          <w:i w:val="0"/>
          <w:color w:val="auto"/>
          <w:sz w:val="22"/>
          <w:szCs w:val="22"/>
          <w:lang w:val="en-GB"/>
        </w:rPr>
        <w:t xml:space="preserve"> use </w:t>
      </w:r>
      <w:r w:rsidRPr="007567A8" w:rsidDel="0001278F">
        <w:rPr>
          <w:rFonts w:ascii="Arial" w:hAnsi="Arial" w:cs="Arial"/>
          <w:b/>
          <w:i w:val="0"/>
          <w:color w:val="auto"/>
          <w:sz w:val="22"/>
          <w:szCs w:val="22"/>
          <w:lang w:val="en-GB"/>
        </w:rPr>
        <w:t xml:space="preserve">if </w:t>
      </w:r>
      <w:r w:rsidRPr="007567A8">
        <w:rPr>
          <w:rFonts w:ascii="Arial" w:hAnsi="Arial" w:cs="Arial"/>
          <w:b/>
          <w:i w:val="0"/>
          <w:color w:val="auto"/>
          <w:sz w:val="22"/>
          <w:szCs w:val="22"/>
          <w:lang w:val="en-GB"/>
        </w:rPr>
        <w:t>solution is cloudy or has precipitated</w:t>
      </w:r>
      <w:r w:rsidRPr="007567A8">
        <w:rPr>
          <w:rFonts w:ascii="Arial" w:hAnsi="Arial" w:cs="Arial"/>
          <w:i w:val="0"/>
          <w:color w:val="auto"/>
          <w:sz w:val="22"/>
          <w:szCs w:val="22"/>
          <w:lang w:val="en-GB"/>
        </w:rPr>
        <w:t>.</w:t>
      </w:r>
    </w:p>
    <w:p w:rsidR="00E36CA6"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Using a 5 mL syringe, aseptically transfer 10.7 mL of reconstituted </w:t>
      </w:r>
      <w:proofErr w:type="spellStart"/>
      <w:r w:rsidRPr="007567A8">
        <w:rPr>
          <w:rFonts w:ascii="Arial" w:hAnsi="Arial" w:cs="Arial"/>
          <w:i w:val="0"/>
          <w:color w:val="auto"/>
          <w:sz w:val="22"/>
          <w:szCs w:val="22"/>
          <w:lang w:val="en-GB"/>
        </w:rPr>
        <w:t>Blincyto</w:t>
      </w:r>
      <w:proofErr w:type="spellEnd"/>
      <w:r w:rsidRPr="007567A8">
        <w:rPr>
          <w:rFonts w:ascii="Arial" w:hAnsi="Arial" w:cs="Arial"/>
          <w:i w:val="0"/>
          <w:color w:val="auto"/>
          <w:sz w:val="22"/>
          <w:szCs w:val="22"/>
          <w:lang w:val="en-GB"/>
        </w:rPr>
        <w:t xml:space="preserve"> into the IV bag (3.0 mL from each of the first three vials and the remaining</w:t>
      </w:r>
      <w:r w:rsidR="00656BCF">
        <w:rPr>
          <w:rFonts w:ascii="Arial" w:hAnsi="Arial" w:cs="Arial"/>
          <w:i w:val="0"/>
          <w:color w:val="auto"/>
          <w:sz w:val="22"/>
          <w:szCs w:val="22"/>
          <w:lang w:val="en-GB"/>
        </w:rPr>
        <w:t xml:space="preserve"> 1.7 mL from the fourth vial). </w:t>
      </w:r>
      <w:r w:rsidRPr="007567A8">
        <w:rPr>
          <w:rFonts w:ascii="Arial" w:hAnsi="Arial" w:cs="Arial"/>
          <w:i w:val="0"/>
          <w:color w:val="auto"/>
          <w:sz w:val="22"/>
          <w:szCs w:val="22"/>
          <w:lang w:val="en-GB"/>
        </w:rPr>
        <w:t>Gently mix the contents of the bag to avoid foaming.</w:t>
      </w:r>
    </w:p>
    <w:p w:rsidR="00E36CA6"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Under aseptic conditions, attach the IV tubing to the IV bag with the sterile 0.2 micron in-line filter.</w:t>
      </w:r>
    </w:p>
    <w:p w:rsidR="007925BA" w:rsidRPr="007567A8"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Remove air from the IV bag and prime the IV line </w:t>
      </w:r>
      <w:r w:rsidRPr="007567A8">
        <w:rPr>
          <w:rFonts w:ascii="Arial" w:hAnsi="Arial" w:cs="Arial"/>
          <w:b/>
          <w:i w:val="0"/>
          <w:color w:val="auto"/>
          <w:sz w:val="22"/>
          <w:szCs w:val="22"/>
          <w:lang w:val="en-GB"/>
        </w:rPr>
        <w:t xml:space="preserve">only </w:t>
      </w:r>
      <w:r w:rsidRPr="007567A8">
        <w:rPr>
          <w:rFonts w:ascii="Arial" w:hAnsi="Arial" w:cs="Arial"/>
          <w:i w:val="0"/>
          <w:color w:val="auto"/>
          <w:sz w:val="22"/>
          <w:szCs w:val="22"/>
          <w:lang w:val="en-GB"/>
        </w:rPr>
        <w:t xml:space="preserve">with the prepared solution for infusion. </w:t>
      </w:r>
      <w:r w:rsidRPr="007567A8">
        <w:rPr>
          <w:rFonts w:ascii="Arial" w:hAnsi="Arial" w:cs="Arial"/>
          <w:b/>
          <w:i w:val="0"/>
          <w:color w:val="auto"/>
          <w:sz w:val="22"/>
          <w:szCs w:val="22"/>
          <w:lang w:val="en-GB"/>
        </w:rPr>
        <w:t xml:space="preserve">Do not prime with 0.9% </w:t>
      </w:r>
      <w:r w:rsidR="00C5663D">
        <w:rPr>
          <w:rFonts w:ascii="Arial" w:hAnsi="Arial" w:cs="Arial"/>
          <w:b/>
          <w:i w:val="0"/>
          <w:color w:val="auto"/>
          <w:sz w:val="22"/>
          <w:szCs w:val="22"/>
          <w:lang w:val="en-GB"/>
        </w:rPr>
        <w:t>s</w:t>
      </w:r>
      <w:r w:rsidRPr="007567A8">
        <w:rPr>
          <w:rFonts w:ascii="Arial" w:hAnsi="Arial" w:cs="Arial"/>
          <w:b/>
          <w:i w:val="0"/>
          <w:color w:val="auto"/>
          <w:sz w:val="22"/>
          <w:szCs w:val="22"/>
          <w:lang w:val="en-GB"/>
        </w:rPr>
        <w:t xml:space="preserve">odium </w:t>
      </w:r>
      <w:r w:rsidR="00C5663D">
        <w:rPr>
          <w:rFonts w:ascii="Arial" w:hAnsi="Arial" w:cs="Arial"/>
          <w:b/>
          <w:i w:val="0"/>
          <w:color w:val="auto"/>
          <w:sz w:val="22"/>
          <w:szCs w:val="22"/>
          <w:lang w:val="en-GB"/>
        </w:rPr>
        <w:t>c</w:t>
      </w:r>
      <w:r w:rsidRPr="007567A8">
        <w:rPr>
          <w:rFonts w:ascii="Arial" w:hAnsi="Arial" w:cs="Arial"/>
          <w:b/>
          <w:i w:val="0"/>
          <w:color w:val="auto"/>
          <w:sz w:val="22"/>
          <w:szCs w:val="22"/>
          <w:lang w:val="en-GB"/>
        </w:rPr>
        <w:t>hloride.</w:t>
      </w:r>
    </w:p>
    <w:p w:rsidR="00E36CA6" w:rsidRDefault="007925BA" w:rsidP="00EA2DF3">
      <w:pPr>
        <w:pStyle w:val="TextItalicized"/>
        <w:numPr>
          <w:ilvl w:val="0"/>
          <w:numId w:val="18"/>
        </w:numPr>
        <w:rPr>
          <w:rFonts w:ascii="Arial" w:hAnsi="Arial" w:cs="Arial"/>
          <w:i w:val="0"/>
          <w:color w:val="auto"/>
          <w:sz w:val="22"/>
          <w:szCs w:val="22"/>
          <w:lang w:val="en-GB"/>
        </w:rPr>
      </w:pPr>
      <w:r w:rsidRPr="007567A8">
        <w:rPr>
          <w:rFonts w:ascii="Arial" w:hAnsi="Arial" w:cs="Arial"/>
          <w:i w:val="0"/>
          <w:color w:val="auto"/>
          <w:sz w:val="22"/>
          <w:szCs w:val="22"/>
          <w:lang w:val="en-GB"/>
        </w:rPr>
        <w:t xml:space="preserve">Store at </w:t>
      </w:r>
      <w:r w:rsidRPr="007567A8">
        <w:rPr>
          <w:rFonts w:ascii="Arial" w:hAnsi="Arial" w:cs="Arial"/>
          <w:bCs/>
          <w:i w:val="0"/>
          <w:sz w:val="22"/>
          <w:szCs w:val="22"/>
          <w:lang w:val="en-GB" w:eastAsia="zh-TW"/>
        </w:rPr>
        <w:t>2°C to 8°C</w:t>
      </w:r>
      <w:r w:rsidRPr="007567A8">
        <w:rPr>
          <w:rFonts w:ascii="Arial" w:hAnsi="Arial" w:cs="Arial"/>
          <w:b/>
          <w:bCs/>
          <w:sz w:val="22"/>
          <w:szCs w:val="22"/>
          <w:lang w:val="en-GB" w:eastAsia="zh-TW"/>
        </w:rPr>
        <w:t xml:space="preserve"> </w:t>
      </w:r>
      <w:r w:rsidRPr="007567A8">
        <w:rPr>
          <w:rFonts w:ascii="Arial" w:hAnsi="Arial" w:cs="Arial"/>
          <w:i w:val="0"/>
          <w:color w:val="auto"/>
          <w:sz w:val="22"/>
          <w:szCs w:val="22"/>
          <w:lang w:val="en-GB"/>
        </w:rPr>
        <w:t>if not used immediately.</w:t>
      </w:r>
    </w:p>
    <w:p w:rsidR="00C33F0B" w:rsidRPr="00641665" w:rsidRDefault="00C33F0B" w:rsidP="00641665">
      <w:pPr>
        <w:pStyle w:val="Heading3"/>
        <w:numPr>
          <w:ilvl w:val="0"/>
          <w:numId w:val="35"/>
        </w:numPr>
        <w:rPr>
          <w:u w:val="none"/>
          <w:lang w:val="en-AU" w:eastAsia="en-AU"/>
        </w:rPr>
      </w:pPr>
      <w:r w:rsidRPr="00641665">
        <w:rPr>
          <w:u w:val="none"/>
          <w:lang w:val="en-AU" w:eastAsia="en-AU"/>
        </w:rPr>
        <w:t xml:space="preserve">Preparation of </w:t>
      </w:r>
      <w:proofErr w:type="spellStart"/>
      <w:r w:rsidRPr="00641665">
        <w:rPr>
          <w:u w:val="none"/>
          <w:lang w:val="en-AU" w:eastAsia="en-AU"/>
        </w:rPr>
        <w:t>Blincyto</w:t>
      </w:r>
      <w:proofErr w:type="spellEnd"/>
      <w:r w:rsidRPr="00641665">
        <w:rPr>
          <w:u w:val="none"/>
          <w:lang w:val="en-AU" w:eastAsia="en-AU"/>
        </w:rPr>
        <w:t xml:space="preserve"> Solution for Infusion using a 250 mL cassette</w:t>
      </w:r>
    </w:p>
    <w:p w:rsidR="00E36CA6" w:rsidRDefault="00CB6DE2" w:rsidP="00EA2DF3">
      <w:pPr>
        <w:keepNext/>
        <w:numPr>
          <w:ilvl w:val="0"/>
          <w:numId w:val="23"/>
        </w:numPr>
        <w:autoSpaceDE w:val="0"/>
        <w:autoSpaceDN w:val="0"/>
        <w:contextualSpacing/>
        <w:rPr>
          <w:rFonts w:cs="Arial"/>
          <w:color w:val="FF0000"/>
          <w:szCs w:val="22"/>
          <w:lang w:eastAsia="ja-JP"/>
        </w:rPr>
      </w:pPr>
      <w:r w:rsidRPr="00CB6DE2">
        <w:rPr>
          <w:rFonts w:cs="Arial"/>
          <w:szCs w:val="22"/>
          <w:lang w:eastAsia="ja-JP"/>
        </w:rPr>
        <w:t xml:space="preserve">Aseptically transfer sterile Sodium Chloride 0.9% Solution for Infusion into the cassette. The volume to transfer should be 250 mL </w:t>
      </w:r>
      <w:r w:rsidRPr="00CB6DE2">
        <w:rPr>
          <w:rFonts w:cs="Arial"/>
          <w:b/>
          <w:bCs/>
          <w:szCs w:val="22"/>
          <w:lang w:eastAsia="ja-JP"/>
        </w:rPr>
        <w:t>minus the required</w:t>
      </w:r>
      <w:r w:rsidRPr="00CB6DE2">
        <w:rPr>
          <w:rFonts w:cs="Arial"/>
          <w:szCs w:val="22"/>
          <w:lang w:eastAsia="ja-JP"/>
        </w:rPr>
        <w:t xml:space="preserve"> </w:t>
      </w:r>
      <w:r w:rsidRPr="00CB6DE2">
        <w:rPr>
          <w:rFonts w:cs="Arial"/>
          <w:b/>
          <w:bCs/>
          <w:szCs w:val="22"/>
          <w:lang w:eastAsia="ja-JP"/>
        </w:rPr>
        <w:t xml:space="preserve">volume for the IV solution </w:t>
      </w:r>
      <w:proofErr w:type="spellStart"/>
      <w:r w:rsidRPr="00CB6DE2">
        <w:rPr>
          <w:rFonts w:cs="Arial"/>
          <w:b/>
          <w:bCs/>
          <w:szCs w:val="22"/>
          <w:lang w:eastAsia="ja-JP"/>
        </w:rPr>
        <w:t>stabiliser</w:t>
      </w:r>
      <w:proofErr w:type="spellEnd"/>
      <w:r w:rsidRPr="00CB6DE2">
        <w:rPr>
          <w:rFonts w:cs="Arial"/>
          <w:b/>
          <w:bCs/>
          <w:szCs w:val="22"/>
          <w:lang w:eastAsia="ja-JP"/>
        </w:rPr>
        <w:t xml:space="preserve"> (5 mL) and reconstituted </w:t>
      </w:r>
      <w:proofErr w:type="spellStart"/>
      <w:r w:rsidRPr="00CB6DE2">
        <w:rPr>
          <w:rFonts w:cs="Arial"/>
          <w:b/>
          <w:bCs/>
          <w:szCs w:val="22"/>
          <w:lang w:eastAsia="ja-JP"/>
        </w:rPr>
        <w:t>Blincyto</w:t>
      </w:r>
      <w:proofErr w:type="spellEnd"/>
      <w:r w:rsidRPr="00CB6DE2">
        <w:rPr>
          <w:rFonts w:cs="Arial"/>
          <w:b/>
          <w:bCs/>
          <w:szCs w:val="22"/>
          <w:lang w:eastAsia="ja-JP"/>
        </w:rPr>
        <w:t xml:space="preserve"> (refer Table</w:t>
      </w:r>
      <w:r w:rsidR="0073613D">
        <w:rPr>
          <w:rFonts w:cs="Arial"/>
          <w:b/>
          <w:bCs/>
          <w:szCs w:val="22"/>
          <w:lang w:eastAsia="ja-JP"/>
        </w:rPr>
        <w:t xml:space="preserve"> 2</w:t>
      </w:r>
      <w:r w:rsidRPr="00CB6DE2">
        <w:rPr>
          <w:rFonts w:cs="Arial"/>
          <w:b/>
          <w:bCs/>
          <w:szCs w:val="22"/>
          <w:lang w:eastAsia="ja-JP"/>
        </w:rPr>
        <w:t>) to be added</w:t>
      </w:r>
      <w:r w:rsidRPr="00CB6DE2">
        <w:rPr>
          <w:rFonts w:cs="Arial"/>
          <w:szCs w:val="22"/>
          <w:lang w:eastAsia="ja-JP"/>
        </w:rPr>
        <w:t xml:space="preserve">.  For example, for a cassette that will deliver 9 </w:t>
      </w:r>
      <w:r w:rsidR="00AE642E">
        <w:rPr>
          <w:rFonts w:cs="Arial"/>
          <w:szCs w:val="22"/>
          <w:lang w:eastAsia="ja-JP"/>
        </w:rPr>
        <w:t>micrograms</w:t>
      </w:r>
      <w:r w:rsidRPr="00CB6DE2">
        <w:rPr>
          <w:rFonts w:cs="Arial"/>
          <w:szCs w:val="22"/>
          <w:lang w:eastAsia="ja-JP"/>
        </w:rPr>
        <w:t xml:space="preserve">/day over 96 hours, load 242 mL Sodium Chloride 0.9% Solution for Infusion into the cassette (250 mL minus 5 mL IV solution </w:t>
      </w:r>
      <w:proofErr w:type="spellStart"/>
      <w:r w:rsidRPr="00CB6DE2">
        <w:rPr>
          <w:rFonts w:cs="Arial"/>
          <w:szCs w:val="22"/>
          <w:lang w:eastAsia="ja-JP"/>
        </w:rPr>
        <w:t>stabiliser</w:t>
      </w:r>
      <w:proofErr w:type="spellEnd"/>
      <w:r w:rsidRPr="00CB6DE2">
        <w:rPr>
          <w:rFonts w:cs="Arial"/>
          <w:szCs w:val="22"/>
          <w:lang w:eastAsia="ja-JP"/>
        </w:rPr>
        <w:t xml:space="preserve"> minus 3 mL reconstituted </w:t>
      </w:r>
      <w:proofErr w:type="spellStart"/>
      <w:r w:rsidRPr="00CB6DE2">
        <w:rPr>
          <w:rFonts w:cs="Arial"/>
          <w:szCs w:val="22"/>
          <w:lang w:eastAsia="ja-JP"/>
        </w:rPr>
        <w:t>Blincyto</w:t>
      </w:r>
      <w:proofErr w:type="spellEnd"/>
      <w:r w:rsidRPr="00CB6DE2">
        <w:rPr>
          <w:rFonts w:cs="Arial"/>
          <w:szCs w:val="22"/>
          <w:lang w:eastAsia="ja-JP"/>
        </w:rPr>
        <w:t xml:space="preserve"> for a total volume of 242 mL)</w:t>
      </w:r>
      <w:r w:rsidRPr="00CB6DE2">
        <w:rPr>
          <w:rFonts w:cs="Arial"/>
          <w:color w:val="FF0000"/>
          <w:szCs w:val="22"/>
          <w:lang w:eastAsia="ja-JP"/>
        </w:rPr>
        <w:t xml:space="preserve">. </w:t>
      </w:r>
      <w:r w:rsidRPr="00CB6DE2">
        <w:rPr>
          <w:rFonts w:cs="Arial"/>
          <w:b/>
          <w:bCs/>
          <w:szCs w:val="22"/>
          <w:lang w:eastAsia="ja-JP"/>
        </w:rPr>
        <w:t xml:space="preserve">The final solution volume should equal 250 </w:t>
      </w:r>
      <w:proofErr w:type="spellStart"/>
      <w:r w:rsidRPr="00CB6DE2">
        <w:rPr>
          <w:rFonts w:cs="Arial"/>
          <w:b/>
          <w:bCs/>
          <w:szCs w:val="22"/>
          <w:lang w:eastAsia="ja-JP"/>
        </w:rPr>
        <w:t>mL</w:t>
      </w:r>
      <w:r w:rsidRPr="00CB6DE2">
        <w:rPr>
          <w:rFonts w:cs="Arial"/>
          <w:color w:val="FF0000"/>
          <w:szCs w:val="22"/>
          <w:lang w:eastAsia="ja-JP"/>
        </w:rPr>
        <w:t>.</w:t>
      </w:r>
      <w:proofErr w:type="spellEnd"/>
    </w:p>
    <w:p w:rsidR="00E36CA6" w:rsidRDefault="00CB6DE2" w:rsidP="00EA2DF3">
      <w:pPr>
        <w:keepNext/>
        <w:numPr>
          <w:ilvl w:val="0"/>
          <w:numId w:val="23"/>
        </w:numPr>
        <w:rPr>
          <w:rFonts w:cs="Arial"/>
          <w:szCs w:val="22"/>
          <w:lang w:eastAsia="ja-JP"/>
        </w:rPr>
      </w:pPr>
      <w:r w:rsidRPr="00CB6DE2">
        <w:rPr>
          <w:rFonts w:cs="Arial"/>
          <w:szCs w:val="22"/>
          <w:lang w:eastAsia="ja-JP"/>
        </w:rPr>
        <w:t xml:space="preserve">Using a 10 mL syringe, aseptically transfer 5 mL of IV solution </w:t>
      </w:r>
      <w:proofErr w:type="spellStart"/>
      <w:r w:rsidRPr="00CB6DE2">
        <w:rPr>
          <w:rFonts w:cs="Arial"/>
          <w:szCs w:val="22"/>
          <w:lang w:eastAsia="ja-JP"/>
        </w:rPr>
        <w:t>stabiliser</w:t>
      </w:r>
      <w:proofErr w:type="spellEnd"/>
      <w:r w:rsidRPr="00CB6DE2">
        <w:rPr>
          <w:rFonts w:cs="Arial"/>
          <w:szCs w:val="22"/>
          <w:lang w:eastAsia="ja-JP"/>
        </w:rPr>
        <w:t xml:space="preserve"> to the cassette. Gently mix the contents of the cassette to avoid foaming. Discard remaining IV solution </w:t>
      </w:r>
      <w:proofErr w:type="spellStart"/>
      <w:r w:rsidRPr="00CB6DE2">
        <w:rPr>
          <w:rFonts w:cs="Arial"/>
          <w:szCs w:val="22"/>
          <w:lang w:eastAsia="ja-JP"/>
        </w:rPr>
        <w:t>stabiliser</w:t>
      </w:r>
      <w:proofErr w:type="spellEnd"/>
      <w:r w:rsidRPr="00CB6DE2">
        <w:rPr>
          <w:rFonts w:cs="Arial"/>
          <w:szCs w:val="22"/>
          <w:lang w:eastAsia="ja-JP"/>
        </w:rPr>
        <w:t xml:space="preserve"> vial.</w:t>
      </w:r>
    </w:p>
    <w:p w:rsidR="00CB6DE2" w:rsidRPr="00CB6DE2" w:rsidRDefault="00CB6DE2" w:rsidP="00EA2DF3">
      <w:pPr>
        <w:keepNext/>
        <w:numPr>
          <w:ilvl w:val="0"/>
          <w:numId w:val="23"/>
        </w:numPr>
        <w:rPr>
          <w:rFonts w:cs="Arial"/>
          <w:szCs w:val="22"/>
          <w:lang w:eastAsia="ja-JP"/>
        </w:rPr>
      </w:pPr>
      <w:r w:rsidRPr="00CB6DE2">
        <w:rPr>
          <w:rFonts w:cs="Arial"/>
          <w:szCs w:val="22"/>
          <w:lang w:eastAsia="ja-JP"/>
        </w:rPr>
        <w:t xml:space="preserve">Refer to </w:t>
      </w:r>
      <w:r>
        <w:rPr>
          <w:rFonts w:cs="Arial"/>
          <w:szCs w:val="22"/>
          <w:lang w:eastAsia="ja-JP"/>
        </w:rPr>
        <w:t>T</w:t>
      </w:r>
      <w:r w:rsidRPr="00CB6DE2">
        <w:rPr>
          <w:rFonts w:cs="Arial"/>
          <w:szCs w:val="22"/>
          <w:lang w:eastAsia="ja-JP"/>
        </w:rPr>
        <w:t xml:space="preserve">able </w:t>
      </w:r>
      <w:r w:rsidR="0073613D">
        <w:rPr>
          <w:rFonts w:cs="Arial"/>
          <w:szCs w:val="22"/>
          <w:lang w:eastAsia="ja-JP"/>
        </w:rPr>
        <w:t>2</w:t>
      </w:r>
      <w:r w:rsidRPr="00CB6DE2">
        <w:rPr>
          <w:rFonts w:cs="Arial"/>
          <w:szCs w:val="22"/>
          <w:lang w:eastAsia="ja-JP"/>
        </w:rPr>
        <w:t xml:space="preserve"> for the expected number of </w:t>
      </w:r>
      <w:proofErr w:type="spellStart"/>
      <w:r w:rsidRPr="00CB6DE2">
        <w:rPr>
          <w:rFonts w:cs="Arial"/>
          <w:szCs w:val="22"/>
          <w:lang w:eastAsia="ja-JP"/>
        </w:rPr>
        <w:t>Blincyto</w:t>
      </w:r>
      <w:proofErr w:type="spellEnd"/>
      <w:r w:rsidRPr="00CB6DE2">
        <w:rPr>
          <w:rFonts w:cs="Arial"/>
          <w:szCs w:val="22"/>
          <w:lang w:eastAsia="ja-JP"/>
        </w:rPr>
        <w:t xml:space="preserve"> vials needed to prepare the required dose of </w:t>
      </w:r>
      <w:proofErr w:type="spellStart"/>
      <w:r w:rsidRPr="00CB6DE2">
        <w:rPr>
          <w:rFonts w:cs="Arial"/>
          <w:szCs w:val="22"/>
          <w:lang w:eastAsia="ja-JP"/>
        </w:rPr>
        <w:t>Blincyto</w:t>
      </w:r>
      <w:proofErr w:type="spellEnd"/>
      <w:r w:rsidRPr="00CB6DE2">
        <w:rPr>
          <w:rFonts w:cs="Arial"/>
          <w:szCs w:val="22"/>
          <w:lang w:eastAsia="ja-JP"/>
        </w:rPr>
        <w:t xml:space="preserve"> for the infusion duration. Using a 5 mL syringe, reconstitute each vial of </w:t>
      </w:r>
      <w:proofErr w:type="spellStart"/>
      <w:r w:rsidRPr="00CB6DE2">
        <w:rPr>
          <w:rFonts w:cs="Arial"/>
          <w:szCs w:val="22"/>
          <w:lang w:eastAsia="ja-JP"/>
        </w:rPr>
        <w:t>Blincyto</w:t>
      </w:r>
      <w:proofErr w:type="spellEnd"/>
      <w:r w:rsidRPr="00CB6DE2">
        <w:rPr>
          <w:rFonts w:cs="Arial"/>
          <w:szCs w:val="22"/>
          <w:lang w:eastAsia="ja-JP"/>
        </w:rPr>
        <w:t xml:space="preserve"> using 3 mL of preservative-free Sterile Water for Injections. Direct preservative-free Sterile Water for Injections toward the side of the vial during reconstitution. Gently swirl contents to avoid excess foaming. </w:t>
      </w:r>
      <w:r w:rsidRPr="00CB6DE2">
        <w:rPr>
          <w:rFonts w:cs="Arial"/>
          <w:b/>
          <w:bCs/>
          <w:szCs w:val="22"/>
          <w:lang w:eastAsia="ja-JP"/>
        </w:rPr>
        <w:t xml:space="preserve">Do </w:t>
      </w:r>
      <w:r w:rsidRPr="00CB6DE2">
        <w:rPr>
          <w:rFonts w:cs="Arial"/>
          <w:b/>
          <w:bCs/>
          <w:szCs w:val="22"/>
          <w:u w:val="single"/>
          <w:lang w:eastAsia="ja-JP"/>
        </w:rPr>
        <w:t>not</w:t>
      </w:r>
      <w:r w:rsidRPr="00CB6DE2">
        <w:rPr>
          <w:rFonts w:cs="Arial"/>
          <w:b/>
          <w:bCs/>
          <w:szCs w:val="22"/>
          <w:lang w:eastAsia="ja-JP"/>
        </w:rPr>
        <w:t xml:space="preserve"> shake</w:t>
      </w:r>
      <w:r w:rsidRPr="00CB6DE2">
        <w:rPr>
          <w:rFonts w:cs="Arial"/>
          <w:szCs w:val="22"/>
          <w:lang w:eastAsia="ja-JP"/>
        </w:rPr>
        <w:t>.</w:t>
      </w:r>
    </w:p>
    <w:p w:rsidR="00E36CA6" w:rsidRDefault="00CB6DE2" w:rsidP="003951D0">
      <w:pPr>
        <w:pStyle w:val="StyleListParagraphBold1"/>
        <w:numPr>
          <w:ilvl w:val="0"/>
          <w:numId w:val="2"/>
        </w:numPr>
        <w:rPr>
          <w:lang w:eastAsia="ja-JP"/>
        </w:rPr>
      </w:pPr>
      <w:r w:rsidRPr="00CB6DE2">
        <w:rPr>
          <w:lang w:eastAsia="ja-JP"/>
        </w:rPr>
        <w:t xml:space="preserve">Do </w:t>
      </w:r>
      <w:r w:rsidRPr="00CB6DE2">
        <w:rPr>
          <w:u w:val="single"/>
          <w:lang w:eastAsia="ja-JP"/>
        </w:rPr>
        <w:t>not</w:t>
      </w:r>
      <w:r w:rsidRPr="00CB6DE2">
        <w:rPr>
          <w:lang w:eastAsia="ja-JP"/>
        </w:rPr>
        <w:t xml:space="preserve"> reconstitute </w:t>
      </w:r>
      <w:proofErr w:type="spellStart"/>
      <w:r w:rsidRPr="00CB6DE2">
        <w:rPr>
          <w:lang w:eastAsia="ja-JP"/>
        </w:rPr>
        <w:t>Blincyto</w:t>
      </w:r>
      <w:proofErr w:type="spellEnd"/>
      <w:r w:rsidRPr="00CB6DE2">
        <w:rPr>
          <w:lang w:eastAsia="ja-JP"/>
        </w:rPr>
        <w:t xml:space="preserve"> with IV solution </w:t>
      </w:r>
      <w:proofErr w:type="spellStart"/>
      <w:r w:rsidRPr="00CB6DE2">
        <w:rPr>
          <w:lang w:eastAsia="ja-JP"/>
        </w:rPr>
        <w:t>stabiliser</w:t>
      </w:r>
      <w:proofErr w:type="spellEnd"/>
      <w:r w:rsidRPr="00CB6DE2">
        <w:rPr>
          <w:lang w:eastAsia="ja-JP"/>
        </w:rPr>
        <w:t>.</w:t>
      </w:r>
    </w:p>
    <w:p w:rsidR="00E36CA6" w:rsidRDefault="00CB6DE2" w:rsidP="003951D0">
      <w:pPr>
        <w:pStyle w:val="ListParagraph"/>
        <w:numPr>
          <w:ilvl w:val="0"/>
          <w:numId w:val="2"/>
        </w:numPr>
        <w:rPr>
          <w:lang w:eastAsia="ja-JP"/>
        </w:rPr>
      </w:pPr>
      <w:r w:rsidRPr="00CB6DE2">
        <w:rPr>
          <w:lang w:eastAsia="ja-JP"/>
        </w:rPr>
        <w:t xml:space="preserve">The addition of preservative-free Sterile Water for Injections to the </w:t>
      </w:r>
      <w:proofErr w:type="spellStart"/>
      <w:r w:rsidRPr="00CB6DE2">
        <w:rPr>
          <w:lang w:eastAsia="ja-JP"/>
        </w:rPr>
        <w:t>lyophilised</w:t>
      </w:r>
      <w:proofErr w:type="spellEnd"/>
      <w:r w:rsidRPr="00CB6DE2">
        <w:rPr>
          <w:lang w:eastAsia="ja-JP"/>
        </w:rPr>
        <w:t xml:space="preserve"> powder results in a total volume of 3.1 mL for a final </w:t>
      </w:r>
      <w:proofErr w:type="spellStart"/>
      <w:r w:rsidRPr="00CB6DE2">
        <w:rPr>
          <w:lang w:eastAsia="ja-JP"/>
        </w:rPr>
        <w:t>Blincyto</w:t>
      </w:r>
      <w:proofErr w:type="spellEnd"/>
      <w:r w:rsidRPr="00CB6DE2">
        <w:rPr>
          <w:lang w:eastAsia="ja-JP"/>
        </w:rPr>
        <w:t xml:space="preserve"> conce</w:t>
      </w:r>
      <w:r w:rsidR="00D95F66">
        <w:rPr>
          <w:lang w:eastAsia="ja-JP"/>
        </w:rPr>
        <w:t xml:space="preserve">ntration of 12.5 </w:t>
      </w:r>
      <w:r w:rsidR="00D95F66" w:rsidRPr="00D95F66">
        <w:t>micrograms</w:t>
      </w:r>
      <w:r w:rsidR="00D95F66" w:rsidRPr="00D95F66">
        <w:rPr>
          <w:lang w:eastAsia="ja-JP"/>
        </w:rPr>
        <w:t>/</w:t>
      </w:r>
      <w:proofErr w:type="spellStart"/>
      <w:r w:rsidRPr="00CB6DE2">
        <w:rPr>
          <w:lang w:eastAsia="ja-JP"/>
        </w:rPr>
        <w:t>mL.</w:t>
      </w:r>
      <w:proofErr w:type="spellEnd"/>
    </w:p>
    <w:p w:rsidR="00E36CA6" w:rsidRDefault="00CB6DE2" w:rsidP="00EA2DF3">
      <w:pPr>
        <w:keepNext/>
        <w:numPr>
          <w:ilvl w:val="0"/>
          <w:numId w:val="23"/>
        </w:numPr>
        <w:rPr>
          <w:rFonts w:cs="Arial"/>
          <w:szCs w:val="22"/>
          <w:lang w:eastAsia="ja-JP"/>
        </w:rPr>
      </w:pPr>
      <w:r w:rsidRPr="00CB6DE2">
        <w:rPr>
          <w:rFonts w:cs="Arial"/>
          <w:szCs w:val="22"/>
          <w:lang w:eastAsia="ja-JP"/>
        </w:rPr>
        <w:t xml:space="preserve">Visually inspect the reconstituted solution for particulate matter and discoloration during reconstitution and prior to infusion. The resulting solution should be clear to </w:t>
      </w:r>
      <w:r w:rsidRPr="00CB6DE2">
        <w:rPr>
          <w:rFonts w:cs="Arial"/>
          <w:szCs w:val="22"/>
          <w:lang w:eastAsia="ja-JP"/>
        </w:rPr>
        <w:lastRenderedPageBreak/>
        <w:t xml:space="preserve">slightly opalescent, </w:t>
      </w:r>
      <w:proofErr w:type="spellStart"/>
      <w:r w:rsidRPr="00CB6DE2">
        <w:rPr>
          <w:rFonts w:cs="Arial"/>
          <w:szCs w:val="22"/>
          <w:lang w:eastAsia="ja-JP"/>
        </w:rPr>
        <w:t>colourless</w:t>
      </w:r>
      <w:proofErr w:type="spellEnd"/>
      <w:r w:rsidRPr="00CB6DE2">
        <w:rPr>
          <w:rFonts w:cs="Arial"/>
          <w:szCs w:val="22"/>
          <w:lang w:eastAsia="ja-JP"/>
        </w:rPr>
        <w:t xml:space="preserve"> to slightly yellow. </w:t>
      </w:r>
      <w:r w:rsidRPr="00CB6DE2">
        <w:rPr>
          <w:rFonts w:cs="Arial"/>
          <w:b/>
          <w:bCs/>
          <w:szCs w:val="22"/>
          <w:lang w:eastAsia="ja-JP"/>
        </w:rPr>
        <w:t xml:space="preserve">Do </w:t>
      </w:r>
      <w:r w:rsidRPr="00CB6DE2">
        <w:rPr>
          <w:rFonts w:cs="Arial"/>
          <w:b/>
          <w:bCs/>
          <w:szCs w:val="22"/>
          <w:u w:val="single"/>
          <w:lang w:eastAsia="ja-JP"/>
        </w:rPr>
        <w:t>not</w:t>
      </w:r>
      <w:r w:rsidRPr="00CB6DE2">
        <w:rPr>
          <w:rFonts w:cs="Arial"/>
          <w:b/>
          <w:bCs/>
          <w:szCs w:val="22"/>
          <w:lang w:eastAsia="ja-JP"/>
        </w:rPr>
        <w:t xml:space="preserve"> use if solution is cloudy or has precipitated</w:t>
      </w:r>
      <w:r w:rsidRPr="00CB6DE2">
        <w:rPr>
          <w:rFonts w:cs="Arial"/>
          <w:szCs w:val="22"/>
          <w:lang w:eastAsia="ja-JP"/>
        </w:rPr>
        <w:t>.</w:t>
      </w:r>
    </w:p>
    <w:p w:rsidR="00E36CA6" w:rsidRDefault="00CB6DE2" w:rsidP="00EA2DF3">
      <w:pPr>
        <w:keepNext/>
        <w:numPr>
          <w:ilvl w:val="0"/>
          <w:numId w:val="23"/>
        </w:numPr>
        <w:rPr>
          <w:rFonts w:cs="Arial"/>
          <w:szCs w:val="22"/>
          <w:lang w:eastAsia="ja-JP"/>
        </w:rPr>
      </w:pPr>
      <w:r w:rsidRPr="00CB6DE2">
        <w:rPr>
          <w:rFonts w:cs="Arial"/>
          <w:szCs w:val="22"/>
          <w:lang w:eastAsia="ja-JP"/>
        </w:rPr>
        <w:t>Using an appropriate sized syringe, aseptically tran</w:t>
      </w:r>
      <w:r w:rsidR="000F2608">
        <w:rPr>
          <w:rFonts w:cs="Arial"/>
          <w:szCs w:val="22"/>
          <w:lang w:eastAsia="ja-JP"/>
        </w:rPr>
        <w:t>s</w:t>
      </w:r>
      <w:r w:rsidR="0073613D">
        <w:rPr>
          <w:rFonts w:cs="Arial"/>
          <w:szCs w:val="22"/>
          <w:lang w:eastAsia="ja-JP"/>
        </w:rPr>
        <w:t>fer the required volume (Table 2</w:t>
      </w:r>
      <w:r w:rsidRPr="00CB6DE2">
        <w:rPr>
          <w:rFonts w:cs="Arial"/>
          <w:szCs w:val="22"/>
          <w:lang w:eastAsia="ja-JP"/>
        </w:rPr>
        <w:t xml:space="preserve">) of reconstituted </w:t>
      </w:r>
      <w:proofErr w:type="spellStart"/>
      <w:r w:rsidRPr="00CB6DE2">
        <w:rPr>
          <w:rFonts w:cs="Arial"/>
          <w:szCs w:val="22"/>
          <w:lang w:eastAsia="ja-JP"/>
        </w:rPr>
        <w:t>Blincyto</w:t>
      </w:r>
      <w:proofErr w:type="spellEnd"/>
      <w:r w:rsidRPr="00CB6DE2">
        <w:rPr>
          <w:rFonts w:cs="Arial"/>
          <w:szCs w:val="22"/>
          <w:lang w:eastAsia="ja-JP"/>
        </w:rPr>
        <w:t xml:space="preserve"> into the cassette. Gently mix the contents of the cassette to avoid foaming.</w:t>
      </w:r>
    </w:p>
    <w:p w:rsidR="00E36CA6" w:rsidRDefault="00CB6DE2" w:rsidP="00CB6DE2">
      <w:pPr>
        <w:keepNext/>
        <w:ind w:left="360"/>
        <w:rPr>
          <w:rFonts w:cs="Arial"/>
          <w:szCs w:val="22"/>
          <w:lang w:eastAsia="ja-JP"/>
        </w:rPr>
      </w:pPr>
      <w:r w:rsidRPr="00CB6DE2">
        <w:rPr>
          <w:rFonts w:cs="Arial"/>
          <w:szCs w:val="22"/>
          <w:lang w:eastAsia="ja-JP"/>
        </w:rPr>
        <w:t xml:space="preserve">Redraw approximately 10 mL of fluid from the cassette and inject back to ensure no </w:t>
      </w:r>
      <w:proofErr w:type="spellStart"/>
      <w:r w:rsidRPr="00CB6DE2">
        <w:rPr>
          <w:rFonts w:cs="Arial"/>
          <w:szCs w:val="22"/>
          <w:lang w:eastAsia="ja-JP"/>
        </w:rPr>
        <w:t>blinatumomab</w:t>
      </w:r>
      <w:proofErr w:type="spellEnd"/>
      <w:r w:rsidRPr="00CB6DE2">
        <w:rPr>
          <w:rFonts w:cs="Arial"/>
          <w:szCs w:val="22"/>
          <w:lang w:eastAsia="ja-JP"/>
        </w:rPr>
        <w:t xml:space="preserve"> remains in the cassette line. Gently mix again.</w:t>
      </w:r>
    </w:p>
    <w:p w:rsidR="00E36CA6" w:rsidRDefault="00CB6DE2" w:rsidP="00EA2DF3">
      <w:pPr>
        <w:keepNext/>
        <w:numPr>
          <w:ilvl w:val="0"/>
          <w:numId w:val="23"/>
        </w:numPr>
        <w:rPr>
          <w:rFonts w:cs="Arial"/>
          <w:szCs w:val="22"/>
          <w:lang w:eastAsia="ja-JP"/>
        </w:rPr>
      </w:pPr>
      <w:r w:rsidRPr="00CB6DE2">
        <w:rPr>
          <w:rFonts w:cs="Arial"/>
          <w:szCs w:val="22"/>
          <w:lang w:eastAsia="ja-JP"/>
        </w:rPr>
        <w:t>Remove air from the cassette using a syringe. Under aseptic conditions, attach the IV tubing with the sterile 0.2 micron in-line filter to the cassette.</w:t>
      </w:r>
    </w:p>
    <w:p w:rsidR="00CB6DE2" w:rsidRPr="00CB6DE2" w:rsidRDefault="00CB6DE2" w:rsidP="00EA2DF3">
      <w:pPr>
        <w:keepNext/>
        <w:numPr>
          <w:ilvl w:val="0"/>
          <w:numId w:val="23"/>
        </w:numPr>
        <w:rPr>
          <w:rFonts w:cs="Arial"/>
          <w:szCs w:val="22"/>
          <w:lang w:eastAsia="ja-JP"/>
        </w:rPr>
      </w:pPr>
      <w:r w:rsidRPr="00CB6DE2">
        <w:rPr>
          <w:rFonts w:cs="Arial"/>
          <w:szCs w:val="22"/>
          <w:lang w:eastAsia="ja-JP"/>
        </w:rPr>
        <w:t xml:space="preserve">Prime the IV line </w:t>
      </w:r>
      <w:r w:rsidRPr="00CB6DE2">
        <w:rPr>
          <w:rFonts w:cs="Arial"/>
          <w:b/>
          <w:bCs/>
          <w:szCs w:val="22"/>
          <w:lang w:eastAsia="ja-JP"/>
        </w:rPr>
        <w:t xml:space="preserve">only </w:t>
      </w:r>
      <w:r w:rsidRPr="00CB6DE2">
        <w:rPr>
          <w:rFonts w:cs="Arial"/>
          <w:szCs w:val="22"/>
          <w:lang w:eastAsia="ja-JP"/>
        </w:rPr>
        <w:t>with the prepared solution for infusion. </w:t>
      </w:r>
      <w:r w:rsidRPr="00CB6DE2">
        <w:rPr>
          <w:rFonts w:cs="Arial"/>
          <w:b/>
          <w:bCs/>
          <w:szCs w:val="22"/>
          <w:lang w:eastAsia="ja-JP"/>
        </w:rPr>
        <w:t>Do not prime with 0.9% Sodium Chloride.</w:t>
      </w:r>
    </w:p>
    <w:p w:rsidR="00CB6DE2" w:rsidRPr="00CB6DE2" w:rsidRDefault="00CB6DE2" w:rsidP="00EA2DF3">
      <w:pPr>
        <w:numPr>
          <w:ilvl w:val="0"/>
          <w:numId w:val="23"/>
        </w:numPr>
        <w:rPr>
          <w:rFonts w:cs="Arial"/>
          <w:szCs w:val="22"/>
          <w:lang w:val="en-AU"/>
        </w:rPr>
      </w:pPr>
      <w:r w:rsidRPr="00CB6DE2">
        <w:rPr>
          <w:rFonts w:cs="Arial"/>
          <w:szCs w:val="22"/>
          <w:lang w:eastAsia="ja-JP"/>
        </w:rPr>
        <w:t xml:space="preserve">Store at </w:t>
      </w:r>
      <w:r w:rsidRPr="00CB6DE2">
        <w:rPr>
          <w:rFonts w:cs="Arial"/>
          <w:szCs w:val="22"/>
          <w:lang w:val="en-GB" w:eastAsia="zh-TW"/>
        </w:rPr>
        <w:t>2°C to 8°C</w:t>
      </w:r>
      <w:r w:rsidRPr="00CB6DE2">
        <w:rPr>
          <w:rFonts w:cs="Arial"/>
          <w:b/>
          <w:bCs/>
          <w:szCs w:val="22"/>
          <w:lang w:val="en-GB" w:eastAsia="zh-TW"/>
        </w:rPr>
        <w:t xml:space="preserve"> </w:t>
      </w:r>
      <w:r w:rsidRPr="00CB6DE2">
        <w:rPr>
          <w:rFonts w:cs="Arial"/>
          <w:szCs w:val="22"/>
          <w:lang w:eastAsia="ja-JP"/>
        </w:rPr>
        <w:t>if not used immediately.</w:t>
      </w:r>
    </w:p>
    <w:p w:rsidR="00CB6DE2" w:rsidRDefault="00417FBE" w:rsidP="00417FBE">
      <w:pPr>
        <w:pStyle w:val="Caption"/>
        <w:rPr>
          <w:rFonts w:ascii="Times New Roman" w:hAnsi="Times New Roman"/>
          <w:sz w:val="24"/>
          <w:lang w:val="en-GB"/>
        </w:rPr>
      </w:pPr>
      <w:proofErr w:type="gramStart"/>
      <w:r>
        <w:t>Table </w:t>
      </w:r>
      <w:r>
        <w:fldChar w:fldCharType="begin"/>
      </w:r>
      <w:r>
        <w:instrText xml:space="preserve"> SEQ Table \* ARABIC </w:instrText>
      </w:r>
      <w:r>
        <w:fldChar w:fldCharType="separate"/>
      </w:r>
      <w:r w:rsidR="00B47022">
        <w:rPr>
          <w:noProof/>
        </w:rPr>
        <w:t>2</w:t>
      </w:r>
      <w:r>
        <w:fldChar w:fldCharType="end"/>
      </w:r>
      <w:r>
        <w:t>.</w:t>
      </w:r>
      <w:proofErr w:type="gramEnd"/>
      <w:r>
        <w:t xml:space="preserve">  </w:t>
      </w:r>
      <w:r w:rsidR="00CB6DE2" w:rsidRPr="00417FBE">
        <w:t xml:space="preserve">Quantity of </w:t>
      </w:r>
      <w:proofErr w:type="spellStart"/>
      <w:r w:rsidR="00CB6DE2" w:rsidRPr="00417FBE">
        <w:t>Blincyto</w:t>
      </w:r>
      <w:proofErr w:type="spellEnd"/>
      <w:r w:rsidR="00CB6DE2" w:rsidRPr="00417FBE">
        <w:t xml:space="preserve"> (</w:t>
      </w:r>
      <w:proofErr w:type="spellStart"/>
      <w:r w:rsidR="00CB6DE2" w:rsidRPr="00417FBE">
        <w:t>blinatumomab</w:t>
      </w:r>
      <w:proofErr w:type="spellEnd"/>
      <w:r w:rsidR="00CB6DE2" w:rsidRPr="00417FBE">
        <w:t>) required for 250 mL cassette</w:t>
      </w:r>
    </w:p>
    <w:tbl>
      <w:tblPr>
        <w:tblW w:w="0" w:type="auto"/>
        <w:tblInd w:w="108" w:type="dxa"/>
        <w:tblCellMar>
          <w:left w:w="0" w:type="dxa"/>
          <w:right w:w="0" w:type="dxa"/>
        </w:tblCellMar>
        <w:tblLook w:val="04A0" w:firstRow="1" w:lastRow="0" w:firstColumn="1" w:lastColumn="0" w:noHBand="0" w:noVBand="1"/>
        <w:tblDescription w:val="Table 2.  Quantity of Blincyto (blinatumomab) required for 250 mL cassette"/>
      </w:tblPr>
      <w:tblGrid>
        <w:gridCol w:w="1610"/>
        <w:gridCol w:w="895"/>
        <w:gridCol w:w="896"/>
        <w:gridCol w:w="896"/>
        <w:gridCol w:w="896"/>
        <w:gridCol w:w="896"/>
        <w:gridCol w:w="896"/>
        <w:gridCol w:w="896"/>
        <w:gridCol w:w="896"/>
      </w:tblGrid>
      <w:tr w:rsidR="00601BD4" w:rsidTr="003951D0">
        <w:trPr>
          <w:trHeight w:val="447"/>
          <w:tblHeader/>
        </w:trPr>
        <w:tc>
          <w:tcPr>
            <w:tcW w:w="1598" w:type="dxa"/>
            <w:tcBorders>
              <w:top w:val="single" w:sz="8" w:space="0" w:color="auto"/>
              <w:left w:val="single" w:sz="8" w:space="0" w:color="auto"/>
              <w:bottom w:val="single" w:sz="8" w:space="0" w:color="auto"/>
              <w:right w:val="single" w:sz="12" w:space="0" w:color="auto"/>
            </w:tcBorders>
            <w:tcMar>
              <w:top w:w="0" w:type="dxa"/>
              <w:left w:w="108" w:type="dxa"/>
              <w:bottom w:w="0" w:type="dxa"/>
              <w:right w:w="108" w:type="dxa"/>
            </w:tcMar>
            <w:hideMark/>
          </w:tcPr>
          <w:p w:rsidR="00CB6DE2" w:rsidRPr="00417FBE" w:rsidRDefault="00CB6DE2" w:rsidP="00417FBE">
            <w:pPr>
              <w:pStyle w:val="TableLeftAlign"/>
              <w:rPr>
                <w:rFonts w:ascii="Times New Roman" w:hAnsi="Times New Roman"/>
                <w:b/>
                <w:sz w:val="24"/>
              </w:rPr>
            </w:pPr>
            <w:r w:rsidRPr="00417FBE">
              <w:rPr>
                <w:b/>
              </w:rPr>
              <w:t>Dose per day</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9 </w:t>
            </w:r>
            <w:r w:rsidR="00601BD4" w:rsidRPr="00417FBE">
              <w:rPr>
                <w:b/>
              </w:rPr>
              <w:t>mc</w:t>
            </w:r>
            <w:r w:rsidRPr="00417FBE">
              <w:rPr>
                <w:b/>
              </w:rPr>
              <w:t>g</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9 </w:t>
            </w:r>
            <w:r w:rsidR="00601BD4" w:rsidRPr="00417FBE">
              <w:rPr>
                <w:b/>
              </w:rPr>
              <w:t>mcg</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9 </w:t>
            </w:r>
            <w:r w:rsidR="00601BD4" w:rsidRPr="00417FBE">
              <w:rPr>
                <w:b/>
              </w:rPr>
              <w:t>mcg</w:t>
            </w:r>
          </w:p>
        </w:tc>
        <w:tc>
          <w:tcPr>
            <w:tcW w:w="1246" w:type="dxa"/>
            <w:tcBorders>
              <w:top w:val="single" w:sz="8" w:space="0" w:color="auto"/>
              <w:left w:val="nil"/>
              <w:bottom w:val="single" w:sz="8" w:space="0" w:color="auto"/>
              <w:right w:val="single" w:sz="12"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9 </w:t>
            </w:r>
            <w:r w:rsidR="00601BD4" w:rsidRPr="00417FBE">
              <w:rPr>
                <w:b/>
              </w:rPr>
              <w:t>mcg</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28 </w:t>
            </w:r>
            <w:r w:rsidR="00601BD4" w:rsidRPr="00417FBE">
              <w:rPr>
                <w:b/>
              </w:rPr>
              <w:t>mcg</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28 </w:t>
            </w:r>
            <w:r w:rsidR="00601BD4" w:rsidRPr="00417FBE">
              <w:rPr>
                <w:b/>
              </w:rPr>
              <w:t>mcg</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28 </w:t>
            </w:r>
            <w:r w:rsidR="00601BD4" w:rsidRPr="00417FBE">
              <w:rPr>
                <w:b/>
              </w:rPr>
              <w:t>mcg</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DE2" w:rsidRPr="00417FBE" w:rsidRDefault="00CB6DE2" w:rsidP="00417FBE">
            <w:pPr>
              <w:pStyle w:val="TableCenterAlign"/>
              <w:rPr>
                <w:rFonts w:ascii="Times New Roman" w:hAnsi="Times New Roman"/>
                <w:b/>
                <w:sz w:val="24"/>
              </w:rPr>
            </w:pPr>
            <w:r w:rsidRPr="00417FBE">
              <w:rPr>
                <w:b/>
              </w:rPr>
              <w:t xml:space="preserve">28 </w:t>
            </w:r>
            <w:r w:rsidR="00601BD4" w:rsidRPr="00417FBE">
              <w:rPr>
                <w:b/>
              </w:rPr>
              <w:t>mcg</w:t>
            </w:r>
          </w:p>
        </w:tc>
      </w:tr>
      <w:tr w:rsidR="00601BD4" w:rsidTr="00CB6DE2">
        <w:trPr>
          <w:trHeight w:val="637"/>
        </w:trPr>
        <w:tc>
          <w:tcPr>
            <w:tcW w:w="1598"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rsidR="00CB6DE2" w:rsidRPr="00417FBE" w:rsidRDefault="00CB6DE2" w:rsidP="00417FBE">
            <w:pPr>
              <w:pStyle w:val="TableLeftAlign"/>
              <w:rPr>
                <w:rFonts w:ascii="Times New Roman" w:hAnsi="Times New Roman"/>
                <w:b/>
                <w:sz w:val="24"/>
              </w:rPr>
            </w:pPr>
            <w:r w:rsidRPr="00417FBE">
              <w:rPr>
                <w:b/>
              </w:rPr>
              <w:t>Cassette duration</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24 hour</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48 hour</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72 hour</w:t>
            </w:r>
          </w:p>
        </w:tc>
        <w:tc>
          <w:tcPr>
            <w:tcW w:w="1246" w:type="dxa"/>
            <w:tcBorders>
              <w:top w:val="nil"/>
              <w:left w:val="nil"/>
              <w:bottom w:val="single" w:sz="8" w:space="0" w:color="auto"/>
              <w:right w:val="single" w:sz="12"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96 hour</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24 hour</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48 hour</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72 hour</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t>96 hour</w:t>
            </w:r>
          </w:p>
        </w:tc>
      </w:tr>
      <w:tr w:rsidR="00601BD4" w:rsidTr="00CB6DE2">
        <w:tc>
          <w:tcPr>
            <w:tcW w:w="1598"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rsidR="00CB6DE2" w:rsidRPr="00417FBE" w:rsidRDefault="00CB6DE2" w:rsidP="00417FBE">
            <w:pPr>
              <w:pStyle w:val="TableLeftAlign"/>
              <w:rPr>
                <w:b/>
              </w:rPr>
            </w:pPr>
            <w:r w:rsidRPr="00417FBE">
              <w:rPr>
                <w:b/>
              </w:rPr>
              <w:t xml:space="preserve">Expected Number of </w:t>
            </w:r>
            <w:proofErr w:type="spellStart"/>
            <w:r w:rsidRPr="00417FBE">
              <w:rPr>
                <w:b/>
              </w:rPr>
              <w:t>Blincyto</w:t>
            </w:r>
            <w:proofErr w:type="spellEnd"/>
            <w:r w:rsidRPr="00417FBE">
              <w:rPr>
                <w:b/>
              </w:rPr>
              <w:t xml:space="preserve"> vials required</w:t>
            </w:r>
            <w:r w:rsidR="00B67312" w:rsidRPr="00417FBE">
              <w:rPr>
                <w:b/>
              </w:rPr>
              <w:t>*</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1</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1</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1</w:t>
            </w:r>
          </w:p>
        </w:tc>
        <w:tc>
          <w:tcPr>
            <w:tcW w:w="1246" w:type="dxa"/>
            <w:tcBorders>
              <w:top w:val="nil"/>
              <w:left w:val="nil"/>
              <w:bottom w:val="single" w:sz="8" w:space="0" w:color="auto"/>
              <w:right w:val="single" w:sz="12" w:space="0" w:color="auto"/>
            </w:tcBorders>
            <w:tcMar>
              <w:top w:w="0" w:type="dxa"/>
              <w:left w:w="108" w:type="dxa"/>
              <w:bottom w:w="0" w:type="dxa"/>
              <w:right w:w="108" w:type="dxa"/>
            </w:tcMar>
            <w:hideMark/>
          </w:tcPr>
          <w:p w:rsidR="00CB6DE2" w:rsidRDefault="00CB6DE2" w:rsidP="00417FBE">
            <w:pPr>
              <w:pStyle w:val="TableCenterAlign"/>
              <w:rPr>
                <w:i/>
                <w:iCs/>
              </w:rPr>
            </w:pPr>
            <w:r>
              <w:rPr>
                <w:i/>
                <w:iCs/>
              </w:rPr>
              <w:t>2</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1</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3</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i/>
                <w:iCs/>
              </w:rPr>
            </w:pPr>
            <w:r>
              <w:rPr>
                <w:i/>
                <w:iCs/>
              </w:rPr>
              <w:t>4</w:t>
            </w:r>
          </w:p>
        </w:tc>
      </w:tr>
      <w:tr w:rsidR="00601BD4" w:rsidTr="00CB6DE2">
        <w:tc>
          <w:tcPr>
            <w:tcW w:w="1598"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rsidR="00CB6DE2" w:rsidRPr="00417FBE" w:rsidRDefault="00CB6DE2" w:rsidP="00417FBE">
            <w:pPr>
              <w:pStyle w:val="TableLeftAlign"/>
              <w:rPr>
                <w:rFonts w:ascii="Times New Roman" w:hAnsi="Times New Roman"/>
                <w:b/>
                <w:sz w:val="24"/>
              </w:rPr>
            </w:pPr>
            <w:r w:rsidRPr="00417FBE">
              <w:rPr>
                <w:b/>
              </w:rPr>
              <w:t xml:space="preserve">Volume of reconstituted </w:t>
            </w:r>
            <w:proofErr w:type="spellStart"/>
            <w:r w:rsidRPr="00417FBE">
              <w:rPr>
                <w:b/>
              </w:rPr>
              <w:t>Blincyto</w:t>
            </w:r>
            <w:proofErr w:type="spellEnd"/>
            <w:r w:rsidRPr="00417FBE">
              <w:rPr>
                <w:b/>
              </w:rPr>
              <w:t xml:space="preserve"> required for cassette</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0.75 mL</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1.5 mL</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2.3 mL</w:t>
            </w:r>
          </w:p>
        </w:tc>
        <w:tc>
          <w:tcPr>
            <w:tcW w:w="1246" w:type="dxa"/>
            <w:tcBorders>
              <w:top w:val="nil"/>
              <w:left w:val="nil"/>
              <w:bottom w:val="single" w:sz="8" w:space="0" w:color="auto"/>
              <w:right w:val="single" w:sz="12"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3.0 mL</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2.3 mL</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4.7 mL</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7.0 mL</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CB6DE2" w:rsidRDefault="00CB6DE2" w:rsidP="00417FBE">
            <w:pPr>
              <w:pStyle w:val="TableCenterAlign"/>
              <w:rPr>
                <w:rFonts w:ascii="Times New Roman" w:hAnsi="Times New Roman"/>
                <w:sz w:val="24"/>
              </w:rPr>
            </w:pPr>
            <w:r>
              <w:rPr>
                <w:i/>
                <w:iCs/>
              </w:rPr>
              <w:t>9.3 mL</w:t>
            </w:r>
          </w:p>
        </w:tc>
      </w:tr>
    </w:tbl>
    <w:p w:rsidR="00B67312" w:rsidRPr="00B67312" w:rsidRDefault="00B67312" w:rsidP="00417FBE">
      <w:pPr>
        <w:pStyle w:val="FootnoteText"/>
      </w:pPr>
      <w:r w:rsidRPr="00B67312">
        <w:t xml:space="preserve">*Extractable amount per vial is 35 </w:t>
      </w:r>
      <w:r w:rsidR="00601BD4">
        <w:t>micrograms</w:t>
      </w:r>
      <w:r>
        <w:t xml:space="preserve"> in a volume of 2.8 mL reconstituted solution</w:t>
      </w:r>
      <w:r w:rsidR="00DB5DEF">
        <w:t>.</w:t>
      </w:r>
    </w:p>
    <w:p w:rsidR="00767C0A" w:rsidRPr="007567A8" w:rsidRDefault="00417FBE" w:rsidP="003951D0">
      <w:pPr>
        <w:pStyle w:val="Heading2"/>
      </w:pPr>
      <w:r w:rsidRPr="003951D0">
        <w:t>OVERDOSAGE</w:t>
      </w:r>
    </w:p>
    <w:p w:rsidR="00D06CC3" w:rsidRPr="007567A8" w:rsidRDefault="00D06CC3" w:rsidP="00B47022">
      <w:pPr>
        <w:pStyle w:val="Text"/>
        <w:rPr>
          <w:lang w:val="en-GB"/>
        </w:rPr>
      </w:pPr>
      <w:r w:rsidRPr="007567A8">
        <w:rPr>
          <w:lang w:val="en-GB"/>
        </w:rPr>
        <w:t xml:space="preserve">Overdoses have been observed including one patient who received 133-fold the recommended therapeutic dose of </w:t>
      </w:r>
      <w:proofErr w:type="spellStart"/>
      <w:r w:rsidRPr="007567A8">
        <w:rPr>
          <w:lang w:val="en-GB"/>
        </w:rPr>
        <w:t>Blincyto</w:t>
      </w:r>
      <w:proofErr w:type="spellEnd"/>
      <w:r w:rsidRPr="007567A8">
        <w:rPr>
          <w:lang w:val="en-GB"/>
        </w:rPr>
        <w:t xml:space="preserve"> delivered over a short duration.  Overdoses resulted in adverse reactions which were consistent with the reactions observed at the recommended therapeutic dose and included fever, tremors, and headache.  In the event of overdose, the infusion should be temporarily interrupted and patients should be monitored.  Consider </w:t>
      </w:r>
      <w:proofErr w:type="spellStart"/>
      <w:r w:rsidRPr="007567A8">
        <w:rPr>
          <w:lang w:val="en-GB"/>
        </w:rPr>
        <w:t>reinitiation</w:t>
      </w:r>
      <w:proofErr w:type="spellEnd"/>
      <w:r w:rsidRPr="007567A8">
        <w:rPr>
          <w:lang w:val="en-GB"/>
        </w:rPr>
        <w:t xml:space="preserve"> of </w:t>
      </w:r>
      <w:proofErr w:type="spellStart"/>
      <w:r w:rsidRPr="007567A8">
        <w:rPr>
          <w:lang w:val="en-GB"/>
        </w:rPr>
        <w:t>Blincyto</w:t>
      </w:r>
      <w:proofErr w:type="spellEnd"/>
      <w:r w:rsidRPr="007567A8">
        <w:rPr>
          <w:lang w:val="en-GB"/>
        </w:rPr>
        <w:t xml:space="preserve"> at the correct therapeutic dose (see </w:t>
      </w:r>
      <w:r w:rsidR="003D4212" w:rsidRPr="007567A8">
        <w:rPr>
          <w:lang w:val="en-GB"/>
        </w:rPr>
        <w:t>DOSAGE AND ADMINISTRATION</w:t>
      </w:r>
      <w:r w:rsidRPr="007567A8">
        <w:rPr>
          <w:lang w:val="en-GB"/>
        </w:rPr>
        <w:t>).</w:t>
      </w:r>
    </w:p>
    <w:p w:rsidR="00767C0A" w:rsidRPr="007567A8" w:rsidRDefault="00767C0A" w:rsidP="003951D0">
      <w:pPr>
        <w:pStyle w:val="Heading2"/>
      </w:pPr>
      <w:r w:rsidRPr="007567A8">
        <w:t xml:space="preserve">PRESENTATION </w:t>
      </w:r>
      <w:r w:rsidRPr="003951D0">
        <w:t>AND</w:t>
      </w:r>
      <w:r w:rsidRPr="007567A8">
        <w:t xml:space="preserve"> STORAGE CONDITIONS</w:t>
      </w:r>
    </w:p>
    <w:p w:rsidR="00E36CA6" w:rsidRDefault="006634FB" w:rsidP="00B47022">
      <w:pPr>
        <w:pStyle w:val="Text"/>
        <w:rPr>
          <w:lang w:val="en-GB"/>
        </w:rPr>
      </w:pPr>
      <w:r w:rsidRPr="007567A8">
        <w:rPr>
          <w:lang w:val="en-GB"/>
        </w:rPr>
        <w:t xml:space="preserve">Pack size: 1 vial </w:t>
      </w:r>
      <w:proofErr w:type="spellStart"/>
      <w:r w:rsidRPr="007567A8">
        <w:rPr>
          <w:lang w:val="en-GB"/>
        </w:rPr>
        <w:t>Blincyto</w:t>
      </w:r>
      <w:proofErr w:type="spellEnd"/>
      <w:r w:rsidRPr="007567A8">
        <w:rPr>
          <w:lang w:val="en-GB"/>
        </w:rPr>
        <w:t xml:space="preserve"> and 1 vial </w:t>
      </w:r>
      <w:r w:rsidR="00F829DA">
        <w:rPr>
          <w:lang w:val="en-GB"/>
        </w:rPr>
        <w:t xml:space="preserve">IV </w:t>
      </w:r>
      <w:r w:rsidR="0089180A">
        <w:rPr>
          <w:lang w:val="en-GB"/>
        </w:rPr>
        <w:t xml:space="preserve">solution </w:t>
      </w:r>
      <w:r w:rsidR="000E4BB6">
        <w:rPr>
          <w:lang w:val="en-GB"/>
        </w:rPr>
        <w:t xml:space="preserve">stabiliser </w:t>
      </w:r>
      <w:r w:rsidR="0089180A">
        <w:rPr>
          <w:lang w:val="en-GB"/>
        </w:rPr>
        <w:t xml:space="preserve">for </w:t>
      </w:r>
      <w:proofErr w:type="spellStart"/>
      <w:r w:rsidR="0089180A">
        <w:rPr>
          <w:lang w:val="en-GB"/>
        </w:rPr>
        <w:t>Blincyto</w:t>
      </w:r>
      <w:proofErr w:type="spellEnd"/>
      <w:r w:rsidR="00C465B0">
        <w:rPr>
          <w:lang w:val="en-GB"/>
        </w:rPr>
        <w:t xml:space="preserve"> supplied in a composite pack</w:t>
      </w:r>
      <w:r w:rsidR="0089180A">
        <w:rPr>
          <w:lang w:val="en-GB"/>
        </w:rPr>
        <w:t>.</w:t>
      </w:r>
    </w:p>
    <w:p w:rsidR="008839B0" w:rsidRPr="007567A8" w:rsidRDefault="008839B0" w:rsidP="00B47022">
      <w:pPr>
        <w:pStyle w:val="Text"/>
        <w:rPr>
          <w:rFonts w:cs="Arial"/>
          <w:szCs w:val="22"/>
          <w:lang w:val="en-AU" w:eastAsia="en-AU"/>
        </w:rPr>
      </w:pPr>
      <w:r w:rsidRPr="007567A8">
        <w:rPr>
          <w:rFonts w:cs="Arial"/>
          <w:szCs w:val="22"/>
          <w:lang w:val="en-AU" w:eastAsia="en-AU"/>
        </w:rPr>
        <w:t xml:space="preserve">Each </w:t>
      </w:r>
      <w:proofErr w:type="spellStart"/>
      <w:r w:rsidR="00FD0BE3" w:rsidRPr="007567A8">
        <w:rPr>
          <w:rFonts w:cs="Arial"/>
          <w:szCs w:val="22"/>
          <w:lang w:val="en-AU" w:eastAsia="en-AU"/>
        </w:rPr>
        <w:t>Blincyto</w:t>
      </w:r>
      <w:proofErr w:type="spellEnd"/>
      <w:r w:rsidRPr="007567A8">
        <w:rPr>
          <w:rFonts w:eastAsia="TimesNewRoman" w:cs="Arial"/>
          <w:szCs w:val="22"/>
          <w:lang w:val="en-AU" w:eastAsia="en-AU"/>
        </w:rPr>
        <w:t xml:space="preserve"> </w:t>
      </w:r>
      <w:r w:rsidRPr="007567A8">
        <w:rPr>
          <w:rFonts w:cs="Arial"/>
          <w:szCs w:val="22"/>
          <w:lang w:val="en-AU" w:eastAsia="en-AU"/>
        </w:rPr>
        <w:t>pack contains:</w:t>
      </w:r>
    </w:p>
    <w:p w:rsidR="008839B0" w:rsidRPr="007567A8" w:rsidRDefault="00FD0BE3" w:rsidP="00B47022">
      <w:pPr>
        <w:pStyle w:val="TextBullet"/>
        <w:rPr>
          <w:lang w:val="en-AU" w:eastAsia="en-AU"/>
        </w:rPr>
      </w:pPr>
      <w:proofErr w:type="spellStart"/>
      <w:r w:rsidRPr="007567A8">
        <w:rPr>
          <w:lang w:val="en-AU" w:eastAsia="en-AU"/>
        </w:rPr>
        <w:t>Blincyto</w:t>
      </w:r>
      <w:proofErr w:type="spellEnd"/>
      <w:r w:rsidR="008839B0" w:rsidRPr="007567A8">
        <w:rPr>
          <w:rFonts w:eastAsia="TimesNewRoman"/>
          <w:lang w:val="en-AU" w:eastAsia="en-AU"/>
        </w:rPr>
        <w:t xml:space="preserve"> </w:t>
      </w:r>
      <w:r w:rsidR="008839B0" w:rsidRPr="007567A8">
        <w:rPr>
          <w:lang w:val="en-AU" w:eastAsia="en-AU"/>
        </w:rPr>
        <w:t xml:space="preserve">supplied in a single-use glass vial as a sterile, preservative-free, white to off-white </w:t>
      </w:r>
      <w:r w:rsidR="00316065">
        <w:rPr>
          <w:lang w:val="en-AU" w:eastAsia="en-AU"/>
        </w:rPr>
        <w:t>lyophilised</w:t>
      </w:r>
      <w:r w:rsidR="008839B0" w:rsidRPr="007567A8">
        <w:rPr>
          <w:lang w:val="en-AU" w:eastAsia="en-AU"/>
        </w:rPr>
        <w:t xml:space="preserve"> powder (38.5 </w:t>
      </w:r>
      <w:r w:rsidR="00AE642E">
        <w:rPr>
          <w:lang w:val="en-AU" w:eastAsia="en-AU"/>
        </w:rPr>
        <w:t>micrograms</w:t>
      </w:r>
      <w:r w:rsidR="008839B0" w:rsidRPr="007567A8">
        <w:rPr>
          <w:lang w:val="en-AU" w:eastAsia="en-AU"/>
        </w:rPr>
        <w:t>/vial) and</w:t>
      </w:r>
    </w:p>
    <w:p w:rsidR="006634FB" w:rsidRPr="007567A8" w:rsidRDefault="008839B0" w:rsidP="00B47022">
      <w:pPr>
        <w:pStyle w:val="TextBullet"/>
        <w:rPr>
          <w:b/>
          <w:lang w:val="en-AU" w:eastAsia="en-AU"/>
        </w:rPr>
      </w:pPr>
      <w:r w:rsidRPr="007567A8">
        <w:rPr>
          <w:lang w:val="en-AU" w:eastAsia="en-AU"/>
        </w:rPr>
        <w:t xml:space="preserve">IV </w:t>
      </w:r>
      <w:r w:rsidR="00173FC4">
        <w:rPr>
          <w:lang w:val="en-AU" w:eastAsia="en-AU"/>
        </w:rPr>
        <w:t>s</w:t>
      </w:r>
      <w:r w:rsidRPr="007567A8">
        <w:rPr>
          <w:lang w:val="en-AU" w:eastAsia="en-AU"/>
        </w:rPr>
        <w:t xml:space="preserve">olution </w:t>
      </w:r>
      <w:r w:rsidR="00173FC4">
        <w:rPr>
          <w:lang w:val="en-AU" w:eastAsia="en-AU"/>
        </w:rPr>
        <w:t>s</w:t>
      </w:r>
      <w:r w:rsidR="00840A3A" w:rsidRPr="007567A8">
        <w:rPr>
          <w:lang w:val="en-AU" w:eastAsia="en-AU"/>
        </w:rPr>
        <w:t>tabil</w:t>
      </w:r>
      <w:r w:rsidR="00656BCF">
        <w:rPr>
          <w:lang w:val="en-AU" w:eastAsia="en-AU"/>
        </w:rPr>
        <w:t>i</w:t>
      </w:r>
      <w:r w:rsidR="00840A3A" w:rsidRPr="007567A8">
        <w:rPr>
          <w:lang w:val="en-AU" w:eastAsia="en-AU"/>
        </w:rPr>
        <w:t>ser</w:t>
      </w:r>
      <w:r w:rsidRPr="007567A8">
        <w:rPr>
          <w:lang w:val="en-AU" w:eastAsia="en-AU"/>
        </w:rPr>
        <w:t xml:space="preserve"> supplied in a 10 mL single-use glass vial as a sterile</w:t>
      </w:r>
      <w:r w:rsidR="00C5663D">
        <w:rPr>
          <w:lang w:val="en-AU" w:eastAsia="en-AU"/>
        </w:rPr>
        <w:t xml:space="preserve">, preservative-free, colourless </w:t>
      </w:r>
      <w:r w:rsidRPr="007567A8">
        <w:rPr>
          <w:lang w:val="en-AU" w:eastAsia="en-AU"/>
        </w:rPr>
        <w:t>to</w:t>
      </w:r>
      <w:r w:rsidR="000F62B2" w:rsidRPr="007567A8">
        <w:rPr>
          <w:lang w:val="en-AU" w:eastAsia="en-AU"/>
        </w:rPr>
        <w:t xml:space="preserve"> </w:t>
      </w:r>
      <w:r w:rsidRPr="007567A8">
        <w:rPr>
          <w:lang w:val="en-AU" w:eastAsia="en-AU"/>
        </w:rPr>
        <w:t xml:space="preserve">slightly yellow, clear solution. </w:t>
      </w:r>
      <w:r w:rsidRPr="007567A8">
        <w:rPr>
          <w:b/>
          <w:lang w:val="en-AU" w:eastAsia="en-AU"/>
        </w:rPr>
        <w:t xml:space="preserve">Do not use the IV </w:t>
      </w:r>
      <w:r w:rsidR="00173FC4">
        <w:rPr>
          <w:b/>
          <w:lang w:val="en-AU" w:eastAsia="en-AU"/>
        </w:rPr>
        <w:t>s</w:t>
      </w:r>
      <w:r w:rsidRPr="007567A8">
        <w:rPr>
          <w:b/>
          <w:lang w:val="en-AU" w:eastAsia="en-AU"/>
        </w:rPr>
        <w:t xml:space="preserve">olution </w:t>
      </w:r>
      <w:r w:rsidR="00173FC4">
        <w:rPr>
          <w:b/>
          <w:lang w:val="en-AU" w:eastAsia="en-AU"/>
        </w:rPr>
        <w:t>s</w:t>
      </w:r>
      <w:r w:rsidR="00840A3A" w:rsidRPr="007567A8">
        <w:rPr>
          <w:b/>
          <w:lang w:val="en-AU" w:eastAsia="en-AU"/>
        </w:rPr>
        <w:t>tabil</w:t>
      </w:r>
      <w:r w:rsidR="008E7E39">
        <w:rPr>
          <w:b/>
          <w:lang w:val="en-AU" w:eastAsia="en-AU"/>
        </w:rPr>
        <w:t>i</w:t>
      </w:r>
      <w:r w:rsidR="00840A3A" w:rsidRPr="007567A8">
        <w:rPr>
          <w:b/>
          <w:lang w:val="en-AU" w:eastAsia="en-AU"/>
        </w:rPr>
        <w:t>ser</w:t>
      </w:r>
      <w:r w:rsidRPr="007567A8">
        <w:rPr>
          <w:b/>
          <w:lang w:val="en-AU" w:eastAsia="en-AU"/>
        </w:rPr>
        <w:t xml:space="preserve"> to reconstitute </w:t>
      </w:r>
      <w:proofErr w:type="spellStart"/>
      <w:r w:rsidR="00FD0BE3" w:rsidRPr="007567A8">
        <w:rPr>
          <w:b/>
          <w:lang w:val="en-AU" w:eastAsia="en-AU"/>
        </w:rPr>
        <w:t>Blincyto</w:t>
      </w:r>
      <w:proofErr w:type="spellEnd"/>
      <w:r w:rsidRPr="007567A8">
        <w:rPr>
          <w:b/>
          <w:lang w:val="en-AU" w:eastAsia="en-AU"/>
        </w:rPr>
        <w:t>.</w:t>
      </w:r>
    </w:p>
    <w:p w:rsidR="00501259" w:rsidRPr="007567A8" w:rsidRDefault="00501259" w:rsidP="00B47022">
      <w:pPr>
        <w:pStyle w:val="Text"/>
        <w:rPr>
          <w:lang w:val="en-AU" w:eastAsia="en-AU"/>
        </w:rPr>
      </w:pPr>
      <w:r w:rsidRPr="007567A8">
        <w:rPr>
          <w:lang w:val="en-AU" w:eastAsia="en-AU"/>
        </w:rPr>
        <w:lastRenderedPageBreak/>
        <w:t xml:space="preserve">It is recommended to store </w:t>
      </w:r>
      <w:r w:rsidR="00007C12" w:rsidRPr="007567A8">
        <w:rPr>
          <w:lang w:val="en-AU" w:eastAsia="en-AU"/>
        </w:rPr>
        <w:t xml:space="preserve">unopened </w:t>
      </w:r>
      <w:proofErr w:type="spellStart"/>
      <w:r w:rsidRPr="007567A8">
        <w:rPr>
          <w:bCs/>
          <w:lang w:eastAsia="zh-TW"/>
        </w:rPr>
        <w:t>Blincyto</w:t>
      </w:r>
      <w:proofErr w:type="spellEnd"/>
      <w:r w:rsidRPr="007567A8">
        <w:rPr>
          <w:color w:val="000000"/>
          <w:lang w:eastAsia="zh-TW"/>
        </w:rPr>
        <w:t xml:space="preserve"> and s</w:t>
      </w:r>
      <w:r w:rsidRPr="007567A8">
        <w:t>olution</w:t>
      </w:r>
      <w:r w:rsidR="000E4BB6">
        <w:t xml:space="preserve"> </w:t>
      </w:r>
      <w:proofErr w:type="spellStart"/>
      <w:r w:rsidR="000E4BB6">
        <w:t>stabiliser</w:t>
      </w:r>
      <w:proofErr w:type="spellEnd"/>
      <w:r w:rsidR="000E4BB6">
        <w:t xml:space="preserve"> for </w:t>
      </w:r>
      <w:proofErr w:type="spellStart"/>
      <w:r w:rsidR="000E4BB6">
        <w:t>Blincyto</w:t>
      </w:r>
      <w:proofErr w:type="spellEnd"/>
      <w:r w:rsidRPr="007567A8">
        <w:t xml:space="preserve"> </w:t>
      </w:r>
      <w:r w:rsidRPr="007567A8">
        <w:rPr>
          <w:lang w:val="en-AU" w:eastAsia="en-AU"/>
        </w:rPr>
        <w:t>vials in a refrigerator at 2°C to 8°C in the original carton. Do not freeze. Protect from direct light.</w:t>
      </w:r>
    </w:p>
    <w:p w:rsidR="006E4F0A" w:rsidRDefault="006E4F0A" w:rsidP="00B47022">
      <w:pPr>
        <w:pStyle w:val="Text"/>
        <w:rPr>
          <w:bCs/>
        </w:rPr>
      </w:pPr>
      <w:r w:rsidRPr="007567A8">
        <w:rPr>
          <w:bCs/>
        </w:rPr>
        <w:t xml:space="preserve">Once removed from the refrigerator, unopened </w:t>
      </w:r>
      <w:proofErr w:type="spellStart"/>
      <w:r w:rsidRPr="007567A8">
        <w:rPr>
          <w:bCs/>
        </w:rPr>
        <w:t>Blincyto</w:t>
      </w:r>
      <w:proofErr w:type="spellEnd"/>
      <w:r w:rsidRPr="007567A8">
        <w:rPr>
          <w:bCs/>
        </w:rPr>
        <w:t xml:space="preserve"> and solution </w:t>
      </w:r>
      <w:proofErr w:type="spellStart"/>
      <w:r w:rsidR="000E4BB6">
        <w:rPr>
          <w:bCs/>
        </w:rPr>
        <w:t>stabiliser</w:t>
      </w:r>
      <w:proofErr w:type="spellEnd"/>
      <w:r w:rsidR="000E4BB6">
        <w:rPr>
          <w:bCs/>
        </w:rPr>
        <w:t xml:space="preserve"> for </w:t>
      </w:r>
      <w:proofErr w:type="spellStart"/>
      <w:r w:rsidR="000E4BB6">
        <w:rPr>
          <w:bCs/>
        </w:rPr>
        <w:t>Blincyto</w:t>
      </w:r>
      <w:proofErr w:type="spellEnd"/>
      <w:r w:rsidR="000E4BB6">
        <w:rPr>
          <w:bCs/>
        </w:rPr>
        <w:t xml:space="preserve"> </w:t>
      </w:r>
      <w:r w:rsidRPr="007567A8">
        <w:rPr>
          <w:bCs/>
        </w:rPr>
        <w:t>vials may be stored at or below 2</w:t>
      </w:r>
      <w:r w:rsidR="000E4BB6">
        <w:rPr>
          <w:bCs/>
        </w:rPr>
        <w:t>5</w:t>
      </w:r>
      <w:r w:rsidRPr="007567A8">
        <w:rPr>
          <w:bCs/>
        </w:rPr>
        <w:t>°C for up to 8 hours in the orig</w:t>
      </w:r>
      <w:r w:rsidR="00641665">
        <w:rPr>
          <w:bCs/>
        </w:rPr>
        <w:t>inal container (do not freeze).</w:t>
      </w:r>
    </w:p>
    <w:p w:rsidR="006E4F0A" w:rsidRPr="00B47022" w:rsidRDefault="006E4F0A" w:rsidP="00180F13">
      <w:pPr>
        <w:pStyle w:val="Heading9Italic"/>
        <w:rPr>
          <w:i w:val="0"/>
          <w:u w:val="single"/>
        </w:rPr>
      </w:pPr>
      <w:r w:rsidRPr="00B47022">
        <w:rPr>
          <w:i w:val="0"/>
          <w:u w:val="single"/>
        </w:rPr>
        <w:t>After reconstitution and dilution</w:t>
      </w:r>
    </w:p>
    <w:p w:rsidR="006E4F0A" w:rsidRPr="007567A8" w:rsidRDefault="00B47022" w:rsidP="00B47022">
      <w:pPr>
        <w:pStyle w:val="Caption"/>
        <w:rPr>
          <w:rFonts w:cs="Arial"/>
          <w:b w:val="0"/>
          <w:i/>
          <w:szCs w:val="22"/>
          <w:lang w:val="en-GB"/>
        </w:rPr>
      </w:pPr>
      <w:proofErr w:type="gramStart"/>
      <w:r>
        <w:t>Table </w:t>
      </w:r>
      <w:r>
        <w:fldChar w:fldCharType="begin"/>
      </w:r>
      <w:r>
        <w:instrText xml:space="preserve"> SEQ Table \* ARABIC </w:instrText>
      </w:r>
      <w:r>
        <w:fldChar w:fldCharType="separate"/>
      </w:r>
      <w:r>
        <w:rPr>
          <w:noProof/>
        </w:rPr>
        <w:t>3</w:t>
      </w:r>
      <w:r>
        <w:fldChar w:fldCharType="end"/>
      </w:r>
      <w:r>
        <w:t>.</w:t>
      </w:r>
      <w:proofErr w:type="gramEnd"/>
      <w:r>
        <w:t xml:space="preserve">  </w:t>
      </w:r>
      <w:r w:rsidR="006E4F0A" w:rsidRPr="00B47022">
        <w:t xml:space="preserve">Storage Requirements for Reconstituted </w:t>
      </w:r>
      <w:proofErr w:type="spellStart"/>
      <w:r w:rsidR="006E4F0A" w:rsidRPr="00B47022">
        <w:t>Blincyto</w:t>
      </w:r>
      <w:proofErr w:type="spellEnd"/>
      <w:r w:rsidR="006E4F0A" w:rsidRPr="00B47022">
        <w:t xml:space="preserve"> and Prepared IV Bag </w:t>
      </w:r>
      <w:r w:rsidR="008E7E39" w:rsidRPr="00B47022">
        <w:t>or cassettes</w:t>
      </w:r>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Table 3.  Storage Requirements for Reconstituted Blincyto and Prepared IV Bag or cassettes"/>
      </w:tblPr>
      <w:tblGrid>
        <w:gridCol w:w="1615"/>
        <w:gridCol w:w="1583"/>
        <w:gridCol w:w="1589"/>
        <w:gridCol w:w="1661"/>
      </w:tblGrid>
      <w:tr w:rsidR="00D94D6F" w:rsidRPr="007567A8" w:rsidTr="003951D0">
        <w:trPr>
          <w:trHeight w:val="1500"/>
          <w:tblHeader/>
          <w:jc w:val="center"/>
        </w:trPr>
        <w:tc>
          <w:tcPr>
            <w:tcW w:w="3198" w:type="dxa"/>
            <w:gridSpan w:val="2"/>
            <w:shd w:val="clear" w:color="auto" w:fill="auto"/>
            <w:vAlign w:val="center"/>
            <w:hideMark/>
          </w:tcPr>
          <w:p w:rsidR="00E36CA6" w:rsidRDefault="00D94D6F" w:rsidP="00D10676">
            <w:pPr>
              <w:pStyle w:val="TableCenterAlign"/>
              <w:rPr>
                <w:lang w:eastAsia="zh-TW"/>
              </w:rPr>
            </w:pPr>
            <w:r w:rsidRPr="007567A8">
              <w:rPr>
                <w:lang w:eastAsia="zh-TW"/>
              </w:rPr>
              <w:t>Maximum storage time of reconstituted</w:t>
            </w:r>
          </w:p>
          <w:p w:rsidR="00D94D6F" w:rsidRPr="007567A8" w:rsidRDefault="00D94D6F" w:rsidP="00D10676">
            <w:pPr>
              <w:pStyle w:val="TableCenterAlign"/>
              <w:rPr>
                <w:color w:val="000000"/>
                <w:lang w:eastAsia="zh-TW"/>
              </w:rPr>
            </w:pPr>
            <w:proofErr w:type="spellStart"/>
            <w:r w:rsidRPr="007567A8">
              <w:rPr>
                <w:lang w:eastAsia="zh-TW"/>
              </w:rPr>
              <w:t>Blincyto</w:t>
            </w:r>
            <w:proofErr w:type="spellEnd"/>
            <w:r w:rsidRPr="007567A8">
              <w:rPr>
                <w:lang w:eastAsia="zh-TW"/>
              </w:rPr>
              <w:t>*</w:t>
            </w:r>
            <w:r w:rsidR="00DB5DEF">
              <w:rPr>
                <w:lang w:eastAsia="zh-TW"/>
              </w:rPr>
              <w:t xml:space="preserve"> solution</w:t>
            </w:r>
          </w:p>
        </w:tc>
        <w:tc>
          <w:tcPr>
            <w:tcW w:w="3250" w:type="dxa"/>
            <w:gridSpan w:val="2"/>
            <w:shd w:val="clear" w:color="auto" w:fill="auto"/>
            <w:vAlign w:val="center"/>
            <w:hideMark/>
          </w:tcPr>
          <w:p w:rsidR="00E36CA6" w:rsidRDefault="00D94D6F" w:rsidP="00D10676">
            <w:pPr>
              <w:pStyle w:val="TableCenterAlign"/>
              <w:rPr>
                <w:lang w:eastAsia="zh-TW"/>
              </w:rPr>
            </w:pPr>
            <w:r w:rsidRPr="007567A8">
              <w:rPr>
                <w:lang w:eastAsia="zh-TW"/>
              </w:rPr>
              <w:t xml:space="preserve">Maximum </w:t>
            </w:r>
            <w:r w:rsidR="00BC5751">
              <w:rPr>
                <w:lang w:eastAsia="zh-TW"/>
              </w:rPr>
              <w:t xml:space="preserve">combined </w:t>
            </w:r>
            <w:r w:rsidRPr="007567A8">
              <w:rPr>
                <w:lang w:eastAsia="zh-TW"/>
              </w:rPr>
              <w:t xml:space="preserve">storage </w:t>
            </w:r>
            <w:r w:rsidR="00BC5751">
              <w:rPr>
                <w:lang w:eastAsia="zh-TW"/>
              </w:rPr>
              <w:t xml:space="preserve">and infusion </w:t>
            </w:r>
            <w:r w:rsidRPr="007567A8">
              <w:rPr>
                <w:lang w:eastAsia="zh-TW"/>
              </w:rPr>
              <w:t>time</w:t>
            </w:r>
          </w:p>
          <w:p w:rsidR="00D94D6F" w:rsidRPr="007567A8" w:rsidRDefault="00D94D6F" w:rsidP="00D10676">
            <w:pPr>
              <w:pStyle w:val="TableCenterAlign"/>
              <w:rPr>
                <w:lang w:eastAsia="zh-TW"/>
              </w:rPr>
            </w:pPr>
            <w:r w:rsidRPr="007567A8">
              <w:rPr>
                <w:lang w:eastAsia="zh-TW"/>
              </w:rPr>
              <w:t xml:space="preserve">of </w:t>
            </w:r>
            <w:r w:rsidR="00BC5751">
              <w:rPr>
                <w:lang w:eastAsia="zh-TW"/>
              </w:rPr>
              <w:t xml:space="preserve">diluted </w:t>
            </w:r>
            <w:proofErr w:type="spellStart"/>
            <w:r w:rsidRPr="007567A8">
              <w:rPr>
                <w:lang w:eastAsia="zh-TW"/>
              </w:rPr>
              <w:t>Blincyto</w:t>
            </w:r>
            <w:proofErr w:type="spellEnd"/>
            <w:r w:rsidRPr="007567A8">
              <w:rPr>
                <w:lang w:eastAsia="zh-TW"/>
              </w:rPr>
              <w:t xml:space="preserve"> solution </w:t>
            </w:r>
            <w:r w:rsidR="00BC5751">
              <w:rPr>
                <w:lang w:eastAsia="zh-TW"/>
              </w:rPr>
              <w:t>in IV bag or cassette</w:t>
            </w:r>
          </w:p>
        </w:tc>
      </w:tr>
      <w:tr w:rsidR="00D94D6F" w:rsidRPr="007567A8" w:rsidTr="00D94D6F">
        <w:trPr>
          <w:trHeight w:val="888"/>
          <w:jc w:val="center"/>
        </w:trPr>
        <w:tc>
          <w:tcPr>
            <w:tcW w:w="1615" w:type="dxa"/>
            <w:shd w:val="clear" w:color="auto" w:fill="auto"/>
            <w:vAlign w:val="center"/>
            <w:hideMark/>
          </w:tcPr>
          <w:p w:rsidR="00E36CA6" w:rsidRDefault="0089180A" w:rsidP="00D10676">
            <w:pPr>
              <w:pStyle w:val="TableCenterAlign"/>
              <w:rPr>
                <w:b/>
                <w:lang w:eastAsia="zh-TW"/>
              </w:rPr>
            </w:pPr>
            <w:r w:rsidRPr="00D10676">
              <w:rPr>
                <w:b/>
                <w:lang w:eastAsia="zh-TW"/>
              </w:rPr>
              <w:t>Room Temperature</w:t>
            </w:r>
          </w:p>
          <w:p w:rsidR="00D94D6F" w:rsidRPr="007567A8" w:rsidRDefault="0089180A" w:rsidP="00D10676">
            <w:pPr>
              <w:pStyle w:val="TableCenterAlign"/>
              <w:rPr>
                <w:lang w:eastAsia="zh-TW"/>
              </w:rPr>
            </w:pPr>
            <w:r>
              <w:rPr>
                <w:lang w:eastAsia="zh-TW"/>
              </w:rPr>
              <w:t>(</w:t>
            </w:r>
            <w:r w:rsidR="000E4BB6">
              <w:rPr>
                <w:lang w:eastAsia="zh-TW"/>
              </w:rPr>
              <w:t>B</w:t>
            </w:r>
            <w:r w:rsidR="00D94D6F" w:rsidRPr="007567A8">
              <w:t>elow 2</w:t>
            </w:r>
            <w:r w:rsidR="00B63EC2" w:rsidRPr="007567A8">
              <w:t>5</w:t>
            </w:r>
            <w:r w:rsidR="00D94D6F" w:rsidRPr="007567A8">
              <w:t>°C**</w:t>
            </w:r>
            <w:r>
              <w:t>)</w:t>
            </w:r>
            <w:r w:rsidR="00D94D6F" w:rsidRPr="007567A8">
              <w:t xml:space="preserve"> </w:t>
            </w:r>
          </w:p>
        </w:tc>
        <w:tc>
          <w:tcPr>
            <w:tcW w:w="1583" w:type="dxa"/>
            <w:shd w:val="clear" w:color="auto" w:fill="auto"/>
            <w:vAlign w:val="center"/>
            <w:hideMark/>
          </w:tcPr>
          <w:p w:rsidR="000E4BB6" w:rsidRPr="00D10676" w:rsidRDefault="000E4BB6" w:rsidP="00D10676">
            <w:pPr>
              <w:pStyle w:val="TableCenterAlign"/>
              <w:rPr>
                <w:b/>
                <w:lang w:eastAsia="zh-TW"/>
              </w:rPr>
            </w:pPr>
            <w:r w:rsidRPr="00D10676">
              <w:rPr>
                <w:b/>
                <w:lang w:eastAsia="zh-TW"/>
              </w:rPr>
              <w:t>Refrigerated</w:t>
            </w:r>
          </w:p>
          <w:p w:rsidR="00D94D6F" w:rsidRPr="000E4BB6" w:rsidRDefault="000E4BB6" w:rsidP="00D10676">
            <w:pPr>
              <w:pStyle w:val="TableCenterAlign"/>
              <w:rPr>
                <w:lang w:eastAsia="zh-TW"/>
              </w:rPr>
            </w:pPr>
            <w:r>
              <w:rPr>
                <w:lang w:eastAsia="zh-TW"/>
              </w:rPr>
              <w:t>(</w:t>
            </w:r>
            <w:r w:rsidR="00D94D6F" w:rsidRPr="000E4BB6">
              <w:rPr>
                <w:lang w:eastAsia="zh-TW"/>
              </w:rPr>
              <w:t>2°C to 8°C</w:t>
            </w:r>
            <w:r>
              <w:rPr>
                <w:lang w:eastAsia="zh-TW"/>
              </w:rPr>
              <w:t>)</w:t>
            </w:r>
          </w:p>
        </w:tc>
        <w:tc>
          <w:tcPr>
            <w:tcW w:w="1589" w:type="dxa"/>
            <w:shd w:val="clear" w:color="auto" w:fill="auto"/>
            <w:vAlign w:val="center"/>
            <w:hideMark/>
          </w:tcPr>
          <w:p w:rsidR="0089180A" w:rsidRPr="00D10676" w:rsidRDefault="0089180A" w:rsidP="00D10676">
            <w:pPr>
              <w:pStyle w:val="TableCenterAlign"/>
              <w:rPr>
                <w:b/>
                <w:lang w:eastAsia="zh-TW"/>
              </w:rPr>
            </w:pPr>
            <w:r w:rsidRPr="00D10676">
              <w:rPr>
                <w:b/>
                <w:lang w:eastAsia="zh-TW"/>
              </w:rPr>
              <w:t>Room Temperature</w:t>
            </w:r>
          </w:p>
          <w:p w:rsidR="00D94D6F" w:rsidRPr="000E4BB6" w:rsidRDefault="000E4BB6" w:rsidP="00D10676">
            <w:pPr>
              <w:pStyle w:val="TableCenterAlign"/>
              <w:rPr>
                <w:lang w:eastAsia="zh-TW"/>
              </w:rPr>
            </w:pPr>
            <w:r>
              <w:t>(B</w:t>
            </w:r>
            <w:r w:rsidR="00B63EC2" w:rsidRPr="000E4BB6">
              <w:t>elow 25°C**</w:t>
            </w:r>
            <w:r>
              <w:t>)</w:t>
            </w:r>
          </w:p>
        </w:tc>
        <w:tc>
          <w:tcPr>
            <w:tcW w:w="1661" w:type="dxa"/>
            <w:shd w:val="clear" w:color="auto" w:fill="auto"/>
            <w:vAlign w:val="center"/>
            <w:hideMark/>
          </w:tcPr>
          <w:p w:rsidR="000E4BB6" w:rsidRPr="00D10676" w:rsidRDefault="000E4BB6" w:rsidP="00D10676">
            <w:pPr>
              <w:pStyle w:val="TableCenterAlign"/>
              <w:rPr>
                <w:b/>
                <w:lang w:eastAsia="zh-TW"/>
              </w:rPr>
            </w:pPr>
            <w:r w:rsidRPr="00D10676">
              <w:rPr>
                <w:b/>
                <w:lang w:eastAsia="zh-TW"/>
              </w:rPr>
              <w:t>Refrigerated</w:t>
            </w:r>
          </w:p>
          <w:p w:rsidR="00D94D6F" w:rsidRPr="000E4BB6" w:rsidRDefault="000E4BB6" w:rsidP="00D10676">
            <w:pPr>
              <w:pStyle w:val="TableCenterAlign"/>
              <w:rPr>
                <w:lang w:eastAsia="zh-TW"/>
              </w:rPr>
            </w:pPr>
            <w:r>
              <w:rPr>
                <w:lang w:eastAsia="zh-TW"/>
              </w:rPr>
              <w:t>2°C to 8°C</w:t>
            </w:r>
          </w:p>
        </w:tc>
      </w:tr>
      <w:tr w:rsidR="00D94D6F" w:rsidRPr="007567A8" w:rsidTr="00D94D6F">
        <w:trPr>
          <w:trHeight w:val="750"/>
          <w:jc w:val="center"/>
        </w:trPr>
        <w:tc>
          <w:tcPr>
            <w:tcW w:w="1615" w:type="dxa"/>
            <w:shd w:val="clear" w:color="auto" w:fill="auto"/>
            <w:vAlign w:val="center"/>
            <w:hideMark/>
          </w:tcPr>
          <w:p w:rsidR="00D94D6F" w:rsidRPr="007567A8" w:rsidRDefault="00D94D6F" w:rsidP="00D10676">
            <w:pPr>
              <w:pStyle w:val="TableCenterAlign"/>
              <w:rPr>
                <w:lang w:eastAsia="zh-TW"/>
              </w:rPr>
            </w:pPr>
            <w:r w:rsidRPr="007567A8">
              <w:rPr>
                <w:lang w:eastAsia="zh-TW"/>
              </w:rPr>
              <w:t>4 hours</w:t>
            </w:r>
          </w:p>
        </w:tc>
        <w:tc>
          <w:tcPr>
            <w:tcW w:w="1583" w:type="dxa"/>
            <w:shd w:val="clear" w:color="auto" w:fill="auto"/>
            <w:vAlign w:val="center"/>
            <w:hideMark/>
          </w:tcPr>
          <w:p w:rsidR="00D94D6F" w:rsidRPr="007567A8" w:rsidRDefault="00D94D6F" w:rsidP="00D10676">
            <w:pPr>
              <w:pStyle w:val="TableCenterAlign"/>
              <w:rPr>
                <w:lang w:eastAsia="zh-TW"/>
              </w:rPr>
            </w:pPr>
            <w:r w:rsidRPr="007567A8">
              <w:rPr>
                <w:lang w:eastAsia="zh-TW"/>
              </w:rPr>
              <w:t>24 hours</w:t>
            </w:r>
          </w:p>
        </w:tc>
        <w:tc>
          <w:tcPr>
            <w:tcW w:w="1589" w:type="dxa"/>
            <w:shd w:val="clear" w:color="auto" w:fill="auto"/>
            <w:vAlign w:val="center"/>
            <w:hideMark/>
          </w:tcPr>
          <w:p w:rsidR="00D94D6F" w:rsidRPr="007567A8" w:rsidRDefault="00D94D6F" w:rsidP="00D10676">
            <w:pPr>
              <w:pStyle w:val="TableCenterAlign"/>
              <w:rPr>
                <w:lang w:eastAsia="zh-TW"/>
              </w:rPr>
            </w:pPr>
            <w:r w:rsidRPr="007567A8">
              <w:rPr>
                <w:lang w:eastAsia="zh-TW"/>
              </w:rPr>
              <w:t>96 hours***</w:t>
            </w:r>
          </w:p>
        </w:tc>
        <w:tc>
          <w:tcPr>
            <w:tcW w:w="1661" w:type="dxa"/>
            <w:shd w:val="clear" w:color="auto" w:fill="auto"/>
            <w:vAlign w:val="center"/>
            <w:hideMark/>
          </w:tcPr>
          <w:p w:rsidR="00D94D6F" w:rsidRPr="007567A8" w:rsidRDefault="00D94D6F" w:rsidP="00D10676">
            <w:pPr>
              <w:pStyle w:val="TableCenterAlign"/>
              <w:rPr>
                <w:lang w:eastAsia="zh-TW"/>
              </w:rPr>
            </w:pPr>
            <w:r w:rsidRPr="007567A8">
              <w:rPr>
                <w:lang w:eastAsia="zh-TW"/>
              </w:rPr>
              <w:t>10 days***</w:t>
            </w:r>
          </w:p>
        </w:tc>
      </w:tr>
    </w:tbl>
    <w:p w:rsidR="006E4F0A" w:rsidRPr="00F60076" w:rsidRDefault="00D94D6F" w:rsidP="00D10676">
      <w:pPr>
        <w:pStyle w:val="FootnoteText"/>
        <w:rPr>
          <w:b/>
          <w:szCs w:val="18"/>
        </w:rPr>
      </w:pPr>
      <w:r w:rsidRPr="00F60076">
        <w:rPr>
          <w:b/>
          <w:szCs w:val="18"/>
        </w:rPr>
        <w:t xml:space="preserve">* </w:t>
      </w:r>
      <w:r w:rsidRPr="00F60076">
        <w:rPr>
          <w:szCs w:val="18"/>
          <w:lang w:eastAsia="zh-TW"/>
        </w:rPr>
        <w:t xml:space="preserve">While stored, protect </w:t>
      </w:r>
      <w:r w:rsidR="008839A4" w:rsidRPr="00F60076">
        <w:rPr>
          <w:szCs w:val="18"/>
          <w:lang w:eastAsia="zh-TW"/>
        </w:rPr>
        <w:t xml:space="preserve">reconstituted </w:t>
      </w:r>
      <w:proofErr w:type="spellStart"/>
      <w:r w:rsidRPr="00F60076">
        <w:rPr>
          <w:bCs/>
          <w:szCs w:val="18"/>
          <w:lang w:eastAsia="zh-TW"/>
        </w:rPr>
        <w:t>Blincyto</w:t>
      </w:r>
      <w:proofErr w:type="spellEnd"/>
      <w:r w:rsidR="00F22B0A">
        <w:rPr>
          <w:szCs w:val="18"/>
          <w:lang w:eastAsia="zh-TW"/>
        </w:rPr>
        <w:t xml:space="preserve"> </w:t>
      </w:r>
      <w:r w:rsidRPr="00F60076">
        <w:rPr>
          <w:szCs w:val="18"/>
          <w:lang w:eastAsia="zh-TW"/>
        </w:rPr>
        <w:t>from light.</w:t>
      </w:r>
    </w:p>
    <w:p w:rsidR="008839B0" w:rsidRPr="00F60076" w:rsidRDefault="00D94D6F" w:rsidP="00D10676">
      <w:pPr>
        <w:pStyle w:val="FootnoteText"/>
        <w:rPr>
          <w:szCs w:val="18"/>
          <w:lang w:eastAsia="zh-TW"/>
        </w:rPr>
      </w:pPr>
      <w:r w:rsidRPr="00F60076">
        <w:rPr>
          <w:szCs w:val="18"/>
          <w:lang w:eastAsia="zh-TW"/>
        </w:rPr>
        <w:t>** Do not freeze</w:t>
      </w:r>
    </w:p>
    <w:p w:rsidR="00D94D6F" w:rsidRPr="00F60076" w:rsidRDefault="00F22B0A" w:rsidP="00D10676">
      <w:pPr>
        <w:pStyle w:val="FootnoteText"/>
        <w:rPr>
          <w:szCs w:val="18"/>
          <w:lang w:eastAsia="zh-TW"/>
        </w:rPr>
      </w:pPr>
      <w:r>
        <w:rPr>
          <w:szCs w:val="18"/>
          <w:lang w:eastAsia="zh-TW"/>
        </w:rPr>
        <w:t>***</w:t>
      </w:r>
      <w:r w:rsidR="00D94D6F" w:rsidRPr="00F60076">
        <w:rPr>
          <w:szCs w:val="18"/>
          <w:lang w:eastAsia="zh-TW"/>
        </w:rPr>
        <w:t xml:space="preserve"> If IV </w:t>
      </w:r>
      <w:r w:rsidR="000F2608" w:rsidRPr="00F60076">
        <w:rPr>
          <w:szCs w:val="18"/>
          <w:lang w:eastAsia="zh-TW"/>
        </w:rPr>
        <w:t>bag</w:t>
      </w:r>
      <w:r w:rsidR="000F2608">
        <w:rPr>
          <w:szCs w:val="18"/>
          <w:lang w:eastAsia="zh-TW"/>
        </w:rPr>
        <w:t xml:space="preserve"> or cassette </w:t>
      </w:r>
      <w:r w:rsidR="00D94D6F" w:rsidRPr="00F60076">
        <w:rPr>
          <w:szCs w:val="18"/>
          <w:lang w:eastAsia="zh-TW"/>
        </w:rPr>
        <w:t xml:space="preserve">containing </w:t>
      </w:r>
      <w:proofErr w:type="spellStart"/>
      <w:r w:rsidR="00D94D6F" w:rsidRPr="00F60076">
        <w:rPr>
          <w:szCs w:val="18"/>
          <w:lang w:eastAsia="zh-TW"/>
        </w:rPr>
        <w:t>Blincyto</w:t>
      </w:r>
      <w:proofErr w:type="spellEnd"/>
      <w:r w:rsidR="00D94D6F" w:rsidRPr="00F60076">
        <w:rPr>
          <w:szCs w:val="18"/>
          <w:lang w:eastAsia="zh-TW"/>
        </w:rPr>
        <w:t xml:space="preserve"> solution for infusion is not administered within the timeframes and temperatures indicated, it must be discarded; it should not be refrigerated again.</w:t>
      </w:r>
    </w:p>
    <w:p w:rsidR="00A76698" w:rsidRDefault="00A76698" w:rsidP="00D10676">
      <w:pPr>
        <w:pStyle w:val="Text"/>
        <w:rPr>
          <w:lang w:eastAsia="zh-TW"/>
        </w:rPr>
      </w:pPr>
      <w:bookmarkStart w:id="0" w:name="_GoBack"/>
      <w:bookmarkEnd w:id="0"/>
      <w:r w:rsidRPr="00A76698">
        <w:rPr>
          <w:lang w:eastAsia="zh-TW"/>
        </w:rPr>
        <w:t xml:space="preserve">The maximum storage time of the prepared IV bag at room temperature should not be longer than </w:t>
      </w:r>
      <w:r w:rsidR="003876B1">
        <w:rPr>
          <w:lang w:eastAsia="zh-TW"/>
        </w:rPr>
        <w:t xml:space="preserve">6 </w:t>
      </w:r>
      <w:r w:rsidRPr="00A76698">
        <w:rPr>
          <w:lang w:eastAsia="zh-TW"/>
        </w:rPr>
        <w:t>hours prior to the start of infusion.</w:t>
      </w:r>
    </w:p>
    <w:p w:rsidR="00333F9E" w:rsidRPr="00333F9E" w:rsidRDefault="00333F9E" w:rsidP="00D10676">
      <w:pPr>
        <w:pStyle w:val="Text"/>
        <w:rPr>
          <w:lang w:eastAsia="zh-TW"/>
        </w:rPr>
      </w:pPr>
      <w:r w:rsidRPr="00333F9E">
        <w:rPr>
          <w:lang w:eastAsia="zh-TW"/>
        </w:rPr>
        <w:t xml:space="preserve">Store and transport </w:t>
      </w:r>
      <w:r w:rsidR="00A12778">
        <w:rPr>
          <w:lang w:eastAsia="zh-TW"/>
        </w:rPr>
        <w:t xml:space="preserve">the prepared IV </w:t>
      </w:r>
      <w:r w:rsidR="008E7E39">
        <w:rPr>
          <w:lang w:eastAsia="zh-TW"/>
        </w:rPr>
        <w:t xml:space="preserve">bag or cassette </w:t>
      </w:r>
      <w:r w:rsidR="002154FC">
        <w:rPr>
          <w:lang w:eastAsia="zh-TW"/>
        </w:rPr>
        <w:t xml:space="preserve">containing </w:t>
      </w:r>
      <w:proofErr w:type="spellStart"/>
      <w:r w:rsidR="002154FC">
        <w:rPr>
          <w:lang w:eastAsia="zh-TW"/>
        </w:rPr>
        <w:t>Blincyto</w:t>
      </w:r>
      <w:proofErr w:type="spellEnd"/>
      <w:r w:rsidR="002154FC">
        <w:rPr>
          <w:lang w:eastAsia="zh-TW"/>
        </w:rPr>
        <w:t xml:space="preserve"> solution </w:t>
      </w:r>
      <w:r w:rsidRPr="00333F9E">
        <w:rPr>
          <w:lang w:eastAsia="zh-TW"/>
        </w:rPr>
        <w:t>at 2</w:t>
      </w:r>
      <w:r w:rsidRPr="00333F9E">
        <w:rPr>
          <w:lang w:eastAsia="zh-TW"/>
        </w:rPr>
        <w:sym w:font="Symbol" w:char="F0B0"/>
      </w:r>
      <w:r>
        <w:rPr>
          <w:lang w:eastAsia="zh-TW"/>
        </w:rPr>
        <w:t>C-</w:t>
      </w:r>
      <w:r w:rsidRPr="00333F9E">
        <w:rPr>
          <w:lang w:eastAsia="zh-TW"/>
        </w:rPr>
        <w:t xml:space="preserve"> 8</w:t>
      </w:r>
      <w:r w:rsidRPr="00333F9E">
        <w:rPr>
          <w:lang w:eastAsia="zh-TW"/>
        </w:rPr>
        <w:sym w:font="Symbol" w:char="F0B0"/>
      </w:r>
      <w:r w:rsidRPr="00333F9E">
        <w:rPr>
          <w:lang w:eastAsia="zh-TW"/>
        </w:rPr>
        <w:t>C</w:t>
      </w:r>
      <w:r>
        <w:rPr>
          <w:lang w:eastAsia="zh-TW"/>
        </w:rPr>
        <w:t xml:space="preserve"> (</w:t>
      </w:r>
      <w:r w:rsidR="002154FC">
        <w:rPr>
          <w:lang w:eastAsia="zh-TW"/>
        </w:rPr>
        <w:t>Refrigerate</w:t>
      </w:r>
      <w:r>
        <w:rPr>
          <w:lang w:eastAsia="zh-TW"/>
        </w:rPr>
        <w:t>. Do not freeze.)</w:t>
      </w:r>
    </w:p>
    <w:p w:rsidR="00767C0A" w:rsidRPr="00353CED" w:rsidRDefault="00767C0A" w:rsidP="003951D0">
      <w:pPr>
        <w:pStyle w:val="Heading2"/>
      </w:pPr>
      <w:r w:rsidRPr="00353CED">
        <w:t>NAME AND ADDRESS OF THE SPONSOR</w:t>
      </w:r>
    </w:p>
    <w:p w:rsidR="00767C0A" w:rsidRDefault="00281B3A" w:rsidP="00D10676">
      <w:pPr>
        <w:pStyle w:val="TextSingleSpace"/>
        <w:rPr>
          <w:lang w:val="en-AU"/>
        </w:rPr>
      </w:pPr>
      <w:r w:rsidRPr="002954F0">
        <w:rPr>
          <w:lang w:val="en-AU"/>
        </w:rPr>
        <w:t>Amgen Australia Pty Ltd</w:t>
      </w:r>
    </w:p>
    <w:p w:rsidR="0072569F" w:rsidRPr="002954F0" w:rsidRDefault="0072569F" w:rsidP="00D10676">
      <w:pPr>
        <w:pStyle w:val="TextSingleSpace"/>
        <w:rPr>
          <w:lang w:val="en-AU"/>
        </w:rPr>
      </w:pPr>
      <w:r w:rsidRPr="002954F0">
        <w:rPr>
          <w:lang w:val="en-AU"/>
        </w:rPr>
        <w:t>ABN 31 051 057 428</w:t>
      </w:r>
    </w:p>
    <w:p w:rsidR="00281B3A" w:rsidRPr="002954F0" w:rsidRDefault="00281B3A" w:rsidP="00D10676">
      <w:pPr>
        <w:pStyle w:val="TextSingleSpace"/>
        <w:rPr>
          <w:lang w:val="en-AU"/>
        </w:rPr>
      </w:pPr>
      <w:r w:rsidRPr="002954F0">
        <w:rPr>
          <w:lang w:val="en-AU"/>
        </w:rPr>
        <w:t>Level 7, 123 Epping Road</w:t>
      </w:r>
    </w:p>
    <w:p w:rsidR="00281B3A" w:rsidRPr="002954F0" w:rsidRDefault="00281B3A" w:rsidP="00D10676">
      <w:pPr>
        <w:pStyle w:val="Text"/>
        <w:rPr>
          <w:lang w:val="en-AU"/>
        </w:rPr>
      </w:pPr>
      <w:r w:rsidRPr="002954F0">
        <w:rPr>
          <w:lang w:val="en-AU"/>
        </w:rPr>
        <w:t>North Ryde NSW 2113</w:t>
      </w:r>
    </w:p>
    <w:p w:rsidR="00767C0A" w:rsidRPr="00D10676" w:rsidRDefault="00767C0A" w:rsidP="003951D0">
      <w:pPr>
        <w:pStyle w:val="Heading2"/>
        <w:rPr>
          <w:lang w:val="en-AU"/>
        </w:rPr>
      </w:pPr>
      <w:r w:rsidRPr="00D10676">
        <w:rPr>
          <w:lang w:val="en-AU"/>
        </w:rPr>
        <w:t>POISON SCHEDULE OF THE MEDICINE</w:t>
      </w:r>
    </w:p>
    <w:p w:rsidR="00C31435" w:rsidRPr="00C31435" w:rsidRDefault="00C31435" w:rsidP="00D10676">
      <w:pPr>
        <w:pStyle w:val="Text"/>
        <w:rPr>
          <w:lang w:eastAsia="zh-TW"/>
        </w:rPr>
      </w:pPr>
      <w:r w:rsidRPr="00C31435">
        <w:rPr>
          <w:lang w:eastAsia="zh-TW"/>
        </w:rPr>
        <w:t>S4 Prescription Medicine</w:t>
      </w:r>
    </w:p>
    <w:p w:rsidR="00767C0A" w:rsidRDefault="00767C0A" w:rsidP="003951D0">
      <w:pPr>
        <w:pStyle w:val="Heading2"/>
      </w:pPr>
      <w:r w:rsidRPr="00353CED">
        <w:t xml:space="preserve">DATE OF </w:t>
      </w:r>
      <w:r w:rsidR="008B5FA8">
        <w:t>FIRST INCLUSION IN THE ARTG</w:t>
      </w:r>
    </w:p>
    <w:p w:rsidR="008B5FA8" w:rsidRDefault="00EF10D0" w:rsidP="00D10676">
      <w:pPr>
        <w:pStyle w:val="Text"/>
      </w:pPr>
      <w:r>
        <w:t>9 November</w:t>
      </w:r>
      <w:r w:rsidR="003B12CE">
        <w:t xml:space="preserve"> 2015</w:t>
      </w:r>
    </w:p>
    <w:p w:rsidR="00565164" w:rsidRPr="00767C0A" w:rsidRDefault="00FD0BE3" w:rsidP="00D10676">
      <w:pPr>
        <w:pStyle w:val="Text"/>
        <w:rPr>
          <w:rFonts w:cs="Arial"/>
          <w:lang w:val="en-AU"/>
        </w:rPr>
      </w:pPr>
      <w:proofErr w:type="spellStart"/>
      <w:r w:rsidRPr="00B00546">
        <w:rPr>
          <w:rFonts w:cs="Arial"/>
          <w:szCs w:val="22"/>
          <w:lang w:val="en-AU"/>
        </w:rPr>
        <w:t>Blincyto</w:t>
      </w:r>
      <w:proofErr w:type="spellEnd"/>
      <w:r w:rsidR="0094743A" w:rsidRPr="00B00546">
        <w:rPr>
          <w:rFonts w:cs="Arial"/>
          <w:szCs w:val="22"/>
          <w:lang w:val="en-AU"/>
        </w:rPr>
        <w:t xml:space="preserve"> is the</w:t>
      </w:r>
      <w:r w:rsidR="00770513" w:rsidRPr="00B00546">
        <w:rPr>
          <w:rFonts w:cs="Arial"/>
          <w:szCs w:val="22"/>
          <w:lang w:val="en-AU"/>
        </w:rPr>
        <w:t xml:space="preserve"> registered trademark of Amgen.</w:t>
      </w:r>
    </w:p>
    <w:sectPr w:rsidR="00565164" w:rsidRPr="00767C0A" w:rsidSect="00C80B18">
      <w:headerReference w:type="default" r:id="rId12"/>
      <w:footerReference w:type="default" r:id="rId13"/>
      <w:pgSz w:w="11909" w:h="16834"/>
      <w:pgMar w:top="2127" w:right="1440" w:bottom="1135" w:left="180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D5D" w:rsidRDefault="00071D5D">
      <w:r>
        <w:separator/>
      </w:r>
    </w:p>
  </w:endnote>
  <w:endnote w:type="continuationSeparator" w:id="0">
    <w:p w:rsidR="00071D5D" w:rsidRDefault="0007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D5D" w:rsidRDefault="00071D5D" w:rsidP="00A212C1">
    <w:pPr>
      <w:pStyle w:val="Footer"/>
      <w:keepLines w:val="0"/>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D5D" w:rsidRDefault="00071D5D">
      <w:r>
        <w:separator/>
      </w:r>
    </w:p>
  </w:footnote>
  <w:footnote w:type="continuationSeparator" w:id="0">
    <w:p w:rsidR="00071D5D" w:rsidRDefault="0007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D5D" w:rsidRPr="00050835" w:rsidRDefault="00071D5D" w:rsidP="00050835">
    <w:pPr>
      <w:pBdr>
        <w:top w:val="single" w:sz="2" w:space="1" w:color="244061" w:themeColor="accent1" w:themeShade="80"/>
        <w:left w:val="single" w:sz="2" w:space="4" w:color="244061" w:themeColor="accent1" w:themeShade="80"/>
        <w:bottom w:val="single" w:sz="2" w:space="1" w:color="244061" w:themeColor="accent1" w:themeShade="80"/>
        <w:right w:val="single" w:sz="2" w:space="4" w:color="244061" w:themeColor="accent1" w:themeShade="80"/>
      </w:pBdr>
      <w:shd w:val="clear" w:color="auto" w:fill="E4F2E0"/>
      <w:rPr>
        <w:b/>
        <w:bCs/>
        <w:sz w:val="20"/>
      </w:rPr>
    </w:pPr>
    <w:r w:rsidRPr="00050835">
      <w:rPr>
        <w:b/>
        <w:bCs/>
        <w:sz w:val="20"/>
      </w:rPr>
      <w:t xml:space="preserve">Attachment 1: Product information for </w:t>
    </w:r>
    <w:proofErr w:type="spellStart"/>
    <w:r w:rsidRPr="00050835">
      <w:rPr>
        <w:b/>
        <w:bCs/>
        <w:sz w:val="20"/>
      </w:rPr>
      <w:t>AusPAR</w:t>
    </w:r>
    <w:proofErr w:type="spellEnd"/>
    <w:r w:rsidRPr="00050835">
      <w:rPr>
        <w:b/>
        <w:bCs/>
        <w:sz w:val="20"/>
      </w:rPr>
      <w:t xml:space="preserve"> </w:t>
    </w:r>
    <w:proofErr w:type="spellStart"/>
    <w:r w:rsidRPr="00050835">
      <w:rPr>
        <w:b/>
        <w:bCs/>
        <w:sz w:val="20"/>
      </w:rPr>
      <w:t>Blincyto</w:t>
    </w:r>
    <w:proofErr w:type="spellEnd"/>
    <w:r w:rsidRPr="00050835">
      <w:rPr>
        <w:b/>
        <w:bCs/>
        <w:sz w:val="20"/>
      </w:rPr>
      <w:t xml:space="preserve"> </w:t>
    </w:r>
    <w:proofErr w:type="spellStart"/>
    <w:r w:rsidRPr="00050835">
      <w:rPr>
        <w:b/>
        <w:bCs/>
        <w:sz w:val="20"/>
      </w:rPr>
      <w:t>Blinatumomab</w:t>
    </w:r>
    <w:proofErr w:type="spellEnd"/>
    <w:r w:rsidRPr="00050835">
      <w:rPr>
        <w:b/>
        <w:bCs/>
        <w:sz w:val="20"/>
      </w:rPr>
      <w:t xml:space="preserve"> Amgen Australia Pty Ltd PM-2014-03864-1-4 FINAL 7 February 2018. This Product Information was approved at the time this </w:t>
    </w:r>
    <w:proofErr w:type="spellStart"/>
    <w:r w:rsidRPr="00050835">
      <w:rPr>
        <w:b/>
        <w:bCs/>
        <w:sz w:val="20"/>
      </w:rPr>
      <w:t>AusPAR</w:t>
    </w:r>
    <w:proofErr w:type="spellEnd"/>
    <w:r w:rsidRPr="00050835">
      <w:rPr>
        <w:b/>
        <w:bCs/>
        <w:sz w:val="20"/>
      </w:rPr>
      <w:t xml:space="preserve"> was published.</w:t>
    </w:r>
  </w:p>
  <w:p w:rsidR="00071D5D" w:rsidRPr="00767C0A" w:rsidRDefault="00071D5D" w:rsidP="00050835">
    <w:pPr>
      <w:pBdr>
        <w:bottom w:val="single" w:sz="4" w:space="1" w:color="auto"/>
      </w:pBdr>
      <w:tabs>
        <w:tab w:val="right" w:pos="8640"/>
      </w:tabs>
      <w:spacing w:before="120"/>
      <w:rPr>
        <w:rFonts w:cs="Arial"/>
        <w:sz w:val="20"/>
        <w:lang w:val="en-AU"/>
      </w:rPr>
    </w:pPr>
    <w:proofErr w:type="spellStart"/>
    <w:r>
      <w:rPr>
        <w:rFonts w:cs="Arial"/>
        <w:sz w:val="20"/>
        <w:lang w:val="en-AU"/>
      </w:rPr>
      <w:t>Blincyto</w:t>
    </w:r>
    <w:proofErr w:type="spellEnd"/>
    <w:r>
      <w:rPr>
        <w:rFonts w:cs="Arial"/>
        <w:sz w:val="20"/>
        <w:vertAlign w:val="superscript"/>
        <w:lang w:val="en-AU"/>
      </w:rPr>
      <w:t>®</w:t>
    </w:r>
    <w:r w:rsidRPr="00767C0A">
      <w:rPr>
        <w:rFonts w:cs="Arial"/>
        <w:sz w:val="20"/>
        <w:lang w:val="en-AU"/>
      </w:rPr>
      <w:t xml:space="preserve"> </w:t>
    </w:r>
    <w:r>
      <w:rPr>
        <w:rFonts w:cs="Arial"/>
        <w:sz w:val="20"/>
        <w:lang w:val="en-AU"/>
      </w:rPr>
      <w:t>(</w:t>
    </w:r>
    <w:proofErr w:type="spellStart"/>
    <w:r>
      <w:rPr>
        <w:rFonts w:cs="Arial"/>
        <w:sz w:val="20"/>
        <w:lang w:val="en-AU"/>
      </w:rPr>
      <w:t>blinatumomab</w:t>
    </w:r>
    <w:proofErr w:type="spellEnd"/>
    <w:r>
      <w:rPr>
        <w:rFonts w:cs="Arial"/>
        <w:sz w:val="20"/>
        <w:lang w:val="en-AU"/>
      </w:rPr>
      <w:t xml:space="preserve">) </w:t>
    </w:r>
    <w:r w:rsidRPr="00767C0A">
      <w:rPr>
        <w:rFonts w:cs="Arial"/>
        <w:sz w:val="20"/>
        <w:lang w:val="en-AU"/>
      </w:rPr>
      <w:t>Product Information</w:t>
    </w:r>
    <w:r w:rsidRPr="00767C0A">
      <w:rPr>
        <w:rFonts w:cs="Arial"/>
        <w:sz w:val="20"/>
        <w:lang w:val="en-AU"/>
      </w:rPr>
      <w:tab/>
    </w:r>
    <w:r w:rsidRPr="002C59E6">
      <w:rPr>
        <w:rFonts w:cs="Arial"/>
        <w:sz w:val="20"/>
      </w:rPr>
      <w:t xml:space="preserve">Page </w:t>
    </w:r>
    <w:r w:rsidRPr="002C59E6">
      <w:rPr>
        <w:rFonts w:cs="Arial"/>
        <w:sz w:val="20"/>
      </w:rPr>
      <w:fldChar w:fldCharType="begin"/>
    </w:r>
    <w:r w:rsidRPr="002C59E6">
      <w:rPr>
        <w:rFonts w:cs="Arial"/>
        <w:sz w:val="20"/>
      </w:rPr>
      <w:instrText xml:space="preserve"> PAGE </w:instrText>
    </w:r>
    <w:r w:rsidRPr="002C59E6">
      <w:rPr>
        <w:rFonts w:cs="Arial"/>
        <w:sz w:val="20"/>
      </w:rPr>
      <w:fldChar w:fldCharType="separate"/>
    </w:r>
    <w:r w:rsidR="00180F13">
      <w:rPr>
        <w:rFonts w:cs="Arial"/>
        <w:noProof/>
        <w:sz w:val="20"/>
      </w:rPr>
      <w:t>23</w:t>
    </w:r>
    <w:r w:rsidRPr="002C59E6">
      <w:rPr>
        <w:rFonts w:cs="Arial"/>
        <w:sz w:val="20"/>
      </w:rPr>
      <w:fldChar w:fldCharType="end"/>
    </w:r>
    <w:r w:rsidRPr="002C59E6">
      <w:rPr>
        <w:rFonts w:cs="Arial"/>
        <w:sz w:val="20"/>
      </w:rPr>
      <w:t xml:space="preserve"> of </w:t>
    </w:r>
    <w:r w:rsidRPr="002C59E6">
      <w:rPr>
        <w:rFonts w:cs="Arial"/>
        <w:sz w:val="20"/>
      </w:rPr>
      <w:fldChar w:fldCharType="begin"/>
    </w:r>
    <w:r w:rsidRPr="002C59E6">
      <w:rPr>
        <w:rFonts w:cs="Arial"/>
        <w:sz w:val="20"/>
      </w:rPr>
      <w:instrText xml:space="preserve"> NUMPAGES </w:instrText>
    </w:r>
    <w:r w:rsidRPr="002C59E6">
      <w:rPr>
        <w:rFonts w:cs="Arial"/>
        <w:sz w:val="20"/>
      </w:rPr>
      <w:fldChar w:fldCharType="separate"/>
    </w:r>
    <w:r w:rsidR="00180F13">
      <w:rPr>
        <w:rFonts w:cs="Arial"/>
        <w:noProof/>
        <w:sz w:val="20"/>
      </w:rPr>
      <w:t>23</w:t>
    </w:r>
    <w:r w:rsidRPr="002C59E6">
      <w:rPr>
        <w:rFonts w:cs="Arial"/>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
    <w:nsid w:val="02FB7394"/>
    <w:multiLevelType w:val="hybridMultilevel"/>
    <w:tmpl w:val="6D2CB3E2"/>
    <w:lvl w:ilvl="0" w:tplc="AE9E943A">
      <w:start w:val="1"/>
      <w:numFmt w:val="bullet"/>
      <w:pStyle w:val="StyleListParagraphBold"/>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4DF1AB0"/>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7046573"/>
    <w:multiLevelType w:val="hybridMultilevel"/>
    <w:tmpl w:val="959AB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F4594"/>
    <w:multiLevelType w:val="hybridMultilevel"/>
    <w:tmpl w:val="7AD854F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C723D"/>
    <w:multiLevelType w:val="hybridMultilevel"/>
    <w:tmpl w:val="9E42C0C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63FF7"/>
    <w:multiLevelType w:val="hybridMultilevel"/>
    <w:tmpl w:val="48BCD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E240A"/>
    <w:multiLevelType w:val="hybridMultilevel"/>
    <w:tmpl w:val="A13616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9">
    <w:nsid w:val="1F344C26"/>
    <w:multiLevelType w:val="hybridMultilevel"/>
    <w:tmpl w:val="41EEAC54"/>
    <w:lvl w:ilvl="0" w:tplc="FC1A245C">
      <w:start w:val="1"/>
      <w:numFmt w:val="lowerLetter"/>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0C7206"/>
    <w:multiLevelType w:val="hybridMultilevel"/>
    <w:tmpl w:val="536A891E"/>
    <w:lvl w:ilvl="0" w:tplc="56682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C2073"/>
    <w:multiLevelType w:val="hybridMultilevel"/>
    <w:tmpl w:val="7AD854F6"/>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5B068F"/>
    <w:multiLevelType w:val="hybridMultilevel"/>
    <w:tmpl w:val="B0B6A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4">
    <w:nsid w:val="36912151"/>
    <w:multiLevelType w:val="hybridMultilevel"/>
    <w:tmpl w:val="522E2B64"/>
    <w:lvl w:ilvl="0" w:tplc="0C090001">
      <w:start w:val="1"/>
      <w:numFmt w:val="bullet"/>
      <w:lvlText w:val=""/>
      <w:lvlJc w:val="left"/>
      <w:pPr>
        <w:ind w:left="720" w:hanging="360"/>
      </w:pPr>
      <w:rPr>
        <w:rFonts w:ascii="Symbol" w:hAnsi="Symbol" w:hint="default"/>
      </w:rPr>
    </w:lvl>
    <w:lvl w:ilvl="1" w:tplc="82B4ACF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0273A6"/>
    <w:multiLevelType w:val="multilevel"/>
    <w:tmpl w:val="49CA3058"/>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6">
    <w:nsid w:val="3D8435E1"/>
    <w:multiLevelType w:val="hybridMultilevel"/>
    <w:tmpl w:val="43DA8B8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65A31"/>
    <w:multiLevelType w:val="hybridMultilevel"/>
    <w:tmpl w:val="8D86E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163C48"/>
    <w:multiLevelType w:val="hybridMultilevel"/>
    <w:tmpl w:val="9BA46AC4"/>
    <w:lvl w:ilvl="0" w:tplc="7D50FEC2">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480809"/>
    <w:multiLevelType w:val="hybridMultilevel"/>
    <w:tmpl w:val="CBDE95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EB95A4C"/>
    <w:multiLevelType w:val="hybridMultilevel"/>
    <w:tmpl w:val="45F05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AF5C6B"/>
    <w:multiLevelType w:val="hybridMultilevel"/>
    <w:tmpl w:val="60262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2461529"/>
    <w:multiLevelType w:val="hybridMultilevel"/>
    <w:tmpl w:val="D0B2E34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7138BB"/>
    <w:multiLevelType w:val="hybridMultilevel"/>
    <w:tmpl w:val="A6D6082C"/>
    <w:lvl w:ilvl="0" w:tplc="ECECA66A">
      <w:start w:val="1"/>
      <w:numFmt w:val="decimal"/>
      <w:lvlText w:val="%1."/>
      <w:lvlJc w:val="left"/>
      <w:pPr>
        <w:ind w:left="360" w:hanging="360"/>
      </w:pPr>
      <w:rPr>
        <w:b w:val="0"/>
        <w:sz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nsid w:val="58FA3D54"/>
    <w:multiLevelType w:val="hybridMultilevel"/>
    <w:tmpl w:val="1B0CE73C"/>
    <w:lvl w:ilvl="0" w:tplc="0C090001">
      <w:start w:val="1"/>
      <w:numFmt w:val="bullet"/>
      <w:lvlText w:val=""/>
      <w:lvlJc w:val="left"/>
      <w:pPr>
        <w:ind w:left="720" w:hanging="360"/>
      </w:pPr>
      <w:rPr>
        <w:rFonts w:ascii="Symbol" w:hAnsi="Symbol" w:hint="default"/>
      </w:rPr>
    </w:lvl>
    <w:lvl w:ilvl="1" w:tplc="82B4ACF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275CCA"/>
    <w:multiLevelType w:val="hybridMultilevel"/>
    <w:tmpl w:val="8D323B22"/>
    <w:lvl w:ilvl="0" w:tplc="FBFC98B6">
      <w:start w:val="1"/>
      <w:numFmt w:val="decimal"/>
      <w:lvlText w:val="%1."/>
      <w:lvlJc w:val="left"/>
      <w:pPr>
        <w:ind w:left="360" w:hanging="360"/>
      </w:pPr>
      <w:rPr>
        <w:i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C4D32EA"/>
    <w:multiLevelType w:val="hybridMultilevel"/>
    <w:tmpl w:val="F8FA39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CFF7378"/>
    <w:multiLevelType w:val="hybridMultilevel"/>
    <w:tmpl w:val="44AE1B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B536F"/>
    <w:multiLevelType w:val="hybridMultilevel"/>
    <w:tmpl w:val="2C32E1BA"/>
    <w:lvl w:ilvl="0" w:tplc="0C090001">
      <w:start w:val="1"/>
      <w:numFmt w:val="bullet"/>
      <w:lvlText w:val=""/>
      <w:lvlJc w:val="left"/>
      <w:pPr>
        <w:ind w:left="720" w:hanging="360"/>
      </w:pPr>
      <w:rPr>
        <w:rFonts w:ascii="Symbol" w:hAnsi="Symbol" w:hint="default"/>
      </w:rPr>
    </w:lvl>
    <w:lvl w:ilvl="1" w:tplc="82B4ACF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B561E3A"/>
    <w:multiLevelType w:val="hybridMultilevel"/>
    <w:tmpl w:val="A3240A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D885C93"/>
    <w:multiLevelType w:val="hybridMultilevel"/>
    <w:tmpl w:val="62AAA666"/>
    <w:lvl w:ilvl="0" w:tplc="FC1A245C">
      <w:start w:val="1"/>
      <w:numFmt w:val="lowerLetter"/>
      <w:lvlText w:val="%1)"/>
      <w:lvlJc w:val="left"/>
      <w:pPr>
        <w:ind w:left="360" w:hanging="360"/>
      </w:pPr>
      <w:rPr>
        <w:rFonts w:hint="default"/>
        <w:b/>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E840EAC"/>
    <w:multiLevelType w:val="hybridMultilevel"/>
    <w:tmpl w:val="275A22A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BE3780"/>
    <w:multiLevelType w:val="hybridMultilevel"/>
    <w:tmpl w:val="CE16A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7885E7C"/>
    <w:multiLevelType w:val="hybridMultilevel"/>
    <w:tmpl w:val="F774DFE2"/>
    <w:lvl w:ilvl="0" w:tplc="9912BCDA">
      <w:start w:val="1"/>
      <w:numFmt w:val="decimal"/>
      <w:lvlText w:val="%1."/>
      <w:lvlJc w:val="left"/>
      <w:pPr>
        <w:ind w:left="360" w:hanging="360"/>
      </w:pPr>
      <w:rPr>
        <w:b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8DA1FBB"/>
    <w:multiLevelType w:val="hybridMultilevel"/>
    <w:tmpl w:val="DBBEB6F6"/>
    <w:lvl w:ilvl="0" w:tplc="0C090001">
      <w:start w:val="1"/>
      <w:numFmt w:val="bullet"/>
      <w:lvlText w:val=""/>
      <w:lvlJc w:val="left"/>
      <w:pPr>
        <w:ind w:left="773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
  </w:num>
  <w:num w:numId="4">
    <w:abstractNumId w:val="30"/>
  </w:num>
  <w:num w:numId="5">
    <w:abstractNumId w:val="33"/>
  </w:num>
  <w:num w:numId="6">
    <w:abstractNumId w:val="22"/>
  </w:num>
  <w:num w:numId="7">
    <w:abstractNumId w:val="25"/>
  </w:num>
  <w:num w:numId="8">
    <w:abstractNumId w:val="5"/>
  </w:num>
  <w:num w:numId="9">
    <w:abstractNumId w:val="11"/>
  </w:num>
  <w:num w:numId="10">
    <w:abstractNumId w:val="31"/>
  </w:num>
  <w:num w:numId="11">
    <w:abstractNumId w:val="18"/>
  </w:num>
  <w:num w:numId="12">
    <w:abstractNumId w:val="4"/>
  </w:num>
  <w:num w:numId="13">
    <w:abstractNumId w:val="16"/>
  </w:num>
  <w:num w:numId="14">
    <w:abstractNumId w:val="6"/>
  </w:num>
  <w:num w:numId="15">
    <w:abstractNumId w:val="27"/>
  </w:num>
  <w:num w:numId="16">
    <w:abstractNumId w:val="21"/>
  </w:num>
  <w:num w:numId="17">
    <w:abstractNumId w:val="12"/>
  </w:num>
  <w:num w:numId="18">
    <w:abstractNumId w:val="3"/>
  </w:num>
  <w:num w:numId="19">
    <w:abstractNumId w:val="7"/>
  </w:num>
  <w:num w:numId="20">
    <w:abstractNumId w:val="10"/>
  </w:num>
  <w:num w:numId="21">
    <w:abstractNumId w:val="28"/>
  </w:num>
  <w:num w:numId="22">
    <w:abstractNumId w:val="2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13"/>
  </w:num>
  <w:num w:numId="28">
    <w:abstractNumId w:val="8"/>
  </w:num>
  <w:num w:numId="29">
    <w:abstractNumId w:val="15"/>
  </w:num>
  <w:num w:numId="30">
    <w:abstractNumId w:val="29"/>
  </w:num>
  <w:num w:numId="31">
    <w:abstractNumId w:val="23"/>
  </w:num>
  <w:num w:numId="32">
    <w:abstractNumId w:val="32"/>
  </w:num>
  <w:num w:numId="33">
    <w:abstractNumId w:val="1"/>
  </w:num>
  <w:num w:numId="34">
    <w:abstractNumId w:val="26"/>
  </w:num>
  <w:num w:numId="35">
    <w:abstractNumId w:val="9"/>
  </w:num>
  <w:num w:numId="36">
    <w:abstractNumId w:val="19"/>
  </w:num>
  <w:num w:numId="37">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F4"/>
    <w:rsid w:val="000049D0"/>
    <w:rsid w:val="00007C12"/>
    <w:rsid w:val="00012CCE"/>
    <w:rsid w:val="00021798"/>
    <w:rsid w:val="00023CFA"/>
    <w:rsid w:val="00025896"/>
    <w:rsid w:val="00036CAC"/>
    <w:rsid w:val="00037683"/>
    <w:rsid w:val="00040840"/>
    <w:rsid w:val="000440BE"/>
    <w:rsid w:val="00050835"/>
    <w:rsid w:val="00056891"/>
    <w:rsid w:val="000657DD"/>
    <w:rsid w:val="00071D5D"/>
    <w:rsid w:val="00074C36"/>
    <w:rsid w:val="000775FD"/>
    <w:rsid w:val="000A355A"/>
    <w:rsid w:val="000A4A4D"/>
    <w:rsid w:val="000B7912"/>
    <w:rsid w:val="000C19C8"/>
    <w:rsid w:val="000C329E"/>
    <w:rsid w:val="000C3C4A"/>
    <w:rsid w:val="000C6D0B"/>
    <w:rsid w:val="000D1CFC"/>
    <w:rsid w:val="000D5351"/>
    <w:rsid w:val="000D5F00"/>
    <w:rsid w:val="000D6C3C"/>
    <w:rsid w:val="000E4BB6"/>
    <w:rsid w:val="000E5928"/>
    <w:rsid w:val="000E600B"/>
    <w:rsid w:val="000F006E"/>
    <w:rsid w:val="000F2608"/>
    <w:rsid w:val="000F4672"/>
    <w:rsid w:val="000F62B2"/>
    <w:rsid w:val="0010707A"/>
    <w:rsid w:val="00114F24"/>
    <w:rsid w:val="00126CBF"/>
    <w:rsid w:val="00126D7C"/>
    <w:rsid w:val="001500F7"/>
    <w:rsid w:val="00154BE4"/>
    <w:rsid w:val="001605E0"/>
    <w:rsid w:val="00161222"/>
    <w:rsid w:val="00173FC4"/>
    <w:rsid w:val="00175B1C"/>
    <w:rsid w:val="00180F13"/>
    <w:rsid w:val="0018346B"/>
    <w:rsid w:val="00192722"/>
    <w:rsid w:val="00193268"/>
    <w:rsid w:val="00193AAA"/>
    <w:rsid w:val="001976D4"/>
    <w:rsid w:val="001B5472"/>
    <w:rsid w:val="001C0295"/>
    <w:rsid w:val="001C6FC1"/>
    <w:rsid w:val="001D040E"/>
    <w:rsid w:val="001D2A63"/>
    <w:rsid w:val="001D6557"/>
    <w:rsid w:val="001E3F29"/>
    <w:rsid w:val="001E76ED"/>
    <w:rsid w:val="001E793D"/>
    <w:rsid w:val="001F43F5"/>
    <w:rsid w:val="0020234E"/>
    <w:rsid w:val="002140D4"/>
    <w:rsid w:val="002154FC"/>
    <w:rsid w:val="002240F8"/>
    <w:rsid w:val="00232E12"/>
    <w:rsid w:val="00236317"/>
    <w:rsid w:val="002479D2"/>
    <w:rsid w:val="00253C3A"/>
    <w:rsid w:val="00254FE2"/>
    <w:rsid w:val="00271B3E"/>
    <w:rsid w:val="00271F35"/>
    <w:rsid w:val="00274B84"/>
    <w:rsid w:val="00281B3A"/>
    <w:rsid w:val="00283898"/>
    <w:rsid w:val="00284BB1"/>
    <w:rsid w:val="00294B5D"/>
    <w:rsid w:val="002954F0"/>
    <w:rsid w:val="0029775A"/>
    <w:rsid w:val="002A3BAD"/>
    <w:rsid w:val="002C59E6"/>
    <w:rsid w:val="002C6F7F"/>
    <w:rsid w:val="002D127B"/>
    <w:rsid w:val="002E0BB1"/>
    <w:rsid w:val="002E4FDA"/>
    <w:rsid w:val="002F01C1"/>
    <w:rsid w:val="00301346"/>
    <w:rsid w:val="0030207C"/>
    <w:rsid w:val="003025AF"/>
    <w:rsid w:val="00314F81"/>
    <w:rsid w:val="00316065"/>
    <w:rsid w:val="00326547"/>
    <w:rsid w:val="003307DC"/>
    <w:rsid w:val="00333F6B"/>
    <w:rsid w:val="00333F9E"/>
    <w:rsid w:val="00334ED0"/>
    <w:rsid w:val="00335EAA"/>
    <w:rsid w:val="003360E9"/>
    <w:rsid w:val="00347ED5"/>
    <w:rsid w:val="0035189E"/>
    <w:rsid w:val="00353CED"/>
    <w:rsid w:val="00356FCE"/>
    <w:rsid w:val="00360067"/>
    <w:rsid w:val="00363D00"/>
    <w:rsid w:val="00364FB5"/>
    <w:rsid w:val="003720F8"/>
    <w:rsid w:val="003738B0"/>
    <w:rsid w:val="00373E48"/>
    <w:rsid w:val="00380140"/>
    <w:rsid w:val="00382CC2"/>
    <w:rsid w:val="00386DB8"/>
    <w:rsid w:val="003876B1"/>
    <w:rsid w:val="00392763"/>
    <w:rsid w:val="0039332C"/>
    <w:rsid w:val="003951D0"/>
    <w:rsid w:val="00397B5C"/>
    <w:rsid w:val="003A09E4"/>
    <w:rsid w:val="003A1142"/>
    <w:rsid w:val="003A23D9"/>
    <w:rsid w:val="003A4556"/>
    <w:rsid w:val="003A54B5"/>
    <w:rsid w:val="003B12CE"/>
    <w:rsid w:val="003B4913"/>
    <w:rsid w:val="003D0199"/>
    <w:rsid w:val="003D1338"/>
    <w:rsid w:val="003D2F8A"/>
    <w:rsid w:val="003D3FB0"/>
    <w:rsid w:val="003D4212"/>
    <w:rsid w:val="003D4FB3"/>
    <w:rsid w:val="003F0125"/>
    <w:rsid w:val="003F3CA6"/>
    <w:rsid w:val="00402A46"/>
    <w:rsid w:val="00407CBD"/>
    <w:rsid w:val="004116FA"/>
    <w:rsid w:val="0041700C"/>
    <w:rsid w:val="00417FBE"/>
    <w:rsid w:val="00426BD0"/>
    <w:rsid w:val="004467DB"/>
    <w:rsid w:val="00457E92"/>
    <w:rsid w:val="00464F87"/>
    <w:rsid w:val="00467650"/>
    <w:rsid w:val="004827EE"/>
    <w:rsid w:val="00482BF3"/>
    <w:rsid w:val="00482D63"/>
    <w:rsid w:val="00484A26"/>
    <w:rsid w:val="00490A8E"/>
    <w:rsid w:val="004A5B06"/>
    <w:rsid w:val="004B2860"/>
    <w:rsid w:val="004B3D2C"/>
    <w:rsid w:val="004B58C5"/>
    <w:rsid w:val="004B5EA3"/>
    <w:rsid w:val="004C2B31"/>
    <w:rsid w:val="004C2DA6"/>
    <w:rsid w:val="004C708F"/>
    <w:rsid w:val="004D2692"/>
    <w:rsid w:val="004E639D"/>
    <w:rsid w:val="004F572E"/>
    <w:rsid w:val="004F6CE3"/>
    <w:rsid w:val="00500E03"/>
    <w:rsid w:val="00501259"/>
    <w:rsid w:val="0050250F"/>
    <w:rsid w:val="005131BE"/>
    <w:rsid w:val="005264AC"/>
    <w:rsid w:val="0053238A"/>
    <w:rsid w:val="0053571D"/>
    <w:rsid w:val="00536C05"/>
    <w:rsid w:val="0054101F"/>
    <w:rsid w:val="00541DEC"/>
    <w:rsid w:val="005427F4"/>
    <w:rsid w:val="00551B36"/>
    <w:rsid w:val="00556A34"/>
    <w:rsid w:val="00560F0C"/>
    <w:rsid w:val="00565164"/>
    <w:rsid w:val="00565603"/>
    <w:rsid w:val="005678F0"/>
    <w:rsid w:val="00575A69"/>
    <w:rsid w:val="00584826"/>
    <w:rsid w:val="00587EF4"/>
    <w:rsid w:val="00591BD2"/>
    <w:rsid w:val="00592711"/>
    <w:rsid w:val="005A2C00"/>
    <w:rsid w:val="005A73C8"/>
    <w:rsid w:val="005B02B5"/>
    <w:rsid w:val="005B1B66"/>
    <w:rsid w:val="005C071B"/>
    <w:rsid w:val="005C64FC"/>
    <w:rsid w:val="005D1D54"/>
    <w:rsid w:val="005E34DF"/>
    <w:rsid w:val="005E40C6"/>
    <w:rsid w:val="005F5D02"/>
    <w:rsid w:val="00601BD4"/>
    <w:rsid w:val="006153F6"/>
    <w:rsid w:val="00621EFB"/>
    <w:rsid w:val="006240D1"/>
    <w:rsid w:val="0063358F"/>
    <w:rsid w:val="00637D10"/>
    <w:rsid w:val="00641665"/>
    <w:rsid w:val="00644ABF"/>
    <w:rsid w:val="006467F8"/>
    <w:rsid w:val="006537D9"/>
    <w:rsid w:val="00656BCF"/>
    <w:rsid w:val="00657139"/>
    <w:rsid w:val="006634FB"/>
    <w:rsid w:val="00674DA6"/>
    <w:rsid w:val="00677CA5"/>
    <w:rsid w:val="006A5E0A"/>
    <w:rsid w:val="006B63F5"/>
    <w:rsid w:val="006B7C63"/>
    <w:rsid w:val="006C1B3D"/>
    <w:rsid w:val="006C1D07"/>
    <w:rsid w:val="006D1EF8"/>
    <w:rsid w:val="006D3049"/>
    <w:rsid w:val="006D4F40"/>
    <w:rsid w:val="006E243C"/>
    <w:rsid w:val="006E4F0A"/>
    <w:rsid w:val="006E7F4F"/>
    <w:rsid w:val="00705CE9"/>
    <w:rsid w:val="0072569F"/>
    <w:rsid w:val="0072724E"/>
    <w:rsid w:val="0073171C"/>
    <w:rsid w:val="0073613D"/>
    <w:rsid w:val="00744560"/>
    <w:rsid w:val="00744B45"/>
    <w:rsid w:val="007546D0"/>
    <w:rsid w:val="007567A8"/>
    <w:rsid w:val="00757204"/>
    <w:rsid w:val="00760A8C"/>
    <w:rsid w:val="007648D0"/>
    <w:rsid w:val="00767C0A"/>
    <w:rsid w:val="00770513"/>
    <w:rsid w:val="00783F2E"/>
    <w:rsid w:val="00785D77"/>
    <w:rsid w:val="007925BA"/>
    <w:rsid w:val="00797A79"/>
    <w:rsid w:val="007A04FC"/>
    <w:rsid w:val="007B1F93"/>
    <w:rsid w:val="007B3CD0"/>
    <w:rsid w:val="007C4C2F"/>
    <w:rsid w:val="007C4D7D"/>
    <w:rsid w:val="007C791D"/>
    <w:rsid w:val="007F19D8"/>
    <w:rsid w:val="007F24E2"/>
    <w:rsid w:val="007F2EE1"/>
    <w:rsid w:val="00804A9A"/>
    <w:rsid w:val="00812A91"/>
    <w:rsid w:val="00814D34"/>
    <w:rsid w:val="008211CA"/>
    <w:rsid w:val="0082395A"/>
    <w:rsid w:val="00826C80"/>
    <w:rsid w:val="008301D0"/>
    <w:rsid w:val="0083392E"/>
    <w:rsid w:val="008357A2"/>
    <w:rsid w:val="00840531"/>
    <w:rsid w:val="00840A3A"/>
    <w:rsid w:val="00843C73"/>
    <w:rsid w:val="00847252"/>
    <w:rsid w:val="0085108A"/>
    <w:rsid w:val="00853B5B"/>
    <w:rsid w:val="0087302F"/>
    <w:rsid w:val="008768A5"/>
    <w:rsid w:val="008839A4"/>
    <w:rsid w:val="008839B0"/>
    <w:rsid w:val="00884C09"/>
    <w:rsid w:val="00885F8B"/>
    <w:rsid w:val="008912E6"/>
    <w:rsid w:val="0089180A"/>
    <w:rsid w:val="00891DEC"/>
    <w:rsid w:val="008A694C"/>
    <w:rsid w:val="008A7E41"/>
    <w:rsid w:val="008B5FA8"/>
    <w:rsid w:val="008B776A"/>
    <w:rsid w:val="008C4E43"/>
    <w:rsid w:val="008D5EC2"/>
    <w:rsid w:val="008E2E48"/>
    <w:rsid w:val="008E5523"/>
    <w:rsid w:val="008E7E39"/>
    <w:rsid w:val="008F0EE5"/>
    <w:rsid w:val="00906264"/>
    <w:rsid w:val="00907F8A"/>
    <w:rsid w:val="0091138B"/>
    <w:rsid w:val="00911FB2"/>
    <w:rsid w:val="0091308D"/>
    <w:rsid w:val="00936111"/>
    <w:rsid w:val="009366A3"/>
    <w:rsid w:val="00941526"/>
    <w:rsid w:val="0094743A"/>
    <w:rsid w:val="009606F0"/>
    <w:rsid w:val="00963C18"/>
    <w:rsid w:val="00964053"/>
    <w:rsid w:val="00965257"/>
    <w:rsid w:val="009702B6"/>
    <w:rsid w:val="00971AE4"/>
    <w:rsid w:val="009767A7"/>
    <w:rsid w:val="009861F2"/>
    <w:rsid w:val="00987441"/>
    <w:rsid w:val="0099358E"/>
    <w:rsid w:val="009979A4"/>
    <w:rsid w:val="009A4FA7"/>
    <w:rsid w:val="009B014A"/>
    <w:rsid w:val="009B1C06"/>
    <w:rsid w:val="009C5DD9"/>
    <w:rsid w:val="009C6DDD"/>
    <w:rsid w:val="009D7615"/>
    <w:rsid w:val="009E5E6B"/>
    <w:rsid w:val="009F16B8"/>
    <w:rsid w:val="009F598E"/>
    <w:rsid w:val="00A071E4"/>
    <w:rsid w:val="00A11CCA"/>
    <w:rsid w:val="00A12778"/>
    <w:rsid w:val="00A15512"/>
    <w:rsid w:val="00A212C1"/>
    <w:rsid w:val="00A22C70"/>
    <w:rsid w:val="00A47498"/>
    <w:rsid w:val="00A568AF"/>
    <w:rsid w:val="00A608D2"/>
    <w:rsid w:val="00A64F9F"/>
    <w:rsid w:val="00A76698"/>
    <w:rsid w:val="00A82F86"/>
    <w:rsid w:val="00A93A09"/>
    <w:rsid w:val="00AA2A78"/>
    <w:rsid w:val="00AB2C68"/>
    <w:rsid w:val="00AB3575"/>
    <w:rsid w:val="00AD1EFC"/>
    <w:rsid w:val="00AD30D5"/>
    <w:rsid w:val="00AD56CF"/>
    <w:rsid w:val="00AE07B5"/>
    <w:rsid w:val="00AE2731"/>
    <w:rsid w:val="00AE642E"/>
    <w:rsid w:val="00AF20ED"/>
    <w:rsid w:val="00B00546"/>
    <w:rsid w:val="00B05932"/>
    <w:rsid w:val="00B102B3"/>
    <w:rsid w:val="00B1738F"/>
    <w:rsid w:val="00B2273D"/>
    <w:rsid w:val="00B235A5"/>
    <w:rsid w:val="00B418CD"/>
    <w:rsid w:val="00B47022"/>
    <w:rsid w:val="00B5204D"/>
    <w:rsid w:val="00B53B13"/>
    <w:rsid w:val="00B54929"/>
    <w:rsid w:val="00B54F88"/>
    <w:rsid w:val="00B62C11"/>
    <w:rsid w:val="00B63EC2"/>
    <w:rsid w:val="00B67312"/>
    <w:rsid w:val="00B7177F"/>
    <w:rsid w:val="00B717BE"/>
    <w:rsid w:val="00B72275"/>
    <w:rsid w:val="00B74011"/>
    <w:rsid w:val="00B7426B"/>
    <w:rsid w:val="00B76B0F"/>
    <w:rsid w:val="00B82F48"/>
    <w:rsid w:val="00B83CF2"/>
    <w:rsid w:val="00B97D84"/>
    <w:rsid w:val="00BA3BDA"/>
    <w:rsid w:val="00BA4808"/>
    <w:rsid w:val="00BA4DF7"/>
    <w:rsid w:val="00BA728B"/>
    <w:rsid w:val="00BB2B38"/>
    <w:rsid w:val="00BB2FBA"/>
    <w:rsid w:val="00BC036E"/>
    <w:rsid w:val="00BC343A"/>
    <w:rsid w:val="00BC5751"/>
    <w:rsid w:val="00BC7AC2"/>
    <w:rsid w:val="00BD110D"/>
    <w:rsid w:val="00BD7CF1"/>
    <w:rsid w:val="00BE0862"/>
    <w:rsid w:val="00BE351D"/>
    <w:rsid w:val="00BE6FF5"/>
    <w:rsid w:val="00BF5AED"/>
    <w:rsid w:val="00BF731B"/>
    <w:rsid w:val="00C034DF"/>
    <w:rsid w:val="00C0554B"/>
    <w:rsid w:val="00C102CA"/>
    <w:rsid w:val="00C15720"/>
    <w:rsid w:val="00C1787D"/>
    <w:rsid w:val="00C22448"/>
    <w:rsid w:val="00C22BFB"/>
    <w:rsid w:val="00C31435"/>
    <w:rsid w:val="00C33F0B"/>
    <w:rsid w:val="00C45658"/>
    <w:rsid w:val="00C465B0"/>
    <w:rsid w:val="00C46669"/>
    <w:rsid w:val="00C5477A"/>
    <w:rsid w:val="00C5663D"/>
    <w:rsid w:val="00C621FC"/>
    <w:rsid w:val="00C63BF3"/>
    <w:rsid w:val="00C63D53"/>
    <w:rsid w:val="00C64C7E"/>
    <w:rsid w:val="00C7347D"/>
    <w:rsid w:val="00C77F12"/>
    <w:rsid w:val="00C80B18"/>
    <w:rsid w:val="00C82CAF"/>
    <w:rsid w:val="00C85EF2"/>
    <w:rsid w:val="00C91929"/>
    <w:rsid w:val="00C920E6"/>
    <w:rsid w:val="00C92E58"/>
    <w:rsid w:val="00C97E5D"/>
    <w:rsid w:val="00CB558B"/>
    <w:rsid w:val="00CB6DE2"/>
    <w:rsid w:val="00CD2743"/>
    <w:rsid w:val="00CD34CB"/>
    <w:rsid w:val="00CD6E16"/>
    <w:rsid w:val="00CD73CE"/>
    <w:rsid w:val="00CE3CE1"/>
    <w:rsid w:val="00CF08D6"/>
    <w:rsid w:val="00CF3060"/>
    <w:rsid w:val="00CF3CFE"/>
    <w:rsid w:val="00CF416C"/>
    <w:rsid w:val="00D03CA6"/>
    <w:rsid w:val="00D06CC3"/>
    <w:rsid w:val="00D10676"/>
    <w:rsid w:val="00D1490D"/>
    <w:rsid w:val="00D17BD9"/>
    <w:rsid w:val="00D2262E"/>
    <w:rsid w:val="00D23701"/>
    <w:rsid w:val="00D259A6"/>
    <w:rsid w:val="00D31949"/>
    <w:rsid w:val="00D365D3"/>
    <w:rsid w:val="00D40EBD"/>
    <w:rsid w:val="00D507F8"/>
    <w:rsid w:val="00D63CD1"/>
    <w:rsid w:val="00D706E8"/>
    <w:rsid w:val="00D862DB"/>
    <w:rsid w:val="00D862EA"/>
    <w:rsid w:val="00D90E7A"/>
    <w:rsid w:val="00D911CB"/>
    <w:rsid w:val="00D94D6F"/>
    <w:rsid w:val="00D954B6"/>
    <w:rsid w:val="00D95F66"/>
    <w:rsid w:val="00DA3FEB"/>
    <w:rsid w:val="00DB26DD"/>
    <w:rsid w:val="00DB5DEF"/>
    <w:rsid w:val="00DB6F7C"/>
    <w:rsid w:val="00DD0E23"/>
    <w:rsid w:val="00DD3F67"/>
    <w:rsid w:val="00DD75F4"/>
    <w:rsid w:val="00DE6D43"/>
    <w:rsid w:val="00DE7F77"/>
    <w:rsid w:val="00DF7AEB"/>
    <w:rsid w:val="00E04CF9"/>
    <w:rsid w:val="00E1200A"/>
    <w:rsid w:val="00E14B3F"/>
    <w:rsid w:val="00E248E1"/>
    <w:rsid w:val="00E31F11"/>
    <w:rsid w:val="00E326C4"/>
    <w:rsid w:val="00E36CA6"/>
    <w:rsid w:val="00E4623C"/>
    <w:rsid w:val="00E529E4"/>
    <w:rsid w:val="00E73E03"/>
    <w:rsid w:val="00E809CE"/>
    <w:rsid w:val="00E80C13"/>
    <w:rsid w:val="00E8114C"/>
    <w:rsid w:val="00E81ECC"/>
    <w:rsid w:val="00E86C6D"/>
    <w:rsid w:val="00E913D4"/>
    <w:rsid w:val="00E91B3C"/>
    <w:rsid w:val="00E96583"/>
    <w:rsid w:val="00EA2DF3"/>
    <w:rsid w:val="00EA4F8A"/>
    <w:rsid w:val="00EA7FF6"/>
    <w:rsid w:val="00EB0BA1"/>
    <w:rsid w:val="00EB657B"/>
    <w:rsid w:val="00EC4C94"/>
    <w:rsid w:val="00ED0B05"/>
    <w:rsid w:val="00ED5ACE"/>
    <w:rsid w:val="00EE38A0"/>
    <w:rsid w:val="00EE6E21"/>
    <w:rsid w:val="00EF10D0"/>
    <w:rsid w:val="00EF486F"/>
    <w:rsid w:val="00EF69E0"/>
    <w:rsid w:val="00F02042"/>
    <w:rsid w:val="00F1273D"/>
    <w:rsid w:val="00F212D2"/>
    <w:rsid w:val="00F2177A"/>
    <w:rsid w:val="00F22B0A"/>
    <w:rsid w:val="00F23782"/>
    <w:rsid w:val="00F322F7"/>
    <w:rsid w:val="00F3501B"/>
    <w:rsid w:val="00F433F4"/>
    <w:rsid w:val="00F43D50"/>
    <w:rsid w:val="00F4590E"/>
    <w:rsid w:val="00F45D40"/>
    <w:rsid w:val="00F46781"/>
    <w:rsid w:val="00F5792E"/>
    <w:rsid w:val="00F60076"/>
    <w:rsid w:val="00F666B5"/>
    <w:rsid w:val="00F70D42"/>
    <w:rsid w:val="00F802AE"/>
    <w:rsid w:val="00F829DA"/>
    <w:rsid w:val="00F848E5"/>
    <w:rsid w:val="00F86214"/>
    <w:rsid w:val="00F87701"/>
    <w:rsid w:val="00F927B4"/>
    <w:rsid w:val="00FA0CDA"/>
    <w:rsid w:val="00FC3EDB"/>
    <w:rsid w:val="00FD0BE3"/>
    <w:rsid w:val="00FE1ADC"/>
    <w:rsid w:val="00FE34C8"/>
    <w:rsid w:val="00FF061E"/>
    <w:rsid w:val="00FF76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AA"/>
    <w:pPr>
      <w:suppressAutoHyphens/>
    </w:pPr>
    <w:rPr>
      <w:rFonts w:ascii="Arial" w:hAnsi="Arial"/>
      <w:sz w:val="22"/>
      <w:lang w:val="en-US" w:eastAsia="en-US"/>
    </w:rPr>
  </w:style>
  <w:style w:type="paragraph" w:styleId="Heading1">
    <w:name w:val="heading 1"/>
    <w:basedOn w:val="Normal"/>
    <w:next w:val="Text"/>
    <w:qFormat/>
    <w:rsid w:val="00071D5D"/>
    <w:pPr>
      <w:keepNext/>
      <w:spacing w:before="120" w:after="120"/>
      <w:outlineLvl w:val="0"/>
    </w:pPr>
    <w:rPr>
      <w:b/>
    </w:rPr>
  </w:style>
  <w:style w:type="paragraph" w:styleId="Heading2">
    <w:name w:val="heading 2"/>
    <w:basedOn w:val="Heading1"/>
    <w:next w:val="Text"/>
    <w:qFormat/>
    <w:rsid w:val="00071D5D"/>
    <w:pPr>
      <w:outlineLvl w:val="1"/>
    </w:pPr>
  </w:style>
  <w:style w:type="paragraph" w:styleId="Heading3">
    <w:name w:val="heading 3"/>
    <w:basedOn w:val="Heading2"/>
    <w:next w:val="Text"/>
    <w:qFormat/>
    <w:rsid w:val="00071D5D"/>
    <w:pPr>
      <w:numPr>
        <w:ilvl w:val="2"/>
      </w:numPr>
      <w:outlineLvl w:val="2"/>
    </w:pPr>
    <w:rPr>
      <w:u w:val="single"/>
    </w:rPr>
  </w:style>
  <w:style w:type="paragraph" w:styleId="Heading4">
    <w:name w:val="heading 4"/>
    <w:basedOn w:val="Heading3"/>
    <w:next w:val="Text"/>
    <w:link w:val="Heading4Char"/>
    <w:qFormat/>
    <w:rsid w:val="00071D5D"/>
    <w:pPr>
      <w:numPr>
        <w:ilvl w:val="3"/>
      </w:numPr>
      <w:outlineLvl w:val="3"/>
    </w:pPr>
    <w:rPr>
      <w:b w:val="0"/>
      <w:i/>
      <w:u w:val="none"/>
    </w:rPr>
  </w:style>
  <w:style w:type="paragraph" w:styleId="Heading5">
    <w:name w:val="heading 5"/>
    <w:basedOn w:val="Heading4"/>
    <w:next w:val="Text"/>
    <w:link w:val="Heading5Char"/>
    <w:qFormat/>
    <w:rsid w:val="003951D0"/>
    <w:pPr>
      <w:outlineLvl w:val="4"/>
    </w:pPr>
  </w:style>
  <w:style w:type="paragraph" w:styleId="Heading6">
    <w:name w:val="heading 6"/>
    <w:basedOn w:val="Heading2"/>
    <w:next w:val="Text"/>
    <w:link w:val="Heading6Char"/>
    <w:qFormat/>
    <w:rsid w:val="00193AAA"/>
    <w:pPr>
      <w:numPr>
        <w:ilvl w:val="5"/>
      </w:numPr>
      <w:outlineLvl w:val="5"/>
    </w:pPr>
  </w:style>
  <w:style w:type="paragraph" w:styleId="Heading7">
    <w:name w:val="heading 7"/>
    <w:basedOn w:val="Heading2"/>
    <w:next w:val="Text"/>
    <w:link w:val="Heading7Char"/>
    <w:qFormat/>
    <w:rsid w:val="00193AAA"/>
    <w:pPr>
      <w:numPr>
        <w:ilvl w:val="6"/>
      </w:numPr>
      <w:outlineLvl w:val="6"/>
    </w:pPr>
  </w:style>
  <w:style w:type="paragraph" w:styleId="Heading8">
    <w:name w:val="heading 8"/>
    <w:basedOn w:val="Heading2"/>
    <w:next w:val="Text"/>
    <w:link w:val="Heading8Char"/>
    <w:qFormat/>
    <w:rsid w:val="00193AAA"/>
    <w:pPr>
      <w:numPr>
        <w:ilvl w:val="7"/>
      </w:numPr>
      <w:outlineLvl w:val="7"/>
    </w:pPr>
  </w:style>
  <w:style w:type="paragraph" w:styleId="Heading9">
    <w:name w:val="heading 9"/>
    <w:basedOn w:val="Heading2"/>
    <w:next w:val="Text"/>
    <w:link w:val="Heading9Char"/>
    <w:qFormat/>
    <w:rsid w:val="00193AA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AAA"/>
    <w:pPr>
      <w:keepLines/>
      <w:pBdr>
        <w:bottom w:val="single" w:sz="12" w:space="6" w:color="auto"/>
      </w:pBdr>
      <w:tabs>
        <w:tab w:val="right" w:pos="8640"/>
      </w:tabs>
      <w:spacing w:line="200" w:lineRule="atLeast"/>
    </w:pPr>
    <w:rPr>
      <w:b/>
      <w:sz w:val="20"/>
    </w:rPr>
  </w:style>
  <w:style w:type="paragraph" w:styleId="Footer">
    <w:name w:val="footer"/>
    <w:basedOn w:val="Normal"/>
    <w:rsid w:val="00193AAA"/>
    <w:pPr>
      <w:keepLines/>
      <w:pBdr>
        <w:top w:val="single" w:sz="12" w:space="6" w:color="auto"/>
      </w:pBdr>
      <w:tabs>
        <w:tab w:val="center" w:pos="4320"/>
        <w:tab w:val="right" w:pos="8640"/>
      </w:tabs>
      <w:spacing w:line="200" w:lineRule="atLeast"/>
    </w:pPr>
    <w:rPr>
      <w:b/>
      <w:sz w:val="20"/>
    </w:rPr>
  </w:style>
  <w:style w:type="character" w:styleId="CommentReference">
    <w:name w:val="annotation reference"/>
    <w:uiPriority w:val="99"/>
    <w:rsid w:val="00F927B4"/>
    <w:rPr>
      <w:sz w:val="16"/>
      <w:szCs w:val="16"/>
    </w:rPr>
  </w:style>
  <w:style w:type="paragraph" w:styleId="CommentText">
    <w:name w:val="annotation text"/>
    <w:basedOn w:val="Normal"/>
    <w:link w:val="CommentTextChar"/>
    <w:uiPriority w:val="99"/>
    <w:qFormat/>
    <w:rsid w:val="00F927B4"/>
    <w:rPr>
      <w:sz w:val="20"/>
    </w:rPr>
  </w:style>
  <w:style w:type="character" w:customStyle="1" w:styleId="CommentTextChar">
    <w:name w:val="Comment Text Char"/>
    <w:link w:val="CommentText"/>
    <w:uiPriority w:val="99"/>
    <w:rsid w:val="00F927B4"/>
    <w:rPr>
      <w:rFonts w:ascii="Arial" w:hAnsi="Arial"/>
      <w:lang w:val="en-US" w:eastAsia="en-US"/>
    </w:rPr>
  </w:style>
  <w:style w:type="paragraph" w:styleId="CommentSubject">
    <w:name w:val="annotation subject"/>
    <w:basedOn w:val="CommentText"/>
    <w:next w:val="CommentText"/>
    <w:link w:val="CommentSubjectChar"/>
    <w:rsid w:val="00F927B4"/>
    <w:rPr>
      <w:b/>
      <w:bCs/>
    </w:rPr>
  </w:style>
  <w:style w:type="character" w:customStyle="1" w:styleId="CommentSubjectChar">
    <w:name w:val="Comment Subject Char"/>
    <w:link w:val="CommentSubject"/>
    <w:rsid w:val="00F927B4"/>
    <w:rPr>
      <w:rFonts w:ascii="Arial" w:hAnsi="Arial"/>
      <w:b/>
      <w:bCs/>
      <w:lang w:val="en-US" w:eastAsia="en-US"/>
    </w:rPr>
  </w:style>
  <w:style w:type="paragraph" w:styleId="BalloonText">
    <w:name w:val="Balloon Text"/>
    <w:basedOn w:val="Normal"/>
    <w:link w:val="BalloonTextChar"/>
    <w:rsid w:val="00193AAA"/>
    <w:rPr>
      <w:rFonts w:ascii="Tahoma" w:hAnsi="Tahoma" w:cs="Tahoma"/>
      <w:sz w:val="16"/>
      <w:szCs w:val="16"/>
    </w:rPr>
  </w:style>
  <w:style w:type="character" w:customStyle="1" w:styleId="BalloonTextChar">
    <w:name w:val="Balloon Text Char"/>
    <w:basedOn w:val="DefaultParagraphFont"/>
    <w:link w:val="BalloonText"/>
    <w:rsid w:val="00193AAA"/>
    <w:rPr>
      <w:rFonts w:ascii="Tahoma" w:hAnsi="Tahoma" w:cs="Tahoma"/>
      <w:sz w:val="16"/>
      <w:szCs w:val="16"/>
      <w:lang w:val="en-US" w:eastAsia="en-US"/>
    </w:rPr>
  </w:style>
  <w:style w:type="paragraph" w:customStyle="1" w:styleId="Text">
    <w:name w:val="Text"/>
    <w:basedOn w:val="Normal"/>
    <w:link w:val="TextChar"/>
    <w:rsid w:val="001D6557"/>
    <w:pPr>
      <w:spacing w:before="120" w:after="120"/>
    </w:pPr>
  </w:style>
  <w:style w:type="character" w:customStyle="1" w:styleId="TextChar">
    <w:name w:val="Text Char"/>
    <w:link w:val="Text"/>
    <w:rsid w:val="001D6557"/>
    <w:rPr>
      <w:rFonts w:ascii="Arial" w:hAnsi="Arial"/>
      <w:sz w:val="22"/>
      <w:lang w:val="en-US" w:eastAsia="en-US"/>
    </w:rPr>
  </w:style>
  <w:style w:type="paragraph" w:styleId="ListParagraph">
    <w:name w:val="List Paragraph"/>
    <w:basedOn w:val="Normal"/>
    <w:uiPriority w:val="34"/>
    <w:qFormat/>
    <w:rsid w:val="00843C73"/>
    <w:pPr>
      <w:ind w:left="720"/>
      <w:contextualSpacing/>
    </w:pPr>
  </w:style>
  <w:style w:type="paragraph" w:customStyle="1" w:styleId="TextItalicized">
    <w:name w:val="Text Italicized"/>
    <w:basedOn w:val="Normal"/>
    <w:link w:val="TextItalicizedChar"/>
    <w:rsid w:val="00812A91"/>
    <w:rPr>
      <w:rFonts w:ascii="Times New Roman" w:eastAsia="MS Mincho" w:hAnsi="Times New Roman"/>
      <w:i/>
      <w:iCs/>
      <w:color w:val="000000"/>
      <w:sz w:val="24"/>
      <w:lang w:eastAsia="ja-JP"/>
    </w:rPr>
  </w:style>
  <w:style w:type="character" w:customStyle="1" w:styleId="TextItalicizedChar">
    <w:name w:val="Text Italicized Char"/>
    <w:basedOn w:val="DefaultParagraphFont"/>
    <w:link w:val="TextItalicized"/>
    <w:rsid w:val="00812A91"/>
    <w:rPr>
      <w:rFonts w:eastAsia="MS Mincho"/>
      <w:i/>
      <w:iCs/>
      <w:color w:val="000000"/>
      <w:sz w:val="24"/>
      <w:szCs w:val="24"/>
      <w:lang w:val="en-US" w:eastAsia="ja-JP"/>
    </w:rPr>
  </w:style>
  <w:style w:type="paragraph" w:customStyle="1" w:styleId="Default">
    <w:name w:val="Default"/>
    <w:rsid w:val="00BC343A"/>
    <w:pPr>
      <w:autoSpaceDE w:val="0"/>
      <w:autoSpaceDN w:val="0"/>
      <w:adjustRightInd w:val="0"/>
    </w:pPr>
    <w:rPr>
      <w:rFonts w:eastAsia="SimSun"/>
      <w:color w:val="000000"/>
      <w:sz w:val="24"/>
      <w:szCs w:val="24"/>
      <w:lang w:val="en-US" w:eastAsia="en-US"/>
    </w:rPr>
  </w:style>
  <w:style w:type="character" w:customStyle="1" w:styleId="followingxmchange">
    <w:name w:val="following_xmchange"/>
    <w:basedOn w:val="DefaultParagraphFont"/>
    <w:rsid w:val="00BC343A"/>
  </w:style>
  <w:style w:type="character" w:customStyle="1" w:styleId="apple-converted-space">
    <w:name w:val="apple-converted-space"/>
    <w:basedOn w:val="DefaultParagraphFont"/>
    <w:rsid w:val="0091308D"/>
  </w:style>
  <w:style w:type="character" w:customStyle="1" w:styleId="xmchange">
    <w:name w:val="xmchange"/>
    <w:basedOn w:val="DefaultParagraphFont"/>
    <w:rsid w:val="0091308D"/>
  </w:style>
  <w:style w:type="paragraph" w:customStyle="1" w:styleId="TableCenterAlign">
    <w:name w:val="TableCenterAlign"/>
    <w:basedOn w:val="Normal"/>
    <w:rsid w:val="00193AAA"/>
    <w:pPr>
      <w:spacing w:before="60" w:after="60" w:line="240" w:lineRule="atLeast"/>
      <w:jc w:val="center"/>
    </w:pPr>
  </w:style>
  <w:style w:type="paragraph" w:styleId="NormalWeb">
    <w:name w:val="Normal (Web)"/>
    <w:basedOn w:val="Normal"/>
    <w:uiPriority w:val="99"/>
    <w:rsid w:val="00D06CC3"/>
    <w:pPr>
      <w:spacing w:before="100" w:beforeAutospacing="1" w:after="100" w:afterAutospacing="1"/>
    </w:pPr>
    <w:rPr>
      <w:rFonts w:ascii="Arial Unicode MS" w:eastAsia="Arial Unicode MS" w:hAnsi="Arial Unicode MS" w:cs="Arial Unicode MS"/>
    </w:rPr>
  </w:style>
  <w:style w:type="paragraph" w:styleId="Caption">
    <w:name w:val="caption"/>
    <w:basedOn w:val="Normal"/>
    <w:next w:val="Text"/>
    <w:qFormat/>
    <w:rsid w:val="00193AAA"/>
    <w:pPr>
      <w:keepNext/>
      <w:spacing w:before="300" w:after="100"/>
      <w:jc w:val="center"/>
    </w:pPr>
    <w:rPr>
      <w:b/>
    </w:rPr>
  </w:style>
  <w:style w:type="paragraph" w:styleId="ListBullet">
    <w:name w:val="List Bullet"/>
    <w:basedOn w:val="Normal"/>
    <w:link w:val="ListBulletChar"/>
    <w:rsid w:val="007925BA"/>
    <w:pPr>
      <w:tabs>
        <w:tab w:val="num" w:pos="360"/>
      </w:tabs>
      <w:ind w:left="360" w:hanging="360"/>
    </w:pPr>
    <w:rPr>
      <w:rFonts w:ascii="Times New Roman" w:eastAsia="MS Mincho" w:hAnsi="Times New Roman"/>
      <w:i/>
      <w:sz w:val="24"/>
      <w:lang w:eastAsia="ja-JP"/>
    </w:rPr>
  </w:style>
  <w:style w:type="character" w:customStyle="1" w:styleId="ListBulletChar">
    <w:name w:val="List Bullet Char"/>
    <w:basedOn w:val="DefaultParagraphFont"/>
    <w:link w:val="ListBullet"/>
    <w:rsid w:val="007925BA"/>
    <w:rPr>
      <w:rFonts w:eastAsia="MS Mincho"/>
      <w:i/>
      <w:sz w:val="24"/>
      <w:lang w:val="en-US" w:eastAsia="ja-JP"/>
    </w:rPr>
  </w:style>
  <w:style w:type="table" w:styleId="TableGrid">
    <w:name w:val="Table Grid"/>
    <w:basedOn w:val="TableNormal"/>
    <w:uiPriority w:val="59"/>
    <w:rsid w:val="00EB0BA1"/>
    <w:rPr>
      <w:rFonts w:eastAsia="SimSun"/>
      <w:lang w:val="de-DE"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Normal"/>
    <w:link w:val="DraftingNotesAgencyChar"/>
    <w:rsid w:val="00B418CD"/>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basedOn w:val="DefaultParagraphFont"/>
    <w:link w:val="DraftingNotesAgency"/>
    <w:rsid w:val="00B418CD"/>
    <w:rPr>
      <w:rFonts w:ascii="Courier New" w:eastAsia="Verdana" w:hAnsi="Courier New"/>
      <w:i/>
      <w:color w:val="339966"/>
      <w:sz w:val="22"/>
      <w:szCs w:val="18"/>
      <w:lang w:val="en-GB" w:eastAsia="en-GB"/>
    </w:rPr>
  </w:style>
  <w:style w:type="paragraph" w:styleId="Revision">
    <w:name w:val="Revision"/>
    <w:hidden/>
    <w:uiPriority w:val="99"/>
    <w:semiHidden/>
    <w:rsid w:val="00DE7F77"/>
    <w:rPr>
      <w:rFonts w:ascii="Arial" w:hAnsi="Arial"/>
      <w:sz w:val="22"/>
      <w:szCs w:val="24"/>
      <w:lang w:val="en-US" w:eastAsia="en-US"/>
    </w:rPr>
  </w:style>
  <w:style w:type="character" w:customStyle="1" w:styleId="StyleTextItalicizedLatinArial11ptBoldAuto">
    <w:name w:val="Style Text Italicized + (Latin) Arial 11 pt Bold Auto"/>
    <w:basedOn w:val="DefaultParagraphFont"/>
    <w:uiPriority w:val="1"/>
    <w:rsid w:val="00B83CF2"/>
    <w:rPr>
      <w:rFonts w:ascii="Arial" w:hAnsi="Arial" w:cs="Arial"/>
      <w:b/>
      <w:color w:val="auto"/>
      <w:sz w:val="22"/>
      <w:szCs w:val="22"/>
    </w:rPr>
  </w:style>
  <w:style w:type="paragraph" w:customStyle="1" w:styleId="Heading3-Italic">
    <w:name w:val="Heading 3 - Italic"/>
    <w:aliases w:val="no bold,no underline"/>
    <w:basedOn w:val="Heading2"/>
    <w:rsid w:val="00E809CE"/>
    <w:rPr>
      <w:b w:val="0"/>
      <w:bCs/>
      <w:i/>
    </w:rPr>
  </w:style>
  <w:style w:type="character" w:customStyle="1" w:styleId="Heading4Char">
    <w:name w:val="Heading 4 Char"/>
    <w:basedOn w:val="DefaultParagraphFont"/>
    <w:link w:val="Heading4"/>
    <w:rsid w:val="00071D5D"/>
    <w:rPr>
      <w:rFonts w:ascii="Arial" w:hAnsi="Arial"/>
      <w:i/>
      <w:sz w:val="22"/>
      <w:lang w:val="en-US" w:eastAsia="en-US"/>
    </w:rPr>
  </w:style>
  <w:style w:type="character" w:customStyle="1" w:styleId="Heading5Char">
    <w:name w:val="Heading 5 Char"/>
    <w:basedOn w:val="DefaultParagraphFont"/>
    <w:link w:val="Heading5"/>
    <w:rsid w:val="003951D0"/>
    <w:rPr>
      <w:rFonts w:ascii="Arial" w:hAnsi="Arial"/>
      <w:i/>
      <w:sz w:val="22"/>
      <w:lang w:val="en-US" w:eastAsia="en-US"/>
    </w:rPr>
  </w:style>
  <w:style w:type="character" w:customStyle="1" w:styleId="Heading6Char">
    <w:name w:val="Heading 6 Char"/>
    <w:basedOn w:val="DefaultParagraphFont"/>
    <w:link w:val="Heading6"/>
    <w:rsid w:val="00963C18"/>
    <w:rPr>
      <w:rFonts w:ascii="Arial" w:hAnsi="Arial"/>
      <w:b/>
      <w:sz w:val="22"/>
      <w:lang w:val="en-US" w:eastAsia="en-US"/>
    </w:rPr>
  </w:style>
  <w:style w:type="character" w:customStyle="1" w:styleId="Heading7Char">
    <w:name w:val="Heading 7 Char"/>
    <w:basedOn w:val="DefaultParagraphFont"/>
    <w:link w:val="Heading7"/>
    <w:rsid w:val="00963C18"/>
    <w:rPr>
      <w:rFonts w:ascii="Arial" w:hAnsi="Arial"/>
      <w:b/>
      <w:sz w:val="22"/>
      <w:lang w:val="en-US" w:eastAsia="en-US"/>
    </w:rPr>
  </w:style>
  <w:style w:type="character" w:customStyle="1" w:styleId="Heading8Char">
    <w:name w:val="Heading 8 Char"/>
    <w:basedOn w:val="DefaultParagraphFont"/>
    <w:link w:val="Heading8"/>
    <w:rsid w:val="00963C18"/>
    <w:rPr>
      <w:rFonts w:ascii="Arial" w:hAnsi="Arial"/>
      <w:b/>
      <w:sz w:val="22"/>
      <w:lang w:val="en-US" w:eastAsia="en-US"/>
    </w:rPr>
  </w:style>
  <w:style w:type="character" w:customStyle="1" w:styleId="Heading9Char">
    <w:name w:val="Heading 9 Char"/>
    <w:basedOn w:val="DefaultParagraphFont"/>
    <w:link w:val="Heading9"/>
    <w:rsid w:val="00963C18"/>
    <w:rPr>
      <w:rFonts w:ascii="Arial" w:hAnsi="Arial"/>
      <w:b/>
      <w:sz w:val="22"/>
      <w:lang w:val="en-US" w:eastAsia="en-US"/>
    </w:rPr>
  </w:style>
  <w:style w:type="paragraph" w:styleId="Title">
    <w:name w:val="Title"/>
    <w:basedOn w:val="Normal"/>
    <w:link w:val="TitleChar"/>
    <w:qFormat/>
    <w:rsid w:val="00193AAA"/>
    <w:pPr>
      <w:suppressAutoHyphens w:val="0"/>
      <w:spacing w:before="240" w:after="60"/>
      <w:jc w:val="center"/>
      <w:outlineLvl w:val="0"/>
    </w:pPr>
    <w:rPr>
      <w:b/>
      <w:kern w:val="28"/>
      <w:sz w:val="32"/>
    </w:rPr>
  </w:style>
  <w:style w:type="character" w:customStyle="1" w:styleId="TitleChar">
    <w:name w:val="Title Char"/>
    <w:basedOn w:val="DefaultParagraphFont"/>
    <w:link w:val="Title"/>
    <w:rsid w:val="00963C18"/>
    <w:rPr>
      <w:rFonts w:ascii="Arial" w:hAnsi="Arial"/>
      <w:b/>
      <w:kern w:val="28"/>
      <w:sz w:val="32"/>
      <w:lang w:val="en-US" w:eastAsia="en-US"/>
    </w:rPr>
  </w:style>
  <w:style w:type="paragraph" w:customStyle="1" w:styleId="Heading7Bold">
    <w:name w:val="Heading 7Bold"/>
    <w:basedOn w:val="Normal"/>
    <w:next w:val="Text"/>
    <w:rsid w:val="00193AAA"/>
    <w:pPr>
      <w:keepNext/>
      <w:spacing w:before="120" w:after="120"/>
    </w:pPr>
    <w:rPr>
      <w:b/>
    </w:rPr>
  </w:style>
  <w:style w:type="paragraph" w:customStyle="1" w:styleId="Heading8BoldItalic">
    <w:name w:val="Heading 8BoldItalic"/>
    <w:basedOn w:val="Normal"/>
    <w:next w:val="Text"/>
    <w:rsid w:val="00193AAA"/>
    <w:pPr>
      <w:keepNext/>
      <w:spacing w:before="120" w:after="120"/>
    </w:pPr>
    <w:rPr>
      <w:b/>
      <w:i/>
    </w:rPr>
  </w:style>
  <w:style w:type="paragraph" w:customStyle="1" w:styleId="Heading9Italic">
    <w:name w:val="Heading 9Italic"/>
    <w:basedOn w:val="Normal"/>
    <w:next w:val="Text"/>
    <w:rsid w:val="00193AAA"/>
    <w:pPr>
      <w:keepNext/>
      <w:spacing w:before="120" w:after="120"/>
    </w:pPr>
    <w:rPr>
      <w:i/>
    </w:rPr>
  </w:style>
  <w:style w:type="paragraph" w:customStyle="1" w:styleId="CenterBold">
    <w:name w:val="CenterBold"/>
    <w:basedOn w:val="Normal"/>
    <w:next w:val="Normal"/>
    <w:rsid w:val="00193AAA"/>
    <w:pPr>
      <w:keepNext/>
      <w:keepLines/>
      <w:spacing w:before="300" w:after="120"/>
      <w:jc w:val="center"/>
    </w:pPr>
    <w:rPr>
      <w:b/>
    </w:rPr>
  </w:style>
  <w:style w:type="paragraph" w:customStyle="1" w:styleId="Confidential">
    <w:name w:val="Confidential"/>
    <w:basedOn w:val="Normal"/>
    <w:semiHidden/>
    <w:rsid w:val="00193AAA"/>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193AAA"/>
    <w:pPr>
      <w:spacing w:before="400" w:after="400"/>
    </w:pPr>
    <w:rPr>
      <w:sz w:val="24"/>
    </w:rPr>
  </w:style>
  <w:style w:type="paragraph" w:customStyle="1" w:styleId="FigureLegend">
    <w:name w:val="FigureLegend"/>
    <w:basedOn w:val="Text"/>
    <w:rsid w:val="00193AAA"/>
    <w:pPr>
      <w:keepLines/>
      <w:spacing w:after="0"/>
    </w:pPr>
    <w:rPr>
      <w:sz w:val="18"/>
    </w:rPr>
  </w:style>
  <w:style w:type="paragraph" w:customStyle="1" w:styleId="FlushLeftBold">
    <w:name w:val="FlushLeftBold"/>
    <w:basedOn w:val="Normal"/>
    <w:next w:val="Text"/>
    <w:rsid w:val="00193AAA"/>
    <w:pPr>
      <w:keepNext/>
      <w:keepLines/>
      <w:spacing w:before="120" w:after="120"/>
    </w:pPr>
    <w:rPr>
      <w:b/>
    </w:rPr>
  </w:style>
  <w:style w:type="paragraph" w:customStyle="1" w:styleId="FootnoteLine">
    <w:name w:val="FootnoteLine"/>
    <w:basedOn w:val="Normal"/>
    <w:next w:val="Normal"/>
    <w:semiHidden/>
    <w:rsid w:val="00193AAA"/>
    <w:pPr>
      <w:pBdr>
        <w:bottom w:val="single" w:sz="6" w:space="6" w:color="auto"/>
      </w:pBdr>
      <w:spacing w:line="160" w:lineRule="atLeast"/>
    </w:pPr>
    <w:rPr>
      <w:sz w:val="16"/>
    </w:rPr>
  </w:style>
  <w:style w:type="paragraph" w:customStyle="1" w:styleId="FootnoteText">
    <w:name w:val="FootnoteText"/>
    <w:basedOn w:val="TableLeftAlign"/>
    <w:next w:val="Text"/>
    <w:rsid w:val="00193AAA"/>
    <w:pPr>
      <w:keepLines/>
      <w:spacing w:before="0" w:after="0" w:line="240" w:lineRule="auto"/>
      <w:ind w:left="144" w:hanging="144"/>
    </w:pPr>
    <w:rPr>
      <w:sz w:val="18"/>
    </w:rPr>
  </w:style>
  <w:style w:type="paragraph" w:customStyle="1" w:styleId="TableLeftAlign">
    <w:name w:val="TableLeftAlign"/>
    <w:basedOn w:val="Normal"/>
    <w:rsid w:val="00193AAA"/>
    <w:pPr>
      <w:spacing w:before="60" w:after="60" w:line="240" w:lineRule="atLeast"/>
    </w:pPr>
  </w:style>
  <w:style w:type="paragraph" w:customStyle="1" w:styleId="Insert">
    <w:name w:val="Insert"/>
    <w:basedOn w:val="Normal"/>
    <w:rsid w:val="00193AAA"/>
    <w:pPr>
      <w:spacing w:before="100" w:after="100"/>
      <w:jc w:val="center"/>
    </w:pPr>
  </w:style>
  <w:style w:type="character" w:styleId="PageNumber">
    <w:name w:val="page number"/>
    <w:basedOn w:val="DefaultParagraphFont"/>
    <w:rsid w:val="00193AAA"/>
  </w:style>
  <w:style w:type="paragraph" w:customStyle="1" w:styleId="TextList">
    <w:name w:val="TextList"/>
    <w:basedOn w:val="Text"/>
    <w:rsid w:val="00193AAA"/>
    <w:pPr>
      <w:spacing w:after="100" w:line="280" w:lineRule="atLeast"/>
      <w:ind w:left="360" w:hanging="360"/>
    </w:pPr>
  </w:style>
  <w:style w:type="paragraph" w:customStyle="1" w:styleId="RefList">
    <w:name w:val="RefList#"/>
    <w:basedOn w:val="TextList"/>
    <w:rsid w:val="00193AAA"/>
    <w:pPr>
      <w:keepLines/>
      <w:spacing w:after="0" w:line="240" w:lineRule="auto"/>
    </w:pPr>
  </w:style>
  <w:style w:type="paragraph" w:customStyle="1" w:styleId="RefListAlpha">
    <w:name w:val="RefListAlpha"/>
    <w:basedOn w:val="Text"/>
    <w:rsid w:val="00193AAA"/>
    <w:pPr>
      <w:keepLines/>
    </w:pPr>
  </w:style>
  <w:style w:type="paragraph" w:customStyle="1" w:styleId="RightTabBold">
    <w:name w:val="RightTabBold"/>
    <w:basedOn w:val="Normal"/>
    <w:semiHidden/>
    <w:rsid w:val="00193AAA"/>
    <w:pPr>
      <w:tabs>
        <w:tab w:val="right" w:pos="8640"/>
      </w:tabs>
      <w:spacing w:before="100" w:after="100"/>
    </w:pPr>
    <w:rPr>
      <w:b/>
    </w:rPr>
  </w:style>
  <w:style w:type="paragraph" w:customStyle="1" w:styleId="SectionBreak">
    <w:name w:val="SectionBreak"/>
    <w:basedOn w:val="Normal"/>
    <w:next w:val="Text"/>
    <w:semiHidden/>
    <w:rsid w:val="00193AAA"/>
  </w:style>
  <w:style w:type="paragraph" w:styleId="TableofFigures">
    <w:name w:val="table of figures"/>
    <w:basedOn w:val="Text"/>
    <w:next w:val="Text"/>
    <w:rsid w:val="00193AAA"/>
    <w:pPr>
      <w:keepLines/>
      <w:tabs>
        <w:tab w:val="right" w:leader="dot" w:pos="8640"/>
      </w:tabs>
      <w:spacing w:before="0"/>
      <w:ind w:left="1426" w:right="1080" w:hanging="1426"/>
    </w:pPr>
    <w:rPr>
      <w:color w:val="0000FF"/>
    </w:rPr>
  </w:style>
  <w:style w:type="paragraph" w:customStyle="1" w:styleId="TextBullet">
    <w:name w:val="TextBullet"/>
    <w:basedOn w:val="Normal"/>
    <w:rsid w:val="00193AAA"/>
    <w:pPr>
      <w:numPr>
        <w:numId w:val="27"/>
      </w:numPr>
      <w:spacing w:after="100"/>
    </w:pPr>
  </w:style>
  <w:style w:type="paragraph" w:customStyle="1" w:styleId="TextDash">
    <w:name w:val="TextDash"/>
    <w:basedOn w:val="TextBullet"/>
    <w:rsid w:val="00193AAA"/>
    <w:pPr>
      <w:numPr>
        <w:numId w:val="26"/>
      </w:numPr>
    </w:pPr>
  </w:style>
  <w:style w:type="paragraph" w:customStyle="1" w:styleId="TextIndent">
    <w:name w:val="TextIndent"/>
    <w:basedOn w:val="Text"/>
    <w:rsid w:val="00193AAA"/>
    <w:pPr>
      <w:spacing w:line="280" w:lineRule="atLeast"/>
      <w:ind w:left="360"/>
    </w:pPr>
  </w:style>
  <w:style w:type="paragraph" w:customStyle="1" w:styleId="TextSingleSpace">
    <w:name w:val="TextSingleSpace"/>
    <w:basedOn w:val="Text"/>
    <w:rsid w:val="00193AAA"/>
  </w:style>
  <w:style w:type="paragraph" w:styleId="TOC1">
    <w:name w:val="toc 1"/>
    <w:basedOn w:val="Text"/>
    <w:next w:val="Text"/>
    <w:autoRedefine/>
    <w:rsid w:val="00193AAA"/>
    <w:pPr>
      <w:keepLines/>
      <w:tabs>
        <w:tab w:val="right" w:leader="dot" w:pos="8640"/>
      </w:tabs>
      <w:spacing w:before="200" w:after="0"/>
      <w:ind w:left="547" w:right="1080" w:hanging="547"/>
    </w:pPr>
    <w:rPr>
      <w:noProof/>
      <w:color w:val="0000FF"/>
    </w:rPr>
  </w:style>
  <w:style w:type="paragraph" w:styleId="TOC2">
    <w:name w:val="toc 2"/>
    <w:basedOn w:val="TOC1"/>
    <w:next w:val="Text"/>
    <w:autoRedefine/>
    <w:rsid w:val="00193AAA"/>
    <w:pPr>
      <w:tabs>
        <w:tab w:val="left" w:pos="1267"/>
      </w:tabs>
      <w:spacing w:before="60"/>
      <w:ind w:left="1267" w:hanging="720"/>
    </w:pPr>
  </w:style>
  <w:style w:type="paragraph" w:styleId="TOC3">
    <w:name w:val="toc 3"/>
    <w:basedOn w:val="TOC2"/>
    <w:next w:val="Text"/>
    <w:autoRedefine/>
    <w:rsid w:val="00193AAA"/>
    <w:pPr>
      <w:tabs>
        <w:tab w:val="clear" w:pos="1267"/>
        <w:tab w:val="left" w:pos="2246"/>
      </w:tabs>
      <w:ind w:left="2261" w:hanging="994"/>
    </w:pPr>
  </w:style>
  <w:style w:type="paragraph" w:styleId="TOC4">
    <w:name w:val="toc 4"/>
    <w:basedOn w:val="TOC3"/>
    <w:next w:val="Text"/>
    <w:autoRedefine/>
    <w:rsid w:val="00193AAA"/>
    <w:pPr>
      <w:ind w:left="3384" w:hanging="1123"/>
    </w:pPr>
  </w:style>
  <w:style w:type="paragraph" w:styleId="TOC5">
    <w:name w:val="toc 5"/>
    <w:basedOn w:val="TOC2"/>
    <w:next w:val="Text"/>
    <w:autoRedefine/>
    <w:rsid w:val="00193AAA"/>
  </w:style>
  <w:style w:type="paragraph" w:styleId="TOC6">
    <w:name w:val="toc 6"/>
    <w:basedOn w:val="TOC2"/>
    <w:next w:val="Text"/>
    <w:autoRedefine/>
    <w:rsid w:val="00193AAA"/>
  </w:style>
  <w:style w:type="paragraph" w:styleId="TOC7">
    <w:name w:val="toc 7"/>
    <w:basedOn w:val="Normal"/>
    <w:next w:val="Normal"/>
    <w:autoRedefine/>
    <w:rsid w:val="00193AAA"/>
    <w:pPr>
      <w:tabs>
        <w:tab w:val="right" w:leader="dot" w:pos="8640"/>
      </w:tabs>
      <w:ind w:left="1320"/>
    </w:pPr>
  </w:style>
  <w:style w:type="paragraph" w:styleId="TOC8">
    <w:name w:val="toc 8"/>
    <w:basedOn w:val="Normal"/>
    <w:next w:val="Normal"/>
    <w:autoRedefine/>
    <w:rsid w:val="00193AAA"/>
    <w:pPr>
      <w:tabs>
        <w:tab w:val="right" w:leader="dot" w:pos="8640"/>
      </w:tabs>
      <w:ind w:left="1540"/>
    </w:pPr>
  </w:style>
  <w:style w:type="paragraph" w:styleId="TOC9">
    <w:name w:val="toc 9"/>
    <w:basedOn w:val="Normal"/>
    <w:next w:val="Normal"/>
    <w:autoRedefine/>
    <w:rsid w:val="00193AAA"/>
    <w:pPr>
      <w:tabs>
        <w:tab w:val="right" w:leader="dot" w:pos="8640"/>
      </w:tabs>
      <w:ind w:left="1760"/>
    </w:pPr>
  </w:style>
  <w:style w:type="paragraph" w:customStyle="1" w:styleId="Heading0">
    <w:name w:val="Heading 0"/>
    <w:basedOn w:val="Normal"/>
    <w:next w:val="Text"/>
    <w:rsid w:val="00193AAA"/>
    <w:pPr>
      <w:keepNext/>
      <w:pageBreakBefore/>
      <w:spacing w:before="120" w:after="120"/>
      <w:ind w:left="1440" w:hanging="1440"/>
    </w:pPr>
    <w:rPr>
      <w:b/>
    </w:rPr>
  </w:style>
  <w:style w:type="paragraph" w:customStyle="1" w:styleId="NumberRestart">
    <w:name w:val="NumberRestart"/>
    <w:basedOn w:val="Text"/>
    <w:semiHidden/>
    <w:rsid w:val="00193AAA"/>
    <w:pPr>
      <w:numPr>
        <w:numId w:val="28"/>
      </w:numPr>
      <w:outlineLvl w:val="0"/>
    </w:pPr>
  </w:style>
  <w:style w:type="paragraph" w:styleId="DocumentMap">
    <w:name w:val="Document Map"/>
    <w:basedOn w:val="Normal"/>
    <w:link w:val="DocumentMapChar"/>
    <w:rsid w:val="00193AAA"/>
    <w:pPr>
      <w:shd w:val="clear" w:color="auto" w:fill="000080"/>
    </w:pPr>
    <w:rPr>
      <w:rFonts w:ascii="Tahoma" w:hAnsi="Tahoma" w:cs="Tahoma"/>
    </w:rPr>
  </w:style>
  <w:style w:type="character" w:customStyle="1" w:styleId="DocumentMapChar">
    <w:name w:val="Document Map Char"/>
    <w:basedOn w:val="DefaultParagraphFont"/>
    <w:link w:val="DocumentMap"/>
    <w:rsid w:val="00963C18"/>
    <w:rPr>
      <w:rFonts w:ascii="Tahoma" w:hAnsi="Tahoma" w:cs="Tahoma"/>
      <w:sz w:val="22"/>
      <w:shd w:val="clear" w:color="auto" w:fill="000080"/>
      <w:lang w:val="en-US" w:eastAsia="en-US"/>
    </w:rPr>
  </w:style>
  <w:style w:type="character" w:styleId="Hyperlink">
    <w:name w:val="Hyperlink"/>
    <w:basedOn w:val="DefaultParagraphFont"/>
    <w:rsid w:val="00193AAA"/>
    <w:rPr>
      <w:color w:val="0000FF"/>
      <w:u w:val="single"/>
    </w:rPr>
  </w:style>
  <w:style w:type="paragraph" w:customStyle="1" w:styleId="TablePageNumber">
    <w:name w:val="TablePageNumber"/>
    <w:basedOn w:val="Normal"/>
    <w:next w:val="Text"/>
    <w:rsid w:val="00193AAA"/>
    <w:pPr>
      <w:spacing w:line="240" w:lineRule="atLeast"/>
      <w:jc w:val="right"/>
    </w:pPr>
    <w:rPr>
      <w:sz w:val="20"/>
    </w:rPr>
  </w:style>
  <w:style w:type="paragraph" w:customStyle="1" w:styleId="StyleListParagraphBold">
    <w:name w:val="Style List Paragraph + Bold"/>
    <w:basedOn w:val="ListParagraph"/>
    <w:rsid w:val="003951D0"/>
    <w:pPr>
      <w:numPr>
        <w:numId w:val="33"/>
      </w:numPr>
    </w:pPr>
    <w:rPr>
      <w:b/>
      <w:bCs/>
    </w:rPr>
  </w:style>
  <w:style w:type="paragraph" w:customStyle="1" w:styleId="StyleListParagraphBold1">
    <w:name w:val="Style List Paragraph + Bold1"/>
    <w:basedOn w:val="ListParagraph"/>
    <w:rsid w:val="007648D0"/>
    <w:pPr>
      <w:ind w:left="794"/>
    </w:pPr>
    <w:rPr>
      <w:b/>
      <w:bCs/>
    </w:rPr>
  </w:style>
  <w:style w:type="paragraph" w:customStyle="1" w:styleId="StyleBoxSinglesolidlineText215ptLinewidth">
    <w:name w:val="Style Box: (Single solid line Text 2  1.5 pt Line width)"/>
    <w:basedOn w:val="Normal"/>
    <w:rsid w:val="000A4A4D"/>
    <w:pPr>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AA"/>
    <w:pPr>
      <w:suppressAutoHyphens/>
    </w:pPr>
    <w:rPr>
      <w:rFonts w:ascii="Arial" w:hAnsi="Arial"/>
      <w:sz w:val="22"/>
      <w:lang w:val="en-US" w:eastAsia="en-US"/>
    </w:rPr>
  </w:style>
  <w:style w:type="paragraph" w:styleId="Heading1">
    <w:name w:val="heading 1"/>
    <w:basedOn w:val="Normal"/>
    <w:next w:val="Text"/>
    <w:qFormat/>
    <w:rsid w:val="00071D5D"/>
    <w:pPr>
      <w:keepNext/>
      <w:spacing w:before="120" w:after="120"/>
      <w:outlineLvl w:val="0"/>
    </w:pPr>
    <w:rPr>
      <w:b/>
    </w:rPr>
  </w:style>
  <w:style w:type="paragraph" w:styleId="Heading2">
    <w:name w:val="heading 2"/>
    <w:basedOn w:val="Heading1"/>
    <w:next w:val="Text"/>
    <w:qFormat/>
    <w:rsid w:val="00071D5D"/>
    <w:pPr>
      <w:outlineLvl w:val="1"/>
    </w:pPr>
  </w:style>
  <w:style w:type="paragraph" w:styleId="Heading3">
    <w:name w:val="heading 3"/>
    <w:basedOn w:val="Heading2"/>
    <w:next w:val="Text"/>
    <w:qFormat/>
    <w:rsid w:val="00071D5D"/>
    <w:pPr>
      <w:numPr>
        <w:ilvl w:val="2"/>
      </w:numPr>
      <w:outlineLvl w:val="2"/>
    </w:pPr>
    <w:rPr>
      <w:u w:val="single"/>
    </w:rPr>
  </w:style>
  <w:style w:type="paragraph" w:styleId="Heading4">
    <w:name w:val="heading 4"/>
    <w:basedOn w:val="Heading3"/>
    <w:next w:val="Text"/>
    <w:link w:val="Heading4Char"/>
    <w:qFormat/>
    <w:rsid w:val="00071D5D"/>
    <w:pPr>
      <w:numPr>
        <w:ilvl w:val="3"/>
      </w:numPr>
      <w:outlineLvl w:val="3"/>
    </w:pPr>
    <w:rPr>
      <w:b w:val="0"/>
      <w:i/>
      <w:u w:val="none"/>
    </w:rPr>
  </w:style>
  <w:style w:type="paragraph" w:styleId="Heading5">
    <w:name w:val="heading 5"/>
    <w:basedOn w:val="Heading4"/>
    <w:next w:val="Text"/>
    <w:link w:val="Heading5Char"/>
    <w:qFormat/>
    <w:rsid w:val="003951D0"/>
    <w:pPr>
      <w:outlineLvl w:val="4"/>
    </w:pPr>
  </w:style>
  <w:style w:type="paragraph" w:styleId="Heading6">
    <w:name w:val="heading 6"/>
    <w:basedOn w:val="Heading2"/>
    <w:next w:val="Text"/>
    <w:link w:val="Heading6Char"/>
    <w:qFormat/>
    <w:rsid w:val="00193AAA"/>
    <w:pPr>
      <w:numPr>
        <w:ilvl w:val="5"/>
      </w:numPr>
      <w:outlineLvl w:val="5"/>
    </w:pPr>
  </w:style>
  <w:style w:type="paragraph" w:styleId="Heading7">
    <w:name w:val="heading 7"/>
    <w:basedOn w:val="Heading2"/>
    <w:next w:val="Text"/>
    <w:link w:val="Heading7Char"/>
    <w:qFormat/>
    <w:rsid w:val="00193AAA"/>
    <w:pPr>
      <w:numPr>
        <w:ilvl w:val="6"/>
      </w:numPr>
      <w:outlineLvl w:val="6"/>
    </w:pPr>
  </w:style>
  <w:style w:type="paragraph" w:styleId="Heading8">
    <w:name w:val="heading 8"/>
    <w:basedOn w:val="Heading2"/>
    <w:next w:val="Text"/>
    <w:link w:val="Heading8Char"/>
    <w:qFormat/>
    <w:rsid w:val="00193AAA"/>
    <w:pPr>
      <w:numPr>
        <w:ilvl w:val="7"/>
      </w:numPr>
      <w:outlineLvl w:val="7"/>
    </w:pPr>
  </w:style>
  <w:style w:type="paragraph" w:styleId="Heading9">
    <w:name w:val="heading 9"/>
    <w:basedOn w:val="Heading2"/>
    <w:next w:val="Text"/>
    <w:link w:val="Heading9Char"/>
    <w:qFormat/>
    <w:rsid w:val="00193AA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AAA"/>
    <w:pPr>
      <w:keepLines/>
      <w:pBdr>
        <w:bottom w:val="single" w:sz="12" w:space="6" w:color="auto"/>
      </w:pBdr>
      <w:tabs>
        <w:tab w:val="right" w:pos="8640"/>
      </w:tabs>
      <w:spacing w:line="200" w:lineRule="atLeast"/>
    </w:pPr>
    <w:rPr>
      <w:b/>
      <w:sz w:val="20"/>
    </w:rPr>
  </w:style>
  <w:style w:type="paragraph" w:styleId="Footer">
    <w:name w:val="footer"/>
    <w:basedOn w:val="Normal"/>
    <w:rsid w:val="00193AAA"/>
    <w:pPr>
      <w:keepLines/>
      <w:pBdr>
        <w:top w:val="single" w:sz="12" w:space="6" w:color="auto"/>
      </w:pBdr>
      <w:tabs>
        <w:tab w:val="center" w:pos="4320"/>
        <w:tab w:val="right" w:pos="8640"/>
      </w:tabs>
      <w:spacing w:line="200" w:lineRule="atLeast"/>
    </w:pPr>
    <w:rPr>
      <w:b/>
      <w:sz w:val="20"/>
    </w:rPr>
  </w:style>
  <w:style w:type="character" w:styleId="CommentReference">
    <w:name w:val="annotation reference"/>
    <w:uiPriority w:val="99"/>
    <w:rsid w:val="00F927B4"/>
    <w:rPr>
      <w:sz w:val="16"/>
      <w:szCs w:val="16"/>
    </w:rPr>
  </w:style>
  <w:style w:type="paragraph" w:styleId="CommentText">
    <w:name w:val="annotation text"/>
    <w:basedOn w:val="Normal"/>
    <w:link w:val="CommentTextChar"/>
    <w:uiPriority w:val="99"/>
    <w:qFormat/>
    <w:rsid w:val="00F927B4"/>
    <w:rPr>
      <w:sz w:val="20"/>
    </w:rPr>
  </w:style>
  <w:style w:type="character" w:customStyle="1" w:styleId="CommentTextChar">
    <w:name w:val="Comment Text Char"/>
    <w:link w:val="CommentText"/>
    <w:uiPriority w:val="99"/>
    <w:rsid w:val="00F927B4"/>
    <w:rPr>
      <w:rFonts w:ascii="Arial" w:hAnsi="Arial"/>
      <w:lang w:val="en-US" w:eastAsia="en-US"/>
    </w:rPr>
  </w:style>
  <w:style w:type="paragraph" w:styleId="CommentSubject">
    <w:name w:val="annotation subject"/>
    <w:basedOn w:val="CommentText"/>
    <w:next w:val="CommentText"/>
    <w:link w:val="CommentSubjectChar"/>
    <w:rsid w:val="00F927B4"/>
    <w:rPr>
      <w:b/>
      <w:bCs/>
    </w:rPr>
  </w:style>
  <w:style w:type="character" w:customStyle="1" w:styleId="CommentSubjectChar">
    <w:name w:val="Comment Subject Char"/>
    <w:link w:val="CommentSubject"/>
    <w:rsid w:val="00F927B4"/>
    <w:rPr>
      <w:rFonts w:ascii="Arial" w:hAnsi="Arial"/>
      <w:b/>
      <w:bCs/>
      <w:lang w:val="en-US" w:eastAsia="en-US"/>
    </w:rPr>
  </w:style>
  <w:style w:type="paragraph" w:styleId="BalloonText">
    <w:name w:val="Balloon Text"/>
    <w:basedOn w:val="Normal"/>
    <w:link w:val="BalloonTextChar"/>
    <w:rsid w:val="00193AAA"/>
    <w:rPr>
      <w:rFonts w:ascii="Tahoma" w:hAnsi="Tahoma" w:cs="Tahoma"/>
      <w:sz w:val="16"/>
      <w:szCs w:val="16"/>
    </w:rPr>
  </w:style>
  <w:style w:type="character" w:customStyle="1" w:styleId="BalloonTextChar">
    <w:name w:val="Balloon Text Char"/>
    <w:basedOn w:val="DefaultParagraphFont"/>
    <w:link w:val="BalloonText"/>
    <w:rsid w:val="00193AAA"/>
    <w:rPr>
      <w:rFonts w:ascii="Tahoma" w:hAnsi="Tahoma" w:cs="Tahoma"/>
      <w:sz w:val="16"/>
      <w:szCs w:val="16"/>
      <w:lang w:val="en-US" w:eastAsia="en-US"/>
    </w:rPr>
  </w:style>
  <w:style w:type="paragraph" w:customStyle="1" w:styleId="Text">
    <w:name w:val="Text"/>
    <w:basedOn w:val="Normal"/>
    <w:link w:val="TextChar"/>
    <w:rsid w:val="001D6557"/>
    <w:pPr>
      <w:spacing w:before="120" w:after="120"/>
    </w:pPr>
  </w:style>
  <w:style w:type="character" w:customStyle="1" w:styleId="TextChar">
    <w:name w:val="Text Char"/>
    <w:link w:val="Text"/>
    <w:rsid w:val="001D6557"/>
    <w:rPr>
      <w:rFonts w:ascii="Arial" w:hAnsi="Arial"/>
      <w:sz w:val="22"/>
      <w:lang w:val="en-US" w:eastAsia="en-US"/>
    </w:rPr>
  </w:style>
  <w:style w:type="paragraph" w:styleId="ListParagraph">
    <w:name w:val="List Paragraph"/>
    <w:basedOn w:val="Normal"/>
    <w:uiPriority w:val="34"/>
    <w:qFormat/>
    <w:rsid w:val="00843C73"/>
    <w:pPr>
      <w:ind w:left="720"/>
      <w:contextualSpacing/>
    </w:pPr>
  </w:style>
  <w:style w:type="paragraph" w:customStyle="1" w:styleId="TextItalicized">
    <w:name w:val="Text Italicized"/>
    <w:basedOn w:val="Normal"/>
    <w:link w:val="TextItalicizedChar"/>
    <w:rsid w:val="00812A91"/>
    <w:rPr>
      <w:rFonts w:ascii="Times New Roman" w:eastAsia="MS Mincho" w:hAnsi="Times New Roman"/>
      <w:i/>
      <w:iCs/>
      <w:color w:val="000000"/>
      <w:sz w:val="24"/>
      <w:lang w:eastAsia="ja-JP"/>
    </w:rPr>
  </w:style>
  <w:style w:type="character" w:customStyle="1" w:styleId="TextItalicizedChar">
    <w:name w:val="Text Italicized Char"/>
    <w:basedOn w:val="DefaultParagraphFont"/>
    <w:link w:val="TextItalicized"/>
    <w:rsid w:val="00812A91"/>
    <w:rPr>
      <w:rFonts w:eastAsia="MS Mincho"/>
      <w:i/>
      <w:iCs/>
      <w:color w:val="000000"/>
      <w:sz w:val="24"/>
      <w:szCs w:val="24"/>
      <w:lang w:val="en-US" w:eastAsia="ja-JP"/>
    </w:rPr>
  </w:style>
  <w:style w:type="paragraph" w:customStyle="1" w:styleId="Default">
    <w:name w:val="Default"/>
    <w:rsid w:val="00BC343A"/>
    <w:pPr>
      <w:autoSpaceDE w:val="0"/>
      <w:autoSpaceDN w:val="0"/>
      <w:adjustRightInd w:val="0"/>
    </w:pPr>
    <w:rPr>
      <w:rFonts w:eastAsia="SimSun"/>
      <w:color w:val="000000"/>
      <w:sz w:val="24"/>
      <w:szCs w:val="24"/>
      <w:lang w:val="en-US" w:eastAsia="en-US"/>
    </w:rPr>
  </w:style>
  <w:style w:type="character" w:customStyle="1" w:styleId="followingxmchange">
    <w:name w:val="following_xmchange"/>
    <w:basedOn w:val="DefaultParagraphFont"/>
    <w:rsid w:val="00BC343A"/>
  </w:style>
  <w:style w:type="character" w:customStyle="1" w:styleId="apple-converted-space">
    <w:name w:val="apple-converted-space"/>
    <w:basedOn w:val="DefaultParagraphFont"/>
    <w:rsid w:val="0091308D"/>
  </w:style>
  <w:style w:type="character" w:customStyle="1" w:styleId="xmchange">
    <w:name w:val="xmchange"/>
    <w:basedOn w:val="DefaultParagraphFont"/>
    <w:rsid w:val="0091308D"/>
  </w:style>
  <w:style w:type="paragraph" w:customStyle="1" w:styleId="TableCenterAlign">
    <w:name w:val="TableCenterAlign"/>
    <w:basedOn w:val="Normal"/>
    <w:rsid w:val="00193AAA"/>
    <w:pPr>
      <w:spacing w:before="60" w:after="60" w:line="240" w:lineRule="atLeast"/>
      <w:jc w:val="center"/>
    </w:pPr>
  </w:style>
  <w:style w:type="paragraph" w:styleId="NormalWeb">
    <w:name w:val="Normal (Web)"/>
    <w:basedOn w:val="Normal"/>
    <w:uiPriority w:val="99"/>
    <w:rsid w:val="00D06CC3"/>
    <w:pPr>
      <w:spacing w:before="100" w:beforeAutospacing="1" w:after="100" w:afterAutospacing="1"/>
    </w:pPr>
    <w:rPr>
      <w:rFonts w:ascii="Arial Unicode MS" w:eastAsia="Arial Unicode MS" w:hAnsi="Arial Unicode MS" w:cs="Arial Unicode MS"/>
    </w:rPr>
  </w:style>
  <w:style w:type="paragraph" w:styleId="Caption">
    <w:name w:val="caption"/>
    <w:basedOn w:val="Normal"/>
    <w:next w:val="Text"/>
    <w:qFormat/>
    <w:rsid w:val="00193AAA"/>
    <w:pPr>
      <w:keepNext/>
      <w:spacing w:before="300" w:after="100"/>
      <w:jc w:val="center"/>
    </w:pPr>
    <w:rPr>
      <w:b/>
    </w:rPr>
  </w:style>
  <w:style w:type="paragraph" w:styleId="ListBullet">
    <w:name w:val="List Bullet"/>
    <w:basedOn w:val="Normal"/>
    <w:link w:val="ListBulletChar"/>
    <w:rsid w:val="007925BA"/>
    <w:pPr>
      <w:tabs>
        <w:tab w:val="num" w:pos="360"/>
      </w:tabs>
      <w:ind w:left="360" w:hanging="360"/>
    </w:pPr>
    <w:rPr>
      <w:rFonts w:ascii="Times New Roman" w:eastAsia="MS Mincho" w:hAnsi="Times New Roman"/>
      <w:i/>
      <w:sz w:val="24"/>
      <w:lang w:eastAsia="ja-JP"/>
    </w:rPr>
  </w:style>
  <w:style w:type="character" w:customStyle="1" w:styleId="ListBulletChar">
    <w:name w:val="List Bullet Char"/>
    <w:basedOn w:val="DefaultParagraphFont"/>
    <w:link w:val="ListBullet"/>
    <w:rsid w:val="007925BA"/>
    <w:rPr>
      <w:rFonts w:eastAsia="MS Mincho"/>
      <w:i/>
      <w:sz w:val="24"/>
      <w:lang w:val="en-US" w:eastAsia="ja-JP"/>
    </w:rPr>
  </w:style>
  <w:style w:type="table" w:styleId="TableGrid">
    <w:name w:val="Table Grid"/>
    <w:basedOn w:val="TableNormal"/>
    <w:uiPriority w:val="59"/>
    <w:rsid w:val="00EB0BA1"/>
    <w:rPr>
      <w:rFonts w:eastAsia="SimSun"/>
      <w:lang w:val="de-DE"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Normal"/>
    <w:link w:val="DraftingNotesAgencyChar"/>
    <w:rsid w:val="00B418CD"/>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basedOn w:val="DefaultParagraphFont"/>
    <w:link w:val="DraftingNotesAgency"/>
    <w:rsid w:val="00B418CD"/>
    <w:rPr>
      <w:rFonts w:ascii="Courier New" w:eastAsia="Verdana" w:hAnsi="Courier New"/>
      <w:i/>
      <w:color w:val="339966"/>
      <w:sz w:val="22"/>
      <w:szCs w:val="18"/>
      <w:lang w:val="en-GB" w:eastAsia="en-GB"/>
    </w:rPr>
  </w:style>
  <w:style w:type="paragraph" w:styleId="Revision">
    <w:name w:val="Revision"/>
    <w:hidden/>
    <w:uiPriority w:val="99"/>
    <w:semiHidden/>
    <w:rsid w:val="00DE7F77"/>
    <w:rPr>
      <w:rFonts w:ascii="Arial" w:hAnsi="Arial"/>
      <w:sz w:val="22"/>
      <w:szCs w:val="24"/>
      <w:lang w:val="en-US" w:eastAsia="en-US"/>
    </w:rPr>
  </w:style>
  <w:style w:type="character" w:customStyle="1" w:styleId="StyleTextItalicizedLatinArial11ptBoldAuto">
    <w:name w:val="Style Text Italicized + (Latin) Arial 11 pt Bold Auto"/>
    <w:basedOn w:val="DefaultParagraphFont"/>
    <w:uiPriority w:val="1"/>
    <w:rsid w:val="00B83CF2"/>
    <w:rPr>
      <w:rFonts w:ascii="Arial" w:hAnsi="Arial" w:cs="Arial"/>
      <w:b/>
      <w:color w:val="auto"/>
      <w:sz w:val="22"/>
      <w:szCs w:val="22"/>
    </w:rPr>
  </w:style>
  <w:style w:type="paragraph" w:customStyle="1" w:styleId="Heading3-Italic">
    <w:name w:val="Heading 3 - Italic"/>
    <w:aliases w:val="no bold,no underline"/>
    <w:basedOn w:val="Heading2"/>
    <w:rsid w:val="00E809CE"/>
    <w:rPr>
      <w:b w:val="0"/>
      <w:bCs/>
      <w:i/>
    </w:rPr>
  </w:style>
  <w:style w:type="character" w:customStyle="1" w:styleId="Heading4Char">
    <w:name w:val="Heading 4 Char"/>
    <w:basedOn w:val="DefaultParagraphFont"/>
    <w:link w:val="Heading4"/>
    <w:rsid w:val="00071D5D"/>
    <w:rPr>
      <w:rFonts w:ascii="Arial" w:hAnsi="Arial"/>
      <w:i/>
      <w:sz w:val="22"/>
      <w:lang w:val="en-US" w:eastAsia="en-US"/>
    </w:rPr>
  </w:style>
  <w:style w:type="character" w:customStyle="1" w:styleId="Heading5Char">
    <w:name w:val="Heading 5 Char"/>
    <w:basedOn w:val="DefaultParagraphFont"/>
    <w:link w:val="Heading5"/>
    <w:rsid w:val="003951D0"/>
    <w:rPr>
      <w:rFonts w:ascii="Arial" w:hAnsi="Arial"/>
      <w:i/>
      <w:sz w:val="22"/>
      <w:lang w:val="en-US" w:eastAsia="en-US"/>
    </w:rPr>
  </w:style>
  <w:style w:type="character" w:customStyle="1" w:styleId="Heading6Char">
    <w:name w:val="Heading 6 Char"/>
    <w:basedOn w:val="DefaultParagraphFont"/>
    <w:link w:val="Heading6"/>
    <w:rsid w:val="00963C18"/>
    <w:rPr>
      <w:rFonts w:ascii="Arial" w:hAnsi="Arial"/>
      <w:b/>
      <w:sz w:val="22"/>
      <w:lang w:val="en-US" w:eastAsia="en-US"/>
    </w:rPr>
  </w:style>
  <w:style w:type="character" w:customStyle="1" w:styleId="Heading7Char">
    <w:name w:val="Heading 7 Char"/>
    <w:basedOn w:val="DefaultParagraphFont"/>
    <w:link w:val="Heading7"/>
    <w:rsid w:val="00963C18"/>
    <w:rPr>
      <w:rFonts w:ascii="Arial" w:hAnsi="Arial"/>
      <w:b/>
      <w:sz w:val="22"/>
      <w:lang w:val="en-US" w:eastAsia="en-US"/>
    </w:rPr>
  </w:style>
  <w:style w:type="character" w:customStyle="1" w:styleId="Heading8Char">
    <w:name w:val="Heading 8 Char"/>
    <w:basedOn w:val="DefaultParagraphFont"/>
    <w:link w:val="Heading8"/>
    <w:rsid w:val="00963C18"/>
    <w:rPr>
      <w:rFonts w:ascii="Arial" w:hAnsi="Arial"/>
      <w:b/>
      <w:sz w:val="22"/>
      <w:lang w:val="en-US" w:eastAsia="en-US"/>
    </w:rPr>
  </w:style>
  <w:style w:type="character" w:customStyle="1" w:styleId="Heading9Char">
    <w:name w:val="Heading 9 Char"/>
    <w:basedOn w:val="DefaultParagraphFont"/>
    <w:link w:val="Heading9"/>
    <w:rsid w:val="00963C18"/>
    <w:rPr>
      <w:rFonts w:ascii="Arial" w:hAnsi="Arial"/>
      <w:b/>
      <w:sz w:val="22"/>
      <w:lang w:val="en-US" w:eastAsia="en-US"/>
    </w:rPr>
  </w:style>
  <w:style w:type="paragraph" w:styleId="Title">
    <w:name w:val="Title"/>
    <w:basedOn w:val="Normal"/>
    <w:link w:val="TitleChar"/>
    <w:qFormat/>
    <w:rsid w:val="00193AAA"/>
    <w:pPr>
      <w:suppressAutoHyphens w:val="0"/>
      <w:spacing w:before="240" w:after="60"/>
      <w:jc w:val="center"/>
      <w:outlineLvl w:val="0"/>
    </w:pPr>
    <w:rPr>
      <w:b/>
      <w:kern w:val="28"/>
      <w:sz w:val="32"/>
    </w:rPr>
  </w:style>
  <w:style w:type="character" w:customStyle="1" w:styleId="TitleChar">
    <w:name w:val="Title Char"/>
    <w:basedOn w:val="DefaultParagraphFont"/>
    <w:link w:val="Title"/>
    <w:rsid w:val="00963C18"/>
    <w:rPr>
      <w:rFonts w:ascii="Arial" w:hAnsi="Arial"/>
      <w:b/>
      <w:kern w:val="28"/>
      <w:sz w:val="32"/>
      <w:lang w:val="en-US" w:eastAsia="en-US"/>
    </w:rPr>
  </w:style>
  <w:style w:type="paragraph" w:customStyle="1" w:styleId="Heading7Bold">
    <w:name w:val="Heading 7Bold"/>
    <w:basedOn w:val="Normal"/>
    <w:next w:val="Text"/>
    <w:rsid w:val="00193AAA"/>
    <w:pPr>
      <w:keepNext/>
      <w:spacing w:before="120" w:after="120"/>
    </w:pPr>
    <w:rPr>
      <w:b/>
    </w:rPr>
  </w:style>
  <w:style w:type="paragraph" w:customStyle="1" w:styleId="Heading8BoldItalic">
    <w:name w:val="Heading 8BoldItalic"/>
    <w:basedOn w:val="Normal"/>
    <w:next w:val="Text"/>
    <w:rsid w:val="00193AAA"/>
    <w:pPr>
      <w:keepNext/>
      <w:spacing w:before="120" w:after="120"/>
    </w:pPr>
    <w:rPr>
      <w:b/>
      <w:i/>
    </w:rPr>
  </w:style>
  <w:style w:type="paragraph" w:customStyle="1" w:styleId="Heading9Italic">
    <w:name w:val="Heading 9Italic"/>
    <w:basedOn w:val="Normal"/>
    <w:next w:val="Text"/>
    <w:rsid w:val="00193AAA"/>
    <w:pPr>
      <w:keepNext/>
      <w:spacing w:before="120" w:after="120"/>
    </w:pPr>
    <w:rPr>
      <w:i/>
    </w:rPr>
  </w:style>
  <w:style w:type="paragraph" w:customStyle="1" w:styleId="CenterBold">
    <w:name w:val="CenterBold"/>
    <w:basedOn w:val="Normal"/>
    <w:next w:val="Normal"/>
    <w:rsid w:val="00193AAA"/>
    <w:pPr>
      <w:keepNext/>
      <w:keepLines/>
      <w:spacing w:before="300" w:after="120"/>
      <w:jc w:val="center"/>
    </w:pPr>
    <w:rPr>
      <w:b/>
    </w:rPr>
  </w:style>
  <w:style w:type="paragraph" w:customStyle="1" w:styleId="Confidential">
    <w:name w:val="Confidential"/>
    <w:basedOn w:val="Normal"/>
    <w:semiHidden/>
    <w:rsid w:val="00193AAA"/>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193AAA"/>
    <w:pPr>
      <w:spacing w:before="400" w:after="400"/>
    </w:pPr>
    <w:rPr>
      <w:sz w:val="24"/>
    </w:rPr>
  </w:style>
  <w:style w:type="paragraph" w:customStyle="1" w:styleId="FigureLegend">
    <w:name w:val="FigureLegend"/>
    <w:basedOn w:val="Text"/>
    <w:rsid w:val="00193AAA"/>
    <w:pPr>
      <w:keepLines/>
      <w:spacing w:after="0"/>
    </w:pPr>
    <w:rPr>
      <w:sz w:val="18"/>
    </w:rPr>
  </w:style>
  <w:style w:type="paragraph" w:customStyle="1" w:styleId="FlushLeftBold">
    <w:name w:val="FlushLeftBold"/>
    <w:basedOn w:val="Normal"/>
    <w:next w:val="Text"/>
    <w:rsid w:val="00193AAA"/>
    <w:pPr>
      <w:keepNext/>
      <w:keepLines/>
      <w:spacing w:before="120" w:after="120"/>
    </w:pPr>
    <w:rPr>
      <w:b/>
    </w:rPr>
  </w:style>
  <w:style w:type="paragraph" w:customStyle="1" w:styleId="FootnoteLine">
    <w:name w:val="FootnoteLine"/>
    <w:basedOn w:val="Normal"/>
    <w:next w:val="Normal"/>
    <w:semiHidden/>
    <w:rsid w:val="00193AAA"/>
    <w:pPr>
      <w:pBdr>
        <w:bottom w:val="single" w:sz="6" w:space="6" w:color="auto"/>
      </w:pBdr>
      <w:spacing w:line="160" w:lineRule="atLeast"/>
    </w:pPr>
    <w:rPr>
      <w:sz w:val="16"/>
    </w:rPr>
  </w:style>
  <w:style w:type="paragraph" w:customStyle="1" w:styleId="FootnoteText">
    <w:name w:val="FootnoteText"/>
    <w:basedOn w:val="TableLeftAlign"/>
    <w:next w:val="Text"/>
    <w:rsid w:val="00193AAA"/>
    <w:pPr>
      <w:keepLines/>
      <w:spacing w:before="0" w:after="0" w:line="240" w:lineRule="auto"/>
      <w:ind w:left="144" w:hanging="144"/>
    </w:pPr>
    <w:rPr>
      <w:sz w:val="18"/>
    </w:rPr>
  </w:style>
  <w:style w:type="paragraph" w:customStyle="1" w:styleId="TableLeftAlign">
    <w:name w:val="TableLeftAlign"/>
    <w:basedOn w:val="Normal"/>
    <w:rsid w:val="00193AAA"/>
    <w:pPr>
      <w:spacing w:before="60" w:after="60" w:line="240" w:lineRule="atLeast"/>
    </w:pPr>
  </w:style>
  <w:style w:type="paragraph" w:customStyle="1" w:styleId="Insert">
    <w:name w:val="Insert"/>
    <w:basedOn w:val="Normal"/>
    <w:rsid w:val="00193AAA"/>
    <w:pPr>
      <w:spacing w:before="100" w:after="100"/>
      <w:jc w:val="center"/>
    </w:pPr>
  </w:style>
  <w:style w:type="character" w:styleId="PageNumber">
    <w:name w:val="page number"/>
    <w:basedOn w:val="DefaultParagraphFont"/>
    <w:rsid w:val="00193AAA"/>
  </w:style>
  <w:style w:type="paragraph" w:customStyle="1" w:styleId="TextList">
    <w:name w:val="TextList"/>
    <w:basedOn w:val="Text"/>
    <w:rsid w:val="00193AAA"/>
    <w:pPr>
      <w:spacing w:after="100" w:line="280" w:lineRule="atLeast"/>
      <w:ind w:left="360" w:hanging="360"/>
    </w:pPr>
  </w:style>
  <w:style w:type="paragraph" w:customStyle="1" w:styleId="RefList">
    <w:name w:val="RefList#"/>
    <w:basedOn w:val="TextList"/>
    <w:rsid w:val="00193AAA"/>
    <w:pPr>
      <w:keepLines/>
      <w:spacing w:after="0" w:line="240" w:lineRule="auto"/>
    </w:pPr>
  </w:style>
  <w:style w:type="paragraph" w:customStyle="1" w:styleId="RefListAlpha">
    <w:name w:val="RefListAlpha"/>
    <w:basedOn w:val="Text"/>
    <w:rsid w:val="00193AAA"/>
    <w:pPr>
      <w:keepLines/>
    </w:pPr>
  </w:style>
  <w:style w:type="paragraph" w:customStyle="1" w:styleId="RightTabBold">
    <w:name w:val="RightTabBold"/>
    <w:basedOn w:val="Normal"/>
    <w:semiHidden/>
    <w:rsid w:val="00193AAA"/>
    <w:pPr>
      <w:tabs>
        <w:tab w:val="right" w:pos="8640"/>
      </w:tabs>
      <w:spacing w:before="100" w:after="100"/>
    </w:pPr>
    <w:rPr>
      <w:b/>
    </w:rPr>
  </w:style>
  <w:style w:type="paragraph" w:customStyle="1" w:styleId="SectionBreak">
    <w:name w:val="SectionBreak"/>
    <w:basedOn w:val="Normal"/>
    <w:next w:val="Text"/>
    <w:semiHidden/>
    <w:rsid w:val="00193AAA"/>
  </w:style>
  <w:style w:type="paragraph" w:styleId="TableofFigures">
    <w:name w:val="table of figures"/>
    <w:basedOn w:val="Text"/>
    <w:next w:val="Text"/>
    <w:rsid w:val="00193AAA"/>
    <w:pPr>
      <w:keepLines/>
      <w:tabs>
        <w:tab w:val="right" w:leader="dot" w:pos="8640"/>
      </w:tabs>
      <w:spacing w:before="0"/>
      <w:ind w:left="1426" w:right="1080" w:hanging="1426"/>
    </w:pPr>
    <w:rPr>
      <w:color w:val="0000FF"/>
    </w:rPr>
  </w:style>
  <w:style w:type="paragraph" w:customStyle="1" w:styleId="TextBullet">
    <w:name w:val="TextBullet"/>
    <w:basedOn w:val="Normal"/>
    <w:rsid w:val="00193AAA"/>
    <w:pPr>
      <w:numPr>
        <w:numId w:val="27"/>
      </w:numPr>
      <w:spacing w:after="100"/>
    </w:pPr>
  </w:style>
  <w:style w:type="paragraph" w:customStyle="1" w:styleId="TextDash">
    <w:name w:val="TextDash"/>
    <w:basedOn w:val="TextBullet"/>
    <w:rsid w:val="00193AAA"/>
    <w:pPr>
      <w:numPr>
        <w:numId w:val="26"/>
      </w:numPr>
    </w:pPr>
  </w:style>
  <w:style w:type="paragraph" w:customStyle="1" w:styleId="TextIndent">
    <w:name w:val="TextIndent"/>
    <w:basedOn w:val="Text"/>
    <w:rsid w:val="00193AAA"/>
    <w:pPr>
      <w:spacing w:line="280" w:lineRule="atLeast"/>
      <w:ind w:left="360"/>
    </w:pPr>
  </w:style>
  <w:style w:type="paragraph" w:customStyle="1" w:styleId="TextSingleSpace">
    <w:name w:val="TextSingleSpace"/>
    <w:basedOn w:val="Text"/>
    <w:rsid w:val="00193AAA"/>
  </w:style>
  <w:style w:type="paragraph" w:styleId="TOC1">
    <w:name w:val="toc 1"/>
    <w:basedOn w:val="Text"/>
    <w:next w:val="Text"/>
    <w:autoRedefine/>
    <w:rsid w:val="00193AAA"/>
    <w:pPr>
      <w:keepLines/>
      <w:tabs>
        <w:tab w:val="right" w:leader="dot" w:pos="8640"/>
      </w:tabs>
      <w:spacing w:before="200" w:after="0"/>
      <w:ind w:left="547" w:right="1080" w:hanging="547"/>
    </w:pPr>
    <w:rPr>
      <w:noProof/>
      <w:color w:val="0000FF"/>
    </w:rPr>
  </w:style>
  <w:style w:type="paragraph" w:styleId="TOC2">
    <w:name w:val="toc 2"/>
    <w:basedOn w:val="TOC1"/>
    <w:next w:val="Text"/>
    <w:autoRedefine/>
    <w:rsid w:val="00193AAA"/>
    <w:pPr>
      <w:tabs>
        <w:tab w:val="left" w:pos="1267"/>
      </w:tabs>
      <w:spacing w:before="60"/>
      <w:ind w:left="1267" w:hanging="720"/>
    </w:pPr>
  </w:style>
  <w:style w:type="paragraph" w:styleId="TOC3">
    <w:name w:val="toc 3"/>
    <w:basedOn w:val="TOC2"/>
    <w:next w:val="Text"/>
    <w:autoRedefine/>
    <w:rsid w:val="00193AAA"/>
    <w:pPr>
      <w:tabs>
        <w:tab w:val="clear" w:pos="1267"/>
        <w:tab w:val="left" w:pos="2246"/>
      </w:tabs>
      <w:ind w:left="2261" w:hanging="994"/>
    </w:pPr>
  </w:style>
  <w:style w:type="paragraph" w:styleId="TOC4">
    <w:name w:val="toc 4"/>
    <w:basedOn w:val="TOC3"/>
    <w:next w:val="Text"/>
    <w:autoRedefine/>
    <w:rsid w:val="00193AAA"/>
    <w:pPr>
      <w:ind w:left="3384" w:hanging="1123"/>
    </w:pPr>
  </w:style>
  <w:style w:type="paragraph" w:styleId="TOC5">
    <w:name w:val="toc 5"/>
    <w:basedOn w:val="TOC2"/>
    <w:next w:val="Text"/>
    <w:autoRedefine/>
    <w:rsid w:val="00193AAA"/>
  </w:style>
  <w:style w:type="paragraph" w:styleId="TOC6">
    <w:name w:val="toc 6"/>
    <w:basedOn w:val="TOC2"/>
    <w:next w:val="Text"/>
    <w:autoRedefine/>
    <w:rsid w:val="00193AAA"/>
  </w:style>
  <w:style w:type="paragraph" w:styleId="TOC7">
    <w:name w:val="toc 7"/>
    <w:basedOn w:val="Normal"/>
    <w:next w:val="Normal"/>
    <w:autoRedefine/>
    <w:rsid w:val="00193AAA"/>
    <w:pPr>
      <w:tabs>
        <w:tab w:val="right" w:leader="dot" w:pos="8640"/>
      </w:tabs>
      <w:ind w:left="1320"/>
    </w:pPr>
  </w:style>
  <w:style w:type="paragraph" w:styleId="TOC8">
    <w:name w:val="toc 8"/>
    <w:basedOn w:val="Normal"/>
    <w:next w:val="Normal"/>
    <w:autoRedefine/>
    <w:rsid w:val="00193AAA"/>
    <w:pPr>
      <w:tabs>
        <w:tab w:val="right" w:leader="dot" w:pos="8640"/>
      </w:tabs>
      <w:ind w:left="1540"/>
    </w:pPr>
  </w:style>
  <w:style w:type="paragraph" w:styleId="TOC9">
    <w:name w:val="toc 9"/>
    <w:basedOn w:val="Normal"/>
    <w:next w:val="Normal"/>
    <w:autoRedefine/>
    <w:rsid w:val="00193AAA"/>
    <w:pPr>
      <w:tabs>
        <w:tab w:val="right" w:leader="dot" w:pos="8640"/>
      </w:tabs>
      <w:ind w:left="1760"/>
    </w:pPr>
  </w:style>
  <w:style w:type="paragraph" w:customStyle="1" w:styleId="Heading0">
    <w:name w:val="Heading 0"/>
    <w:basedOn w:val="Normal"/>
    <w:next w:val="Text"/>
    <w:rsid w:val="00193AAA"/>
    <w:pPr>
      <w:keepNext/>
      <w:pageBreakBefore/>
      <w:spacing w:before="120" w:after="120"/>
      <w:ind w:left="1440" w:hanging="1440"/>
    </w:pPr>
    <w:rPr>
      <w:b/>
    </w:rPr>
  </w:style>
  <w:style w:type="paragraph" w:customStyle="1" w:styleId="NumberRestart">
    <w:name w:val="NumberRestart"/>
    <w:basedOn w:val="Text"/>
    <w:semiHidden/>
    <w:rsid w:val="00193AAA"/>
    <w:pPr>
      <w:numPr>
        <w:numId w:val="28"/>
      </w:numPr>
      <w:outlineLvl w:val="0"/>
    </w:pPr>
  </w:style>
  <w:style w:type="paragraph" w:styleId="DocumentMap">
    <w:name w:val="Document Map"/>
    <w:basedOn w:val="Normal"/>
    <w:link w:val="DocumentMapChar"/>
    <w:rsid w:val="00193AAA"/>
    <w:pPr>
      <w:shd w:val="clear" w:color="auto" w:fill="000080"/>
    </w:pPr>
    <w:rPr>
      <w:rFonts w:ascii="Tahoma" w:hAnsi="Tahoma" w:cs="Tahoma"/>
    </w:rPr>
  </w:style>
  <w:style w:type="character" w:customStyle="1" w:styleId="DocumentMapChar">
    <w:name w:val="Document Map Char"/>
    <w:basedOn w:val="DefaultParagraphFont"/>
    <w:link w:val="DocumentMap"/>
    <w:rsid w:val="00963C18"/>
    <w:rPr>
      <w:rFonts w:ascii="Tahoma" w:hAnsi="Tahoma" w:cs="Tahoma"/>
      <w:sz w:val="22"/>
      <w:shd w:val="clear" w:color="auto" w:fill="000080"/>
      <w:lang w:val="en-US" w:eastAsia="en-US"/>
    </w:rPr>
  </w:style>
  <w:style w:type="character" w:styleId="Hyperlink">
    <w:name w:val="Hyperlink"/>
    <w:basedOn w:val="DefaultParagraphFont"/>
    <w:rsid w:val="00193AAA"/>
    <w:rPr>
      <w:color w:val="0000FF"/>
      <w:u w:val="single"/>
    </w:rPr>
  </w:style>
  <w:style w:type="paragraph" w:customStyle="1" w:styleId="TablePageNumber">
    <w:name w:val="TablePageNumber"/>
    <w:basedOn w:val="Normal"/>
    <w:next w:val="Text"/>
    <w:rsid w:val="00193AAA"/>
    <w:pPr>
      <w:spacing w:line="240" w:lineRule="atLeast"/>
      <w:jc w:val="right"/>
    </w:pPr>
    <w:rPr>
      <w:sz w:val="20"/>
    </w:rPr>
  </w:style>
  <w:style w:type="paragraph" w:customStyle="1" w:styleId="StyleListParagraphBold">
    <w:name w:val="Style List Paragraph + Bold"/>
    <w:basedOn w:val="ListParagraph"/>
    <w:rsid w:val="003951D0"/>
    <w:pPr>
      <w:numPr>
        <w:numId w:val="33"/>
      </w:numPr>
    </w:pPr>
    <w:rPr>
      <w:b/>
      <w:bCs/>
    </w:rPr>
  </w:style>
  <w:style w:type="paragraph" w:customStyle="1" w:styleId="StyleListParagraphBold1">
    <w:name w:val="Style List Paragraph + Bold1"/>
    <w:basedOn w:val="ListParagraph"/>
    <w:rsid w:val="007648D0"/>
    <w:pPr>
      <w:ind w:left="794"/>
    </w:pPr>
    <w:rPr>
      <w:b/>
      <w:bCs/>
    </w:rPr>
  </w:style>
  <w:style w:type="paragraph" w:customStyle="1" w:styleId="StyleBoxSinglesolidlineText215ptLinewidth">
    <w:name w:val="Style Box: (Single solid line Text 2  1.5 pt Line width)"/>
    <w:basedOn w:val="Normal"/>
    <w:rsid w:val="000A4A4D"/>
    <w:pPr>
      <w:pBdr>
        <w:top w:val="single" w:sz="12" w:space="1" w:color="0F243E" w:themeColor="text2" w:themeShade="80"/>
        <w:left w:val="single" w:sz="12" w:space="4" w:color="0F243E" w:themeColor="text2" w:themeShade="80"/>
        <w:bottom w:val="single" w:sz="12" w:space="1" w:color="0F243E" w:themeColor="text2" w:themeShade="80"/>
        <w:right w:val="single" w:sz="12" w:space="4" w:color="0F243E" w:themeColor="text2" w:themeShade="80"/>
      </w:pBd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6826">
      <w:bodyDiv w:val="1"/>
      <w:marLeft w:val="0"/>
      <w:marRight w:val="0"/>
      <w:marTop w:val="0"/>
      <w:marBottom w:val="0"/>
      <w:divBdr>
        <w:top w:val="none" w:sz="0" w:space="0" w:color="auto"/>
        <w:left w:val="none" w:sz="0" w:space="0" w:color="auto"/>
        <w:bottom w:val="none" w:sz="0" w:space="0" w:color="auto"/>
        <w:right w:val="none" w:sz="0" w:space="0" w:color="auto"/>
      </w:divBdr>
    </w:div>
    <w:div w:id="503710013">
      <w:bodyDiv w:val="1"/>
      <w:marLeft w:val="0"/>
      <w:marRight w:val="0"/>
      <w:marTop w:val="0"/>
      <w:marBottom w:val="0"/>
      <w:divBdr>
        <w:top w:val="none" w:sz="0" w:space="0" w:color="auto"/>
        <w:left w:val="none" w:sz="0" w:space="0" w:color="auto"/>
        <w:bottom w:val="none" w:sz="0" w:space="0" w:color="auto"/>
        <w:right w:val="none" w:sz="0" w:space="0" w:color="auto"/>
      </w:divBdr>
    </w:div>
    <w:div w:id="735054322">
      <w:bodyDiv w:val="1"/>
      <w:marLeft w:val="0"/>
      <w:marRight w:val="0"/>
      <w:marTop w:val="0"/>
      <w:marBottom w:val="0"/>
      <w:divBdr>
        <w:top w:val="none" w:sz="0" w:space="0" w:color="auto"/>
        <w:left w:val="none" w:sz="0" w:space="0" w:color="auto"/>
        <w:bottom w:val="none" w:sz="0" w:space="0" w:color="auto"/>
        <w:right w:val="none" w:sz="0" w:space="0" w:color="auto"/>
      </w:divBdr>
    </w:div>
    <w:div w:id="1275937844">
      <w:bodyDiv w:val="1"/>
      <w:marLeft w:val="0"/>
      <w:marRight w:val="0"/>
      <w:marTop w:val="0"/>
      <w:marBottom w:val="0"/>
      <w:divBdr>
        <w:top w:val="none" w:sz="0" w:space="0" w:color="auto"/>
        <w:left w:val="none" w:sz="0" w:space="0" w:color="auto"/>
        <w:bottom w:val="none" w:sz="0" w:space="0" w:color="auto"/>
        <w:right w:val="none" w:sz="0" w:space="0" w:color="auto"/>
      </w:divBdr>
    </w:div>
    <w:div w:id="1357582774">
      <w:bodyDiv w:val="1"/>
      <w:marLeft w:val="0"/>
      <w:marRight w:val="0"/>
      <w:marTop w:val="0"/>
      <w:marBottom w:val="0"/>
      <w:divBdr>
        <w:top w:val="none" w:sz="0" w:space="0" w:color="auto"/>
        <w:left w:val="none" w:sz="0" w:space="0" w:color="auto"/>
        <w:bottom w:val="none" w:sz="0" w:space="0" w:color="auto"/>
        <w:right w:val="none" w:sz="0" w:space="0" w:color="auto"/>
      </w:divBdr>
    </w:div>
    <w:div w:id="1366179017">
      <w:bodyDiv w:val="1"/>
      <w:marLeft w:val="0"/>
      <w:marRight w:val="0"/>
      <w:marTop w:val="0"/>
      <w:marBottom w:val="0"/>
      <w:divBdr>
        <w:top w:val="none" w:sz="0" w:space="0" w:color="auto"/>
        <w:left w:val="none" w:sz="0" w:space="0" w:color="auto"/>
        <w:bottom w:val="none" w:sz="0" w:space="0" w:color="auto"/>
        <w:right w:val="none" w:sz="0" w:space="0" w:color="auto"/>
      </w:divBdr>
    </w:div>
    <w:div w:id="1546523653">
      <w:bodyDiv w:val="1"/>
      <w:marLeft w:val="0"/>
      <w:marRight w:val="0"/>
      <w:marTop w:val="0"/>
      <w:marBottom w:val="0"/>
      <w:divBdr>
        <w:top w:val="none" w:sz="0" w:space="0" w:color="auto"/>
        <w:left w:val="none" w:sz="0" w:space="0" w:color="auto"/>
        <w:bottom w:val="none" w:sz="0" w:space="0" w:color="auto"/>
        <w:right w:val="none" w:sz="0" w:space="0" w:color="auto"/>
      </w:divBdr>
    </w:div>
    <w:div w:id="21138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6d3ee3d4-0386-4b93-9e57-c14563358695" value=""/>
  <element uid="7349a702-6462-4442-88eb-c64cd513835c"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ADAD-333B-4BF6-B036-CC5A0350249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C4916E-FF4F-41DD-BA55-8BB0A1AB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23</Pages>
  <Words>9405</Words>
  <Characters>51835</Characters>
  <Application>Microsoft Office Word</Application>
  <DocSecurity>0</DocSecurity>
  <Lines>1151</Lines>
  <Paragraphs>577</Paragraphs>
  <ScaleCrop>false</ScaleCrop>
  <HeadingPairs>
    <vt:vector size="2" baseType="variant">
      <vt:variant>
        <vt:lpstr>Title</vt:lpstr>
      </vt:variant>
      <vt:variant>
        <vt:i4>1</vt:i4>
      </vt:variant>
    </vt:vector>
  </HeadingPairs>
  <TitlesOfParts>
    <vt:vector size="1" baseType="lpstr">
      <vt:lpstr>AusPAR Attachment 1: Product Information for Blinatumomab [Blincyto]</vt:lpstr>
    </vt:vector>
  </TitlesOfParts>
  <Company>Amgen Inc.</Company>
  <LinksUpToDate>false</LinksUpToDate>
  <CharactersWithSpaces>60663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Blinatumomab [Blincyto]</dc:title>
  <dc:subject>Prescription medicines</dc:subject>
  <dc:creator>Therapeutic Goods Administration</dc:creator>
  <cp:keywords>AusPARs</cp:keywords>
  <cp:lastModifiedBy>Therapeutic Goods Administration (TGA) </cp:lastModifiedBy>
  <cp:revision>19</cp:revision>
  <cp:lastPrinted>2014-09-23T05:53:00Z</cp:lastPrinted>
  <dcterms:created xsi:type="dcterms:W3CDTF">2018-02-07T06:00:00Z</dcterms:created>
  <dcterms:modified xsi:type="dcterms:W3CDTF">2018-02-09T01:52:00Z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5afc77d1-ae93-4c0a-b3fd-fec0d06f66f3</vt:lpwstr>
  </property>
  <property fmtid="{D5CDD505-2E9C-101B-9397-08002B2CF9AE}" pid="3" name="bjSaver">
    <vt:lpwstr>fBXZNLHYoDsxIMgRsbl+70WID0DS80NH</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uid="ba0343df-3220-4244-9388-1298e2abc028" value="" /&gt;&lt;element uid="6d3ee3d4-0386-4b93-9e57-c14563358695" value="" /&gt;&lt;element uid="7349a702-6462-4442-88eb-c64cd513835c" value="" /&gt;&lt;/sisl&gt;</vt:lpwstr>
  </property>
  <property fmtid="{D5CDD505-2E9C-101B-9397-08002B2CF9AE}" pid="6" name="bjDocumentSecurityLabel">
    <vt:lpwstr>Confidential - Compliance</vt:lpwstr>
  </property>
</Properties>
</file>