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28429F1E" w14:textId="77777777" w:rsidTr="00BF1190">
        <w:trPr>
          <w:trHeight w:val="1863"/>
        </w:trPr>
        <w:tc>
          <w:tcPr>
            <w:tcW w:w="3652" w:type="dxa"/>
            <w:tcBorders>
              <w:top w:val="nil"/>
              <w:left w:val="nil"/>
              <w:bottom w:val="nil"/>
              <w:right w:val="nil"/>
            </w:tcBorders>
          </w:tcPr>
          <w:p w14:paraId="1036FADD" w14:textId="123F5EC5" w:rsidR="008E7846" w:rsidRPr="00096AA7" w:rsidRDefault="003445F9" w:rsidP="00096AA7">
            <w:pPr>
              <w:rPr>
                <w:rFonts w:ascii="Arial" w:hAnsi="Arial" w:cs="Arial"/>
                <w:b/>
                <w:color w:val="002C47"/>
                <w:sz w:val="36"/>
                <w:szCs w:val="36"/>
              </w:rPr>
            </w:pPr>
            <w:r>
              <w:rPr>
                <w:rFonts w:ascii="Arial" w:hAnsi="Arial" w:cs="Arial"/>
                <w:b/>
                <w:color w:val="002C47"/>
                <w:sz w:val="36"/>
                <w:szCs w:val="36"/>
              </w:rPr>
              <w:t>July</w:t>
            </w:r>
            <w:r w:rsidR="00C346AB">
              <w:rPr>
                <w:rFonts w:ascii="Arial" w:hAnsi="Arial" w:cs="Arial"/>
                <w:b/>
                <w:color w:val="002C47"/>
                <w:sz w:val="36"/>
                <w:szCs w:val="36"/>
              </w:rPr>
              <w:t xml:space="preserve"> </w:t>
            </w:r>
            <w:r w:rsidR="00C01B0B">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6D7D72C1" w14:textId="77777777" w:rsidTr="0032583B">
        <w:trPr>
          <w:trHeight w:val="868"/>
        </w:trPr>
        <w:tc>
          <w:tcPr>
            <w:tcW w:w="9079" w:type="dxa"/>
          </w:tcPr>
          <w:p w14:paraId="1EDF0988" w14:textId="77777777" w:rsidR="0032583B" w:rsidRPr="00A964D1" w:rsidRDefault="0032583B" w:rsidP="00C01B0B">
            <w:pPr>
              <w:pStyle w:val="Title"/>
              <w:rPr>
                <w:color w:val="FFFFFF" w:themeColor="background1"/>
              </w:rPr>
            </w:pPr>
            <w:r w:rsidRPr="00A964D1">
              <w:rPr>
                <w:color w:val="FFFFFF" w:themeColor="background1"/>
              </w:rPr>
              <w:t>Australia</w:t>
            </w:r>
            <w:r w:rsidR="00C01B0B">
              <w:rPr>
                <w:color w:val="FFFFFF" w:themeColor="background1"/>
              </w:rPr>
              <w:t xml:space="preserve">n Public Assessment Report for BNT162b2 </w:t>
            </w:r>
            <w:r w:rsidR="00640930">
              <w:rPr>
                <w:color w:val="FFFFFF" w:themeColor="background1"/>
              </w:rPr>
              <w:t>(</w:t>
            </w:r>
            <w:r w:rsidR="00C01B0B">
              <w:rPr>
                <w:color w:val="FFFFFF" w:themeColor="background1"/>
              </w:rPr>
              <w:t>mRNA</w:t>
            </w:r>
            <w:r w:rsidR="00640930">
              <w:rPr>
                <w:color w:val="FFFFFF" w:themeColor="background1"/>
              </w:rPr>
              <w:t>)</w:t>
            </w:r>
          </w:p>
        </w:tc>
      </w:tr>
      <w:tr w:rsidR="0032583B" w:rsidRPr="00B64760" w14:paraId="558B4D2B" w14:textId="77777777" w:rsidTr="0032583B">
        <w:tc>
          <w:tcPr>
            <w:tcW w:w="9079" w:type="dxa"/>
          </w:tcPr>
          <w:p w14:paraId="00A859D7" w14:textId="77777777" w:rsidR="0032583B" w:rsidRPr="008E7846" w:rsidRDefault="00C01B0B" w:rsidP="00C01B0B">
            <w:pPr>
              <w:pStyle w:val="Subtitle"/>
              <w:rPr>
                <w:color w:val="FFFFFF" w:themeColor="background1"/>
              </w:rPr>
            </w:pPr>
            <w:r>
              <w:rPr>
                <w:color w:val="FFFFFF" w:themeColor="background1"/>
              </w:rPr>
              <w:t xml:space="preserve">Proprietary Product Name: </w:t>
            </w:r>
            <w:proofErr w:type="spellStart"/>
            <w:r w:rsidRPr="00C01B0B">
              <w:rPr>
                <w:color w:val="FFFFFF" w:themeColor="background1"/>
              </w:rPr>
              <w:t>C</w:t>
            </w:r>
            <w:r>
              <w:rPr>
                <w:color w:val="FFFFFF" w:themeColor="background1"/>
              </w:rPr>
              <w:t>omirnaty</w:t>
            </w:r>
            <w:proofErr w:type="spellEnd"/>
          </w:p>
        </w:tc>
      </w:tr>
      <w:tr w:rsidR="0032583B" w:rsidRPr="00B64760" w14:paraId="4538CBF5" w14:textId="77777777" w:rsidTr="0032583B">
        <w:trPr>
          <w:trHeight w:val="486"/>
        </w:trPr>
        <w:tc>
          <w:tcPr>
            <w:tcW w:w="9079" w:type="dxa"/>
          </w:tcPr>
          <w:p w14:paraId="5C1C5013" w14:textId="77777777" w:rsidR="0032583B" w:rsidRPr="008E7846" w:rsidRDefault="00C01B0B" w:rsidP="0032583B">
            <w:pPr>
              <w:pStyle w:val="Subtitle"/>
              <w:rPr>
                <w:color w:val="FFFFFF" w:themeColor="background1"/>
              </w:rPr>
            </w:pPr>
            <w:r>
              <w:rPr>
                <w:color w:val="FFFFFF" w:themeColor="background1"/>
              </w:rPr>
              <w:t xml:space="preserve">Sponsor: </w:t>
            </w:r>
            <w:r w:rsidRPr="00C01B0B">
              <w:rPr>
                <w:color w:val="FFFFFF" w:themeColor="background1"/>
              </w:rPr>
              <w:t>Pfizer Australia Pty Ltd</w:t>
            </w:r>
          </w:p>
        </w:tc>
      </w:tr>
    </w:tbl>
    <w:p w14:paraId="2EF554CA" w14:textId="77777777" w:rsidR="008E7846" w:rsidRPr="0085156D" w:rsidRDefault="008E7846" w:rsidP="0085156D">
      <w:r w:rsidRPr="0085156D">
        <w:br w:type="page"/>
      </w:r>
    </w:p>
    <w:p w14:paraId="14C29A9C" w14:textId="77777777" w:rsidR="008E7846" w:rsidRPr="001F6CBA" w:rsidRDefault="008E7846" w:rsidP="008E7846">
      <w:pPr>
        <w:pStyle w:val="NonTOCHeading2"/>
      </w:pPr>
      <w:r w:rsidRPr="001F6CBA">
        <w:lastRenderedPageBreak/>
        <w:t>About the Therapeutic Goods Administration (TGA)</w:t>
      </w:r>
    </w:p>
    <w:p w14:paraId="08B20241"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300D3834"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0631EC66" w14:textId="77777777" w:rsidR="008E7846" w:rsidRDefault="008E7846" w:rsidP="008E7846">
      <w:pPr>
        <w:pStyle w:val="ListBullet"/>
        <w:numPr>
          <w:ilvl w:val="0"/>
          <w:numId w:val="3"/>
        </w:numPr>
        <w:ind w:left="357" w:hanging="357"/>
      </w:pPr>
      <w:r>
        <w:t xml:space="preserve">The work of the TGA </w:t>
      </w:r>
      <w:proofErr w:type="gramStart"/>
      <w:r>
        <w:t>is based</w:t>
      </w:r>
      <w:proofErr w:type="gramEnd"/>
      <w:r>
        <w:t xml:space="preserve"> on applying scientific and clinical expertise to decision-making, to ensure that the benefits to consumers outweigh any risks associated with the use of medicines and medical devices.</w:t>
      </w:r>
    </w:p>
    <w:p w14:paraId="4446BFCC"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6938DE88" w14:textId="18048F59"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45BDF70D" w14:textId="77777777" w:rsidR="008E7846" w:rsidRDefault="008E7846" w:rsidP="00875A6B">
      <w:pPr>
        <w:pStyle w:val="NonTOCHeading2"/>
      </w:pPr>
      <w:r>
        <w:t>About AusPARs</w:t>
      </w:r>
    </w:p>
    <w:p w14:paraId="23BB79ED"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6A414885" w14:textId="77777777" w:rsidR="008E7846" w:rsidRDefault="008E7846" w:rsidP="008E7846">
      <w:pPr>
        <w:pStyle w:val="ListBullet"/>
        <w:numPr>
          <w:ilvl w:val="0"/>
          <w:numId w:val="3"/>
        </w:numPr>
        <w:ind w:left="357" w:hanging="357"/>
      </w:pPr>
      <w:r>
        <w:t xml:space="preserve">AusPARs </w:t>
      </w:r>
      <w:proofErr w:type="gramStart"/>
      <w:r>
        <w:t>are prepared and published by the TGA</w:t>
      </w:r>
      <w:proofErr w:type="gramEnd"/>
      <w:r>
        <w:t>.</w:t>
      </w:r>
    </w:p>
    <w:p w14:paraId="658804D5" w14:textId="77777777" w:rsidR="008E7846" w:rsidRDefault="008E7846" w:rsidP="008E7846">
      <w:pPr>
        <w:pStyle w:val="ListBullet"/>
        <w:numPr>
          <w:ilvl w:val="0"/>
          <w:numId w:val="3"/>
        </w:numPr>
        <w:ind w:left="357" w:hanging="357"/>
      </w:pPr>
      <w:r>
        <w:t xml:space="preserve">An AusPAR </w:t>
      </w:r>
      <w:proofErr w:type="gramStart"/>
      <w:r>
        <w:t>is prepared</w:t>
      </w:r>
      <w:proofErr w:type="gramEnd"/>
      <w:r>
        <w:t xml:space="preserve"> for submissions that relate to new chemical entities, generic medicines, major variations and extensions of indications.</w:t>
      </w:r>
    </w:p>
    <w:p w14:paraId="2E2E5C83"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439FCE1A" w14:textId="77777777" w:rsidR="00B452CE" w:rsidRDefault="008E7846" w:rsidP="00FF5755">
      <w:pPr>
        <w:pStyle w:val="ListBullet"/>
        <w:numPr>
          <w:ilvl w:val="0"/>
          <w:numId w:val="3"/>
        </w:numPr>
        <w:ind w:left="357" w:hanging="357"/>
      </w:pPr>
      <w:r>
        <w:t xml:space="preserve">A new AusPAR </w:t>
      </w:r>
      <w:proofErr w:type="gramStart"/>
      <w:r>
        <w:t>will be developed</w:t>
      </w:r>
      <w:proofErr w:type="gramEnd"/>
      <w:r>
        <w:t xml:space="preserve"> to reflect changes to indications and/or major variations to a prescription medicine subject to evaluation by the TGA.</w:t>
      </w:r>
    </w:p>
    <w:p w14:paraId="64B2A458" w14:textId="77777777" w:rsidR="00924482" w:rsidRPr="00DF1D7F" w:rsidRDefault="00924482" w:rsidP="00F54B65">
      <w:pPr>
        <w:pStyle w:val="LegalSubheading"/>
        <w:spacing w:before="3120"/>
      </w:pPr>
      <w:r w:rsidRPr="00DF1D7F">
        <w:t>Copyright</w:t>
      </w:r>
    </w:p>
    <w:p w14:paraId="3457A933" w14:textId="01FC0AC0"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w:t>
      </w:r>
      <w:proofErr w:type="gramStart"/>
      <w:r w:rsidRPr="00191B3B">
        <w:rPr>
          <w:rFonts w:cs="Arial"/>
          <w:lang w:val="en-GB"/>
        </w:rPr>
        <w:t>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w:t>
      </w:r>
      <w:proofErr w:type="gramEnd"/>
      <w:r w:rsidRPr="00191B3B">
        <w:rPr>
          <w:rFonts w:cs="Arial"/>
          <w:lang w:val="en-GB"/>
        </w:rPr>
        <w:t xml:space="preserve">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w:t>
      </w:r>
      <w:proofErr w:type="gramStart"/>
      <w:r w:rsidRPr="00191B3B">
        <w:rPr>
          <w:rFonts w:cs="Arial"/>
          <w:lang w:val="en-GB"/>
        </w:rPr>
        <w:t>sent</w:t>
      </w:r>
      <w:proofErr w:type="gramEnd"/>
      <w:r w:rsidRPr="00191B3B">
        <w:rPr>
          <w:rFonts w:cs="Arial"/>
          <w:lang w:val="en-GB"/>
        </w:rPr>
        <w:t xml:space="preserve">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14:paraId="2202CC37" w14:textId="77777777"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606126C8" w14:textId="77777777" w:rsidR="0089635C" w:rsidRPr="0089635C" w:rsidRDefault="0089635C" w:rsidP="0010788A">
          <w:pPr>
            <w:pStyle w:val="Contents"/>
          </w:pPr>
          <w:r w:rsidRPr="0010788A">
            <w:t>Contents</w:t>
          </w:r>
        </w:p>
        <w:p w14:paraId="11CF5794" w14:textId="7807AF84" w:rsidR="00D36D6D"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77866286" w:history="1">
            <w:r w:rsidR="00D36D6D" w:rsidRPr="007F33A5">
              <w:rPr>
                <w:rStyle w:val="Hyperlink"/>
                <w:noProof/>
              </w:rPr>
              <w:t>List of abbreviations</w:t>
            </w:r>
            <w:r w:rsidR="00D36D6D">
              <w:rPr>
                <w:noProof/>
                <w:webHidden/>
              </w:rPr>
              <w:tab/>
            </w:r>
            <w:r w:rsidR="00D36D6D">
              <w:rPr>
                <w:noProof/>
                <w:webHidden/>
              </w:rPr>
              <w:fldChar w:fldCharType="begin"/>
            </w:r>
            <w:r w:rsidR="00D36D6D">
              <w:rPr>
                <w:noProof/>
                <w:webHidden/>
              </w:rPr>
              <w:instrText xml:space="preserve"> PAGEREF _Toc77866286 \h </w:instrText>
            </w:r>
            <w:r w:rsidR="00D36D6D">
              <w:rPr>
                <w:noProof/>
                <w:webHidden/>
              </w:rPr>
            </w:r>
            <w:r w:rsidR="00D36D6D">
              <w:rPr>
                <w:noProof/>
                <w:webHidden/>
              </w:rPr>
              <w:fldChar w:fldCharType="separate"/>
            </w:r>
            <w:r w:rsidR="00D36D6D">
              <w:rPr>
                <w:noProof/>
                <w:webHidden/>
              </w:rPr>
              <w:t>4</w:t>
            </w:r>
            <w:r w:rsidR="00D36D6D">
              <w:rPr>
                <w:noProof/>
                <w:webHidden/>
              </w:rPr>
              <w:fldChar w:fldCharType="end"/>
            </w:r>
          </w:hyperlink>
        </w:p>
        <w:p w14:paraId="5A5F8C6D" w14:textId="365E45CB" w:rsidR="00D36D6D" w:rsidRDefault="00352D4E">
          <w:pPr>
            <w:pStyle w:val="TOC1"/>
            <w:rPr>
              <w:rFonts w:asciiTheme="minorHAnsi" w:eastAsiaTheme="minorEastAsia" w:hAnsiTheme="minorHAnsi" w:cstheme="minorBidi"/>
              <w:b w:val="0"/>
              <w:noProof/>
              <w:sz w:val="22"/>
              <w:lang w:eastAsia="en-AU"/>
            </w:rPr>
          </w:pPr>
          <w:hyperlink w:anchor="_Toc77866287" w:history="1">
            <w:r w:rsidR="00D36D6D" w:rsidRPr="007F33A5">
              <w:rPr>
                <w:rStyle w:val="Hyperlink"/>
                <w:noProof/>
              </w:rPr>
              <w:t>I. Introduction to product submission</w:t>
            </w:r>
            <w:r w:rsidR="00D36D6D">
              <w:rPr>
                <w:noProof/>
                <w:webHidden/>
              </w:rPr>
              <w:tab/>
            </w:r>
            <w:r w:rsidR="00D36D6D">
              <w:rPr>
                <w:noProof/>
                <w:webHidden/>
              </w:rPr>
              <w:fldChar w:fldCharType="begin"/>
            </w:r>
            <w:r w:rsidR="00D36D6D">
              <w:rPr>
                <w:noProof/>
                <w:webHidden/>
              </w:rPr>
              <w:instrText xml:space="preserve"> PAGEREF _Toc77866287 \h </w:instrText>
            </w:r>
            <w:r w:rsidR="00D36D6D">
              <w:rPr>
                <w:noProof/>
                <w:webHidden/>
              </w:rPr>
            </w:r>
            <w:r w:rsidR="00D36D6D">
              <w:rPr>
                <w:noProof/>
                <w:webHidden/>
              </w:rPr>
              <w:fldChar w:fldCharType="separate"/>
            </w:r>
            <w:r w:rsidR="00D36D6D">
              <w:rPr>
                <w:noProof/>
                <w:webHidden/>
              </w:rPr>
              <w:t>6</w:t>
            </w:r>
            <w:r w:rsidR="00D36D6D">
              <w:rPr>
                <w:noProof/>
                <w:webHidden/>
              </w:rPr>
              <w:fldChar w:fldCharType="end"/>
            </w:r>
          </w:hyperlink>
        </w:p>
        <w:p w14:paraId="1E9B0C43" w14:textId="659F34D6" w:rsidR="00D36D6D" w:rsidRDefault="00352D4E">
          <w:pPr>
            <w:pStyle w:val="TOC2"/>
            <w:rPr>
              <w:rFonts w:asciiTheme="minorHAnsi" w:eastAsiaTheme="minorEastAsia" w:hAnsiTheme="minorHAnsi" w:cstheme="minorBidi"/>
              <w:b w:val="0"/>
              <w:noProof/>
              <w:sz w:val="22"/>
              <w:lang w:eastAsia="en-AU"/>
            </w:rPr>
          </w:pPr>
          <w:hyperlink w:anchor="_Toc77866288" w:history="1">
            <w:r w:rsidR="00D36D6D" w:rsidRPr="007F33A5">
              <w:rPr>
                <w:rStyle w:val="Hyperlink"/>
                <w:noProof/>
                <w:lang w:eastAsia="en-AU"/>
              </w:rPr>
              <w:t>Submission details</w:t>
            </w:r>
            <w:r w:rsidR="00D36D6D">
              <w:rPr>
                <w:noProof/>
                <w:webHidden/>
              </w:rPr>
              <w:tab/>
            </w:r>
            <w:r w:rsidR="00D36D6D">
              <w:rPr>
                <w:noProof/>
                <w:webHidden/>
              </w:rPr>
              <w:fldChar w:fldCharType="begin"/>
            </w:r>
            <w:r w:rsidR="00D36D6D">
              <w:rPr>
                <w:noProof/>
                <w:webHidden/>
              </w:rPr>
              <w:instrText xml:space="preserve"> PAGEREF _Toc77866288 \h </w:instrText>
            </w:r>
            <w:r w:rsidR="00D36D6D">
              <w:rPr>
                <w:noProof/>
                <w:webHidden/>
              </w:rPr>
            </w:r>
            <w:r w:rsidR="00D36D6D">
              <w:rPr>
                <w:noProof/>
                <w:webHidden/>
              </w:rPr>
              <w:fldChar w:fldCharType="separate"/>
            </w:r>
            <w:r w:rsidR="00D36D6D">
              <w:rPr>
                <w:noProof/>
                <w:webHidden/>
              </w:rPr>
              <w:t>6</w:t>
            </w:r>
            <w:r w:rsidR="00D36D6D">
              <w:rPr>
                <w:noProof/>
                <w:webHidden/>
              </w:rPr>
              <w:fldChar w:fldCharType="end"/>
            </w:r>
          </w:hyperlink>
        </w:p>
        <w:p w14:paraId="3D3237F0" w14:textId="0DB4E039" w:rsidR="00D36D6D" w:rsidRDefault="00352D4E">
          <w:pPr>
            <w:pStyle w:val="TOC2"/>
            <w:rPr>
              <w:rFonts w:asciiTheme="minorHAnsi" w:eastAsiaTheme="minorEastAsia" w:hAnsiTheme="minorHAnsi" w:cstheme="minorBidi"/>
              <w:b w:val="0"/>
              <w:noProof/>
              <w:sz w:val="22"/>
              <w:lang w:eastAsia="en-AU"/>
            </w:rPr>
          </w:pPr>
          <w:hyperlink w:anchor="_Toc77866289" w:history="1">
            <w:r w:rsidR="00D36D6D" w:rsidRPr="007F33A5">
              <w:rPr>
                <w:rStyle w:val="Hyperlink"/>
                <w:noProof/>
              </w:rPr>
              <w:t>Product background</w:t>
            </w:r>
            <w:r w:rsidR="00D36D6D">
              <w:rPr>
                <w:noProof/>
                <w:webHidden/>
              </w:rPr>
              <w:tab/>
            </w:r>
            <w:r w:rsidR="00D36D6D">
              <w:rPr>
                <w:noProof/>
                <w:webHidden/>
              </w:rPr>
              <w:fldChar w:fldCharType="begin"/>
            </w:r>
            <w:r w:rsidR="00D36D6D">
              <w:rPr>
                <w:noProof/>
                <w:webHidden/>
              </w:rPr>
              <w:instrText xml:space="preserve"> PAGEREF _Toc77866289 \h </w:instrText>
            </w:r>
            <w:r w:rsidR="00D36D6D">
              <w:rPr>
                <w:noProof/>
                <w:webHidden/>
              </w:rPr>
            </w:r>
            <w:r w:rsidR="00D36D6D">
              <w:rPr>
                <w:noProof/>
                <w:webHidden/>
              </w:rPr>
              <w:fldChar w:fldCharType="separate"/>
            </w:r>
            <w:r w:rsidR="00D36D6D">
              <w:rPr>
                <w:noProof/>
                <w:webHidden/>
              </w:rPr>
              <w:t>7</w:t>
            </w:r>
            <w:r w:rsidR="00D36D6D">
              <w:rPr>
                <w:noProof/>
                <w:webHidden/>
              </w:rPr>
              <w:fldChar w:fldCharType="end"/>
            </w:r>
          </w:hyperlink>
        </w:p>
        <w:p w14:paraId="4A98C49C" w14:textId="4932F686" w:rsidR="00D36D6D" w:rsidRDefault="00352D4E">
          <w:pPr>
            <w:pStyle w:val="TOC2"/>
            <w:rPr>
              <w:rFonts w:asciiTheme="minorHAnsi" w:eastAsiaTheme="minorEastAsia" w:hAnsiTheme="minorHAnsi" w:cstheme="minorBidi"/>
              <w:b w:val="0"/>
              <w:noProof/>
              <w:sz w:val="22"/>
              <w:lang w:eastAsia="en-AU"/>
            </w:rPr>
          </w:pPr>
          <w:hyperlink w:anchor="_Toc77866290" w:history="1">
            <w:r w:rsidR="00D36D6D" w:rsidRPr="007F33A5">
              <w:rPr>
                <w:rStyle w:val="Hyperlink"/>
                <w:noProof/>
              </w:rPr>
              <w:t>Regulatory status</w:t>
            </w:r>
            <w:r w:rsidR="00D36D6D">
              <w:rPr>
                <w:noProof/>
                <w:webHidden/>
              </w:rPr>
              <w:tab/>
            </w:r>
            <w:r w:rsidR="00D36D6D">
              <w:rPr>
                <w:noProof/>
                <w:webHidden/>
              </w:rPr>
              <w:fldChar w:fldCharType="begin"/>
            </w:r>
            <w:r w:rsidR="00D36D6D">
              <w:rPr>
                <w:noProof/>
                <w:webHidden/>
              </w:rPr>
              <w:instrText xml:space="preserve"> PAGEREF _Toc77866290 \h </w:instrText>
            </w:r>
            <w:r w:rsidR="00D36D6D">
              <w:rPr>
                <w:noProof/>
                <w:webHidden/>
              </w:rPr>
            </w:r>
            <w:r w:rsidR="00D36D6D">
              <w:rPr>
                <w:noProof/>
                <w:webHidden/>
              </w:rPr>
              <w:fldChar w:fldCharType="separate"/>
            </w:r>
            <w:r w:rsidR="00D36D6D">
              <w:rPr>
                <w:noProof/>
                <w:webHidden/>
              </w:rPr>
              <w:t>8</w:t>
            </w:r>
            <w:r w:rsidR="00D36D6D">
              <w:rPr>
                <w:noProof/>
                <w:webHidden/>
              </w:rPr>
              <w:fldChar w:fldCharType="end"/>
            </w:r>
          </w:hyperlink>
        </w:p>
        <w:p w14:paraId="61BB6704" w14:textId="07181578" w:rsidR="00D36D6D" w:rsidRDefault="00352D4E">
          <w:pPr>
            <w:pStyle w:val="TOC2"/>
            <w:rPr>
              <w:rFonts w:asciiTheme="minorHAnsi" w:eastAsiaTheme="minorEastAsia" w:hAnsiTheme="minorHAnsi" w:cstheme="minorBidi"/>
              <w:b w:val="0"/>
              <w:noProof/>
              <w:sz w:val="22"/>
              <w:lang w:eastAsia="en-AU"/>
            </w:rPr>
          </w:pPr>
          <w:hyperlink w:anchor="_Toc77866291" w:history="1">
            <w:r w:rsidR="00D36D6D" w:rsidRPr="007F33A5">
              <w:rPr>
                <w:rStyle w:val="Hyperlink"/>
                <w:noProof/>
              </w:rPr>
              <w:t>Product Information</w:t>
            </w:r>
            <w:r w:rsidR="00D36D6D">
              <w:rPr>
                <w:noProof/>
                <w:webHidden/>
              </w:rPr>
              <w:tab/>
            </w:r>
            <w:r w:rsidR="00D36D6D">
              <w:rPr>
                <w:noProof/>
                <w:webHidden/>
              </w:rPr>
              <w:fldChar w:fldCharType="begin"/>
            </w:r>
            <w:r w:rsidR="00D36D6D">
              <w:rPr>
                <w:noProof/>
                <w:webHidden/>
              </w:rPr>
              <w:instrText xml:space="preserve"> PAGEREF _Toc77866291 \h </w:instrText>
            </w:r>
            <w:r w:rsidR="00D36D6D">
              <w:rPr>
                <w:noProof/>
                <w:webHidden/>
              </w:rPr>
            </w:r>
            <w:r w:rsidR="00D36D6D">
              <w:rPr>
                <w:noProof/>
                <w:webHidden/>
              </w:rPr>
              <w:fldChar w:fldCharType="separate"/>
            </w:r>
            <w:r w:rsidR="00D36D6D">
              <w:rPr>
                <w:noProof/>
                <w:webHidden/>
              </w:rPr>
              <w:t>10</w:t>
            </w:r>
            <w:r w:rsidR="00D36D6D">
              <w:rPr>
                <w:noProof/>
                <w:webHidden/>
              </w:rPr>
              <w:fldChar w:fldCharType="end"/>
            </w:r>
          </w:hyperlink>
        </w:p>
        <w:p w14:paraId="6D6BF631" w14:textId="01115516" w:rsidR="00D36D6D" w:rsidRDefault="00352D4E">
          <w:pPr>
            <w:pStyle w:val="TOC1"/>
            <w:rPr>
              <w:rFonts w:asciiTheme="minorHAnsi" w:eastAsiaTheme="minorEastAsia" w:hAnsiTheme="minorHAnsi" w:cstheme="minorBidi"/>
              <w:b w:val="0"/>
              <w:noProof/>
              <w:sz w:val="22"/>
              <w:lang w:eastAsia="en-AU"/>
            </w:rPr>
          </w:pPr>
          <w:hyperlink w:anchor="_Toc77866292" w:history="1">
            <w:r w:rsidR="00D36D6D" w:rsidRPr="007F33A5">
              <w:rPr>
                <w:rStyle w:val="Hyperlink"/>
                <w:noProof/>
              </w:rPr>
              <w:t>II. Registration timeline</w:t>
            </w:r>
            <w:r w:rsidR="00D36D6D">
              <w:rPr>
                <w:noProof/>
                <w:webHidden/>
              </w:rPr>
              <w:tab/>
            </w:r>
            <w:r w:rsidR="00D36D6D">
              <w:rPr>
                <w:noProof/>
                <w:webHidden/>
              </w:rPr>
              <w:fldChar w:fldCharType="begin"/>
            </w:r>
            <w:r w:rsidR="00D36D6D">
              <w:rPr>
                <w:noProof/>
                <w:webHidden/>
              </w:rPr>
              <w:instrText xml:space="preserve"> PAGEREF _Toc77866292 \h </w:instrText>
            </w:r>
            <w:r w:rsidR="00D36D6D">
              <w:rPr>
                <w:noProof/>
                <w:webHidden/>
              </w:rPr>
            </w:r>
            <w:r w:rsidR="00D36D6D">
              <w:rPr>
                <w:noProof/>
                <w:webHidden/>
              </w:rPr>
              <w:fldChar w:fldCharType="separate"/>
            </w:r>
            <w:r w:rsidR="00D36D6D">
              <w:rPr>
                <w:noProof/>
                <w:webHidden/>
              </w:rPr>
              <w:t>11</w:t>
            </w:r>
            <w:r w:rsidR="00D36D6D">
              <w:rPr>
                <w:noProof/>
                <w:webHidden/>
              </w:rPr>
              <w:fldChar w:fldCharType="end"/>
            </w:r>
          </w:hyperlink>
        </w:p>
        <w:p w14:paraId="61D0ABA9" w14:textId="3BEF2880" w:rsidR="00D36D6D" w:rsidRDefault="00352D4E">
          <w:pPr>
            <w:pStyle w:val="TOC1"/>
            <w:rPr>
              <w:rFonts w:asciiTheme="minorHAnsi" w:eastAsiaTheme="minorEastAsia" w:hAnsiTheme="minorHAnsi" w:cstheme="minorBidi"/>
              <w:b w:val="0"/>
              <w:noProof/>
              <w:sz w:val="22"/>
              <w:lang w:eastAsia="en-AU"/>
            </w:rPr>
          </w:pPr>
          <w:hyperlink w:anchor="_Toc77866293" w:history="1">
            <w:r w:rsidR="00D36D6D" w:rsidRPr="007F33A5">
              <w:rPr>
                <w:rStyle w:val="Hyperlink"/>
                <w:noProof/>
              </w:rPr>
              <w:t>III. Submission overview and risk/benefit assessment</w:t>
            </w:r>
            <w:r w:rsidR="00D36D6D">
              <w:rPr>
                <w:noProof/>
                <w:webHidden/>
              </w:rPr>
              <w:tab/>
            </w:r>
            <w:r w:rsidR="00D36D6D">
              <w:rPr>
                <w:noProof/>
                <w:webHidden/>
              </w:rPr>
              <w:fldChar w:fldCharType="begin"/>
            </w:r>
            <w:r w:rsidR="00D36D6D">
              <w:rPr>
                <w:noProof/>
                <w:webHidden/>
              </w:rPr>
              <w:instrText xml:space="preserve"> PAGEREF _Toc77866293 \h </w:instrText>
            </w:r>
            <w:r w:rsidR="00D36D6D">
              <w:rPr>
                <w:noProof/>
                <w:webHidden/>
              </w:rPr>
            </w:r>
            <w:r w:rsidR="00D36D6D">
              <w:rPr>
                <w:noProof/>
                <w:webHidden/>
              </w:rPr>
              <w:fldChar w:fldCharType="separate"/>
            </w:r>
            <w:r w:rsidR="00D36D6D">
              <w:rPr>
                <w:noProof/>
                <w:webHidden/>
              </w:rPr>
              <w:t>11</w:t>
            </w:r>
            <w:r w:rsidR="00D36D6D">
              <w:rPr>
                <w:noProof/>
                <w:webHidden/>
              </w:rPr>
              <w:fldChar w:fldCharType="end"/>
            </w:r>
          </w:hyperlink>
        </w:p>
        <w:p w14:paraId="1D5667F6" w14:textId="418C6C05" w:rsidR="00D36D6D" w:rsidRDefault="00352D4E">
          <w:pPr>
            <w:pStyle w:val="TOC2"/>
            <w:rPr>
              <w:rFonts w:asciiTheme="minorHAnsi" w:eastAsiaTheme="minorEastAsia" w:hAnsiTheme="minorHAnsi" w:cstheme="minorBidi"/>
              <w:b w:val="0"/>
              <w:noProof/>
              <w:sz w:val="22"/>
              <w:lang w:eastAsia="en-AU"/>
            </w:rPr>
          </w:pPr>
          <w:hyperlink w:anchor="_Toc77866294" w:history="1">
            <w:r w:rsidR="00D36D6D" w:rsidRPr="007F33A5">
              <w:rPr>
                <w:rStyle w:val="Hyperlink"/>
                <w:noProof/>
              </w:rPr>
              <w:t>Quality</w:t>
            </w:r>
            <w:r w:rsidR="00D36D6D">
              <w:rPr>
                <w:noProof/>
                <w:webHidden/>
              </w:rPr>
              <w:tab/>
            </w:r>
            <w:r w:rsidR="00D36D6D">
              <w:rPr>
                <w:noProof/>
                <w:webHidden/>
              </w:rPr>
              <w:fldChar w:fldCharType="begin"/>
            </w:r>
            <w:r w:rsidR="00D36D6D">
              <w:rPr>
                <w:noProof/>
                <w:webHidden/>
              </w:rPr>
              <w:instrText xml:space="preserve"> PAGEREF _Toc77866294 \h </w:instrText>
            </w:r>
            <w:r w:rsidR="00D36D6D">
              <w:rPr>
                <w:noProof/>
                <w:webHidden/>
              </w:rPr>
            </w:r>
            <w:r w:rsidR="00D36D6D">
              <w:rPr>
                <w:noProof/>
                <w:webHidden/>
              </w:rPr>
              <w:fldChar w:fldCharType="separate"/>
            </w:r>
            <w:r w:rsidR="00D36D6D">
              <w:rPr>
                <w:noProof/>
                <w:webHidden/>
              </w:rPr>
              <w:t>12</w:t>
            </w:r>
            <w:r w:rsidR="00D36D6D">
              <w:rPr>
                <w:noProof/>
                <w:webHidden/>
              </w:rPr>
              <w:fldChar w:fldCharType="end"/>
            </w:r>
          </w:hyperlink>
        </w:p>
        <w:p w14:paraId="16DEFB9F" w14:textId="79FB654D" w:rsidR="00D36D6D" w:rsidRDefault="00352D4E">
          <w:pPr>
            <w:pStyle w:val="TOC2"/>
            <w:rPr>
              <w:rFonts w:asciiTheme="minorHAnsi" w:eastAsiaTheme="minorEastAsia" w:hAnsiTheme="minorHAnsi" w:cstheme="minorBidi"/>
              <w:b w:val="0"/>
              <w:noProof/>
              <w:sz w:val="22"/>
              <w:lang w:eastAsia="en-AU"/>
            </w:rPr>
          </w:pPr>
          <w:hyperlink w:anchor="_Toc77866295" w:history="1">
            <w:r w:rsidR="00D36D6D" w:rsidRPr="007F33A5">
              <w:rPr>
                <w:rStyle w:val="Hyperlink"/>
                <w:noProof/>
              </w:rPr>
              <w:t>Nonclinical</w:t>
            </w:r>
            <w:r w:rsidR="00D36D6D">
              <w:rPr>
                <w:noProof/>
                <w:webHidden/>
              </w:rPr>
              <w:tab/>
            </w:r>
            <w:r w:rsidR="00D36D6D">
              <w:rPr>
                <w:noProof/>
                <w:webHidden/>
              </w:rPr>
              <w:fldChar w:fldCharType="begin"/>
            </w:r>
            <w:r w:rsidR="00D36D6D">
              <w:rPr>
                <w:noProof/>
                <w:webHidden/>
              </w:rPr>
              <w:instrText xml:space="preserve"> PAGEREF _Toc77866295 \h </w:instrText>
            </w:r>
            <w:r w:rsidR="00D36D6D">
              <w:rPr>
                <w:noProof/>
                <w:webHidden/>
              </w:rPr>
            </w:r>
            <w:r w:rsidR="00D36D6D">
              <w:rPr>
                <w:noProof/>
                <w:webHidden/>
              </w:rPr>
              <w:fldChar w:fldCharType="separate"/>
            </w:r>
            <w:r w:rsidR="00D36D6D">
              <w:rPr>
                <w:noProof/>
                <w:webHidden/>
              </w:rPr>
              <w:t>12</w:t>
            </w:r>
            <w:r w:rsidR="00D36D6D">
              <w:rPr>
                <w:noProof/>
                <w:webHidden/>
              </w:rPr>
              <w:fldChar w:fldCharType="end"/>
            </w:r>
          </w:hyperlink>
        </w:p>
        <w:p w14:paraId="0367BF88" w14:textId="0540577B" w:rsidR="00D36D6D" w:rsidRDefault="00352D4E">
          <w:pPr>
            <w:pStyle w:val="TOC2"/>
            <w:rPr>
              <w:rFonts w:asciiTheme="minorHAnsi" w:eastAsiaTheme="minorEastAsia" w:hAnsiTheme="minorHAnsi" w:cstheme="minorBidi"/>
              <w:b w:val="0"/>
              <w:noProof/>
              <w:sz w:val="22"/>
              <w:lang w:eastAsia="en-AU"/>
            </w:rPr>
          </w:pPr>
          <w:hyperlink w:anchor="_Toc77866296" w:history="1">
            <w:r w:rsidR="00D36D6D" w:rsidRPr="007F33A5">
              <w:rPr>
                <w:rStyle w:val="Hyperlink"/>
                <w:noProof/>
              </w:rPr>
              <w:t>Clinical</w:t>
            </w:r>
            <w:r w:rsidR="00D36D6D">
              <w:rPr>
                <w:noProof/>
                <w:webHidden/>
              </w:rPr>
              <w:tab/>
            </w:r>
            <w:r w:rsidR="00D36D6D">
              <w:rPr>
                <w:noProof/>
                <w:webHidden/>
              </w:rPr>
              <w:fldChar w:fldCharType="begin"/>
            </w:r>
            <w:r w:rsidR="00D36D6D">
              <w:rPr>
                <w:noProof/>
                <w:webHidden/>
              </w:rPr>
              <w:instrText xml:space="preserve"> PAGEREF _Toc77866296 \h </w:instrText>
            </w:r>
            <w:r w:rsidR="00D36D6D">
              <w:rPr>
                <w:noProof/>
                <w:webHidden/>
              </w:rPr>
            </w:r>
            <w:r w:rsidR="00D36D6D">
              <w:rPr>
                <w:noProof/>
                <w:webHidden/>
              </w:rPr>
              <w:fldChar w:fldCharType="separate"/>
            </w:r>
            <w:r w:rsidR="00D36D6D">
              <w:rPr>
                <w:noProof/>
                <w:webHidden/>
              </w:rPr>
              <w:t>12</w:t>
            </w:r>
            <w:r w:rsidR="00D36D6D">
              <w:rPr>
                <w:noProof/>
                <w:webHidden/>
              </w:rPr>
              <w:fldChar w:fldCharType="end"/>
            </w:r>
          </w:hyperlink>
        </w:p>
        <w:p w14:paraId="3E2B83CC" w14:textId="268148E1" w:rsidR="00D36D6D" w:rsidRDefault="00352D4E">
          <w:pPr>
            <w:pStyle w:val="TOC2"/>
            <w:rPr>
              <w:rFonts w:asciiTheme="minorHAnsi" w:eastAsiaTheme="minorEastAsia" w:hAnsiTheme="minorHAnsi" w:cstheme="minorBidi"/>
              <w:b w:val="0"/>
              <w:noProof/>
              <w:sz w:val="22"/>
              <w:lang w:eastAsia="en-AU"/>
            </w:rPr>
          </w:pPr>
          <w:hyperlink w:anchor="_Toc77866297" w:history="1">
            <w:r w:rsidR="00D36D6D" w:rsidRPr="007F33A5">
              <w:rPr>
                <w:rStyle w:val="Hyperlink"/>
                <w:noProof/>
                <w:lang w:eastAsia="en-AU"/>
              </w:rPr>
              <w:t>Risk management plan</w:t>
            </w:r>
            <w:r w:rsidR="00D36D6D">
              <w:rPr>
                <w:noProof/>
                <w:webHidden/>
              </w:rPr>
              <w:tab/>
            </w:r>
            <w:r w:rsidR="00D36D6D">
              <w:rPr>
                <w:noProof/>
                <w:webHidden/>
              </w:rPr>
              <w:fldChar w:fldCharType="begin"/>
            </w:r>
            <w:r w:rsidR="00D36D6D">
              <w:rPr>
                <w:noProof/>
                <w:webHidden/>
              </w:rPr>
              <w:instrText xml:space="preserve"> PAGEREF _Toc77866297 \h </w:instrText>
            </w:r>
            <w:r w:rsidR="00D36D6D">
              <w:rPr>
                <w:noProof/>
                <w:webHidden/>
              </w:rPr>
            </w:r>
            <w:r w:rsidR="00D36D6D">
              <w:rPr>
                <w:noProof/>
                <w:webHidden/>
              </w:rPr>
              <w:fldChar w:fldCharType="separate"/>
            </w:r>
            <w:r w:rsidR="00D36D6D">
              <w:rPr>
                <w:noProof/>
                <w:webHidden/>
              </w:rPr>
              <w:t>27</w:t>
            </w:r>
            <w:r w:rsidR="00D36D6D">
              <w:rPr>
                <w:noProof/>
                <w:webHidden/>
              </w:rPr>
              <w:fldChar w:fldCharType="end"/>
            </w:r>
          </w:hyperlink>
        </w:p>
        <w:p w14:paraId="266BF636" w14:textId="7F6B7872" w:rsidR="00D36D6D" w:rsidRDefault="00352D4E">
          <w:pPr>
            <w:pStyle w:val="TOC2"/>
            <w:rPr>
              <w:rFonts w:asciiTheme="minorHAnsi" w:eastAsiaTheme="minorEastAsia" w:hAnsiTheme="minorHAnsi" w:cstheme="minorBidi"/>
              <w:b w:val="0"/>
              <w:noProof/>
              <w:sz w:val="22"/>
              <w:lang w:eastAsia="en-AU"/>
            </w:rPr>
          </w:pPr>
          <w:hyperlink w:anchor="_Toc77866298" w:history="1">
            <w:r w:rsidR="00D36D6D" w:rsidRPr="007F33A5">
              <w:rPr>
                <w:rStyle w:val="Hyperlink"/>
                <w:noProof/>
              </w:rPr>
              <w:t>Risk-benefit analysis</w:t>
            </w:r>
            <w:r w:rsidR="00D36D6D">
              <w:rPr>
                <w:noProof/>
                <w:webHidden/>
              </w:rPr>
              <w:tab/>
            </w:r>
            <w:r w:rsidR="00D36D6D">
              <w:rPr>
                <w:noProof/>
                <w:webHidden/>
              </w:rPr>
              <w:fldChar w:fldCharType="begin"/>
            </w:r>
            <w:r w:rsidR="00D36D6D">
              <w:rPr>
                <w:noProof/>
                <w:webHidden/>
              </w:rPr>
              <w:instrText xml:space="preserve"> PAGEREF _Toc77866298 \h </w:instrText>
            </w:r>
            <w:r w:rsidR="00D36D6D">
              <w:rPr>
                <w:noProof/>
                <w:webHidden/>
              </w:rPr>
            </w:r>
            <w:r w:rsidR="00D36D6D">
              <w:rPr>
                <w:noProof/>
                <w:webHidden/>
              </w:rPr>
              <w:fldChar w:fldCharType="separate"/>
            </w:r>
            <w:r w:rsidR="00D36D6D">
              <w:rPr>
                <w:noProof/>
                <w:webHidden/>
              </w:rPr>
              <w:t>29</w:t>
            </w:r>
            <w:r w:rsidR="00D36D6D">
              <w:rPr>
                <w:noProof/>
                <w:webHidden/>
              </w:rPr>
              <w:fldChar w:fldCharType="end"/>
            </w:r>
          </w:hyperlink>
        </w:p>
        <w:p w14:paraId="16D14BF0" w14:textId="2320E6EB" w:rsidR="00D36D6D" w:rsidRDefault="00352D4E">
          <w:pPr>
            <w:pStyle w:val="TOC2"/>
            <w:rPr>
              <w:rFonts w:asciiTheme="minorHAnsi" w:eastAsiaTheme="minorEastAsia" w:hAnsiTheme="minorHAnsi" w:cstheme="minorBidi"/>
              <w:b w:val="0"/>
              <w:noProof/>
              <w:sz w:val="22"/>
              <w:lang w:eastAsia="en-AU"/>
            </w:rPr>
          </w:pPr>
          <w:hyperlink w:anchor="_Toc77866299" w:history="1">
            <w:r w:rsidR="00D36D6D" w:rsidRPr="007F33A5">
              <w:rPr>
                <w:rStyle w:val="Hyperlink"/>
                <w:noProof/>
              </w:rPr>
              <w:t>Outcome</w:t>
            </w:r>
            <w:r w:rsidR="00D36D6D">
              <w:rPr>
                <w:noProof/>
                <w:webHidden/>
              </w:rPr>
              <w:tab/>
            </w:r>
            <w:r w:rsidR="00D36D6D">
              <w:rPr>
                <w:noProof/>
                <w:webHidden/>
              </w:rPr>
              <w:fldChar w:fldCharType="begin"/>
            </w:r>
            <w:r w:rsidR="00D36D6D">
              <w:rPr>
                <w:noProof/>
                <w:webHidden/>
              </w:rPr>
              <w:instrText xml:space="preserve"> PAGEREF _Toc77866299 \h </w:instrText>
            </w:r>
            <w:r w:rsidR="00D36D6D">
              <w:rPr>
                <w:noProof/>
                <w:webHidden/>
              </w:rPr>
            </w:r>
            <w:r w:rsidR="00D36D6D">
              <w:rPr>
                <w:noProof/>
                <w:webHidden/>
              </w:rPr>
              <w:fldChar w:fldCharType="separate"/>
            </w:r>
            <w:r w:rsidR="00D36D6D">
              <w:rPr>
                <w:noProof/>
                <w:webHidden/>
              </w:rPr>
              <w:t>33</w:t>
            </w:r>
            <w:r w:rsidR="00D36D6D">
              <w:rPr>
                <w:noProof/>
                <w:webHidden/>
              </w:rPr>
              <w:fldChar w:fldCharType="end"/>
            </w:r>
          </w:hyperlink>
        </w:p>
        <w:p w14:paraId="765AF340" w14:textId="0BE82AB1" w:rsidR="00D36D6D" w:rsidRDefault="00352D4E">
          <w:pPr>
            <w:pStyle w:val="TOC1"/>
            <w:rPr>
              <w:rFonts w:asciiTheme="minorHAnsi" w:eastAsiaTheme="minorEastAsia" w:hAnsiTheme="minorHAnsi" w:cstheme="minorBidi"/>
              <w:b w:val="0"/>
              <w:noProof/>
              <w:sz w:val="22"/>
              <w:lang w:eastAsia="en-AU"/>
            </w:rPr>
          </w:pPr>
          <w:hyperlink w:anchor="_Toc77866300" w:history="1">
            <w:r w:rsidR="00D36D6D" w:rsidRPr="007F33A5">
              <w:rPr>
                <w:rStyle w:val="Hyperlink"/>
                <w:noProof/>
              </w:rPr>
              <w:t>Attachment 1. Product Information</w:t>
            </w:r>
            <w:r w:rsidR="00D36D6D">
              <w:rPr>
                <w:noProof/>
                <w:webHidden/>
              </w:rPr>
              <w:tab/>
            </w:r>
            <w:r w:rsidR="00D36D6D">
              <w:rPr>
                <w:noProof/>
                <w:webHidden/>
              </w:rPr>
              <w:fldChar w:fldCharType="begin"/>
            </w:r>
            <w:r w:rsidR="00D36D6D">
              <w:rPr>
                <w:noProof/>
                <w:webHidden/>
              </w:rPr>
              <w:instrText xml:space="preserve"> PAGEREF _Toc77866300 \h </w:instrText>
            </w:r>
            <w:r w:rsidR="00D36D6D">
              <w:rPr>
                <w:noProof/>
                <w:webHidden/>
              </w:rPr>
            </w:r>
            <w:r w:rsidR="00D36D6D">
              <w:rPr>
                <w:noProof/>
                <w:webHidden/>
              </w:rPr>
              <w:fldChar w:fldCharType="separate"/>
            </w:r>
            <w:r w:rsidR="00D36D6D">
              <w:rPr>
                <w:noProof/>
                <w:webHidden/>
              </w:rPr>
              <w:t>36</w:t>
            </w:r>
            <w:r w:rsidR="00D36D6D">
              <w:rPr>
                <w:noProof/>
                <w:webHidden/>
              </w:rPr>
              <w:fldChar w:fldCharType="end"/>
            </w:r>
          </w:hyperlink>
        </w:p>
        <w:p w14:paraId="413F02BB" w14:textId="29288050" w:rsidR="003A7F6C" w:rsidRPr="00B811C6" w:rsidRDefault="00C525A2" w:rsidP="00B811C6">
          <w:pPr>
            <w:pStyle w:val="TOC2"/>
          </w:pPr>
          <w:r>
            <w:fldChar w:fldCharType="end"/>
          </w:r>
        </w:p>
      </w:sdtContent>
    </w:sdt>
    <w:bookmarkStart w:id="2" w:name="_Toc314842482" w:displacedByCustomXml="prev"/>
    <w:p w14:paraId="295891AF" w14:textId="77777777" w:rsidR="00FD119B" w:rsidRDefault="00FD119B">
      <w:pPr>
        <w:spacing w:before="0" w:after="200" w:line="0" w:lineRule="auto"/>
      </w:pPr>
      <w:r>
        <w:br w:type="page"/>
      </w:r>
    </w:p>
    <w:p w14:paraId="45D9A092" w14:textId="77777777" w:rsidR="00C52E24" w:rsidRPr="00C52E24" w:rsidRDefault="00324E45" w:rsidP="00C01B0B">
      <w:pPr>
        <w:pStyle w:val="Heading2"/>
      </w:pPr>
      <w:bookmarkStart w:id="3" w:name="_Toc351716269"/>
      <w:bookmarkStart w:id="4" w:name="_Toc351718881"/>
      <w:bookmarkStart w:id="5" w:name="_Toc355338616"/>
      <w:bookmarkStart w:id="6" w:name="_Toc356306144"/>
      <w:bookmarkStart w:id="7" w:name="_Toc77866286"/>
      <w:r>
        <w:t>List of</w:t>
      </w:r>
      <w:r w:rsidR="00FD119B" w:rsidRPr="00FD119B">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03"/>
        <w:gridCol w:w="6691"/>
      </w:tblGrid>
      <w:tr w:rsidR="00131E34" w:rsidRPr="00FD119B" w14:paraId="7C308A98" w14:textId="77777777" w:rsidTr="00A237BB">
        <w:trPr>
          <w:cnfStyle w:val="100000000000" w:firstRow="1" w:lastRow="0" w:firstColumn="0" w:lastColumn="0" w:oddVBand="0" w:evenVBand="0" w:oddHBand="0" w:evenHBand="0" w:firstRowFirstColumn="0" w:firstRowLastColumn="0" w:lastRowFirstColumn="0" w:lastRowLastColumn="0"/>
        </w:trPr>
        <w:tc>
          <w:tcPr>
            <w:tcW w:w="1809" w:type="dxa"/>
            <w:tcBorders>
              <w:top w:val="single" w:sz="4" w:space="0" w:color="auto"/>
              <w:left w:val="single" w:sz="4" w:space="0" w:color="auto"/>
              <w:bottom w:val="single" w:sz="4" w:space="0" w:color="auto"/>
              <w:right w:val="single" w:sz="4" w:space="0" w:color="auto"/>
            </w:tcBorders>
          </w:tcPr>
          <w:p w14:paraId="052AB8D5" w14:textId="77777777" w:rsidR="00131E34" w:rsidRPr="00FD119B" w:rsidRDefault="00131E34" w:rsidP="002A2E35">
            <w:pPr>
              <w:keepNext w:val="0"/>
              <w:ind w:left="144" w:right="0"/>
              <w:rPr>
                <w:szCs w:val="22"/>
                <w:lang w:eastAsia="en-US"/>
              </w:rPr>
            </w:pPr>
            <w:r w:rsidRPr="00FD119B">
              <w:rPr>
                <w:szCs w:val="22"/>
                <w:lang w:eastAsia="en-US"/>
              </w:rPr>
              <w:t>Abbreviation</w:t>
            </w:r>
          </w:p>
        </w:tc>
        <w:tc>
          <w:tcPr>
            <w:tcW w:w="6911" w:type="dxa"/>
            <w:tcBorders>
              <w:top w:val="single" w:sz="4" w:space="0" w:color="auto"/>
              <w:left w:val="single" w:sz="4" w:space="0" w:color="auto"/>
              <w:bottom w:val="single" w:sz="4" w:space="0" w:color="auto"/>
              <w:right w:val="single" w:sz="4" w:space="0" w:color="auto"/>
            </w:tcBorders>
          </w:tcPr>
          <w:p w14:paraId="530183F7" w14:textId="77777777" w:rsidR="00131E34" w:rsidRPr="00FD119B" w:rsidRDefault="00131E34" w:rsidP="002A2E35">
            <w:pPr>
              <w:keepNext w:val="0"/>
              <w:ind w:left="144" w:right="0"/>
              <w:rPr>
                <w:szCs w:val="22"/>
                <w:lang w:eastAsia="en-US"/>
              </w:rPr>
            </w:pPr>
            <w:r w:rsidRPr="00FD119B">
              <w:rPr>
                <w:szCs w:val="22"/>
                <w:lang w:eastAsia="en-US"/>
              </w:rPr>
              <w:t>Meaning</w:t>
            </w:r>
          </w:p>
        </w:tc>
      </w:tr>
      <w:tr w:rsidR="00131E34" w:rsidRPr="00FD119B" w14:paraId="542BAE24" w14:textId="77777777" w:rsidTr="00A237BB">
        <w:tc>
          <w:tcPr>
            <w:tcW w:w="1809" w:type="dxa"/>
            <w:tcBorders>
              <w:top w:val="single" w:sz="4" w:space="0" w:color="auto"/>
            </w:tcBorders>
          </w:tcPr>
          <w:p w14:paraId="6D41F0B0" w14:textId="77777777" w:rsidR="00131E34" w:rsidRPr="00FD119B" w:rsidRDefault="00131E34" w:rsidP="002A2E35">
            <w:pPr>
              <w:ind w:left="144" w:right="0"/>
            </w:pPr>
            <w:r>
              <w:t>ACV</w:t>
            </w:r>
          </w:p>
        </w:tc>
        <w:tc>
          <w:tcPr>
            <w:tcW w:w="6911" w:type="dxa"/>
            <w:tcBorders>
              <w:top w:val="single" w:sz="4" w:space="0" w:color="auto"/>
            </w:tcBorders>
          </w:tcPr>
          <w:p w14:paraId="15BB795D" w14:textId="77777777" w:rsidR="00131E34" w:rsidRPr="00FD119B" w:rsidRDefault="00131E34" w:rsidP="002A2E35">
            <w:pPr>
              <w:ind w:left="144" w:right="0"/>
            </w:pPr>
            <w:r>
              <w:t>Advisory Committee on Vaccine</w:t>
            </w:r>
            <w:r w:rsidRPr="00460036">
              <w:t>s</w:t>
            </w:r>
          </w:p>
        </w:tc>
      </w:tr>
      <w:tr w:rsidR="00131E34" w:rsidRPr="00FD119B" w14:paraId="7040081D" w14:textId="77777777" w:rsidTr="00A237BB">
        <w:tc>
          <w:tcPr>
            <w:tcW w:w="1809" w:type="dxa"/>
          </w:tcPr>
          <w:p w14:paraId="2AC46E40" w14:textId="77777777" w:rsidR="00131E34" w:rsidRDefault="00131E34" w:rsidP="002A2E35">
            <w:pPr>
              <w:ind w:left="144"/>
            </w:pPr>
            <w:r>
              <w:t>ADR</w:t>
            </w:r>
          </w:p>
        </w:tc>
        <w:tc>
          <w:tcPr>
            <w:tcW w:w="6911" w:type="dxa"/>
          </w:tcPr>
          <w:p w14:paraId="4CC6588D" w14:textId="77777777" w:rsidR="00131E34" w:rsidRDefault="00131E34" w:rsidP="002A2E35">
            <w:pPr>
              <w:ind w:left="144"/>
            </w:pPr>
            <w:r>
              <w:t>Adverse drug reaction</w:t>
            </w:r>
          </w:p>
        </w:tc>
      </w:tr>
      <w:tr w:rsidR="00131E34" w:rsidRPr="00FD119B" w14:paraId="324863C3" w14:textId="77777777" w:rsidTr="00A237BB">
        <w:tc>
          <w:tcPr>
            <w:tcW w:w="1809" w:type="dxa"/>
          </w:tcPr>
          <w:p w14:paraId="63843A24" w14:textId="77777777" w:rsidR="00131E34" w:rsidRDefault="00131E34" w:rsidP="002A2E35">
            <w:pPr>
              <w:ind w:left="144"/>
            </w:pPr>
            <w:r>
              <w:t>AE</w:t>
            </w:r>
          </w:p>
        </w:tc>
        <w:tc>
          <w:tcPr>
            <w:tcW w:w="6911" w:type="dxa"/>
          </w:tcPr>
          <w:p w14:paraId="62B76FC9" w14:textId="77777777" w:rsidR="00131E34" w:rsidRDefault="00131E34" w:rsidP="002A2E35">
            <w:pPr>
              <w:ind w:left="144"/>
            </w:pPr>
            <w:r>
              <w:t>Adverse event</w:t>
            </w:r>
          </w:p>
        </w:tc>
      </w:tr>
      <w:tr w:rsidR="00131E34" w:rsidRPr="00FD119B" w14:paraId="3F468794" w14:textId="77777777" w:rsidTr="00A237BB">
        <w:tc>
          <w:tcPr>
            <w:tcW w:w="1809" w:type="dxa"/>
          </w:tcPr>
          <w:p w14:paraId="1E27FF57" w14:textId="77777777" w:rsidR="00131E34" w:rsidRPr="00FD119B" w:rsidRDefault="00131E34" w:rsidP="002A2E35">
            <w:pPr>
              <w:ind w:left="144" w:right="0"/>
            </w:pPr>
            <w:r>
              <w:t>ARTG</w:t>
            </w:r>
          </w:p>
        </w:tc>
        <w:tc>
          <w:tcPr>
            <w:tcW w:w="6911" w:type="dxa"/>
          </w:tcPr>
          <w:p w14:paraId="7F7B7BBA" w14:textId="77777777" w:rsidR="00131E34" w:rsidRPr="00FD119B" w:rsidRDefault="00131E34" w:rsidP="002A2E35">
            <w:pPr>
              <w:ind w:left="144" w:right="0"/>
            </w:pPr>
            <w:r w:rsidRPr="00460036">
              <w:t>Australian Register of Therapeutic Goods</w:t>
            </w:r>
          </w:p>
        </w:tc>
      </w:tr>
      <w:tr w:rsidR="00131E34" w:rsidRPr="00FD119B" w14:paraId="58F30BE4" w14:textId="77777777" w:rsidTr="00A237BB">
        <w:tc>
          <w:tcPr>
            <w:tcW w:w="1809" w:type="dxa"/>
          </w:tcPr>
          <w:p w14:paraId="0FCC2018" w14:textId="77777777" w:rsidR="00131E34" w:rsidRDefault="00131E34" w:rsidP="002A2E35">
            <w:pPr>
              <w:ind w:left="144"/>
            </w:pPr>
            <w:r>
              <w:t>ASA</w:t>
            </w:r>
          </w:p>
        </w:tc>
        <w:tc>
          <w:tcPr>
            <w:tcW w:w="6911" w:type="dxa"/>
          </w:tcPr>
          <w:p w14:paraId="24F7FEB4" w14:textId="77777777" w:rsidR="00131E34" w:rsidRDefault="00131E34" w:rsidP="002A2E35">
            <w:pPr>
              <w:ind w:left="144"/>
            </w:pPr>
            <w:r>
              <w:t>Australia specific annex</w:t>
            </w:r>
          </w:p>
        </w:tc>
      </w:tr>
      <w:tr w:rsidR="00131E34" w:rsidRPr="00FD119B" w14:paraId="43340DBC" w14:textId="77777777" w:rsidTr="00A237BB">
        <w:tc>
          <w:tcPr>
            <w:tcW w:w="1809" w:type="dxa"/>
          </w:tcPr>
          <w:p w14:paraId="7F1C151F" w14:textId="77777777" w:rsidR="00131E34" w:rsidRDefault="00131E34" w:rsidP="002A2E35">
            <w:pPr>
              <w:ind w:left="144"/>
            </w:pPr>
            <w:r>
              <w:t>AusPAR</w:t>
            </w:r>
          </w:p>
        </w:tc>
        <w:tc>
          <w:tcPr>
            <w:tcW w:w="6911" w:type="dxa"/>
          </w:tcPr>
          <w:p w14:paraId="73634AA8" w14:textId="77777777" w:rsidR="00131E34" w:rsidRPr="00460036" w:rsidRDefault="00131E34" w:rsidP="002A2E35">
            <w:pPr>
              <w:ind w:left="144"/>
            </w:pPr>
            <w:r>
              <w:t>Australian Public Assessment Report</w:t>
            </w:r>
          </w:p>
        </w:tc>
      </w:tr>
      <w:tr w:rsidR="00131E34" w:rsidRPr="00FD119B" w14:paraId="5CDC8D9B" w14:textId="77777777" w:rsidTr="00A237BB">
        <w:tc>
          <w:tcPr>
            <w:tcW w:w="1809" w:type="dxa"/>
          </w:tcPr>
          <w:p w14:paraId="3EFFC521" w14:textId="77777777" w:rsidR="00131E34" w:rsidRDefault="00131E34" w:rsidP="002A2E35">
            <w:pPr>
              <w:ind w:left="144"/>
            </w:pPr>
            <w:r>
              <w:t>CDC</w:t>
            </w:r>
          </w:p>
        </w:tc>
        <w:tc>
          <w:tcPr>
            <w:tcW w:w="6911" w:type="dxa"/>
          </w:tcPr>
          <w:p w14:paraId="753A690A" w14:textId="77777777" w:rsidR="00131E34" w:rsidRDefault="00131E34" w:rsidP="002A2E35">
            <w:pPr>
              <w:ind w:left="144"/>
            </w:pPr>
            <w:proofErr w:type="spellStart"/>
            <w:r w:rsidRPr="000B4E5F">
              <w:t>Centers</w:t>
            </w:r>
            <w:proofErr w:type="spellEnd"/>
            <w:r w:rsidRPr="000B4E5F">
              <w:t xml:space="preserve"> for Disease Control and Prevention</w:t>
            </w:r>
            <w:r>
              <w:t xml:space="preserve"> (United States of America))</w:t>
            </w:r>
          </w:p>
        </w:tc>
      </w:tr>
      <w:tr w:rsidR="00131E34" w:rsidRPr="00FD119B" w14:paraId="5B82EED0" w14:textId="77777777" w:rsidTr="00A237BB">
        <w:tc>
          <w:tcPr>
            <w:tcW w:w="1809" w:type="dxa"/>
          </w:tcPr>
          <w:p w14:paraId="14315F95" w14:textId="77777777" w:rsidR="00131E34" w:rsidRDefault="00131E34" w:rsidP="002A2E35">
            <w:pPr>
              <w:ind w:left="144"/>
            </w:pPr>
            <w:r>
              <w:t>CI</w:t>
            </w:r>
          </w:p>
        </w:tc>
        <w:tc>
          <w:tcPr>
            <w:tcW w:w="6911" w:type="dxa"/>
          </w:tcPr>
          <w:p w14:paraId="452C9CAA" w14:textId="77777777" w:rsidR="00131E34" w:rsidRDefault="00131E34" w:rsidP="002A2E35">
            <w:pPr>
              <w:ind w:left="144"/>
            </w:pPr>
            <w:r>
              <w:t>Confidence interval</w:t>
            </w:r>
          </w:p>
        </w:tc>
      </w:tr>
      <w:tr w:rsidR="00131E34" w:rsidRPr="00FD119B" w14:paraId="6BC0942B" w14:textId="77777777" w:rsidTr="00A237BB">
        <w:tc>
          <w:tcPr>
            <w:tcW w:w="1809" w:type="dxa"/>
          </w:tcPr>
          <w:p w14:paraId="49107F39" w14:textId="77777777" w:rsidR="00131E34" w:rsidRDefault="00131E34" w:rsidP="002A2E35">
            <w:pPr>
              <w:ind w:left="144"/>
            </w:pPr>
            <w:r>
              <w:t>COVID-19</w:t>
            </w:r>
          </w:p>
        </w:tc>
        <w:tc>
          <w:tcPr>
            <w:tcW w:w="6911" w:type="dxa"/>
          </w:tcPr>
          <w:p w14:paraId="18ED897F" w14:textId="77777777" w:rsidR="00131E34" w:rsidRPr="00460036" w:rsidRDefault="00131E34" w:rsidP="002A2E35">
            <w:pPr>
              <w:ind w:left="144"/>
            </w:pPr>
            <w:r>
              <w:t>C</w:t>
            </w:r>
            <w:r w:rsidRPr="00543851">
              <w:t>oronavirus disease 2019</w:t>
            </w:r>
          </w:p>
        </w:tc>
      </w:tr>
      <w:tr w:rsidR="00131E34" w:rsidRPr="00FD119B" w14:paraId="0FA20B76" w14:textId="77777777" w:rsidTr="00A237BB">
        <w:tc>
          <w:tcPr>
            <w:tcW w:w="1809" w:type="dxa"/>
          </w:tcPr>
          <w:p w14:paraId="560116F4" w14:textId="77777777" w:rsidR="00131E34" w:rsidRDefault="00131E34" w:rsidP="002A2E35">
            <w:pPr>
              <w:ind w:left="144"/>
            </w:pPr>
            <w:r>
              <w:t>CPD</w:t>
            </w:r>
          </w:p>
        </w:tc>
        <w:tc>
          <w:tcPr>
            <w:tcW w:w="6911" w:type="dxa"/>
          </w:tcPr>
          <w:p w14:paraId="02DA66AF" w14:textId="77777777" w:rsidR="00131E34" w:rsidRPr="000B4E5F" w:rsidRDefault="00131E34" w:rsidP="002A2E35">
            <w:pPr>
              <w:ind w:left="144"/>
            </w:pPr>
            <w:r>
              <w:t>Certified Product Details</w:t>
            </w:r>
          </w:p>
        </w:tc>
      </w:tr>
      <w:tr w:rsidR="00131E34" w:rsidRPr="00FD119B" w14:paraId="0DEB5F8F" w14:textId="77777777" w:rsidTr="00A237BB">
        <w:tc>
          <w:tcPr>
            <w:tcW w:w="1809" w:type="dxa"/>
          </w:tcPr>
          <w:p w14:paraId="569E7713" w14:textId="77777777" w:rsidR="00131E34" w:rsidRDefault="00131E34" w:rsidP="002A2E35">
            <w:pPr>
              <w:ind w:left="144"/>
            </w:pPr>
            <w:r>
              <w:t>DLP</w:t>
            </w:r>
          </w:p>
        </w:tc>
        <w:tc>
          <w:tcPr>
            <w:tcW w:w="6911" w:type="dxa"/>
          </w:tcPr>
          <w:p w14:paraId="184AF024" w14:textId="77777777" w:rsidR="00131E34" w:rsidRDefault="00131E34" w:rsidP="002A2E35">
            <w:pPr>
              <w:ind w:left="144"/>
            </w:pPr>
            <w:r>
              <w:t>Data lock point</w:t>
            </w:r>
          </w:p>
        </w:tc>
      </w:tr>
      <w:tr w:rsidR="00131E34" w:rsidRPr="00FD119B" w14:paraId="5602C49F" w14:textId="77777777" w:rsidTr="00A237BB">
        <w:tc>
          <w:tcPr>
            <w:tcW w:w="1809" w:type="dxa"/>
          </w:tcPr>
          <w:p w14:paraId="19BDB98F" w14:textId="77777777" w:rsidR="00131E34" w:rsidRDefault="00131E34" w:rsidP="002A2E35">
            <w:pPr>
              <w:ind w:left="144"/>
            </w:pPr>
            <w:r>
              <w:t>EMA</w:t>
            </w:r>
          </w:p>
        </w:tc>
        <w:tc>
          <w:tcPr>
            <w:tcW w:w="6911" w:type="dxa"/>
          </w:tcPr>
          <w:p w14:paraId="1E8456CD" w14:textId="77777777" w:rsidR="00131E34" w:rsidRDefault="00131E34" w:rsidP="002A2E35">
            <w:pPr>
              <w:ind w:left="144"/>
            </w:pPr>
            <w:r w:rsidRPr="000748F6">
              <w:t>European Medicines Agency</w:t>
            </w:r>
            <w:r>
              <w:t xml:space="preserve"> (European Union)</w:t>
            </w:r>
          </w:p>
        </w:tc>
      </w:tr>
      <w:tr w:rsidR="00131E34" w:rsidRPr="00FD119B" w14:paraId="2668ED88" w14:textId="77777777" w:rsidTr="00A237BB">
        <w:tc>
          <w:tcPr>
            <w:tcW w:w="1809" w:type="dxa"/>
          </w:tcPr>
          <w:p w14:paraId="433DF2E9" w14:textId="77777777" w:rsidR="00131E34" w:rsidRDefault="00131E34" w:rsidP="002A2E35">
            <w:pPr>
              <w:ind w:left="144"/>
            </w:pPr>
            <w:r>
              <w:t>EU</w:t>
            </w:r>
          </w:p>
        </w:tc>
        <w:tc>
          <w:tcPr>
            <w:tcW w:w="6911" w:type="dxa"/>
          </w:tcPr>
          <w:p w14:paraId="3A9CA4BE" w14:textId="77777777" w:rsidR="00131E34" w:rsidRDefault="00131E34" w:rsidP="002A2E35">
            <w:pPr>
              <w:ind w:left="144"/>
            </w:pPr>
            <w:r>
              <w:t>European Union</w:t>
            </w:r>
          </w:p>
        </w:tc>
      </w:tr>
      <w:tr w:rsidR="00131E34" w:rsidRPr="00FD119B" w14:paraId="544547F6" w14:textId="77777777" w:rsidTr="00A237BB">
        <w:tc>
          <w:tcPr>
            <w:tcW w:w="1809" w:type="dxa"/>
          </w:tcPr>
          <w:p w14:paraId="226D5273" w14:textId="77777777" w:rsidR="00131E34" w:rsidRDefault="00131E34" w:rsidP="002A2E35">
            <w:pPr>
              <w:ind w:left="144"/>
            </w:pPr>
            <w:r>
              <w:t>FDA</w:t>
            </w:r>
          </w:p>
        </w:tc>
        <w:tc>
          <w:tcPr>
            <w:tcW w:w="6911" w:type="dxa"/>
          </w:tcPr>
          <w:p w14:paraId="5700C9A9" w14:textId="77777777" w:rsidR="00131E34" w:rsidRDefault="00131E34" w:rsidP="002A2E35">
            <w:pPr>
              <w:ind w:left="144"/>
            </w:pPr>
            <w:r w:rsidRPr="00543851">
              <w:t>Fo</w:t>
            </w:r>
            <w:r>
              <w:t>od and Drug Administration (U</w:t>
            </w:r>
            <w:r w:rsidRPr="00543851">
              <w:t>nited States of America</w:t>
            </w:r>
            <w:r>
              <w:t>)</w:t>
            </w:r>
          </w:p>
        </w:tc>
      </w:tr>
      <w:tr w:rsidR="00131E34" w:rsidRPr="00FD119B" w14:paraId="7EACF192" w14:textId="77777777" w:rsidTr="00A237BB">
        <w:tc>
          <w:tcPr>
            <w:tcW w:w="1809" w:type="dxa"/>
          </w:tcPr>
          <w:p w14:paraId="00E693F8" w14:textId="77777777" w:rsidR="00131E34" w:rsidRDefault="00131E34" w:rsidP="002A2E35">
            <w:pPr>
              <w:ind w:left="144"/>
            </w:pPr>
            <w:r>
              <w:t>GMFR</w:t>
            </w:r>
          </w:p>
        </w:tc>
        <w:tc>
          <w:tcPr>
            <w:tcW w:w="6911" w:type="dxa"/>
          </w:tcPr>
          <w:p w14:paraId="28C73E47" w14:textId="77777777" w:rsidR="00131E34" w:rsidRDefault="00131E34" w:rsidP="002A2E35">
            <w:pPr>
              <w:ind w:left="144"/>
            </w:pPr>
            <w:r>
              <w:t>Geometric mean fold rise</w:t>
            </w:r>
          </w:p>
        </w:tc>
      </w:tr>
      <w:tr w:rsidR="00131E34" w:rsidRPr="00FD119B" w14:paraId="15502AEC" w14:textId="77777777" w:rsidTr="00A237BB">
        <w:tc>
          <w:tcPr>
            <w:tcW w:w="1809" w:type="dxa"/>
          </w:tcPr>
          <w:p w14:paraId="4BBC7A31" w14:textId="77777777" w:rsidR="00131E34" w:rsidRDefault="00131E34" w:rsidP="002A2E35">
            <w:pPr>
              <w:ind w:left="144"/>
            </w:pPr>
            <w:r>
              <w:t>GMP</w:t>
            </w:r>
          </w:p>
        </w:tc>
        <w:tc>
          <w:tcPr>
            <w:tcW w:w="6911" w:type="dxa"/>
          </w:tcPr>
          <w:p w14:paraId="18A88DAF" w14:textId="77777777" w:rsidR="00131E34" w:rsidRDefault="00131E34" w:rsidP="002A2E35">
            <w:pPr>
              <w:ind w:left="144"/>
            </w:pPr>
            <w:r w:rsidRPr="00720302">
              <w:t>Good Manufacturing Practice</w:t>
            </w:r>
          </w:p>
        </w:tc>
      </w:tr>
      <w:tr w:rsidR="00131E34" w:rsidRPr="00FD119B" w14:paraId="2D8F7F09" w14:textId="77777777" w:rsidTr="00A237BB">
        <w:tc>
          <w:tcPr>
            <w:tcW w:w="1809" w:type="dxa"/>
          </w:tcPr>
          <w:p w14:paraId="3F8B69FD" w14:textId="77777777" w:rsidR="00131E34" w:rsidRDefault="00131E34" w:rsidP="002A2E35">
            <w:pPr>
              <w:ind w:left="144"/>
            </w:pPr>
            <w:r>
              <w:t>GMR</w:t>
            </w:r>
          </w:p>
        </w:tc>
        <w:tc>
          <w:tcPr>
            <w:tcW w:w="6911" w:type="dxa"/>
          </w:tcPr>
          <w:p w14:paraId="626DE8F9" w14:textId="77777777" w:rsidR="00131E34" w:rsidRDefault="00131E34" w:rsidP="002A2E35">
            <w:pPr>
              <w:ind w:left="144"/>
            </w:pPr>
            <w:r>
              <w:t>G</w:t>
            </w:r>
            <w:r w:rsidRPr="00F905FF">
              <w:t>eometric mean ratio</w:t>
            </w:r>
          </w:p>
        </w:tc>
      </w:tr>
      <w:tr w:rsidR="00131E34" w:rsidRPr="00FD119B" w14:paraId="409719A1" w14:textId="77777777" w:rsidTr="00A237BB">
        <w:tc>
          <w:tcPr>
            <w:tcW w:w="1809" w:type="dxa"/>
          </w:tcPr>
          <w:p w14:paraId="7509494B" w14:textId="77777777" w:rsidR="00131E34" w:rsidRDefault="00131E34" w:rsidP="002A2E35">
            <w:pPr>
              <w:ind w:left="144"/>
            </w:pPr>
            <w:r>
              <w:t>GMT</w:t>
            </w:r>
          </w:p>
        </w:tc>
        <w:tc>
          <w:tcPr>
            <w:tcW w:w="6911" w:type="dxa"/>
          </w:tcPr>
          <w:p w14:paraId="004DB7F6" w14:textId="77777777" w:rsidR="00131E34" w:rsidRDefault="00131E34" w:rsidP="002A2E35">
            <w:pPr>
              <w:ind w:left="144"/>
            </w:pPr>
            <w:r>
              <w:t>Geometric mean titre</w:t>
            </w:r>
          </w:p>
        </w:tc>
      </w:tr>
      <w:tr w:rsidR="00131E34" w:rsidRPr="00FD119B" w14:paraId="5E6AC35F" w14:textId="77777777" w:rsidTr="00A237BB">
        <w:tc>
          <w:tcPr>
            <w:tcW w:w="1809" w:type="dxa"/>
          </w:tcPr>
          <w:p w14:paraId="7FBF1758" w14:textId="77777777" w:rsidR="00131E34" w:rsidRDefault="00131E34" w:rsidP="002A2E35">
            <w:pPr>
              <w:ind w:left="144"/>
            </w:pPr>
            <w:r>
              <w:t>GVP</w:t>
            </w:r>
          </w:p>
        </w:tc>
        <w:tc>
          <w:tcPr>
            <w:tcW w:w="6911" w:type="dxa"/>
          </w:tcPr>
          <w:p w14:paraId="60EF7BBC" w14:textId="77777777" w:rsidR="00131E34" w:rsidRDefault="00131E34" w:rsidP="002A2E35">
            <w:pPr>
              <w:ind w:left="144"/>
            </w:pPr>
            <w:r>
              <w:t>Good Pharmacovigilance Practices</w:t>
            </w:r>
          </w:p>
        </w:tc>
      </w:tr>
      <w:tr w:rsidR="00131E34" w:rsidRPr="00FD119B" w14:paraId="6E42A3CF" w14:textId="77777777" w:rsidTr="00A237BB">
        <w:tc>
          <w:tcPr>
            <w:tcW w:w="1809" w:type="dxa"/>
          </w:tcPr>
          <w:p w14:paraId="40D5F8D1" w14:textId="77777777" w:rsidR="00131E34" w:rsidRDefault="00131E34" w:rsidP="002A2E35">
            <w:pPr>
              <w:ind w:left="144"/>
            </w:pPr>
            <w:r>
              <w:t>LLOQ</w:t>
            </w:r>
          </w:p>
        </w:tc>
        <w:tc>
          <w:tcPr>
            <w:tcW w:w="6911" w:type="dxa"/>
          </w:tcPr>
          <w:p w14:paraId="6BB73394" w14:textId="77777777" w:rsidR="00131E34" w:rsidRDefault="00131E34" w:rsidP="002A2E35">
            <w:pPr>
              <w:ind w:left="144"/>
            </w:pPr>
            <w:r>
              <w:t>Lower limit of quantitation</w:t>
            </w:r>
          </w:p>
        </w:tc>
      </w:tr>
      <w:tr w:rsidR="00131E34" w:rsidRPr="00FD119B" w14:paraId="4C9079A9" w14:textId="77777777" w:rsidTr="00A237BB">
        <w:tc>
          <w:tcPr>
            <w:tcW w:w="1809" w:type="dxa"/>
          </w:tcPr>
          <w:p w14:paraId="0D931D89" w14:textId="77777777" w:rsidR="00131E34" w:rsidRDefault="00131E34" w:rsidP="002A2E35">
            <w:pPr>
              <w:ind w:left="144"/>
            </w:pPr>
            <w:r>
              <w:t>mRNA</w:t>
            </w:r>
          </w:p>
        </w:tc>
        <w:tc>
          <w:tcPr>
            <w:tcW w:w="6911" w:type="dxa"/>
          </w:tcPr>
          <w:p w14:paraId="5FE0C272" w14:textId="77777777" w:rsidR="00131E34" w:rsidRPr="00460036" w:rsidRDefault="00131E34" w:rsidP="002A2E35">
            <w:pPr>
              <w:ind w:left="144"/>
            </w:pPr>
            <w:r>
              <w:t>Messenger ribonucleic acid</w:t>
            </w:r>
          </w:p>
        </w:tc>
      </w:tr>
      <w:tr w:rsidR="00131E34" w:rsidRPr="00FD119B" w14:paraId="4615AE47" w14:textId="77777777" w:rsidTr="00A237BB">
        <w:tc>
          <w:tcPr>
            <w:tcW w:w="1809" w:type="dxa"/>
          </w:tcPr>
          <w:p w14:paraId="5D9837F6" w14:textId="77777777" w:rsidR="00131E34" w:rsidRDefault="00131E34" w:rsidP="002A2E35">
            <w:pPr>
              <w:ind w:left="144"/>
            </w:pPr>
            <w:r>
              <w:t>NAAT</w:t>
            </w:r>
          </w:p>
        </w:tc>
        <w:tc>
          <w:tcPr>
            <w:tcW w:w="6911" w:type="dxa"/>
          </w:tcPr>
          <w:p w14:paraId="33A7C3F7" w14:textId="77777777" w:rsidR="00131E34" w:rsidRDefault="00131E34" w:rsidP="002A2E35">
            <w:pPr>
              <w:ind w:left="144"/>
            </w:pPr>
            <w:r>
              <w:t>Nucleic acid amplification test</w:t>
            </w:r>
          </w:p>
        </w:tc>
      </w:tr>
      <w:tr w:rsidR="00131E34" w:rsidRPr="00FD119B" w14:paraId="40F7816B" w14:textId="77777777" w:rsidTr="00A237BB">
        <w:tc>
          <w:tcPr>
            <w:tcW w:w="1809" w:type="dxa"/>
          </w:tcPr>
          <w:p w14:paraId="48CBA193" w14:textId="77777777" w:rsidR="00131E34" w:rsidRDefault="00131E34" w:rsidP="002A2E35">
            <w:pPr>
              <w:ind w:left="144"/>
            </w:pPr>
            <w:r>
              <w:t>NI</w:t>
            </w:r>
          </w:p>
        </w:tc>
        <w:tc>
          <w:tcPr>
            <w:tcW w:w="6911" w:type="dxa"/>
          </w:tcPr>
          <w:p w14:paraId="47025EB1" w14:textId="77777777" w:rsidR="00131E34" w:rsidRDefault="00131E34" w:rsidP="002A2E35">
            <w:pPr>
              <w:ind w:left="144"/>
            </w:pPr>
            <w:r>
              <w:t>N</w:t>
            </w:r>
            <w:r w:rsidRPr="00B32FA4">
              <w:t>on-inferiority</w:t>
            </w:r>
          </w:p>
        </w:tc>
      </w:tr>
      <w:tr w:rsidR="00131E34" w:rsidRPr="00FD119B" w14:paraId="6BB33DAD" w14:textId="77777777" w:rsidTr="00A237BB">
        <w:tc>
          <w:tcPr>
            <w:tcW w:w="1809" w:type="dxa"/>
          </w:tcPr>
          <w:p w14:paraId="722CCCE5" w14:textId="77777777" w:rsidR="00131E34" w:rsidRDefault="00131E34" w:rsidP="002A2E35">
            <w:pPr>
              <w:ind w:left="144"/>
            </w:pPr>
            <w:r>
              <w:t>NT</w:t>
            </w:r>
            <w:r w:rsidRPr="00460B0D">
              <w:rPr>
                <w:vertAlign w:val="subscript"/>
              </w:rPr>
              <w:t>50</w:t>
            </w:r>
          </w:p>
        </w:tc>
        <w:tc>
          <w:tcPr>
            <w:tcW w:w="6911" w:type="dxa"/>
          </w:tcPr>
          <w:p w14:paraId="3BBD6407" w14:textId="77777777" w:rsidR="00131E34" w:rsidRDefault="00131E34" w:rsidP="002A2E35">
            <w:pPr>
              <w:ind w:left="144"/>
            </w:pPr>
            <w:r>
              <w:t>50% neutralising titre</w:t>
            </w:r>
          </w:p>
        </w:tc>
      </w:tr>
      <w:tr w:rsidR="00131E34" w:rsidRPr="00FD119B" w14:paraId="3E33782D" w14:textId="77777777" w:rsidTr="00A237BB">
        <w:tc>
          <w:tcPr>
            <w:tcW w:w="1809" w:type="dxa"/>
          </w:tcPr>
          <w:p w14:paraId="56520D95" w14:textId="77777777" w:rsidR="00131E34" w:rsidRDefault="00131E34" w:rsidP="002A2E35">
            <w:pPr>
              <w:ind w:left="144"/>
            </w:pPr>
            <w:r>
              <w:t>PI</w:t>
            </w:r>
          </w:p>
        </w:tc>
        <w:tc>
          <w:tcPr>
            <w:tcW w:w="6911" w:type="dxa"/>
          </w:tcPr>
          <w:p w14:paraId="24DFF129" w14:textId="77777777" w:rsidR="00131E34" w:rsidRDefault="00131E34" w:rsidP="002A2E35">
            <w:pPr>
              <w:ind w:left="144"/>
            </w:pPr>
            <w:r>
              <w:t>Product Information</w:t>
            </w:r>
          </w:p>
        </w:tc>
      </w:tr>
      <w:tr w:rsidR="00131E34" w:rsidRPr="00FD119B" w14:paraId="71801159" w14:textId="77777777" w:rsidTr="00A237BB">
        <w:tc>
          <w:tcPr>
            <w:tcW w:w="1809" w:type="dxa"/>
          </w:tcPr>
          <w:p w14:paraId="57963EB9" w14:textId="77777777" w:rsidR="00131E34" w:rsidRDefault="00131E34" w:rsidP="002A2E35">
            <w:pPr>
              <w:ind w:left="144"/>
            </w:pPr>
            <w:r>
              <w:t>PSUR</w:t>
            </w:r>
          </w:p>
        </w:tc>
        <w:tc>
          <w:tcPr>
            <w:tcW w:w="6911" w:type="dxa"/>
          </w:tcPr>
          <w:p w14:paraId="39F11A05" w14:textId="77777777" w:rsidR="00131E34" w:rsidRDefault="00131E34" w:rsidP="002A2E35">
            <w:pPr>
              <w:ind w:left="144"/>
            </w:pPr>
            <w:r>
              <w:t>P</w:t>
            </w:r>
            <w:r w:rsidRPr="00720302">
              <w:t>eriodic safety update reports</w:t>
            </w:r>
          </w:p>
        </w:tc>
      </w:tr>
      <w:tr w:rsidR="00131E34" w:rsidRPr="00FD119B" w14:paraId="0CEE4509" w14:textId="77777777" w:rsidTr="00A237BB">
        <w:tc>
          <w:tcPr>
            <w:tcW w:w="1809" w:type="dxa"/>
          </w:tcPr>
          <w:p w14:paraId="592673E0" w14:textId="77777777" w:rsidR="00131E34" w:rsidRDefault="00131E34" w:rsidP="002A2E35">
            <w:pPr>
              <w:ind w:left="144"/>
            </w:pPr>
            <w:r>
              <w:t>RMP</w:t>
            </w:r>
          </w:p>
        </w:tc>
        <w:tc>
          <w:tcPr>
            <w:tcW w:w="6911" w:type="dxa"/>
          </w:tcPr>
          <w:p w14:paraId="33382B9F" w14:textId="77777777" w:rsidR="00131E34" w:rsidRDefault="00131E34" w:rsidP="002A2E35">
            <w:pPr>
              <w:ind w:left="144"/>
            </w:pPr>
            <w:r>
              <w:t>Risk management plan</w:t>
            </w:r>
          </w:p>
        </w:tc>
      </w:tr>
      <w:tr w:rsidR="00131E34" w:rsidRPr="00FD119B" w14:paraId="507F6621" w14:textId="77777777" w:rsidTr="00A237BB">
        <w:tc>
          <w:tcPr>
            <w:tcW w:w="1809" w:type="dxa"/>
          </w:tcPr>
          <w:p w14:paraId="2BDB2EAE" w14:textId="77777777" w:rsidR="00131E34" w:rsidRDefault="00131E34" w:rsidP="002A2E35">
            <w:pPr>
              <w:ind w:left="144"/>
            </w:pPr>
            <w:r>
              <w:t>RNA</w:t>
            </w:r>
          </w:p>
        </w:tc>
        <w:tc>
          <w:tcPr>
            <w:tcW w:w="6911" w:type="dxa"/>
          </w:tcPr>
          <w:p w14:paraId="129A9CD6" w14:textId="77777777" w:rsidR="00131E34" w:rsidRPr="00460036" w:rsidRDefault="00131E34" w:rsidP="002A2E35">
            <w:pPr>
              <w:ind w:left="144"/>
            </w:pPr>
            <w:r>
              <w:t>Ribonucleic acid</w:t>
            </w:r>
          </w:p>
        </w:tc>
      </w:tr>
      <w:tr w:rsidR="00131E34" w:rsidRPr="00FD119B" w14:paraId="0227D3B0" w14:textId="77777777" w:rsidTr="00A237BB">
        <w:tc>
          <w:tcPr>
            <w:tcW w:w="1809" w:type="dxa"/>
          </w:tcPr>
          <w:p w14:paraId="427DD628" w14:textId="77777777" w:rsidR="00131E34" w:rsidRDefault="00131E34" w:rsidP="002A2E35">
            <w:pPr>
              <w:ind w:left="144"/>
            </w:pPr>
            <w:r>
              <w:t>S</w:t>
            </w:r>
          </w:p>
        </w:tc>
        <w:tc>
          <w:tcPr>
            <w:tcW w:w="6911" w:type="dxa"/>
          </w:tcPr>
          <w:p w14:paraId="708D9206" w14:textId="77777777" w:rsidR="00131E34" w:rsidRPr="00460036" w:rsidRDefault="00131E34" w:rsidP="002A2E35">
            <w:pPr>
              <w:ind w:left="144"/>
            </w:pPr>
            <w:r>
              <w:t>Spike glycoprotein</w:t>
            </w:r>
          </w:p>
        </w:tc>
      </w:tr>
      <w:tr w:rsidR="00131E34" w:rsidRPr="00FD119B" w14:paraId="5E5B96DB" w14:textId="77777777" w:rsidTr="00A237BB">
        <w:tc>
          <w:tcPr>
            <w:tcW w:w="1809" w:type="dxa"/>
          </w:tcPr>
          <w:p w14:paraId="4CF0C2CE" w14:textId="77777777" w:rsidR="00131E34" w:rsidRDefault="00131E34" w:rsidP="002A2E35">
            <w:pPr>
              <w:ind w:left="144"/>
            </w:pPr>
            <w:r>
              <w:t>SAE</w:t>
            </w:r>
          </w:p>
        </w:tc>
        <w:tc>
          <w:tcPr>
            <w:tcW w:w="6911" w:type="dxa"/>
          </w:tcPr>
          <w:p w14:paraId="4B6E37B2" w14:textId="77777777" w:rsidR="00131E34" w:rsidRDefault="00131E34" w:rsidP="002A2E35">
            <w:pPr>
              <w:ind w:left="144"/>
            </w:pPr>
            <w:r>
              <w:t>Serious adverse event</w:t>
            </w:r>
          </w:p>
        </w:tc>
      </w:tr>
      <w:tr w:rsidR="00131E34" w:rsidRPr="00FD119B" w14:paraId="206BD50F" w14:textId="77777777" w:rsidTr="00A237BB">
        <w:tc>
          <w:tcPr>
            <w:tcW w:w="1809" w:type="dxa"/>
          </w:tcPr>
          <w:p w14:paraId="7AB73EAD" w14:textId="77777777" w:rsidR="00131E34" w:rsidRDefault="00131E34" w:rsidP="002A2E35">
            <w:pPr>
              <w:ind w:left="144"/>
            </w:pPr>
            <w:r>
              <w:t>SARS-CoV-2</w:t>
            </w:r>
          </w:p>
        </w:tc>
        <w:tc>
          <w:tcPr>
            <w:tcW w:w="6911" w:type="dxa"/>
          </w:tcPr>
          <w:p w14:paraId="62EC5AFF" w14:textId="77777777" w:rsidR="00131E34" w:rsidRPr="00460036" w:rsidRDefault="00131E34" w:rsidP="002A2E35">
            <w:pPr>
              <w:ind w:left="144"/>
            </w:pPr>
            <w:r>
              <w:t>S</w:t>
            </w:r>
            <w:r w:rsidRPr="00543851">
              <w:t>evere acute respiratory syndrome coronavirus 2</w:t>
            </w:r>
          </w:p>
        </w:tc>
      </w:tr>
      <w:tr w:rsidR="00131E34" w:rsidRPr="00FD119B" w14:paraId="5CB30A45" w14:textId="77777777" w:rsidTr="00A237BB">
        <w:tc>
          <w:tcPr>
            <w:tcW w:w="1809" w:type="dxa"/>
          </w:tcPr>
          <w:p w14:paraId="63D973EB" w14:textId="77777777" w:rsidR="00131E34" w:rsidRDefault="00131E34" w:rsidP="002A2E35">
            <w:pPr>
              <w:ind w:left="144"/>
            </w:pPr>
            <w:r>
              <w:t>SOC</w:t>
            </w:r>
          </w:p>
        </w:tc>
        <w:tc>
          <w:tcPr>
            <w:tcW w:w="6911" w:type="dxa"/>
          </w:tcPr>
          <w:p w14:paraId="2840E58D" w14:textId="77777777" w:rsidR="00131E34" w:rsidRDefault="00131E34" w:rsidP="002A2E35">
            <w:pPr>
              <w:ind w:left="144"/>
            </w:pPr>
            <w:r>
              <w:t>System Organ Class</w:t>
            </w:r>
          </w:p>
        </w:tc>
      </w:tr>
      <w:tr w:rsidR="00131E34" w:rsidRPr="00FD119B" w14:paraId="61D84C77" w14:textId="77777777" w:rsidTr="00A237BB">
        <w:tc>
          <w:tcPr>
            <w:tcW w:w="1809" w:type="dxa"/>
          </w:tcPr>
          <w:p w14:paraId="5B9DCDCF" w14:textId="77777777" w:rsidR="00131E34" w:rsidRDefault="00131E34" w:rsidP="002A2E35">
            <w:pPr>
              <w:ind w:left="144"/>
            </w:pPr>
            <w:r>
              <w:t>TGA</w:t>
            </w:r>
          </w:p>
        </w:tc>
        <w:tc>
          <w:tcPr>
            <w:tcW w:w="6911" w:type="dxa"/>
          </w:tcPr>
          <w:p w14:paraId="4FED68BF" w14:textId="77777777" w:rsidR="00131E34" w:rsidRPr="00460036" w:rsidRDefault="00131E34" w:rsidP="002A2E35">
            <w:pPr>
              <w:ind w:left="144"/>
            </w:pPr>
            <w:r>
              <w:t>Therapeutic Goods Administration</w:t>
            </w:r>
          </w:p>
        </w:tc>
      </w:tr>
      <w:tr w:rsidR="00131E34" w:rsidRPr="00FD119B" w14:paraId="1BE0D027" w14:textId="77777777" w:rsidTr="00A237BB">
        <w:tc>
          <w:tcPr>
            <w:tcW w:w="1809" w:type="dxa"/>
          </w:tcPr>
          <w:p w14:paraId="41FA4C58" w14:textId="77777777" w:rsidR="00131E34" w:rsidRDefault="00131E34" w:rsidP="002A2E35">
            <w:pPr>
              <w:ind w:left="144"/>
            </w:pPr>
            <w:r>
              <w:t>US(A)</w:t>
            </w:r>
          </w:p>
        </w:tc>
        <w:tc>
          <w:tcPr>
            <w:tcW w:w="6911" w:type="dxa"/>
          </w:tcPr>
          <w:p w14:paraId="3A4FA103" w14:textId="77777777" w:rsidR="00131E34" w:rsidRDefault="00131E34" w:rsidP="002A2E35">
            <w:pPr>
              <w:ind w:left="144"/>
            </w:pPr>
            <w:r>
              <w:t>United States (of America)</w:t>
            </w:r>
          </w:p>
        </w:tc>
      </w:tr>
      <w:tr w:rsidR="00131E34" w:rsidRPr="00FD119B" w14:paraId="283B1E14" w14:textId="77777777" w:rsidTr="00A237BB">
        <w:tc>
          <w:tcPr>
            <w:tcW w:w="1809" w:type="dxa"/>
          </w:tcPr>
          <w:p w14:paraId="1A9E1667" w14:textId="77777777" w:rsidR="00131E34" w:rsidRDefault="00131E34" w:rsidP="002A2E35">
            <w:pPr>
              <w:ind w:left="144"/>
            </w:pPr>
            <w:r>
              <w:t>VE</w:t>
            </w:r>
          </w:p>
        </w:tc>
        <w:tc>
          <w:tcPr>
            <w:tcW w:w="6911" w:type="dxa"/>
          </w:tcPr>
          <w:p w14:paraId="3DCE23AB" w14:textId="77777777" w:rsidR="00131E34" w:rsidRDefault="00131E34" w:rsidP="002A2E35">
            <w:pPr>
              <w:ind w:left="144"/>
            </w:pPr>
            <w:r>
              <w:t>Vaccine efficacy</w:t>
            </w:r>
          </w:p>
        </w:tc>
      </w:tr>
      <w:tr w:rsidR="00131E34" w:rsidRPr="00FD119B" w14:paraId="01386D63" w14:textId="77777777" w:rsidTr="00A237BB">
        <w:tc>
          <w:tcPr>
            <w:tcW w:w="1809" w:type="dxa"/>
          </w:tcPr>
          <w:p w14:paraId="7EFDBFA0" w14:textId="77777777" w:rsidR="00131E34" w:rsidRDefault="00131E34" w:rsidP="002A2E35">
            <w:pPr>
              <w:ind w:left="144"/>
            </w:pPr>
            <w:r>
              <w:t>WHO</w:t>
            </w:r>
          </w:p>
        </w:tc>
        <w:tc>
          <w:tcPr>
            <w:tcW w:w="6911" w:type="dxa"/>
          </w:tcPr>
          <w:p w14:paraId="67AD5F93" w14:textId="77777777" w:rsidR="00131E34" w:rsidRPr="00460036" w:rsidRDefault="00131E34" w:rsidP="002A2E35">
            <w:pPr>
              <w:ind w:left="144"/>
            </w:pPr>
            <w:r>
              <w:t>World Health Organiz</w:t>
            </w:r>
            <w:r w:rsidRPr="00543851">
              <w:t>ation</w:t>
            </w:r>
          </w:p>
        </w:tc>
      </w:tr>
    </w:tbl>
    <w:p w14:paraId="04E94973" w14:textId="77777777" w:rsidR="00FD119B" w:rsidRDefault="00FD119B" w:rsidP="00FD119B"/>
    <w:p w14:paraId="04B3771B" w14:textId="77777777" w:rsidR="00FD119B" w:rsidRPr="00FD119B" w:rsidRDefault="00FD119B" w:rsidP="00FD119B">
      <w:pPr>
        <w:spacing w:before="0" w:after="200" w:line="0" w:lineRule="auto"/>
        <w:rPr>
          <w:b/>
          <w:i/>
          <w:sz w:val="24"/>
          <w:szCs w:val="24"/>
        </w:rPr>
      </w:pPr>
      <w:r w:rsidRPr="00FD119B">
        <w:rPr>
          <w:b/>
          <w:i/>
          <w:sz w:val="24"/>
          <w:szCs w:val="24"/>
        </w:rPr>
        <w:br w:type="page"/>
      </w:r>
    </w:p>
    <w:p w14:paraId="73ECEE5E" w14:textId="77777777" w:rsidR="008E7846" w:rsidRDefault="00F53C07" w:rsidP="008E7846">
      <w:pPr>
        <w:pStyle w:val="Heading2"/>
      </w:pPr>
      <w:bookmarkStart w:id="8" w:name="_Toc77866287"/>
      <w:r>
        <w:t>I.</w:t>
      </w:r>
      <w:r w:rsidR="008E7846">
        <w:t xml:space="preserve"> Introduction to product submission</w:t>
      </w:r>
      <w:bookmarkEnd w:id="8"/>
      <w:bookmarkEnd w:id="2"/>
      <w:bookmarkEnd w:id="0"/>
    </w:p>
    <w:p w14:paraId="638188C1" w14:textId="77777777" w:rsidR="008E7846" w:rsidRDefault="008E7846" w:rsidP="008E7846">
      <w:pPr>
        <w:pStyle w:val="Heading3"/>
        <w:rPr>
          <w:lang w:eastAsia="en-AU"/>
        </w:rPr>
      </w:pPr>
      <w:bookmarkStart w:id="9" w:name="_Toc247691502"/>
      <w:bookmarkStart w:id="10" w:name="_Toc314842483"/>
      <w:bookmarkStart w:id="11" w:name="_Toc77866288"/>
      <w:r>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3D1E62" w14:paraId="3380A9AB" w14:textId="77777777" w:rsidTr="003735BC">
        <w:tc>
          <w:tcPr>
            <w:tcW w:w="2907" w:type="dxa"/>
          </w:tcPr>
          <w:p w14:paraId="7B6830A5"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671F36A8" w14:textId="09335F71" w:rsidR="008E7846" w:rsidRPr="003D1E62" w:rsidRDefault="00640930" w:rsidP="00640930">
            <w:r>
              <w:t>Extension of indication</w:t>
            </w:r>
            <w:r w:rsidR="00A62B65">
              <w:t>s</w:t>
            </w:r>
          </w:p>
        </w:tc>
      </w:tr>
      <w:tr w:rsidR="00460036" w:rsidRPr="003D1E62" w14:paraId="035FB8F0" w14:textId="77777777" w:rsidTr="003735BC">
        <w:tc>
          <w:tcPr>
            <w:tcW w:w="2907" w:type="dxa"/>
          </w:tcPr>
          <w:p w14:paraId="69F9C868" w14:textId="77777777" w:rsidR="00460036" w:rsidRPr="003D1E62" w:rsidRDefault="00640930" w:rsidP="003D1E62">
            <w:pPr>
              <w:rPr>
                <w:i/>
              </w:rPr>
            </w:pPr>
            <w:r>
              <w:rPr>
                <w:i/>
              </w:rPr>
              <w:t>Product name</w:t>
            </w:r>
            <w:r w:rsidR="00460036" w:rsidRPr="00460036">
              <w:rPr>
                <w:i/>
              </w:rPr>
              <w:t>:</w:t>
            </w:r>
          </w:p>
        </w:tc>
        <w:tc>
          <w:tcPr>
            <w:tcW w:w="6307" w:type="dxa"/>
          </w:tcPr>
          <w:p w14:paraId="2E8A1BF8" w14:textId="77777777" w:rsidR="00460036" w:rsidRPr="003D1E62" w:rsidRDefault="00640930" w:rsidP="001B5C90">
            <w:proofErr w:type="spellStart"/>
            <w:r>
              <w:t>Comirnaty</w:t>
            </w:r>
            <w:proofErr w:type="spellEnd"/>
          </w:p>
        </w:tc>
      </w:tr>
      <w:tr w:rsidR="00460036" w:rsidRPr="003D1E62" w14:paraId="5A635BE8" w14:textId="77777777" w:rsidTr="003735BC">
        <w:tc>
          <w:tcPr>
            <w:tcW w:w="2907" w:type="dxa"/>
          </w:tcPr>
          <w:p w14:paraId="0A467960" w14:textId="77777777" w:rsidR="00460036" w:rsidRPr="003D1E62" w:rsidRDefault="00640930" w:rsidP="003D1E62">
            <w:pPr>
              <w:rPr>
                <w:i/>
              </w:rPr>
            </w:pPr>
            <w:r>
              <w:rPr>
                <w:i/>
              </w:rPr>
              <w:t>Active ingredient</w:t>
            </w:r>
            <w:r w:rsidR="00460036" w:rsidRPr="00460036">
              <w:rPr>
                <w:i/>
              </w:rPr>
              <w:t>:</w:t>
            </w:r>
          </w:p>
        </w:tc>
        <w:tc>
          <w:tcPr>
            <w:tcW w:w="6307" w:type="dxa"/>
          </w:tcPr>
          <w:p w14:paraId="4CAB1577" w14:textId="34578D81" w:rsidR="00460036" w:rsidRPr="003D1E62" w:rsidRDefault="00640930" w:rsidP="001B5C90">
            <w:r>
              <w:t xml:space="preserve">BNT162b2 </w:t>
            </w:r>
            <w:r w:rsidR="00D9657B">
              <w:t xml:space="preserve">messenger ribonucleic acid </w:t>
            </w:r>
            <w:r>
              <w:t>(mRNA)</w:t>
            </w:r>
          </w:p>
        </w:tc>
      </w:tr>
      <w:tr w:rsidR="008E7846" w:rsidRPr="003D1E62" w14:paraId="109B5BFE" w14:textId="77777777" w:rsidTr="003735BC">
        <w:tc>
          <w:tcPr>
            <w:tcW w:w="2907" w:type="dxa"/>
          </w:tcPr>
          <w:p w14:paraId="30C9BFC7" w14:textId="77777777" w:rsidR="008E7846" w:rsidRPr="003D1E62" w:rsidRDefault="008E7846" w:rsidP="003D1E62">
            <w:r w:rsidRPr="007B6181">
              <w:rPr>
                <w:i/>
              </w:rPr>
              <w:t>Decision</w:t>
            </w:r>
            <w:r w:rsidRPr="007B6181">
              <w:t>:</w:t>
            </w:r>
          </w:p>
        </w:tc>
        <w:tc>
          <w:tcPr>
            <w:tcW w:w="6307" w:type="dxa"/>
          </w:tcPr>
          <w:p w14:paraId="46CF0FBB" w14:textId="3E81FFD0" w:rsidR="008E7846" w:rsidRPr="003D1E62" w:rsidRDefault="001C3054" w:rsidP="00640930">
            <w:r w:rsidRPr="00460036">
              <w:t>Approved for provisional registration</w:t>
            </w:r>
          </w:p>
        </w:tc>
      </w:tr>
      <w:tr w:rsidR="008E7846" w:rsidRPr="003D1E62" w14:paraId="18BD1269" w14:textId="77777777" w:rsidTr="003735BC">
        <w:tc>
          <w:tcPr>
            <w:tcW w:w="2907" w:type="dxa"/>
          </w:tcPr>
          <w:p w14:paraId="3324D7B2" w14:textId="77777777" w:rsidR="008E7846" w:rsidRPr="004262E0" w:rsidRDefault="008E7846" w:rsidP="001B5C90">
            <w:pPr>
              <w:rPr>
                <w:i/>
              </w:rPr>
            </w:pPr>
            <w:r w:rsidRPr="004262E0">
              <w:rPr>
                <w:i/>
              </w:rPr>
              <w:t xml:space="preserve">Date of </w:t>
            </w:r>
            <w:r w:rsidR="001B5C90" w:rsidRPr="004262E0">
              <w:rPr>
                <w:i/>
              </w:rPr>
              <w:t>d</w:t>
            </w:r>
            <w:r w:rsidRPr="004262E0">
              <w:rPr>
                <w:i/>
              </w:rPr>
              <w:t>ecision:</w:t>
            </w:r>
          </w:p>
        </w:tc>
        <w:tc>
          <w:tcPr>
            <w:tcW w:w="6307" w:type="dxa"/>
          </w:tcPr>
          <w:p w14:paraId="277398E3" w14:textId="3CE4279D" w:rsidR="008E7846" w:rsidRPr="004262E0" w:rsidRDefault="007B6181" w:rsidP="007B6181">
            <w:r w:rsidRPr="004262E0">
              <w:t>2</w:t>
            </w:r>
            <w:r w:rsidR="000F6D3C" w:rsidRPr="004262E0">
              <w:t>2</w:t>
            </w:r>
            <w:r w:rsidRPr="004262E0">
              <w:t xml:space="preserve"> July 2021</w:t>
            </w:r>
          </w:p>
        </w:tc>
      </w:tr>
      <w:tr w:rsidR="00ED2922" w:rsidRPr="003D1E62" w14:paraId="6A155094" w14:textId="77777777" w:rsidTr="003735BC">
        <w:tc>
          <w:tcPr>
            <w:tcW w:w="2907" w:type="dxa"/>
          </w:tcPr>
          <w:p w14:paraId="287806BC" w14:textId="77777777" w:rsidR="00ED2922" w:rsidRPr="004262E0" w:rsidRDefault="00ED2922" w:rsidP="001B5C90">
            <w:pPr>
              <w:rPr>
                <w:i/>
              </w:rPr>
            </w:pPr>
            <w:r w:rsidRPr="004262E0">
              <w:rPr>
                <w:i/>
              </w:rPr>
              <w:t>Date of entry onto ARTG</w:t>
            </w:r>
            <w:r w:rsidR="00500337" w:rsidRPr="004262E0">
              <w:rPr>
                <w:i/>
              </w:rPr>
              <w:t>:</w:t>
            </w:r>
          </w:p>
        </w:tc>
        <w:tc>
          <w:tcPr>
            <w:tcW w:w="6307" w:type="dxa"/>
          </w:tcPr>
          <w:p w14:paraId="1FA723CE" w14:textId="4C1D5E7F" w:rsidR="00ED2922" w:rsidRPr="004262E0" w:rsidRDefault="007B6181" w:rsidP="00352D4E">
            <w:r w:rsidRPr="004262E0">
              <w:t>2</w:t>
            </w:r>
            <w:r w:rsidR="00352D4E">
              <w:t>3</w:t>
            </w:r>
            <w:r w:rsidRPr="004262E0">
              <w:t xml:space="preserve"> July 2021</w:t>
            </w:r>
          </w:p>
        </w:tc>
      </w:tr>
      <w:tr w:rsidR="00500337" w:rsidRPr="003D1E62" w14:paraId="76B88DD4" w14:textId="77777777" w:rsidTr="003735BC">
        <w:tc>
          <w:tcPr>
            <w:tcW w:w="2907" w:type="dxa"/>
          </w:tcPr>
          <w:p w14:paraId="4EC12730" w14:textId="77777777" w:rsidR="00500337" w:rsidRPr="00B15C5C" w:rsidRDefault="00640930" w:rsidP="001B5C90">
            <w:pPr>
              <w:rPr>
                <w:i/>
                <w:highlight w:val="yellow"/>
              </w:rPr>
            </w:pPr>
            <w:r w:rsidRPr="007B6181">
              <w:rPr>
                <w:i/>
              </w:rPr>
              <w:t>ARTG number</w:t>
            </w:r>
            <w:r w:rsidR="00500337" w:rsidRPr="007B6181">
              <w:rPr>
                <w:i/>
              </w:rPr>
              <w:t>:</w:t>
            </w:r>
          </w:p>
        </w:tc>
        <w:tc>
          <w:tcPr>
            <w:tcW w:w="6307" w:type="dxa"/>
          </w:tcPr>
          <w:p w14:paraId="63094C14" w14:textId="4FC3516C" w:rsidR="00500337" w:rsidRPr="00441C3F" w:rsidRDefault="001C3054" w:rsidP="00EC463D">
            <w:r w:rsidRPr="00640930">
              <w:t>346290</w:t>
            </w:r>
          </w:p>
        </w:tc>
      </w:tr>
      <w:tr w:rsidR="003735BC" w:rsidRPr="003D1E62" w14:paraId="083F6683" w14:textId="77777777" w:rsidTr="003735BC">
        <w:tc>
          <w:tcPr>
            <w:tcW w:w="2907" w:type="dxa"/>
          </w:tcPr>
          <w:p w14:paraId="2125F3CE"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4806EDFE" w14:textId="77777777" w:rsidR="003735BC" w:rsidRDefault="00640930" w:rsidP="003735BC">
            <w:r>
              <w:t>Yes</w:t>
            </w:r>
          </w:p>
          <w:p w14:paraId="4CE5000A" w14:textId="05AD0FC0" w:rsidR="003735BC" w:rsidRPr="00487162" w:rsidRDefault="003735BC" w:rsidP="003735BC">
            <w:r>
              <w:t>As a provisionally registered product, this medicine will remain in the Black Triangle Scheme for the duration of its provisional registration</w:t>
            </w:r>
            <w:r w:rsidR="002976D9">
              <w:t>.</w:t>
            </w:r>
          </w:p>
        </w:tc>
      </w:tr>
      <w:tr w:rsidR="008E7846" w:rsidRPr="00487162" w14:paraId="411DAC5F" w14:textId="77777777" w:rsidTr="00BF1190">
        <w:tc>
          <w:tcPr>
            <w:tcW w:w="2907" w:type="dxa"/>
          </w:tcPr>
          <w:p w14:paraId="26C31ADB"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25EA0640" w14:textId="77777777" w:rsidR="00640930" w:rsidRDefault="00640930" w:rsidP="00E45619">
            <w:r>
              <w:t>Pfizer Australia Pty Ltd</w:t>
            </w:r>
          </w:p>
          <w:p w14:paraId="1DFE82B2" w14:textId="77777777" w:rsidR="00640930" w:rsidRDefault="00640930" w:rsidP="00E45619">
            <w:r>
              <w:t>Level 17, 151 Clarence Street</w:t>
            </w:r>
          </w:p>
          <w:p w14:paraId="47E8980B" w14:textId="016C4975" w:rsidR="008E7846" w:rsidRPr="00487162" w:rsidRDefault="00640930" w:rsidP="00E45619">
            <w:r>
              <w:t>Sydney</w:t>
            </w:r>
            <w:r w:rsidR="002976D9">
              <w:t>,</w:t>
            </w:r>
            <w:r>
              <w:t xml:space="preserve"> NSW</w:t>
            </w:r>
            <w:r w:rsidR="002976D9">
              <w:t>,</w:t>
            </w:r>
            <w:r>
              <w:t xml:space="preserve"> 2000</w:t>
            </w:r>
          </w:p>
        </w:tc>
      </w:tr>
      <w:tr w:rsidR="008E7846" w:rsidRPr="00487162" w14:paraId="682713C1" w14:textId="77777777" w:rsidTr="00BF1190">
        <w:tc>
          <w:tcPr>
            <w:tcW w:w="2907" w:type="dxa"/>
          </w:tcPr>
          <w:p w14:paraId="2A6A9234" w14:textId="77777777" w:rsidR="008E7846" w:rsidRPr="00487162" w:rsidRDefault="005865D9" w:rsidP="00E45619">
            <w:pPr>
              <w:rPr>
                <w:i/>
              </w:rPr>
            </w:pPr>
            <w:r>
              <w:rPr>
                <w:i/>
              </w:rPr>
              <w:t>Dose form</w:t>
            </w:r>
            <w:r w:rsidR="001B5C90">
              <w:rPr>
                <w:i/>
              </w:rPr>
              <w:t>:</w:t>
            </w:r>
          </w:p>
        </w:tc>
        <w:tc>
          <w:tcPr>
            <w:tcW w:w="6307" w:type="dxa"/>
          </w:tcPr>
          <w:p w14:paraId="557798A0" w14:textId="77777777" w:rsidR="008E7846" w:rsidRPr="00487162" w:rsidRDefault="00640930" w:rsidP="00E45619">
            <w:r w:rsidRPr="00640930">
              <w:t>Concentrated suspension for injection</w:t>
            </w:r>
          </w:p>
        </w:tc>
      </w:tr>
      <w:tr w:rsidR="008E7846" w:rsidRPr="00487162" w14:paraId="27DF0484" w14:textId="77777777" w:rsidTr="00BF1190">
        <w:tc>
          <w:tcPr>
            <w:tcW w:w="2907" w:type="dxa"/>
          </w:tcPr>
          <w:p w14:paraId="3E2DC6F4" w14:textId="77777777" w:rsidR="008E7846" w:rsidRPr="00487162" w:rsidRDefault="005865D9" w:rsidP="00E45619">
            <w:pPr>
              <w:rPr>
                <w:i/>
              </w:rPr>
            </w:pPr>
            <w:r>
              <w:rPr>
                <w:i/>
              </w:rPr>
              <w:t>Strength</w:t>
            </w:r>
            <w:r w:rsidR="00324E45">
              <w:rPr>
                <w:i/>
              </w:rPr>
              <w:t>:</w:t>
            </w:r>
          </w:p>
        </w:tc>
        <w:tc>
          <w:tcPr>
            <w:tcW w:w="6307" w:type="dxa"/>
          </w:tcPr>
          <w:p w14:paraId="7D36516F" w14:textId="77777777" w:rsidR="008E7846" w:rsidRPr="00487162" w:rsidRDefault="00640930" w:rsidP="00E45619">
            <w:r w:rsidRPr="00640930">
              <w:t>30 µg/0.3 mL</w:t>
            </w:r>
          </w:p>
        </w:tc>
      </w:tr>
      <w:tr w:rsidR="008E7846" w:rsidRPr="00487162" w14:paraId="1D1CF36F" w14:textId="77777777" w:rsidTr="00BF1190">
        <w:tc>
          <w:tcPr>
            <w:tcW w:w="2907" w:type="dxa"/>
          </w:tcPr>
          <w:p w14:paraId="31BCF2BA" w14:textId="77777777" w:rsidR="008E7846" w:rsidRPr="00487162" w:rsidRDefault="005865D9" w:rsidP="00E45619">
            <w:pPr>
              <w:rPr>
                <w:i/>
              </w:rPr>
            </w:pPr>
            <w:r>
              <w:rPr>
                <w:i/>
              </w:rPr>
              <w:t>Container</w:t>
            </w:r>
            <w:r w:rsidR="008E7846" w:rsidRPr="00487162">
              <w:rPr>
                <w:i/>
              </w:rPr>
              <w:t>:</w:t>
            </w:r>
          </w:p>
        </w:tc>
        <w:tc>
          <w:tcPr>
            <w:tcW w:w="6307" w:type="dxa"/>
          </w:tcPr>
          <w:p w14:paraId="38B89AF1" w14:textId="70BB0688" w:rsidR="008E7846" w:rsidRPr="00487162" w:rsidRDefault="005865D9" w:rsidP="00E45619">
            <w:r>
              <w:t>Multidose via</w:t>
            </w:r>
            <w:r w:rsidR="00D9657B">
              <w:t>l</w:t>
            </w:r>
          </w:p>
        </w:tc>
      </w:tr>
      <w:tr w:rsidR="008E7846" w:rsidRPr="00487162" w14:paraId="4571E5CD" w14:textId="77777777" w:rsidTr="00BF1190">
        <w:tc>
          <w:tcPr>
            <w:tcW w:w="2907" w:type="dxa"/>
          </w:tcPr>
          <w:p w14:paraId="7AB3A1AB" w14:textId="77777777" w:rsidR="008E7846" w:rsidRPr="00487162" w:rsidRDefault="005865D9" w:rsidP="00E45619">
            <w:pPr>
              <w:rPr>
                <w:i/>
              </w:rPr>
            </w:pPr>
            <w:r>
              <w:rPr>
                <w:i/>
              </w:rPr>
              <w:t>Pack size</w:t>
            </w:r>
            <w:r w:rsidR="008E7846" w:rsidRPr="00487162">
              <w:rPr>
                <w:i/>
              </w:rPr>
              <w:t>:</w:t>
            </w:r>
          </w:p>
        </w:tc>
        <w:tc>
          <w:tcPr>
            <w:tcW w:w="6307" w:type="dxa"/>
          </w:tcPr>
          <w:p w14:paraId="584E0DBD" w14:textId="77777777" w:rsidR="008E7846" w:rsidRPr="00487162" w:rsidRDefault="005865D9" w:rsidP="00E45619">
            <w:r>
              <w:t>195</w:t>
            </w:r>
          </w:p>
        </w:tc>
      </w:tr>
      <w:tr w:rsidR="008E7846" w:rsidRPr="00487162" w14:paraId="6263F7E9" w14:textId="77777777" w:rsidTr="00BF1190">
        <w:tc>
          <w:tcPr>
            <w:tcW w:w="2907" w:type="dxa"/>
          </w:tcPr>
          <w:p w14:paraId="3D89B0A8" w14:textId="77777777" w:rsidR="008E7846" w:rsidRPr="007B6181" w:rsidRDefault="008E7846" w:rsidP="001B5C90">
            <w:pPr>
              <w:rPr>
                <w:i/>
              </w:rPr>
            </w:pPr>
            <w:r w:rsidRPr="007B6181">
              <w:rPr>
                <w:i/>
              </w:rPr>
              <w:t xml:space="preserve">Approved </w:t>
            </w:r>
            <w:r w:rsidR="001B5C90" w:rsidRPr="007B6181">
              <w:rPr>
                <w:i/>
              </w:rPr>
              <w:t>t</w:t>
            </w:r>
            <w:r w:rsidRPr="007B6181">
              <w:rPr>
                <w:i/>
              </w:rPr>
              <w:t>herapeutic use:</w:t>
            </w:r>
          </w:p>
        </w:tc>
        <w:tc>
          <w:tcPr>
            <w:tcW w:w="6307" w:type="dxa"/>
          </w:tcPr>
          <w:p w14:paraId="1C2AA243" w14:textId="4C580BBB" w:rsidR="00AE41A3" w:rsidRPr="00AE41A3" w:rsidRDefault="00AE41A3" w:rsidP="00AE41A3">
            <w:pPr>
              <w:rPr>
                <w:rFonts w:eastAsia="MS Mincho"/>
                <w:i/>
                <w:lang w:eastAsia="ja-JP"/>
              </w:rPr>
            </w:pPr>
            <w:proofErr w:type="spellStart"/>
            <w:r w:rsidRPr="00AE41A3">
              <w:rPr>
                <w:rFonts w:eastAsia="MS Mincho"/>
                <w:i/>
                <w:lang w:eastAsia="ja-JP"/>
              </w:rPr>
              <w:t>C</w:t>
            </w:r>
            <w:r>
              <w:rPr>
                <w:rFonts w:eastAsia="MS Mincho"/>
                <w:i/>
                <w:lang w:eastAsia="ja-JP"/>
              </w:rPr>
              <w:t>omirnaty</w:t>
            </w:r>
            <w:proofErr w:type="spellEnd"/>
            <w:r>
              <w:rPr>
                <w:rFonts w:eastAsia="MS Mincho"/>
                <w:i/>
                <w:lang w:eastAsia="ja-JP"/>
              </w:rPr>
              <w:t xml:space="preserve"> </w:t>
            </w:r>
            <w:r w:rsidRPr="00AE41A3">
              <w:rPr>
                <w:rFonts w:eastAsia="MS Mincho"/>
                <w:i/>
                <w:lang w:eastAsia="ja-JP"/>
              </w:rPr>
              <w:t>(BNT162b2 [mRNA]) COVID-19 Vaccine has provisional approval for the indication below:</w:t>
            </w:r>
          </w:p>
          <w:p w14:paraId="2A9FA96D" w14:textId="77777777" w:rsidR="00AE41A3" w:rsidRPr="00AE41A3" w:rsidRDefault="00AE41A3" w:rsidP="00AE41A3">
            <w:pPr>
              <w:rPr>
                <w:rFonts w:eastAsia="MS Mincho"/>
                <w:i/>
                <w:lang w:eastAsia="ja-JP"/>
              </w:rPr>
            </w:pPr>
            <w:r w:rsidRPr="00AE41A3">
              <w:rPr>
                <w:rFonts w:eastAsia="MS Mincho"/>
                <w:i/>
                <w:lang w:eastAsia="ja-JP"/>
              </w:rPr>
              <w:t>Active immunisation to prevent coronavirus disease 2019 (COVID-19) caused by SARS-CoV-2, in individuals 12 years of age and older.</w:t>
            </w:r>
          </w:p>
          <w:p w14:paraId="4A338035" w14:textId="77777777" w:rsidR="00AE41A3" w:rsidRPr="00AE41A3" w:rsidRDefault="00AE41A3" w:rsidP="00AE41A3">
            <w:pPr>
              <w:rPr>
                <w:rFonts w:eastAsia="MS Mincho"/>
                <w:i/>
                <w:lang w:eastAsia="ja-JP"/>
              </w:rPr>
            </w:pPr>
            <w:r w:rsidRPr="00AE41A3">
              <w:rPr>
                <w:rFonts w:eastAsia="MS Mincho"/>
                <w:i/>
                <w:lang w:eastAsia="ja-JP"/>
              </w:rPr>
              <w:t>The use of this vaccine should be in accordance with official recommendations.</w:t>
            </w:r>
          </w:p>
          <w:p w14:paraId="664AE5EF" w14:textId="40E20334" w:rsidR="008E7846" w:rsidRPr="00B15C5C" w:rsidRDefault="00AE41A3" w:rsidP="00AE41A3">
            <w:pPr>
              <w:rPr>
                <w:rFonts w:eastAsia="MS Mincho"/>
                <w:highlight w:val="yellow"/>
                <w:lang w:eastAsia="ja-JP"/>
              </w:rPr>
            </w:pPr>
            <w:r w:rsidRPr="00AE41A3">
              <w:rPr>
                <w:rFonts w:eastAsia="MS Mincho"/>
                <w:i/>
                <w:lang w:eastAsia="ja-JP"/>
              </w:rPr>
              <w:t xml:space="preserve">The decision has been made </w:t>
            </w:r>
            <w:proofErr w:type="gramStart"/>
            <w:r w:rsidRPr="00AE41A3">
              <w:rPr>
                <w:rFonts w:eastAsia="MS Mincho"/>
                <w:i/>
                <w:lang w:eastAsia="ja-JP"/>
              </w:rPr>
              <w:t>on the basis of</w:t>
            </w:r>
            <w:proofErr w:type="gramEnd"/>
            <w:r w:rsidRPr="00AE41A3">
              <w:rPr>
                <w:rFonts w:eastAsia="MS Mincho"/>
                <w:i/>
                <w:lang w:eastAsia="ja-JP"/>
              </w:rPr>
              <w:t xml:space="preserve"> short term efficacy and safety data. Continued approval depends on the evidence of </w:t>
            </w:r>
            <w:proofErr w:type="gramStart"/>
            <w:r w:rsidRPr="00AE41A3">
              <w:rPr>
                <w:rFonts w:eastAsia="MS Mincho"/>
                <w:i/>
                <w:lang w:eastAsia="ja-JP"/>
              </w:rPr>
              <w:t>longer term</w:t>
            </w:r>
            <w:proofErr w:type="gramEnd"/>
            <w:r w:rsidRPr="00AE41A3">
              <w:rPr>
                <w:rFonts w:eastAsia="MS Mincho"/>
                <w:i/>
                <w:lang w:eastAsia="ja-JP"/>
              </w:rPr>
              <w:t xml:space="preserve"> efficacy and safety from ongoing clinical trials and post-market assessment.</w:t>
            </w:r>
          </w:p>
        </w:tc>
      </w:tr>
      <w:tr w:rsidR="008E7846" w:rsidRPr="00487162" w14:paraId="263D725E" w14:textId="77777777" w:rsidTr="00BF1190">
        <w:tc>
          <w:tcPr>
            <w:tcW w:w="2907" w:type="dxa"/>
          </w:tcPr>
          <w:p w14:paraId="302A89AD" w14:textId="77777777" w:rsidR="008E7846" w:rsidRPr="00487162" w:rsidRDefault="005865D9" w:rsidP="00E45619">
            <w:pPr>
              <w:rPr>
                <w:i/>
              </w:rPr>
            </w:pPr>
            <w:r>
              <w:rPr>
                <w:i/>
              </w:rPr>
              <w:t>Route</w:t>
            </w:r>
            <w:r w:rsidR="008E7846" w:rsidRPr="00487162">
              <w:rPr>
                <w:i/>
              </w:rPr>
              <w:t xml:space="preserve"> of administration:</w:t>
            </w:r>
          </w:p>
        </w:tc>
        <w:tc>
          <w:tcPr>
            <w:tcW w:w="6307" w:type="dxa"/>
          </w:tcPr>
          <w:p w14:paraId="6AF07821" w14:textId="77777777" w:rsidR="008E7846" w:rsidRPr="00487162" w:rsidRDefault="005865D9" w:rsidP="00E45619">
            <w:r>
              <w:t>Intramuscular</w:t>
            </w:r>
          </w:p>
        </w:tc>
      </w:tr>
      <w:tr w:rsidR="008E7846" w:rsidRPr="00487162" w14:paraId="6BB89B7D" w14:textId="77777777" w:rsidTr="00BF1190">
        <w:tc>
          <w:tcPr>
            <w:tcW w:w="2907" w:type="dxa"/>
          </w:tcPr>
          <w:p w14:paraId="1E5934AD" w14:textId="77777777" w:rsidR="008E7846" w:rsidRPr="00487162" w:rsidRDefault="008E7846" w:rsidP="00E45619">
            <w:pPr>
              <w:rPr>
                <w:i/>
              </w:rPr>
            </w:pPr>
            <w:r w:rsidRPr="00487162">
              <w:rPr>
                <w:i/>
              </w:rPr>
              <w:t>Dosage:</w:t>
            </w:r>
          </w:p>
        </w:tc>
        <w:tc>
          <w:tcPr>
            <w:tcW w:w="6307" w:type="dxa"/>
          </w:tcPr>
          <w:p w14:paraId="74CA440D" w14:textId="77777777" w:rsidR="004262E0" w:rsidRPr="004262E0" w:rsidRDefault="004262E0" w:rsidP="004262E0">
            <w:pPr>
              <w:rPr>
                <w:i/>
              </w:rPr>
            </w:pPr>
            <w:r w:rsidRPr="004262E0">
              <w:rPr>
                <w:i/>
              </w:rPr>
              <w:t>Individuals 12 years of age and older</w:t>
            </w:r>
          </w:p>
          <w:p w14:paraId="0EA196BE" w14:textId="17476C56" w:rsidR="004262E0" w:rsidRPr="004262E0" w:rsidRDefault="004262E0" w:rsidP="004262E0">
            <w:pPr>
              <w:rPr>
                <w:iCs/>
              </w:rPr>
            </w:pPr>
            <w:proofErr w:type="spellStart"/>
            <w:r w:rsidRPr="004262E0">
              <w:rPr>
                <w:iCs/>
              </w:rPr>
              <w:t>C</w:t>
            </w:r>
            <w:r>
              <w:rPr>
                <w:iCs/>
              </w:rPr>
              <w:t>omirnaty</w:t>
            </w:r>
            <w:proofErr w:type="spellEnd"/>
            <w:r w:rsidRPr="004262E0">
              <w:rPr>
                <w:iCs/>
              </w:rPr>
              <w:t xml:space="preserve"> </w:t>
            </w:r>
            <w:proofErr w:type="gramStart"/>
            <w:r w:rsidRPr="004262E0">
              <w:rPr>
                <w:iCs/>
              </w:rPr>
              <w:t>is administered</w:t>
            </w:r>
            <w:proofErr w:type="gramEnd"/>
            <w:r w:rsidRPr="004262E0">
              <w:rPr>
                <w:iCs/>
              </w:rPr>
              <w:t xml:space="preserve"> intramuscularly after dilution as a course of </w:t>
            </w:r>
            <w:r>
              <w:rPr>
                <w:iCs/>
              </w:rPr>
              <w:t>two</w:t>
            </w:r>
            <w:r w:rsidRPr="004262E0">
              <w:rPr>
                <w:iCs/>
              </w:rPr>
              <w:t xml:space="preserve"> doses at least 21 days apart. See dosing instructions below.</w:t>
            </w:r>
          </w:p>
          <w:p w14:paraId="40F86453" w14:textId="5D06F362" w:rsidR="004262E0" w:rsidRPr="004262E0" w:rsidRDefault="004262E0" w:rsidP="004262E0">
            <w:pPr>
              <w:rPr>
                <w:iCs/>
              </w:rPr>
            </w:pPr>
            <w:r w:rsidRPr="004262E0">
              <w:rPr>
                <w:iCs/>
              </w:rPr>
              <w:t xml:space="preserve">There are no data available on the interchangeability of </w:t>
            </w:r>
            <w:proofErr w:type="spellStart"/>
            <w:r w:rsidRPr="004262E0">
              <w:rPr>
                <w:iCs/>
              </w:rPr>
              <w:t>C</w:t>
            </w:r>
            <w:r>
              <w:rPr>
                <w:iCs/>
              </w:rPr>
              <w:t>omirnaty</w:t>
            </w:r>
            <w:proofErr w:type="spellEnd"/>
            <w:r w:rsidRPr="004262E0">
              <w:rPr>
                <w:iCs/>
              </w:rPr>
              <w:t xml:space="preserve"> with other COVID-19 vaccines to complete the vaccination course. Individuals who have received </w:t>
            </w:r>
            <w:r>
              <w:rPr>
                <w:iCs/>
              </w:rPr>
              <w:t>one</w:t>
            </w:r>
            <w:r w:rsidRPr="004262E0">
              <w:rPr>
                <w:iCs/>
              </w:rPr>
              <w:t xml:space="preserve"> dose of </w:t>
            </w:r>
            <w:proofErr w:type="spellStart"/>
            <w:r w:rsidRPr="004262E0">
              <w:rPr>
                <w:iCs/>
              </w:rPr>
              <w:t>C</w:t>
            </w:r>
            <w:r>
              <w:rPr>
                <w:iCs/>
              </w:rPr>
              <w:t>omirnaty</w:t>
            </w:r>
            <w:proofErr w:type="spellEnd"/>
            <w:r w:rsidRPr="004262E0">
              <w:rPr>
                <w:iCs/>
              </w:rPr>
              <w:t xml:space="preserve"> should receive a second dose of </w:t>
            </w:r>
            <w:proofErr w:type="spellStart"/>
            <w:r w:rsidRPr="004262E0">
              <w:rPr>
                <w:iCs/>
              </w:rPr>
              <w:t>C</w:t>
            </w:r>
            <w:r>
              <w:rPr>
                <w:iCs/>
              </w:rPr>
              <w:t>omirnaty</w:t>
            </w:r>
            <w:proofErr w:type="spellEnd"/>
            <w:r>
              <w:rPr>
                <w:iCs/>
              </w:rPr>
              <w:t xml:space="preserve"> </w:t>
            </w:r>
            <w:r w:rsidRPr="004262E0">
              <w:rPr>
                <w:iCs/>
              </w:rPr>
              <w:t>to complete the vaccination course.</w:t>
            </w:r>
          </w:p>
          <w:p w14:paraId="594CA090" w14:textId="4B6A1D71" w:rsidR="00460036" w:rsidRPr="00487162" w:rsidRDefault="00460036" w:rsidP="004262E0">
            <w:r w:rsidRPr="00460036">
              <w:t>For further information regarding dosage, refer to the Product Information.</w:t>
            </w:r>
          </w:p>
        </w:tc>
      </w:tr>
      <w:tr w:rsidR="00460036" w:rsidRPr="00487162" w14:paraId="2709358D" w14:textId="77777777" w:rsidTr="00BF1190">
        <w:tc>
          <w:tcPr>
            <w:tcW w:w="2907" w:type="dxa"/>
          </w:tcPr>
          <w:p w14:paraId="2431E8D2" w14:textId="77777777" w:rsidR="00460036" w:rsidRPr="00487162" w:rsidRDefault="00460036" w:rsidP="00E45619">
            <w:pPr>
              <w:rPr>
                <w:i/>
              </w:rPr>
            </w:pPr>
            <w:r w:rsidRPr="00460036">
              <w:rPr>
                <w:i/>
              </w:rPr>
              <w:t>Pregnancy category</w:t>
            </w:r>
            <w:r>
              <w:rPr>
                <w:i/>
              </w:rPr>
              <w:t>:</w:t>
            </w:r>
          </w:p>
        </w:tc>
        <w:tc>
          <w:tcPr>
            <w:tcW w:w="6307" w:type="dxa"/>
          </w:tcPr>
          <w:p w14:paraId="29BD9509" w14:textId="77777777" w:rsidR="005865D9" w:rsidRDefault="005865D9" w:rsidP="005865D9">
            <w:r>
              <w:t>B1</w:t>
            </w:r>
          </w:p>
          <w:p w14:paraId="690B3E74" w14:textId="77777777" w:rsidR="005865D9" w:rsidRDefault="005865D9" w:rsidP="005865D9">
            <w:r>
              <w:t>Drugs which have been taken by only a limited number of pregnant women and women of childbearing age, without an increase in the frequency of malformation or other direct or indirect harmful effects on the human fetus having been observed.</w:t>
            </w:r>
          </w:p>
          <w:p w14:paraId="6F67CD37" w14:textId="77777777" w:rsidR="005865D9" w:rsidRDefault="005865D9" w:rsidP="005865D9">
            <w:r>
              <w:t>Studies in animals have not shown evidence of an increased occurrence of fetal damage.</w:t>
            </w:r>
          </w:p>
          <w:p w14:paraId="7C38B874" w14:textId="77777777" w:rsidR="00460036" w:rsidRPr="00487162" w:rsidRDefault="00460036" w:rsidP="005865D9">
            <w:r>
              <w:t xml:space="preserve">The use of any medicine during pregnancy requires careful consideration of both risks and benefits by the treating health professional. This </w:t>
            </w:r>
            <w:proofErr w:type="gramStart"/>
            <w:r>
              <w:t>must not be used</w:t>
            </w:r>
            <w:proofErr w:type="gramEnd"/>
            <w:r>
              <w:t xml:space="preserve">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27581BFF" w14:textId="77777777" w:rsidR="008E7846" w:rsidRDefault="008E7846" w:rsidP="008E7846">
      <w:pPr>
        <w:pStyle w:val="Heading3"/>
      </w:pPr>
      <w:bookmarkStart w:id="12" w:name="_Toc247691503"/>
      <w:bookmarkStart w:id="13" w:name="_Toc314842484"/>
      <w:bookmarkStart w:id="14" w:name="_Toc77866289"/>
      <w:r>
        <w:t>Product background</w:t>
      </w:r>
      <w:bookmarkEnd w:id="12"/>
      <w:bookmarkEnd w:id="13"/>
      <w:bookmarkEnd w:id="14"/>
    </w:p>
    <w:p w14:paraId="7A36BAD5" w14:textId="6A50E1B7" w:rsidR="008E7846" w:rsidRDefault="00250271" w:rsidP="00940A89">
      <w:r w:rsidRPr="00250271">
        <w:t>This AusPA</w:t>
      </w:r>
      <w:r w:rsidR="005865D9">
        <w:t xml:space="preserve">R describes the application by Pfizer Australia Pty Ltd (the sponsor) to register </w:t>
      </w:r>
      <w:proofErr w:type="spellStart"/>
      <w:r w:rsidR="005865D9">
        <w:t>Comirnaty</w:t>
      </w:r>
      <w:proofErr w:type="spellEnd"/>
      <w:r w:rsidR="005865D9">
        <w:t xml:space="preserve"> (BNT162b2 messenger ribonucleic acid (mRNA)) 30 µg/0.3 mL concentrated suspension for injection</w:t>
      </w:r>
      <w:r w:rsidRPr="00250271">
        <w:t xml:space="preserve"> </w:t>
      </w:r>
      <w:r w:rsidR="00A62B65">
        <w:t xml:space="preserve">vaccine </w:t>
      </w:r>
      <w:r w:rsidRPr="00250271">
        <w:t>for the following extension of indications</w:t>
      </w:r>
      <w:r w:rsidR="00CF5DAD">
        <w:t>:</w:t>
      </w:r>
    </w:p>
    <w:p w14:paraId="20AA7C3C" w14:textId="77777777" w:rsidR="005865D9" w:rsidRPr="00196F22" w:rsidRDefault="005865D9" w:rsidP="00196F22">
      <w:pPr>
        <w:ind w:left="720"/>
        <w:rPr>
          <w:i/>
        </w:rPr>
      </w:pPr>
      <w:r w:rsidRPr="00196F22">
        <w:rPr>
          <w:i/>
        </w:rPr>
        <w:t xml:space="preserve">Active immunisation to prevent coronavirus disease 2019 (COVID-19) caused by SARS-CoV-2, in individuals </w:t>
      </w:r>
      <w:r w:rsidRPr="00196F22">
        <w:rPr>
          <w:bCs/>
          <w:i/>
        </w:rPr>
        <w:t>12 years of age</w:t>
      </w:r>
      <w:r w:rsidRPr="00196F22">
        <w:rPr>
          <w:b/>
          <w:bCs/>
          <w:i/>
        </w:rPr>
        <w:t xml:space="preserve"> </w:t>
      </w:r>
      <w:r w:rsidRPr="00196F22">
        <w:rPr>
          <w:i/>
        </w:rPr>
        <w:t>and older. The use of this vaccine should be in accordance with official recommendations.</w:t>
      </w:r>
    </w:p>
    <w:p w14:paraId="476CD134" w14:textId="3189B467" w:rsidR="0078014C" w:rsidRDefault="0078014C" w:rsidP="00196F22">
      <w:bookmarkStart w:id="15" w:name="_Toc314842485"/>
      <w:bookmarkStart w:id="16" w:name="_Toc247691504"/>
      <w:r>
        <w:t>C</w:t>
      </w:r>
      <w:r w:rsidRPr="0078014C">
        <w:t>oronavirus disease 2019</w:t>
      </w:r>
      <w:r>
        <w:t xml:space="preserve"> (</w:t>
      </w:r>
      <w:r w:rsidR="00196F22" w:rsidRPr="00196F22">
        <w:t>COVID-19</w:t>
      </w:r>
      <w:r>
        <w:t>)</w:t>
      </w:r>
      <w:r w:rsidR="00196F22" w:rsidRPr="00196F22">
        <w:t xml:space="preserve"> is an infectious disease caused by the novel coronavirus,</w:t>
      </w:r>
      <w:r w:rsidR="004F6C12">
        <w:t xml:space="preserve"> known as</w:t>
      </w:r>
      <w:r w:rsidR="00196F22" w:rsidRPr="00196F22">
        <w:t xml:space="preserve"> </w:t>
      </w:r>
      <w:r>
        <w:t>s</w:t>
      </w:r>
      <w:r w:rsidRPr="00E30787">
        <w:t xml:space="preserve">evere acute respiratory syndrome coronavirus 2 </w:t>
      </w:r>
      <w:r>
        <w:t>(</w:t>
      </w:r>
      <w:r w:rsidR="00196F22" w:rsidRPr="00196F22">
        <w:t>SARS-CoV-2</w:t>
      </w:r>
      <w:r>
        <w:t>)</w:t>
      </w:r>
      <w:r w:rsidR="00196F22" w:rsidRPr="00196F22">
        <w:t>, that appeared in late 2019.</w:t>
      </w:r>
      <w:r>
        <w:rPr>
          <w:rStyle w:val="FootnoteReference"/>
        </w:rPr>
        <w:footnoteReference w:id="2"/>
      </w:r>
      <w:r>
        <w:t xml:space="preserve"> SARS-CoV-2 is an enveloped, positive sense, single stranded </w:t>
      </w:r>
      <w:r w:rsidR="00D9657B">
        <w:t>ribonucleic acid (</w:t>
      </w:r>
      <w:r>
        <w:t>RNA</w:t>
      </w:r>
      <w:r w:rsidR="00D9657B">
        <w:t>)</w:t>
      </w:r>
      <w:r>
        <w:t xml:space="preserve"> virus sharing more than 70% of its sequence with </w:t>
      </w:r>
      <w:r w:rsidR="004F6C12">
        <w:t xml:space="preserve">another coronavirus, </w:t>
      </w:r>
      <w:r>
        <w:t>SARS-</w:t>
      </w:r>
      <w:proofErr w:type="spellStart"/>
      <w:r>
        <w:t>CoV</w:t>
      </w:r>
      <w:proofErr w:type="spellEnd"/>
      <w:r>
        <w:t>, and about 50% with the coronavirus responsible for Middle Eastern</w:t>
      </w:r>
      <w:r w:rsidR="00D9657B">
        <w:t xml:space="preserve"> respiratory syndrome </w:t>
      </w:r>
      <w:r w:rsidR="00A62B65">
        <w:t>(also known as MERS)</w:t>
      </w:r>
      <w:r>
        <w:t>.</w:t>
      </w:r>
      <w:bookmarkStart w:id="17" w:name="_Ref74554906"/>
      <w:r>
        <w:rPr>
          <w:rStyle w:val="FootnoteReference"/>
        </w:rPr>
        <w:footnoteReference w:id="3"/>
      </w:r>
      <w:bookmarkEnd w:id="17"/>
      <w:r w:rsidR="00A62B65">
        <w:t xml:space="preserve"> </w:t>
      </w:r>
      <w:r>
        <w:t>The SARS-CoV-2 spike glycoprotein (</w:t>
      </w:r>
      <w:r w:rsidR="004F6C12">
        <w:t>simply referred to as ‘</w:t>
      </w:r>
      <w:r>
        <w:t>S</w:t>
      </w:r>
      <w:r w:rsidR="004F6C12">
        <w:t>’</w:t>
      </w:r>
      <w:r>
        <w:t>), which is a main target fo</w:t>
      </w:r>
      <w:r w:rsidR="00333E93">
        <w:t>r neutralis</w:t>
      </w:r>
      <w:r>
        <w:t>ing antibod</w:t>
      </w:r>
      <w:r w:rsidR="004F6C12">
        <w:t>ies</w:t>
      </w:r>
      <w:r>
        <w:t>, binds to its receptor human angiote</w:t>
      </w:r>
      <w:r w:rsidR="00D9657B">
        <w:t>nsin converting enzyme 2</w:t>
      </w:r>
      <w:r>
        <w:t xml:space="preserve"> to initiate infection.</w:t>
      </w:r>
      <w:r>
        <w:rPr>
          <w:sz w:val="14"/>
          <w:szCs w:val="14"/>
        </w:rPr>
        <w:fldChar w:fldCharType="begin"/>
      </w:r>
      <w:r>
        <w:instrText xml:space="preserve"> NOTEREF _Ref74554906 \f \h </w:instrText>
      </w:r>
      <w:r>
        <w:rPr>
          <w:sz w:val="14"/>
          <w:szCs w:val="14"/>
        </w:rPr>
      </w:r>
      <w:r>
        <w:rPr>
          <w:sz w:val="14"/>
          <w:szCs w:val="14"/>
        </w:rPr>
        <w:fldChar w:fldCharType="separate"/>
      </w:r>
      <w:r w:rsidR="00B15022" w:rsidRPr="00B15022">
        <w:rPr>
          <w:rStyle w:val="FootnoteReference"/>
        </w:rPr>
        <w:t>3</w:t>
      </w:r>
      <w:r>
        <w:rPr>
          <w:sz w:val="14"/>
          <w:szCs w:val="14"/>
        </w:rPr>
        <w:fldChar w:fldCharType="end"/>
      </w:r>
    </w:p>
    <w:p w14:paraId="34A295B4" w14:textId="6FDAC118" w:rsidR="00196F22" w:rsidRPr="00196F22" w:rsidRDefault="0078014C" w:rsidP="00196F22">
      <w:r>
        <w:t>C</w:t>
      </w:r>
      <w:r w:rsidRPr="0078014C">
        <w:t>oronavirus disease 2019</w:t>
      </w:r>
      <w:r w:rsidR="00196F22" w:rsidRPr="00196F22">
        <w:t xml:space="preserve"> is predominantly a respiratory illness that can affect other organs. People with COVID-19 have reported a wide range of symptoms, ranging from mild symptoms to severe</w:t>
      </w:r>
      <w:r>
        <w:t xml:space="preserve"> illness. Symptoms may appear 2 to </w:t>
      </w:r>
      <w:r w:rsidR="00196F22" w:rsidRPr="00196F22">
        <w:t xml:space="preserve">14 days after exposure to the virus. Symptoms may include: fever or chills; cough; shortness of breath; fatigue; muscle or body aches; headache; new loss of taste or smell; sore throat; congestion or runny nose; nausea or vomiting; </w:t>
      </w:r>
      <w:r w:rsidR="004F6C12">
        <w:t xml:space="preserve">and </w:t>
      </w:r>
      <w:r w:rsidR="00196F22" w:rsidRPr="00196F22">
        <w:t xml:space="preserve">diarrhoea. Infections caused by SARS-CoV-2, and the resulting disease, COVID-19, have spread globally. On 11 March 2020, the </w:t>
      </w:r>
      <w:r w:rsidR="00D9657B">
        <w:t>World Health Organi</w:t>
      </w:r>
      <w:r w:rsidR="00A62B65">
        <w:t>z</w:t>
      </w:r>
      <w:r w:rsidR="00D9657B" w:rsidRPr="00D9657B">
        <w:t xml:space="preserve">ation </w:t>
      </w:r>
      <w:r w:rsidR="00D9657B">
        <w:t>(</w:t>
      </w:r>
      <w:r w:rsidR="00196F22" w:rsidRPr="00196F22">
        <w:t>WHO</w:t>
      </w:r>
      <w:r w:rsidR="00D9657B">
        <w:t>)</w:t>
      </w:r>
      <w:r w:rsidR="00196F22" w:rsidRPr="00196F22">
        <w:t xml:space="preserve"> declared the COVID</w:t>
      </w:r>
      <w:r w:rsidR="00196F22">
        <w:t>-19 outbreak to be a pandemic.</w:t>
      </w:r>
      <w:r w:rsidR="004F6C12">
        <w:rPr>
          <w:rStyle w:val="FootnoteReference"/>
        </w:rPr>
        <w:footnoteReference w:id="4"/>
      </w:r>
    </w:p>
    <w:p w14:paraId="6528F3E7" w14:textId="1E63DDA0" w:rsidR="0078014C" w:rsidRPr="0078014C" w:rsidRDefault="00196F22" w:rsidP="0078014C">
      <w:r w:rsidRPr="00196F22">
        <w:t>As of May 2021, the ongoing pandemic remain</w:t>
      </w:r>
      <w:r w:rsidR="006A0D8E">
        <w:t>s</w:t>
      </w:r>
      <w:r w:rsidRPr="00196F22">
        <w:t xml:space="preserve"> a challenge to public health and economic stability worldwide. Although</w:t>
      </w:r>
      <w:r w:rsidR="0078014C">
        <w:t xml:space="preserve"> the</w:t>
      </w:r>
      <w:r w:rsidR="00A62B65">
        <w:t xml:space="preserve"> symptomology of</w:t>
      </w:r>
      <w:r w:rsidR="0078014C">
        <w:t xml:space="preserve"> COVID-</w:t>
      </w:r>
      <w:r w:rsidRPr="00196F22">
        <w:t xml:space="preserve">19 in adolescents </w:t>
      </w:r>
      <w:r w:rsidR="00A62B65">
        <w:t>is</w:t>
      </w:r>
      <w:r w:rsidRPr="00196F22">
        <w:t xml:space="preserve"> usually mild, severe disease and death can occur, especially in adolescents with underlying medical conditions. The preventive vaccine available for this age grou</w:t>
      </w:r>
      <w:r w:rsidR="0078014C">
        <w:t>p is an important aspect for Australia’s</w:t>
      </w:r>
      <w:r w:rsidRPr="00196F22">
        <w:t xml:space="preserve"> fight against the pandem</w:t>
      </w:r>
      <w:r w:rsidR="0078014C">
        <w:t>ic.</w:t>
      </w:r>
      <w:r w:rsidR="009117EA">
        <w:t xml:space="preserve"> </w:t>
      </w:r>
      <w:r w:rsidR="0078014C" w:rsidRPr="0078014C">
        <w:t>In Au</w:t>
      </w:r>
      <w:r w:rsidR="00BA6761">
        <w:t>stralia, there are currently three</w:t>
      </w:r>
      <w:r w:rsidR="0078014C" w:rsidRPr="0078014C">
        <w:t xml:space="preserve"> vaccines provisionally registered for prevention of COVID-19, one of which is </w:t>
      </w:r>
      <w:proofErr w:type="spellStart"/>
      <w:r w:rsidR="0078014C" w:rsidRPr="0078014C">
        <w:t>C</w:t>
      </w:r>
      <w:r w:rsidR="0078014C">
        <w:t>omirnaty</w:t>
      </w:r>
      <w:proofErr w:type="spellEnd"/>
      <w:r w:rsidR="00C3411D">
        <w:t xml:space="preserve"> (as discussed here)</w:t>
      </w:r>
      <w:r w:rsidR="0078014C" w:rsidRPr="0078014C">
        <w:t>. The other product</w:t>
      </w:r>
      <w:r w:rsidR="00BA6761">
        <w:t>s are</w:t>
      </w:r>
      <w:r w:rsidR="0078014C" w:rsidRPr="0078014C">
        <w:t xml:space="preserve"> </w:t>
      </w:r>
      <w:r w:rsidR="00C3411D">
        <w:t xml:space="preserve">the </w:t>
      </w:r>
      <w:r w:rsidR="004F6C12">
        <w:t>COVID-19 Vaccine Astra Zeneca</w:t>
      </w:r>
      <w:r w:rsidR="007059A7">
        <w:t xml:space="preserve"> (sponsor: Astra Zeneca)</w:t>
      </w:r>
      <w:r w:rsidR="004F6C12">
        <w:rPr>
          <w:rStyle w:val="FootnoteReference"/>
        </w:rPr>
        <w:footnoteReference w:id="5"/>
      </w:r>
      <w:r w:rsidR="00BA6761">
        <w:t xml:space="preserve"> and COVID-19 Vaccine Janssen</w:t>
      </w:r>
      <w:r w:rsidR="006768B0">
        <w:t xml:space="preserve"> (sponsor: Janssen-Cilag)</w:t>
      </w:r>
      <w:r w:rsidR="0078014C" w:rsidRPr="0078014C">
        <w:t>.</w:t>
      </w:r>
      <w:r w:rsidR="00BA6761">
        <w:rPr>
          <w:rStyle w:val="FootnoteReference"/>
        </w:rPr>
        <w:footnoteReference w:id="6"/>
      </w:r>
      <w:r w:rsidR="0078014C" w:rsidRPr="0078014C">
        <w:t xml:space="preserve"> However, neither of these </w:t>
      </w:r>
      <w:proofErr w:type="gramStart"/>
      <w:r w:rsidR="0078014C" w:rsidRPr="0078014C">
        <w:t>are currently approved</w:t>
      </w:r>
      <w:proofErr w:type="gramEnd"/>
      <w:r w:rsidR="0078014C" w:rsidRPr="0078014C">
        <w:t xml:space="preserve"> for people under the age of 16.</w:t>
      </w:r>
    </w:p>
    <w:p w14:paraId="7DDC1BEB" w14:textId="77777777" w:rsidR="008E7846" w:rsidRPr="003F31A2" w:rsidRDefault="00386150" w:rsidP="00196F22">
      <w:pPr>
        <w:pStyle w:val="Heading3"/>
      </w:pPr>
      <w:bookmarkStart w:id="18" w:name="_Toc77866290"/>
      <w:r>
        <w:t>Regulatory s</w:t>
      </w:r>
      <w:r w:rsidR="008E7846">
        <w:t>tatus</w:t>
      </w:r>
      <w:bookmarkEnd w:id="15"/>
      <w:bookmarkEnd w:id="16"/>
      <w:bookmarkEnd w:id="18"/>
    </w:p>
    <w:p w14:paraId="3100838B" w14:textId="0705077F" w:rsidR="00006FAB" w:rsidRDefault="00006FAB" w:rsidP="00006FAB">
      <w:bookmarkStart w:id="19" w:name="_Toc247691505"/>
      <w:bookmarkStart w:id="20" w:name="_Toc314842486"/>
      <w:r>
        <w:t>The product received initial registration</w:t>
      </w:r>
      <w:r w:rsidR="009117EA">
        <w:t xml:space="preserve"> (provisional)</w:t>
      </w:r>
      <w:r>
        <w:t xml:space="preserve"> on the Australian Register</w:t>
      </w:r>
      <w:r w:rsidR="009117EA">
        <w:t xml:space="preserve"> of Therapeutic Goods (ARTG) on 25 January 2021</w:t>
      </w:r>
      <w:proofErr w:type="gramStart"/>
      <w:r w:rsidR="007059A7">
        <w:t>;</w:t>
      </w:r>
      <w:proofErr w:type="gramEnd"/>
      <w:r w:rsidR="007059A7">
        <w:rPr>
          <w:rStyle w:val="FootnoteReference"/>
        </w:rPr>
        <w:footnoteReference w:id="7"/>
      </w:r>
      <w:r w:rsidR="009117EA">
        <w:t xml:space="preserve"> for the following indication:</w:t>
      </w:r>
    </w:p>
    <w:p w14:paraId="23CA4EC1" w14:textId="77777777" w:rsidR="009117EA" w:rsidRPr="009117EA" w:rsidRDefault="009117EA" w:rsidP="009117EA">
      <w:pPr>
        <w:ind w:left="720"/>
        <w:rPr>
          <w:i/>
        </w:rPr>
      </w:pPr>
      <w:r w:rsidRPr="009117EA">
        <w:rPr>
          <w:i/>
        </w:rPr>
        <w:t>Active immunisation to prevent coronavirus disease 2019 (COVID-19) caused by SARS-CoV-2, in individuals 16 years of age and older.</w:t>
      </w:r>
    </w:p>
    <w:p w14:paraId="66BABAE1" w14:textId="1840F978" w:rsidR="009117EA" w:rsidRDefault="009117EA" w:rsidP="009117EA">
      <w:pPr>
        <w:ind w:left="720"/>
      </w:pPr>
      <w:r w:rsidRPr="009117EA">
        <w:rPr>
          <w:i/>
        </w:rPr>
        <w:t>The use of this vaccine should be in accordance</w:t>
      </w:r>
      <w:r w:rsidR="00130E98">
        <w:rPr>
          <w:i/>
        </w:rPr>
        <w:t xml:space="preserve"> with official recommendations. </w:t>
      </w:r>
      <w:r w:rsidRPr="009117EA">
        <w:rPr>
          <w:i/>
        </w:rPr>
        <w:t xml:space="preserve">The decision has been made </w:t>
      </w:r>
      <w:proofErr w:type="gramStart"/>
      <w:r w:rsidRPr="009117EA">
        <w:rPr>
          <w:i/>
        </w:rPr>
        <w:t>on the basis of</w:t>
      </w:r>
      <w:proofErr w:type="gramEnd"/>
      <w:r w:rsidRPr="009117EA">
        <w:rPr>
          <w:i/>
        </w:rPr>
        <w:t xml:space="preserve"> short term efficacy and safety data. Continued approval depends on the evidence of </w:t>
      </w:r>
      <w:proofErr w:type="gramStart"/>
      <w:r w:rsidRPr="009117EA">
        <w:rPr>
          <w:i/>
        </w:rPr>
        <w:t>longer term</w:t>
      </w:r>
      <w:proofErr w:type="gramEnd"/>
      <w:r w:rsidRPr="009117EA">
        <w:rPr>
          <w:i/>
        </w:rPr>
        <w:t xml:space="preserve"> efficacy and safety from ongoing clinical trials and post-market assessment.</w:t>
      </w:r>
    </w:p>
    <w:p w14:paraId="2A792250" w14:textId="7710BD14" w:rsidR="00BC49C2" w:rsidRDefault="00BC49C2" w:rsidP="00006FAB">
      <w:proofErr w:type="spellStart"/>
      <w:r>
        <w:t>Comirnaty</w:t>
      </w:r>
      <w:proofErr w:type="spellEnd"/>
      <w:r w:rsidRPr="00BC49C2">
        <w:t xml:space="preserve"> </w:t>
      </w:r>
      <w:r>
        <w:t>(</w:t>
      </w:r>
      <w:r w:rsidRPr="00BC49C2">
        <w:t xml:space="preserve">BNT162b2 </w:t>
      </w:r>
      <w:r>
        <w:t>(</w:t>
      </w:r>
      <w:r w:rsidRPr="00BC49C2">
        <w:t>mRNA</w:t>
      </w:r>
      <w:r>
        <w:t>))</w:t>
      </w:r>
      <w:r w:rsidRPr="00BC49C2">
        <w:t xml:space="preserve"> vaccine has received temporary authori</w:t>
      </w:r>
      <w:r w:rsidR="00333E93">
        <w:t>s</w:t>
      </w:r>
      <w:r w:rsidRPr="00BC49C2">
        <w:t>ations for supply in 28 countries an</w:t>
      </w:r>
      <w:r>
        <w:t>d conditional marketing authoris</w:t>
      </w:r>
      <w:r w:rsidRPr="00BC49C2">
        <w:t>ations in 39 countries globally.</w:t>
      </w:r>
    </w:p>
    <w:p w14:paraId="517EF8B7" w14:textId="75EFD39D" w:rsidR="00AB318B" w:rsidRDefault="00006FAB" w:rsidP="00006FAB">
      <w:r>
        <w:t xml:space="preserve">At the </w:t>
      </w:r>
      <w:proofErr w:type="gramStart"/>
      <w:r>
        <w:t>time</w:t>
      </w:r>
      <w:proofErr w:type="gramEnd"/>
      <w:r>
        <w:t xml:space="preserve"> the TGA considered this application, similar application</w:t>
      </w:r>
      <w:r w:rsidR="00C3411D">
        <w:t>s</w:t>
      </w:r>
      <w:r>
        <w:t xml:space="preserve"> had been approved in</w:t>
      </w:r>
      <w:r w:rsidR="0014271B">
        <w:t xml:space="preserve"> Canada on 5 May 2021</w:t>
      </w:r>
      <w:r w:rsidR="00DD3F00">
        <w:t xml:space="preserve">, </w:t>
      </w:r>
      <w:r w:rsidR="00C3411D">
        <w:t xml:space="preserve">in the </w:t>
      </w:r>
      <w:r w:rsidR="0014271B">
        <w:t>United States of America (USA) on 10 May 2021</w:t>
      </w:r>
      <w:r w:rsidR="00DD3F00">
        <w:t xml:space="preserve">, </w:t>
      </w:r>
      <w:r w:rsidR="00C3411D">
        <w:t xml:space="preserve">in </w:t>
      </w:r>
      <w:r w:rsidR="00DD3F00">
        <w:t xml:space="preserve">Singapore on 18 May 2021, </w:t>
      </w:r>
      <w:r w:rsidR="00C3411D">
        <w:t xml:space="preserve">in the </w:t>
      </w:r>
      <w:r w:rsidR="00DD3F00">
        <w:t xml:space="preserve">European Union (EU) on 28 May 2021, </w:t>
      </w:r>
      <w:r w:rsidR="00C3411D">
        <w:t xml:space="preserve">in </w:t>
      </w:r>
      <w:r w:rsidR="00DD3F00">
        <w:t xml:space="preserve">Switzerland on4 June 2021 and </w:t>
      </w:r>
      <w:r w:rsidR="00C3411D">
        <w:t xml:space="preserve">in the </w:t>
      </w:r>
      <w:r w:rsidR="00DD3F00">
        <w:t xml:space="preserve">United Kingdom on 4 June 2021. It was under consideration in New Zealand, </w:t>
      </w:r>
      <w:r w:rsidR="00C3411D">
        <w:t xml:space="preserve">with an </w:t>
      </w:r>
      <w:r w:rsidR="00DD3F00">
        <w:t>application submitted on 24 May 2021</w:t>
      </w:r>
      <w:r>
        <w:t>.</w:t>
      </w:r>
    </w:p>
    <w:p w14:paraId="54369408" w14:textId="6C3B304D" w:rsidR="00324E45" w:rsidRPr="00F0146F" w:rsidRDefault="00324E45" w:rsidP="00324E45">
      <w:pPr>
        <w:pStyle w:val="TableTitle"/>
      </w:pPr>
      <w:r>
        <w:t xml:space="preserve">Table </w:t>
      </w:r>
      <w:fldSimple w:instr=" SEQ Table \* ARABIC ">
        <w:r w:rsidR="00B15022">
          <w:rPr>
            <w:noProof/>
          </w:rPr>
          <w:t>1</w:t>
        </w:r>
      </w:fldSimple>
      <w:r>
        <w:t>: International regulatory status</w:t>
      </w:r>
    </w:p>
    <w:tbl>
      <w:tblPr>
        <w:tblStyle w:val="TableTGAblue"/>
        <w:tblW w:w="0" w:type="auto"/>
        <w:tblLook w:val="04A0" w:firstRow="1" w:lastRow="0" w:firstColumn="1" w:lastColumn="0" w:noHBand="0" w:noVBand="1"/>
      </w:tblPr>
      <w:tblGrid>
        <w:gridCol w:w="2105"/>
        <w:gridCol w:w="2090"/>
        <w:gridCol w:w="2131"/>
        <w:gridCol w:w="2168"/>
      </w:tblGrid>
      <w:tr w:rsidR="007E11D7" w14:paraId="7A9725B4" w14:textId="77777777" w:rsidTr="00CF5DAD">
        <w:trPr>
          <w:cnfStyle w:val="100000000000" w:firstRow="1" w:lastRow="0" w:firstColumn="0" w:lastColumn="0" w:oddVBand="0" w:evenVBand="0" w:oddHBand="0" w:evenHBand="0" w:firstRowFirstColumn="0" w:firstRowLastColumn="0" w:lastRowFirstColumn="0" w:lastRowLastColumn="0"/>
        </w:trPr>
        <w:tc>
          <w:tcPr>
            <w:tcW w:w="2180" w:type="dxa"/>
            <w:tcBorders>
              <w:top w:val="single" w:sz="4" w:space="0" w:color="auto"/>
              <w:left w:val="single" w:sz="4" w:space="0" w:color="auto"/>
              <w:bottom w:val="single" w:sz="4" w:space="0" w:color="auto"/>
              <w:right w:val="single" w:sz="4" w:space="0" w:color="auto"/>
            </w:tcBorders>
          </w:tcPr>
          <w:p w14:paraId="4CD9CCB3" w14:textId="77777777" w:rsidR="00006FAB" w:rsidRDefault="00006FAB" w:rsidP="00006FAB">
            <w:pPr>
              <w:ind w:left="0" w:right="0"/>
            </w:pPr>
            <w:r>
              <w:t>Region</w:t>
            </w:r>
          </w:p>
        </w:tc>
        <w:tc>
          <w:tcPr>
            <w:tcW w:w="2180" w:type="dxa"/>
            <w:tcBorders>
              <w:top w:val="single" w:sz="4" w:space="0" w:color="auto"/>
              <w:left w:val="single" w:sz="4" w:space="0" w:color="auto"/>
              <w:bottom w:val="single" w:sz="4" w:space="0" w:color="auto"/>
              <w:right w:val="single" w:sz="4" w:space="0" w:color="auto"/>
            </w:tcBorders>
          </w:tcPr>
          <w:p w14:paraId="5A8EC80A" w14:textId="77777777" w:rsidR="00006FAB" w:rsidRDefault="00006FAB" w:rsidP="00006FAB">
            <w:pPr>
              <w:ind w:left="0" w:right="0"/>
            </w:pPr>
            <w:r>
              <w:t>Submission date</w:t>
            </w:r>
          </w:p>
        </w:tc>
        <w:tc>
          <w:tcPr>
            <w:tcW w:w="2180" w:type="dxa"/>
            <w:tcBorders>
              <w:top w:val="single" w:sz="4" w:space="0" w:color="auto"/>
              <w:left w:val="single" w:sz="4" w:space="0" w:color="auto"/>
              <w:bottom w:val="single" w:sz="4" w:space="0" w:color="auto"/>
              <w:right w:val="single" w:sz="4" w:space="0" w:color="auto"/>
            </w:tcBorders>
          </w:tcPr>
          <w:p w14:paraId="329D1FBE" w14:textId="77777777" w:rsidR="00006FAB" w:rsidRDefault="00006FAB" w:rsidP="00006FAB">
            <w:pPr>
              <w:ind w:left="0" w:right="0"/>
            </w:pPr>
            <w:r>
              <w:t>Status</w:t>
            </w:r>
          </w:p>
        </w:tc>
        <w:tc>
          <w:tcPr>
            <w:tcW w:w="2180" w:type="dxa"/>
            <w:tcBorders>
              <w:top w:val="single" w:sz="4" w:space="0" w:color="auto"/>
              <w:left w:val="single" w:sz="4" w:space="0" w:color="auto"/>
              <w:bottom w:val="single" w:sz="4" w:space="0" w:color="auto"/>
              <w:right w:val="single" w:sz="4" w:space="0" w:color="auto"/>
            </w:tcBorders>
          </w:tcPr>
          <w:p w14:paraId="50D79C61" w14:textId="77777777" w:rsidR="00006FAB" w:rsidRDefault="00006FAB" w:rsidP="00006FAB">
            <w:pPr>
              <w:ind w:left="0" w:right="0"/>
            </w:pPr>
            <w:r>
              <w:t>Approved indications</w:t>
            </w:r>
          </w:p>
        </w:tc>
      </w:tr>
      <w:tr w:rsidR="007E11D7" w14:paraId="06828845" w14:textId="77777777" w:rsidTr="00CF5DAD">
        <w:tc>
          <w:tcPr>
            <w:tcW w:w="2180" w:type="dxa"/>
            <w:tcBorders>
              <w:top w:val="single" w:sz="4" w:space="0" w:color="auto"/>
            </w:tcBorders>
          </w:tcPr>
          <w:p w14:paraId="138E5CE2" w14:textId="48ACABD7" w:rsidR="00006FAB" w:rsidRDefault="00685690" w:rsidP="00006FAB">
            <w:pPr>
              <w:ind w:left="0" w:right="0"/>
            </w:pPr>
            <w:r>
              <w:t>Canada</w:t>
            </w:r>
          </w:p>
        </w:tc>
        <w:tc>
          <w:tcPr>
            <w:tcW w:w="2180" w:type="dxa"/>
            <w:tcBorders>
              <w:top w:val="single" w:sz="4" w:space="0" w:color="auto"/>
            </w:tcBorders>
          </w:tcPr>
          <w:p w14:paraId="578E128E" w14:textId="4C8C1FAB" w:rsidR="00006FAB" w:rsidRDefault="00685690" w:rsidP="00006FAB">
            <w:pPr>
              <w:ind w:left="0" w:right="0"/>
            </w:pPr>
            <w:r>
              <w:t>16 April 2021</w:t>
            </w:r>
          </w:p>
        </w:tc>
        <w:tc>
          <w:tcPr>
            <w:tcW w:w="2180" w:type="dxa"/>
            <w:tcBorders>
              <w:top w:val="single" w:sz="4" w:space="0" w:color="auto"/>
            </w:tcBorders>
          </w:tcPr>
          <w:p w14:paraId="006AC43B" w14:textId="48C5D2E8" w:rsidR="00006FAB" w:rsidRDefault="00E1027A" w:rsidP="00E1027A">
            <w:pPr>
              <w:ind w:left="0" w:right="0"/>
            </w:pPr>
            <w:r>
              <w:rPr>
                <w:rFonts w:asciiTheme="minorHAnsi" w:eastAsiaTheme="minorHAnsi" w:hAnsiTheme="minorHAnsi" w:cs="Arial"/>
              </w:rPr>
              <w:t>Approved (</w:t>
            </w:r>
            <w:r>
              <w:t>interim order</w:t>
            </w:r>
            <w:r>
              <w:rPr>
                <w:rFonts w:asciiTheme="minorHAnsi" w:eastAsiaTheme="minorHAnsi" w:hAnsiTheme="minorHAnsi" w:cs="Arial"/>
              </w:rPr>
              <w:t>)</w:t>
            </w:r>
            <w:r w:rsidR="00685690">
              <w:rPr>
                <w:rFonts w:asciiTheme="minorHAnsi" w:eastAsiaTheme="minorHAnsi" w:hAnsiTheme="minorHAnsi" w:cs="Arial"/>
              </w:rPr>
              <w:t xml:space="preserve"> on 5</w:t>
            </w:r>
            <w:r w:rsidR="00C3411D">
              <w:rPr>
                <w:rFonts w:asciiTheme="minorHAnsi" w:eastAsiaTheme="minorHAnsi" w:hAnsiTheme="minorHAnsi" w:cs="Arial"/>
              </w:rPr>
              <w:t> </w:t>
            </w:r>
            <w:r w:rsidR="00685690">
              <w:rPr>
                <w:rFonts w:asciiTheme="minorHAnsi" w:eastAsiaTheme="minorHAnsi" w:hAnsiTheme="minorHAnsi" w:cs="Arial"/>
              </w:rPr>
              <w:t>May 2021</w:t>
            </w:r>
          </w:p>
        </w:tc>
        <w:tc>
          <w:tcPr>
            <w:tcW w:w="2180" w:type="dxa"/>
            <w:tcBorders>
              <w:top w:val="single" w:sz="4" w:space="0" w:color="auto"/>
            </w:tcBorders>
          </w:tcPr>
          <w:p w14:paraId="1AF6BB77" w14:textId="11BF2B7C" w:rsidR="00006FAB" w:rsidRPr="00685690" w:rsidRDefault="00333E93" w:rsidP="00685690">
            <w:pPr>
              <w:ind w:left="0"/>
              <w:rPr>
                <w:i/>
              </w:rPr>
            </w:pPr>
            <w:r>
              <w:rPr>
                <w:i/>
              </w:rPr>
              <w:t>For active immunis</w:t>
            </w:r>
            <w:r w:rsidR="00685690" w:rsidRPr="00685690">
              <w:rPr>
                <w:i/>
              </w:rPr>
              <w:t>ation to prevent coronavirus disease 2019 (COVID-19) caused by severe acute respiratory syndrome coronavirus 2 (SARS- CoV-2) in individuals 12 years of age and older</w:t>
            </w:r>
          </w:p>
        </w:tc>
      </w:tr>
      <w:tr w:rsidR="007E11D7" w14:paraId="48A96418" w14:textId="77777777" w:rsidTr="00CA26FB">
        <w:trPr>
          <w:cantSplit/>
        </w:trPr>
        <w:tc>
          <w:tcPr>
            <w:tcW w:w="2180" w:type="dxa"/>
          </w:tcPr>
          <w:p w14:paraId="58B27B58" w14:textId="65A4F9A5" w:rsidR="00006FAB" w:rsidRDefault="00685690" w:rsidP="00006FAB">
            <w:pPr>
              <w:ind w:left="0" w:right="0"/>
            </w:pPr>
            <w:r>
              <w:t>United States of America</w:t>
            </w:r>
          </w:p>
        </w:tc>
        <w:tc>
          <w:tcPr>
            <w:tcW w:w="2180" w:type="dxa"/>
          </w:tcPr>
          <w:p w14:paraId="5232D0F9" w14:textId="4BA097B9" w:rsidR="00006FAB" w:rsidRDefault="00685690" w:rsidP="00006FAB">
            <w:pPr>
              <w:ind w:left="0" w:right="0"/>
            </w:pPr>
            <w:r>
              <w:t>9 April 2021</w:t>
            </w:r>
          </w:p>
        </w:tc>
        <w:tc>
          <w:tcPr>
            <w:tcW w:w="2180" w:type="dxa"/>
          </w:tcPr>
          <w:p w14:paraId="0287B521" w14:textId="12982262" w:rsidR="00006FAB" w:rsidRDefault="007E11D7" w:rsidP="007E11D7">
            <w:pPr>
              <w:ind w:left="0" w:right="0"/>
            </w:pPr>
            <w:r>
              <w:t>Approved (</w:t>
            </w:r>
            <w:r w:rsidR="00E1027A">
              <w:t>e</w:t>
            </w:r>
            <w:r w:rsidR="00685690" w:rsidRPr="00685690">
              <w:t>mergency authorisation</w:t>
            </w:r>
            <w:r>
              <w:t>)</w:t>
            </w:r>
            <w:r w:rsidR="00C3411D">
              <w:t xml:space="preserve"> </w:t>
            </w:r>
            <w:r w:rsidR="00CF28C4">
              <w:t>on 10 </w:t>
            </w:r>
            <w:r w:rsidR="00685690">
              <w:t>May 2021</w:t>
            </w:r>
          </w:p>
        </w:tc>
        <w:tc>
          <w:tcPr>
            <w:tcW w:w="2180" w:type="dxa"/>
          </w:tcPr>
          <w:p w14:paraId="2B3C7035" w14:textId="02AADA79" w:rsidR="00006FAB" w:rsidRPr="00685690" w:rsidRDefault="00333E93" w:rsidP="00685690">
            <w:pPr>
              <w:ind w:left="0"/>
              <w:rPr>
                <w:i/>
              </w:rPr>
            </w:pPr>
            <w:r>
              <w:rPr>
                <w:i/>
              </w:rPr>
              <w:t>For active immunis</w:t>
            </w:r>
            <w:r w:rsidR="00685690" w:rsidRPr="00685690">
              <w:rPr>
                <w:i/>
              </w:rPr>
              <w:t>ation to prevent COVID-19 in individuals 12 years of age and older</w:t>
            </w:r>
            <w:r w:rsidR="00A57A89">
              <w:rPr>
                <w:i/>
              </w:rPr>
              <w:t>.</w:t>
            </w:r>
          </w:p>
        </w:tc>
      </w:tr>
      <w:tr w:rsidR="007E11D7" w14:paraId="0D7367B7" w14:textId="77777777" w:rsidTr="00006FAB">
        <w:tc>
          <w:tcPr>
            <w:tcW w:w="2180" w:type="dxa"/>
          </w:tcPr>
          <w:p w14:paraId="3B939737" w14:textId="4CAC5478" w:rsidR="00685690" w:rsidRDefault="008A6716" w:rsidP="008A6716">
            <w:pPr>
              <w:ind w:left="0"/>
            </w:pPr>
            <w:r>
              <w:t>Singapore</w:t>
            </w:r>
          </w:p>
        </w:tc>
        <w:tc>
          <w:tcPr>
            <w:tcW w:w="2180" w:type="dxa"/>
          </w:tcPr>
          <w:p w14:paraId="281CE63C" w14:textId="2DA05BEF" w:rsidR="00685690" w:rsidRDefault="008A6716" w:rsidP="008A6716">
            <w:pPr>
              <w:ind w:left="0"/>
            </w:pPr>
            <w:r>
              <w:t>13 April 2021</w:t>
            </w:r>
          </w:p>
        </w:tc>
        <w:tc>
          <w:tcPr>
            <w:tcW w:w="2180" w:type="dxa"/>
          </w:tcPr>
          <w:p w14:paraId="77B949AF" w14:textId="19E55F17" w:rsidR="00685690" w:rsidRPr="00006FAB" w:rsidRDefault="007E11D7" w:rsidP="007E11D7">
            <w:pPr>
              <w:ind w:left="0"/>
            </w:pPr>
            <w:r>
              <w:t>Approved (</w:t>
            </w:r>
            <w:r w:rsidR="00E1027A">
              <w:t>i</w:t>
            </w:r>
            <w:r w:rsidR="008A6716" w:rsidRPr="008A6716">
              <w:t>nterim authorisation</w:t>
            </w:r>
            <w:r>
              <w:t>)</w:t>
            </w:r>
            <w:r w:rsidR="00CF28C4">
              <w:t xml:space="preserve"> on 18 </w:t>
            </w:r>
            <w:r w:rsidR="008A6716">
              <w:t>May 2021</w:t>
            </w:r>
          </w:p>
        </w:tc>
        <w:tc>
          <w:tcPr>
            <w:tcW w:w="2180" w:type="dxa"/>
          </w:tcPr>
          <w:p w14:paraId="1A4CC021" w14:textId="263DEAA1" w:rsidR="00685690" w:rsidRPr="00CF28C4" w:rsidRDefault="00CF28C4" w:rsidP="008A6716">
            <w:pPr>
              <w:ind w:left="0"/>
              <w:rPr>
                <w:i/>
              </w:rPr>
            </w:pPr>
            <w:r w:rsidRPr="00CF28C4">
              <w:rPr>
                <w:i/>
              </w:rPr>
              <w:t>Pfizer-BioNTech COVID-19 Vaccine is authorized for use under an Interim Authorization for active immunization to prevent coronavirus disease 2019 (COVID-19) caused by severe acute respiratory syndrome coronavirus 2 (SARS-CoV-2) in individuals 12 years of age and older.</w:t>
            </w:r>
          </w:p>
        </w:tc>
      </w:tr>
      <w:tr w:rsidR="007E11D7" w14:paraId="56E0DAB3" w14:textId="77777777" w:rsidTr="00006FAB">
        <w:tc>
          <w:tcPr>
            <w:tcW w:w="2180" w:type="dxa"/>
          </w:tcPr>
          <w:p w14:paraId="16754C41" w14:textId="77777777" w:rsidR="00685690" w:rsidRDefault="008A6716" w:rsidP="008A6716">
            <w:pPr>
              <w:ind w:left="0"/>
            </w:pPr>
            <w:r>
              <w:t>European Union</w:t>
            </w:r>
          </w:p>
          <w:p w14:paraId="236EEE0E" w14:textId="67B196C7" w:rsidR="00B9786F" w:rsidRDefault="00B9786F" w:rsidP="008A6716">
            <w:pPr>
              <w:ind w:left="0"/>
            </w:pPr>
            <w:r w:rsidRPr="00B9786F">
              <w:t>(</w:t>
            </w:r>
            <w:r w:rsidR="00C3411D">
              <w:t xml:space="preserve">via the </w:t>
            </w:r>
            <w:r w:rsidRPr="00B9786F">
              <w:t>Centralised Procedure)</w:t>
            </w:r>
          </w:p>
        </w:tc>
        <w:tc>
          <w:tcPr>
            <w:tcW w:w="2180" w:type="dxa"/>
          </w:tcPr>
          <w:p w14:paraId="71AF66E6" w14:textId="0C28D6EC" w:rsidR="00685690" w:rsidRDefault="008A6716" w:rsidP="008A6716">
            <w:pPr>
              <w:ind w:left="0"/>
            </w:pPr>
            <w:r>
              <w:t>30 April 2021</w:t>
            </w:r>
          </w:p>
        </w:tc>
        <w:tc>
          <w:tcPr>
            <w:tcW w:w="2180" w:type="dxa"/>
          </w:tcPr>
          <w:p w14:paraId="0E9E77AF" w14:textId="384CC26D" w:rsidR="00E1027A" w:rsidRDefault="00E1027A" w:rsidP="008A6716">
            <w:pPr>
              <w:ind w:left="0"/>
            </w:pPr>
            <w:r>
              <w:t>Approved (conditional authorisation granted)</w:t>
            </w:r>
          </w:p>
          <w:p w14:paraId="710B8142" w14:textId="365D8C7D" w:rsidR="00685690" w:rsidRPr="00006FAB" w:rsidRDefault="00CF28C4" w:rsidP="008A6716">
            <w:pPr>
              <w:ind w:left="0"/>
            </w:pPr>
            <w:r>
              <w:t>28 </w:t>
            </w:r>
            <w:r w:rsidR="008A6716">
              <w:t>May 2021</w:t>
            </w:r>
          </w:p>
        </w:tc>
        <w:tc>
          <w:tcPr>
            <w:tcW w:w="2180" w:type="dxa"/>
          </w:tcPr>
          <w:p w14:paraId="616ABCFB" w14:textId="655A33A1" w:rsidR="00685690" w:rsidRPr="00CF28C4" w:rsidRDefault="00CF28C4" w:rsidP="00CF28C4">
            <w:pPr>
              <w:ind w:left="0"/>
              <w:rPr>
                <w:i/>
              </w:rPr>
            </w:pPr>
            <w:proofErr w:type="spellStart"/>
            <w:r w:rsidRPr="00CF28C4">
              <w:rPr>
                <w:i/>
              </w:rPr>
              <w:t>Comirnaty</w:t>
            </w:r>
            <w:proofErr w:type="spellEnd"/>
            <w:r w:rsidRPr="00CF28C4">
              <w:rPr>
                <w:i/>
              </w:rPr>
              <w:t xml:space="preserve"> </w:t>
            </w:r>
            <w:proofErr w:type="gramStart"/>
            <w:r w:rsidRPr="00CF28C4">
              <w:rPr>
                <w:i/>
              </w:rPr>
              <w:t>is indicated</w:t>
            </w:r>
            <w:proofErr w:type="gramEnd"/>
            <w:r w:rsidRPr="00CF28C4">
              <w:rPr>
                <w:i/>
              </w:rPr>
              <w:t xml:space="preserve"> for active immunisation to prevent COVID-19 caused by SARS-CoV-2 virus, in individuals 12 years of age and older. The use of this vaccine should be in accordance with official recommendations.</w:t>
            </w:r>
          </w:p>
        </w:tc>
      </w:tr>
      <w:tr w:rsidR="007E11D7" w14:paraId="787FB1AD" w14:textId="77777777" w:rsidTr="002A2E35">
        <w:trPr>
          <w:cantSplit/>
        </w:trPr>
        <w:tc>
          <w:tcPr>
            <w:tcW w:w="2180" w:type="dxa"/>
          </w:tcPr>
          <w:p w14:paraId="2F68DBAD" w14:textId="5F686220" w:rsidR="00685690" w:rsidRDefault="008A6716" w:rsidP="008A6716">
            <w:pPr>
              <w:ind w:left="0"/>
            </w:pPr>
            <w:r>
              <w:t>Switzerland</w:t>
            </w:r>
          </w:p>
        </w:tc>
        <w:tc>
          <w:tcPr>
            <w:tcW w:w="2180" w:type="dxa"/>
          </w:tcPr>
          <w:p w14:paraId="64C03BAF" w14:textId="2F6672A3" w:rsidR="00685690" w:rsidRDefault="008A6716" w:rsidP="008A6716">
            <w:pPr>
              <w:ind w:left="0"/>
            </w:pPr>
            <w:r>
              <w:t>7 May 2021</w:t>
            </w:r>
          </w:p>
        </w:tc>
        <w:tc>
          <w:tcPr>
            <w:tcW w:w="2180" w:type="dxa"/>
          </w:tcPr>
          <w:p w14:paraId="3DBE9F7C" w14:textId="715C37E9" w:rsidR="00685690" w:rsidRPr="00006FAB" w:rsidRDefault="007E11D7" w:rsidP="00CF28C4">
            <w:pPr>
              <w:ind w:left="0"/>
            </w:pPr>
            <w:r>
              <w:t>Approved (</w:t>
            </w:r>
            <w:r w:rsidR="00E1027A">
              <w:t>t</w:t>
            </w:r>
            <w:r>
              <w:t xml:space="preserve">emporary authorisation) </w:t>
            </w:r>
            <w:r w:rsidR="008A6716">
              <w:t>on 4</w:t>
            </w:r>
            <w:r w:rsidR="00CF28C4">
              <w:t> </w:t>
            </w:r>
            <w:r w:rsidR="008A6716">
              <w:t>June 2021</w:t>
            </w:r>
          </w:p>
        </w:tc>
        <w:tc>
          <w:tcPr>
            <w:tcW w:w="2180" w:type="dxa"/>
          </w:tcPr>
          <w:p w14:paraId="54F93C00" w14:textId="085812D8" w:rsidR="00685690" w:rsidRPr="00CF28C4" w:rsidRDefault="00CF28C4" w:rsidP="00CF28C4">
            <w:pPr>
              <w:ind w:left="0"/>
              <w:rPr>
                <w:i/>
              </w:rPr>
            </w:pPr>
            <w:proofErr w:type="spellStart"/>
            <w:r w:rsidRPr="00CF28C4">
              <w:rPr>
                <w:i/>
              </w:rPr>
              <w:t>Comirnaty</w:t>
            </w:r>
            <w:proofErr w:type="spellEnd"/>
            <w:r w:rsidRPr="00CF28C4">
              <w:rPr>
                <w:i/>
              </w:rPr>
              <w:t xml:space="preserve"> </w:t>
            </w:r>
            <w:proofErr w:type="gramStart"/>
            <w:r w:rsidRPr="00CF28C4">
              <w:rPr>
                <w:i/>
              </w:rPr>
              <w:t>is indicated</w:t>
            </w:r>
            <w:proofErr w:type="gramEnd"/>
            <w:r w:rsidRPr="00CF28C4">
              <w:rPr>
                <w:i/>
              </w:rPr>
              <w:t xml:space="preserve"> for active immunisation to prevent COVID-19 caused by SARS-CoV-2 virus, in individuals 12 years of age and older. The use of the </w:t>
            </w:r>
            <w:proofErr w:type="spellStart"/>
            <w:r w:rsidRPr="00CF28C4">
              <w:rPr>
                <w:i/>
              </w:rPr>
              <w:t>Comirnaty</w:t>
            </w:r>
            <w:proofErr w:type="spellEnd"/>
            <w:r w:rsidRPr="00CF28C4">
              <w:rPr>
                <w:i/>
              </w:rPr>
              <w:t xml:space="preserve"> vaccine should be in accordance with official recommendations.</w:t>
            </w:r>
          </w:p>
        </w:tc>
      </w:tr>
      <w:tr w:rsidR="007E11D7" w14:paraId="3D644650" w14:textId="77777777" w:rsidTr="00006FAB">
        <w:tc>
          <w:tcPr>
            <w:tcW w:w="2180" w:type="dxa"/>
          </w:tcPr>
          <w:p w14:paraId="43B18C35" w14:textId="06D9AD8B" w:rsidR="00685690" w:rsidRDefault="008A6716" w:rsidP="008A6716">
            <w:pPr>
              <w:ind w:left="0"/>
            </w:pPr>
            <w:r>
              <w:t>United Kingdom</w:t>
            </w:r>
          </w:p>
        </w:tc>
        <w:tc>
          <w:tcPr>
            <w:tcW w:w="2180" w:type="dxa"/>
          </w:tcPr>
          <w:p w14:paraId="0D5C9809" w14:textId="5D714AC1" w:rsidR="00685690" w:rsidRDefault="008A6716" w:rsidP="008A6716">
            <w:pPr>
              <w:ind w:left="0"/>
            </w:pPr>
            <w:r>
              <w:t>13 April 2021</w:t>
            </w:r>
          </w:p>
        </w:tc>
        <w:tc>
          <w:tcPr>
            <w:tcW w:w="2180" w:type="dxa"/>
          </w:tcPr>
          <w:p w14:paraId="34414F63" w14:textId="3FEDA036" w:rsidR="00685690" w:rsidRPr="00006FAB" w:rsidRDefault="00E1027A" w:rsidP="008A6716">
            <w:pPr>
              <w:ind w:left="0"/>
            </w:pPr>
            <w:r>
              <w:t>Approved (temporary authorisation)</w:t>
            </w:r>
            <w:r w:rsidR="00C3411D">
              <w:t xml:space="preserve"> </w:t>
            </w:r>
            <w:r w:rsidR="008A6716">
              <w:t>4</w:t>
            </w:r>
            <w:r w:rsidR="00C3411D">
              <w:t> </w:t>
            </w:r>
            <w:r w:rsidR="008A6716">
              <w:t>Jun</w:t>
            </w:r>
            <w:r w:rsidR="00C3411D">
              <w:t>e</w:t>
            </w:r>
            <w:r w:rsidR="008A6716">
              <w:t xml:space="preserve"> 2021</w:t>
            </w:r>
          </w:p>
        </w:tc>
        <w:tc>
          <w:tcPr>
            <w:tcW w:w="2180" w:type="dxa"/>
          </w:tcPr>
          <w:p w14:paraId="488F52B2" w14:textId="23645A5F" w:rsidR="00685690" w:rsidRPr="00CF28C4" w:rsidRDefault="00CF28C4" w:rsidP="00CF28C4">
            <w:pPr>
              <w:ind w:left="0"/>
              <w:rPr>
                <w:i/>
              </w:rPr>
            </w:pPr>
            <w:r w:rsidRPr="00CF28C4">
              <w:rPr>
                <w:i/>
              </w:rPr>
              <w:t xml:space="preserve">Active immunisation to prevent COVID-19 caused by SARS-CoV-2 virus, in individuals 12 years of age and older. The use of the </w:t>
            </w:r>
            <w:proofErr w:type="spellStart"/>
            <w:r w:rsidRPr="00CF28C4">
              <w:rPr>
                <w:i/>
              </w:rPr>
              <w:t>Comirnaty</w:t>
            </w:r>
            <w:proofErr w:type="spellEnd"/>
            <w:r w:rsidRPr="00CF28C4">
              <w:rPr>
                <w:i/>
              </w:rPr>
              <w:t xml:space="preserve"> vaccine should be in accordance with official recommendations.</w:t>
            </w:r>
          </w:p>
        </w:tc>
      </w:tr>
      <w:tr w:rsidR="007E11D7" w14:paraId="5CED4963" w14:textId="77777777" w:rsidTr="00006FAB">
        <w:tc>
          <w:tcPr>
            <w:tcW w:w="2180" w:type="dxa"/>
          </w:tcPr>
          <w:p w14:paraId="0487258E" w14:textId="2E021E1E" w:rsidR="008A6716" w:rsidRDefault="008A6716" w:rsidP="008A6716">
            <w:pPr>
              <w:ind w:left="0"/>
            </w:pPr>
            <w:r>
              <w:t>New Zealand</w:t>
            </w:r>
          </w:p>
        </w:tc>
        <w:tc>
          <w:tcPr>
            <w:tcW w:w="2180" w:type="dxa"/>
          </w:tcPr>
          <w:p w14:paraId="4FB866AB" w14:textId="259DF6CA" w:rsidR="008A6716" w:rsidRDefault="008A6716" w:rsidP="008A6716">
            <w:pPr>
              <w:ind w:left="0"/>
            </w:pPr>
            <w:r>
              <w:t>24 May 2021</w:t>
            </w:r>
          </w:p>
        </w:tc>
        <w:tc>
          <w:tcPr>
            <w:tcW w:w="2180" w:type="dxa"/>
          </w:tcPr>
          <w:p w14:paraId="70477CCB" w14:textId="2E41640C" w:rsidR="008A6716" w:rsidRPr="00006FAB" w:rsidRDefault="008A6716" w:rsidP="008A6716">
            <w:pPr>
              <w:ind w:left="0"/>
            </w:pPr>
            <w:r>
              <w:t>Under consideration</w:t>
            </w:r>
          </w:p>
        </w:tc>
        <w:tc>
          <w:tcPr>
            <w:tcW w:w="2180" w:type="dxa"/>
          </w:tcPr>
          <w:p w14:paraId="018B6D50" w14:textId="3C97564E" w:rsidR="008A6716" w:rsidRPr="00006FAB" w:rsidRDefault="008A6716" w:rsidP="008A6716">
            <w:pPr>
              <w:ind w:left="0"/>
            </w:pPr>
            <w:r>
              <w:t>Under consideration</w:t>
            </w:r>
          </w:p>
        </w:tc>
      </w:tr>
    </w:tbl>
    <w:p w14:paraId="2571B819" w14:textId="77777777" w:rsidR="008E7846" w:rsidRDefault="008E7846" w:rsidP="00940A89">
      <w:pPr>
        <w:pStyle w:val="Heading3"/>
      </w:pPr>
      <w:bookmarkStart w:id="21" w:name="_Toc77866291"/>
      <w:r>
        <w:t>Product Information</w:t>
      </w:r>
      <w:bookmarkEnd w:id="19"/>
      <w:bookmarkEnd w:id="20"/>
      <w:bookmarkEnd w:id="21"/>
    </w:p>
    <w:p w14:paraId="16B06695" w14:textId="35B8FD79" w:rsidR="00940A89" w:rsidRDefault="006136D7" w:rsidP="00940A89">
      <w:bookmarkStart w:id="22" w:name="_Toc247691506"/>
      <w:bookmarkStart w:id="23" w:name="_Toc314842487"/>
      <w:r w:rsidRPr="00940A89">
        <w:t xml:space="preserve">The Product Information (PI) </w:t>
      </w:r>
      <w:r>
        <w:t xml:space="preserve">approved with the </w:t>
      </w:r>
      <w:proofErr w:type="gramStart"/>
      <w:r>
        <w:t xml:space="preserve">submission which is described in </w:t>
      </w:r>
      <w:r w:rsidRPr="00940A89">
        <w:t>this AusPAR</w:t>
      </w:r>
      <w:proofErr w:type="gram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6" w:history="1">
        <w:r w:rsidR="00441C3F" w:rsidRPr="00441C3F">
          <w:rPr>
            <w:rStyle w:val="Hyperlink"/>
          </w:rPr>
          <w:t>https://www.tga.gov.au/product-information-pi</w:t>
        </w:r>
      </w:hyperlink>
      <w:r w:rsidR="00441C3F">
        <w:t>&gt;</w:t>
      </w:r>
      <w:r w:rsidR="00940A89" w:rsidRPr="00940A89">
        <w:t>.</w:t>
      </w:r>
    </w:p>
    <w:p w14:paraId="53DA5D42" w14:textId="77777777" w:rsidR="00500337" w:rsidRDefault="00500337" w:rsidP="00500337">
      <w:pPr>
        <w:pStyle w:val="Heading2"/>
      </w:pPr>
      <w:bookmarkStart w:id="24" w:name="_Toc504480011"/>
      <w:bookmarkStart w:id="25" w:name="_Toc77866292"/>
      <w:r>
        <w:t>II. Registration timeline</w:t>
      </w:r>
      <w:bookmarkEnd w:id="24"/>
      <w:bookmarkEnd w:id="25"/>
    </w:p>
    <w:p w14:paraId="7B389439" w14:textId="1DA31C27" w:rsidR="00500337" w:rsidRDefault="00500337" w:rsidP="00500337">
      <w:r>
        <w:t xml:space="preserve">The following table captures the key steps and dates for this application and which </w:t>
      </w:r>
      <w:proofErr w:type="gramStart"/>
      <w:r>
        <w:t>are detailed and discussed in this AusPAR</w:t>
      </w:r>
      <w:proofErr w:type="gramEnd"/>
      <w:r>
        <w:t>.</w:t>
      </w:r>
    </w:p>
    <w:p w14:paraId="157BD086" w14:textId="0108257D" w:rsidR="00D67C90" w:rsidRDefault="007D1492" w:rsidP="00500337">
      <w:r>
        <w:t xml:space="preserve">Data </w:t>
      </w:r>
      <w:proofErr w:type="gramStart"/>
      <w:r>
        <w:t>was</w:t>
      </w:r>
      <w:r w:rsidR="00D67C90" w:rsidRPr="00D67C90">
        <w:t xml:space="preserve"> provided</w:t>
      </w:r>
      <w:proofErr w:type="gramEnd"/>
      <w:r w:rsidR="00D67C90" w:rsidRPr="00D67C90">
        <w:t xml:space="preserve"> as a rolling submission. Under normal circumstances, TGA's assessment (for both provisional and general registration) begins once all information to support registration is available. As part of the Department of Health's response to the pandemic, the TGA has agreed to accept rolling data for COVID-19 vaccines, to enable early evaluation of data as it comes to hand.</w:t>
      </w:r>
    </w:p>
    <w:p w14:paraId="27A63045" w14:textId="1761AD67" w:rsidR="00500337" w:rsidRDefault="006A58A8" w:rsidP="00DD3F00">
      <w:pPr>
        <w:pStyle w:val="TableTitle"/>
      </w:pPr>
      <w:r w:rsidRPr="006A58A8">
        <w:t xml:space="preserve">Table </w:t>
      </w:r>
      <w:r w:rsidR="00324E45">
        <w:t>2</w:t>
      </w:r>
      <w:r w:rsidR="00006FAB">
        <w:t>:</w:t>
      </w:r>
      <w:r w:rsidRPr="006A58A8">
        <w:t xml:space="preserve"> Timeline for Submission PM-20</w:t>
      </w:r>
      <w:r w:rsidR="00324E45">
        <w:t>2</w:t>
      </w:r>
      <w:r w:rsidR="00DD3F00">
        <w:t>1-02187-1-2</w:t>
      </w:r>
    </w:p>
    <w:tbl>
      <w:tblPr>
        <w:tblStyle w:val="TableTGAblue"/>
        <w:tblW w:w="0" w:type="auto"/>
        <w:tblLook w:val="04A0" w:firstRow="1" w:lastRow="0" w:firstColumn="1" w:lastColumn="0" w:noHBand="0" w:noVBand="1"/>
      </w:tblPr>
      <w:tblGrid>
        <w:gridCol w:w="4255"/>
        <w:gridCol w:w="4239"/>
      </w:tblGrid>
      <w:tr w:rsidR="00500337" w:rsidRPr="00060AD1" w14:paraId="52237918" w14:textId="77777777" w:rsidTr="00060AD1">
        <w:trPr>
          <w:cnfStyle w:val="100000000000" w:firstRow="1" w:lastRow="0" w:firstColumn="0" w:lastColumn="0" w:oddVBand="0" w:evenVBand="0" w:oddHBand="0" w:evenHBand="0" w:firstRowFirstColumn="0" w:firstRowLastColumn="0" w:lastRowFirstColumn="0" w:lastRowLastColumn="0"/>
          <w:cantSplit/>
        </w:trPr>
        <w:tc>
          <w:tcPr>
            <w:tcW w:w="4255" w:type="dxa"/>
            <w:tcBorders>
              <w:top w:val="single" w:sz="4" w:space="0" w:color="auto"/>
              <w:left w:val="single" w:sz="4" w:space="0" w:color="auto"/>
              <w:bottom w:val="single" w:sz="4" w:space="0" w:color="auto"/>
              <w:right w:val="single" w:sz="4" w:space="0" w:color="auto"/>
            </w:tcBorders>
          </w:tcPr>
          <w:p w14:paraId="2D9682B6" w14:textId="77777777" w:rsidR="00500337" w:rsidRPr="00060AD1" w:rsidRDefault="00500337" w:rsidP="00500337">
            <w:pPr>
              <w:ind w:left="0" w:right="0"/>
            </w:pPr>
            <w:r w:rsidRPr="00060AD1">
              <w:t>Description</w:t>
            </w:r>
          </w:p>
        </w:tc>
        <w:tc>
          <w:tcPr>
            <w:tcW w:w="4239" w:type="dxa"/>
            <w:tcBorders>
              <w:top w:val="single" w:sz="4" w:space="0" w:color="auto"/>
              <w:left w:val="single" w:sz="4" w:space="0" w:color="auto"/>
              <w:bottom w:val="single" w:sz="4" w:space="0" w:color="auto"/>
              <w:right w:val="single" w:sz="4" w:space="0" w:color="auto"/>
            </w:tcBorders>
          </w:tcPr>
          <w:p w14:paraId="02214A13" w14:textId="77777777" w:rsidR="00500337" w:rsidRPr="00060AD1" w:rsidRDefault="00500337" w:rsidP="00500337">
            <w:pPr>
              <w:ind w:left="0" w:right="0"/>
            </w:pPr>
            <w:r w:rsidRPr="00060AD1">
              <w:t>Date</w:t>
            </w:r>
          </w:p>
        </w:tc>
      </w:tr>
      <w:tr w:rsidR="00500337" w:rsidRPr="00060AD1" w14:paraId="002070CB" w14:textId="77777777" w:rsidTr="00060AD1">
        <w:tc>
          <w:tcPr>
            <w:tcW w:w="4255" w:type="dxa"/>
            <w:tcBorders>
              <w:top w:val="single" w:sz="4" w:space="0" w:color="auto"/>
            </w:tcBorders>
          </w:tcPr>
          <w:p w14:paraId="35E95E6B" w14:textId="77D36811" w:rsidR="00500337" w:rsidRPr="00060AD1" w:rsidRDefault="00500337" w:rsidP="00DD3F00">
            <w:pPr>
              <w:ind w:left="0" w:right="0"/>
            </w:pPr>
            <w:r w:rsidRPr="00060AD1">
              <w:t>Designation (Provisional)</w:t>
            </w:r>
            <w:r w:rsidR="00A237BB" w:rsidRPr="00060AD1">
              <w:rPr>
                <w:rStyle w:val="FootnoteReference"/>
              </w:rPr>
              <w:footnoteReference w:id="8"/>
            </w:r>
          </w:p>
        </w:tc>
        <w:tc>
          <w:tcPr>
            <w:tcW w:w="4239" w:type="dxa"/>
            <w:tcBorders>
              <w:top w:val="single" w:sz="4" w:space="0" w:color="auto"/>
            </w:tcBorders>
          </w:tcPr>
          <w:p w14:paraId="54D81167" w14:textId="46E4722E" w:rsidR="00500337" w:rsidRPr="00060AD1" w:rsidRDefault="00DD3F00" w:rsidP="00500337">
            <w:pPr>
              <w:ind w:left="0" w:right="0"/>
            </w:pPr>
            <w:r w:rsidRPr="00060AD1">
              <w:t>11 May 2021</w:t>
            </w:r>
          </w:p>
        </w:tc>
      </w:tr>
      <w:tr w:rsidR="00500337" w:rsidRPr="00060AD1" w14:paraId="52D64A79" w14:textId="77777777" w:rsidTr="00060AD1">
        <w:tc>
          <w:tcPr>
            <w:tcW w:w="4255" w:type="dxa"/>
          </w:tcPr>
          <w:p w14:paraId="7793BD16" w14:textId="62BAFBAE" w:rsidR="00500337" w:rsidRPr="00060AD1" w:rsidRDefault="00060AD1" w:rsidP="00060AD1">
            <w:pPr>
              <w:ind w:left="0" w:right="0"/>
            </w:pPr>
            <w:r>
              <w:t>Submission dossier accepted</w:t>
            </w:r>
          </w:p>
        </w:tc>
        <w:tc>
          <w:tcPr>
            <w:tcW w:w="4239" w:type="dxa"/>
          </w:tcPr>
          <w:p w14:paraId="79C9EEAD" w14:textId="4938A879" w:rsidR="00500337" w:rsidRPr="00060AD1" w:rsidRDefault="00DD3F00" w:rsidP="00500337">
            <w:pPr>
              <w:ind w:left="0" w:right="0"/>
            </w:pPr>
            <w:r w:rsidRPr="00060AD1">
              <w:t>8 June 2021</w:t>
            </w:r>
          </w:p>
        </w:tc>
      </w:tr>
      <w:tr w:rsidR="00500337" w:rsidRPr="00060AD1" w14:paraId="65F5FA3D" w14:textId="77777777" w:rsidTr="00060AD1">
        <w:tc>
          <w:tcPr>
            <w:tcW w:w="4255" w:type="dxa"/>
          </w:tcPr>
          <w:p w14:paraId="01F3E5E4" w14:textId="60636E8B" w:rsidR="00500337" w:rsidRPr="00060AD1" w:rsidRDefault="00060AD1" w:rsidP="00500337">
            <w:pPr>
              <w:ind w:left="0" w:right="0"/>
            </w:pPr>
            <w:r>
              <w:t>E</w:t>
            </w:r>
            <w:r w:rsidR="00500337" w:rsidRPr="00060AD1">
              <w:t>valuation completed</w:t>
            </w:r>
          </w:p>
        </w:tc>
        <w:tc>
          <w:tcPr>
            <w:tcW w:w="4239" w:type="dxa"/>
          </w:tcPr>
          <w:p w14:paraId="04C71ED1" w14:textId="64CF9B3D" w:rsidR="00500337" w:rsidRPr="00060AD1" w:rsidRDefault="00060AD1" w:rsidP="00500337">
            <w:pPr>
              <w:ind w:left="0" w:right="0"/>
            </w:pPr>
            <w:r>
              <w:t>11June 2021</w:t>
            </w:r>
          </w:p>
        </w:tc>
      </w:tr>
      <w:tr w:rsidR="00500337" w:rsidRPr="00060AD1" w14:paraId="78DAAA76" w14:textId="77777777" w:rsidTr="00060AD1">
        <w:tc>
          <w:tcPr>
            <w:tcW w:w="4255" w:type="dxa"/>
          </w:tcPr>
          <w:p w14:paraId="2ABA82F1" w14:textId="5B1E1024" w:rsidR="00500337" w:rsidRPr="00060AD1" w:rsidRDefault="00324E45" w:rsidP="00DD3F00">
            <w:pPr>
              <w:ind w:left="0" w:right="0"/>
            </w:pPr>
            <w:r w:rsidRPr="00060AD1">
              <w:rPr>
                <w:color w:val="auto"/>
              </w:rPr>
              <w:t>Delegate’s Overall benefit-risk assessment and request</w:t>
            </w:r>
            <w:r w:rsidR="00DD3F00" w:rsidRPr="00060AD1">
              <w:rPr>
                <w:color w:val="auto"/>
              </w:rPr>
              <w:t xml:space="preserve"> for Advisory Committee advice</w:t>
            </w:r>
          </w:p>
        </w:tc>
        <w:tc>
          <w:tcPr>
            <w:tcW w:w="4239" w:type="dxa"/>
          </w:tcPr>
          <w:p w14:paraId="503E15E4" w14:textId="4F93EA75" w:rsidR="00500337" w:rsidRPr="00060AD1" w:rsidRDefault="00DD3F00" w:rsidP="00500337">
            <w:pPr>
              <w:ind w:left="0" w:right="0"/>
            </w:pPr>
            <w:r w:rsidRPr="00060AD1">
              <w:t>11 June 2021</w:t>
            </w:r>
          </w:p>
        </w:tc>
      </w:tr>
      <w:tr w:rsidR="00500337" w:rsidRPr="00060AD1" w14:paraId="66EADCBB" w14:textId="77777777" w:rsidTr="00060AD1">
        <w:tc>
          <w:tcPr>
            <w:tcW w:w="4255" w:type="dxa"/>
          </w:tcPr>
          <w:p w14:paraId="77CA5A83" w14:textId="77777777" w:rsidR="00500337" w:rsidRPr="00060AD1" w:rsidRDefault="00500337" w:rsidP="00500337">
            <w:pPr>
              <w:ind w:left="0" w:right="0"/>
            </w:pPr>
            <w:r w:rsidRPr="00060AD1">
              <w:t>Sponsor’s pre-Advisory Committee response</w:t>
            </w:r>
          </w:p>
        </w:tc>
        <w:tc>
          <w:tcPr>
            <w:tcW w:w="4239" w:type="dxa"/>
          </w:tcPr>
          <w:p w14:paraId="28FF584A" w14:textId="193F2C55" w:rsidR="00500337" w:rsidRPr="00060AD1" w:rsidRDefault="00DD3F00" w:rsidP="00500337">
            <w:pPr>
              <w:ind w:left="0" w:right="0"/>
            </w:pPr>
            <w:r w:rsidRPr="00060AD1">
              <w:t>15 June 2021</w:t>
            </w:r>
          </w:p>
        </w:tc>
      </w:tr>
      <w:tr w:rsidR="00500337" w:rsidRPr="00060AD1" w14:paraId="4B5D2EC5" w14:textId="77777777" w:rsidTr="00060AD1">
        <w:tc>
          <w:tcPr>
            <w:tcW w:w="4255" w:type="dxa"/>
          </w:tcPr>
          <w:p w14:paraId="5B22E792" w14:textId="77777777" w:rsidR="00500337" w:rsidRPr="00060AD1" w:rsidRDefault="00500337" w:rsidP="00500337">
            <w:pPr>
              <w:ind w:left="0" w:right="0"/>
            </w:pPr>
            <w:r w:rsidRPr="00060AD1">
              <w:t>Advisory Committee meeting</w:t>
            </w:r>
          </w:p>
        </w:tc>
        <w:tc>
          <w:tcPr>
            <w:tcW w:w="4239" w:type="dxa"/>
          </w:tcPr>
          <w:p w14:paraId="651AAC9F" w14:textId="728126DA" w:rsidR="00500337" w:rsidRPr="00060AD1" w:rsidRDefault="00DD3F00" w:rsidP="00500337">
            <w:pPr>
              <w:ind w:left="0" w:right="0"/>
            </w:pPr>
            <w:r w:rsidRPr="00060AD1">
              <w:t>16 June 2021</w:t>
            </w:r>
            <w:r w:rsidR="00C10B11" w:rsidRPr="00060AD1">
              <w:t>, adjourned to 5 July 2021.</w:t>
            </w:r>
          </w:p>
        </w:tc>
      </w:tr>
      <w:tr w:rsidR="00500337" w:rsidRPr="00060AD1" w14:paraId="7CFEF998" w14:textId="77777777" w:rsidTr="00060AD1">
        <w:tc>
          <w:tcPr>
            <w:tcW w:w="4255" w:type="dxa"/>
          </w:tcPr>
          <w:p w14:paraId="50D821B1" w14:textId="77777777" w:rsidR="00500337" w:rsidRPr="004262E0" w:rsidRDefault="00500337" w:rsidP="00500337">
            <w:pPr>
              <w:ind w:left="0" w:right="0"/>
            </w:pPr>
            <w:r w:rsidRPr="004262E0">
              <w:t>Registration decision (Outcome)</w:t>
            </w:r>
          </w:p>
        </w:tc>
        <w:tc>
          <w:tcPr>
            <w:tcW w:w="4239" w:type="dxa"/>
          </w:tcPr>
          <w:p w14:paraId="0E91733F" w14:textId="5668FB31" w:rsidR="00500337" w:rsidRPr="00060AD1" w:rsidRDefault="007B6181" w:rsidP="00500337">
            <w:pPr>
              <w:ind w:left="0" w:right="0"/>
            </w:pPr>
            <w:r>
              <w:t>2</w:t>
            </w:r>
            <w:r w:rsidR="000F6D3C">
              <w:t>2</w:t>
            </w:r>
            <w:r>
              <w:t xml:space="preserve"> July 2021</w:t>
            </w:r>
          </w:p>
        </w:tc>
      </w:tr>
      <w:tr w:rsidR="00500337" w:rsidRPr="00060AD1" w14:paraId="3B5302F1" w14:textId="77777777" w:rsidTr="00060AD1">
        <w:tc>
          <w:tcPr>
            <w:tcW w:w="4255" w:type="dxa"/>
          </w:tcPr>
          <w:p w14:paraId="5CBA47E2" w14:textId="77777777" w:rsidR="00500337" w:rsidRPr="004262E0" w:rsidRDefault="00500337" w:rsidP="00500337">
            <w:pPr>
              <w:ind w:left="0" w:right="0"/>
            </w:pPr>
            <w:r w:rsidRPr="004262E0">
              <w:t xml:space="preserve">Completion of administrative activities and registration on </w:t>
            </w:r>
            <w:r w:rsidR="00006FAB" w:rsidRPr="004262E0">
              <w:t xml:space="preserve">the </w:t>
            </w:r>
            <w:r w:rsidRPr="004262E0">
              <w:t>ARTG</w:t>
            </w:r>
          </w:p>
        </w:tc>
        <w:tc>
          <w:tcPr>
            <w:tcW w:w="4239" w:type="dxa"/>
          </w:tcPr>
          <w:p w14:paraId="7164991E" w14:textId="25A4C958" w:rsidR="00500337" w:rsidRPr="00060AD1" w:rsidRDefault="007B6181" w:rsidP="00500337">
            <w:pPr>
              <w:ind w:left="0" w:right="0"/>
            </w:pPr>
            <w:r>
              <w:t>2</w:t>
            </w:r>
            <w:r w:rsidR="00352D4E">
              <w:t>3</w:t>
            </w:r>
            <w:bookmarkStart w:id="26" w:name="_GoBack"/>
            <w:bookmarkEnd w:id="26"/>
            <w:r>
              <w:t xml:space="preserve"> July 2021</w:t>
            </w:r>
          </w:p>
        </w:tc>
      </w:tr>
      <w:tr w:rsidR="00500337" w14:paraId="1938059C" w14:textId="77777777" w:rsidTr="00060AD1">
        <w:tc>
          <w:tcPr>
            <w:tcW w:w="4255" w:type="dxa"/>
          </w:tcPr>
          <w:p w14:paraId="7AA4B8E1" w14:textId="77777777" w:rsidR="00500337" w:rsidRPr="004262E0" w:rsidRDefault="00500337" w:rsidP="00500337">
            <w:pPr>
              <w:ind w:left="0" w:right="0"/>
            </w:pPr>
            <w:r w:rsidRPr="004262E0">
              <w:t>Number of working days from submission dossier acceptance to registration decision*</w:t>
            </w:r>
          </w:p>
        </w:tc>
        <w:tc>
          <w:tcPr>
            <w:tcW w:w="4239" w:type="dxa"/>
          </w:tcPr>
          <w:p w14:paraId="1C558E12" w14:textId="14C43813" w:rsidR="00500337" w:rsidRDefault="009B2362" w:rsidP="00500337">
            <w:pPr>
              <w:ind w:left="0" w:right="0"/>
            </w:pPr>
            <w:r>
              <w:t>3</w:t>
            </w:r>
            <w:r w:rsidR="000F6D3C">
              <w:t>2</w:t>
            </w:r>
          </w:p>
        </w:tc>
      </w:tr>
    </w:tbl>
    <w:p w14:paraId="7160863D" w14:textId="628DAEAC" w:rsidR="00500337" w:rsidRDefault="00500337" w:rsidP="00500337">
      <w:pPr>
        <w:pStyle w:val="TableDescription"/>
      </w:pPr>
      <w:r>
        <w:t>*</w:t>
      </w:r>
      <w:r w:rsidR="006603BC" w:rsidRPr="006603BC">
        <w:t>Statutory timeframe for standard applications is 255 working days</w:t>
      </w:r>
    </w:p>
    <w:p w14:paraId="1F0AB4D8" w14:textId="77777777" w:rsidR="008E7846" w:rsidRPr="00792A32" w:rsidRDefault="00456765" w:rsidP="008E7846">
      <w:pPr>
        <w:pStyle w:val="Heading2"/>
      </w:pPr>
      <w:bookmarkStart w:id="27" w:name="_Toc196046504"/>
      <w:bookmarkStart w:id="28" w:name="_Toc247691527"/>
      <w:bookmarkStart w:id="29" w:name="_Toc314842510"/>
      <w:bookmarkStart w:id="30" w:name="_Toc77866293"/>
      <w:bookmarkStart w:id="31" w:name="_Toc163441390"/>
      <w:bookmarkEnd w:id="22"/>
      <w:bookmarkEnd w:id="23"/>
      <w:bookmarkEnd w:id="1"/>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7"/>
      <w:bookmarkEnd w:id="28"/>
      <w:bookmarkEnd w:id="29"/>
      <w:bookmarkEnd w:id="30"/>
    </w:p>
    <w:p w14:paraId="78C87E7C" w14:textId="77777777" w:rsidR="00006FAB" w:rsidRDefault="00006FAB" w:rsidP="00006FAB">
      <w:bookmarkStart w:id="32" w:name="_Toc247691528"/>
      <w:r>
        <w:t>The submission was summarised in the following Delegate’s overview and recommendations.</w:t>
      </w:r>
    </w:p>
    <w:p w14:paraId="2DC15F5E" w14:textId="62CA8AC1" w:rsidR="00E1027A" w:rsidRDefault="00E1027A" w:rsidP="00E1027A">
      <w:bookmarkStart w:id="33" w:name="_Toc314842511"/>
      <w:r w:rsidRPr="00E1027A">
        <w:t>The Delegate referenced the following guidelines:</w:t>
      </w:r>
    </w:p>
    <w:p w14:paraId="4E0E4453" w14:textId="10D017D2" w:rsidR="00E1027A" w:rsidRDefault="00E1027A" w:rsidP="00E1027A">
      <w:pPr>
        <w:pStyle w:val="ListBullet"/>
      </w:pPr>
      <w:r w:rsidRPr="000748F6">
        <w:t>European Medicines Agency (EMA) Guideline on Clinical Evaluation of New Vaccines</w:t>
      </w:r>
      <w:r w:rsidR="00647A5E">
        <w:t>.</w:t>
      </w:r>
      <w:r>
        <w:rPr>
          <w:rStyle w:val="FootnoteReference"/>
        </w:rPr>
        <w:footnoteReference w:id="9"/>
      </w:r>
    </w:p>
    <w:p w14:paraId="0A253BA3" w14:textId="40F612C6" w:rsidR="00E1027A" w:rsidRDefault="00E1027A" w:rsidP="00E1027A">
      <w:pPr>
        <w:pStyle w:val="ListBullet"/>
      </w:pPr>
      <w:r w:rsidRPr="000748F6">
        <w:t>Access Consortium statement on COVID-19 vaccines evidence</w:t>
      </w:r>
      <w:proofErr w:type="gramStart"/>
      <w:r w:rsidR="00647A5E">
        <w:t>.</w:t>
      </w:r>
      <w:bookmarkStart w:id="34" w:name="_Ref74648387"/>
      <w:r>
        <w:rPr>
          <w:rStyle w:val="FootnoteReference"/>
        </w:rPr>
        <w:footnoteReference w:id="10"/>
      </w:r>
      <w:bookmarkEnd w:id="34"/>
      <w:r w:rsidRPr="00E1027A">
        <w:rPr>
          <w:vertAlign w:val="superscript"/>
        </w:rPr>
        <w:t>,</w:t>
      </w:r>
      <w:proofErr w:type="gramEnd"/>
      <w:r>
        <w:rPr>
          <w:rStyle w:val="FootnoteReference"/>
        </w:rPr>
        <w:footnoteReference w:id="11"/>
      </w:r>
    </w:p>
    <w:p w14:paraId="7B949C85" w14:textId="14E0DC68" w:rsidR="00E1027A" w:rsidRPr="00781664" w:rsidRDefault="00DA12A4" w:rsidP="00E1027A">
      <w:pPr>
        <w:pStyle w:val="ListBullet"/>
      </w:pPr>
      <w:r>
        <w:t xml:space="preserve">United States of America (USA) </w:t>
      </w:r>
      <w:hyperlink r:id="rId17" w:history="1">
        <w:r w:rsidR="00E1027A">
          <w:t>Food and Drug Administration (FDA)</w:t>
        </w:r>
        <w:r w:rsidR="000B4E5F">
          <w:t>,</w:t>
        </w:r>
        <w:r w:rsidR="00E1027A">
          <w:rPr>
            <w:rStyle w:val="Hyperlink"/>
            <w:color w:val="auto"/>
            <w:u w:val="none"/>
          </w:rPr>
          <w:t xml:space="preserve"> D</w:t>
        </w:r>
        <w:r w:rsidR="00E1027A" w:rsidRPr="002270A2">
          <w:rPr>
            <w:rStyle w:val="Hyperlink"/>
            <w:color w:val="auto"/>
            <w:u w:val="none"/>
          </w:rPr>
          <w:t>evelopment and Licensure of Vaccines to Prevent COVID-19, Guidance for Industry</w:t>
        </w:r>
      </w:hyperlink>
      <w:r w:rsidR="00E1027A" w:rsidRPr="00781664">
        <w:t xml:space="preserve"> (Section VI: P</w:t>
      </w:r>
      <w:r w:rsidR="00E1027A">
        <w:t>ost-Licensure Safety Evaluation – Key Considerations</w:t>
      </w:r>
      <w:r w:rsidR="00E1027A" w:rsidRPr="00781664">
        <w:t>)</w:t>
      </w:r>
      <w:r w:rsidR="00647A5E">
        <w:t>.</w:t>
      </w:r>
      <w:r w:rsidR="00E1027A">
        <w:rPr>
          <w:rStyle w:val="FootnoteReference"/>
        </w:rPr>
        <w:footnoteReference w:id="12"/>
      </w:r>
    </w:p>
    <w:p w14:paraId="0F458F95" w14:textId="11744645" w:rsidR="00E1027A" w:rsidRPr="002270A2" w:rsidRDefault="00352D4E" w:rsidP="00E1027A">
      <w:pPr>
        <w:pStyle w:val="ListBullet"/>
        <w:rPr>
          <w:rStyle w:val="Hyperlink"/>
          <w:color w:val="auto"/>
          <w:u w:val="none"/>
        </w:rPr>
      </w:pPr>
      <w:hyperlink r:id="rId18" w:history="1">
        <w:r w:rsidR="00E1027A" w:rsidRPr="002270A2">
          <w:rPr>
            <w:rStyle w:val="Hyperlink"/>
            <w:color w:val="auto"/>
            <w:u w:val="none"/>
          </w:rPr>
          <w:t>FDA Emergency Use Authori</w:t>
        </w:r>
        <w:r w:rsidR="00333E93">
          <w:rPr>
            <w:rStyle w:val="Hyperlink"/>
            <w:color w:val="auto"/>
            <w:u w:val="none"/>
          </w:rPr>
          <w:t>s</w:t>
        </w:r>
        <w:r w:rsidR="00E1027A" w:rsidRPr="002270A2">
          <w:rPr>
            <w:rStyle w:val="Hyperlink"/>
            <w:color w:val="auto"/>
            <w:u w:val="none"/>
          </w:rPr>
          <w:t>ation for Vaccines to Prevent COVID-19, Guidance for Industry</w:t>
        </w:r>
      </w:hyperlink>
      <w:r w:rsidR="00647A5E">
        <w:rPr>
          <w:rStyle w:val="Hyperlink"/>
          <w:color w:val="auto"/>
          <w:u w:val="none"/>
        </w:rPr>
        <w:t>.</w:t>
      </w:r>
      <w:r w:rsidR="00B16A37">
        <w:rPr>
          <w:rStyle w:val="FootnoteReference"/>
        </w:rPr>
        <w:footnoteReference w:id="13"/>
      </w:r>
    </w:p>
    <w:p w14:paraId="0F39EBB4" w14:textId="23DCA58C" w:rsidR="00E1027A" w:rsidRDefault="00E1027A" w:rsidP="00E1027A">
      <w:pPr>
        <w:pStyle w:val="ListBullet"/>
      </w:pPr>
      <w:r>
        <w:t>EMA considerations on COVID-19 vaccine approval.</w:t>
      </w:r>
      <w:bookmarkStart w:id="35" w:name="_Ref74648461"/>
      <w:r w:rsidR="00B16A37">
        <w:rPr>
          <w:rStyle w:val="FootnoteReference"/>
        </w:rPr>
        <w:footnoteReference w:id="14"/>
      </w:r>
      <w:bookmarkEnd w:id="35"/>
    </w:p>
    <w:p w14:paraId="4D5B29E5" w14:textId="781737B7" w:rsidR="008E7846" w:rsidRDefault="008E7846" w:rsidP="008E7846">
      <w:pPr>
        <w:pStyle w:val="Heading3"/>
      </w:pPr>
      <w:bookmarkStart w:id="36" w:name="_Toc77866294"/>
      <w:r>
        <w:t>Quality</w:t>
      </w:r>
      <w:bookmarkEnd w:id="32"/>
      <w:bookmarkEnd w:id="33"/>
      <w:bookmarkEnd w:id="36"/>
    </w:p>
    <w:p w14:paraId="1F87841B" w14:textId="77777777" w:rsidR="00E45619" w:rsidRDefault="00006FAB" w:rsidP="00006FAB">
      <w:r>
        <w:t>There was no requirement for a quality evaluation in a submission of this type.</w:t>
      </w:r>
    </w:p>
    <w:p w14:paraId="2CE3C558" w14:textId="77777777" w:rsidR="008E7846" w:rsidRDefault="008E7846" w:rsidP="008E7846">
      <w:pPr>
        <w:pStyle w:val="Heading3"/>
      </w:pPr>
      <w:bookmarkStart w:id="37" w:name="_Toc314842512"/>
      <w:bookmarkStart w:id="38" w:name="_Toc77866295"/>
      <w:r>
        <w:t>Nonclinical</w:t>
      </w:r>
      <w:bookmarkEnd w:id="37"/>
      <w:bookmarkEnd w:id="38"/>
    </w:p>
    <w:p w14:paraId="66B344E4" w14:textId="77777777" w:rsidR="008E7846" w:rsidRDefault="00006FAB" w:rsidP="00006FAB">
      <w:r>
        <w:t>There was no requirement for a nonclinical evaluation in a submission of this type.</w:t>
      </w:r>
    </w:p>
    <w:p w14:paraId="0666CC3A" w14:textId="77777777" w:rsidR="008E7846" w:rsidRDefault="008E7846" w:rsidP="008E7846">
      <w:pPr>
        <w:pStyle w:val="Heading3"/>
      </w:pPr>
      <w:bookmarkStart w:id="39" w:name="_Toc247691530"/>
      <w:bookmarkStart w:id="40" w:name="_Toc314842513"/>
      <w:bookmarkStart w:id="41" w:name="_Toc77866296"/>
      <w:r>
        <w:t>Clinical</w:t>
      </w:r>
      <w:bookmarkEnd w:id="39"/>
      <w:bookmarkEnd w:id="40"/>
      <w:bookmarkEnd w:id="41"/>
    </w:p>
    <w:p w14:paraId="6F2EF185" w14:textId="58ED800C" w:rsidR="00601C1F" w:rsidRPr="00DA12A4" w:rsidRDefault="00601C1F" w:rsidP="00DA12A4">
      <w:bookmarkStart w:id="42" w:name="_Toc314842514"/>
      <w:r w:rsidRPr="00DA12A4">
        <w:t>The</w:t>
      </w:r>
      <w:r w:rsidR="00006FAB" w:rsidRPr="00DA12A4">
        <w:t xml:space="preserve"> clinical dos</w:t>
      </w:r>
      <w:r w:rsidR="00E30AC3" w:rsidRPr="00DA12A4">
        <w:t>sier consisted of clinical study report for Study C4591001.</w:t>
      </w:r>
    </w:p>
    <w:p w14:paraId="3A2F783F" w14:textId="33F814A4" w:rsidR="00E30AC3" w:rsidRPr="00DA12A4" w:rsidRDefault="00E30AC3" w:rsidP="0018264C">
      <w:r w:rsidRPr="0018264C">
        <w:t>Study C4591001 is a</w:t>
      </w:r>
      <w:r w:rsidRPr="00DA12A4">
        <w:t>n ongoing Phase I/II/III ran</w:t>
      </w:r>
      <w:r w:rsidR="00D9657B" w:rsidRPr="00DA12A4">
        <w:t xml:space="preserve">domised, multinational, placebo controlled, observer </w:t>
      </w:r>
      <w:r w:rsidRPr="00DA12A4">
        <w:t>blind, dos</w:t>
      </w:r>
      <w:r w:rsidR="00D9657B" w:rsidRPr="00DA12A4">
        <w:t xml:space="preserve">e finding, vaccine candidate </w:t>
      </w:r>
      <w:r w:rsidRPr="00DA12A4">
        <w:t>selection, and efficacy study in healthy individuals.</w:t>
      </w:r>
    </w:p>
    <w:p w14:paraId="2A562AB2" w14:textId="2411FCE0" w:rsidR="00E30AC3" w:rsidRPr="00DA12A4" w:rsidRDefault="00E30AC3">
      <w:r w:rsidRPr="00DA12A4">
        <w:t>The study is in two parts: Phase I</w:t>
      </w:r>
      <w:r w:rsidR="00370A64">
        <w:t>,</w:t>
      </w:r>
      <w:r w:rsidRPr="00DA12A4">
        <w:t xml:space="preserve"> and Phase II/III. Phase I consisted of dose</w:t>
      </w:r>
      <w:r w:rsidR="00D9657B" w:rsidRPr="00DA12A4">
        <w:t xml:space="preserve"> </w:t>
      </w:r>
      <w:r w:rsidRPr="00DA12A4">
        <w:t xml:space="preserve">finding and safety assessment in 18 to 55 year old participants. This part was previously submitted in the </w:t>
      </w:r>
      <w:r w:rsidR="00D9657B" w:rsidRPr="00DA12A4">
        <w:t>new biological entity</w:t>
      </w:r>
      <w:r w:rsidRPr="00DA12A4">
        <w:t xml:space="preserve"> application for the initial provisional registration of </w:t>
      </w:r>
      <w:proofErr w:type="spellStart"/>
      <w:r w:rsidRPr="00DA12A4">
        <w:t>Comirnaty</w:t>
      </w:r>
      <w:proofErr w:type="spellEnd"/>
      <w:r w:rsidRPr="00DA12A4">
        <w:t xml:space="preserve"> in individuals 16 years of age and older.</w:t>
      </w:r>
      <w:r w:rsidR="00D9657B" w:rsidRPr="007D1492">
        <w:rPr>
          <w:vertAlign w:val="superscript"/>
        </w:rPr>
        <w:fldChar w:fldCharType="begin"/>
      </w:r>
      <w:r w:rsidR="00D9657B" w:rsidRPr="007D1492">
        <w:rPr>
          <w:vertAlign w:val="superscript"/>
        </w:rPr>
        <w:instrText xml:space="preserve"> NOTEREF _Ref74651655 \f \h </w:instrText>
      </w:r>
      <w:r w:rsidR="00DA12A4" w:rsidRPr="007D1492">
        <w:rPr>
          <w:vertAlign w:val="superscript"/>
        </w:rPr>
        <w:instrText xml:space="preserve"> \* MERGEFORMAT </w:instrText>
      </w:r>
      <w:r w:rsidR="00D9657B" w:rsidRPr="007D1492">
        <w:rPr>
          <w:vertAlign w:val="superscript"/>
        </w:rPr>
      </w:r>
      <w:r w:rsidR="00D9657B" w:rsidRPr="007D1492">
        <w:rPr>
          <w:vertAlign w:val="superscript"/>
        </w:rPr>
        <w:fldChar w:fldCharType="separate"/>
      </w:r>
      <w:r w:rsidR="00B15022" w:rsidRPr="00B15022">
        <w:t>15</w:t>
      </w:r>
      <w:r w:rsidR="00D9657B" w:rsidRPr="007D1492">
        <w:rPr>
          <w:vertAlign w:val="superscript"/>
        </w:rPr>
        <w:fldChar w:fldCharType="end"/>
      </w:r>
    </w:p>
    <w:p w14:paraId="3FD5EEA6" w14:textId="71348573" w:rsidR="00E30AC3" w:rsidRPr="00CA26FB" w:rsidRDefault="00E30AC3" w:rsidP="00CA26FB">
      <w:r w:rsidRPr="00DA12A4">
        <w:t>The clinical study report for the current extension of indication application includes Phase</w:t>
      </w:r>
      <w:r w:rsidR="00DA12A4" w:rsidRPr="0018264C">
        <w:t> </w:t>
      </w:r>
      <w:r w:rsidRPr="00DA12A4">
        <w:t xml:space="preserve">II/III study data, which is an expanded cohort that assessed the immunogenicity, safety and efficacy of </w:t>
      </w:r>
      <w:proofErr w:type="spellStart"/>
      <w:r w:rsidRPr="00DA12A4">
        <w:t>Comirnaty</w:t>
      </w:r>
      <w:proofErr w:type="spellEnd"/>
      <w:r w:rsidRPr="00DA12A4">
        <w:t xml:space="preserve"> in participants</w:t>
      </w:r>
      <w:r w:rsidR="00D9657B" w:rsidRPr="00DA12A4">
        <w:t xml:space="preserve"> 12 to 15 years of age (termed </w:t>
      </w:r>
      <w:r w:rsidRPr="00DA12A4">
        <w:t xml:space="preserve">adolescents) in blinded follow-up to a data </w:t>
      </w:r>
      <w:proofErr w:type="spellStart"/>
      <w:r w:rsidRPr="00CA26FB">
        <w:t>cutoff</w:t>
      </w:r>
      <w:proofErr w:type="spellEnd"/>
      <w:r w:rsidRPr="00CA26FB">
        <w:t xml:space="preserve"> date of 13 March 2021. </w:t>
      </w:r>
      <w:r w:rsidR="00D9657B" w:rsidRPr="00CA26FB">
        <w:t xml:space="preserve">The sponsor also submitted the </w:t>
      </w:r>
      <w:proofErr w:type="gramStart"/>
      <w:r w:rsidR="00D9657B" w:rsidRPr="00CA26FB">
        <w:t>six</w:t>
      </w:r>
      <w:r w:rsidRPr="00CA26FB">
        <w:t xml:space="preserve"> month</w:t>
      </w:r>
      <w:proofErr w:type="gramEnd"/>
      <w:r w:rsidR="00DA12A4">
        <w:t xml:space="preserve"> safety data following the second dose </w:t>
      </w:r>
      <w:r w:rsidRPr="00CA26FB">
        <w:t>as part of the post approval commitment to the original provisional approval for individual older than 16 years of age.</w:t>
      </w:r>
    </w:p>
    <w:p w14:paraId="0649DAD8" w14:textId="6B352A7F" w:rsidR="00E30AC3" w:rsidRDefault="00E30AC3" w:rsidP="00DA12A4">
      <w:r w:rsidRPr="00DA12A4">
        <w:t xml:space="preserve">Previous efficacy analyses for individuals older than 16 years </w:t>
      </w:r>
      <w:proofErr w:type="gramStart"/>
      <w:r w:rsidRPr="00DA12A4">
        <w:t>were conducted</w:t>
      </w:r>
      <w:proofErr w:type="gramEnd"/>
      <w:r w:rsidRPr="00DA12A4">
        <w:t xml:space="preserve"> on 94</w:t>
      </w:r>
      <w:r w:rsidR="00DA12A4">
        <w:t> </w:t>
      </w:r>
      <w:r w:rsidRPr="00DA12A4">
        <w:t>confirmed COVID-19 cases (interim analysis on 4 November 2020) and 170</w:t>
      </w:r>
      <w:r w:rsidR="00DA12A4">
        <w:t> </w:t>
      </w:r>
      <w:r w:rsidRPr="00DA12A4">
        <w:t>confirmed cases (final analysis on 14 November 2020). At the time of the final analysis, there were few participants between 12 to15 years of age enrolled and no COVID-19 cases reported in</w:t>
      </w:r>
      <w:r>
        <w:t xml:space="preserve"> this age group by 14 November 2020, a</w:t>
      </w:r>
      <w:r w:rsidR="006B1648">
        <w:t>s only with protocol amendment seven</w:t>
      </w:r>
      <w:r>
        <w:t xml:space="preserve"> at 6 October 2020, the </w:t>
      </w:r>
      <w:r w:rsidR="006B1648">
        <w:t>enrolment</w:t>
      </w:r>
      <w:r>
        <w:t xml:space="preserve"> of adolescents 12 to 15 years of age </w:t>
      </w:r>
      <w:proofErr w:type="gramStart"/>
      <w:r>
        <w:t>was added</w:t>
      </w:r>
      <w:proofErr w:type="gramEnd"/>
      <w:r>
        <w:t>.</w:t>
      </w:r>
    </w:p>
    <w:p w14:paraId="227F4426" w14:textId="32EA2A30" w:rsidR="00601C1F" w:rsidRDefault="00E30AC3" w:rsidP="00E30AC3">
      <w:r w:rsidRPr="00130E98">
        <w:t>The study design of Study C4591001 has been discussed in</w:t>
      </w:r>
      <w:r w:rsidR="00130E98" w:rsidRPr="00130E98">
        <w:t xml:space="preserve"> details in</w:t>
      </w:r>
      <w:r w:rsidRPr="00130E98">
        <w:t xml:space="preserve"> the</w:t>
      </w:r>
      <w:r w:rsidR="00E70A93">
        <w:t xml:space="preserve"> initial</w:t>
      </w:r>
      <w:r w:rsidRPr="00130E98">
        <w:t xml:space="preserve"> </w:t>
      </w:r>
      <w:proofErr w:type="spellStart"/>
      <w:r w:rsidR="00130E98" w:rsidRPr="00130E98">
        <w:t>Comirnaty</w:t>
      </w:r>
      <w:proofErr w:type="spellEnd"/>
      <w:r w:rsidR="00130E98" w:rsidRPr="00130E98">
        <w:t xml:space="preserve"> </w:t>
      </w:r>
      <w:r w:rsidR="00370A64">
        <w:t xml:space="preserve">BNT162b2 mRNA </w:t>
      </w:r>
      <w:r w:rsidR="00E70A93">
        <w:t>submission (</w:t>
      </w:r>
      <w:r w:rsidR="00130E98" w:rsidRPr="00130E98">
        <w:t>PM</w:t>
      </w:r>
      <w:r w:rsidR="00DA12A4">
        <w:noBreakHyphen/>
      </w:r>
      <w:r w:rsidR="00130E98" w:rsidRPr="00130E98">
        <w:t>2020-05461-1-</w:t>
      </w:r>
      <w:r w:rsidR="00E70A93">
        <w:t xml:space="preserve">2, see relevant </w:t>
      </w:r>
      <w:r w:rsidR="00130E98" w:rsidRPr="00130E98">
        <w:t>AusPAR</w:t>
      </w:r>
      <w:r w:rsidR="00E70A93">
        <w:t xml:space="preserve"> for further details)</w:t>
      </w:r>
      <w:r w:rsidRPr="00130E98">
        <w:t>.</w:t>
      </w:r>
      <w:bookmarkStart w:id="43" w:name="_Ref74651655"/>
      <w:r w:rsidR="00130E98">
        <w:rPr>
          <w:rStyle w:val="FootnoteReference"/>
        </w:rPr>
        <w:footnoteReference w:id="15"/>
      </w:r>
      <w:bookmarkEnd w:id="43"/>
      <w:r w:rsidRPr="00130E98">
        <w:t xml:space="preserve"> </w:t>
      </w:r>
      <w:r w:rsidRPr="00B32FA4">
        <w:t>The study participa</w:t>
      </w:r>
      <w:r w:rsidR="00E70A93">
        <w:t>n</w:t>
      </w:r>
      <w:r w:rsidRPr="00B32FA4">
        <w:t xml:space="preserve">ts </w:t>
      </w:r>
      <w:proofErr w:type="gramStart"/>
      <w:r w:rsidRPr="00B32FA4">
        <w:t>were randomised</w:t>
      </w:r>
      <w:proofErr w:type="gramEnd"/>
      <w:r w:rsidRPr="00B32FA4">
        <w:t xml:space="preserve"> to receive either the vaccine or placebo. The study treatment</w:t>
      </w:r>
      <w:r w:rsidR="00370A64">
        <w:t>s</w:t>
      </w:r>
      <w:r w:rsidRPr="00B32FA4">
        <w:t xml:space="preserve"> </w:t>
      </w:r>
      <w:proofErr w:type="gramStart"/>
      <w:r w:rsidRPr="00B32FA4">
        <w:t>were administered</w:t>
      </w:r>
      <w:proofErr w:type="gramEnd"/>
      <w:r w:rsidRPr="00B32FA4">
        <w:t xml:space="preserve"> as two doses, about 21 days apart. </w:t>
      </w:r>
      <w:proofErr w:type="gramStart"/>
      <w:r w:rsidRPr="00B32FA4">
        <w:t xml:space="preserve">For this adolescent application, immunogenicity analysis is based on the non-inferiority (NI) comparison of </w:t>
      </w:r>
      <w:r w:rsidR="00B32FA4" w:rsidRPr="00B32FA4">
        <w:t xml:space="preserve">adolescents to young adults (16 to </w:t>
      </w:r>
      <w:r w:rsidRPr="00B32FA4">
        <w:t xml:space="preserve">25 years of age) to a data </w:t>
      </w:r>
      <w:proofErr w:type="spellStart"/>
      <w:r w:rsidRPr="00B32FA4">
        <w:t>cutoff</w:t>
      </w:r>
      <w:proofErr w:type="spellEnd"/>
      <w:r w:rsidRPr="00B32FA4">
        <w:t xml:space="preserve"> date of 13 March 2021, and the efficacy was assessed in an updated analysis </w:t>
      </w:r>
      <w:r w:rsidR="00B32FA4" w:rsidRPr="00B32FA4">
        <w:t xml:space="preserve">for the 12 to </w:t>
      </w:r>
      <w:r w:rsidRPr="00B32FA4">
        <w:t>15 years of age group based on all cases accrued for this group in blinded follow</w:t>
      </w:r>
      <w:r w:rsidR="006B1648">
        <w:t xml:space="preserve"> </w:t>
      </w:r>
      <w:r w:rsidRPr="00B32FA4">
        <w:t xml:space="preserve">up to a data </w:t>
      </w:r>
      <w:proofErr w:type="spellStart"/>
      <w:r w:rsidRPr="00B32FA4">
        <w:t>cutoff</w:t>
      </w:r>
      <w:proofErr w:type="spellEnd"/>
      <w:r w:rsidRPr="00B32FA4">
        <w:t xml:space="preserve"> date of 13 March 2021.</w:t>
      </w:r>
      <w:proofErr w:type="gramEnd"/>
    </w:p>
    <w:p w14:paraId="0A4FDDBE" w14:textId="3F86C1AE" w:rsidR="00F905FF" w:rsidRDefault="00F905FF" w:rsidP="00F905FF">
      <w:pPr>
        <w:pStyle w:val="Heading4"/>
      </w:pPr>
      <w:r>
        <w:t>Immunogenicity analysis</w:t>
      </w:r>
    </w:p>
    <w:p w14:paraId="3CFDABBA" w14:textId="65D3DE5C" w:rsidR="00F905FF" w:rsidRDefault="00F905FF" w:rsidP="00F905FF">
      <w:proofErr w:type="gramStart"/>
      <w:r>
        <w:t xml:space="preserve">One of the secondary objectives in the Phase III </w:t>
      </w:r>
      <w:r w:rsidR="00E70A93">
        <w:t xml:space="preserve">part </w:t>
      </w:r>
      <w:r>
        <w:t xml:space="preserve">of Study C4591001 is to evaluate </w:t>
      </w:r>
      <w:r w:rsidR="006B1648">
        <w:t>NI</w:t>
      </w:r>
      <w:r>
        <w:t xml:space="preserve"> of the immune response to </w:t>
      </w:r>
      <w:r w:rsidR="00370A64">
        <w:t xml:space="preserve">the </w:t>
      </w:r>
      <w:proofErr w:type="spellStart"/>
      <w:r w:rsidR="00370A64">
        <w:t>Comirnaty</w:t>
      </w:r>
      <w:proofErr w:type="spellEnd"/>
      <w:r w:rsidR="00370A64">
        <w:t xml:space="preserve"> </w:t>
      </w:r>
      <w:r>
        <w:t>BNT162b2</w:t>
      </w:r>
      <w:r w:rsidR="006B1648">
        <w:t xml:space="preserve"> vaccine</w:t>
      </w:r>
      <w:r>
        <w:t xml:space="preserve"> at one month after </w:t>
      </w:r>
      <w:r w:rsidR="00E70A93">
        <w:t>the second dose</w:t>
      </w:r>
      <w:r>
        <w:t xml:space="preserve"> in participants 12 to 15</w:t>
      </w:r>
      <w:r w:rsidR="00CE4937">
        <w:t> </w:t>
      </w:r>
      <w:r>
        <w:t>years of age compared to the response in participants 16 to 25 years of age (in those who had no serological or virological evidence of past SARS</w:t>
      </w:r>
      <w:r w:rsidR="00370A64">
        <w:noBreakHyphen/>
      </w:r>
      <w:r>
        <w:t>CoV</w:t>
      </w:r>
      <w:r w:rsidR="00370A64">
        <w:noBreakHyphen/>
      </w:r>
      <w:r>
        <w:t>2 infection).</w:t>
      </w:r>
      <w:proofErr w:type="gramEnd"/>
      <w:r>
        <w:t xml:space="preserve"> This NI analysis of neutra</w:t>
      </w:r>
      <w:r w:rsidR="006B1648">
        <w:t>lis</w:t>
      </w:r>
      <w:r>
        <w:t xml:space="preserve">ing </w:t>
      </w:r>
      <w:r w:rsidR="006B1648">
        <w:t>titre</w:t>
      </w:r>
      <w:r>
        <w:t xml:space="preserve">s </w:t>
      </w:r>
      <w:proofErr w:type="gramStart"/>
      <w:r>
        <w:t>was performed</w:t>
      </w:r>
      <w:proofErr w:type="gramEnd"/>
      <w:r>
        <w:t xml:space="preserve"> to provide </w:t>
      </w:r>
      <w:proofErr w:type="spellStart"/>
      <w:r>
        <w:t>immunobridging</w:t>
      </w:r>
      <w:proofErr w:type="spellEnd"/>
      <w:r>
        <w:t xml:space="preserve"> between adolescents (12 to 15 years of age) and young adults 16 to 25</w:t>
      </w:r>
      <w:r w:rsidR="00E70A93">
        <w:t> </w:t>
      </w:r>
      <w:r>
        <w:t xml:space="preserve">years of age. Only a validated SARS-CoV-2 </w:t>
      </w:r>
      <w:r w:rsidR="006B1648">
        <w:t>neutralisation</w:t>
      </w:r>
      <w:r>
        <w:t xml:space="preserve"> assay </w:t>
      </w:r>
      <w:proofErr w:type="gramStart"/>
      <w:r>
        <w:t>was used</w:t>
      </w:r>
      <w:proofErr w:type="gramEnd"/>
      <w:r>
        <w:t>.</w:t>
      </w:r>
    </w:p>
    <w:p w14:paraId="443B00A5" w14:textId="5AA23C43" w:rsidR="00F905FF" w:rsidRDefault="00F905FF" w:rsidP="00F905FF">
      <w:r>
        <w:t>Immunogenicity endpoints analysed for SARS-CoV-2 serum neutrali</w:t>
      </w:r>
      <w:r w:rsidR="00333E93">
        <w:t>s</w:t>
      </w:r>
      <w:r>
        <w:t xml:space="preserve">ing </w:t>
      </w:r>
      <w:r w:rsidR="006B1648">
        <w:t>titre</w:t>
      </w:r>
      <w:r>
        <w:t>s include:</w:t>
      </w:r>
    </w:p>
    <w:p w14:paraId="269487F2" w14:textId="32F11D83" w:rsidR="00F905FF" w:rsidRDefault="00F905FF" w:rsidP="00F905FF">
      <w:pPr>
        <w:pStyle w:val="ListBullet"/>
      </w:pPr>
      <w:proofErr w:type="gramStart"/>
      <w:r>
        <w:t>geometric</w:t>
      </w:r>
      <w:proofErr w:type="gramEnd"/>
      <w:r>
        <w:t xml:space="preserve"> mean </w:t>
      </w:r>
      <w:r w:rsidR="006B1648">
        <w:t>titre</w:t>
      </w:r>
      <w:r>
        <w:t>s (GMT) in each age group and g</w:t>
      </w:r>
      <w:r w:rsidRPr="00F905FF">
        <w:t xml:space="preserve">eometric mean ratio </w:t>
      </w:r>
      <w:r>
        <w:t>(GMR) of 12</w:t>
      </w:r>
      <w:r w:rsidR="00E70A93">
        <w:t> </w:t>
      </w:r>
      <w:r>
        <w:t xml:space="preserve">to 15 years group to 16 to 25 years group at one month after </w:t>
      </w:r>
      <w:r w:rsidR="00E70A93">
        <w:t>the second dose.</w:t>
      </w:r>
    </w:p>
    <w:p w14:paraId="2B3005C3" w14:textId="6E9C187D" w:rsidR="00F905FF" w:rsidRDefault="006B1648" w:rsidP="00F905FF">
      <w:pPr>
        <w:pStyle w:val="ListBullet"/>
      </w:pPr>
      <w:r>
        <w:t xml:space="preserve">geometric mean </w:t>
      </w:r>
      <w:r w:rsidR="00F905FF">
        <w:t xml:space="preserve">fold rise (GMFR) from before vaccination to one month after </w:t>
      </w:r>
      <w:r w:rsidR="00E70A93">
        <w:t>second dose</w:t>
      </w:r>
      <w:r w:rsidR="00F905FF">
        <w:t xml:space="preserve"> in each age group</w:t>
      </w:r>
    </w:p>
    <w:p w14:paraId="6C59E22E" w14:textId="64925E17" w:rsidR="00F905FF" w:rsidRDefault="00F905FF" w:rsidP="00F905FF">
      <w:pPr>
        <w:pStyle w:val="ListBullet"/>
      </w:pPr>
      <w:proofErr w:type="spellStart"/>
      <w:proofErr w:type="gramStart"/>
      <w:r>
        <w:t>seroresponse</w:t>
      </w:r>
      <w:proofErr w:type="spellEnd"/>
      <w:proofErr w:type="gramEnd"/>
      <w:r>
        <w:t>: percen</w:t>
      </w:r>
      <w:r w:rsidR="006B1648">
        <w:t>tage of participants with a ≥ 4 fold rise in neutralis</w:t>
      </w:r>
      <w:r>
        <w:t xml:space="preserve">ing </w:t>
      </w:r>
      <w:r w:rsidR="006B1648">
        <w:t>titre</w:t>
      </w:r>
      <w:r>
        <w:t xml:space="preserve">s from before vaccination to one month after </w:t>
      </w:r>
      <w:r w:rsidR="00E70A93">
        <w:t>the second dose</w:t>
      </w:r>
      <w:r>
        <w:t xml:space="preserve"> in each age group.</w:t>
      </w:r>
    </w:p>
    <w:p w14:paraId="141B9391" w14:textId="3B77F13B" w:rsidR="00F905FF" w:rsidRDefault="00F905FF" w:rsidP="00F905FF">
      <w:r>
        <w:t xml:space="preserve">The statistical analyses of immunogenicity data </w:t>
      </w:r>
      <w:proofErr w:type="gramStart"/>
      <w:r>
        <w:t>were based</w:t>
      </w:r>
      <w:proofErr w:type="gramEnd"/>
      <w:r>
        <w:t xml:space="preserve"> on the evaluable imm</w:t>
      </w:r>
      <w:r w:rsidR="009E3898">
        <w:t xml:space="preserve">unogenicity populations and all </w:t>
      </w:r>
      <w:r>
        <w:t xml:space="preserve">available immunogenicity populations. A random sample of 280 participants who received </w:t>
      </w:r>
      <w:r w:rsidR="00370A64">
        <w:t xml:space="preserve">the </w:t>
      </w:r>
      <w:proofErr w:type="spellStart"/>
      <w:r w:rsidR="00370A64">
        <w:t>Comirnaty</w:t>
      </w:r>
      <w:proofErr w:type="spellEnd"/>
      <w:r w:rsidR="00370A64">
        <w:t xml:space="preserve"> </w:t>
      </w:r>
      <w:r>
        <w:t xml:space="preserve">BNT162b2 </w:t>
      </w:r>
      <w:r w:rsidR="006B1648">
        <w:t>vaccine</w:t>
      </w:r>
      <w:r w:rsidR="00CA26FB">
        <w:t xml:space="preserve"> </w:t>
      </w:r>
      <w:r>
        <w:t>and 50</w:t>
      </w:r>
      <w:r w:rsidR="00370A64">
        <w:t> </w:t>
      </w:r>
      <w:r>
        <w:t xml:space="preserve">participants who received placebo </w:t>
      </w:r>
      <w:proofErr w:type="gramStart"/>
      <w:r>
        <w:t>was selected</w:t>
      </w:r>
      <w:proofErr w:type="gramEnd"/>
      <w:r>
        <w:t xml:space="preserve"> for each of the two age groups as an immunogenicity subset for immunogenicity assessment. This sample si</w:t>
      </w:r>
      <w:r w:rsidR="00333E93">
        <w:t>z</w:t>
      </w:r>
      <w:r>
        <w:t xml:space="preserve">e </w:t>
      </w:r>
      <w:proofErr w:type="gramStart"/>
      <w:r>
        <w:t>was originally estimated</w:t>
      </w:r>
      <w:proofErr w:type="gramEnd"/>
      <w:r>
        <w:t xml:space="preserve"> to provide a power of 90.4% to declare NI in the specified analysis. Due to a testing laboratory supply limitation of the qualified viral lot used during the validation of the assay and clinical testing of samples, immunogenicity analyses were performed only on participants who had the required tests completed using the same available viral reagent lot. A blinded review of the samples tested at that time suggested a sufficient sample size properly balanced across age groups to perform the planned NI analysis. It was estimated that if the true GMR is ≥ 0.88, there is approximately 90% power to demonstrate NI using the number of samples currently tested, and &gt; </w:t>
      </w:r>
      <w:proofErr w:type="gramStart"/>
      <w:r>
        <w:t>99%</w:t>
      </w:r>
      <w:proofErr w:type="gramEnd"/>
      <w:r>
        <w:t xml:space="preserve"> power if the true GMR is 1. NI </w:t>
      </w:r>
      <w:proofErr w:type="gramStart"/>
      <w:r>
        <w:t>was assessed</w:t>
      </w:r>
      <w:proofErr w:type="gramEnd"/>
      <w:r>
        <w:t xml:space="preserve"> based on the GMR of SARS-CoV-2 neutrali</w:t>
      </w:r>
      <w:r w:rsidR="00333E93">
        <w:t>s</w:t>
      </w:r>
      <w:r>
        <w:t xml:space="preserve">ing </w:t>
      </w:r>
      <w:r w:rsidR="006B1648">
        <w:t>titre</w:t>
      </w:r>
      <w:r>
        <w:t xml:space="preserve">s at one month after </w:t>
      </w:r>
      <w:r w:rsidR="00E70A93">
        <w:t>the second dose</w:t>
      </w:r>
      <w:r>
        <w:t xml:space="preserve"> using a 1.5 fold margin. The GMR and its </w:t>
      </w:r>
      <w:proofErr w:type="gramStart"/>
      <w:r>
        <w:t>two sided</w:t>
      </w:r>
      <w:proofErr w:type="gramEnd"/>
      <w:r>
        <w:t xml:space="preserve"> 95% confidence interval (CI) were derived by calculating differences in means and CIs on the natural log scale of the </w:t>
      </w:r>
      <w:r w:rsidR="006B1648">
        <w:t>titre</w:t>
      </w:r>
      <w:r>
        <w:t>s based on the Student’s t-distribution and then exponentiating the results. The difference in means on the natural log scale were 12 to 15 years minus 16 to 25 years. Non</w:t>
      </w:r>
      <w:r w:rsidR="00370A64">
        <w:t>-</w:t>
      </w:r>
      <w:r>
        <w:t xml:space="preserve">inferiority </w:t>
      </w:r>
      <w:proofErr w:type="gramStart"/>
      <w:r>
        <w:t>was declared</w:t>
      </w:r>
      <w:proofErr w:type="gramEnd"/>
      <w:r>
        <w:t xml:space="preserve"> if the lower bound of the two sided 95% CI for the GMR was greater than 0.67, using 1.5 fold non</w:t>
      </w:r>
      <w:r w:rsidR="00370A64">
        <w:t>-</w:t>
      </w:r>
      <w:r>
        <w:t xml:space="preserve">inferiority margin. A supportive analysis </w:t>
      </w:r>
      <w:proofErr w:type="gramStart"/>
      <w:r>
        <w:t>was conducted</w:t>
      </w:r>
      <w:proofErr w:type="gramEnd"/>
      <w:r>
        <w:t xml:space="preserve"> for </w:t>
      </w:r>
      <w:proofErr w:type="spellStart"/>
      <w:r>
        <w:t>seroresponse</w:t>
      </w:r>
      <w:proofErr w:type="spellEnd"/>
      <w:r>
        <w:t xml:space="preserve"> rate and </w:t>
      </w:r>
      <w:proofErr w:type="spellStart"/>
      <w:r>
        <w:t>GMFR</w:t>
      </w:r>
      <w:proofErr w:type="spellEnd"/>
      <w:r>
        <w:t>.</w:t>
      </w:r>
    </w:p>
    <w:p w14:paraId="613E76BD" w14:textId="34DEE10C" w:rsidR="00F905FF" w:rsidRDefault="00F905FF" w:rsidP="00F905FF">
      <w:pPr>
        <w:pStyle w:val="Heading5"/>
      </w:pPr>
      <w:r>
        <w:t>Result of immunogenicity analysis</w:t>
      </w:r>
    </w:p>
    <w:p w14:paraId="07CD6E76" w14:textId="18A07B16" w:rsidR="00F905FF" w:rsidRPr="003B283F" w:rsidRDefault="00F905FF" w:rsidP="002C0486">
      <w:r w:rsidRPr="003B283F">
        <w:t xml:space="preserve">The </w:t>
      </w:r>
      <w:r w:rsidR="00E70A93">
        <w:t>second dose</w:t>
      </w:r>
      <w:r w:rsidRPr="003B283F">
        <w:t xml:space="preserve"> evaluable immunogenicity population of adolescents included 209</w:t>
      </w:r>
      <w:r w:rsidR="00E70A93">
        <w:t> </w:t>
      </w:r>
      <w:r w:rsidRPr="003B283F">
        <w:t xml:space="preserve">participants in the </w:t>
      </w:r>
      <w:proofErr w:type="spellStart"/>
      <w:r w:rsidR="00370A64">
        <w:t>Comirnaty</w:t>
      </w:r>
      <w:proofErr w:type="spellEnd"/>
      <w:r w:rsidR="00370A64">
        <w:t xml:space="preserve"> </w:t>
      </w:r>
      <w:r w:rsidRPr="003B283F">
        <w:t xml:space="preserve">BNT162b2 vaccine group and 36 participants in the placebo group, and the young adults </w:t>
      </w:r>
      <w:r>
        <w:t>(</w:t>
      </w:r>
      <w:r w:rsidR="002C0486">
        <w:t xml:space="preserve">16 to </w:t>
      </w:r>
      <w:r w:rsidRPr="003B283F">
        <w:t>25 years of age</w:t>
      </w:r>
      <w:r>
        <w:t>)</w:t>
      </w:r>
      <w:r w:rsidRPr="003B283F">
        <w:t xml:space="preserve"> included 186 participants in the </w:t>
      </w:r>
      <w:proofErr w:type="spellStart"/>
      <w:r w:rsidR="00370A64">
        <w:t>Comirnaty</w:t>
      </w:r>
      <w:proofErr w:type="spellEnd"/>
      <w:r w:rsidR="00370A64" w:rsidRPr="003B283F">
        <w:t xml:space="preserve"> </w:t>
      </w:r>
      <w:r w:rsidRPr="003B283F">
        <w:t>BNT162b2 vaccine group and 32 participants in the placebo group. The majority of exclusions were due to pa</w:t>
      </w:r>
      <w:r w:rsidR="002C0486">
        <w:t>rticipants not having at least one</w:t>
      </w:r>
      <w:r w:rsidRPr="003B283F">
        <w:t xml:space="preserve"> valid and determinate immunogenicity result after </w:t>
      </w:r>
      <w:r w:rsidR="00E70A93">
        <w:t>second dose</w:t>
      </w:r>
      <w:r w:rsidRPr="003B283F">
        <w:t xml:space="preserve">, mostly as the result of testing laboratory supply limitation of the qualified viral lot and </w:t>
      </w:r>
      <w:proofErr w:type="gramStart"/>
      <w:r w:rsidRPr="003B283F">
        <w:t>were generally balanced</w:t>
      </w:r>
      <w:proofErr w:type="gramEnd"/>
      <w:r w:rsidRPr="003B283F">
        <w:t xml:space="preserve"> across age and vaccine groups.</w:t>
      </w:r>
    </w:p>
    <w:p w14:paraId="6F135FAF" w14:textId="3C277547" w:rsidR="00F905FF" w:rsidRPr="006C7D7C" w:rsidRDefault="00F905FF" w:rsidP="002C0486">
      <w:r w:rsidRPr="003B283F">
        <w:rPr>
          <w:color w:val="000000"/>
        </w:rPr>
        <w:t xml:space="preserve">In the </w:t>
      </w:r>
      <w:r w:rsidR="00E70A93">
        <w:rPr>
          <w:color w:val="000000"/>
        </w:rPr>
        <w:t>second dose</w:t>
      </w:r>
      <w:r w:rsidRPr="003B283F">
        <w:rPr>
          <w:color w:val="000000"/>
        </w:rPr>
        <w:t xml:space="preserve"> </w:t>
      </w:r>
      <w:r>
        <w:rPr>
          <w:color w:val="000000"/>
        </w:rPr>
        <w:t>adolescent</w:t>
      </w:r>
      <w:r w:rsidRPr="003B283F">
        <w:rPr>
          <w:color w:val="000000"/>
        </w:rPr>
        <w:t xml:space="preserve"> evaluable immunogenicity population</w:t>
      </w:r>
      <w:r>
        <w:rPr>
          <w:color w:val="000000"/>
        </w:rPr>
        <w:t xml:space="preserve"> </w:t>
      </w:r>
      <w:proofErr w:type="spellStart"/>
      <w:r w:rsidR="00370A64">
        <w:t>Comirnaty</w:t>
      </w:r>
      <w:proofErr w:type="spellEnd"/>
      <w:r w:rsidR="00370A64" w:rsidRPr="003B283F">
        <w:rPr>
          <w:color w:val="000000"/>
        </w:rPr>
        <w:t xml:space="preserve"> </w:t>
      </w:r>
      <w:r w:rsidRPr="003B283F">
        <w:rPr>
          <w:color w:val="000000"/>
        </w:rPr>
        <w:t xml:space="preserve">BNT162b2 </w:t>
      </w:r>
      <w:r w:rsidR="002C0486">
        <w:rPr>
          <w:color w:val="000000"/>
        </w:rPr>
        <w:t xml:space="preserve">vaccine </w:t>
      </w:r>
      <w:r w:rsidRPr="003B283F">
        <w:rPr>
          <w:color w:val="000000"/>
        </w:rPr>
        <w:t>group, 50.7% of participants were male; 88.0% were White, 7.7% were Black or African American, and 2.4% were Asian; 10.5% were Hispanic</w:t>
      </w:r>
      <w:r w:rsidR="00370A64">
        <w:rPr>
          <w:color w:val="000000"/>
        </w:rPr>
        <w:t xml:space="preserve"> and/or </w:t>
      </w:r>
      <w:r w:rsidRPr="003B283F">
        <w:rPr>
          <w:color w:val="000000"/>
        </w:rPr>
        <w:t xml:space="preserve">Latino; and the median age was 14 </w:t>
      </w:r>
      <w:r w:rsidR="002077BE">
        <w:rPr>
          <w:color w:val="000000"/>
        </w:rPr>
        <w:t>years of age</w:t>
      </w:r>
      <w:r w:rsidRPr="003B283F">
        <w:rPr>
          <w:color w:val="000000"/>
        </w:rPr>
        <w:t xml:space="preserve">. </w:t>
      </w:r>
      <w:r w:rsidR="002C0486">
        <w:rPr>
          <w:color w:val="000000"/>
        </w:rPr>
        <w:t>The b</w:t>
      </w:r>
      <w:r w:rsidRPr="003B283F">
        <w:rPr>
          <w:color w:val="000000"/>
        </w:rPr>
        <w:t xml:space="preserve">aseline SARS-CoV-2 status was positive for 4.8% of adolescent participants in the </w:t>
      </w:r>
      <w:proofErr w:type="spellStart"/>
      <w:r w:rsidR="00962AD6">
        <w:t>Comirnaty</w:t>
      </w:r>
      <w:proofErr w:type="spellEnd"/>
      <w:r w:rsidR="00962AD6" w:rsidRPr="003B283F">
        <w:rPr>
          <w:color w:val="000000"/>
        </w:rPr>
        <w:t xml:space="preserve"> </w:t>
      </w:r>
      <w:r w:rsidRPr="003B283F">
        <w:rPr>
          <w:color w:val="000000"/>
        </w:rPr>
        <w:t>BNT162b2</w:t>
      </w:r>
      <w:r w:rsidR="002C0486">
        <w:rPr>
          <w:color w:val="000000"/>
        </w:rPr>
        <w:t xml:space="preserve"> vaccine</w:t>
      </w:r>
      <w:r w:rsidRPr="003B283F">
        <w:rPr>
          <w:color w:val="000000"/>
        </w:rPr>
        <w:t xml:space="preserve"> group. Obese adolescents made up 8.3% (</w:t>
      </w:r>
      <w:r w:rsidR="00962AD6">
        <w:rPr>
          <w:color w:val="000000"/>
        </w:rPr>
        <w:t xml:space="preserve">of the </w:t>
      </w:r>
      <w:r w:rsidRPr="003B283F">
        <w:rPr>
          <w:color w:val="000000"/>
        </w:rPr>
        <w:t>placebo group) to 11.5% (</w:t>
      </w:r>
      <w:r w:rsidR="00962AD6">
        <w:rPr>
          <w:color w:val="000000"/>
        </w:rPr>
        <w:t xml:space="preserve">of the </w:t>
      </w:r>
      <w:proofErr w:type="spellStart"/>
      <w:r w:rsidR="00962AD6">
        <w:t>Comirnaty</w:t>
      </w:r>
      <w:proofErr w:type="spellEnd"/>
      <w:r w:rsidR="00962AD6" w:rsidRPr="003B283F">
        <w:rPr>
          <w:color w:val="000000"/>
        </w:rPr>
        <w:t xml:space="preserve"> </w:t>
      </w:r>
      <w:r w:rsidRPr="003B283F">
        <w:rPr>
          <w:color w:val="000000"/>
        </w:rPr>
        <w:t xml:space="preserve">BNT162b2 </w:t>
      </w:r>
      <w:r w:rsidR="002C0486">
        <w:rPr>
          <w:color w:val="000000"/>
        </w:rPr>
        <w:t xml:space="preserve">vaccine </w:t>
      </w:r>
      <w:r w:rsidR="00962AD6">
        <w:rPr>
          <w:color w:val="000000"/>
        </w:rPr>
        <w:t xml:space="preserve">treated </w:t>
      </w:r>
      <w:r w:rsidRPr="003B283F">
        <w:rPr>
          <w:color w:val="000000"/>
        </w:rPr>
        <w:t>group) of this age group in the evalua</w:t>
      </w:r>
      <w:r>
        <w:rPr>
          <w:color w:val="000000"/>
        </w:rPr>
        <w:t xml:space="preserve">ble immunogenicity population. </w:t>
      </w:r>
      <w:r w:rsidRPr="006C7D7C">
        <w:t xml:space="preserve">Demographics were generally similar for </w:t>
      </w:r>
      <w:proofErr w:type="spellStart"/>
      <w:r w:rsidR="00962AD6">
        <w:t>Comirnaty</w:t>
      </w:r>
      <w:proofErr w:type="spellEnd"/>
      <w:r w:rsidR="00962AD6" w:rsidRPr="006C7D7C">
        <w:t xml:space="preserve"> </w:t>
      </w:r>
      <w:r w:rsidRPr="006C7D7C">
        <w:t>BNT162b2</w:t>
      </w:r>
      <w:r w:rsidR="002C0486">
        <w:t xml:space="preserve"> vaccine group</w:t>
      </w:r>
      <w:r w:rsidRPr="006C7D7C">
        <w:t xml:space="preserve"> and </w:t>
      </w:r>
      <w:proofErr w:type="gramStart"/>
      <w:r w:rsidRPr="006C7D7C">
        <w:t>placebo,</w:t>
      </w:r>
      <w:proofErr w:type="gramEnd"/>
      <w:r w:rsidRPr="006C7D7C">
        <w:t xml:space="preserve"> and in adolescents </w:t>
      </w:r>
      <w:r w:rsidR="002C0486">
        <w:t>and young adults 16 to 25 years of age.</w:t>
      </w:r>
    </w:p>
    <w:p w14:paraId="554AACF7" w14:textId="703442BE" w:rsidR="00F905FF" w:rsidRDefault="00F905FF" w:rsidP="002C0486">
      <w:pPr>
        <w:rPr>
          <w:color w:val="000000"/>
        </w:rPr>
      </w:pPr>
      <w:r w:rsidRPr="003B283F">
        <w:rPr>
          <w:color w:val="000000"/>
        </w:rPr>
        <w:t xml:space="preserve">Demographics of the </w:t>
      </w:r>
      <w:r w:rsidR="00E70A93">
        <w:rPr>
          <w:color w:val="000000"/>
        </w:rPr>
        <w:t>second dose</w:t>
      </w:r>
      <w:r w:rsidR="00E70A93" w:rsidRPr="003B283F">
        <w:rPr>
          <w:color w:val="000000"/>
        </w:rPr>
        <w:t xml:space="preserve"> </w:t>
      </w:r>
      <w:r w:rsidRPr="003B283F">
        <w:rPr>
          <w:color w:val="000000"/>
        </w:rPr>
        <w:t xml:space="preserve">evaluable immunogenicity population were similar to those in the </w:t>
      </w:r>
      <w:r w:rsidR="00E70A93">
        <w:rPr>
          <w:color w:val="000000"/>
        </w:rPr>
        <w:t>second dose</w:t>
      </w:r>
      <w:r w:rsidR="00E70A93" w:rsidRPr="003B283F">
        <w:rPr>
          <w:color w:val="000000"/>
        </w:rPr>
        <w:t xml:space="preserve"> </w:t>
      </w:r>
      <w:r w:rsidRPr="003B283F">
        <w:rPr>
          <w:color w:val="000000"/>
        </w:rPr>
        <w:t>all-available immuno</w:t>
      </w:r>
      <w:r>
        <w:rPr>
          <w:color w:val="000000"/>
        </w:rPr>
        <w:t>genicity population. T</w:t>
      </w:r>
      <w:r w:rsidRPr="003B283F">
        <w:rPr>
          <w:color w:val="000000"/>
        </w:rPr>
        <w:t xml:space="preserve">he immunogenicity population demographics were </w:t>
      </w:r>
      <w:r>
        <w:rPr>
          <w:color w:val="000000"/>
        </w:rPr>
        <w:t xml:space="preserve">also </w:t>
      </w:r>
      <w:r w:rsidRPr="003B283F">
        <w:rPr>
          <w:color w:val="000000"/>
        </w:rPr>
        <w:t>generally similar to those in the safety population</w:t>
      </w:r>
      <w:r>
        <w:rPr>
          <w:color w:val="000000"/>
        </w:rPr>
        <w:t>.</w:t>
      </w:r>
    </w:p>
    <w:p w14:paraId="52516930" w14:textId="121394C7" w:rsidR="00F905FF" w:rsidRPr="002C0486" w:rsidRDefault="002C0486" w:rsidP="002C0486">
      <w:pPr>
        <w:pStyle w:val="Heading6"/>
        <w:rPr>
          <w:rFonts w:eastAsiaTheme="minorHAnsi"/>
        </w:rPr>
      </w:pPr>
      <w:r>
        <w:rPr>
          <w:rFonts w:eastAsiaTheme="minorHAnsi"/>
        </w:rPr>
        <w:t>Geometric mean r</w:t>
      </w:r>
      <w:r w:rsidR="00F905FF" w:rsidRPr="00540631">
        <w:rPr>
          <w:rFonts w:eastAsiaTheme="minorHAnsi"/>
        </w:rPr>
        <w:t>atio</w:t>
      </w:r>
      <w:r>
        <w:rPr>
          <w:rFonts w:eastAsiaTheme="minorHAnsi"/>
        </w:rPr>
        <w:t xml:space="preserve"> in neutrali</w:t>
      </w:r>
      <w:r w:rsidR="00333E93">
        <w:rPr>
          <w:rFonts w:eastAsiaTheme="minorHAnsi"/>
        </w:rPr>
        <w:t>s</w:t>
      </w:r>
      <w:r>
        <w:rPr>
          <w:rFonts w:eastAsiaTheme="minorHAnsi"/>
        </w:rPr>
        <w:t xml:space="preserve">ation </w:t>
      </w:r>
      <w:r w:rsidR="006B1648">
        <w:rPr>
          <w:rFonts w:eastAsiaTheme="minorHAnsi"/>
        </w:rPr>
        <w:t>titre</w:t>
      </w:r>
      <w:r>
        <w:rPr>
          <w:rFonts w:eastAsiaTheme="minorHAnsi"/>
        </w:rPr>
        <w:t>s</w:t>
      </w:r>
    </w:p>
    <w:p w14:paraId="183D48B5" w14:textId="33C35058" w:rsidR="00F905FF" w:rsidRDefault="00F905FF" w:rsidP="002C0486">
      <w:r>
        <w:t xml:space="preserve">In participants without </w:t>
      </w:r>
      <w:r w:rsidRPr="00340104">
        <w:t xml:space="preserve">evidence of </w:t>
      </w:r>
      <w:r>
        <w:t xml:space="preserve">prior </w:t>
      </w:r>
      <w:r w:rsidRPr="00340104">
        <w:t>SARS-</w:t>
      </w:r>
      <w:r w:rsidR="00D35734" w:rsidRPr="00340104">
        <w:t>C</w:t>
      </w:r>
      <w:r w:rsidR="00D35734">
        <w:t>o</w:t>
      </w:r>
      <w:r w:rsidR="00D35734" w:rsidRPr="00340104">
        <w:t>V</w:t>
      </w:r>
      <w:r w:rsidRPr="00340104">
        <w:t xml:space="preserve">-2 infection, the immune response to </w:t>
      </w:r>
      <w:r w:rsidR="00D35734">
        <w:t xml:space="preserve">the </w:t>
      </w:r>
      <w:proofErr w:type="spellStart"/>
      <w:r w:rsidR="00D35734">
        <w:t>Comirnaty</w:t>
      </w:r>
      <w:proofErr w:type="spellEnd"/>
      <w:r w:rsidR="00D35734" w:rsidRPr="00340104">
        <w:t xml:space="preserve"> </w:t>
      </w:r>
      <w:r w:rsidRPr="00340104">
        <w:t>BNT162b2</w:t>
      </w:r>
      <w:r w:rsidR="002C0486">
        <w:t xml:space="preserve"> vaccine in adolescents 12 to</w:t>
      </w:r>
      <w:r w:rsidRPr="00340104">
        <w:t>15 years of age was non-inferior to that observed in you</w:t>
      </w:r>
      <w:r w:rsidR="002C0486">
        <w:t xml:space="preserve">ng adults 16 to </w:t>
      </w:r>
      <w:r w:rsidRPr="00340104">
        <w:t>25 years of age, based on SARS-Co</w:t>
      </w:r>
      <w:r w:rsidR="002C0486">
        <w:t>V-2 50%</w:t>
      </w:r>
      <w:r w:rsidR="00D35734">
        <w:t> </w:t>
      </w:r>
      <w:r w:rsidR="002C0486">
        <w:t>neutrali</w:t>
      </w:r>
      <w:r w:rsidR="00333E93">
        <w:t>s</w:t>
      </w:r>
      <w:r w:rsidR="002C0486">
        <w:t xml:space="preserve">ing </w:t>
      </w:r>
      <w:r w:rsidR="006B1648">
        <w:t>titre</w:t>
      </w:r>
      <w:r w:rsidR="002C0486">
        <w:t xml:space="preserve">s at </w:t>
      </w:r>
      <w:proofErr w:type="gramStart"/>
      <w:r w:rsidR="002C0486">
        <w:t>one</w:t>
      </w:r>
      <w:r w:rsidRPr="00340104">
        <w:t xml:space="preserve"> month</w:t>
      </w:r>
      <w:proofErr w:type="gramEnd"/>
      <w:r w:rsidRPr="00340104">
        <w:t xml:space="preserve"> </w:t>
      </w:r>
      <w:r>
        <w:t>post</w:t>
      </w:r>
      <w:r w:rsidRPr="00340104">
        <w:t xml:space="preserve"> </w:t>
      </w:r>
      <w:r w:rsidR="00E70A93">
        <w:rPr>
          <w:color w:val="000000"/>
        </w:rPr>
        <w:t>second dose</w:t>
      </w:r>
      <w:r w:rsidRPr="00340104">
        <w:t>. The GMT ratio of adolesce</w:t>
      </w:r>
      <w:r w:rsidR="002C0486">
        <w:t xml:space="preserve">nts to young adults was 1.76 (two </w:t>
      </w:r>
      <w:r w:rsidRPr="00340104">
        <w:t>sided 95% C</w:t>
      </w:r>
      <w:r w:rsidR="002C0486">
        <w:t xml:space="preserve">I: 1.47, 2.10), meeting the 1.5 fold NI criterion (that is </w:t>
      </w:r>
      <w:r w:rsidRPr="00340104">
        <w:t>lower bound of th</w:t>
      </w:r>
      <w:r w:rsidR="002C0486">
        <w:t xml:space="preserve">e two </w:t>
      </w:r>
      <w:r>
        <w:t>sided 95% CI for GMR &gt;</w:t>
      </w:r>
      <w:r w:rsidR="002C0486">
        <w:t xml:space="preserve"> 0.67) (</w:t>
      </w:r>
      <w:r w:rsidR="00D35734">
        <w:t>s</w:t>
      </w:r>
      <w:r w:rsidR="002C0486">
        <w:t xml:space="preserve">ee </w:t>
      </w:r>
      <w:r w:rsidR="002C0486">
        <w:fldChar w:fldCharType="begin"/>
      </w:r>
      <w:r w:rsidR="002C0486">
        <w:instrText xml:space="preserve"> REF _Ref74562542 \h </w:instrText>
      </w:r>
      <w:r w:rsidR="002C0486">
        <w:fldChar w:fldCharType="separate"/>
      </w:r>
      <w:r w:rsidR="00B15022">
        <w:t xml:space="preserve">Table </w:t>
      </w:r>
      <w:r w:rsidR="00B15022">
        <w:rPr>
          <w:noProof/>
        </w:rPr>
        <w:t>2</w:t>
      </w:r>
      <w:r w:rsidR="002C0486">
        <w:fldChar w:fldCharType="end"/>
      </w:r>
      <w:r w:rsidR="00D35734">
        <w:t>, below</w:t>
      </w:r>
      <w:r w:rsidR="002C0486">
        <w:t>).</w:t>
      </w:r>
    </w:p>
    <w:p w14:paraId="77EC4890" w14:textId="32223ED4" w:rsidR="002C0486" w:rsidRPr="002C0486" w:rsidRDefault="002C0486" w:rsidP="00D36D6D">
      <w:pPr>
        <w:pStyle w:val="TableTitle"/>
        <w:pageBreakBefore/>
      </w:pPr>
      <w:bookmarkStart w:id="44" w:name="_Ref74562542"/>
      <w:r>
        <w:t xml:space="preserve">Table </w:t>
      </w:r>
      <w:fldSimple w:instr=" SEQ Table \* ARABIC ">
        <w:r w:rsidR="00B15022">
          <w:rPr>
            <w:noProof/>
          </w:rPr>
          <w:t>2</w:t>
        </w:r>
      </w:fldSimple>
      <w:bookmarkEnd w:id="44"/>
      <w:r>
        <w:t>: Study C4591001 Summary of g</w:t>
      </w:r>
      <w:r w:rsidRPr="002C0486">
        <w:t>eometric mean ratio</w:t>
      </w:r>
      <w:r>
        <w:t xml:space="preserve"> comparison of subjects </w:t>
      </w:r>
      <w:r w:rsidR="00E70A93">
        <w:t xml:space="preserve">between </w:t>
      </w:r>
      <w:r>
        <w:t>12 to</w:t>
      </w:r>
      <w:r w:rsidR="00E70A93">
        <w:t xml:space="preserve"> </w:t>
      </w:r>
      <w:r w:rsidRPr="002C0486">
        <w:t xml:space="preserve">15 </w:t>
      </w:r>
      <w:r w:rsidR="002077BE">
        <w:t>years of age</w:t>
      </w:r>
      <w:r w:rsidR="00E70A93">
        <w:t>, and</w:t>
      </w:r>
      <w:r>
        <w:t xml:space="preserve"> to subjects </w:t>
      </w:r>
      <w:r w:rsidR="00E70A93">
        <w:t xml:space="preserve">between </w:t>
      </w:r>
      <w:r>
        <w:t>16 to</w:t>
      </w:r>
      <w:r w:rsidR="00E70A93">
        <w:t xml:space="preserve"> </w:t>
      </w:r>
      <w:r w:rsidRPr="002C0486">
        <w:t>25</w:t>
      </w:r>
      <w:r>
        <w:t xml:space="preserve"> </w:t>
      </w:r>
      <w:r w:rsidR="002077BE">
        <w:t>years of age</w:t>
      </w:r>
      <w:r>
        <w:t xml:space="preserve"> (</w:t>
      </w:r>
      <w:r w:rsidRPr="002C0486">
        <w:t xml:space="preserve">subjects without evidence of </w:t>
      </w:r>
      <w:r>
        <w:t xml:space="preserve">infection up to one month post </w:t>
      </w:r>
      <w:r w:rsidR="00E70A93">
        <w:rPr>
          <w:color w:val="000000"/>
        </w:rPr>
        <w:t>second dose</w:t>
      </w:r>
      <w:r>
        <w:t>)</w:t>
      </w:r>
      <w:r w:rsidR="007A2DCC">
        <w:t xml:space="preserve"> (</w:t>
      </w:r>
      <w:proofErr w:type="spellStart"/>
      <w:r w:rsidR="00E55BFD">
        <w:t>cutoff</w:t>
      </w:r>
      <w:proofErr w:type="spellEnd"/>
      <w:r w:rsidR="007A2DCC">
        <w:t xml:space="preserve"> date 13 March 2021)</w:t>
      </w:r>
    </w:p>
    <w:p w14:paraId="656C54F6" w14:textId="612B4E4F" w:rsidR="00F905FF" w:rsidRDefault="002C0486" w:rsidP="00D36D6D">
      <w:r w:rsidRPr="00EE0E9F">
        <w:rPr>
          <w:noProof/>
          <w:lang w:eastAsia="en-AU"/>
        </w:rPr>
        <w:drawing>
          <wp:inline distT="0" distB="0" distL="0" distR="0" wp14:anchorId="349AE703" wp14:editId="08DAC2D7">
            <wp:extent cx="5399909" cy="1117600"/>
            <wp:effectExtent l="0" t="0" r="0" b="6350"/>
            <wp:docPr id="1" name="Picture 1" descr="Study C4591001 Summary of geometric mean ratio comparison of subjects 12 to15 years of age to subjects 16 to25 years of age (subjects without evidence of infection up to one month post Dose 2) (cutoff date 13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2445"/>
                    <a:stretch/>
                  </pic:blipFill>
                  <pic:spPr bwMode="auto">
                    <a:xfrm>
                      <a:off x="0" y="0"/>
                      <a:ext cx="5400040" cy="1117627"/>
                    </a:xfrm>
                    <a:prstGeom prst="rect">
                      <a:avLst/>
                    </a:prstGeom>
                    <a:noFill/>
                    <a:ln>
                      <a:noFill/>
                    </a:ln>
                    <a:extLst>
                      <a:ext uri="{53640926-AAD7-44D8-BBD7-CCE9431645EC}">
                        <a14:shadowObscured xmlns:a14="http://schemas.microsoft.com/office/drawing/2010/main"/>
                      </a:ext>
                    </a:extLst>
                  </pic:spPr>
                </pic:pic>
              </a:graphicData>
            </a:graphic>
          </wp:inline>
        </w:drawing>
      </w:r>
    </w:p>
    <w:p w14:paraId="556805A3" w14:textId="54533A9F" w:rsidR="002C0486" w:rsidRDefault="002C0486" w:rsidP="002C0486">
      <w:pPr>
        <w:pStyle w:val="TableDescription"/>
      </w:pPr>
      <w:r>
        <w:t xml:space="preserve">Abbreviations: GMR = geometric mean ratio; GMT = geometric mean </w:t>
      </w:r>
      <w:r w:rsidR="006B1648">
        <w:t>titre</w:t>
      </w:r>
      <w:r>
        <w:t>; LLOQ = lower limit of quantitation; NT</w:t>
      </w:r>
      <w:r w:rsidRPr="00333E93">
        <w:rPr>
          <w:vertAlign w:val="subscript"/>
        </w:rPr>
        <w:t>50</w:t>
      </w:r>
      <w:r>
        <w:t xml:space="preserve"> = 50% neutralising </w:t>
      </w:r>
      <w:r w:rsidR="006B1648">
        <w:t>titre</w:t>
      </w:r>
      <w:r>
        <w:t>; SARS-CoV-2 = severe acute resp</w:t>
      </w:r>
      <w:r w:rsidR="006B1648">
        <w:t>iratory syndrome coronavirus 2.</w:t>
      </w:r>
    </w:p>
    <w:p w14:paraId="50635C9A" w14:textId="15047ACA" w:rsidR="002C0486" w:rsidRDefault="002C0486" w:rsidP="002C0486">
      <w:pPr>
        <w:pStyle w:val="TableDescription"/>
      </w:pPr>
      <w:proofErr w:type="gramStart"/>
      <w:r>
        <w:t xml:space="preserve">Note: Subjects who had no </w:t>
      </w:r>
      <w:r w:rsidR="00DE7F4D">
        <w:t xml:space="preserve">serological </w:t>
      </w:r>
      <w:r w:rsidR="006B1648">
        <w:t>or virological evidence (up to one</w:t>
      </w:r>
      <w:r w:rsidR="00DE7F4D">
        <w:t xml:space="preserve"> month after receipt of the last dose) of past SARS-CoV-2 infection (that is N-binding antibody (serum) negative at Visit One and SAR-CoV-2 not detected by NAAT (nasal swab) at Visit One and Two) and had negative </w:t>
      </w:r>
      <w:r w:rsidR="006B1648">
        <w:t>nucleic acid amplification test (NAAT)</w:t>
      </w:r>
      <w:r w:rsidR="00DE7F4D">
        <w:t xml:space="preserve"> (nasal swab) at any unscheduled visit up to one month after Dose 2 were included in the analysis.</w:t>
      </w:r>
      <w:proofErr w:type="gramEnd"/>
    </w:p>
    <w:p w14:paraId="6A768439" w14:textId="1998489F" w:rsidR="00DE7F4D" w:rsidRDefault="00DE7F4D" w:rsidP="002C0486">
      <w:pPr>
        <w:pStyle w:val="TableDescription"/>
      </w:pPr>
      <w:proofErr w:type="gramStart"/>
      <w:r w:rsidRPr="00DE7F4D">
        <w:rPr>
          <w:vertAlign w:val="superscript"/>
        </w:rPr>
        <w:t>a</w:t>
      </w:r>
      <w:proofErr w:type="gramEnd"/>
      <w:r>
        <w:t xml:space="preserve"> Protocol specified timing for blood sample collection</w:t>
      </w:r>
    </w:p>
    <w:p w14:paraId="0226CAE4" w14:textId="44B56825" w:rsidR="00DE7F4D" w:rsidRDefault="00DE7F4D" w:rsidP="002C0486">
      <w:pPr>
        <w:pStyle w:val="TableDescription"/>
      </w:pPr>
      <w:proofErr w:type="gramStart"/>
      <w:r w:rsidRPr="00DE7F4D">
        <w:rPr>
          <w:vertAlign w:val="superscript"/>
        </w:rPr>
        <w:t>b</w:t>
      </w:r>
      <w:proofErr w:type="gramEnd"/>
      <w:r>
        <w:t xml:space="preserve"> n = Number of subjects with valid and determinate assay results for the specified assay at the given dose/sampling time point.</w:t>
      </w:r>
    </w:p>
    <w:p w14:paraId="0686D41B" w14:textId="50B084BB" w:rsidR="00DE7F4D" w:rsidRDefault="00DE7F4D" w:rsidP="002C0486">
      <w:pPr>
        <w:pStyle w:val="TableDescription"/>
      </w:pPr>
      <w:proofErr w:type="gramStart"/>
      <w:r>
        <w:rPr>
          <w:vertAlign w:val="superscript"/>
        </w:rPr>
        <w:t>c</w:t>
      </w:r>
      <w:proofErr w:type="gramEnd"/>
      <w:r>
        <w:t xml:space="preserve"> GMTs and two sided 95% Cis were calculated by exponentiating the mean logarithms of the </w:t>
      </w:r>
      <w:r w:rsidR="006B1648">
        <w:t>titre</w:t>
      </w:r>
      <w:r>
        <w:t>s and the corresponding Cis (based on Student t distribution). Assay results below LLOQ were set to 0.5 x LLOQ.</w:t>
      </w:r>
    </w:p>
    <w:p w14:paraId="6B126919" w14:textId="53104BCB" w:rsidR="00DE7F4D" w:rsidRDefault="00DE7F4D" w:rsidP="002C0486">
      <w:pPr>
        <w:pStyle w:val="TableDescription"/>
      </w:pPr>
      <w:proofErr w:type="gramStart"/>
      <w:r w:rsidRPr="00DE7F4D">
        <w:rPr>
          <w:vertAlign w:val="superscript"/>
        </w:rPr>
        <w:t>d</w:t>
      </w:r>
      <w:proofErr w:type="gramEnd"/>
      <w:r>
        <w:t xml:space="preserve"> GMRs and two sided 95% CI were calculated by exponentiating the mean difference of the logarithms of the </w:t>
      </w:r>
      <w:r w:rsidR="006B1648">
        <w:t>titre</w:t>
      </w:r>
      <w:r>
        <w:t>s (Group one (12 to 15 years) – Group two (16 to 25 years )) and the corresponding CI (based on the Student t distribution)</w:t>
      </w:r>
    </w:p>
    <w:p w14:paraId="24D1C547" w14:textId="3236BED4" w:rsidR="00DE7F4D" w:rsidRDefault="00DE7F4D" w:rsidP="002C0486">
      <w:pPr>
        <w:pStyle w:val="TableDescription"/>
      </w:pPr>
      <w:r w:rsidRPr="002A2E35">
        <w:rPr>
          <w:vertAlign w:val="superscript"/>
        </w:rPr>
        <w:t>e</w:t>
      </w:r>
      <w:r>
        <w:t xml:space="preserve"> Non</w:t>
      </w:r>
      <w:r w:rsidR="003E4507">
        <w:t>-</w:t>
      </w:r>
      <w:r>
        <w:t xml:space="preserve">inferiority </w:t>
      </w:r>
      <w:r w:rsidR="007A2DCC">
        <w:t>is declared if the lower bound of two sided 95% CI for the GMR is greater than 0.67.</w:t>
      </w:r>
    </w:p>
    <w:p w14:paraId="4AD77A60" w14:textId="523975FF" w:rsidR="007A2DCC" w:rsidRDefault="007A2DCC" w:rsidP="007A2DCC">
      <w:pPr>
        <w:pStyle w:val="Heading6"/>
      </w:pPr>
      <w:r>
        <w:t xml:space="preserve">Geometric mean </w:t>
      </w:r>
      <w:r w:rsidR="006B1648">
        <w:t>titre</w:t>
      </w:r>
      <w:r>
        <w:t>s</w:t>
      </w:r>
    </w:p>
    <w:p w14:paraId="477E983B" w14:textId="26A33964" w:rsidR="007A2DCC" w:rsidRDefault="007A2DCC" w:rsidP="007A2DCC">
      <w:r>
        <w:t>There were substantial increases in SARS-CoV-2 50% neutrali</w:t>
      </w:r>
      <w:r w:rsidR="00333E93">
        <w:t>s</w:t>
      </w:r>
      <w:r>
        <w:t xml:space="preserve">ing GMTs in both age groups at </w:t>
      </w:r>
      <w:proofErr w:type="gramStart"/>
      <w:r>
        <w:t>one month</w:t>
      </w:r>
      <w:proofErr w:type="gramEnd"/>
      <w:r>
        <w:t xml:space="preserve"> post </w:t>
      </w:r>
      <w:r w:rsidR="00A43FD6">
        <w:t xml:space="preserve">the </w:t>
      </w:r>
      <w:r w:rsidR="00A43FD6">
        <w:rPr>
          <w:color w:val="000000"/>
        </w:rPr>
        <w:t>second dose</w:t>
      </w:r>
      <w:r w:rsidR="00A43FD6" w:rsidRPr="003B283F">
        <w:rPr>
          <w:color w:val="000000"/>
        </w:rPr>
        <w:t xml:space="preserve"> </w:t>
      </w:r>
      <w:r>
        <w:t xml:space="preserve">of </w:t>
      </w:r>
      <w:proofErr w:type="spellStart"/>
      <w:r w:rsidR="003E4507">
        <w:t>Comirnaty</w:t>
      </w:r>
      <w:proofErr w:type="spellEnd"/>
      <w:r w:rsidR="003E4507">
        <w:t xml:space="preserve"> </w:t>
      </w:r>
      <w:r>
        <w:t>BNT162b2 vaccine, with a greater increase in the adolescent group compared with the young adult group. The neutrali</w:t>
      </w:r>
      <w:r w:rsidR="00333E93">
        <w:t>s</w:t>
      </w:r>
      <w:r>
        <w:t xml:space="preserve">ing GMT in adolescents at </w:t>
      </w:r>
      <w:proofErr w:type="gramStart"/>
      <w:r>
        <w:t>one month</w:t>
      </w:r>
      <w:proofErr w:type="gramEnd"/>
      <w:r>
        <w:t xml:space="preserve"> post </w:t>
      </w:r>
      <w:r w:rsidR="00A43FD6">
        <w:t>the second dose</w:t>
      </w:r>
      <w:r>
        <w:t xml:space="preserve"> was approximately 1.76 fold that of the young adult group. The neutrali</w:t>
      </w:r>
      <w:r w:rsidR="00333E93">
        <w:t>s</w:t>
      </w:r>
      <w:r>
        <w:t xml:space="preserve">ing GMTs were low in both placebo groups. Vaccination with </w:t>
      </w:r>
      <w:r w:rsidR="003E4507">
        <w:t xml:space="preserve">the </w:t>
      </w:r>
      <w:proofErr w:type="spellStart"/>
      <w:r w:rsidR="003E4507">
        <w:t>Comirnaty</w:t>
      </w:r>
      <w:proofErr w:type="spellEnd"/>
      <w:r w:rsidR="003E4507">
        <w:t xml:space="preserve"> </w:t>
      </w:r>
      <w:r>
        <w:t xml:space="preserve">BNT162b2 vaccine induced an increased immune response at </w:t>
      </w:r>
      <w:proofErr w:type="gramStart"/>
      <w:r>
        <w:t>one month</w:t>
      </w:r>
      <w:proofErr w:type="gramEnd"/>
      <w:r>
        <w:t xml:space="preserve"> post Dose 2 for all participants, regardless of Baseline SARS-CoV-2 positive or negative status. Adolescents who were Baseline SARS-CoV-2 positive had SARS-CoV-2 50% neutrali</w:t>
      </w:r>
      <w:r w:rsidR="00333E93">
        <w:t>s</w:t>
      </w:r>
      <w:r>
        <w:t xml:space="preserve">ing GMTs approximately 1.89 fold that of adolescents who were Baseline negative. A similar pattern </w:t>
      </w:r>
      <w:proofErr w:type="gramStart"/>
      <w:r>
        <w:t>was seen</w:t>
      </w:r>
      <w:proofErr w:type="gramEnd"/>
      <w:r>
        <w:t xml:space="preserve"> for young adults.</w:t>
      </w:r>
    </w:p>
    <w:p w14:paraId="72D5C6EC" w14:textId="36340111" w:rsidR="007A2DCC" w:rsidRDefault="007A2DCC" w:rsidP="007A2DCC">
      <w:pPr>
        <w:pStyle w:val="Heading6"/>
      </w:pPr>
      <w:r>
        <w:t xml:space="preserve">Geometric mean fold-rise in </w:t>
      </w:r>
      <w:r w:rsidR="006B1648">
        <w:t>titre</w:t>
      </w:r>
      <w:r>
        <w:t>s</w:t>
      </w:r>
    </w:p>
    <w:p w14:paraId="0E3D4AF7" w14:textId="0032D695" w:rsidR="007A2DCC" w:rsidRDefault="007A2DCC" w:rsidP="007A2DCC">
      <w:r>
        <w:t xml:space="preserve">From before vaccination to </w:t>
      </w:r>
      <w:proofErr w:type="gramStart"/>
      <w:r>
        <w:t>one month</w:t>
      </w:r>
      <w:proofErr w:type="gramEnd"/>
      <w:r>
        <w:t xml:space="preserve"> post </w:t>
      </w:r>
      <w:r w:rsidR="00A43FD6">
        <w:t>the second dose</w:t>
      </w:r>
      <w:r>
        <w:t xml:space="preserve"> of </w:t>
      </w:r>
      <w:proofErr w:type="spellStart"/>
      <w:r w:rsidR="00B46F9F">
        <w:t>Comirnaty</w:t>
      </w:r>
      <w:proofErr w:type="spellEnd"/>
      <w:r w:rsidR="00B46F9F">
        <w:t xml:space="preserve"> </w:t>
      </w:r>
      <w:r>
        <w:t>BNT162b2 vaccine, there were greater increase of GMFRs of SARS-CoV-2 50% neutrali</w:t>
      </w:r>
      <w:r w:rsidR="00333E93">
        <w:t>s</w:t>
      </w:r>
      <w:r>
        <w:t xml:space="preserve">ing </w:t>
      </w:r>
      <w:r w:rsidR="006B1648">
        <w:t>titre</w:t>
      </w:r>
      <w:r>
        <w:t>s in the adolescent group (118.3) compared with that in young adult group (71.2). The GMFRs were numerically higher</w:t>
      </w:r>
      <w:r w:rsidR="00DD4AC0">
        <w:t xml:space="preserve"> in those who were negative at B</w:t>
      </w:r>
      <w:r>
        <w:t>aseline compared</w:t>
      </w:r>
      <w:r w:rsidR="00DD4AC0">
        <w:t xml:space="preserve"> to those who were positive at B</w:t>
      </w:r>
      <w:r>
        <w:t>aseline for both age groups.</w:t>
      </w:r>
    </w:p>
    <w:p w14:paraId="092FF870" w14:textId="1CD3443B" w:rsidR="007A2DCC" w:rsidRDefault="007A2DCC" w:rsidP="007A2DCC">
      <w:pPr>
        <w:pStyle w:val="Heading6"/>
      </w:pPr>
      <w:proofErr w:type="spellStart"/>
      <w:r>
        <w:t>Seroresponse</w:t>
      </w:r>
      <w:proofErr w:type="spellEnd"/>
      <w:r>
        <w:t xml:space="preserve"> rate</w:t>
      </w:r>
    </w:p>
    <w:p w14:paraId="105A8E3F" w14:textId="4443A5EF" w:rsidR="007A2DCC" w:rsidRDefault="007A2DCC" w:rsidP="007A2DCC">
      <w:r>
        <w:t>Proportions of participants with a ≥ 4 fold rise in SARS-CoV-2 50% neutrali</w:t>
      </w:r>
      <w:r w:rsidR="00333E93">
        <w:t>s</w:t>
      </w:r>
      <w:r>
        <w:t xml:space="preserve">ing </w:t>
      </w:r>
      <w:r w:rsidR="006B1648">
        <w:t>titre</w:t>
      </w:r>
      <w:r>
        <w:t xml:space="preserve">s from before vaccination to one month after </w:t>
      </w:r>
      <w:r w:rsidR="00A43FD6">
        <w:t>the second dose</w:t>
      </w:r>
      <w:r>
        <w:t xml:space="preserve"> of </w:t>
      </w:r>
      <w:proofErr w:type="spellStart"/>
      <w:r w:rsidR="00B46F9F">
        <w:t>Comirnaty</w:t>
      </w:r>
      <w:proofErr w:type="spellEnd"/>
      <w:r w:rsidR="00B46F9F">
        <w:t xml:space="preserve"> </w:t>
      </w:r>
      <w:r>
        <w:t>BNT162b2 (</w:t>
      </w:r>
      <w:proofErr w:type="spellStart"/>
      <w:r>
        <w:t>seroresponse</w:t>
      </w:r>
      <w:proofErr w:type="spellEnd"/>
      <w:r>
        <w:t xml:space="preserve"> rate) were 98.1% in adolescents and 99.3% in young adults. Very few placebo recipients reached a ≥ 4 fold rise in SARS-CoV-2 neutrali</w:t>
      </w:r>
      <w:r w:rsidR="00333E93">
        <w:t>s</w:t>
      </w:r>
      <w:r>
        <w:t xml:space="preserve">ing </w:t>
      </w:r>
      <w:r w:rsidR="006B1648">
        <w:t>titre</w:t>
      </w:r>
      <w:r>
        <w:t xml:space="preserve">s from before to one month after </w:t>
      </w:r>
      <w:r w:rsidR="00A43FD6">
        <w:t xml:space="preserve">the </w:t>
      </w:r>
      <w:r w:rsidR="00A43FD6">
        <w:rPr>
          <w:color w:val="000000"/>
        </w:rPr>
        <w:t>second dose.</w:t>
      </w:r>
      <w:r>
        <w:t xml:space="preserve"> </w:t>
      </w:r>
      <w:proofErr w:type="spellStart"/>
      <w:r>
        <w:t>Seroresponse</w:t>
      </w:r>
      <w:proofErr w:type="spellEnd"/>
      <w:r>
        <w:t xml:space="preserve"> rate in adolescents who were Baseline SARS-CoV-2 positive or negative had similar </w:t>
      </w:r>
      <w:proofErr w:type="spellStart"/>
      <w:r>
        <w:t>seroresponse</w:t>
      </w:r>
      <w:proofErr w:type="spellEnd"/>
      <w:r>
        <w:t xml:space="preserve"> rates (100.0% versus 97.9%)</w:t>
      </w:r>
    </w:p>
    <w:p w14:paraId="61F1367C" w14:textId="7D74E9E4" w:rsidR="007A2DCC" w:rsidRDefault="007A2DCC" w:rsidP="007A2DCC">
      <w:pPr>
        <w:pStyle w:val="Heading6"/>
      </w:pPr>
      <w:r>
        <w:t>Efficacy analysis for adolescents 12 to 15 years of age</w:t>
      </w:r>
    </w:p>
    <w:p w14:paraId="7DC4308C" w14:textId="61DBE579" w:rsidR="007A2DCC" w:rsidRDefault="007A2DCC" w:rsidP="007A2DCC">
      <w:r>
        <w:t xml:space="preserve">The updated efficacy analyses for individuals 12 to 15 years of age were not event driven. The number of cases of COVID-19 included in the updated efficacy analysis was not pre-specified. The </w:t>
      </w:r>
      <w:proofErr w:type="spellStart"/>
      <w:r w:rsidR="00E55BFD">
        <w:t>cutoff</w:t>
      </w:r>
      <w:proofErr w:type="spellEnd"/>
      <w:r>
        <w:t xml:space="preserve"> date of 13 March 2021 was decided </w:t>
      </w:r>
      <w:proofErr w:type="gramStart"/>
      <w:r>
        <w:t>on the basis of</w:t>
      </w:r>
      <w:proofErr w:type="gramEnd"/>
      <w:r>
        <w:t xml:space="preserve"> safety and immunogenicity analysis.</w:t>
      </w:r>
    </w:p>
    <w:p w14:paraId="6A877493" w14:textId="70BF4FD0" w:rsidR="007A2DCC" w:rsidRDefault="007A2DCC" w:rsidP="007A2DCC">
      <w:r>
        <w:t>The efficacy endpoints analysed for adolescents 12 to 15 years of age include the followings:</w:t>
      </w:r>
    </w:p>
    <w:p w14:paraId="69902635" w14:textId="1A56A98E" w:rsidR="007A2DCC" w:rsidRDefault="007A2DCC" w:rsidP="007A2DCC">
      <w:pPr>
        <w:pStyle w:val="ListBullet"/>
      </w:pPr>
      <w:r>
        <w:t>COVID-19 incidence per 1000 person-years of follow up in participants either</w:t>
      </w:r>
      <w:r w:rsidR="00D51B04">
        <w:t xml:space="preserve"> </w:t>
      </w:r>
      <w:r>
        <w:t>(1) without or (2) with and without serological or virological evidence of past SARS-CoV-2 infection before a</w:t>
      </w:r>
      <w:r w:rsidR="00DD4AC0">
        <w:t xml:space="preserve">nd during vaccination regimen, </w:t>
      </w:r>
      <w:r>
        <w:t xml:space="preserve">cases confirmed ≥ 7 days after </w:t>
      </w:r>
      <w:r w:rsidR="007849E2">
        <w:t xml:space="preserve">the </w:t>
      </w:r>
      <w:r w:rsidR="007849E2">
        <w:rPr>
          <w:color w:val="000000"/>
        </w:rPr>
        <w:t>second dose.</w:t>
      </w:r>
    </w:p>
    <w:p w14:paraId="340F7072" w14:textId="32D67B24" w:rsidR="007A2DCC" w:rsidRDefault="007A2DCC" w:rsidP="007A2DCC">
      <w:pPr>
        <w:pStyle w:val="ListBullet"/>
      </w:pPr>
      <w:r>
        <w:t>Severe COVID-19 incidence per 1000 person-years of follow-up in participants either (1) without or (2) with and without evidence of past SARS-CoV-2 infection before a</w:t>
      </w:r>
      <w:r w:rsidR="00DD4AC0">
        <w:t xml:space="preserve">nd during vaccination regimen, </w:t>
      </w:r>
      <w:r>
        <w:t xml:space="preserve">cases confirmed ≥ 7 days after </w:t>
      </w:r>
      <w:r w:rsidR="007849E2">
        <w:t xml:space="preserve">the </w:t>
      </w:r>
      <w:r w:rsidR="007849E2">
        <w:rPr>
          <w:color w:val="000000"/>
        </w:rPr>
        <w:t>second dose.</w:t>
      </w:r>
    </w:p>
    <w:p w14:paraId="3C36B2AC" w14:textId="7ABF34D6" w:rsidR="007A2DCC" w:rsidRDefault="007A2DCC" w:rsidP="007A2DCC">
      <w:r>
        <w:t xml:space="preserve">The statistical analyses of efficacy data from Study C4591001 </w:t>
      </w:r>
      <w:proofErr w:type="gramStart"/>
      <w:r>
        <w:t>were based</w:t>
      </w:r>
      <w:proofErr w:type="gramEnd"/>
      <w:r>
        <w:t xml:space="preserve"> on the evaluable efficacy populations and all-available efficacy populations. The point estimate of vaccine efficacy (VE) and associated two sided 95% CI derived using the Clopper-Pearson method adjusted for surveillance time </w:t>
      </w:r>
      <w:proofErr w:type="gramStart"/>
      <w:r>
        <w:t>were provided</w:t>
      </w:r>
      <w:proofErr w:type="gramEnd"/>
      <w:r>
        <w:t xml:space="preserve"> as descriptive summary. Updated analyses for this submission include COVID-19 cases accrued in blinded follow-up in adolescents 12</w:t>
      </w:r>
      <w:r w:rsidR="007849E2">
        <w:t> </w:t>
      </w:r>
      <w:r>
        <w:t xml:space="preserve">to 15 years of age to the data </w:t>
      </w:r>
      <w:proofErr w:type="spellStart"/>
      <w:r w:rsidR="00E55BFD">
        <w:t>cutoff</w:t>
      </w:r>
      <w:proofErr w:type="spellEnd"/>
      <w:r>
        <w:t xml:space="preserve"> date (13 March 2021).</w:t>
      </w:r>
    </w:p>
    <w:p w14:paraId="2C062F43" w14:textId="4FF354BA" w:rsidR="007A2DCC" w:rsidRDefault="007A2DCC" w:rsidP="007A2DCC">
      <w:r>
        <w:t>In the efficacy analyses, adolescents in the</w:t>
      </w:r>
      <w:r w:rsidR="008D6768">
        <w:t xml:space="preserve"> efficacy populations included:</w:t>
      </w:r>
    </w:p>
    <w:p w14:paraId="044FF3A9" w14:textId="05C1F89B" w:rsidR="007A2DCC" w:rsidRDefault="007A2DCC" w:rsidP="007A2DCC">
      <w:pPr>
        <w:pStyle w:val="ListBullet"/>
      </w:pPr>
      <w:r>
        <w:t xml:space="preserve">Evaluable efficacy population without evidence of SARS-CoV-2 infection prior to seven days after </w:t>
      </w:r>
      <w:r w:rsidR="0095131C">
        <w:t xml:space="preserve">the </w:t>
      </w:r>
      <w:r w:rsidR="0095131C">
        <w:rPr>
          <w:color w:val="000000"/>
        </w:rPr>
        <w:t>second dose</w:t>
      </w:r>
      <w:r>
        <w:t xml:space="preserve">: n = 1005 in the </w:t>
      </w:r>
      <w:proofErr w:type="spellStart"/>
      <w:r w:rsidR="00B46F9F">
        <w:t>Comirnaty</w:t>
      </w:r>
      <w:proofErr w:type="spellEnd"/>
      <w:r w:rsidR="00B46F9F">
        <w:t xml:space="preserve"> </w:t>
      </w:r>
      <w:r>
        <w:t>BNT162b2 vaccine group and n</w:t>
      </w:r>
      <w:r w:rsidR="0095131C">
        <w:t> = </w:t>
      </w:r>
      <w:r>
        <w:t>978 in the placebo group.</w:t>
      </w:r>
    </w:p>
    <w:p w14:paraId="0A435777" w14:textId="38C27F31" w:rsidR="007A2DCC" w:rsidRDefault="007A2DCC" w:rsidP="007A2DCC">
      <w:pPr>
        <w:pStyle w:val="ListBullet"/>
      </w:pPr>
      <w:r>
        <w:t>Evaluable efficacy population with or without evidence of</w:t>
      </w:r>
      <w:r w:rsidR="00DD4AC0">
        <w:t xml:space="preserve"> SARS-CoV-2 infection prior to seven</w:t>
      </w:r>
      <w:r>
        <w:t xml:space="preserve"> days after </w:t>
      </w:r>
      <w:r w:rsidR="0095131C">
        <w:t>the second dose</w:t>
      </w:r>
      <w:r>
        <w:t>: n = 1119 in t</w:t>
      </w:r>
      <w:r w:rsidR="00135C51">
        <w:t xml:space="preserve">he </w:t>
      </w:r>
      <w:proofErr w:type="spellStart"/>
      <w:r w:rsidR="00B46F9F">
        <w:t>Comirnaty</w:t>
      </w:r>
      <w:proofErr w:type="spellEnd"/>
      <w:r w:rsidR="00B46F9F">
        <w:t xml:space="preserve"> </w:t>
      </w:r>
      <w:r w:rsidR="00135C51">
        <w:t>BNT162b2 vaccine group and n = </w:t>
      </w:r>
      <w:r>
        <w:t>1110 in the placebo group.</w:t>
      </w:r>
    </w:p>
    <w:p w14:paraId="2CC045F8" w14:textId="6B6D4388" w:rsidR="007A2DCC" w:rsidRDefault="007A2DCC" w:rsidP="007A2DCC">
      <w:pPr>
        <w:pStyle w:val="ListBullet"/>
      </w:pPr>
      <w:r>
        <w:t xml:space="preserve">Dose </w:t>
      </w:r>
      <w:proofErr w:type="gramStart"/>
      <w:r>
        <w:t>1</w:t>
      </w:r>
      <w:proofErr w:type="gramEnd"/>
      <w:r>
        <w:t xml:space="preserve"> all</w:t>
      </w:r>
      <w:r w:rsidR="00DD4AC0">
        <w:t xml:space="preserve"> </w:t>
      </w:r>
      <w:r>
        <w:t>available efficacy population: n = 1131 in t</w:t>
      </w:r>
      <w:r w:rsidR="00135C51">
        <w:t xml:space="preserve">he </w:t>
      </w:r>
      <w:proofErr w:type="spellStart"/>
      <w:r w:rsidR="00B46F9F">
        <w:t>Comirnaty</w:t>
      </w:r>
      <w:proofErr w:type="spellEnd"/>
      <w:r w:rsidR="00B46F9F">
        <w:t xml:space="preserve"> </w:t>
      </w:r>
      <w:r w:rsidR="00135C51">
        <w:t>BNT162b2 vaccine group and n = </w:t>
      </w:r>
      <w:r>
        <w:t>1129 in the placebo group.</w:t>
      </w:r>
    </w:p>
    <w:p w14:paraId="674912E8" w14:textId="7DAAEA10" w:rsidR="007A2DCC" w:rsidRDefault="007A2DCC" w:rsidP="007A2DCC">
      <w:r>
        <w:t>As of 13 March 2021, confirmed COVID-19 cases in the evaluable efficacy population adolescent group without evidence of prior</w:t>
      </w:r>
      <w:r w:rsidR="0036326E">
        <w:t xml:space="preserve"> SARS-CoV-2 infection at least seven</w:t>
      </w:r>
      <w:r>
        <w:t xml:space="preserve"> days after </w:t>
      </w:r>
      <w:r w:rsidR="0095131C">
        <w:t xml:space="preserve">the </w:t>
      </w:r>
      <w:r w:rsidR="0095131C">
        <w:rPr>
          <w:color w:val="000000"/>
        </w:rPr>
        <w:t>second dose</w:t>
      </w:r>
      <w:r>
        <w:t xml:space="preserve"> included 0 cases in the </w:t>
      </w:r>
      <w:proofErr w:type="spellStart"/>
      <w:r w:rsidR="00B46F9F">
        <w:t>Comirnaty</w:t>
      </w:r>
      <w:proofErr w:type="spellEnd"/>
      <w:r w:rsidR="00B46F9F">
        <w:t xml:space="preserve"> </w:t>
      </w:r>
      <w:r>
        <w:t xml:space="preserve">BNT162b2 </w:t>
      </w:r>
      <w:r w:rsidR="0036326E">
        <w:t xml:space="preserve">vaccine </w:t>
      </w:r>
      <w:r>
        <w:t>group and 16 cases in the placebo group. The observed VE was 1</w:t>
      </w:r>
      <w:r w:rsidR="0036326E">
        <w:t xml:space="preserve">00% (two </w:t>
      </w:r>
      <w:r w:rsidR="00DD4AC0">
        <w:t>sided 95% CI: 75.3%, 100.0%) (</w:t>
      </w:r>
      <w:proofErr w:type="gramStart"/>
      <w:r w:rsidR="00B46F9F">
        <w:t>s</w:t>
      </w:r>
      <w:r w:rsidR="00DD4AC0">
        <w:t>ee</w:t>
      </w:r>
      <w:proofErr w:type="gramEnd"/>
      <w:r w:rsidR="00DD4AC0">
        <w:t xml:space="preserve"> </w:t>
      </w:r>
      <w:r w:rsidR="00DD4AC0">
        <w:fldChar w:fldCharType="begin"/>
      </w:r>
      <w:r w:rsidR="00DD4AC0">
        <w:instrText xml:space="preserve"> REF _Ref74580339 \h </w:instrText>
      </w:r>
      <w:r w:rsidR="00DD4AC0">
        <w:fldChar w:fldCharType="separate"/>
      </w:r>
      <w:r w:rsidR="00B15022" w:rsidRPr="0036326E">
        <w:t xml:space="preserve">Table </w:t>
      </w:r>
      <w:r w:rsidR="00B15022">
        <w:rPr>
          <w:noProof/>
        </w:rPr>
        <w:t>3</w:t>
      </w:r>
      <w:r w:rsidR="00DD4AC0">
        <w:fldChar w:fldCharType="end"/>
      </w:r>
      <w:r w:rsidR="00B46F9F">
        <w:t>, below</w:t>
      </w:r>
      <w:r w:rsidR="00DD4AC0">
        <w:t>).</w:t>
      </w:r>
    </w:p>
    <w:p w14:paraId="4E499697" w14:textId="15E4A068" w:rsidR="007A2DCC" w:rsidRDefault="0036326E" w:rsidP="00D36D6D">
      <w:pPr>
        <w:pStyle w:val="TableTitle"/>
        <w:pageBreakBefore/>
      </w:pPr>
      <w:bookmarkStart w:id="45" w:name="_Ref74580339"/>
      <w:r w:rsidRPr="0036326E">
        <w:t xml:space="preserve">Table </w:t>
      </w:r>
      <w:fldSimple w:instr=" SEQ Table \* ARABIC ">
        <w:r w:rsidR="00B15022">
          <w:rPr>
            <w:noProof/>
          </w:rPr>
          <w:t>3</w:t>
        </w:r>
      </w:fldSimple>
      <w:bookmarkEnd w:id="45"/>
      <w:r>
        <w:t xml:space="preserve">: Study C4591001 Vaccine </w:t>
      </w:r>
      <w:r w:rsidR="00B46F9F">
        <w:t>e</w:t>
      </w:r>
      <w:r>
        <w:t xml:space="preserve">fficacy, first COVID-19 occurrence from seven days post </w:t>
      </w:r>
      <w:r w:rsidR="0095131C">
        <w:rPr>
          <w:color w:val="000000"/>
        </w:rPr>
        <w:t>second dose</w:t>
      </w:r>
      <w:r w:rsidR="0095131C" w:rsidRPr="003B283F">
        <w:rPr>
          <w:color w:val="000000"/>
        </w:rPr>
        <w:t xml:space="preserve"> </w:t>
      </w:r>
      <w:r>
        <w:t>(blin</w:t>
      </w:r>
      <w:r w:rsidRPr="0036326E">
        <w:t>de</w:t>
      </w:r>
      <w:r>
        <w:t xml:space="preserve">d placebo controlled follow-up period) subjects 12 to </w:t>
      </w:r>
      <w:r w:rsidRPr="0036326E">
        <w:t xml:space="preserve">15 years of age and without </w:t>
      </w:r>
      <w:r>
        <w:t>evidence of infection prior to seven</w:t>
      </w:r>
      <w:r w:rsidRPr="0036326E">
        <w:t xml:space="preserve"> days</w:t>
      </w:r>
      <w:r>
        <w:t xml:space="preserve"> post </w:t>
      </w:r>
      <w:r w:rsidR="0095131C">
        <w:rPr>
          <w:color w:val="000000"/>
        </w:rPr>
        <w:t>second dose</w:t>
      </w:r>
      <w:r w:rsidR="0095131C" w:rsidRPr="003B283F">
        <w:rPr>
          <w:color w:val="000000"/>
        </w:rPr>
        <w:t xml:space="preserve"> </w:t>
      </w:r>
      <w:r>
        <w:t>evaluable e</w:t>
      </w:r>
      <w:r w:rsidRPr="0036326E">
        <w:t>fficac</w:t>
      </w:r>
      <w:r w:rsidR="002A3443">
        <w:t>y (seven</w:t>
      </w:r>
      <w:r w:rsidRPr="0036326E">
        <w:t xml:space="preserve"> days) population</w:t>
      </w:r>
      <w:r w:rsidR="00B8671B">
        <w:t xml:space="preserve"> (data </w:t>
      </w:r>
      <w:proofErr w:type="spellStart"/>
      <w:r w:rsidR="00E55BFD">
        <w:t>cutoff</w:t>
      </w:r>
      <w:proofErr w:type="spellEnd"/>
      <w:r w:rsidR="00B8671B">
        <w:t xml:space="preserve"> 13</w:t>
      </w:r>
      <w:r w:rsidR="0095131C">
        <w:t> </w:t>
      </w:r>
      <w:r w:rsidR="00B8671B">
        <w:t>March 2021)</w:t>
      </w:r>
    </w:p>
    <w:p w14:paraId="55D863F6" w14:textId="659F57E6" w:rsidR="0036326E" w:rsidRDefault="0036326E" w:rsidP="0036326E">
      <w:r w:rsidRPr="00230B7C">
        <w:rPr>
          <w:rFonts w:asciiTheme="minorHAnsi" w:eastAsia="TimesNewRoman" w:hAnsiTheme="minorHAnsi" w:cs="TimesNewRoman"/>
          <w:noProof/>
          <w:lang w:eastAsia="en-AU"/>
        </w:rPr>
        <w:drawing>
          <wp:inline distT="0" distB="0" distL="0" distR="0" wp14:anchorId="223B9795" wp14:editId="2E4E3315">
            <wp:extent cx="5188128" cy="1224643"/>
            <wp:effectExtent l="0" t="0" r="0" b="0"/>
            <wp:docPr id="9" name="Picture 9" descr="Study C4591001 Vaccine Efficacy, first COVID-19 occurrence from seven days post Dose 2 (blinded placebo controlled follow-up period) subjects 12 to 15 years of age and without evidence of infection prior to seven days post Dose 2 evaluable efficacy (seven days) population (data cutoff 13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b="60182"/>
                    <a:stretch/>
                  </pic:blipFill>
                  <pic:spPr bwMode="auto">
                    <a:xfrm>
                      <a:off x="0" y="0"/>
                      <a:ext cx="5299202" cy="1250862"/>
                    </a:xfrm>
                    <a:prstGeom prst="rect">
                      <a:avLst/>
                    </a:prstGeom>
                    <a:noFill/>
                    <a:ln>
                      <a:noFill/>
                    </a:ln>
                    <a:extLst>
                      <a:ext uri="{53640926-AAD7-44D8-BBD7-CCE9431645EC}">
                        <a14:shadowObscured xmlns:a14="http://schemas.microsoft.com/office/drawing/2010/main"/>
                      </a:ext>
                    </a:extLst>
                  </pic:spPr>
                </pic:pic>
              </a:graphicData>
            </a:graphic>
          </wp:inline>
        </w:drawing>
      </w:r>
    </w:p>
    <w:p w14:paraId="2CFBECFF" w14:textId="7D69465E" w:rsidR="008D6768" w:rsidRDefault="008D6768" w:rsidP="008D6768">
      <w:pPr>
        <w:pStyle w:val="TableDescription"/>
      </w:pPr>
      <w:r>
        <w:t xml:space="preserve">Abbreviations: </w:t>
      </w:r>
      <w:proofErr w:type="gramStart"/>
      <w:r>
        <w:t>N-binding</w:t>
      </w:r>
      <w:proofErr w:type="gramEnd"/>
      <w:r>
        <w:t xml:space="preserve"> = SARS-CoV-2 nucleoprotein-binding; NAAT = nucleic acid amplification test; SAR-CoV-2 = severe acute respiratory syndrome coronavirus 2; VE = vaccine efficacy.</w:t>
      </w:r>
    </w:p>
    <w:p w14:paraId="4ABD6F72" w14:textId="13305C30" w:rsidR="008D6768" w:rsidRDefault="008D6768" w:rsidP="008D6768">
      <w:pPr>
        <w:pStyle w:val="TableDescription"/>
      </w:pPr>
      <w:proofErr w:type="gramStart"/>
      <w:r>
        <w:t>Note: subjects who has no serological or virological evidence (prior to seven days after receipt of the last dose) of SARS-CoV-2 infection (that is N-binding antibody (serum) negative at Visit One and SAR-CoV-2 not detected by NAAT (nasal swab) at Visit One and Two), had negative NAAT (nasal swab) at any unscheduled visit prior to seven days after Dose 2 were included in the analysis</w:t>
      </w:r>
      <w:proofErr w:type="gramEnd"/>
    </w:p>
    <w:p w14:paraId="414D582E" w14:textId="6B847E66" w:rsidR="008D6768" w:rsidRDefault="008D6768" w:rsidP="008D6768">
      <w:pPr>
        <w:pStyle w:val="TableDescription"/>
      </w:pPr>
      <w:proofErr w:type="gramStart"/>
      <w:r w:rsidRPr="002077BE">
        <w:rPr>
          <w:vertAlign w:val="superscript"/>
        </w:rPr>
        <w:t>a</w:t>
      </w:r>
      <w:proofErr w:type="gramEnd"/>
      <w:r>
        <w:t xml:space="preserve"> </w:t>
      </w:r>
      <w:r w:rsidR="00B8671B">
        <w:t>N = Number of subjects in the specified group</w:t>
      </w:r>
    </w:p>
    <w:p w14:paraId="69266A77" w14:textId="67DCC4A3" w:rsidR="00B8671B" w:rsidRDefault="00B8671B" w:rsidP="008D6768">
      <w:pPr>
        <w:pStyle w:val="TableDescription"/>
      </w:pPr>
      <w:proofErr w:type="gramStart"/>
      <w:r w:rsidRPr="002077BE">
        <w:rPr>
          <w:vertAlign w:val="superscript"/>
        </w:rPr>
        <w:t>b</w:t>
      </w:r>
      <w:proofErr w:type="gramEnd"/>
      <w:r>
        <w:t xml:space="preserve"> n1 = Number of subjects meeting the endpoint definition</w:t>
      </w:r>
    </w:p>
    <w:p w14:paraId="1B23E569" w14:textId="44F3EAD1" w:rsidR="00B8671B" w:rsidRDefault="00B8671B" w:rsidP="008D6768">
      <w:pPr>
        <w:pStyle w:val="TableDescription"/>
      </w:pPr>
      <w:proofErr w:type="gramStart"/>
      <w:r w:rsidRPr="002077BE">
        <w:rPr>
          <w:vertAlign w:val="superscript"/>
        </w:rPr>
        <w:t>c</w:t>
      </w:r>
      <w:proofErr w:type="gramEnd"/>
      <w:r>
        <w:t xml:space="preserve"> To</w:t>
      </w:r>
      <w:r w:rsidR="00DB71C7">
        <w:t>tal surveillance time in 1000 person</w:t>
      </w:r>
      <w:r>
        <w:t xml:space="preserve">-years for the given endpoint across all subjects within each group at risk for the endpoint. </w:t>
      </w:r>
      <w:proofErr w:type="gramStart"/>
      <w:r>
        <w:t>Time period</w:t>
      </w:r>
      <w:proofErr w:type="gramEnd"/>
      <w:r>
        <w:t xml:space="preserve"> for</w:t>
      </w:r>
      <w:r w:rsidR="00DD4AC0">
        <w:t xml:space="preserve"> COVID-19 case accrual is from seven</w:t>
      </w:r>
      <w:r>
        <w:t xml:space="preserve"> days after Dose 2 to the end of the surveillance period.</w:t>
      </w:r>
    </w:p>
    <w:p w14:paraId="4CA1960B" w14:textId="361EA6A7" w:rsidR="00B8671B" w:rsidRDefault="00B8671B" w:rsidP="008D6768">
      <w:pPr>
        <w:pStyle w:val="TableDescription"/>
      </w:pPr>
      <w:proofErr w:type="gramStart"/>
      <w:r w:rsidRPr="002077BE">
        <w:rPr>
          <w:vertAlign w:val="superscript"/>
        </w:rPr>
        <w:t>d</w:t>
      </w:r>
      <w:proofErr w:type="gramEnd"/>
      <w:r>
        <w:t xml:space="preserve"> n2 = Number of subjects at risk for the endpoint.</w:t>
      </w:r>
    </w:p>
    <w:p w14:paraId="50EC22E4" w14:textId="3677FC03" w:rsidR="00B8671B" w:rsidRDefault="00B8671B" w:rsidP="008D6768">
      <w:pPr>
        <w:pStyle w:val="TableDescription"/>
      </w:pPr>
      <w:proofErr w:type="gramStart"/>
      <w:r w:rsidRPr="002077BE">
        <w:rPr>
          <w:vertAlign w:val="superscript"/>
        </w:rPr>
        <w:t>e</w:t>
      </w:r>
      <w:proofErr w:type="gramEnd"/>
      <w:r w:rsidR="00DD4AC0">
        <w:t xml:space="preserve"> Confidence interval</w:t>
      </w:r>
      <w:r>
        <w:t xml:space="preserve"> </w:t>
      </w:r>
      <w:r w:rsidR="00DD4AC0">
        <w:t xml:space="preserve">(CI) </w:t>
      </w:r>
      <w:r>
        <w:t>for VE is derived based on the Clopper and Pearson method adjusted for surveillance time.</w:t>
      </w:r>
    </w:p>
    <w:p w14:paraId="4B89BAE6" w14:textId="70E1DF47" w:rsidR="008D6768" w:rsidRDefault="00B8671B" w:rsidP="0036326E">
      <w:r w:rsidRPr="00B8671B">
        <w:t xml:space="preserve">Confirmed COVID-19 cases in the evaluable efficacy </w:t>
      </w:r>
      <w:r>
        <w:t xml:space="preserve">population adolescent group (12 to </w:t>
      </w:r>
      <w:r w:rsidRPr="00B8671B">
        <w:t>15 years of age) with or without evidence of prior</w:t>
      </w:r>
      <w:r>
        <w:t xml:space="preserve"> SARS-CoV-2 infection at least seven</w:t>
      </w:r>
      <w:r w:rsidRPr="00B8671B">
        <w:t xml:space="preserve"> days after Dose 2 included 0 cases in the </w:t>
      </w:r>
      <w:proofErr w:type="spellStart"/>
      <w:r w:rsidR="00B46F9F">
        <w:t>Comirnaty</w:t>
      </w:r>
      <w:proofErr w:type="spellEnd"/>
      <w:r w:rsidR="00B46F9F" w:rsidRPr="00B8671B">
        <w:t xml:space="preserve"> </w:t>
      </w:r>
      <w:r w:rsidRPr="00B8671B">
        <w:t>BNT162b2 group and 18 cases in the placebo group. The observed VE was 100.0% (2-sided 95% CI: 78.1%, 100.0%)</w:t>
      </w:r>
      <w:r>
        <w:t xml:space="preserve"> (</w:t>
      </w:r>
      <w:proofErr w:type="gramStart"/>
      <w:r w:rsidR="00B46F9F">
        <w:t>s</w:t>
      </w:r>
      <w:r>
        <w:t>ee</w:t>
      </w:r>
      <w:proofErr w:type="gramEnd"/>
      <w:r>
        <w:t xml:space="preserve"> </w:t>
      </w:r>
      <w:r w:rsidR="002A2E35">
        <w:fldChar w:fldCharType="begin"/>
      </w:r>
      <w:r w:rsidR="002A2E35">
        <w:instrText xml:space="preserve"> REF _Ref76974113 \h </w:instrText>
      </w:r>
      <w:r w:rsidR="002A2E35">
        <w:fldChar w:fldCharType="separate"/>
      </w:r>
      <w:r w:rsidR="00B15022" w:rsidRPr="00B8671B">
        <w:t xml:space="preserve">Table </w:t>
      </w:r>
      <w:r w:rsidR="00B15022">
        <w:rPr>
          <w:noProof/>
        </w:rPr>
        <w:t>4</w:t>
      </w:r>
      <w:r w:rsidR="002A2E35">
        <w:fldChar w:fldCharType="end"/>
      </w:r>
      <w:r>
        <w:t>).</w:t>
      </w:r>
    </w:p>
    <w:p w14:paraId="2CE4DB98" w14:textId="1F240CB9" w:rsidR="00B8671B" w:rsidRDefault="00B8671B" w:rsidP="00B8671B">
      <w:pPr>
        <w:pStyle w:val="TableTitle"/>
      </w:pPr>
      <w:bookmarkStart w:id="46" w:name="_Ref76974113"/>
      <w:r w:rsidRPr="00B8671B">
        <w:t xml:space="preserve">Table </w:t>
      </w:r>
      <w:fldSimple w:instr=" SEQ Table \* ARABIC ">
        <w:r w:rsidR="00B15022">
          <w:rPr>
            <w:noProof/>
          </w:rPr>
          <w:t>4</w:t>
        </w:r>
      </w:fldSimple>
      <w:bookmarkEnd w:id="46"/>
      <w:r w:rsidRPr="00B8671B">
        <w:t>:</w:t>
      </w:r>
      <w:r>
        <w:t xml:space="preserve"> Study C4591001 Vaccine </w:t>
      </w:r>
      <w:r w:rsidR="00B46F9F">
        <w:t>e</w:t>
      </w:r>
      <w:r>
        <w:t xml:space="preserve">fficacy, first COVID-19 occurrence from seven days post </w:t>
      </w:r>
      <w:r w:rsidR="0095131C">
        <w:rPr>
          <w:color w:val="000000"/>
        </w:rPr>
        <w:t>second dose</w:t>
      </w:r>
      <w:r w:rsidR="0095131C" w:rsidRPr="003B283F">
        <w:rPr>
          <w:color w:val="000000"/>
        </w:rPr>
        <w:t xml:space="preserve"> </w:t>
      </w:r>
      <w:r>
        <w:t>(blind</w:t>
      </w:r>
      <w:r w:rsidRPr="00B8671B">
        <w:t>e</w:t>
      </w:r>
      <w:r>
        <w:t>d</w:t>
      </w:r>
      <w:r w:rsidRPr="00B8671B">
        <w:t xml:space="preserve"> placeb</w:t>
      </w:r>
      <w:r>
        <w:t xml:space="preserve">o-controlled follow-up period) subjects 12 to </w:t>
      </w:r>
      <w:r w:rsidRPr="00B8671B">
        <w:t xml:space="preserve">15 years of age and with or without </w:t>
      </w:r>
      <w:r>
        <w:t xml:space="preserve">evidence of infection prior to seven days post </w:t>
      </w:r>
      <w:r w:rsidR="0095131C">
        <w:rPr>
          <w:color w:val="000000"/>
        </w:rPr>
        <w:t>second dose</w:t>
      </w:r>
      <w:r w:rsidR="0095131C" w:rsidRPr="003B283F">
        <w:rPr>
          <w:color w:val="000000"/>
        </w:rPr>
        <w:t xml:space="preserve"> </w:t>
      </w:r>
      <w:r w:rsidR="002A3443">
        <w:t>e</w:t>
      </w:r>
      <w:r w:rsidR="00E94BB8">
        <w:t>valuable e</w:t>
      </w:r>
      <w:r w:rsidRPr="00B8671B">
        <w:t>ffic</w:t>
      </w:r>
      <w:r w:rsidR="002A3443">
        <w:t>acy (seven days) p</w:t>
      </w:r>
      <w:r w:rsidRPr="00B8671B">
        <w:t>opulation</w:t>
      </w:r>
      <w:r w:rsidR="00E94BB8">
        <w:t xml:space="preserve"> (data </w:t>
      </w:r>
      <w:proofErr w:type="spellStart"/>
      <w:r w:rsidR="00E55BFD">
        <w:t>cutoff</w:t>
      </w:r>
      <w:proofErr w:type="spellEnd"/>
      <w:r w:rsidR="00E94BB8">
        <w:t xml:space="preserve"> 13 March 2021)</w:t>
      </w:r>
    </w:p>
    <w:p w14:paraId="035046DE" w14:textId="18CD43F3" w:rsidR="002A3443" w:rsidRDefault="002A3443" w:rsidP="002A3443">
      <w:r>
        <w:rPr>
          <w:noProof/>
          <w:lang w:eastAsia="en-AU"/>
        </w:rPr>
        <w:drawing>
          <wp:inline distT="0" distB="0" distL="0" distR="0" wp14:anchorId="3823258C" wp14:editId="45AE40DA">
            <wp:extent cx="5057030" cy="1033669"/>
            <wp:effectExtent l="0" t="0" r="0" b="0"/>
            <wp:docPr id="12" name="Picture 12" descr="Study C4591001 Vaccine Efficacy, first COVID-19 occurrence from seven days post Dose 2 (blinded placebo-controlled follow-up period) subjects 12 to 15 years of age and with or without evidence of infection prior to seven days post Dose 2 evaluable efficacy (seven days) population (data cutoff 13 March 202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1">
                      <a:extLst>
                        <a:ext uri="{28A0092B-C50C-407E-A947-70E740481C1C}">
                          <a14:useLocalDpi xmlns:a14="http://schemas.microsoft.com/office/drawing/2010/main" val="0"/>
                        </a:ext>
                      </a:extLst>
                    </a:blip>
                    <a:srcRect l="808" r="886" b="51039"/>
                    <a:stretch/>
                  </pic:blipFill>
                  <pic:spPr bwMode="auto">
                    <a:xfrm>
                      <a:off x="0" y="0"/>
                      <a:ext cx="5184016" cy="1059625"/>
                    </a:xfrm>
                    <a:prstGeom prst="rect">
                      <a:avLst/>
                    </a:prstGeom>
                    <a:noFill/>
                    <a:ln>
                      <a:noFill/>
                    </a:ln>
                    <a:extLst>
                      <a:ext uri="{53640926-AAD7-44D8-BBD7-CCE9431645EC}">
                        <a14:shadowObscured xmlns:a14="http://schemas.microsoft.com/office/drawing/2010/main"/>
                      </a:ext>
                    </a:extLst>
                  </pic:spPr>
                </pic:pic>
              </a:graphicData>
            </a:graphic>
          </wp:inline>
        </w:drawing>
      </w:r>
    </w:p>
    <w:p w14:paraId="15B470C9" w14:textId="548B096C" w:rsidR="002A3443" w:rsidRDefault="00E94BB8" w:rsidP="00E94BB8">
      <w:pPr>
        <w:pStyle w:val="TableDescription"/>
      </w:pPr>
      <w:r>
        <w:t>Abbreviation: VE = vaccine efficacy</w:t>
      </w:r>
    </w:p>
    <w:p w14:paraId="74F563F3" w14:textId="741D1E9B" w:rsidR="00E94BB8" w:rsidRDefault="00E94BB8" w:rsidP="00E94BB8">
      <w:pPr>
        <w:pStyle w:val="TableDescription"/>
      </w:pPr>
      <w:proofErr w:type="gramStart"/>
      <w:r w:rsidRPr="00E94BB8">
        <w:rPr>
          <w:vertAlign w:val="superscript"/>
        </w:rPr>
        <w:t>a</w:t>
      </w:r>
      <w:proofErr w:type="gramEnd"/>
      <w:r>
        <w:t xml:space="preserve"> N = Number of subjects in the specified group</w:t>
      </w:r>
    </w:p>
    <w:p w14:paraId="239CFBBF" w14:textId="0A2B85C9" w:rsidR="00E94BB8" w:rsidRDefault="00E94BB8" w:rsidP="00E94BB8">
      <w:pPr>
        <w:pStyle w:val="TableDescription"/>
      </w:pPr>
      <w:proofErr w:type="gramStart"/>
      <w:r w:rsidRPr="00E94BB8">
        <w:rPr>
          <w:vertAlign w:val="superscript"/>
        </w:rPr>
        <w:t>b</w:t>
      </w:r>
      <w:proofErr w:type="gramEnd"/>
      <w:r>
        <w:t xml:space="preserve"> n1 = Number of subjects meeting the endpoint definition</w:t>
      </w:r>
    </w:p>
    <w:p w14:paraId="42B81628" w14:textId="58C2A7C2" w:rsidR="00E94BB8" w:rsidRDefault="00E94BB8" w:rsidP="00E94BB8">
      <w:pPr>
        <w:pStyle w:val="TableDescription"/>
      </w:pPr>
      <w:proofErr w:type="gramStart"/>
      <w:r w:rsidRPr="00E94BB8">
        <w:rPr>
          <w:vertAlign w:val="superscript"/>
        </w:rPr>
        <w:t>c</w:t>
      </w:r>
      <w:proofErr w:type="gramEnd"/>
      <w:r>
        <w:t xml:space="preserve"> Total surveillance time in 1000 person-years for the given endpoint across all subjects within each group at risk for the endpoint. </w:t>
      </w:r>
      <w:proofErr w:type="gramStart"/>
      <w:r>
        <w:t>Time period</w:t>
      </w:r>
      <w:proofErr w:type="gramEnd"/>
      <w:r>
        <w:t xml:space="preserve"> for COVID-19 case accrual is from 7 days after Dose 2 to the end of the surveillance period.</w:t>
      </w:r>
    </w:p>
    <w:p w14:paraId="5F6930B5" w14:textId="022DC09A" w:rsidR="00E94BB8" w:rsidRDefault="00E94BB8" w:rsidP="00E94BB8">
      <w:pPr>
        <w:pStyle w:val="TableDescription"/>
      </w:pPr>
      <w:proofErr w:type="gramStart"/>
      <w:r w:rsidRPr="00E94BB8">
        <w:rPr>
          <w:vertAlign w:val="superscript"/>
        </w:rPr>
        <w:t>d</w:t>
      </w:r>
      <w:proofErr w:type="gramEnd"/>
      <w:r>
        <w:t xml:space="preserve"> n2 = Number of subjects at risk of the endpoint.</w:t>
      </w:r>
    </w:p>
    <w:p w14:paraId="2458D6C3" w14:textId="0D3ED069" w:rsidR="00E94BB8" w:rsidRDefault="00E94BB8" w:rsidP="00E94BB8">
      <w:pPr>
        <w:pStyle w:val="TableDescription"/>
      </w:pPr>
      <w:proofErr w:type="gramStart"/>
      <w:r w:rsidRPr="00E94BB8">
        <w:rPr>
          <w:vertAlign w:val="superscript"/>
        </w:rPr>
        <w:t>e</w:t>
      </w:r>
      <w:proofErr w:type="gramEnd"/>
      <w:r>
        <w:t xml:space="preserve"> Confidence interval (CI) for VE is derived based on the Clopper and Pearson method adjusted for surveillance time.</w:t>
      </w:r>
    </w:p>
    <w:p w14:paraId="1F761549" w14:textId="4E6A4138" w:rsidR="002077BE" w:rsidRDefault="002077BE" w:rsidP="002077BE">
      <w:proofErr w:type="gramStart"/>
      <w:r>
        <w:t>Relative to the analysis of cases in participants without prior evidence of SARS-CoV-2 infection, two additional cases reported in the placebo group of the evaluable efficacy population with or without evidence of SARS-CoV-2 infection before and during vaccine regimen occurred in placebo recipients who were baseline negative serostatus for SARS</w:t>
      </w:r>
      <w:r w:rsidR="0095131C">
        <w:noBreakHyphen/>
      </w:r>
      <w:r>
        <w:t>CoV-2, and had a negative</w:t>
      </w:r>
      <w:r w:rsidR="00180496">
        <w:t xml:space="preserve"> nucleic acid amplification test</w:t>
      </w:r>
      <w:r>
        <w:t xml:space="preserve"> </w:t>
      </w:r>
      <w:r w:rsidR="00180496">
        <w:t>(</w:t>
      </w:r>
      <w:r>
        <w:t>NAAT</w:t>
      </w:r>
      <w:r w:rsidR="00180496">
        <w:t>)</w:t>
      </w:r>
      <w:r>
        <w:t xml:space="preserve"> at V</w:t>
      </w:r>
      <w:r w:rsidR="00130E98">
        <w:t>isit O</w:t>
      </w:r>
      <w:r>
        <w:t xml:space="preserve">ne followed by a positive NAAT at Visit </w:t>
      </w:r>
      <w:r w:rsidR="00130E98">
        <w:t>Two</w:t>
      </w:r>
      <w:r>
        <w:t xml:space="preserve"> (scheduled visit for second dose).</w:t>
      </w:r>
      <w:proofErr w:type="gramEnd"/>
    </w:p>
    <w:p w14:paraId="101B63B8" w14:textId="15DF80F7" w:rsidR="002077BE" w:rsidRDefault="002077BE" w:rsidP="002077BE">
      <w:r>
        <w:t xml:space="preserve">As 13 March 2021, confirmed COVID-19 cases in the </w:t>
      </w:r>
      <w:r w:rsidR="005A22AE">
        <w:t>first dose only</w:t>
      </w:r>
      <w:r>
        <w:t xml:space="preserve"> </w:t>
      </w:r>
      <w:r w:rsidR="00130E98">
        <w:t xml:space="preserve">all </w:t>
      </w:r>
      <w:r>
        <w:t xml:space="preserve">available efficacy (modified intention to treat) population adolescent group included three cases in the </w:t>
      </w:r>
      <w:proofErr w:type="spellStart"/>
      <w:r w:rsidR="00180496">
        <w:t>Comirnaty</w:t>
      </w:r>
      <w:proofErr w:type="spellEnd"/>
      <w:r w:rsidR="00180496">
        <w:t xml:space="preserve"> </w:t>
      </w:r>
      <w:r>
        <w:t>BNT162b2 vaccine group and 35 cases in the placebo group, with an observed VE of 91.6% (two sided 95% CI: 73.5%, 98.4%) (</w:t>
      </w:r>
      <w:proofErr w:type="gramStart"/>
      <w:r w:rsidR="00180496">
        <w:t>s</w:t>
      </w:r>
      <w:r w:rsidRPr="002077BE">
        <w:t>ee</w:t>
      </w:r>
      <w:proofErr w:type="gramEnd"/>
      <w:r w:rsidRPr="002077BE">
        <w:t xml:space="preserve"> </w:t>
      </w:r>
      <w:r w:rsidRPr="002077BE">
        <w:fldChar w:fldCharType="begin"/>
      </w:r>
      <w:r w:rsidRPr="002077BE">
        <w:instrText xml:space="preserve"> REF _Ref74582348 \h </w:instrText>
      </w:r>
      <w:r>
        <w:instrText xml:space="preserve"> \* MERGEFORMAT </w:instrText>
      </w:r>
      <w:r w:rsidRPr="002077BE">
        <w:fldChar w:fldCharType="separate"/>
      </w:r>
      <w:r w:rsidR="00B15022" w:rsidRPr="002077BE">
        <w:t xml:space="preserve">Table </w:t>
      </w:r>
      <w:r w:rsidR="00B15022">
        <w:t>5</w:t>
      </w:r>
      <w:r w:rsidRPr="002077BE">
        <w:fldChar w:fldCharType="end"/>
      </w:r>
      <w:r w:rsidR="00180496">
        <w:t>, below</w:t>
      </w:r>
      <w:r w:rsidRPr="002077BE">
        <w:t>).</w:t>
      </w:r>
      <w:r>
        <w:t xml:space="preserve"> </w:t>
      </w:r>
      <w:proofErr w:type="gramStart"/>
      <w:r>
        <w:t xml:space="preserve">The interval from after </w:t>
      </w:r>
      <w:r w:rsidR="005A22AE">
        <w:t>first dose</w:t>
      </w:r>
      <w:r>
        <w:t xml:space="preserve"> to prior to receiving</w:t>
      </w:r>
      <w:r w:rsidR="005A22AE">
        <w:t xml:space="preserve"> the second dose</w:t>
      </w:r>
      <w:r>
        <w:t xml:space="preserve"> included three cases in the vaccinated group and 12 cases in the placebo group; these three cases in the </w:t>
      </w:r>
      <w:proofErr w:type="spellStart"/>
      <w:r w:rsidR="00180496">
        <w:t>Comirnaty</w:t>
      </w:r>
      <w:proofErr w:type="spellEnd"/>
      <w:r w:rsidR="00180496">
        <w:t xml:space="preserve"> </w:t>
      </w:r>
      <w:r>
        <w:t>BNT162</w:t>
      </w:r>
      <w:r w:rsidR="00180496">
        <w:t>b2</w:t>
      </w:r>
      <w:r>
        <w:t xml:space="preserve"> group, which comprised all COVID-19 cases reported in the </w:t>
      </w:r>
      <w:proofErr w:type="spellStart"/>
      <w:r w:rsidR="00180496">
        <w:t>Comirnaty</w:t>
      </w:r>
      <w:proofErr w:type="spellEnd"/>
      <w:r w:rsidR="00180496">
        <w:t xml:space="preserve"> </w:t>
      </w:r>
      <w:r>
        <w:t xml:space="preserve">BNT162b2 vaccine group in this population at any time, all occurred within the period from after </w:t>
      </w:r>
      <w:r w:rsidR="005A22AE">
        <w:t>first dose</w:t>
      </w:r>
      <w:r>
        <w:t xml:space="preserve"> to less than 11 days after </w:t>
      </w:r>
      <w:r w:rsidR="005A22AE">
        <w:t>first dose</w:t>
      </w:r>
      <w:r>
        <w:t xml:space="preserve"> (before a full immune response to the vaccine would be expected).</w:t>
      </w:r>
      <w:proofErr w:type="gramEnd"/>
      <w:r>
        <w:t xml:space="preserve"> All three of these cases in the </w:t>
      </w:r>
      <w:proofErr w:type="spellStart"/>
      <w:r w:rsidR="00180496">
        <w:t>Comirnaty</w:t>
      </w:r>
      <w:proofErr w:type="spellEnd"/>
      <w:r w:rsidR="00180496">
        <w:t xml:space="preserve"> </w:t>
      </w:r>
      <w:r>
        <w:t>BNT162b2 vaccine group occurred in participants who had Baseline SARS-CoV-2 negative status.</w:t>
      </w:r>
    </w:p>
    <w:p w14:paraId="3DCDFBCD" w14:textId="2AA2A22B" w:rsidR="002077BE" w:rsidRDefault="002077BE" w:rsidP="002077BE">
      <w:r>
        <w:t xml:space="preserve">The observed </w:t>
      </w:r>
      <w:proofErr w:type="spellStart"/>
      <w:r>
        <w:t>VE</w:t>
      </w:r>
      <w:proofErr w:type="spellEnd"/>
      <w:r>
        <w:t xml:space="preserve"> for </w:t>
      </w:r>
      <w:proofErr w:type="spellStart"/>
      <w:r w:rsidR="00180496">
        <w:t>Comirnaty</w:t>
      </w:r>
      <w:proofErr w:type="spellEnd"/>
      <w:r w:rsidR="00180496">
        <w:t xml:space="preserve"> </w:t>
      </w:r>
      <w:r>
        <w:t xml:space="preserve">BNT162b2 in adolescents in the </w:t>
      </w:r>
      <w:r w:rsidR="005A22AE">
        <w:t>first dose</w:t>
      </w:r>
      <w:r>
        <w:t xml:space="preserve"> all-available population was 100.0% (that is all cases </w:t>
      </w:r>
      <w:proofErr w:type="gramStart"/>
      <w:r>
        <w:t>were confined</w:t>
      </w:r>
      <w:proofErr w:type="gramEnd"/>
      <w:r>
        <w:t xml:space="preserve"> to the placebo group) for all</w:t>
      </w:r>
      <w:r w:rsidR="00DD4AC0">
        <w:t xml:space="preserve"> time intervals starting from ≥ </w:t>
      </w:r>
      <w:r>
        <w:t xml:space="preserve">11 days after </w:t>
      </w:r>
      <w:r w:rsidR="005A22AE">
        <w:t>the first dose</w:t>
      </w:r>
      <w:r w:rsidR="00DD4AC0">
        <w:t xml:space="preserve"> to before </w:t>
      </w:r>
      <w:r w:rsidR="005A22AE">
        <w:t>the second dose</w:t>
      </w:r>
      <w:r w:rsidR="00DD4AC0">
        <w:t>, through ≥ </w:t>
      </w:r>
      <w:r>
        <w:t xml:space="preserve">2 months after </w:t>
      </w:r>
      <w:r w:rsidR="005A22AE">
        <w:t>the second dose</w:t>
      </w:r>
      <w:r>
        <w:t xml:space="preserve"> and &lt; 4 months after </w:t>
      </w:r>
      <w:r w:rsidR="005A22AE">
        <w:t>the second dose</w:t>
      </w:r>
      <w:r w:rsidR="00CA26FB">
        <w:t>.</w:t>
      </w:r>
    </w:p>
    <w:p w14:paraId="4F86763A" w14:textId="41D0F7F5" w:rsidR="002077BE" w:rsidRPr="002077BE" w:rsidRDefault="002077BE" w:rsidP="002077BE">
      <w:pPr>
        <w:pStyle w:val="TableTitle"/>
      </w:pPr>
      <w:bookmarkStart w:id="47" w:name="_Ref74582348"/>
      <w:r w:rsidRPr="002077BE">
        <w:t xml:space="preserve">Table </w:t>
      </w:r>
      <w:fldSimple w:instr=" SEQ Table \* ARABIC ">
        <w:r w:rsidR="00B15022">
          <w:rPr>
            <w:noProof/>
          </w:rPr>
          <w:t>5</w:t>
        </w:r>
      </w:fldSimple>
      <w:bookmarkEnd w:id="47"/>
      <w:r>
        <w:t>: Study C4591001 Vaccine Efficacy f</w:t>
      </w:r>
      <w:r w:rsidRPr="002077BE">
        <w:t xml:space="preserve">irst COVID-19 occurrence after </w:t>
      </w:r>
      <w:r w:rsidR="005A22AE">
        <w:t>the first dose</w:t>
      </w:r>
      <w:r>
        <w:t xml:space="preserve"> (</w:t>
      </w:r>
      <w:r w:rsidRPr="002077BE">
        <w:t>blinded placebo-controlled follow-up period</w:t>
      </w:r>
      <w:r>
        <w:t xml:space="preserve">) subjects 12 to 15 years of age. </w:t>
      </w:r>
      <w:r w:rsidR="005A22AE">
        <w:t>First dose,</w:t>
      </w:r>
      <w:r>
        <w:t xml:space="preserve"> all available e</w:t>
      </w:r>
      <w:r w:rsidRPr="002077BE">
        <w:t>fficacy population</w:t>
      </w:r>
    </w:p>
    <w:p w14:paraId="02DE5BB6" w14:textId="73EFB94A" w:rsidR="002077BE" w:rsidRDefault="002077BE" w:rsidP="002077BE">
      <w:pPr>
        <w:pStyle w:val="Caption"/>
      </w:pPr>
      <w:r>
        <w:rPr>
          <w:noProof/>
          <w:lang w:eastAsia="en-AU"/>
        </w:rPr>
        <w:drawing>
          <wp:inline distT="0" distB="0" distL="0" distR="0" wp14:anchorId="7C6A9BDB" wp14:editId="6FC9CFE9">
            <wp:extent cx="5400040" cy="2616835"/>
            <wp:effectExtent l="0" t="0" r="0" b="0"/>
            <wp:docPr id="25" name="Picture 25" descr="Study C4591001 Vaccine Efficacy first COVID-19 occurrence after Dose 1 (blinded placebo-controlled follow-up period) subjects 12 to 15 years of age. Dose 1 all available efficacy population."/>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616835"/>
                    </a:xfrm>
                    <a:prstGeom prst="rect">
                      <a:avLst/>
                    </a:prstGeom>
                    <a:noFill/>
                    <a:ln>
                      <a:noFill/>
                    </a:ln>
                  </pic:spPr>
                </pic:pic>
              </a:graphicData>
            </a:graphic>
          </wp:inline>
        </w:drawing>
      </w:r>
    </w:p>
    <w:p w14:paraId="24428549" w14:textId="76CFE5AE" w:rsidR="002077BE" w:rsidRDefault="002077BE" w:rsidP="002077BE">
      <w:r>
        <w:t xml:space="preserve">No severe COVID-19 cases (per protocol definition or </w:t>
      </w:r>
      <w:r w:rsidR="005A22AE">
        <w:t xml:space="preserve">US </w:t>
      </w:r>
      <w:proofErr w:type="spellStart"/>
      <w:r w:rsidR="00D21688" w:rsidRPr="000B4E5F">
        <w:t>Centers</w:t>
      </w:r>
      <w:proofErr w:type="spellEnd"/>
      <w:r w:rsidR="00D21688" w:rsidRPr="000B4E5F">
        <w:t xml:space="preserve"> for Disease Control and Prevention</w:t>
      </w:r>
      <w:r w:rsidR="00D21688">
        <w:t xml:space="preserve"> (</w:t>
      </w:r>
      <w:r>
        <w:t>CDC</w:t>
      </w:r>
      <w:r w:rsidR="00D21688">
        <w:t>)</w:t>
      </w:r>
      <w:r>
        <w:t xml:space="preserve"> criteria) </w:t>
      </w:r>
      <w:proofErr w:type="gramStart"/>
      <w:r>
        <w:t>w</w:t>
      </w:r>
      <w:r w:rsidR="00DB71C7">
        <w:t>ere reported</w:t>
      </w:r>
      <w:proofErr w:type="gramEnd"/>
      <w:r w:rsidR="00DB71C7">
        <w:t xml:space="preserve"> in adolescents (12 to </w:t>
      </w:r>
      <w:r>
        <w:t xml:space="preserve">15 years of age) as of the data </w:t>
      </w:r>
      <w:proofErr w:type="spellStart"/>
      <w:r>
        <w:t>cutoff</w:t>
      </w:r>
      <w:proofErr w:type="spellEnd"/>
      <w:r>
        <w:t xml:space="preserve"> date (13 March 2021).</w:t>
      </w:r>
    </w:p>
    <w:p w14:paraId="4563A0EE" w14:textId="187A2515" w:rsidR="002077BE" w:rsidRDefault="002077BE" w:rsidP="002077BE">
      <w:pPr>
        <w:pStyle w:val="Heading4"/>
      </w:pPr>
      <w:r>
        <w:t>Safety analysis</w:t>
      </w:r>
    </w:p>
    <w:p w14:paraId="1A219278" w14:textId="69562AD9" w:rsidR="002077BE" w:rsidRDefault="002077BE" w:rsidP="002077BE">
      <w:r>
        <w:t xml:space="preserve">Safety analysis </w:t>
      </w:r>
      <w:proofErr w:type="gramStart"/>
      <w:r>
        <w:t>are presented</w:t>
      </w:r>
      <w:proofErr w:type="gramEnd"/>
      <w:r>
        <w:t xml:space="preserve"> for adolescents (12 to 15 years of age) in comparison with the safety results for young adults (16 to 25 years of age) who were in the reactogenicity subset. The data for young adults (16 to 25 years of age) were the same from the original provisional submission package.</w:t>
      </w:r>
    </w:p>
    <w:p w14:paraId="14FCCE6D" w14:textId="18F5C7A7" w:rsidR="002077BE" w:rsidRDefault="002077BE" w:rsidP="002077BE">
      <w:r>
        <w:t xml:space="preserve">Safety analysis were up to </w:t>
      </w:r>
      <w:proofErr w:type="gramStart"/>
      <w:r>
        <w:t>one month</w:t>
      </w:r>
      <w:proofErr w:type="gramEnd"/>
      <w:r>
        <w:t xml:space="preserve"> post </w:t>
      </w:r>
      <w:r w:rsidR="0018264C">
        <w:t xml:space="preserve">the </w:t>
      </w:r>
      <w:r w:rsidR="0018264C">
        <w:rPr>
          <w:color w:val="000000"/>
        </w:rPr>
        <w:t>second dose</w:t>
      </w:r>
      <w:r>
        <w:t xml:space="preserve"> and for all available data up to 13 March 2021. The median follow up duration for adolescents was &gt; 2 months after </w:t>
      </w:r>
      <w:r w:rsidR="0018264C">
        <w:t xml:space="preserve">the </w:t>
      </w:r>
      <w:r w:rsidR="0018264C">
        <w:rPr>
          <w:color w:val="000000"/>
        </w:rPr>
        <w:t>second dose</w:t>
      </w:r>
      <w:r>
        <w:t>. Almost all (98.3%) of adolescent participants had at least one month of follow up after Dose 2, and 1308 out of 2260 adolescents (57.9%) had at least two months of follow up after Dose 2.</w:t>
      </w:r>
    </w:p>
    <w:p w14:paraId="4187F45A" w14:textId="062FC18B" w:rsidR="002077BE" w:rsidRDefault="002077BE" w:rsidP="002077BE">
      <w:r>
        <w:t xml:space="preserve">The disposition of adolescents and young adults was similar in the vaccine and placebo groups through one month post </w:t>
      </w:r>
      <w:r w:rsidR="0018264C">
        <w:t>the second dose</w:t>
      </w:r>
      <w:r>
        <w:t xml:space="preserve">. Most participants randomised in both age groups (≥ 97.4%) received </w:t>
      </w:r>
      <w:r w:rsidR="0018264C">
        <w:t>the first and second dosages</w:t>
      </w:r>
      <w:r>
        <w:t xml:space="preserve">. Among adolescents, seven participants (0.6%) in the vaccine group and 17 participants (1.5%) in the placebo group discontinued from the vaccination period and are continuing for safety follow up. Most participants across age groups completed the visit at one month after </w:t>
      </w:r>
      <w:r w:rsidR="0018264C">
        <w:t xml:space="preserve">the </w:t>
      </w:r>
      <w:r w:rsidR="0018264C">
        <w:rPr>
          <w:color w:val="000000"/>
        </w:rPr>
        <w:t>second dose</w:t>
      </w:r>
      <w:r w:rsidR="0018264C" w:rsidRPr="003B283F">
        <w:rPr>
          <w:color w:val="000000"/>
        </w:rPr>
        <w:t xml:space="preserve"> </w:t>
      </w:r>
      <w:r>
        <w:t xml:space="preserve">(≥ 94.5%). Among adolescents who discontinued from vaccination period but continued in the study up to the </w:t>
      </w:r>
      <w:proofErr w:type="gramStart"/>
      <w:r>
        <w:t>one month</w:t>
      </w:r>
      <w:proofErr w:type="gramEnd"/>
      <w:r>
        <w:t xml:space="preserve"> post </w:t>
      </w:r>
      <w:r w:rsidR="0018264C">
        <w:t xml:space="preserve">the </w:t>
      </w:r>
      <w:r w:rsidR="0018264C">
        <w:rPr>
          <w:color w:val="000000"/>
        </w:rPr>
        <w:t>second dose</w:t>
      </w:r>
      <w:r>
        <w:t xml:space="preserve"> visit, two participants discontinued due to adverse events (AE), both in the vaccine group and none in the placebo group. No adolescents i</w:t>
      </w:r>
      <w:r w:rsidR="00990C7D">
        <w:t>n the vaccine and two</w:t>
      </w:r>
      <w:r>
        <w:t xml:space="preserve"> in the placebo group with</w:t>
      </w:r>
      <w:r w:rsidR="00990C7D">
        <w:t xml:space="preserve">drew from the study before the </w:t>
      </w:r>
      <w:proofErr w:type="gramStart"/>
      <w:r w:rsidR="00990C7D">
        <w:t>one month</w:t>
      </w:r>
      <w:proofErr w:type="gramEnd"/>
      <w:r w:rsidR="00990C7D">
        <w:t xml:space="preserve"> post </w:t>
      </w:r>
      <w:r w:rsidR="0018264C">
        <w:t xml:space="preserve">the </w:t>
      </w:r>
      <w:r w:rsidR="0018264C">
        <w:rPr>
          <w:color w:val="000000"/>
        </w:rPr>
        <w:t>second dose</w:t>
      </w:r>
      <w:r w:rsidR="00990C7D">
        <w:t xml:space="preserve"> visit.</w:t>
      </w:r>
    </w:p>
    <w:p w14:paraId="17B608D9" w14:textId="513763A1" w:rsidR="002077BE" w:rsidRDefault="002077BE" w:rsidP="002077BE">
      <w:r>
        <w:t>A total of 49 adolescents withdrew from the vaccination period when they turned 16 years of age and became eligible to be unblinded to receive BNT</w:t>
      </w:r>
      <w:r w:rsidR="00990C7D">
        <w:t xml:space="preserve">162b2 vaccination; of these, 19 out of </w:t>
      </w:r>
      <w:r>
        <w:t>49</w:t>
      </w:r>
      <w:r w:rsidR="00990C7D">
        <w:t xml:space="preserve"> subjects</w:t>
      </w:r>
      <w:r>
        <w:t xml:space="preserve"> received</w:t>
      </w:r>
      <w:r w:rsidR="0018264C">
        <w:t xml:space="preserve"> additional (third and fourth dosages) of the</w:t>
      </w:r>
      <w:r>
        <w:t>BNT162b2</w:t>
      </w:r>
      <w:r w:rsidR="00990C7D">
        <w:t xml:space="preserve"> vaccine</w:t>
      </w:r>
      <w:r>
        <w:t>.</w:t>
      </w:r>
      <w:r w:rsidR="0018264C">
        <w:rPr>
          <w:rStyle w:val="FootnoteReference"/>
        </w:rPr>
        <w:footnoteReference w:id="16"/>
      </w:r>
      <w:r>
        <w:t xml:space="preserve"> </w:t>
      </w:r>
      <w:r w:rsidR="00990C7D">
        <w:t>Participants originally randomis</w:t>
      </w:r>
      <w:r>
        <w:t xml:space="preserve">ed to placebo who received </w:t>
      </w:r>
      <w:r w:rsidR="0018264C">
        <w:t xml:space="preserve">a third dose </w:t>
      </w:r>
      <w:r>
        <w:t xml:space="preserve">of </w:t>
      </w:r>
      <w:proofErr w:type="spellStart"/>
      <w:r w:rsidR="00180496">
        <w:t>Comirnaty</w:t>
      </w:r>
      <w:proofErr w:type="spellEnd"/>
      <w:r w:rsidR="00180496">
        <w:t xml:space="preserve"> </w:t>
      </w:r>
      <w:r>
        <w:t>BNT162b2</w:t>
      </w:r>
      <w:r w:rsidR="00990C7D">
        <w:t xml:space="preserve"> vaccine continued in open </w:t>
      </w:r>
      <w:r>
        <w:t>label follow</w:t>
      </w:r>
      <w:r w:rsidR="00882590">
        <w:t xml:space="preserve"> </w:t>
      </w:r>
      <w:r>
        <w:t xml:space="preserve">up in the study, but their data were censored at the time of unblinding with regard to analyses in this submission. Information for these participants </w:t>
      </w:r>
      <w:proofErr w:type="gramStart"/>
      <w:r>
        <w:t>are provided</w:t>
      </w:r>
      <w:proofErr w:type="gramEnd"/>
      <w:r>
        <w:t xml:space="preserve"> for </w:t>
      </w:r>
      <w:r w:rsidR="00990C7D">
        <w:t>serious adverse events (</w:t>
      </w:r>
      <w:r>
        <w:t>SAE</w:t>
      </w:r>
      <w:r w:rsidR="00990C7D">
        <w:t>)</w:t>
      </w:r>
      <w:r>
        <w:t xml:space="preserve"> or other significant AEs.</w:t>
      </w:r>
    </w:p>
    <w:p w14:paraId="2D6D688F" w14:textId="323DD4A2" w:rsidR="002077BE" w:rsidRDefault="002077BE" w:rsidP="002077BE">
      <w:r>
        <w:t>Demographic characteristics for adolescents and young adults were similar in their vaccine and placebo groups in the safety population. Most adolescents in the vaccine group were White (85.9%), with 4.6% Black participants and 6.4% Asian participants, and other racial groups were &lt;</w:t>
      </w:r>
      <w:r w:rsidR="00990C7D">
        <w:t> </w:t>
      </w:r>
      <w:proofErr w:type="gramStart"/>
      <w:r>
        <w:t>3.0%</w:t>
      </w:r>
      <w:proofErr w:type="gramEnd"/>
      <w:r>
        <w:t>. There were 11.7% Hispanic</w:t>
      </w:r>
      <w:r w:rsidR="00180496">
        <w:t xml:space="preserve"> and/or </w:t>
      </w:r>
      <w:r>
        <w:t>Latino participants. The median age of adolescents in the vaccine group was 14.0 years and 50.1% were male. Obese adolescents made up 11.3% (placebo group) to 12.6% (vaccine group) of this age g</w:t>
      </w:r>
      <w:r w:rsidR="00990C7D">
        <w:t>roup in the safety</w:t>
      </w:r>
      <w:r w:rsidR="00135C51">
        <w:t xml:space="preserve"> population.</w:t>
      </w:r>
    </w:p>
    <w:p w14:paraId="1353A707" w14:textId="28E16A4C" w:rsidR="002077BE" w:rsidRDefault="00990C7D" w:rsidP="00990C7D">
      <w:pPr>
        <w:pStyle w:val="Heading5"/>
      </w:pPr>
      <w:r>
        <w:t>Reactogenicity</w:t>
      </w:r>
    </w:p>
    <w:p w14:paraId="01D02D21" w14:textId="2CFD2263" w:rsidR="002077BE" w:rsidRDefault="002077BE" w:rsidP="002077BE">
      <w:r>
        <w:t xml:space="preserve">Reactogenicity </w:t>
      </w:r>
      <w:proofErr w:type="gramStart"/>
      <w:r>
        <w:t>was assessed</w:t>
      </w:r>
      <w:proofErr w:type="gramEnd"/>
      <w:r>
        <w:t xml:space="preserve"> via e</w:t>
      </w:r>
      <w:r w:rsidR="00990C7D">
        <w:t xml:space="preserve">lectronic </w:t>
      </w:r>
      <w:r>
        <w:t>diary in all adolescents and a reactogenicit</w:t>
      </w:r>
      <w:r w:rsidR="00990C7D">
        <w:t>y subset of young adults up to seven</w:t>
      </w:r>
      <w:r>
        <w:t xml:space="preserve"> days afte</w:t>
      </w:r>
      <w:r w:rsidR="00990C7D">
        <w:t xml:space="preserve">r each dose. Adolescents with electronic </w:t>
      </w:r>
      <w:r>
        <w:t>diary data included N</w:t>
      </w:r>
      <w:r w:rsidR="00990C7D">
        <w:t xml:space="preserve"> </w:t>
      </w:r>
      <w:r>
        <w:t>=</w:t>
      </w:r>
      <w:r w:rsidR="00990C7D">
        <w:t xml:space="preserve"> </w:t>
      </w:r>
      <w:r>
        <w:t>1131 in the vaccine group and N</w:t>
      </w:r>
      <w:r w:rsidR="00990C7D">
        <w:t xml:space="preserve"> </w:t>
      </w:r>
      <w:r>
        <w:t>=</w:t>
      </w:r>
      <w:r w:rsidR="00990C7D">
        <w:t xml:space="preserve"> </w:t>
      </w:r>
      <w:r>
        <w:t xml:space="preserve">1129 in the placebo group post </w:t>
      </w:r>
      <w:r w:rsidR="0018264C">
        <w:t>the first dose</w:t>
      </w:r>
      <w:r>
        <w:t>, and N</w:t>
      </w:r>
      <w:r w:rsidR="00990C7D">
        <w:t xml:space="preserve"> </w:t>
      </w:r>
      <w:r>
        <w:t>=</w:t>
      </w:r>
      <w:r w:rsidR="00990C7D">
        <w:t xml:space="preserve"> </w:t>
      </w:r>
      <w:r>
        <w:t>1124 in the vaccine group and N</w:t>
      </w:r>
      <w:r w:rsidR="00990C7D">
        <w:t xml:space="preserve"> </w:t>
      </w:r>
      <w:r>
        <w:t>=</w:t>
      </w:r>
      <w:r w:rsidR="00990C7D">
        <w:t xml:space="preserve"> </w:t>
      </w:r>
      <w:r>
        <w:t xml:space="preserve">1117 in the placebo group post </w:t>
      </w:r>
      <w:r w:rsidR="0018264C">
        <w:t>second dose</w:t>
      </w:r>
      <w:r>
        <w:t>. Young adults in the reactogenicity subset included N</w:t>
      </w:r>
      <w:r w:rsidR="00990C7D">
        <w:t xml:space="preserve"> </w:t>
      </w:r>
      <w:r>
        <w:t>=</w:t>
      </w:r>
      <w:r w:rsidR="00990C7D">
        <w:t xml:space="preserve"> </w:t>
      </w:r>
      <w:r>
        <w:t>539 in the vaccine group and N</w:t>
      </w:r>
      <w:r w:rsidR="00990C7D">
        <w:t> </w:t>
      </w:r>
      <w:r>
        <w:t>=</w:t>
      </w:r>
      <w:r w:rsidR="00990C7D">
        <w:t> </w:t>
      </w:r>
      <w:r>
        <w:t xml:space="preserve">564 in the placebo group post </w:t>
      </w:r>
      <w:r w:rsidR="0018264C">
        <w:t>the first dose</w:t>
      </w:r>
      <w:r>
        <w:t xml:space="preserve"> and N</w:t>
      </w:r>
      <w:r w:rsidR="00990C7D">
        <w:t xml:space="preserve"> </w:t>
      </w:r>
      <w:r>
        <w:t>=</w:t>
      </w:r>
      <w:r w:rsidR="00990C7D">
        <w:t xml:space="preserve"> </w:t>
      </w:r>
      <w:r>
        <w:t>526 in the vaccine group and N</w:t>
      </w:r>
      <w:r w:rsidR="00990C7D">
        <w:t xml:space="preserve"> </w:t>
      </w:r>
      <w:r>
        <w:t>=</w:t>
      </w:r>
      <w:r w:rsidR="00990C7D">
        <w:t> </w:t>
      </w:r>
      <w:r>
        <w:t xml:space="preserve">537 in the placebo group post </w:t>
      </w:r>
      <w:r w:rsidR="0018264C">
        <w:t>the second dose.</w:t>
      </w:r>
    </w:p>
    <w:p w14:paraId="40D15FF9" w14:textId="00FBFFB7" w:rsidR="002077BE" w:rsidRDefault="00990C7D" w:rsidP="00990C7D">
      <w:pPr>
        <w:pStyle w:val="Heading6"/>
      </w:pPr>
      <w:r>
        <w:t xml:space="preserve">Local </w:t>
      </w:r>
      <w:r w:rsidR="00A5742A">
        <w:t>r</w:t>
      </w:r>
      <w:r>
        <w:t>eactogenicity</w:t>
      </w:r>
    </w:p>
    <w:p w14:paraId="3B5BA761" w14:textId="0E1821FD" w:rsidR="002077BE" w:rsidRDefault="002077BE" w:rsidP="002077BE">
      <w:r>
        <w:t>In the vaccine group, pain at the injection site was most frequently reported in adolescents and young adults, and frequency was similar after</w:t>
      </w:r>
      <w:r w:rsidR="0018264C">
        <w:t xml:space="preserve"> the first and second dosages</w:t>
      </w:r>
      <w:r>
        <w:t xml:space="preserve"> of the vaccine in adolescents (86.2% v</w:t>
      </w:r>
      <w:r w:rsidR="00990C7D">
        <w:t>ersu</w:t>
      </w:r>
      <w:r>
        <w:t>s 78.9%) and in young adults (83.4% v</w:t>
      </w:r>
      <w:r w:rsidR="00990C7D">
        <w:t>ersu</w:t>
      </w:r>
      <w:r>
        <w:t xml:space="preserve">s 77.5%). In the vaccine group, frequencies of redness and swelling were similar between the two age groups after </w:t>
      </w:r>
      <w:r w:rsidR="0018264C">
        <w:t>the first and second dosages.</w:t>
      </w:r>
      <w:r w:rsidR="0018264C" w:rsidDel="0018264C">
        <w:t xml:space="preserve"> </w:t>
      </w:r>
      <w:r>
        <w:t xml:space="preserve">Frequencies of redness and swelling were low post Dose 1 and Dose 2 of the vaccine in both age groups. After </w:t>
      </w:r>
      <w:r w:rsidR="0018264C">
        <w:t>the first and second dosages</w:t>
      </w:r>
      <w:r w:rsidR="0018264C" w:rsidDel="0018264C">
        <w:t xml:space="preserve"> </w:t>
      </w:r>
      <w:r>
        <w:t>in both age groups, most local reactions were mild or moderate. Severe reactions were infrequent and at lower incidence in adolescents (≤</w:t>
      </w:r>
      <w:r w:rsidR="00990C7D">
        <w:t> </w:t>
      </w:r>
      <w:r>
        <w:t>1.5%) compared with young adults (≤</w:t>
      </w:r>
      <w:r w:rsidR="00990C7D">
        <w:t> </w:t>
      </w:r>
      <w:r>
        <w:t xml:space="preserve">3.4%) across the vaccine and placebo groups after any dose. No Grade 4 local reactions </w:t>
      </w:r>
      <w:proofErr w:type="gramStart"/>
      <w:r>
        <w:t>were reported</w:t>
      </w:r>
      <w:proofErr w:type="gramEnd"/>
      <w:r>
        <w:t xml:space="preserve"> in either age group. Across age groups, median onset for all local reactions after either dose of </w:t>
      </w:r>
      <w:proofErr w:type="spellStart"/>
      <w:r w:rsidR="00180496">
        <w:t>Comirnaty</w:t>
      </w:r>
      <w:proofErr w:type="spellEnd"/>
      <w:r w:rsidR="00180496">
        <w:t xml:space="preserve"> </w:t>
      </w:r>
      <w:r>
        <w:t>BNT162b2</w:t>
      </w:r>
      <w:r w:rsidR="00510617">
        <w:t xml:space="preserve"> vaccine</w:t>
      </w:r>
      <w:r>
        <w:t xml:space="preserve"> was Day 1 to Day 3 and resol</w:t>
      </w:r>
      <w:r w:rsidR="00990C7D">
        <w:t xml:space="preserve">ved with a median duration of 1 to </w:t>
      </w:r>
      <w:r>
        <w:t>3 days</w:t>
      </w:r>
      <w:r w:rsidR="00180496">
        <w:t xml:space="preserve"> (see Figure 1, below).</w:t>
      </w:r>
    </w:p>
    <w:p w14:paraId="6798CF5C" w14:textId="2723713E" w:rsidR="00990C7D" w:rsidRDefault="00990C7D" w:rsidP="004A73C5">
      <w:pPr>
        <w:pStyle w:val="FigureTitle"/>
      </w:pPr>
      <w:r w:rsidRPr="00990C7D">
        <w:t xml:space="preserve">Figure </w:t>
      </w:r>
      <w:fldSimple w:instr=" SEQ Figure \* ARABIC ">
        <w:r w:rsidR="00B15022">
          <w:rPr>
            <w:noProof/>
          </w:rPr>
          <w:t>1</w:t>
        </w:r>
      </w:fldSimple>
      <w:r>
        <w:t xml:space="preserve">: </w:t>
      </w:r>
      <w:r w:rsidR="004A73C5">
        <w:t>L</w:t>
      </w:r>
      <w:r>
        <w:t>ocal reactions, by maximum severity, within seven days after each dose-reactogenicity subset (Safety population by age group: 12 to 15 and 16 to 25 years of age)</w:t>
      </w:r>
    </w:p>
    <w:p w14:paraId="4EA43F7F" w14:textId="10B417D8" w:rsidR="002077BE" w:rsidRDefault="00990C7D" w:rsidP="00D36D6D">
      <w:r>
        <w:rPr>
          <w:noProof/>
          <w:lang w:eastAsia="en-AU"/>
        </w:rPr>
        <w:drawing>
          <wp:inline distT="0" distB="0" distL="0" distR="0" wp14:anchorId="31029D49" wp14:editId="3E2C2C4B">
            <wp:extent cx="5333436" cy="3189151"/>
            <wp:effectExtent l="0" t="0" r="5080" b="5715"/>
            <wp:docPr id="2" name="Picture 2" descr="Local reactions, by maximum severity, within seven days after each dose-reactogenicity subset (Safety population by age group: 12 to 15 and 16 to 25 years of ag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3">
                      <a:extLst>
                        <a:ext uri="{28A0092B-C50C-407E-A947-70E740481C1C}">
                          <a14:useLocalDpi xmlns:a14="http://schemas.microsoft.com/office/drawing/2010/main" val="0"/>
                        </a:ext>
                      </a:extLst>
                    </a:blip>
                    <a:srcRect l="1920" t="7132" r="4544"/>
                    <a:stretch/>
                  </pic:blipFill>
                  <pic:spPr bwMode="auto">
                    <a:xfrm>
                      <a:off x="0" y="0"/>
                      <a:ext cx="5333436" cy="3189151"/>
                    </a:xfrm>
                    <a:prstGeom prst="rect">
                      <a:avLst/>
                    </a:prstGeom>
                    <a:noFill/>
                    <a:ln>
                      <a:noFill/>
                    </a:ln>
                    <a:extLst>
                      <a:ext uri="{53640926-AAD7-44D8-BBD7-CCE9431645EC}">
                        <a14:shadowObscured xmlns:a14="http://schemas.microsoft.com/office/drawing/2010/main"/>
                      </a:ext>
                    </a:extLst>
                  </pic:spPr>
                </pic:pic>
              </a:graphicData>
            </a:graphic>
          </wp:inline>
        </w:drawing>
      </w:r>
    </w:p>
    <w:p w14:paraId="30D7C66D" w14:textId="784FE7BE" w:rsidR="000C2F70" w:rsidRPr="000C2F70" w:rsidRDefault="000C2F70" w:rsidP="000C2F70">
      <w:pPr>
        <w:pStyle w:val="Heading6"/>
        <w:rPr>
          <w:rFonts w:eastAsiaTheme="minorHAnsi"/>
        </w:rPr>
      </w:pPr>
      <w:r w:rsidRPr="000C2F70">
        <w:rPr>
          <w:rFonts w:eastAsiaTheme="minorHAnsi"/>
        </w:rPr>
        <w:t xml:space="preserve">Systemic </w:t>
      </w:r>
      <w:r w:rsidR="00A5742A">
        <w:t>r</w:t>
      </w:r>
      <w:r>
        <w:t>eactogenicity</w:t>
      </w:r>
    </w:p>
    <w:p w14:paraId="26537103" w14:textId="5A1F8937" w:rsidR="000C2F70" w:rsidRDefault="000C2F70" w:rsidP="000C2F70">
      <w:r>
        <w:t xml:space="preserve">Systemic events were generally similar in frequency and severity in adolescents and young adults, with frequencies and severity increasing with number of doses for most events, with the exceptions of vomiting and </w:t>
      </w:r>
      <w:proofErr w:type="gramStart"/>
      <w:r>
        <w:t>diarrhoea which were reported infrequently</w:t>
      </w:r>
      <w:proofErr w:type="gramEnd"/>
      <w:r>
        <w:t xml:space="preserve"> and at similar incidences after each dose, and muscle and joint pain which was reported at higher frequencies in the young adults. Systemic events in the adolescent group compared with the young adult group, in decreasing order of frequency by dose (</w:t>
      </w:r>
      <w:r w:rsidR="0018264C">
        <w:t>first dose</w:t>
      </w:r>
      <w:r>
        <w:t xml:space="preserve"> v</w:t>
      </w:r>
      <w:r w:rsidR="00510617">
        <w:t>ersu</w:t>
      </w:r>
      <w:r>
        <w:t xml:space="preserve">s </w:t>
      </w:r>
      <w:r w:rsidR="0018264C">
        <w:t>second dose</w:t>
      </w:r>
      <w:r>
        <w:t>), were:</w:t>
      </w:r>
    </w:p>
    <w:p w14:paraId="6A235668" w14:textId="49448C00" w:rsidR="000C2F70" w:rsidRDefault="000C2F70" w:rsidP="000C2F70">
      <w:pPr>
        <w:pStyle w:val="ListBullet"/>
      </w:pPr>
      <w:proofErr w:type="gramStart"/>
      <w:r>
        <w:t>fatigue</w:t>
      </w:r>
      <w:proofErr w:type="gramEnd"/>
      <w:r>
        <w:t xml:space="preserve">: adolescents (60.1% </w:t>
      </w:r>
      <w:r w:rsidR="00510617">
        <w:t>versus</w:t>
      </w:r>
      <w:r>
        <w:t xml:space="preserve"> 66.2%) compared to young adults (59.9% </w:t>
      </w:r>
      <w:r w:rsidR="00510617">
        <w:t>versus 65.6%)</w:t>
      </w:r>
    </w:p>
    <w:p w14:paraId="68B6B735" w14:textId="11885808" w:rsidR="000C2F70" w:rsidRDefault="000C2F70" w:rsidP="000C2F70">
      <w:pPr>
        <w:pStyle w:val="ListBullet"/>
      </w:pPr>
      <w:proofErr w:type="gramStart"/>
      <w:r>
        <w:t>headache</w:t>
      </w:r>
      <w:proofErr w:type="gramEnd"/>
      <w:r>
        <w:t xml:space="preserve">: adolescents (55.3% </w:t>
      </w:r>
      <w:r w:rsidR="00510617">
        <w:t>versus</w:t>
      </w:r>
      <w:r>
        <w:t xml:space="preserve"> 64.5%) compared to young adults (53.9% </w:t>
      </w:r>
      <w:r w:rsidR="00510617">
        <w:t>versus 60.9%)</w:t>
      </w:r>
    </w:p>
    <w:p w14:paraId="449F6DE1" w14:textId="137E711C" w:rsidR="000C2F70" w:rsidRDefault="000C2F70" w:rsidP="000C2F70">
      <w:pPr>
        <w:pStyle w:val="ListBullet"/>
      </w:pPr>
      <w:proofErr w:type="gramStart"/>
      <w:r>
        <w:t>chills</w:t>
      </w:r>
      <w:proofErr w:type="gramEnd"/>
      <w:r>
        <w:t xml:space="preserve">: adolescents (27.6% </w:t>
      </w:r>
      <w:r w:rsidR="00510617">
        <w:t>versus</w:t>
      </w:r>
      <w:r>
        <w:t xml:space="preserve"> 41.5%) compared to young adults (25.0% </w:t>
      </w:r>
      <w:r w:rsidR="00510617">
        <w:t>versus 40.0%)</w:t>
      </w:r>
    </w:p>
    <w:p w14:paraId="334733B8" w14:textId="187F4506" w:rsidR="000C2F70" w:rsidRDefault="000C2F70" w:rsidP="000C2F70">
      <w:pPr>
        <w:pStyle w:val="ListBullet"/>
      </w:pPr>
      <w:proofErr w:type="gramStart"/>
      <w:r>
        <w:t>muscle</w:t>
      </w:r>
      <w:proofErr w:type="gramEnd"/>
      <w:r>
        <w:t xml:space="preserve"> pain: adolescents (24.1% </w:t>
      </w:r>
      <w:r w:rsidR="00510617">
        <w:t>versus</w:t>
      </w:r>
      <w:r>
        <w:t xml:space="preserve"> 32.4%) compared to young adults (26.9% </w:t>
      </w:r>
      <w:r w:rsidR="00510617">
        <w:t>versus 40.8%)</w:t>
      </w:r>
    </w:p>
    <w:p w14:paraId="4D97F1A9" w14:textId="413F8E17" w:rsidR="000C2F70" w:rsidRDefault="000C2F70" w:rsidP="000C2F70">
      <w:pPr>
        <w:pStyle w:val="ListBullet"/>
      </w:pPr>
      <w:proofErr w:type="gramStart"/>
      <w:r>
        <w:t>joint</w:t>
      </w:r>
      <w:proofErr w:type="gramEnd"/>
      <w:r>
        <w:t xml:space="preserve"> pain: adolescents (9.7% </w:t>
      </w:r>
      <w:r w:rsidR="00510617">
        <w:t>versus</w:t>
      </w:r>
      <w:r>
        <w:t xml:space="preserve"> 15.8%) compared to young adults (13.2% </w:t>
      </w:r>
      <w:r w:rsidR="00510617">
        <w:t>versus 21.9%)</w:t>
      </w:r>
    </w:p>
    <w:p w14:paraId="591EB5BD" w14:textId="35FBBB49" w:rsidR="000C2F70" w:rsidRDefault="000C2F70" w:rsidP="000C2F70">
      <w:pPr>
        <w:pStyle w:val="ListBullet"/>
      </w:pPr>
      <w:proofErr w:type="gramStart"/>
      <w:r>
        <w:t>fever</w:t>
      </w:r>
      <w:proofErr w:type="gramEnd"/>
      <w:r>
        <w:t xml:space="preserve">: adolescents (10.1% </w:t>
      </w:r>
      <w:r w:rsidR="00510617">
        <w:t>versus</w:t>
      </w:r>
      <w:r>
        <w:t xml:space="preserve"> 19.6%) compared to young adults (7.3% </w:t>
      </w:r>
      <w:r w:rsidR="00510617">
        <w:t>versus 17.2%)</w:t>
      </w:r>
    </w:p>
    <w:p w14:paraId="0A2EE93B" w14:textId="50E23282" w:rsidR="000C2F70" w:rsidRDefault="000C2F70" w:rsidP="000C2F70">
      <w:pPr>
        <w:pStyle w:val="ListBullet"/>
      </w:pPr>
      <w:r>
        <w:t>vomiting: reported infrequently in both age group</w:t>
      </w:r>
      <w:r w:rsidR="00510617">
        <w:t>s and similar after either dose</w:t>
      </w:r>
    </w:p>
    <w:p w14:paraId="1ED6F29C" w14:textId="3A60807D" w:rsidR="000C2F70" w:rsidRDefault="009B115C" w:rsidP="000C2F70">
      <w:pPr>
        <w:pStyle w:val="ListBullet"/>
      </w:pPr>
      <w:proofErr w:type="gramStart"/>
      <w:r>
        <w:t>diarrhoea</w:t>
      </w:r>
      <w:proofErr w:type="gramEnd"/>
      <w:r w:rsidR="000C2F70">
        <w:t>: reported infrequently in both age group</w:t>
      </w:r>
      <w:r w:rsidR="00510617">
        <w:t>s and similar after either dose.</w:t>
      </w:r>
    </w:p>
    <w:p w14:paraId="3726038B" w14:textId="204D1489" w:rsidR="000C2F70" w:rsidRDefault="000C2F70" w:rsidP="000C2F70">
      <w:r>
        <w:t xml:space="preserve">Systemic events </w:t>
      </w:r>
      <w:proofErr w:type="gramStart"/>
      <w:r>
        <w:t>were generally reported</w:t>
      </w:r>
      <w:proofErr w:type="gramEnd"/>
      <w:r>
        <w:t xml:space="preserve"> less frequently in placebo versus vaccine groups.</w:t>
      </w:r>
    </w:p>
    <w:p w14:paraId="4862C02A" w14:textId="03092C81" w:rsidR="000C2F70" w:rsidRDefault="000C2F70" w:rsidP="000C2F70">
      <w:r>
        <w:t xml:space="preserve">Following both </w:t>
      </w:r>
      <w:r w:rsidR="009B115C">
        <w:t>the first and second dosages</w:t>
      </w:r>
      <w:r>
        <w:t xml:space="preserve">, use of antipyretic/pain medication was similar in adolescents and young adults, and medication use increased in both age groups after </w:t>
      </w:r>
      <w:r w:rsidR="009B115C">
        <w:t xml:space="preserve">the second dose </w:t>
      </w:r>
      <w:r>
        <w:t xml:space="preserve">as compared with </w:t>
      </w:r>
      <w:r w:rsidR="009B115C">
        <w:t>first dose.</w:t>
      </w:r>
      <w:r>
        <w:t xml:space="preserve"> Use of antipyretic/pain medication was less frequent in the placebo group than in the vaccine group and was similar </w:t>
      </w:r>
      <w:proofErr w:type="gramStart"/>
      <w:r>
        <w:t xml:space="preserve">after </w:t>
      </w:r>
      <w:r w:rsidR="009B115C">
        <w:t>the first and second dosages</w:t>
      </w:r>
      <w:r w:rsidR="009B115C" w:rsidDel="009B115C">
        <w:t xml:space="preserve"> </w:t>
      </w:r>
      <w:r>
        <w:t>in the placebo groups for both age groups (ranging from 8.8% to 11.9%)</w:t>
      </w:r>
      <w:proofErr w:type="gramEnd"/>
      <w:r>
        <w:t xml:space="preserve">. After the first and second dose and in both age groups, most systemic events were mild or moderate. Severe events </w:t>
      </w:r>
      <w:proofErr w:type="gramStart"/>
      <w:r>
        <w:t>were reported</w:t>
      </w:r>
      <w:proofErr w:type="gramEnd"/>
      <w:r>
        <w:t xml:space="preserve"> infrequently and at lower incidence in adolescents (≤ 3.5%) compared with young adults (≤ 6.0%) across the vaccine and placebo groups after any dose. One adolescent in the vaccine group had Grade 4 pyrexia (40.4 °C) on Day 2 after </w:t>
      </w:r>
      <w:r w:rsidR="009B115C">
        <w:t>the first dose</w:t>
      </w:r>
      <w:r>
        <w:t xml:space="preserve">, with temperature returning to normal by Day 4; it </w:t>
      </w:r>
      <w:proofErr w:type="gramStart"/>
      <w:r>
        <w:t>was also reported</w:t>
      </w:r>
      <w:proofErr w:type="gramEnd"/>
      <w:r>
        <w:t xml:space="preserve"> as an AE. Across age groups, median onset for all systemic events after either dose of vaccine was Day 1 to Day 4. Systemic events resolved post each dose with a median duration of 1 day, except fatigue and chills which resolved within a median of 1 to 2 days</w:t>
      </w:r>
      <w:r w:rsidR="00180496">
        <w:t xml:space="preserve"> (see Figure 2, below)</w:t>
      </w:r>
    </w:p>
    <w:p w14:paraId="6895D226" w14:textId="48D742D7" w:rsidR="000C2F70" w:rsidRDefault="000C2F70" w:rsidP="004A73C5">
      <w:pPr>
        <w:pStyle w:val="FigureTitle"/>
      </w:pPr>
      <w:r>
        <w:t xml:space="preserve">Figure </w:t>
      </w:r>
      <w:fldSimple w:instr=" SEQ Figure \* ARABIC ">
        <w:r w:rsidR="00B15022">
          <w:rPr>
            <w:noProof/>
          </w:rPr>
          <w:t>2</w:t>
        </w:r>
      </w:fldSimple>
      <w:r>
        <w:t xml:space="preserve">: </w:t>
      </w:r>
      <w:r w:rsidR="004A73C5">
        <w:t>S</w:t>
      </w:r>
      <w:r>
        <w:t xml:space="preserve">ystemic </w:t>
      </w:r>
      <w:r w:rsidR="00180496">
        <w:t>e</w:t>
      </w:r>
      <w:r>
        <w:t>vent</w:t>
      </w:r>
      <w:r w:rsidR="004A73C5">
        <w:t>s, by maximum severity, within seven days after each dose reactogenicity subset (S</w:t>
      </w:r>
      <w:r>
        <w:t>af</w:t>
      </w:r>
      <w:r w:rsidR="004A73C5">
        <w:t>ety population by age group: 12 to 15 and 16 to 25 y</w:t>
      </w:r>
      <w:r>
        <w:t>ears</w:t>
      </w:r>
      <w:r w:rsidR="004A73C5">
        <w:t xml:space="preserve"> of age)</w:t>
      </w:r>
    </w:p>
    <w:p w14:paraId="68037004" w14:textId="0036D323" w:rsidR="000C2F70" w:rsidRDefault="004A73C5" w:rsidP="00D36D6D">
      <w:r>
        <w:rPr>
          <w:noProof/>
          <w:lang w:eastAsia="en-AU"/>
        </w:rPr>
        <w:drawing>
          <wp:inline distT="0" distB="0" distL="0" distR="0" wp14:anchorId="718AECC3" wp14:editId="41817D60">
            <wp:extent cx="5388428" cy="2999014"/>
            <wp:effectExtent l="0" t="0" r="3175" b="0"/>
            <wp:docPr id="5" name="Picture 5" descr="Systemic Events, by maximum severity, within seven days after each dose reactogenicity subset (Safety population by age group: 12 to 15 and 16 to 25 years of ag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4">
                      <a:extLst>
                        <a:ext uri="{28A0092B-C50C-407E-A947-70E740481C1C}">
                          <a14:useLocalDpi xmlns:a14="http://schemas.microsoft.com/office/drawing/2010/main" val="0"/>
                        </a:ext>
                      </a:extLst>
                    </a:blip>
                    <a:srcRect l="1008" t="5655" r="2114"/>
                    <a:stretch/>
                  </pic:blipFill>
                  <pic:spPr bwMode="auto">
                    <a:xfrm>
                      <a:off x="0" y="0"/>
                      <a:ext cx="5400184" cy="3005557"/>
                    </a:xfrm>
                    <a:prstGeom prst="rect">
                      <a:avLst/>
                    </a:prstGeom>
                    <a:noFill/>
                    <a:ln>
                      <a:noFill/>
                    </a:ln>
                    <a:extLst>
                      <a:ext uri="{53640926-AAD7-44D8-BBD7-CCE9431645EC}">
                        <a14:shadowObscured xmlns:a14="http://schemas.microsoft.com/office/drawing/2010/main"/>
                      </a:ext>
                    </a:extLst>
                  </pic:spPr>
                </pic:pic>
              </a:graphicData>
            </a:graphic>
          </wp:inline>
        </w:drawing>
      </w:r>
    </w:p>
    <w:p w14:paraId="70B03135" w14:textId="7249BCD3" w:rsidR="004A73C5" w:rsidRDefault="00CA21C5" w:rsidP="004A73C5">
      <w:pPr>
        <w:pStyle w:val="Heading5"/>
      </w:pPr>
      <w:r>
        <w:t>Adverse e</w:t>
      </w:r>
      <w:r w:rsidR="004A73C5">
        <w:t>vents</w:t>
      </w:r>
    </w:p>
    <w:p w14:paraId="267CF44C" w14:textId="1298656D" w:rsidR="004A73C5" w:rsidRDefault="004A73C5" w:rsidP="004A73C5">
      <w:r>
        <w:t xml:space="preserve">The overviews of AEs for adolescents and young adults (reactogenicity subset) are reported from </w:t>
      </w:r>
      <w:r w:rsidR="00D074C0">
        <w:t>the first dose</w:t>
      </w:r>
      <w:r>
        <w:t xml:space="preserve"> to one month after </w:t>
      </w:r>
      <w:r w:rsidR="00D074C0">
        <w:t xml:space="preserve">the second </w:t>
      </w:r>
      <w:proofErr w:type="gramStart"/>
      <w:r w:rsidR="00D074C0">
        <w:t>dose</w:t>
      </w:r>
      <w:r>
        <w:t>,</w:t>
      </w:r>
      <w:proofErr w:type="gramEnd"/>
      <w:r>
        <w:t xml:space="preserve"> and from </w:t>
      </w:r>
      <w:r w:rsidR="00D074C0">
        <w:t>the first dose</w:t>
      </w:r>
      <w:r>
        <w:t xml:space="preserve"> until 13 March 2021.</w:t>
      </w:r>
    </w:p>
    <w:p w14:paraId="0C151A2D" w14:textId="6E58598F" w:rsidR="004A73C5" w:rsidRDefault="00D074C0" w:rsidP="004A73C5">
      <w:r>
        <w:t>From the first dose</w:t>
      </w:r>
      <w:r w:rsidR="004A73C5">
        <w:t xml:space="preserve"> to one month after </w:t>
      </w:r>
      <w:r>
        <w:t>the second dose,</w:t>
      </w:r>
      <w:r w:rsidR="004A73C5">
        <w:t xml:space="preserve"> the number of participants with any AE were similar in the vaccine and placebo groups for adolescents and young adults groups. Severe AEs, SAEs, and AEs leading to withdrawal </w:t>
      </w:r>
      <w:proofErr w:type="gramStart"/>
      <w:r w:rsidR="004A73C5">
        <w:t>were reported</w:t>
      </w:r>
      <w:proofErr w:type="gramEnd"/>
      <w:r w:rsidR="004A73C5">
        <w:t xml:space="preserve"> by ≤ 1.7%, ≤ 0.4%, and ≤ 0.4%, respectively, in both groups. No reported SAEs </w:t>
      </w:r>
      <w:proofErr w:type="gramStart"/>
      <w:r w:rsidR="004A73C5">
        <w:t>were considered</w:t>
      </w:r>
      <w:proofErr w:type="gramEnd"/>
      <w:r w:rsidR="004A73C5">
        <w:t xml:space="preserve"> by the investigator as related to study intervention. Withdrawals due to related AEs </w:t>
      </w:r>
      <w:proofErr w:type="gramStart"/>
      <w:r w:rsidR="004A73C5">
        <w:t>were reported</w:t>
      </w:r>
      <w:proofErr w:type="gramEnd"/>
      <w:r w:rsidR="004A73C5">
        <w:t xml:space="preserve"> in one adolescent in the vaccine group and none in the placebo group; among young adults, withdrawals due to related AEs were reported in one participant in the vaccine group and none in the placebo group. Discontinuations due to any AEs </w:t>
      </w:r>
      <w:proofErr w:type="gramStart"/>
      <w:r w:rsidR="004A73C5">
        <w:t>were reported</w:t>
      </w:r>
      <w:proofErr w:type="gramEnd"/>
      <w:r w:rsidR="004A73C5">
        <w:t xml:space="preserve"> in three participants in the vaccine group and two participants in the placebo group, across age groups. No </w:t>
      </w:r>
      <w:r w:rsidR="00510617">
        <w:t xml:space="preserve">death </w:t>
      </w:r>
      <w:proofErr w:type="gramStart"/>
      <w:r w:rsidR="00510617">
        <w:t>was reported</w:t>
      </w:r>
      <w:proofErr w:type="gramEnd"/>
      <w:r w:rsidR="00510617">
        <w:t xml:space="preserve"> for </w:t>
      </w:r>
      <w:r w:rsidR="004A73C5">
        <w:t>study particip</w:t>
      </w:r>
      <w:r w:rsidR="00510617">
        <w:t>ants 12</w:t>
      </w:r>
      <w:r>
        <w:t> </w:t>
      </w:r>
      <w:r w:rsidR="00510617">
        <w:t>through 25 years of age.</w:t>
      </w:r>
    </w:p>
    <w:p w14:paraId="48A0E006" w14:textId="07BEB2CD" w:rsidR="004A73C5" w:rsidRDefault="00D074C0" w:rsidP="00510617">
      <w:r>
        <w:t>From the first dose</w:t>
      </w:r>
      <w:r w:rsidR="00E55BFD">
        <w:t xml:space="preserve"> to d</w:t>
      </w:r>
      <w:r w:rsidR="004A73C5">
        <w:t xml:space="preserve">ata </w:t>
      </w:r>
      <w:proofErr w:type="spellStart"/>
      <w:r w:rsidR="00E55BFD">
        <w:t>cutoff</w:t>
      </w:r>
      <w:proofErr w:type="spellEnd"/>
      <w:r w:rsidR="00E55BFD">
        <w:t xml:space="preserve"> d</w:t>
      </w:r>
      <w:r w:rsidR="004A73C5">
        <w:t xml:space="preserve">ate (13 March 2021): the number of adolescents with any event was similar in the vaccine and placebo groups. Severe AEs, SAEs, and AEs leading to withdrawal </w:t>
      </w:r>
      <w:proofErr w:type="gramStart"/>
      <w:r w:rsidR="004A73C5">
        <w:t>were reported</w:t>
      </w:r>
      <w:proofErr w:type="gramEnd"/>
      <w:r w:rsidR="004A73C5">
        <w:t xml:space="preserve"> by ≤ 0.8%, ≤ 0.4%, and ≤ 0.2%, respectively, in both groups. No reported SAEs </w:t>
      </w:r>
      <w:proofErr w:type="gramStart"/>
      <w:r w:rsidR="004A73C5">
        <w:t>were considered</w:t>
      </w:r>
      <w:proofErr w:type="gramEnd"/>
      <w:r w:rsidR="004A73C5">
        <w:t xml:space="preserve"> by the investigator as related to study intervention. Discontinuation due to related AEs </w:t>
      </w:r>
      <w:proofErr w:type="gramStart"/>
      <w:r w:rsidR="004A73C5">
        <w:t>was reported</w:t>
      </w:r>
      <w:proofErr w:type="gramEnd"/>
      <w:r w:rsidR="004A73C5">
        <w:t xml:space="preserve"> in one participant in the vaccine group and none in the placebo group. As of the data </w:t>
      </w:r>
      <w:proofErr w:type="spellStart"/>
      <w:r w:rsidR="004A73C5">
        <w:t>cutoff</w:t>
      </w:r>
      <w:proofErr w:type="spellEnd"/>
      <w:r w:rsidR="004A73C5">
        <w:t xml:space="preserve"> date, no </w:t>
      </w:r>
      <w:r w:rsidR="00510617">
        <w:t xml:space="preserve">death was reported for </w:t>
      </w:r>
      <w:r w:rsidR="004A73C5">
        <w:t>study parti</w:t>
      </w:r>
      <w:r w:rsidR="00510617">
        <w:t>cipants in the adolescent group.</w:t>
      </w:r>
    </w:p>
    <w:p w14:paraId="7740E836" w14:textId="7EE65C30" w:rsidR="004A73C5" w:rsidRDefault="004A73C5" w:rsidP="00510617">
      <w:r>
        <w:t xml:space="preserve">Analysis of AE for adolescents and young adults are reported from </w:t>
      </w:r>
      <w:r w:rsidR="00D074C0">
        <w:t>the first dose</w:t>
      </w:r>
      <w:r>
        <w:t xml:space="preserve"> to one month after </w:t>
      </w:r>
      <w:r w:rsidR="00D074C0">
        <w:t xml:space="preserve">the second </w:t>
      </w:r>
      <w:proofErr w:type="gramStart"/>
      <w:r w:rsidR="00D074C0">
        <w:t>dose</w:t>
      </w:r>
      <w:r>
        <w:t>,</w:t>
      </w:r>
      <w:proofErr w:type="gramEnd"/>
      <w:r>
        <w:t xml:space="preserve"> and from </w:t>
      </w:r>
      <w:r w:rsidR="00D074C0">
        <w:t>the first dose</w:t>
      </w:r>
      <w:r>
        <w:t xml:space="preserve"> until the data </w:t>
      </w:r>
      <w:proofErr w:type="spellStart"/>
      <w:r w:rsidR="00E55BFD">
        <w:t>cutoff</w:t>
      </w:r>
      <w:proofErr w:type="spellEnd"/>
      <w:r w:rsidR="00510617">
        <w:t xml:space="preserve"> date (13 March 2021).</w:t>
      </w:r>
    </w:p>
    <w:p w14:paraId="10195A5A" w14:textId="123C3291" w:rsidR="004A73C5" w:rsidRPr="004A73C5" w:rsidRDefault="004A73C5" w:rsidP="004A73C5">
      <w:pPr>
        <w:pStyle w:val="Heading6"/>
      </w:pPr>
      <w:r w:rsidRPr="004A73C5">
        <w:t>A</w:t>
      </w:r>
      <w:r>
        <w:t>dverse events</w:t>
      </w:r>
      <w:r w:rsidRPr="004A73C5">
        <w:t xml:space="preserve"> by System Organ Class and Preferred Term</w:t>
      </w:r>
    </w:p>
    <w:p w14:paraId="5B1E607A" w14:textId="3CC2DC77" w:rsidR="004A73C5" w:rsidRPr="004A73C5" w:rsidRDefault="00AB6D06" w:rsidP="004A73C5">
      <w:pPr>
        <w:pStyle w:val="Heading7"/>
        <w:rPr>
          <w:sz w:val="22"/>
          <w:szCs w:val="22"/>
        </w:rPr>
      </w:pPr>
      <w:r>
        <w:rPr>
          <w:sz w:val="22"/>
          <w:szCs w:val="22"/>
        </w:rPr>
        <w:t>From the first dose</w:t>
      </w:r>
      <w:r w:rsidR="00510617">
        <w:rPr>
          <w:sz w:val="22"/>
          <w:szCs w:val="22"/>
        </w:rPr>
        <w:t xml:space="preserve"> to one month a</w:t>
      </w:r>
      <w:r w:rsidR="004A73C5" w:rsidRPr="004A73C5">
        <w:rPr>
          <w:sz w:val="22"/>
          <w:szCs w:val="22"/>
        </w:rPr>
        <w:t xml:space="preserve">fter </w:t>
      </w:r>
      <w:r>
        <w:rPr>
          <w:sz w:val="22"/>
          <w:szCs w:val="22"/>
        </w:rPr>
        <w:t>second dose:</w:t>
      </w:r>
    </w:p>
    <w:p w14:paraId="30943D9D" w14:textId="58B719BB" w:rsidR="004A73C5" w:rsidRDefault="004A73C5" w:rsidP="004A73C5">
      <w:r>
        <w:t xml:space="preserve">Adverse events reported in adolescents were generally similar to young adults within the vaccine and placebo groups. Most of the AEs after </w:t>
      </w:r>
      <w:r w:rsidR="00AB6D06">
        <w:t>the first dose</w:t>
      </w:r>
      <w:r>
        <w:t xml:space="preserve"> up to one month after </w:t>
      </w:r>
      <w:r w:rsidR="00AB6D06">
        <w:t>the second dose</w:t>
      </w:r>
      <w:r>
        <w:t xml:space="preserve"> were reactogenicity events reported as AEs (that is headache, nausea, and </w:t>
      </w:r>
      <w:r w:rsidR="00AB6D06">
        <w:t>diarrhoea</w:t>
      </w:r>
      <w:r>
        <w:t>). In adolescents, AE frequencies in these reactogenicity System Organ Class</w:t>
      </w:r>
      <w:r w:rsidR="004E5E23">
        <w:t>es</w:t>
      </w:r>
      <w:r>
        <w:t xml:space="preserve"> (SOCs) (vaccine versus placebo) were:</w:t>
      </w:r>
    </w:p>
    <w:p w14:paraId="420C7CFD" w14:textId="441CD00A" w:rsidR="004A73C5" w:rsidRDefault="004A73C5" w:rsidP="004A73C5">
      <w:pPr>
        <w:pStyle w:val="ListBullet"/>
      </w:pPr>
      <w:proofErr w:type="gramStart"/>
      <w:r>
        <w:t>general</w:t>
      </w:r>
      <w:proofErr w:type="gramEnd"/>
      <w:r>
        <w:t xml:space="preserve"> disorders and administration site conditions (1.4% versus 1.0%)</w:t>
      </w:r>
    </w:p>
    <w:p w14:paraId="7423BE4A" w14:textId="24E419C6" w:rsidR="004A73C5" w:rsidRDefault="004A73C5" w:rsidP="004A73C5">
      <w:pPr>
        <w:pStyle w:val="ListBullet"/>
      </w:pPr>
      <w:proofErr w:type="gramStart"/>
      <w:r>
        <w:t>musculoskeletal</w:t>
      </w:r>
      <w:proofErr w:type="gramEnd"/>
      <w:r>
        <w:t xml:space="preserve"> and connective tissue disorders (0.8% versus 0.7%)</w:t>
      </w:r>
    </w:p>
    <w:p w14:paraId="1A48088F" w14:textId="75D2114E" w:rsidR="004A73C5" w:rsidRDefault="004A73C5" w:rsidP="004A73C5">
      <w:pPr>
        <w:pStyle w:val="ListBullet"/>
      </w:pPr>
      <w:proofErr w:type="gramStart"/>
      <w:r>
        <w:t>nervous</w:t>
      </w:r>
      <w:proofErr w:type="gramEnd"/>
      <w:r>
        <w:t xml:space="preserve"> system disorders (1.1% versus 0.6%)</w:t>
      </w:r>
    </w:p>
    <w:p w14:paraId="4FFC2AFA" w14:textId="2E0468ED" w:rsidR="004A73C5" w:rsidRDefault="004A73C5" w:rsidP="004A73C5">
      <w:pPr>
        <w:pStyle w:val="ListBullet"/>
      </w:pPr>
      <w:proofErr w:type="gramStart"/>
      <w:r>
        <w:t>gastrointestinal</w:t>
      </w:r>
      <w:proofErr w:type="gramEnd"/>
      <w:r>
        <w:t xml:space="preserve"> disorders (1.2% versus 0.3%)</w:t>
      </w:r>
    </w:p>
    <w:p w14:paraId="41CDB4C2" w14:textId="226B8ADE" w:rsidR="004A73C5" w:rsidRDefault="004A73C5" w:rsidP="004A73C5">
      <w:r>
        <w:t>In young adults, AE frequencies in these reactogenicity SOCs (vaccine versus placebo) were:</w:t>
      </w:r>
    </w:p>
    <w:p w14:paraId="0B9C4561" w14:textId="129C5B75" w:rsidR="004A73C5" w:rsidRDefault="004A73C5" w:rsidP="004A73C5">
      <w:pPr>
        <w:pStyle w:val="ListBullet"/>
      </w:pPr>
      <w:proofErr w:type="gramStart"/>
      <w:r>
        <w:t>general</w:t>
      </w:r>
      <w:proofErr w:type="gramEnd"/>
      <w:r>
        <w:t xml:space="preserve"> disorders and administration site conditions (3.9% versus 1.8%)</w:t>
      </w:r>
    </w:p>
    <w:p w14:paraId="051E57FC" w14:textId="7955202B" w:rsidR="004A73C5" w:rsidRDefault="004A73C5" w:rsidP="004A73C5">
      <w:pPr>
        <w:pStyle w:val="ListBullet"/>
      </w:pPr>
      <w:proofErr w:type="gramStart"/>
      <w:r>
        <w:t>musculoskeletal</w:t>
      </w:r>
      <w:proofErr w:type="gramEnd"/>
      <w:r>
        <w:t xml:space="preserve"> and connective tissue disorders (2.2% versus 1.4%)</w:t>
      </w:r>
    </w:p>
    <w:p w14:paraId="7822056E" w14:textId="11B380B8" w:rsidR="004A73C5" w:rsidRDefault="004A73C5" w:rsidP="004A73C5">
      <w:pPr>
        <w:pStyle w:val="ListBullet"/>
      </w:pPr>
      <w:proofErr w:type="gramStart"/>
      <w:r>
        <w:t>nervous</w:t>
      </w:r>
      <w:proofErr w:type="gramEnd"/>
      <w:r>
        <w:t xml:space="preserve"> system disorders (2.4% versus 1.2%)</w:t>
      </w:r>
    </w:p>
    <w:p w14:paraId="4C375794" w14:textId="483F754E" w:rsidR="004A73C5" w:rsidRDefault="004A73C5" w:rsidP="004A73C5">
      <w:pPr>
        <w:pStyle w:val="ListBullet"/>
      </w:pPr>
      <w:proofErr w:type="gramStart"/>
      <w:r>
        <w:t>gastrointestinal</w:t>
      </w:r>
      <w:proofErr w:type="gramEnd"/>
      <w:r>
        <w:t xml:space="preserve"> disorders (0.9% versus 1.1%)</w:t>
      </w:r>
    </w:p>
    <w:p w14:paraId="0227A41B" w14:textId="7F8CD355" w:rsidR="004A73C5" w:rsidRDefault="004A73C5" w:rsidP="004A73C5">
      <w:r>
        <w:t xml:space="preserve">The AEs reported in adolescents and young adults at one month after </w:t>
      </w:r>
      <w:r w:rsidR="00AB6D06">
        <w:t>the second dose</w:t>
      </w:r>
      <w:r>
        <w:t xml:space="preserve"> were largely attributable to reactogenicity events.</w:t>
      </w:r>
    </w:p>
    <w:p w14:paraId="45CF6365" w14:textId="164BAAED" w:rsidR="004A73C5" w:rsidRPr="004A73C5" w:rsidRDefault="00AB6D06" w:rsidP="004A73C5">
      <w:pPr>
        <w:pStyle w:val="Heading7"/>
        <w:rPr>
          <w:sz w:val="22"/>
          <w:szCs w:val="22"/>
        </w:rPr>
      </w:pPr>
      <w:r>
        <w:rPr>
          <w:sz w:val="22"/>
          <w:szCs w:val="22"/>
        </w:rPr>
        <w:t>From the first dose</w:t>
      </w:r>
      <w:r w:rsidR="00E55BFD">
        <w:rPr>
          <w:sz w:val="22"/>
          <w:szCs w:val="22"/>
        </w:rPr>
        <w:t xml:space="preserve"> to </w:t>
      </w:r>
      <w:r>
        <w:rPr>
          <w:sz w:val="22"/>
          <w:szCs w:val="22"/>
        </w:rPr>
        <w:t xml:space="preserve">the </w:t>
      </w:r>
      <w:r w:rsidR="00E55BFD">
        <w:rPr>
          <w:sz w:val="22"/>
          <w:szCs w:val="22"/>
        </w:rPr>
        <w:t>d</w:t>
      </w:r>
      <w:r w:rsidR="004A73C5">
        <w:rPr>
          <w:sz w:val="22"/>
          <w:szCs w:val="22"/>
        </w:rPr>
        <w:t xml:space="preserve">ata </w:t>
      </w:r>
      <w:proofErr w:type="spellStart"/>
      <w:r w:rsidR="00E55BFD">
        <w:rPr>
          <w:sz w:val="22"/>
          <w:szCs w:val="22"/>
        </w:rPr>
        <w:t>cutoff</w:t>
      </w:r>
      <w:proofErr w:type="spellEnd"/>
      <w:r w:rsidR="00E55BFD">
        <w:rPr>
          <w:sz w:val="22"/>
          <w:szCs w:val="22"/>
        </w:rPr>
        <w:t xml:space="preserve"> d</w:t>
      </w:r>
      <w:r w:rsidR="004A73C5">
        <w:rPr>
          <w:sz w:val="22"/>
          <w:szCs w:val="22"/>
        </w:rPr>
        <w:t>ate</w:t>
      </w:r>
      <w:r>
        <w:rPr>
          <w:sz w:val="22"/>
          <w:szCs w:val="22"/>
        </w:rPr>
        <w:t>:</w:t>
      </w:r>
    </w:p>
    <w:p w14:paraId="63B3DBAF" w14:textId="633C86DA" w:rsidR="004A73C5" w:rsidRDefault="004A73C5" w:rsidP="004A73C5">
      <w:r>
        <w:t xml:space="preserve">Adverse events reported in adolescents through the data </w:t>
      </w:r>
      <w:proofErr w:type="spellStart"/>
      <w:r w:rsidR="00E55BFD">
        <w:t>cutoff</w:t>
      </w:r>
      <w:proofErr w:type="spellEnd"/>
      <w:r>
        <w:t xml:space="preserve"> date were similar in the vaccine and placebo groups. The most frequently reported AEs in adolescents through the data </w:t>
      </w:r>
      <w:proofErr w:type="spellStart"/>
      <w:r w:rsidR="00E55BFD">
        <w:t>cutoff</w:t>
      </w:r>
      <w:proofErr w:type="spellEnd"/>
      <w:r>
        <w:t xml:space="preserve"> date included lymphadenopathy (0.8%), injection site pain (0.6%), fatigue (0.6%), pyrexia (0.4%), nausea (0.4%), and headache (0.4%). No deaths </w:t>
      </w:r>
      <w:proofErr w:type="gramStart"/>
      <w:r w:rsidR="004056C5">
        <w:t>were reported</w:t>
      </w:r>
      <w:proofErr w:type="gramEnd"/>
      <w:r w:rsidR="004056C5">
        <w:t xml:space="preserve"> in adolescent (12 to</w:t>
      </w:r>
      <w:r>
        <w:t>15 y</w:t>
      </w:r>
      <w:r w:rsidR="004056C5">
        <w:t xml:space="preserve">ears of age) or young adult (16 to </w:t>
      </w:r>
      <w:r>
        <w:t>25 years of age) groups evaluated in safety analyses up to the dat</w:t>
      </w:r>
      <w:r w:rsidR="004056C5">
        <w:t xml:space="preserve">a </w:t>
      </w:r>
      <w:proofErr w:type="spellStart"/>
      <w:r w:rsidR="00E55BFD">
        <w:t>cutoff</w:t>
      </w:r>
      <w:proofErr w:type="spellEnd"/>
      <w:r w:rsidR="004056C5">
        <w:t xml:space="preserve"> date (13 March 2021).</w:t>
      </w:r>
    </w:p>
    <w:p w14:paraId="3E3F8910" w14:textId="1AF41D83" w:rsidR="004A73C5" w:rsidRDefault="004056C5" w:rsidP="004056C5">
      <w:pPr>
        <w:pStyle w:val="Heading6"/>
      </w:pPr>
      <w:r>
        <w:t xml:space="preserve">Related </w:t>
      </w:r>
      <w:r w:rsidR="00A5742A">
        <w:t>a</w:t>
      </w:r>
      <w:r>
        <w:t xml:space="preserve">dverse </w:t>
      </w:r>
      <w:r w:rsidR="00A5742A">
        <w:t>e</w:t>
      </w:r>
      <w:r>
        <w:t>vents</w:t>
      </w:r>
    </w:p>
    <w:p w14:paraId="32FA21DE" w14:textId="16F38888" w:rsidR="004A73C5" w:rsidRDefault="004056C5" w:rsidP="004A73C5">
      <w:r>
        <w:t xml:space="preserve">From </w:t>
      </w:r>
      <w:r w:rsidR="006179E7">
        <w:t xml:space="preserve">the first dose </w:t>
      </w:r>
      <w:r>
        <w:t>to one</w:t>
      </w:r>
      <w:r w:rsidR="004A73C5">
        <w:t xml:space="preserve"> month </w:t>
      </w:r>
      <w:r w:rsidR="006179E7">
        <w:t>following the second dose</w:t>
      </w:r>
      <w:r w:rsidR="004A73C5">
        <w:t>, AEs assessed as related to study intervention in adolescents and young adults were similar in the vaccine and placebo group. Most related AEs were reactogenicity events and in the SOC of general disorders and administration site conditions, and these were reported by 15 adolescents (1.3%) and 19 young adults (3.5%) in t</w:t>
      </w:r>
      <w:r>
        <w:t>he vaccine group compared with nine adolescents (0.8%) and nine</w:t>
      </w:r>
      <w:r w:rsidR="004A73C5">
        <w:t xml:space="preserve"> young adults (1.6%) in the placebo group. Related events of ly</w:t>
      </w:r>
      <w:r>
        <w:t xml:space="preserve">mphadenopathy </w:t>
      </w:r>
      <w:proofErr w:type="gramStart"/>
      <w:r>
        <w:t>were reported</w:t>
      </w:r>
      <w:proofErr w:type="gramEnd"/>
      <w:r>
        <w:t xml:space="preserve"> in seven</w:t>
      </w:r>
      <w:r w:rsidR="004A73C5">
        <w:t xml:space="preserve"> adoles</w:t>
      </w:r>
      <w:r>
        <w:t>cents in the vaccine group and one</w:t>
      </w:r>
      <w:r w:rsidR="004A73C5">
        <w:t xml:space="preserve"> adolescent in th</w:t>
      </w:r>
      <w:r>
        <w:t>e placebo group, compared with one</w:t>
      </w:r>
      <w:r w:rsidR="004A73C5">
        <w:t xml:space="preserve"> young adult in the vaccine group</w:t>
      </w:r>
      <w:r>
        <w:t xml:space="preserve"> and none in the placebo group.</w:t>
      </w:r>
    </w:p>
    <w:p w14:paraId="1EFC2B4A" w14:textId="2A121B0E" w:rsidR="004A73C5" w:rsidRDefault="004A73C5" w:rsidP="004056C5">
      <w:pPr>
        <w:pStyle w:val="Heading6"/>
      </w:pPr>
      <w:r>
        <w:t xml:space="preserve">Immediate </w:t>
      </w:r>
      <w:r w:rsidR="006179E7">
        <w:t>a</w:t>
      </w:r>
      <w:r>
        <w:t xml:space="preserve">dverse </w:t>
      </w:r>
      <w:r w:rsidR="006179E7">
        <w:t>e</w:t>
      </w:r>
      <w:r>
        <w:t>vents</w:t>
      </w:r>
    </w:p>
    <w:p w14:paraId="109A1309" w14:textId="648EF73F" w:rsidR="004A73C5" w:rsidRDefault="004A73C5" w:rsidP="004A73C5">
      <w:r>
        <w:t xml:space="preserve">After </w:t>
      </w:r>
      <w:r w:rsidR="006179E7">
        <w:t>the first dose,</w:t>
      </w:r>
      <w:r>
        <w:t xml:space="preserve"> immediate AEs reported by adolescents and young adults were low in frequency (≤</w:t>
      </w:r>
      <w:r w:rsidR="004056C5">
        <w:t> </w:t>
      </w:r>
      <w:r>
        <w:t xml:space="preserve">0.4%) and </w:t>
      </w:r>
      <w:proofErr w:type="gramStart"/>
      <w:r>
        <w:t>were reported</w:t>
      </w:r>
      <w:proofErr w:type="gramEnd"/>
      <w:r>
        <w:t xml:space="preserve"> only in the placebo groups. All immediate AEs after </w:t>
      </w:r>
      <w:r w:rsidR="006179E7">
        <w:t>the first dose</w:t>
      </w:r>
      <w:r>
        <w:t xml:space="preserve"> were in the SOCs of general disorders and administration site conditions (injection site pain and injection site erythema) and nervous system disorders (dizziness and headache). After </w:t>
      </w:r>
      <w:r w:rsidR="006179E7">
        <w:t>the second dose</w:t>
      </w:r>
      <w:r>
        <w:t>, adolescents and young adults with immediate AEs were low in frequency (≤</w:t>
      </w:r>
      <w:r w:rsidR="004056C5">
        <w:t> </w:t>
      </w:r>
      <w:r>
        <w:t xml:space="preserve">0.4%) in vaccine and placebo groups. Most immediate AEs after </w:t>
      </w:r>
      <w:r w:rsidR="006179E7">
        <w:t xml:space="preserve">second dose </w:t>
      </w:r>
      <w:r>
        <w:t xml:space="preserve">were in the SOC of general disorders and administration site conditions. Other immediate AEs after Dose 2 </w:t>
      </w:r>
      <w:proofErr w:type="gramStart"/>
      <w:r>
        <w:t>were reported</w:t>
      </w:r>
      <w:proofErr w:type="gramEnd"/>
      <w:r>
        <w:t xml:space="preserve"> in the SOC of nervou</w:t>
      </w:r>
      <w:r w:rsidR="004056C5">
        <w:t>s system disorders (dizziness; one</w:t>
      </w:r>
      <w:r>
        <w:t xml:space="preserve"> participant in the vaccinated adolescent group) or skin and subcutaneous tissue disorders </w:t>
      </w:r>
      <w:r w:rsidR="004056C5">
        <w:t>(rash maculo-papular; one</w:t>
      </w:r>
      <w:r>
        <w:t xml:space="preserve"> participant in the placebo adolescent group). No allergic AEs </w:t>
      </w:r>
      <w:proofErr w:type="gramStart"/>
      <w:r>
        <w:t>were reported</w:t>
      </w:r>
      <w:proofErr w:type="gramEnd"/>
      <w:r>
        <w:t xml:space="preserve"> after either dose of vaccine within</w:t>
      </w:r>
      <w:r w:rsidR="004056C5">
        <w:t xml:space="preserve"> 30 minutes after vaccination.</w:t>
      </w:r>
    </w:p>
    <w:p w14:paraId="7BD7CEE0" w14:textId="54B30E28" w:rsidR="004A73C5" w:rsidRDefault="004056C5" w:rsidP="004056C5">
      <w:pPr>
        <w:pStyle w:val="Heading6"/>
      </w:pPr>
      <w:r>
        <w:t xml:space="preserve">Severe or </w:t>
      </w:r>
      <w:r w:rsidR="006179E7">
        <w:t>life-threatening adverse events</w:t>
      </w:r>
    </w:p>
    <w:p w14:paraId="21284F15" w14:textId="1015B47E" w:rsidR="004A73C5" w:rsidRDefault="004056C5" w:rsidP="004A73C5">
      <w:r>
        <w:t xml:space="preserve">From </w:t>
      </w:r>
      <w:r w:rsidR="006179E7">
        <w:t>the first dose</w:t>
      </w:r>
      <w:r>
        <w:t xml:space="preserve"> to </w:t>
      </w:r>
      <w:proofErr w:type="gramStart"/>
      <w:r>
        <w:t>one</w:t>
      </w:r>
      <w:r w:rsidR="004A73C5">
        <w:t xml:space="preserve"> month</w:t>
      </w:r>
      <w:proofErr w:type="gramEnd"/>
      <w:r w:rsidR="004A73C5">
        <w:t xml:space="preserve"> post </w:t>
      </w:r>
      <w:r w:rsidR="006179E7">
        <w:t>the second dose</w:t>
      </w:r>
      <w:r w:rsidR="004A73C5">
        <w:t>, severe AEs reported in adolescents and young adults were low in frequency: 0.6% in the vaccine group versus 0.2% in the placebo group among adolescents, and 1.7% in the vaccine group versus 0.5% in the placebo group among yo</w:t>
      </w:r>
      <w:r>
        <w:t>ung adults. Among adolescents, two</w:t>
      </w:r>
      <w:r w:rsidR="004A73C5">
        <w:t xml:space="preserve"> participants</w:t>
      </w:r>
      <w:r>
        <w:t xml:space="preserve"> (one</w:t>
      </w:r>
      <w:r w:rsidR="004A73C5">
        <w:t xml:space="preserve"> each in the vaccine an</w:t>
      </w:r>
      <w:r>
        <w:t xml:space="preserve">d placebo groups) had at least one life threatening AE from </w:t>
      </w:r>
      <w:r w:rsidR="006179E7">
        <w:t>first dose</w:t>
      </w:r>
      <w:r>
        <w:t xml:space="preserve"> to one</w:t>
      </w:r>
      <w:r w:rsidR="004A73C5">
        <w:t xml:space="preserve"> mont</w:t>
      </w:r>
      <w:r>
        <w:t xml:space="preserve">h after </w:t>
      </w:r>
      <w:r w:rsidR="006179E7">
        <w:t>second dose</w:t>
      </w:r>
      <w:r>
        <w:t>. These included:</w:t>
      </w:r>
    </w:p>
    <w:p w14:paraId="05F63A00" w14:textId="4DB44256" w:rsidR="004A73C5" w:rsidRPr="004056C5" w:rsidRDefault="004E5E23" w:rsidP="004056C5">
      <w:pPr>
        <w:pStyle w:val="ListBullet"/>
      </w:pPr>
      <w:r>
        <w:t>f</w:t>
      </w:r>
      <w:r w:rsidR="004A73C5" w:rsidRPr="004056C5">
        <w:t>ocal peritoniti</w:t>
      </w:r>
      <w:r w:rsidR="004056C5">
        <w:t>s and appendicitis reported in one</w:t>
      </w:r>
      <w:r w:rsidR="004A73C5" w:rsidRPr="004056C5">
        <w:t xml:space="preserve"> adolescent in the placebo group, occurring concurrently 19 days </w:t>
      </w:r>
      <w:r w:rsidR="006179E7">
        <w:t>following the second dose</w:t>
      </w:r>
      <w:r w:rsidR="004056C5">
        <w:t xml:space="preserve"> with a duration of two</w:t>
      </w:r>
      <w:r w:rsidR="004A73C5" w:rsidRPr="004056C5">
        <w:t xml:space="preserve"> days, and considered as not related to study intervention; both events were reported as SAEs, resolved, and the part</w:t>
      </w:r>
      <w:r>
        <w:t>icipant continued in the study</w:t>
      </w:r>
      <w:r w:rsidR="006179E7">
        <w:t>;</w:t>
      </w:r>
    </w:p>
    <w:p w14:paraId="10DACF52" w14:textId="180F836C" w:rsidR="004A73C5" w:rsidRPr="004056C5" w:rsidRDefault="004E5E23" w:rsidP="004056C5">
      <w:pPr>
        <w:pStyle w:val="ListBullet"/>
      </w:pPr>
      <w:r>
        <w:t>p</w:t>
      </w:r>
      <w:r w:rsidR="004A73C5" w:rsidRPr="004056C5">
        <w:t>yrexia (</w:t>
      </w:r>
      <w:r w:rsidR="00A5742A">
        <w:t xml:space="preserve">of </w:t>
      </w:r>
      <w:r w:rsidR="004A73C5" w:rsidRPr="004056C5">
        <w:t>4</w:t>
      </w:r>
      <w:r w:rsidR="004056C5">
        <w:t xml:space="preserve">0.4°C) </w:t>
      </w:r>
      <w:r w:rsidR="00A5742A">
        <w:t xml:space="preserve">was </w:t>
      </w:r>
      <w:r w:rsidR="004056C5">
        <w:t>reported as Grade 4 in one</w:t>
      </w:r>
      <w:r w:rsidR="004A73C5" w:rsidRPr="004056C5">
        <w:t xml:space="preserve"> adolescent in the vaccine group, occ</w:t>
      </w:r>
      <w:r w:rsidR="004056C5">
        <w:t>urring two</w:t>
      </w:r>
      <w:r w:rsidR="004A73C5" w:rsidRPr="004056C5">
        <w:t xml:space="preserve"> days after Dose 1 with temperature returning to normal on Day 4, and was considered as related to study intervention; the event was reported as non-serious, resolved, and the participant withdrew</w:t>
      </w:r>
      <w:r w:rsidR="004056C5">
        <w:t xml:space="preserve"> from the study. Additionally, two</w:t>
      </w:r>
      <w:r w:rsidR="004A73C5" w:rsidRPr="004056C5">
        <w:t xml:space="preserve"> participants in the</w:t>
      </w:r>
      <w:r w:rsidR="004056C5">
        <w:t xml:space="preserve"> adolescent group had life </w:t>
      </w:r>
      <w:r w:rsidR="004A73C5" w:rsidRPr="004056C5">
        <w:t>threatening AEs that occurred after they turned 16</w:t>
      </w:r>
      <w:r w:rsidR="006179E7">
        <w:t> years of age</w:t>
      </w:r>
      <w:r w:rsidR="00CA26FB">
        <w:t xml:space="preserve"> </w:t>
      </w:r>
      <w:r w:rsidR="004A73C5" w:rsidRPr="004056C5">
        <w:t xml:space="preserve">during the study and were </w:t>
      </w:r>
      <w:proofErr w:type="spellStart"/>
      <w:r w:rsidR="004A73C5" w:rsidRPr="004056C5">
        <w:t>unblinded</w:t>
      </w:r>
      <w:proofErr w:type="spellEnd"/>
      <w:r w:rsidR="004A73C5" w:rsidRPr="004056C5">
        <w:t xml:space="preserve"> to receive </w:t>
      </w:r>
      <w:proofErr w:type="spellStart"/>
      <w:r w:rsidR="00A5742A">
        <w:t>Comirnaty</w:t>
      </w:r>
      <w:proofErr w:type="spellEnd"/>
      <w:r w:rsidR="00A5742A" w:rsidRPr="004056C5">
        <w:t xml:space="preserve"> </w:t>
      </w:r>
      <w:r w:rsidR="004A73C5" w:rsidRPr="004056C5">
        <w:t>BNT162b2</w:t>
      </w:r>
      <w:r>
        <w:t xml:space="preserve"> vaccine</w:t>
      </w:r>
      <w:r w:rsidR="004A73C5" w:rsidRPr="004056C5">
        <w:t xml:space="preserve"> and were therefore not include</w:t>
      </w:r>
      <w:r>
        <w:t>d in analyses of blinded data</w:t>
      </w:r>
    </w:p>
    <w:p w14:paraId="35503044" w14:textId="67C77AE1" w:rsidR="004A73C5" w:rsidRPr="004056C5" w:rsidRDefault="004E5E23" w:rsidP="004056C5">
      <w:pPr>
        <w:pStyle w:val="ListBullet"/>
      </w:pPr>
      <w:r>
        <w:t>a</w:t>
      </w:r>
      <w:r w:rsidR="004A73C5" w:rsidRPr="004056C5">
        <w:t>nap</w:t>
      </w:r>
      <w:r w:rsidR="004056C5">
        <w:t>hylactoid reaction reported in one</w:t>
      </w:r>
      <w:r w:rsidR="004A73C5" w:rsidRPr="004056C5">
        <w:t xml:space="preserve"> participant original</w:t>
      </w:r>
      <w:r w:rsidR="004056C5">
        <w:t>ly randomised to the placebo group, three</w:t>
      </w:r>
      <w:r w:rsidR="004A73C5" w:rsidRPr="004056C5">
        <w:t xml:space="preserve"> days after receiving the first dose of </w:t>
      </w:r>
      <w:proofErr w:type="spellStart"/>
      <w:r w:rsidR="00A5742A">
        <w:t>Comirnaty</w:t>
      </w:r>
      <w:proofErr w:type="spellEnd"/>
      <w:r w:rsidR="00A5742A" w:rsidRPr="004056C5">
        <w:t xml:space="preserve"> </w:t>
      </w:r>
      <w:r w:rsidR="004A73C5" w:rsidRPr="004056C5">
        <w:t>BNT162</w:t>
      </w:r>
      <w:r w:rsidR="004056C5">
        <w:t>b2</w:t>
      </w:r>
      <w:r>
        <w:t xml:space="preserve"> vaccine</w:t>
      </w:r>
      <w:r w:rsidR="004056C5">
        <w:t xml:space="preserve"> (Dose 3</w:t>
      </w:r>
      <w:r w:rsidR="006179E7">
        <w:t>, but first dose of active vaccine</w:t>
      </w:r>
      <w:r w:rsidR="004056C5">
        <w:t>) with a duration of one</w:t>
      </w:r>
      <w:r w:rsidR="004A73C5" w:rsidRPr="004056C5">
        <w:t xml:space="preserve"> day, considered as related to study intervention; the event was reported as an SAE, resolved, and the participant withdrew from the study; this participant has an ongoing medical history of food allergy, seasonal alle</w:t>
      </w:r>
      <w:r w:rsidR="004056C5">
        <w:t>rgy, an</w:t>
      </w:r>
      <w:r>
        <w:t>d drug hypersensitivity</w:t>
      </w:r>
    </w:p>
    <w:p w14:paraId="60587260" w14:textId="04FEEB35" w:rsidR="004A73C5" w:rsidRPr="004056C5" w:rsidRDefault="004E5E23" w:rsidP="004056C5">
      <w:pPr>
        <w:pStyle w:val="ListBullet"/>
      </w:pPr>
      <w:proofErr w:type="gramStart"/>
      <w:r>
        <w:t>d</w:t>
      </w:r>
      <w:r w:rsidR="004056C5">
        <w:t>epression reported in one participant originally randomis</w:t>
      </w:r>
      <w:r>
        <w:t>ed to the placebo group, seven</w:t>
      </w:r>
      <w:r w:rsidR="004A73C5" w:rsidRPr="004056C5">
        <w:t xml:space="preserve"> days after receiving the first dose of </w:t>
      </w:r>
      <w:proofErr w:type="spellStart"/>
      <w:r w:rsidR="00A5742A">
        <w:t>Comirnaty</w:t>
      </w:r>
      <w:proofErr w:type="spellEnd"/>
      <w:r w:rsidR="00A5742A" w:rsidRPr="004056C5">
        <w:t xml:space="preserve"> </w:t>
      </w:r>
      <w:r w:rsidR="004A73C5" w:rsidRPr="004056C5">
        <w:t>BNT162b2</w:t>
      </w:r>
      <w:r>
        <w:t xml:space="preserve"> vaccine</w:t>
      </w:r>
      <w:r w:rsidR="004A73C5" w:rsidRPr="004056C5">
        <w:t xml:space="preserve"> (Dose 3</w:t>
      </w:r>
      <w:r w:rsidR="006179E7">
        <w:t>, but first dose of active vaccine</w:t>
      </w:r>
      <w:r w:rsidR="004A73C5" w:rsidRPr="004056C5">
        <w:t xml:space="preserve">) reported as ongoing at the time of the data </w:t>
      </w:r>
      <w:proofErr w:type="spellStart"/>
      <w:r w:rsidR="00E55BFD">
        <w:t>cutoff</w:t>
      </w:r>
      <w:proofErr w:type="spellEnd"/>
      <w:r w:rsidR="004A73C5" w:rsidRPr="004056C5">
        <w:t xml:space="preserve"> date, considered as not related to study intervention; the event was reported as an SAE due to hospitali</w:t>
      </w:r>
      <w:r w:rsidR="00333E93">
        <w:t>s</w:t>
      </w:r>
      <w:r w:rsidR="004A73C5" w:rsidRPr="004056C5">
        <w:t>ation and reported as resolving, and the part</w:t>
      </w:r>
      <w:r w:rsidR="004056C5">
        <w:t>icipant continued in the study.</w:t>
      </w:r>
      <w:proofErr w:type="gramEnd"/>
    </w:p>
    <w:p w14:paraId="3C28A644" w14:textId="0B3C6310" w:rsidR="004A73C5" w:rsidRDefault="004A73C5" w:rsidP="004A73C5">
      <w:r>
        <w:t xml:space="preserve">Among young adults, there </w:t>
      </w:r>
      <w:r w:rsidR="004056C5">
        <w:t xml:space="preserve">were no life </w:t>
      </w:r>
      <w:r>
        <w:t>threateni</w:t>
      </w:r>
      <w:r w:rsidR="004056C5">
        <w:t xml:space="preserve">ng AEs reported from </w:t>
      </w:r>
      <w:r w:rsidR="006179E7">
        <w:t>the first dose</w:t>
      </w:r>
      <w:r w:rsidR="004056C5">
        <w:t xml:space="preserve"> to one</w:t>
      </w:r>
      <w:r>
        <w:t xml:space="preserve"> month after </w:t>
      </w:r>
      <w:r w:rsidR="006179E7">
        <w:t>the second dose</w:t>
      </w:r>
      <w:r>
        <w:t>.</w:t>
      </w:r>
    </w:p>
    <w:p w14:paraId="74B71236" w14:textId="7C80AE97" w:rsidR="004A73C5" w:rsidRDefault="00CA21C5" w:rsidP="004056C5">
      <w:pPr>
        <w:pStyle w:val="Heading5"/>
      </w:pPr>
      <w:r>
        <w:t>Serious adverse e</w:t>
      </w:r>
      <w:r w:rsidR="004056C5">
        <w:t>vents</w:t>
      </w:r>
    </w:p>
    <w:p w14:paraId="4B35DED5" w14:textId="23C30AFA" w:rsidR="004A73C5" w:rsidRDefault="004A73C5" w:rsidP="004A73C5">
      <w:r>
        <w:t>S</w:t>
      </w:r>
      <w:r w:rsidR="004056C5">
        <w:t xml:space="preserve">erious adverse events </w:t>
      </w:r>
      <w:r>
        <w:t xml:space="preserve">analyses for adolescents and young adults are reported from </w:t>
      </w:r>
      <w:r w:rsidR="006179E7">
        <w:t>the first dose</w:t>
      </w:r>
      <w:r w:rsidR="004056C5">
        <w:t xml:space="preserve"> to one</w:t>
      </w:r>
      <w:r>
        <w:t xml:space="preserve"> month after </w:t>
      </w:r>
      <w:r w:rsidR="006179E7">
        <w:t xml:space="preserve">the second </w:t>
      </w:r>
      <w:proofErr w:type="gramStart"/>
      <w:r w:rsidR="006179E7">
        <w:t>dose</w:t>
      </w:r>
      <w:r>
        <w:t>,</w:t>
      </w:r>
      <w:proofErr w:type="gramEnd"/>
      <w:r>
        <w:t xml:space="preserve"> and from </w:t>
      </w:r>
      <w:r w:rsidR="006179E7">
        <w:t>the first dose</w:t>
      </w:r>
      <w:r>
        <w:t xml:space="preserve"> until the data </w:t>
      </w:r>
      <w:proofErr w:type="spellStart"/>
      <w:r w:rsidR="00E55BFD">
        <w:t>cutoff</w:t>
      </w:r>
      <w:proofErr w:type="spellEnd"/>
      <w:r>
        <w:t xml:space="preserve"> date (13 March</w:t>
      </w:r>
      <w:r w:rsidR="004056C5">
        <w:t xml:space="preserve"> 2021).</w:t>
      </w:r>
    </w:p>
    <w:p w14:paraId="13693949" w14:textId="44060707" w:rsidR="004A73C5" w:rsidRDefault="004056C5" w:rsidP="004A73C5">
      <w:r>
        <w:t xml:space="preserve">From </w:t>
      </w:r>
      <w:r w:rsidR="006179E7">
        <w:t>the first dose</w:t>
      </w:r>
      <w:r>
        <w:t xml:space="preserve"> up to one month a</w:t>
      </w:r>
      <w:r w:rsidR="004A73C5">
        <w:t xml:space="preserve">fter </w:t>
      </w:r>
      <w:r w:rsidR="006179E7">
        <w:t>second dose,</w:t>
      </w:r>
      <w:r w:rsidR="004A73C5">
        <w:t xml:space="preserve"> there were similar proportions of adolescents and youn</w:t>
      </w:r>
      <w:r>
        <w:t>g adults who reported at least one</w:t>
      </w:r>
      <w:r w:rsidR="004A73C5">
        <w:t xml:space="preserve"> SAE. Overall, ≤</w:t>
      </w:r>
      <w:r>
        <w:t> </w:t>
      </w:r>
      <w:r w:rsidR="004A73C5">
        <w:t xml:space="preserve">0.4% in both age groups reported any SAE after receiving the vaccine or placebo. None in either age group had SAEs assessed as related to study intervention. In the adolescent group, SAEs </w:t>
      </w:r>
      <w:proofErr w:type="gramStart"/>
      <w:r w:rsidR="004A73C5">
        <w:t>were re</w:t>
      </w:r>
      <w:r>
        <w:t>ported</w:t>
      </w:r>
      <w:proofErr w:type="gramEnd"/>
      <w:r>
        <w:t xml:space="preserve"> in the vaccine group in two participants with depression, one</w:t>
      </w:r>
      <w:r w:rsidR="004A73C5">
        <w:t xml:space="preserve"> participant with concurrent events </w:t>
      </w:r>
      <w:r>
        <w:t>of anxiety and depression, and one</w:t>
      </w:r>
      <w:r w:rsidR="004A73C5">
        <w:t xml:space="preserve"> participant with neuralgia; and </w:t>
      </w:r>
      <w:r>
        <w:t>one</w:t>
      </w:r>
      <w:r w:rsidR="004A73C5">
        <w:t xml:space="preserve"> participant in the placebo group with concurrent events of appendicitis and focal peritonitis. All SAEs in the adolescent group </w:t>
      </w:r>
      <w:proofErr w:type="gramStart"/>
      <w:r w:rsidR="004A73C5">
        <w:t>were reported</w:t>
      </w:r>
      <w:proofErr w:type="gramEnd"/>
      <w:r w:rsidR="004A73C5">
        <w:t xml:space="preserve"> as resolved. The SAE of neuralgia </w:t>
      </w:r>
      <w:proofErr w:type="gramStart"/>
      <w:r w:rsidR="004A73C5">
        <w:t>was reported</w:t>
      </w:r>
      <w:proofErr w:type="gramEnd"/>
      <w:r w:rsidR="004A73C5">
        <w:t xml:space="preserve"> in a 12 years old girl who reported concurrent abdominal pain and constipation. She </w:t>
      </w:r>
      <w:proofErr w:type="gramStart"/>
      <w:r w:rsidR="004A73C5">
        <w:t>was diagnosed</w:t>
      </w:r>
      <w:proofErr w:type="gramEnd"/>
      <w:r w:rsidR="004A73C5">
        <w:t xml:space="preserve"> with functional abdominal pain. In the</w:t>
      </w:r>
      <w:r>
        <w:t xml:space="preserve"> young adult group, SAEs up to one</w:t>
      </w:r>
      <w:r w:rsidR="004A73C5">
        <w:t xml:space="preserve"> month</w:t>
      </w:r>
      <w:r>
        <w:t xml:space="preserve"> after </w:t>
      </w:r>
      <w:r w:rsidR="00C40D1F">
        <w:t>the second dose</w:t>
      </w:r>
      <w:r>
        <w:t xml:space="preserve"> were reported by two</w:t>
      </w:r>
      <w:r w:rsidR="004A73C5">
        <w:t xml:space="preserve"> part</w:t>
      </w:r>
      <w:r>
        <w:t>icipants in the vaccine group (one with abdominal pain and one with appendicitis) and two</w:t>
      </w:r>
      <w:r w:rsidR="004A73C5">
        <w:t xml:space="preserve"> participants in the placebo </w:t>
      </w:r>
      <w:r>
        <w:t>group (one had inguinal hernia, and one</w:t>
      </w:r>
      <w:r w:rsidR="004A73C5">
        <w:t xml:space="preserve"> had flail chest associated with a motor vehicle accident). All SAEs in the young adult g</w:t>
      </w:r>
      <w:r>
        <w:t xml:space="preserve">roup </w:t>
      </w:r>
      <w:proofErr w:type="gramStart"/>
      <w:r>
        <w:t>were reported</w:t>
      </w:r>
      <w:proofErr w:type="gramEnd"/>
      <w:r>
        <w:t xml:space="preserve"> as resolved.</w:t>
      </w:r>
    </w:p>
    <w:p w14:paraId="6BC19CDF" w14:textId="5E839AA8" w:rsidR="004A73C5" w:rsidRDefault="004056C5" w:rsidP="004A73C5">
      <w:r>
        <w:t xml:space="preserve">From </w:t>
      </w:r>
      <w:r w:rsidR="00DC2C7F">
        <w:t>the first dose</w:t>
      </w:r>
      <w:r>
        <w:t xml:space="preserve"> to data </w:t>
      </w:r>
      <w:proofErr w:type="spellStart"/>
      <w:r w:rsidR="00E55BFD">
        <w:t>cutoff</w:t>
      </w:r>
      <w:proofErr w:type="spellEnd"/>
      <w:r>
        <w:t xml:space="preserve"> d</w:t>
      </w:r>
      <w:r w:rsidR="004A73C5">
        <w:t>ate: the proportions of ado</w:t>
      </w:r>
      <w:r>
        <w:t>lescents who reported at least one</w:t>
      </w:r>
      <w:r w:rsidR="004A73C5">
        <w:t xml:space="preserve"> SAE were similar in the vaccine and placebo groups. Data for young adults are not included since they had different follo</w:t>
      </w:r>
      <w:r w:rsidR="0051250F">
        <w:t xml:space="preserve">w </w:t>
      </w:r>
      <w:r w:rsidR="004A73C5">
        <w:t xml:space="preserve">up time. Up to the data </w:t>
      </w:r>
      <w:proofErr w:type="spellStart"/>
      <w:r w:rsidR="00E55BFD">
        <w:t>cutoff</w:t>
      </w:r>
      <w:proofErr w:type="spellEnd"/>
      <w:r>
        <w:t xml:space="preserve"> date, five</w:t>
      </w:r>
      <w:r w:rsidR="004A73C5">
        <w:t xml:space="preserve"> adolescents (</w:t>
      </w:r>
      <w:r>
        <w:t>0.4%) in the vaccine group and two</w:t>
      </w:r>
      <w:r w:rsidR="004A73C5">
        <w:t xml:space="preserve"> adolescents (0.02%) in the placebo group reported any SAE. None of the SAEs </w:t>
      </w:r>
      <w:proofErr w:type="gramStart"/>
      <w:r w:rsidR="004A73C5">
        <w:t>were</w:t>
      </w:r>
      <w:proofErr w:type="gramEnd"/>
      <w:r w:rsidR="004A73C5">
        <w:t xml:space="preserve"> assessed as related to study intervention. In addition to the SAEs that </w:t>
      </w:r>
      <w:r>
        <w:t>were previously reported up to one</w:t>
      </w:r>
      <w:r w:rsidR="004A73C5">
        <w:t xml:space="preserve"> month </w:t>
      </w:r>
      <w:r w:rsidR="00C86030">
        <w:t>following the second dose</w:t>
      </w:r>
      <w:r w:rsidR="0051250F">
        <w:t>, SAEs reported from after one</w:t>
      </w:r>
      <w:r w:rsidR="004A73C5">
        <w:t xml:space="preserve"> month post </w:t>
      </w:r>
      <w:r w:rsidR="00C86030">
        <w:t>the second dose</w:t>
      </w:r>
      <w:r w:rsidR="004A73C5">
        <w:t xml:space="preserve"> up to the data </w:t>
      </w:r>
      <w:proofErr w:type="spellStart"/>
      <w:r w:rsidR="004A73C5">
        <w:t>cutoff</w:t>
      </w:r>
      <w:proofErr w:type="spellEnd"/>
      <w:r w:rsidR="004A73C5">
        <w:t xml:space="preserve"> date included abdominal pain and constipa</w:t>
      </w:r>
      <w:r>
        <w:t>tion reported concurrently in one</w:t>
      </w:r>
      <w:r w:rsidR="004A73C5">
        <w:t xml:space="preserve"> participant (who also previously reported neuralgia) in the vaccine group. An SAE of sui</w:t>
      </w:r>
      <w:r>
        <w:t xml:space="preserve">cidal ideation </w:t>
      </w:r>
      <w:proofErr w:type="gramStart"/>
      <w:r>
        <w:t>was reported</w:t>
      </w:r>
      <w:proofErr w:type="gramEnd"/>
      <w:r>
        <w:t xml:space="preserve"> in one</w:t>
      </w:r>
      <w:r w:rsidR="004A73C5">
        <w:t xml:space="preserve"> participant in the vaccine group and an SAE o</w:t>
      </w:r>
      <w:r>
        <w:t>f appendicitis was reported in one</w:t>
      </w:r>
      <w:r w:rsidR="004A73C5">
        <w:t xml:space="preserve"> participant in the placebo group. All SAEs </w:t>
      </w:r>
      <w:proofErr w:type="gramStart"/>
      <w:r w:rsidR="004A73C5">
        <w:t>were reported</w:t>
      </w:r>
      <w:proofErr w:type="gramEnd"/>
      <w:r w:rsidR="004A73C5">
        <w:t xml:space="preserve"> as resolved or resolving except for the events of abdominal pain a</w:t>
      </w:r>
      <w:r>
        <w:t>nd constipation. Additionally, two adolescents originally randomis</w:t>
      </w:r>
      <w:r w:rsidR="004A73C5">
        <w:t xml:space="preserve">ed to placebo had SAEs that occurred after they turned 16 and were unblinded to receive </w:t>
      </w:r>
      <w:proofErr w:type="gramStart"/>
      <w:r w:rsidR="004A73C5">
        <w:t>BNT162b2,</w:t>
      </w:r>
      <w:proofErr w:type="gramEnd"/>
      <w:r w:rsidR="004A73C5">
        <w:t xml:space="preserve"> therefore the data are not included in the blinded analyses. </w:t>
      </w:r>
      <w:proofErr w:type="gramStart"/>
      <w:r w:rsidR="004A73C5">
        <w:t>These even</w:t>
      </w:r>
      <w:r>
        <w:t xml:space="preserve">ts were also considered as life </w:t>
      </w:r>
      <w:r w:rsidR="004A73C5">
        <w:t>threatening: an anap</w:t>
      </w:r>
      <w:r>
        <w:t>hylactoid reaction reported in one participant three</w:t>
      </w:r>
      <w:r w:rsidR="004A73C5">
        <w:t xml:space="preserve"> days after the first dose of </w:t>
      </w:r>
      <w:proofErr w:type="spellStart"/>
      <w:r w:rsidR="00A5742A">
        <w:t>Comirnaty</w:t>
      </w:r>
      <w:proofErr w:type="spellEnd"/>
      <w:r w:rsidR="00A5742A">
        <w:t xml:space="preserve"> </w:t>
      </w:r>
      <w:r w:rsidR="004A73C5">
        <w:t>BNT162b2 (</w:t>
      </w:r>
      <w:r w:rsidR="009D5DC1">
        <w:t>third dose, first active dose following placebo</w:t>
      </w:r>
      <w:r w:rsidR="004A73C5">
        <w:t>), considered as related to study intervention and leading to study withdraw</w:t>
      </w:r>
      <w:r>
        <w:t>al; and depression reported in one participant seven</w:t>
      </w:r>
      <w:r w:rsidR="004A73C5">
        <w:t xml:space="preserve"> days after the first dose of </w:t>
      </w:r>
      <w:proofErr w:type="spellStart"/>
      <w:r w:rsidR="00A5742A">
        <w:t>Comirnaty</w:t>
      </w:r>
      <w:proofErr w:type="spellEnd"/>
      <w:r w:rsidR="00A5742A">
        <w:t xml:space="preserve"> </w:t>
      </w:r>
      <w:r w:rsidR="004A73C5">
        <w:t>BNT162b2 (</w:t>
      </w:r>
      <w:r w:rsidR="009D5DC1">
        <w:t>third dose, first active dose following placebo</w:t>
      </w:r>
      <w:r w:rsidR="004A73C5">
        <w:t xml:space="preserve">) reported as ongoing/resolving at the time of the data </w:t>
      </w:r>
      <w:proofErr w:type="spellStart"/>
      <w:r w:rsidR="00E55BFD">
        <w:t>cutoff</w:t>
      </w:r>
      <w:proofErr w:type="spellEnd"/>
      <w:r w:rsidR="004A73C5">
        <w:t xml:space="preserve"> date, considered as not</w:t>
      </w:r>
      <w:r>
        <w:t xml:space="preserve"> related to study intervention.</w:t>
      </w:r>
      <w:proofErr w:type="gramEnd"/>
    </w:p>
    <w:p w14:paraId="4B740837" w14:textId="54148CFF" w:rsidR="004A73C5" w:rsidRDefault="004A73C5" w:rsidP="004056C5">
      <w:pPr>
        <w:pStyle w:val="Heading5"/>
      </w:pPr>
      <w:r>
        <w:t>Adver</w:t>
      </w:r>
      <w:r w:rsidR="00CA21C5">
        <w:t>se events leading to w</w:t>
      </w:r>
      <w:r w:rsidR="004056C5">
        <w:t>ithdrawal</w:t>
      </w:r>
    </w:p>
    <w:p w14:paraId="3D6BF2EF" w14:textId="4B8C8FD7" w:rsidR="004A73C5" w:rsidRDefault="00CA21C5" w:rsidP="004A73C5">
      <w:r>
        <w:t xml:space="preserve">From </w:t>
      </w:r>
      <w:r w:rsidR="00115CFC">
        <w:t>the first dose</w:t>
      </w:r>
      <w:r>
        <w:t xml:space="preserve"> to one</w:t>
      </w:r>
      <w:r w:rsidR="004A73C5">
        <w:t xml:space="preserve"> month after </w:t>
      </w:r>
      <w:r w:rsidR="000176FD">
        <w:t>the second dose</w:t>
      </w:r>
      <w:r w:rsidR="004A73C5">
        <w:t>, few adolescents and young adults in the vaccine group (≤</w:t>
      </w:r>
      <w:r>
        <w:t> </w:t>
      </w:r>
      <w:r w:rsidR="004A73C5">
        <w:t>0.2%) and in the placebo group (≤</w:t>
      </w:r>
      <w:r>
        <w:t> </w:t>
      </w:r>
      <w:r w:rsidR="004A73C5">
        <w:t>0.4%) were withdrawn due to</w:t>
      </w:r>
      <w:r>
        <w:t xml:space="preserve"> AEs. In the adolescent group, one</w:t>
      </w:r>
      <w:r w:rsidR="004A73C5">
        <w:t xml:space="preserve"> participant in the vaccine group had an AE leading to withdrawal that </w:t>
      </w:r>
      <w:proofErr w:type="gramStart"/>
      <w:r w:rsidR="004A73C5">
        <w:t>was considered</w:t>
      </w:r>
      <w:proofErr w:type="gramEnd"/>
      <w:r w:rsidR="004A73C5">
        <w:t xml:space="preserve"> as related to study intervention (pyrexia), and none in the placebo gr</w:t>
      </w:r>
      <w:r>
        <w:t>oup. In the young adult group, one</w:t>
      </w:r>
      <w:r w:rsidR="004A73C5">
        <w:t xml:space="preserve"> participant in the vaccine group had an AE leading to withdrawal that was considered as related to study treatment (severe in</w:t>
      </w:r>
      <w:r>
        <w:t>jection site pain that started two</w:t>
      </w:r>
      <w:r w:rsidR="004A73C5">
        <w:t xml:space="preserve"> days a</w:t>
      </w:r>
      <w:r>
        <w:t xml:space="preserve">fter </w:t>
      </w:r>
      <w:r w:rsidR="00F15AC3">
        <w:t>the first dose</w:t>
      </w:r>
      <w:r>
        <w:t xml:space="preserve"> and resolved after one</w:t>
      </w:r>
      <w:r w:rsidR="004A73C5">
        <w:t xml:space="preserve"> day), and none in the placebo group.</w:t>
      </w:r>
    </w:p>
    <w:p w14:paraId="71538334" w14:textId="01FF1296" w:rsidR="004A73C5" w:rsidRDefault="00CA21C5" w:rsidP="00CA21C5">
      <w:pPr>
        <w:pStyle w:val="Heading5"/>
      </w:pPr>
      <w:r>
        <w:t>Adverse e</w:t>
      </w:r>
      <w:r w:rsidR="004A73C5">
        <w:t>v</w:t>
      </w:r>
      <w:r>
        <w:t>ents of special interest</w:t>
      </w:r>
    </w:p>
    <w:p w14:paraId="2BDD4D90" w14:textId="1045FE31" w:rsidR="004A73C5" w:rsidRDefault="004A73C5" w:rsidP="004A73C5">
      <w:r>
        <w:t xml:space="preserve">As of 13 March 2021, there were very few AEs of clinical interest corresponding to the </w:t>
      </w:r>
      <w:r w:rsidR="00FB7FE3">
        <w:t xml:space="preserve">US </w:t>
      </w:r>
      <w:proofErr w:type="spellStart"/>
      <w:r w:rsidR="00FB7FE3">
        <w:t>Centers</w:t>
      </w:r>
      <w:proofErr w:type="spellEnd"/>
      <w:r w:rsidR="00FB7FE3">
        <w:t xml:space="preserve"> for</w:t>
      </w:r>
      <w:r w:rsidR="00AA6B02">
        <w:t xml:space="preserve"> Disease </w:t>
      </w:r>
      <w:r w:rsidR="00FB7FE3">
        <w:t>Control and Prevention (</w:t>
      </w:r>
      <w:r>
        <w:t>CDC</w:t>
      </w:r>
      <w:r w:rsidR="00FB7FE3">
        <w:t>)</w:t>
      </w:r>
      <w:r>
        <w:t xml:space="preserve"> list of </w:t>
      </w:r>
      <w:r w:rsidR="00CA21C5">
        <w:t>adverse events of special i</w:t>
      </w:r>
      <w:r w:rsidR="00CA21C5" w:rsidRPr="00CA21C5">
        <w:t>nterest</w:t>
      </w:r>
      <w:r w:rsidR="00CA21C5">
        <w:t xml:space="preserve"> (</w:t>
      </w:r>
      <w:r>
        <w:t>AESI</w:t>
      </w:r>
      <w:r w:rsidR="00CA21C5">
        <w:t>) in the adolescent population.</w:t>
      </w:r>
    </w:p>
    <w:p w14:paraId="63F567E6" w14:textId="51B14D09" w:rsidR="004A73C5" w:rsidRDefault="004A73C5" w:rsidP="004A73C5">
      <w:r>
        <w:t xml:space="preserve">No cases of anaphylaxis or anaphylactoid reactions and of facial paralysis </w:t>
      </w:r>
      <w:proofErr w:type="gramStart"/>
      <w:r>
        <w:t>were reported</w:t>
      </w:r>
      <w:proofErr w:type="gramEnd"/>
      <w:r>
        <w:t xml:space="preserve"> in adolescent group as of the data </w:t>
      </w:r>
      <w:proofErr w:type="spellStart"/>
      <w:r w:rsidR="00E55BFD">
        <w:t>cutoff</w:t>
      </w:r>
      <w:proofErr w:type="spellEnd"/>
      <w:r w:rsidR="0051250F">
        <w:t xml:space="preserve"> date, </w:t>
      </w:r>
      <w:r>
        <w:t>13 March 2021.</w:t>
      </w:r>
    </w:p>
    <w:p w14:paraId="589FD38C" w14:textId="1A148FDA" w:rsidR="004A73C5" w:rsidRDefault="004A73C5" w:rsidP="004A73C5">
      <w:r>
        <w:t>The AE of anaphylactoi</w:t>
      </w:r>
      <w:r w:rsidR="00206EBC">
        <w:t xml:space="preserve">d reaction identified in the 16 to </w:t>
      </w:r>
      <w:r>
        <w:t xml:space="preserve">25 years of age group is consistent with what </w:t>
      </w:r>
      <w:proofErr w:type="gramStart"/>
      <w:r>
        <w:t>has been observed</w:t>
      </w:r>
      <w:proofErr w:type="gramEnd"/>
      <w:r>
        <w:t xml:space="preserve"> in post-authori</w:t>
      </w:r>
      <w:r w:rsidR="00333E93">
        <w:t>s</w:t>
      </w:r>
      <w:r>
        <w:t>ation safety reviews in the ≥</w:t>
      </w:r>
      <w:r w:rsidR="00206EBC">
        <w:t> </w:t>
      </w:r>
      <w:r>
        <w:t>16 years of age population.</w:t>
      </w:r>
    </w:p>
    <w:p w14:paraId="06837868" w14:textId="0A9464FD" w:rsidR="004A73C5" w:rsidRDefault="004A73C5" w:rsidP="004A73C5">
      <w:r>
        <w:t xml:space="preserve">Lymphadenopathy </w:t>
      </w:r>
      <w:proofErr w:type="gramStart"/>
      <w:r>
        <w:t>is identified</w:t>
      </w:r>
      <w:proofErr w:type="gramEnd"/>
      <w:r>
        <w:t xml:space="preserve"> as an adverse reaction for this vac</w:t>
      </w:r>
      <w:r w:rsidR="00206EBC">
        <w:t>cine. In adolescents, seven</w:t>
      </w:r>
      <w:r>
        <w:t xml:space="preserve"> subjects (</w:t>
      </w:r>
      <w:r w:rsidR="00206EBC">
        <w:t>0.6%) in the vaccine group and one subject</w:t>
      </w:r>
      <w:r>
        <w:t xml:space="preserve"> (0.1%) in the placebo group had lymphadenopathy events assessed as related to study intervention. The majority of these events occurred in the arm and neck</w:t>
      </w:r>
      <w:r w:rsidR="00206EBC">
        <w:t xml:space="preserve"> region, were reported within 2 to </w:t>
      </w:r>
      <w:r>
        <w:t>10 days after vaccination, and about half of</w:t>
      </w:r>
      <w:r w:rsidR="00206EBC">
        <w:t xml:space="preserve"> these events resolved within 1 to 10 days. In young adults, one</w:t>
      </w:r>
      <w:r>
        <w:t xml:space="preserve"> related lymphadenopathy </w:t>
      </w:r>
      <w:proofErr w:type="gramStart"/>
      <w:r>
        <w:t>was reported</w:t>
      </w:r>
      <w:proofErr w:type="gramEnd"/>
      <w:r>
        <w:t xml:space="preserve"> up to the data </w:t>
      </w:r>
      <w:proofErr w:type="spellStart"/>
      <w:r w:rsidR="00E55BFD">
        <w:t>cutoff</w:t>
      </w:r>
      <w:proofErr w:type="spellEnd"/>
      <w:r w:rsidR="00206EBC">
        <w:t xml:space="preserve"> date, occurring within one</w:t>
      </w:r>
      <w:r>
        <w:t xml:space="preserve"> day</w:t>
      </w:r>
      <w:r w:rsidR="00206EBC">
        <w:t xml:space="preserve"> of </w:t>
      </w:r>
      <w:r w:rsidR="00753109">
        <w:t>receiving the second dose</w:t>
      </w:r>
      <w:r w:rsidR="00206EBC">
        <w:t xml:space="preserve"> and resolved within five days. In adults (16 to </w:t>
      </w:r>
      <w:r>
        <w:t>55 years of age), 52 participants (</w:t>
      </w:r>
      <w:r w:rsidR="00206EBC">
        <w:t>0.4%) in the vaccine group and two subjects</w:t>
      </w:r>
      <w:r>
        <w:t xml:space="preserve"> (0.0%) in the placebo group had lymphadenopathy events reported up to the unblinding date and assessed as related to study intervention. The majority of these events occurred in the arm and neck region, </w:t>
      </w:r>
      <w:r w:rsidR="00206EBC">
        <w:t xml:space="preserve">were reported within 2 to </w:t>
      </w:r>
      <w:r>
        <w:t xml:space="preserve">4 days after vaccination (usually after </w:t>
      </w:r>
      <w:r w:rsidR="00753109">
        <w:t>the second dose</w:t>
      </w:r>
      <w:r>
        <w:t>), and typically</w:t>
      </w:r>
      <w:r w:rsidR="00206EBC">
        <w:t xml:space="preserve"> resolved within approximately one</w:t>
      </w:r>
      <w:r>
        <w:t xml:space="preserve"> week.</w:t>
      </w:r>
    </w:p>
    <w:p w14:paraId="5AD6A03A" w14:textId="52647C95" w:rsidR="004A73C5" w:rsidRDefault="004A73C5" w:rsidP="004A73C5">
      <w:r>
        <w:t xml:space="preserve">As of 13 March 2021, no severe COVID-19 cases </w:t>
      </w:r>
      <w:proofErr w:type="gramStart"/>
      <w:r w:rsidR="00206EBC">
        <w:t>were reported</w:t>
      </w:r>
      <w:proofErr w:type="gramEnd"/>
      <w:r w:rsidR="00206EBC">
        <w:t xml:space="preserve"> in adolescents 12 to </w:t>
      </w:r>
      <w:r>
        <w:t>15</w:t>
      </w:r>
      <w:r w:rsidR="0036539E">
        <w:t> </w:t>
      </w:r>
      <w:r>
        <w:t>years of age in Study C4591001. The previously completed final analyses of efficacy for all study participants ≥</w:t>
      </w:r>
      <w:r w:rsidR="00206EBC">
        <w:t> </w:t>
      </w:r>
      <w:r>
        <w:t xml:space="preserve">12 years of age (data </w:t>
      </w:r>
      <w:proofErr w:type="spellStart"/>
      <w:r>
        <w:t>cutoff</w:t>
      </w:r>
      <w:proofErr w:type="spellEnd"/>
      <w:r>
        <w:t xml:space="preserve"> date: 14 November 2020) showed confinement of severe cases pred</w:t>
      </w:r>
      <w:r w:rsidR="00206EBC">
        <w:t>ominantly to the placebo group.</w:t>
      </w:r>
    </w:p>
    <w:p w14:paraId="4CAF2C78" w14:textId="69ACDAA6" w:rsidR="004A73C5" w:rsidRDefault="00206EBC" w:rsidP="00206EBC">
      <w:pPr>
        <w:pStyle w:val="Heading5"/>
      </w:pPr>
      <w:r>
        <w:rPr>
          <w:rStyle w:val="Heading6Char"/>
        </w:rPr>
        <w:t>Safety data in adult p</w:t>
      </w:r>
      <w:r w:rsidR="004A73C5" w:rsidRPr="00206EBC">
        <w:rPr>
          <w:rStyle w:val="Heading6Char"/>
        </w:rPr>
        <w:t>opulation</w:t>
      </w:r>
      <w:r>
        <w:t xml:space="preserve"> (in comparison to adolescent p</w:t>
      </w:r>
      <w:r w:rsidR="004A73C5">
        <w:t>opulat</w:t>
      </w:r>
      <w:r>
        <w:t>ion)</w:t>
      </w:r>
    </w:p>
    <w:p w14:paraId="66E5D621" w14:textId="321B96C3" w:rsidR="004A73C5" w:rsidRDefault="004A73C5" w:rsidP="004A73C5">
      <w:r>
        <w:t>In the context of the adolescent submission, the safety data for young and older adults were included for reference purposes. The safety data for adults is from</w:t>
      </w:r>
      <w:r w:rsidR="00206EBC">
        <w:t xml:space="preserve"> approximately 26,000 adults 16 to </w:t>
      </w:r>
      <w:r>
        <w:t>55 years of age, among whom a majority in the vaccine gro</w:t>
      </w:r>
      <w:r w:rsidR="00206EBC">
        <w:t xml:space="preserve">up have at least six months of blinded follow up after </w:t>
      </w:r>
      <w:r w:rsidR="004F3962">
        <w:t>the second dose</w:t>
      </w:r>
      <w:r w:rsidR="00206EBC">
        <w:t xml:space="preserve"> in </w:t>
      </w:r>
      <w:r w:rsidR="004F3962">
        <w:t xml:space="preserve">the </w:t>
      </w:r>
      <w:r w:rsidR="00206EBC">
        <w:t>Phase II/III</w:t>
      </w:r>
      <w:r w:rsidR="004F3962">
        <w:t xml:space="preserve"> period</w:t>
      </w:r>
      <w:r>
        <w:t xml:space="preserve"> of Study C45910</w:t>
      </w:r>
      <w:r w:rsidR="00206EBC">
        <w:t xml:space="preserve">01. </w:t>
      </w:r>
      <w:proofErr w:type="gramStart"/>
      <w:r w:rsidR="00206EBC">
        <w:t xml:space="preserve">These data showed that the </w:t>
      </w:r>
      <w:r>
        <w:t>reactogenicity was mo</w:t>
      </w:r>
      <w:r w:rsidR="00206EBC">
        <w:t xml:space="preserve">stly mild to moderate and short lived (that is median onset between 1 to </w:t>
      </w:r>
      <w:r>
        <w:t>2 days after</w:t>
      </w:r>
      <w:r w:rsidR="00206EBC">
        <w:t xml:space="preserve"> dosing and resolution within 1 to </w:t>
      </w:r>
      <w:r>
        <w:t>2 days after onset), with local reactions presenting predominantly as injection site pain with minimal effect of dose number, and systemic events generally increasing in frequency and/or severity with increasing dose number.</w:t>
      </w:r>
      <w:proofErr w:type="gramEnd"/>
      <w:r>
        <w:t xml:space="preserve"> The review of AEs and SAEs in the ad</w:t>
      </w:r>
      <w:r w:rsidR="00206EBC">
        <w:t xml:space="preserve">ult population (16 to </w:t>
      </w:r>
      <w:r>
        <w:t>55 years of age) did not suggest new safety concerns. There w</w:t>
      </w:r>
      <w:r w:rsidR="00445AF9">
        <w:t>as</w:t>
      </w:r>
      <w:r>
        <w:t xml:space="preserve"> a slightly higher frequency noted in the adolescent group </w:t>
      </w:r>
      <w:proofErr w:type="gramStart"/>
      <w:r>
        <w:t>with regards to</w:t>
      </w:r>
      <w:proofErr w:type="gramEnd"/>
      <w:r>
        <w:t xml:space="preserve"> reactogenicity when comparing to that in adults population. Fever was highest for the adolescent group but was still considered acceptable and within tolerable limits. Arthralgia and muscle pain were higher in the young adult group than the adolescent group for both doses of </w:t>
      </w:r>
      <w:r w:rsidR="00A5742A">
        <w:t xml:space="preserve">the </w:t>
      </w:r>
      <w:proofErr w:type="spellStart"/>
      <w:r w:rsidR="00A5742A">
        <w:t>Comirnaty</w:t>
      </w:r>
      <w:proofErr w:type="spellEnd"/>
      <w:r w:rsidR="00A5742A">
        <w:t xml:space="preserve"> </w:t>
      </w:r>
      <w:r>
        <w:t>BNT162b2</w:t>
      </w:r>
      <w:r w:rsidR="00206EBC">
        <w:t xml:space="preserve"> vaccine</w:t>
      </w:r>
      <w:r>
        <w:t xml:space="preserve">. The differences in reported AEs </w:t>
      </w:r>
      <w:proofErr w:type="gramStart"/>
      <w:r>
        <w:t>were considered</w:t>
      </w:r>
      <w:proofErr w:type="gramEnd"/>
      <w:r>
        <w:t xml:space="preserve"> age appropriate. The review of AEs, SAEs, and events of clinical interest did not suggest any additional safe</w:t>
      </w:r>
      <w:r w:rsidR="00206EBC">
        <w:t>ty concerns among adolescents.</w:t>
      </w:r>
    </w:p>
    <w:p w14:paraId="1A54AEFF" w14:textId="39F4D433" w:rsidR="004A73C5" w:rsidRDefault="004A73C5" w:rsidP="004A73C5">
      <w:r>
        <w:t xml:space="preserve">Unblinded clinical study data from </w:t>
      </w:r>
      <w:r w:rsidR="00206EBC">
        <w:t xml:space="preserve">Study C4591001 (data </w:t>
      </w:r>
      <w:r>
        <w:t>lock</w:t>
      </w:r>
      <w:r w:rsidR="00206EBC">
        <w:t xml:space="preserve"> point</w:t>
      </w:r>
      <w:r w:rsidR="00E55BFD">
        <w:t>, 13</w:t>
      </w:r>
      <w:r>
        <w:t xml:space="preserve"> Mar</w:t>
      </w:r>
      <w:r w:rsidR="00206EBC">
        <w:t>ch</w:t>
      </w:r>
      <w:r>
        <w:t xml:space="preserve"> 2021) was searched for cases of myocarditis and pericarditis. During the</w:t>
      </w:r>
      <w:r w:rsidR="00206EBC">
        <w:t xml:space="preserve"> blinded placebo </w:t>
      </w:r>
      <w:r>
        <w:t>controlled follow</w:t>
      </w:r>
      <w:r w:rsidR="00206EBC">
        <w:t xml:space="preserve"> </w:t>
      </w:r>
      <w:r>
        <w:t xml:space="preserve">up period, there was one report of myocarditis in the placebo group and one report of pericarditis in the </w:t>
      </w:r>
      <w:proofErr w:type="spellStart"/>
      <w:r w:rsidR="00A5742A">
        <w:t>Comirnaty</w:t>
      </w:r>
      <w:proofErr w:type="spellEnd"/>
      <w:r w:rsidR="00A5742A">
        <w:t xml:space="preserve"> </w:t>
      </w:r>
      <w:r>
        <w:t xml:space="preserve">BNT162b2 </w:t>
      </w:r>
      <w:r w:rsidR="00206EBC">
        <w:t xml:space="preserve">vaccine </w:t>
      </w:r>
      <w:r>
        <w:t xml:space="preserve">group, a </w:t>
      </w:r>
      <w:proofErr w:type="gramStart"/>
      <w:r>
        <w:t>66 year old</w:t>
      </w:r>
      <w:proofErr w:type="gramEnd"/>
      <w:r>
        <w:t xml:space="preserve"> white male who </w:t>
      </w:r>
      <w:r w:rsidR="00206EBC">
        <w:t xml:space="preserve">had pericarditis 29 days after </w:t>
      </w:r>
      <w:r w:rsidR="009D027A">
        <w:t>the second dose</w:t>
      </w:r>
      <w:r>
        <w:t xml:space="preserve"> of</w:t>
      </w:r>
      <w:r w:rsidR="009D027A">
        <w:t xml:space="preserve"> the</w:t>
      </w:r>
      <w:r>
        <w:t xml:space="preserve"> vaccine which was ongoing at </w:t>
      </w:r>
      <w:r w:rsidR="00206EBC">
        <w:t xml:space="preserve">the time of the data </w:t>
      </w:r>
      <w:proofErr w:type="spellStart"/>
      <w:r w:rsidR="00E55BFD">
        <w:t>cutoff</w:t>
      </w:r>
      <w:proofErr w:type="spellEnd"/>
      <w:r>
        <w:t xml:space="preserve">. It </w:t>
      </w:r>
      <w:proofErr w:type="gramStart"/>
      <w:r>
        <w:t>was assessed</w:t>
      </w:r>
      <w:proofErr w:type="gramEnd"/>
      <w:r>
        <w:t xml:space="preserve"> as not related to study intervention by the investigator.</w:t>
      </w:r>
    </w:p>
    <w:p w14:paraId="7FF2660C" w14:textId="4E68C60E" w:rsidR="00206EBC" w:rsidRDefault="00E55BFD" w:rsidP="00E55BFD">
      <w:pPr>
        <w:pStyle w:val="Heading5"/>
      </w:pPr>
      <w:r>
        <w:t>Post-</w:t>
      </w:r>
      <w:r w:rsidR="00D36D6D">
        <w:t>a</w:t>
      </w:r>
      <w:r>
        <w:t xml:space="preserve">pproval </w:t>
      </w:r>
      <w:r w:rsidR="00D36D6D">
        <w:t>s</w:t>
      </w:r>
      <w:r>
        <w:t xml:space="preserve">afety </w:t>
      </w:r>
      <w:r w:rsidR="00D36D6D">
        <w:t>d</w:t>
      </w:r>
      <w:r>
        <w:t>ata</w:t>
      </w:r>
    </w:p>
    <w:p w14:paraId="1141E61B" w14:textId="2611484D" w:rsidR="00206EBC" w:rsidRDefault="00206EBC" w:rsidP="00206EBC">
      <w:r>
        <w:t xml:space="preserve">Diarrhoea (very common), vomiting (common), rash (uncommon), pain in extremity (uncommon), urticaria (uncommon), and anaphylaxis (unknown) were identified as additional </w:t>
      </w:r>
      <w:r w:rsidR="000B4E5F">
        <w:t>adverse drug reactions (</w:t>
      </w:r>
      <w:r>
        <w:t>ADRs</w:t>
      </w:r>
      <w:r w:rsidR="000B4E5F">
        <w:t>)</w:t>
      </w:r>
      <w:r w:rsidR="009E340F">
        <w:t xml:space="preserve"> in the post </w:t>
      </w:r>
      <w:r>
        <w:t>approval period for individuals ≥</w:t>
      </w:r>
      <w:r w:rsidR="000B4E5F">
        <w:t> </w:t>
      </w:r>
      <w:r>
        <w:t>16</w:t>
      </w:r>
      <w:r w:rsidR="00C65BE8">
        <w:t> </w:t>
      </w:r>
      <w:r>
        <w:t xml:space="preserve">years of age. A review of the </w:t>
      </w:r>
      <w:r w:rsidR="009E340F">
        <w:t>sponsor’s</w:t>
      </w:r>
      <w:r>
        <w:t xml:space="preserve"> safety database for spontaneously</w:t>
      </w:r>
      <w:r w:rsidR="00E55BFD">
        <w:t xml:space="preserve"> reported AEs in individuals 12 to </w:t>
      </w:r>
      <w:r>
        <w:t>15 years of age received up to 28 February 2021 returned</w:t>
      </w:r>
      <w:r w:rsidR="009E340F">
        <w:t xml:space="preserve"> with</w:t>
      </w:r>
      <w:r>
        <w:t xml:space="preserve"> 11</w:t>
      </w:r>
      <w:r w:rsidR="00C65BE8">
        <w:t> </w:t>
      </w:r>
      <w:r>
        <w:t>cases. The cases were fo</w:t>
      </w:r>
      <w:r w:rsidR="00E55BFD">
        <w:t>r individuals 15 years of age (four cases), 14 years of age (three cases), 13 years of age (one case), and 12 years of age (three</w:t>
      </w:r>
      <w:r>
        <w:t xml:space="preserve"> cases). The limited amount of safety information in these reports does not substantially contribute to the base of knowledge of the product sa</w:t>
      </w:r>
      <w:r w:rsidR="00E55BFD">
        <w:t>fety profile in this age group.</w:t>
      </w:r>
    </w:p>
    <w:p w14:paraId="28254425" w14:textId="5CC8959A" w:rsidR="00206EBC" w:rsidRDefault="00E55BFD" w:rsidP="00206EBC">
      <w:r>
        <w:t xml:space="preserve">The sponsor also submitted the </w:t>
      </w:r>
      <w:proofErr w:type="gramStart"/>
      <w:r>
        <w:t>six month</w:t>
      </w:r>
      <w:proofErr w:type="gramEnd"/>
      <w:r w:rsidR="00C65BE8">
        <w:t xml:space="preserve"> duration</w:t>
      </w:r>
      <w:r>
        <w:t xml:space="preserve"> post </w:t>
      </w:r>
      <w:r w:rsidR="00C65BE8">
        <w:t>second dose</w:t>
      </w:r>
      <w:r>
        <w:t xml:space="preserve"> safety data from the Phase III</w:t>
      </w:r>
      <w:r w:rsidR="00206EBC">
        <w:t xml:space="preserve"> study as part of the agreed commitment post provisional approval. The TGA evaluator p</w:t>
      </w:r>
      <w:r>
        <w:t>rovided the following comments:</w:t>
      </w:r>
    </w:p>
    <w:p w14:paraId="38B40AF8" w14:textId="0A3FFA63" w:rsidR="00206EBC" w:rsidRDefault="00206EBC" w:rsidP="00E55BFD">
      <w:pPr>
        <w:pStyle w:val="ListBullet"/>
      </w:pPr>
      <w:r>
        <w:t>The tolerab</w:t>
      </w:r>
      <w:r w:rsidR="00E55BFD">
        <w:t>ility and safety profile up to six</w:t>
      </w:r>
      <w:r>
        <w:t xml:space="preserve"> months after </w:t>
      </w:r>
      <w:r w:rsidR="00C65BE8">
        <w:t>second dose</w:t>
      </w:r>
      <w:r>
        <w:t xml:space="preserve"> wa</w:t>
      </w:r>
      <w:r w:rsidR="00E55BFD">
        <w:t xml:space="preserve">s acceptable through the follow </w:t>
      </w:r>
      <w:r>
        <w:t xml:space="preserve">up period (to the data </w:t>
      </w:r>
      <w:proofErr w:type="spellStart"/>
      <w:r>
        <w:t>cutoff</w:t>
      </w:r>
      <w:proofErr w:type="spellEnd"/>
      <w:r>
        <w:t xml:space="preserve"> date) and consistent with results previously reported. The frequency of AEs </w:t>
      </w:r>
      <w:proofErr w:type="gramStart"/>
      <w:r w:rsidR="00E55BFD">
        <w:t>is adequately captured</w:t>
      </w:r>
      <w:proofErr w:type="gramEnd"/>
      <w:r w:rsidR="00E55BFD">
        <w:t xml:space="preserve"> in the Product Information (PI).</w:t>
      </w:r>
    </w:p>
    <w:p w14:paraId="6E15A987" w14:textId="6521F469" w:rsidR="00206EBC" w:rsidRDefault="00206EBC" w:rsidP="00E55BFD">
      <w:pPr>
        <w:pStyle w:val="ListBullet"/>
      </w:pPr>
      <w:r>
        <w:t xml:space="preserve">The total number and frequency of related </w:t>
      </w:r>
      <w:proofErr w:type="gramStart"/>
      <w:r>
        <w:t>SAEs,</w:t>
      </w:r>
      <w:proofErr w:type="gramEnd"/>
      <w:r>
        <w:t xml:space="preserve"> related AEs/SAEs leading to withdrawal and deaths during the study (all apparently unrelated to vaccination) was very low and in keeping with previously reported data</w:t>
      </w:r>
      <w:r w:rsidR="000B4E5F">
        <w:t>.</w:t>
      </w:r>
    </w:p>
    <w:p w14:paraId="50158D4A" w14:textId="56A017FD" w:rsidR="00206EBC" w:rsidRDefault="00206EBC" w:rsidP="00E55BFD">
      <w:pPr>
        <w:pStyle w:val="ListBullet"/>
      </w:pPr>
      <w:r>
        <w:t xml:space="preserve">There did not appear to be any clinically meaningful differences between subgroups by age, gender, ethnicity, baseline SARS-CoV-2 status, HIV status, or in relation to infection with COVID-19 in subsequently </w:t>
      </w:r>
      <w:proofErr w:type="spellStart"/>
      <w:r>
        <w:t>C</w:t>
      </w:r>
      <w:r w:rsidR="000B4E5F">
        <w:t>omirnaty</w:t>
      </w:r>
      <w:proofErr w:type="spellEnd"/>
      <w:r w:rsidR="00A5742A">
        <w:t xml:space="preserve"> BNT162b2</w:t>
      </w:r>
      <w:r>
        <w:t xml:space="preserve"> vaccinated placebo recipients</w:t>
      </w:r>
      <w:r w:rsidR="000B4E5F">
        <w:t>.</w:t>
      </w:r>
    </w:p>
    <w:p w14:paraId="65DA236D" w14:textId="3F413B3B" w:rsidR="00206EBC" w:rsidRDefault="00206EBC" w:rsidP="000B4E5F">
      <w:pPr>
        <w:pStyle w:val="ListBullet"/>
      </w:pPr>
      <w:r>
        <w:t>Potentially significant advers</w:t>
      </w:r>
      <w:r w:rsidR="00D21688">
        <w:t xml:space="preserve">e events identified by the FDA, </w:t>
      </w:r>
      <w:r>
        <w:t>CDC</w:t>
      </w:r>
      <w:r w:rsidR="000B4E5F">
        <w:t xml:space="preserve"> and through post </w:t>
      </w:r>
      <w:r>
        <w:t>marketing review appear to have been appropriately examined</w:t>
      </w:r>
    </w:p>
    <w:p w14:paraId="7C8DFABD" w14:textId="0CD23B9D" w:rsidR="00206EBC" w:rsidRDefault="00206EBC" w:rsidP="00E55BFD">
      <w:pPr>
        <w:pStyle w:val="ListBullet"/>
      </w:pPr>
      <w:r>
        <w:t>No new safety signals or concerns have emerged</w:t>
      </w:r>
      <w:r w:rsidR="000B4E5F">
        <w:t>.</w:t>
      </w:r>
    </w:p>
    <w:p w14:paraId="6DD9254F" w14:textId="1EE1A8E0" w:rsidR="00206EBC" w:rsidRDefault="000B4E5F" w:rsidP="000B4E5F">
      <w:r>
        <w:t>TGA’s</w:t>
      </w:r>
      <w:r w:rsidR="00206EBC">
        <w:t xml:space="preserve"> evaluator recommends the followings:</w:t>
      </w:r>
    </w:p>
    <w:p w14:paraId="3E794342" w14:textId="4C19EC1E" w:rsidR="00206EBC" w:rsidRDefault="009E340F" w:rsidP="00E55BFD">
      <w:pPr>
        <w:pStyle w:val="ListBullet"/>
      </w:pPr>
      <w:r>
        <w:t>The i</w:t>
      </w:r>
      <w:r w:rsidR="000B4E5F">
        <w:t>nterim report: six</w:t>
      </w:r>
      <w:r w:rsidR="00206EBC">
        <w:t xml:space="preserve"> month update be accepted by the TGA as fulfilling the condition of approval for provisional registration in relation to s</w:t>
      </w:r>
      <w:r w:rsidR="000B4E5F">
        <w:t xml:space="preserve">ubmitting a safety analysis at six months </w:t>
      </w:r>
      <w:r w:rsidR="00C65BE8">
        <w:t>following use of the second dose</w:t>
      </w:r>
    </w:p>
    <w:p w14:paraId="4D1602AF" w14:textId="13E906FB" w:rsidR="00206EBC" w:rsidRDefault="00206EBC" w:rsidP="00E55BFD">
      <w:pPr>
        <w:pStyle w:val="ListBullet"/>
      </w:pPr>
      <w:r>
        <w:t xml:space="preserve">The proposed updates to the PI in the recent </w:t>
      </w:r>
      <w:r w:rsidR="009E340F">
        <w:t>safety related request</w:t>
      </w:r>
      <w:r>
        <w:t xml:space="preserve"> submission is consistent with the data prese</w:t>
      </w:r>
      <w:r w:rsidR="000B4E5F">
        <w:t xml:space="preserve">nted here along with their post </w:t>
      </w:r>
      <w:r>
        <w:t>authorisation experience</w:t>
      </w:r>
    </w:p>
    <w:p w14:paraId="07E8186F" w14:textId="7364C86D" w:rsidR="00206EBC" w:rsidRDefault="00206EBC" w:rsidP="00206EBC">
      <w:pPr>
        <w:pStyle w:val="ListBullet"/>
      </w:pPr>
      <w:r>
        <w:t>Further safety data should be submitt</w:t>
      </w:r>
      <w:r w:rsidR="000B4E5F">
        <w:t>ed in relation to follow up at six months</w:t>
      </w:r>
      <w:r w:rsidR="00C65BE8">
        <w:t xml:space="preserve"> following</w:t>
      </w:r>
      <w:r w:rsidR="000B4E5F">
        <w:t xml:space="preserve"> </w:t>
      </w:r>
      <w:r w:rsidR="00C65BE8">
        <w:t>use of the second dose</w:t>
      </w:r>
      <w:r>
        <w:t xml:space="preserve"> for all original </w:t>
      </w:r>
      <w:proofErr w:type="spellStart"/>
      <w:r>
        <w:t>C</w:t>
      </w:r>
      <w:r w:rsidR="000B4E5F">
        <w:t>omirnaty</w:t>
      </w:r>
      <w:proofErr w:type="spellEnd"/>
      <w:r w:rsidR="000B4E5F">
        <w:t xml:space="preserve"> recipients and at six months </w:t>
      </w:r>
      <w:r w:rsidR="00C65BE8">
        <w:t>following the fourth dose</w:t>
      </w:r>
      <w:r w:rsidR="00CA26FB">
        <w:t xml:space="preserve"> </w:t>
      </w:r>
      <w:r>
        <w:t xml:space="preserve">for original placebo recipients subsequently vaccinated with </w:t>
      </w:r>
      <w:proofErr w:type="spellStart"/>
      <w:r>
        <w:t>C</w:t>
      </w:r>
      <w:r w:rsidR="000B4E5F">
        <w:t>omirnaty</w:t>
      </w:r>
      <w:proofErr w:type="spellEnd"/>
      <w:r w:rsidR="000B4E5F">
        <w:t xml:space="preserve"> (that is six</w:t>
      </w:r>
      <w:r>
        <w:t xml:space="preserve"> months following their second dose), when the analysis is available</w:t>
      </w:r>
      <w:r w:rsidR="000B4E5F">
        <w:t>.</w:t>
      </w:r>
    </w:p>
    <w:p w14:paraId="6DFE1A9C" w14:textId="3E3E3FAC" w:rsidR="00206EBC" w:rsidRDefault="00206EBC" w:rsidP="000B4E5F">
      <w:pPr>
        <w:pStyle w:val="Heading5"/>
      </w:pPr>
      <w:r>
        <w:t xml:space="preserve">Myocarditis and </w:t>
      </w:r>
      <w:r w:rsidR="00C65BE8">
        <w:t>p</w:t>
      </w:r>
      <w:r>
        <w:t>ericarditis</w:t>
      </w:r>
    </w:p>
    <w:p w14:paraId="484FCD08" w14:textId="375BBD9E" w:rsidR="00206EBC" w:rsidRDefault="005A614D" w:rsidP="00206EBC">
      <w:r>
        <w:t>The sponsor’s safety surveillance and risk m</w:t>
      </w:r>
      <w:r w:rsidR="00206EBC">
        <w:t xml:space="preserve">anagement team conducted a review of spontaneous reports of myocarditis/pericarditis. The details regarding this </w:t>
      </w:r>
      <w:proofErr w:type="gramStart"/>
      <w:r w:rsidR="00206EBC">
        <w:t>were provided</w:t>
      </w:r>
      <w:proofErr w:type="gramEnd"/>
      <w:r w:rsidR="00206EBC">
        <w:t xml:space="preserve"> to the TGA in the Apri</w:t>
      </w:r>
      <w:r w:rsidR="008F332C">
        <w:t>l summary monthly safety report.</w:t>
      </w:r>
    </w:p>
    <w:p w14:paraId="26DF1B26" w14:textId="4CF6A402" w:rsidR="00206EBC" w:rsidRDefault="008F332C" w:rsidP="00206EBC">
      <w:r>
        <w:t>The sponsor</w:t>
      </w:r>
      <w:r w:rsidR="00206EBC">
        <w:t xml:space="preserve">’s overall conclusion based on the totality of the available data is that there is not enough evidence </w:t>
      </w:r>
      <w:proofErr w:type="gramStart"/>
      <w:r w:rsidR="00206EBC">
        <w:t>to currently support</w:t>
      </w:r>
      <w:proofErr w:type="gramEnd"/>
      <w:r w:rsidR="00206EBC">
        <w:t xml:space="preserve"> a causal association between the vaccine and myocardi</w:t>
      </w:r>
      <w:r>
        <w:t>tis and pericarditis. However, the sponsor</w:t>
      </w:r>
      <w:r w:rsidR="00206EBC">
        <w:t xml:space="preserve"> commits to continue surveillance and review of any future data or research. The sponsor also commit</w:t>
      </w:r>
      <w:r w:rsidR="00C65BE8">
        <w:t>s</w:t>
      </w:r>
      <w:r w:rsidR="00206EBC">
        <w:t xml:space="preserve"> to obtain further details </w:t>
      </w:r>
      <w:r>
        <w:t>on the Israel cases.</w:t>
      </w:r>
    </w:p>
    <w:p w14:paraId="524E9CA3" w14:textId="5A608C7A" w:rsidR="004A73C5" w:rsidRPr="004A73C5" w:rsidRDefault="00206EBC" w:rsidP="00206EBC">
      <w:r>
        <w:t xml:space="preserve">The TGA’s evaluator states that while a plausible mechanism for a causal association of myocarditis and pericarditis with the vaccination is not yet clear, it </w:t>
      </w:r>
      <w:proofErr w:type="gramStart"/>
      <w:r>
        <w:t>may be postulated</w:t>
      </w:r>
      <w:proofErr w:type="gramEnd"/>
      <w:r>
        <w:t xml:space="preserve"> that myocarditis and pericarditis could be a systemic inflammatory reaction due to an immune response</w:t>
      </w:r>
      <w:r w:rsidR="008F332C">
        <w:t xml:space="preserve"> to the vaccine. The TGA’s </w:t>
      </w:r>
      <w:proofErr w:type="gramStart"/>
      <w:r w:rsidR="008F332C">
        <w:t xml:space="preserve">post </w:t>
      </w:r>
      <w:r>
        <w:t>market evaluation team</w:t>
      </w:r>
      <w:proofErr w:type="gramEnd"/>
      <w:r>
        <w:t xml:space="preserve"> will provide</w:t>
      </w:r>
      <w:r w:rsidR="008F332C">
        <w:t xml:space="preserve"> the detailed analysis on this issue to the </w:t>
      </w:r>
      <w:r w:rsidR="008F332C">
        <w:rPr>
          <w:bCs/>
        </w:rPr>
        <w:t>Advisory Committee on Vaccine</w:t>
      </w:r>
      <w:r w:rsidR="00D21688">
        <w:rPr>
          <w:bCs/>
        </w:rPr>
        <w:t>s</w:t>
      </w:r>
      <w:r w:rsidR="008F332C">
        <w:rPr>
          <w:bCs/>
        </w:rPr>
        <w:t xml:space="preserve"> (</w:t>
      </w:r>
      <w:r w:rsidR="008F332C">
        <w:t>ACV).</w:t>
      </w:r>
    </w:p>
    <w:p w14:paraId="6359729C" w14:textId="77777777" w:rsidR="008E7846" w:rsidRDefault="00386150" w:rsidP="007B6132">
      <w:pPr>
        <w:pStyle w:val="Heading3"/>
        <w:rPr>
          <w:lang w:eastAsia="en-AU"/>
        </w:rPr>
      </w:pPr>
      <w:bookmarkStart w:id="48" w:name="_Toc77866297"/>
      <w:r>
        <w:rPr>
          <w:lang w:eastAsia="en-AU"/>
        </w:rPr>
        <w:t>Risk m</w:t>
      </w:r>
      <w:r w:rsidR="008E7846">
        <w:rPr>
          <w:lang w:eastAsia="en-AU"/>
        </w:rPr>
        <w:t xml:space="preserve">anagement </w:t>
      </w:r>
      <w:r>
        <w:rPr>
          <w:lang w:eastAsia="en-AU"/>
        </w:rPr>
        <w:t>p</w:t>
      </w:r>
      <w:r w:rsidR="008E7846">
        <w:rPr>
          <w:lang w:eastAsia="en-AU"/>
        </w:rPr>
        <w:t>lan</w:t>
      </w:r>
      <w:bookmarkEnd w:id="42"/>
      <w:bookmarkEnd w:id="48"/>
    </w:p>
    <w:p w14:paraId="28F24E54" w14:textId="04A2F987" w:rsidR="00B90D85" w:rsidRPr="00B90D85" w:rsidRDefault="00B90D85" w:rsidP="00B90D85">
      <w:r w:rsidRPr="00B90D85">
        <w:t>The most recently evaluated EU-</w:t>
      </w:r>
      <w:r>
        <w:t>risk management plan (</w:t>
      </w:r>
      <w:r w:rsidRPr="00B90D85">
        <w:t>RMP</w:t>
      </w:r>
      <w:r>
        <w:t>)</w:t>
      </w:r>
      <w:r w:rsidRPr="00B90D85">
        <w:t xml:space="preserve"> was version 1.0 (date 21 December 2020; </w:t>
      </w:r>
      <w:r>
        <w:t>data lock point (</w:t>
      </w:r>
      <w:r w:rsidRPr="00B90D85">
        <w:t>DLP</w:t>
      </w:r>
      <w:r>
        <w:t>)</w:t>
      </w:r>
      <w:r w:rsidRPr="00B90D85">
        <w:t xml:space="preserve"> 17 December 2020) and A</w:t>
      </w:r>
      <w:r>
        <w:t>ustralia specific annex (A</w:t>
      </w:r>
      <w:r w:rsidR="009E340F">
        <w:t>SA</w:t>
      </w:r>
      <w:r>
        <w:t>)</w:t>
      </w:r>
      <w:r w:rsidR="009E340F">
        <w:t xml:space="preserve"> </w:t>
      </w:r>
      <w:r w:rsidRPr="00B90D85">
        <w:t>version 0.2 (date 17 January 2021). In support of the extended indications, the sponsor has submitted EU-RMP vers</w:t>
      </w:r>
      <w:r w:rsidR="00534D61">
        <w:t xml:space="preserve">ion </w:t>
      </w:r>
      <w:r w:rsidRPr="00B90D85">
        <w:t>2</w:t>
      </w:r>
      <w:r w:rsidR="00534D61">
        <w:t>.0</w:t>
      </w:r>
      <w:r w:rsidRPr="00B90D85">
        <w:t xml:space="preserve"> (date 29 April 2021; DLP 28 February 2021 (Safety Database) 13 March 2021 (Clinical Database)). </w:t>
      </w:r>
      <w:r w:rsidR="00E847D1" w:rsidRPr="00C10B11">
        <w:t>The sponsor submitted ASA (</w:t>
      </w:r>
      <w:r w:rsidR="00E847D1" w:rsidRPr="00C10B11">
        <w:rPr>
          <w:rFonts w:asciiTheme="minorHAnsi" w:eastAsia="Times New Roman" w:hAnsiTheme="minorHAnsi"/>
          <w:lang w:eastAsia="en-AU"/>
        </w:rPr>
        <w:t>version 0.3, dated 11 June 2021) in response to TGA questions.</w:t>
      </w:r>
    </w:p>
    <w:p w14:paraId="4015BF28" w14:textId="03C9D36D" w:rsidR="00B90D85" w:rsidRDefault="00B90D85" w:rsidP="00B90D85">
      <w:r w:rsidRPr="00B90D85">
        <w:t>The summary of safety concerns and their associated risk monitoring and mitigation strategies proposed in the EU RMP v</w:t>
      </w:r>
      <w:r w:rsidR="007D235C">
        <w:t xml:space="preserve">ersion 2.0 </w:t>
      </w:r>
      <w:proofErr w:type="gramStart"/>
      <w:r w:rsidR="007D235C">
        <w:t>are summarised</w:t>
      </w:r>
      <w:proofErr w:type="gramEnd"/>
      <w:r w:rsidR="007D235C">
        <w:t xml:space="preserve"> below in </w:t>
      </w:r>
      <w:r w:rsidR="007D235C">
        <w:fldChar w:fldCharType="begin"/>
      </w:r>
      <w:r w:rsidR="007D235C">
        <w:instrText xml:space="preserve"> REF _Ref74656498 \h </w:instrText>
      </w:r>
      <w:r w:rsidR="007D235C">
        <w:fldChar w:fldCharType="separate"/>
      </w:r>
      <w:r w:rsidR="00B15022" w:rsidRPr="009E340F">
        <w:t xml:space="preserve">Table </w:t>
      </w:r>
      <w:r w:rsidR="00B15022">
        <w:rPr>
          <w:noProof/>
        </w:rPr>
        <w:t>6</w:t>
      </w:r>
      <w:r w:rsidR="007D235C">
        <w:fldChar w:fldCharType="end"/>
      </w:r>
      <w:r w:rsidR="007D235C">
        <w:t>.</w:t>
      </w:r>
      <w:r w:rsidR="007D235C">
        <w:rPr>
          <w:rStyle w:val="FootnoteReference"/>
        </w:rPr>
        <w:footnoteReference w:id="17"/>
      </w:r>
    </w:p>
    <w:p w14:paraId="57D28AF3" w14:textId="4BCACB62" w:rsidR="009E340F" w:rsidRDefault="009E340F" w:rsidP="009E340F">
      <w:pPr>
        <w:pStyle w:val="TableTitle"/>
      </w:pPr>
      <w:bookmarkStart w:id="49" w:name="_Ref74656498"/>
      <w:r w:rsidRPr="009E340F">
        <w:t xml:space="preserve">Table </w:t>
      </w:r>
      <w:fldSimple w:instr=" SEQ Table \* ARABIC ">
        <w:r w:rsidR="00B15022">
          <w:rPr>
            <w:noProof/>
          </w:rPr>
          <w:t>6</w:t>
        </w:r>
      </w:fldSimple>
      <w:bookmarkEnd w:id="49"/>
      <w:r>
        <w:t>: S</w:t>
      </w:r>
      <w:r w:rsidRPr="009E340F">
        <w:t>ummary of safety concerns and their associated risk monitoring and mitigation strategies</w:t>
      </w:r>
    </w:p>
    <w:tbl>
      <w:tblPr>
        <w:tblStyle w:val="TableTGAblue"/>
        <w:tblW w:w="5000" w:type="pct"/>
        <w:tblLook w:val="04A0" w:firstRow="1" w:lastRow="0" w:firstColumn="1" w:lastColumn="0" w:noHBand="0" w:noVBand="1"/>
      </w:tblPr>
      <w:tblGrid>
        <w:gridCol w:w="1481"/>
        <w:gridCol w:w="2186"/>
        <w:gridCol w:w="1262"/>
        <w:gridCol w:w="1261"/>
        <w:gridCol w:w="1042"/>
        <w:gridCol w:w="1262"/>
      </w:tblGrid>
      <w:tr w:rsidR="00B90D85" w:rsidRPr="00BF52F4" w14:paraId="7A9DE3A9" w14:textId="77777777" w:rsidTr="00B90D85">
        <w:trPr>
          <w:cnfStyle w:val="100000000000" w:firstRow="1" w:lastRow="0" w:firstColumn="0" w:lastColumn="0" w:oddVBand="0" w:evenVBand="0" w:oddHBand="0" w:evenHBand="0" w:firstRowFirstColumn="0" w:firstRowLastColumn="0" w:lastRowFirstColumn="0" w:lastRowLastColumn="0"/>
          <w:trHeight w:val="131"/>
        </w:trPr>
        <w:tc>
          <w:tcPr>
            <w:tcW w:w="2159" w:type="pct"/>
            <w:gridSpan w:val="2"/>
            <w:vMerge w:val="restart"/>
            <w:tcBorders>
              <w:top w:val="single" w:sz="4" w:space="0" w:color="auto"/>
              <w:left w:val="single" w:sz="4" w:space="0" w:color="auto"/>
              <w:bottom w:val="single" w:sz="4" w:space="0" w:color="auto"/>
              <w:right w:val="single" w:sz="4" w:space="0" w:color="auto"/>
            </w:tcBorders>
          </w:tcPr>
          <w:p w14:paraId="5D58BD18" w14:textId="77777777" w:rsidR="00B90D85" w:rsidRPr="00BF52F4" w:rsidRDefault="00B90D85" w:rsidP="00B90D85">
            <w:pPr>
              <w:pStyle w:val="Tabletext"/>
              <w:ind w:left="0"/>
              <w:rPr>
                <w:b w:val="0"/>
              </w:rPr>
            </w:pPr>
            <w:r w:rsidRPr="00BF52F4">
              <w:t>Summary of safety concerns</w:t>
            </w:r>
          </w:p>
        </w:tc>
        <w:tc>
          <w:tcPr>
            <w:tcW w:w="1485" w:type="pct"/>
            <w:gridSpan w:val="2"/>
            <w:tcBorders>
              <w:top w:val="single" w:sz="4" w:space="0" w:color="auto"/>
              <w:left w:val="single" w:sz="4" w:space="0" w:color="auto"/>
              <w:bottom w:val="single" w:sz="4" w:space="0" w:color="auto"/>
              <w:right w:val="single" w:sz="4" w:space="0" w:color="auto"/>
            </w:tcBorders>
          </w:tcPr>
          <w:p w14:paraId="305B3123" w14:textId="77777777" w:rsidR="00B90D85" w:rsidRPr="00BF52F4" w:rsidRDefault="00B90D85" w:rsidP="00B90D85">
            <w:pPr>
              <w:pStyle w:val="Tabletext"/>
              <w:ind w:left="0"/>
              <w:rPr>
                <w:b w:val="0"/>
                <w:sz w:val="18"/>
              </w:rPr>
            </w:pPr>
            <w:r w:rsidRPr="00BF52F4">
              <w:rPr>
                <w:sz w:val="18"/>
              </w:rPr>
              <w:t>Pharmacovigilance</w:t>
            </w:r>
          </w:p>
        </w:tc>
        <w:tc>
          <w:tcPr>
            <w:tcW w:w="1356" w:type="pct"/>
            <w:gridSpan w:val="2"/>
            <w:tcBorders>
              <w:top w:val="single" w:sz="4" w:space="0" w:color="auto"/>
              <w:left w:val="single" w:sz="4" w:space="0" w:color="auto"/>
              <w:bottom w:val="single" w:sz="4" w:space="0" w:color="auto"/>
              <w:right w:val="single" w:sz="4" w:space="0" w:color="auto"/>
            </w:tcBorders>
          </w:tcPr>
          <w:p w14:paraId="3578E960" w14:textId="77777777" w:rsidR="00B90D85" w:rsidRPr="00BF52F4" w:rsidRDefault="00B90D85" w:rsidP="00B90D85">
            <w:pPr>
              <w:pStyle w:val="Tabletext"/>
              <w:ind w:left="0"/>
              <w:rPr>
                <w:b w:val="0"/>
                <w:sz w:val="18"/>
              </w:rPr>
            </w:pPr>
            <w:r w:rsidRPr="00BF52F4">
              <w:rPr>
                <w:sz w:val="18"/>
              </w:rPr>
              <w:t>Risk Minimisation</w:t>
            </w:r>
          </w:p>
        </w:tc>
      </w:tr>
      <w:tr w:rsidR="00B90D85" w:rsidRPr="00BF52F4" w14:paraId="04D14723" w14:textId="77777777" w:rsidTr="00B90D85">
        <w:trPr>
          <w:trHeight w:val="150"/>
        </w:trPr>
        <w:tc>
          <w:tcPr>
            <w:tcW w:w="2159" w:type="pct"/>
            <w:gridSpan w:val="2"/>
            <w:vMerge/>
            <w:tcBorders>
              <w:top w:val="single" w:sz="4" w:space="0" w:color="auto"/>
              <w:left w:val="single" w:sz="4" w:space="0" w:color="auto"/>
              <w:bottom w:val="single" w:sz="4" w:space="0" w:color="auto"/>
              <w:right w:val="single" w:sz="4" w:space="0" w:color="auto"/>
            </w:tcBorders>
          </w:tcPr>
          <w:p w14:paraId="1633B7CB" w14:textId="77777777" w:rsidR="00B90D85" w:rsidRPr="00BF52F4" w:rsidRDefault="00B90D85" w:rsidP="00D9657B">
            <w:pPr>
              <w:pStyle w:val="Tabletext"/>
              <w:rPr>
                <w:b/>
              </w:rPr>
            </w:pPr>
          </w:p>
        </w:tc>
        <w:tc>
          <w:tcPr>
            <w:tcW w:w="743" w:type="pct"/>
            <w:tcBorders>
              <w:top w:val="single" w:sz="4" w:space="0" w:color="auto"/>
              <w:left w:val="single" w:sz="4" w:space="0" w:color="auto"/>
              <w:bottom w:val="single" w:sz="4" w:space="0" w:color="auto"/>
              <w:right w:val="single" w:sz="4" w:space="0" w:color="auto"/>
            </w:tcBorders>
            <w:shd w:val="clear" w:color="auto" w:fill="006DA7"/>
          </w:tcPr>
          <w:p w14:paraId="591EA1B7" w14:textId="77777777" w:rsidR="00B90D85" w:rsidRPr="00B90D85" w:rsidRDefault="00B90D85" w:rsidP="00B90D85">
            <w:pPr>
              <w:pStyle w:val="Tabletext"/>
              <w:ind w:left="0"/>
              <w:rPr>
                <w:b/>
                <w:color w:val="FFFFFF" w:themeColor="background1"/>
                <w:sz w:val="18"/>
              </w:rPr>
            </w:pPr>
            <w:r w:rsidRPr="00B90D85">
              <w:rPr>
                <w:b/>
                <w:color w:val="FFFFFF" w:themeColor="background1"/>
                <w:sz w:val="18"/>
              </w:rPr>
              <w:t>Routine</w:t>
            </w:r>
          </w:p>
        </w:tc>
        <w:tc>
          <w:tcPr>
            <w:tcW w:w="742" w:type="pct"/>
            <w:tcBorders>
              <w:top w:val="single" w:sz="4" w:space="0" w:color="auto"/>
              <w:left w:val="single" w:sz="4" w:space="0" w:color="auto"/>
              <w:bottom w:val="single" w:sz="4" w:space="0" w:color="auto"/>
              <w:right w:val="single" w:sz="4" w:space="0" w:color="auto"/>
            </w:tcBorders>
            <w:shd w:val="clear" w:color="auto" w:fill="006DA7"/>
          </w:tcPr>
          <w:p w14:paraId="072EC173" w14:textId="77777777" w:rsidR="00B90D85" w:rsidRPr="00B90D85" w:rsidRDefault="00B90D85" w:rsidP="00B90D85">
            <w:pPr>
              <w:pStyle w:val="Tabletext"/>
              <w:ind w:left="0"/>
              <w:rPr>
                <w:b/>
                <w:color w:val="FFFFFF" w:themeColor="background1"/>
                <w:sz w:val="18"/>
              </w:rPr>
            </w:pPr>
            <w:r w:rsidRPr="00B90D85">
              <w:rPr>
                <w:b/>
                <w:color w:val="FFFFFF" w:themeColor="background1"/>
                <w:sz w:val="18"/>
              </w:rPr>
              <w:t>Additional</w:t>
            </w:r>
          </w:p>
        </w:tc>
        <w:tc>
          <w:tcPr>
            <w:tcW w:w="613" w:type="pct"/>
            <w:tcBorders>
              <w:top w:val="single" w:sz="4" w:space="0" w:color="auto"/>
              <w:left w:val="single" w:sz="4" w:space="0" w:color="auto"/>
              <w:bottom w:val="single" w:sz="4" w:space="0" w:color="auto"/>
              <w:right w:val="single" w:sz="4" w:space="0" w:color="auto"/>
            </w:tcBorders>
            <w:shd w:val="clear" w:color="auto" w:fill="006DA7"/>
          </w:tcPr>
          <w:p w14:paraId="27C015B2" w14:textId="77777777" w:rsidR="00B90D85" w:rsidRPr="00B90D85" w:rsidRDefault="00B90D85" w:rsidP="00B90D85">
            <w:pPr>
              <w:pStyle w:val="Tabletext"/>
              <w:ind w:left="0"/>
              <w:rPr>
                <w:b/>
                <w:color w:val="FFFFFF" w:themeColor="background1"/>
                <w:sz w:val="18"/>
              </w:rPr>
            </w:pPr>
            <w:r w:rsidRPr="00B90D85">
              <w:rPr>
                <w:b/>
                <w:color w:val="FFFFFF" w:themeColor="background1"/>
                <w:sz w:val="18"/>
              </w:rPr>
              <w:t>Routine</w:t>
            </w:r>
          </w:p>
        </w:tc>
        <w:tc>
          <w:tcPr>
            <w:tcW w:w="742" w:type="pct"/>
            <w:tcBorders>
              <w:top w:val="single" w:sz="4" w:space="0" w:color="auto"/>
              <w:left w:val="single" w:sz="4" w:space="0" w:color="auto"/>
              <w:bottom w:val="single" w:sz="4" w:space="0" w:color="auto"/>
              <w:right w:val="single" w:sz="4" w:space="0" w:color="auto"/>
            </w:tcBorders>
            <w:shd w:val="clear" w:color="auto" w:fill="006DA7"/>
          </w:tcPr>
          <w:p w14:paraId="0F0D1AFE" w14:textId="77777777" w:rsidR="00B90D85" w:rsidRPr="00B90D85" w:rsidRDefault="00B90D85" w:rsidP="00B90D85">
            <w:pPr>
              <w:pStyle w:val="Tabletext"/>
              <w:ind w:left="0"/>
              <w:rPr>
                <w:b/>
                <w:color w:val="FFFFFF" w:themeColor="background1"/>
                <w:sz w:val="18"/>
              </w:rPr>
            </w:pPr>
            <w:r w:rsidRPr="00B90D85">
              <w:rPr>
                <w:b/>
                <w:color w:val="FFFFFF" w:themeColor="background1"/>
                <w:sz w:val="18"/>
              </w:rPr>
              <w:t>Additional</w:t>
            </w:r>
          </w:p>
        </w:tc>
      </w:tr>
      <w:tr w:rsidR="00B90D85" w:rsidRPr="00BF52F4" w14:paraId="7B8563AE" w14:textId="77777777" w:rsidTr="00B90D85">
        <w:trPr>
          <w:trHeight w:val="137"/>
        </w:trPr>
        <w:tc>
          <w:tcPr>
            <w:tcW w:w="872" w:type="pct"/>
            <w:tcBorders>
              <w:top w:val="single" w:sz="4" w:space="0" w:color="auto"/>
            </w:tcBorders>
          </w:tcPr>
          <w:p w14:paraId="6BA2BA6A" w14:textId="77777777" w:rsidR="00B90D85" w:rsidRPr="00BF52F4" w:rsidRDefault="00B90D85" w:rsidP="00B90D85">
            <w:pPr>
              <w:pStyle w:val="Tabletext"/>
              <w:ind w:left="0"/>
              <w:rPr>
                <w:b/>
              </w:rPr>
            </w:pPr>
            <w:r w:rsidRPr="00BF52F4">
              <w:rPr>
                <w:b/>
              </w:rPr>
              <w:t>Important identified risks</w:t>
            </w:r>
          </w:p>
        </w:tc>
        <w:tc>
          <w:tcPr>
            <w:tcW w:w="1287" w:type="pct"/>
            <w:tcBorders>
              <w:top w:val="single" w:sz="4" w:space="0" w:color="auto"/>
            </w:tcBorders>
          </w:tcPr>
          <w:p w14:paraId="5CD67742" w14:textId="77777777" w:rsidR="00B90D85" w:rsidRPr="00BF52F4" w:rsidRDefault="00B90D85" w:rsidP="00B90D85">
            <w:pPr>
              <w:pStyle w:val="Tabletext"/>
              <w:ind w:left="0"/>
            </w:pPr>
            <w:r>
              <w:t>Anaphylaxis</w:t>
            </w:r>
          </w:p>
        </w:tc>
        <w:tc>
          <w:tcPr>
            <w:tcW w:w="743" w:type="pct"/>
            <w:tcBorders>
              <w:top w:val="single" w:sz="4" w:space="0" w:color="auto"/>
            </w:tcBorders>
          </w:tcPr>
          <w:p w14:paraId="2AA9F778" w14:textId="77777777" w:rsidR="00B90D85" w:rsidRPr="00F46046" w:rsidRDefault="00B90D85" w:rsidP="00D9657B">
            <w:pPr>
              <w:pStyle w:val="Tabletext"/>
              <w:jc w:val="center"/>
              <w:rPr>
                <w:color w:val="auto"/>
              </w:rPr>
            </w:pPr>
            <w:r w:rsidRPr="00F46046">
              <w:rPr>
                <w:color w:val="auto"/>
              </w:rPr>
              <w:sym w:font="Wingdings" w:char="F0FC"/>
            </w:r>
            <w:r w:rsidRPr="00F46046">
              <w:rPr>
                <w:rFonts w:asciiTheme="majorHAnsi" w:hAnsiTheme="majorHAnsi"/>
                <w:color w:val="auto"/>
                <w:szCs w:val="20"/>
                <w:vertAlign w:val="superscript"/>
              </w:rPr>
              <w:t>†</w:t>
            </w:r>
          </w:p>
        </w:tc>
        <w:tc>
          <w:tcPr>
            <w:tcW w:w="742" w:type="pct"/>
            <w:tcBorders>
              <w:top w:val="single" w:sz="4" w:space="0" w:color="auto"/>
            </w:tcBorders>
          </w:tcPr>
          <w:p w14:paraId="55877DED" w14:textId="77777777" w:rsidR="00B90D85" w:rsidRPr="00F46046" w:rsidRDefault="00B90D85" w:rsidP="00D9657B">
            <w:pPr>
              <w:pStyle w:val="Tabletext"/>
              <w:jc w:val="center"/>
              <w:rPr>
                <w:color w:val="auto"/>
              </w:rPr>
            </w:pPr>
            <w:r w:rsidRPr="00F46046">
              <w:rPr>
                <w:color w:val="auto"/>
              </w:rPr>
              <w:sym w:font="Wingdings" w:char="F0FC"/>
            </w:r>
            <w:r w:rsidRPr="00F46046">
              <w:rPr>
                <w:rFonts w:asciiTheme="majorHAnsi" w:hAnsiTheme="majorHAnsi"/>
                <w:color w:val="auto"/>
                <w:szCs w:val="20"/>
              </w:rPr>
              <w:t>*</w:t>
            </w:r>
          </w:p>
        </w:tc>
        <w:tc>
          <w:tcPr>
            <w:tcW w:w="613" w:type="pct"/>
            <w:tcBorders>
              <w:top w:val="single" w:sz="4" w:space="0" w:color="auto"/>
            </w:tcBorders>
          </w:tcPr>
          <w:p w14:paraId="49F6C3F0" w14:textId="77777777" w:rsidR="00B90D85" w:rsidRPr="00F46046" w:rsidRDefault="00B90D85" w:rsidP="00D9657B">
            <w:pPr>
              <w:pStyle w:val="Tabletext"/>
              <w:jc w:val="center"/>
              <w:rPr>
                <w:color w:val="auto"/>
              </w:rPr>
            </w:pPr>
            <w:r w:rsidRPr="00F46046">
              <w:rPr>
                <w:color w:val="auto"/>
              </w:rPr>
              <w:sym w:font="Wingdings" w:char="F0FC"/>
            </w:r>
          </w:p>
        </w:tc>
        <w:tc>
          <w:tcPr>
            <w:tcW w:w="742" w:type="pct"/>
            <w:tcBorders>
              <w:top w:val="single" w:sz="4" w:space="0" w:color="auto"/>
            </w:tcBorders>
          </w:tcPr>
          <w:p w14:paraId="1AC7BC09" w14:textId="77777777" w:rsidR="00B90D85" w:rsidRPr="00F46046" w:rsidRDefault="00B90D85" w:rsidP="00D9657B">
            <w:pPr>
              <w:pStyle w:val="Tabletext"/>
              <w:jc w:val="center"/>
              <w:rPr>
                <w:color w:val="auto"/>
              </w:rPr>
            </w:pPr>
            <w:r w:rsidRPr="00F46046">
              <w:rPr>
                <w:color w:val="auto"/>
              </w:rPr>
              <w:t>–</w:t>
            </w:r>
          </w:p>
        </w:tc>
      </w:tr>
      <w:tr w:rsidR="00B90D85" w:rsidRPr="00BF52F4" w14:paraId="67B404D8" w14:textId="77777777" w:rsidTr="00B90D85">
        <w:trPr>
          <w:trHeight w:val="159"/>
        </w:trPr>
        <w:tc>
          <w:tcPr>
            <w:tcW w:w="872" w:type="pct"/>
          </w:tcPr>
          <w:p w14:paraId="474E162D" w14:textId="77777777" w:rsidR="00B90D85" w:rsidRPr="00BF52F4" w:rsidRDefault="00B90D85" w:rsidP="00B90D85">
            <w:pPr>
              <w:pStyle w:val="Tabletext"/>
              <w:ind w:left="0"/>
              <w:rPr>
                <w:b/>
              </w:rPr>
            </w:pPr>
            <w:r w:rsidRPr="00BF52F4">
              <w:rPr>
                <w:b/>
              </w:rPr>
              <w:t>Important potential risks</w:t>
            </w:r>
          </w:p>
        </w:tc>
        <w:tc>
          <w:tcPr>
            <w:tcW w:w="1287" w:type="pct"/>
          </w:tcPr>
          <w:p w14:paraId="19B5A1E1" w14:textId="77777777" w:rsidR="00B90D85" w:rsidRPr="00BF52F4" w:rsidRDefault="00B90D85" w:rsidP="00B90D85">
            <w:pPr>
              <w:pStyle w:val="Tabletext"/>
              <w:ind w:left="0"/>
            </w:pPr>
            <w:r>
              <w:t>Vaccine-associated enhanced disease (VAED) including Vaccine-associated enhanced respiratory disease (VAERD)</w:t>
            </w:r>
          </w:p>
        </w:tc>
        <w:tc>
          <w:tcPr>
            <w:tcW w:w="743" w:type="pct"/>
          </w:tcPr>
          <w:p w14:paraId="680FECEF" w14:textId="77777777" w:rsidR="00B90D85" w:rsidRPr="00F46046" w:rsidRDefault="00B90D85" w:rsidP="00D9657B">
            <w:pPr>
              <w:pStyle w:val="Tabletext"/>
              <w:jc w:val="center"/>
              <w:rPr>
                <w:color w:val="auto"/>
              </w:rPr>
            </w:pPr>
            <w:r w:rsidRPr="00F46046">
              <w:rPr>
                <w:color w:val="auto"/>
              </w:rPr>
              <w:sym w:font="Wingdings" w:char="F0FC"/>
            </w:r>
            <w:r w:rsidRPr="00F46046">
              <w:rPr>
                <w:rFonts w:asciiTheme="majorHAnsi" w:hAnsiTheme="majorHAnsi"/>
                <w:color w:val="auto"/>
                <w:szCs w:val="20"/>
                <w:vertAlign w:val="superscript"/>
              </w:rPr>
              <w:t>†</w:t>
            </w:r>
          </w:p>
        </w:tc>
        <w:tc>
          <w:tcPr>
            <w:tcW w:w="742" w:type="pct"/>
          </w:tcPr>
          <w:p w14:paraId="46016F81" w14:textId="77777777" w:rsidR="00B90D85" w:rsidRPr="00F46046" w:rsidRDefault="00B90D85" w:rsidP="00D9657B">
            <w:pPr>
              <w:pStyle w:val="Tabletext"/>
              <w:jc w:val="center"/>
              <w:rPr>
                <w:color w:val="auto"/>
              </w:rPr>
            </w:pPr>
            <w:r w:rsidRPr="00F46046">
              <w:rPr>
                <w:color w:val="auto"/>
              </w:rPr>
              <w:sym w:font="Wingdings" w:char="F0FC"/>
            </w:r>
            <w:r w:rsidRPr="00F46046">
              <w:rPr>
                <w:rFonts w:asciiTheme="majorHAnsi" w:hAnsiTheme="majorHAnsi"/>
                <w:color w:val="auto"/>
                <w:szCs w:val="20"/>
              </w:rPr>
              <w:t>*</w:t>
            </w:r>
          </w:p>
        </w:tc>
        <w:tc>
          <w:tcPr>
            <w:tcW w:w="613" w:type="pct"/>
          </w:tcPr>
          <w:p w14:paraId="401F8A2B" w14:textId="77777777" w:rsidR="00B90D85" w:rsidRPr="00F46046" w:rsidRDefault="00B90D85" w:rsidP="00D9657B">
            <w:pPr>
              <w:pStyle w:val="Tabletext"/>
              <w:jc w:val="center"/>
              <w:rPr>
                <w:color w:val="auto"/>
              </w:rPr>
            </w:pPr>
            <w:r w:rsidRPr="00F46046">
              <w:rPr>
                <w:color w:val="auto"/>
              </w:rPr>
              <w:t>–</w:t>
            </w:r>
          </w:p>
        </w:tc>
        <w:tc>
          <w:tcPr>
            <w:tcW w:w="742" w:type="pct"/>
          </w:tcPr>
          <w:p w14:paraId="15047974" w14:textId="77777777" w:rsidR="00B90D85" w:rsidRPr="00F46046" w:rsidRDefault="00B90D85" w:rsidP="00D9657B">
            <w:pPr>
              <w:pStyle w:val="Tabletext"/>
              <w:jc w:val="center"/>
              <w:rPr>
                <w:color w:val="auto"/>
              </w:rPr>
            </w:pPr>
            <w:r w:rsidRPr="00F46046">
              <w:rPr>
                <w:color w:val="auto"/>
              </w:rPr>
              <w:t>–</w:t>
            </w:r>
          </w:p>
        </w:tc>
      </w:tr>
      <w:tr w:rsidR="00B90D85" w:rsidRPr="00265B90" w14:paraId="2DFE3C90" w14:textId="77777777" w:rsidTr="00B90D85">
        <w:trPr>
          <w:trHeight w:val="178"/>
        </w:trPr>
        <w:tc>
          <w:tcPr>
            <w:tcW w:w="872" w:type="pct"/>
            <w:vMerge w:val="restart"/>
          </w:tcPr>
          <w:p w14:paraId="002ACB08" w14:textId="77777777" w:rsidR="00B90D85" w:rsidRPr="00265B90" w:rsidRDefault="00B90D85" w:rsidP="00B90D85">
            <w:pPr>
              <w:pStyle w:val="Tabletext"/>
              <w:ind w:left="0"/>
              <w:rPr>
                <w:b/>
              </w:rPr>
            </w:pPr>
            <w:r w:rsidRPr="00265B90">
              <w:rPr>
                <w:b/>
              </w:rPr>
              <w:t>Missing information</w:t>
            </w:r>
          </w:p>
        </w:tc>
        <w:tc>
          <w:tcPr>
            <w:tcW w:w="1287" w:type="pct"/>
          </w:tcPr>
          <w:p w14:paraId="04BBAF5A" w14:textId="3362E10F" w:rsidR="00B90D85" w:rsidRPr="00265B90" w:rsidRDefault="00B90D85" w:rsidP="00B90D85">
            <w:pPr>
              <w:pStyle w:val="Tabletext"/>
              <w:ind w:left="0"/>
            </w:pPr>
            <w:r>
              <w:t xml:space="preserve">Use in pregnancy and </w:t>
            </w:r>
            <w:r w:rsidRPr="00265B90">
              <w:t>while breast feeding</w:t>
            </w:r>
          </w:p>
        </w:tc>
        <w:tc>
          <w:tcPr>
            <w:tcW w:w="743" w:type="pct"/>
          </w:tcPr>
          <w:p w14:paraId="2F42C113" w14:textId="77777777" w:rsidR="00B90D85" w:rsidRPr="00265B90" w:rsidRDefault="00B90D85" w:rsidP="00D9657B">
            <w:pPr>
              <w:pStyle w:val="Tabletext"/>
              <w:jc w:val="center"/>
            </w:pPr>
            <w:r w:rsidRPr="00265B90">
              <w:sym w:font="Wingdings" w:char="F0FC"/>
            </w:r>
          </w:p>
        </w:tc>
        <w:tc>
          <w:tcPr>
            <w:tcW w:w="742" w:type="pct"/>
          </w:tcPr>
          <w:p w14:paraId="2EF5D2A7"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279F0EAC" w14:textId="77777777" w:rsidR="00B90D85" w:rsidRPr="00265B90" w:rsidRDefault="00B90D85" w:rsidP="00D9657B">
            <w:pPr>
              <w:pStyle w:val="Tabletext"/>
              <w:jc w:val="center"/>
            </w:pPr>
            <w:r w:rsidRPr="00265B90">
              <w:sym w:font="Wingdings" w:char="F0FC"/>
            </w:r>
          </w:p>
        </w:tc>
        <w:tc>
          <w:tcPr>
            <w:tcW w:w="742" w:type="pct"/>
          </w:tcPr>
          <w:p w14:paraId="1C02AEF2" w14:textId="77777777" w:rsidR="00B90D85" w:rsidRPr="00265B90" w:rsidRDefault="00B90D85" w:rsidP="00D9657B">
            <w:pPr>
              <w:pStyle w:val="Tabletext"/>
              <w:jc w:val="center"/>
            </w:pPr>
            <w:r w:rsidRPr="00265B90">
              <w:t>–</w:t>
            </w:r>
          </w:p>
        </w:tc>
      </w:tr>
      <w:tr w:rsidR="00B90D85" w:rsidRPr="00265B90" w14:paraId="2E949656" w14:textId="77777777" w:rsidTr="00B90D85">
        <w:trPr>
          <w:trHeight w:val="103"/>
        </w:trPr>
        <w:tc>
          <w:tcPr>
            <w:tcW w:w="872" w:type="pct"/>
            <w:vMerge/>
          </w:tcPr>
          <w:p w14:paraId="0D663CD1" w14:textId="77777777" w:rsidR="00B90D85" w:rsidRPr="00265B90" w:rsidRDefault="00B90D85" w:rsidP="00D9657B">
            <w:pPr>
              <w:pStyle w:val="Tabletext"/>
            </w:pPr>
          </w:p>
        </w:tc>
        <w:tc>
          <w:tcPr>
            <w:tcW w:w="1287" w:type="pct"/>
          </w:tcPr>
          <w:p w14:paraId="2637C740" w14:textId="77777777" w:rsidR="00B90D85" w:rsidRPr="00265B90" w:rsidRDefault="00B90D85" w:rsidP="00B90D85">
            <w:pPr>
              <w:pStyle w:val="Tabletext"/>
              <w:ind w:left="0"/>
            </w:pPr>
            <w:r w:rsidRPr="00265B90">
              <w:t>Use in immunocompromised patients</w:t>
            </w:r>
          </w:p>
        </w:tc>
        <w:tc>
          <w:tcPr>
            <w:tcW w:w="743" w:type="pct"/>
          </w:tcPr>
          <w:p w14:paraId="44E3AF9D" w14:textId="77777777" w:rsidR="00B90D85" w:rsidRPr="00265B90" w:rsidRDefault="00B90D85" w:rsidP="00D9657B">
            <w:pPr>
              <w:pStyle w:val="Tabletext"/>
              <w:jc w:val="center"/>
            </w:pPr>
            <w:r w:rsidRPr="00265B90">
              <w:sym w:font="Wingdings" w:char="F0FC"/>
            </w:r>
          </w:p>
        </w:tc>
        <w:tc>
          <w:tcPr>
            <w:tcW w:w="742" w:type="pct"/>
          </w:tcPr>
          <w:p w14:paraId="6DD4F58F"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1DDD571A" w14:textId="77777777" w:rsidR="00B90D85" w:rsidRPr="00265B90" w:rsidRDefault="00B90D85" w:rsidP="00D9657B">
            <w:pPr>
              <w:pStyle w:val="Tabletext"/>
              <w:jc w:val="center"/>
            </w:pPr>
            <w:r w:rsidRPr="00265B90">
              <w:sym w:font="Wingdings" w:char="F0FC"/>
            </w:r>
          </w:p>
        </w:tc>
        <w:tc>
          <w:tcPr>
            <w:tcW w:w="742" w:type="pct"/>
          </w:tcPr>
          <w:p w14:paraId="4F634681" w14:textId="77777777" w:rsidR="00B90D85" w:rsidRPr="00265B90" w:rsidRDefault="00B90D85" w:rsidP="00D9657B">
            <w:pPr>
              <w:pStyle w:val="Tabletext"/>
              <w:jc w:val="center"/>
            </w:pPr>
            <w:r w:rsidRPr="00265B90">
              <w:t>–</w:t>
            </w:r>
          </w:p>
        </w:tc>
      </w:tr>
      <w:tr w:rsidR="00B90D85" w:rsidRPr="00265B90" w14:paraId="4D9479E9" w14:textId="77777777" w:rsidTr="00B90D85">
        <w:trPr>
          <w:trHeight w:val="103"/>
        </w:trPr>
        <w:tc>
          <w:tcPr>
            <w:tcW w:w="872" w:type="pct"/>
            <w:vMerge/>
          </w:tcPr>
          <w:p w14:paraId="1558220F" w14:textId="77777777" w:rsidR="00B90D85" w:rsidRPr="00265B90" w:rsidRDefault="00B90D85" w:rsidP="00D9657B">
            <w:pPr>
              <w:pStyle w:val="Tabletext"/>
            </w:pPr>
          </w:p>
        </w:tc>
        <w:tc>
          <w:tcPr>
            <w:tcW w:w="1287" w:type="pct"/>
          </w:tcPr>
          <w:p w14:paraId="711F517E" w14:textId="1478C22D" w:rsidR="00B90D85" w:rsidRPr="00265B90" w:rsidRDefault="00B90D85" w:rsidP="00B90D85">
            <w:pPr>
              <w:pStyle w:val="Tabletext"/>
              <w:ind w:left="0"/>
            </w:pPr>
            <w:r w:rsidRPr="00265B90">
              <w:t>Use in frail pat</w:t>
            </w:r>
            <w:r w:rsidR="009E340F">
              <w:t xml:space="preserve">ients with co-morbidities (for example </w:t>
            </w:r>
            <w:r w:rsidRPr="00265B90">
              <w:t>chronic obstructive pulmonary disease (COPD), diabetes, chronic neurological disease, cardiovascular disorders)</w:t>
            </w:r>
          </w:p>
        </w:tc>
        <w:tc>
          <w:tcPr>
            <w:tcW w:w="743" w:type="pct"/>
          </w:tcPr>
          <w:p w14:paraId="598649E1" w14:textId="77777777" w:rsidR="00B90D85" w:rsidRPr="00265B90" w:rsidRDefault="00B90D85" w:rsidP="00D9657B">
            <w:pPr>
              <w:pStyle w:val="Tabletext"/>
              <w:jc w:val="center"/>
            </w:pPr>
            <w:r w:rsidRPr="00265B90">
              <w:sym w:font="Wingdings" w:char="F0FC"/>
            </w:r>
          </w:p>
        </w:tc>
        <w:tc>
          <w:tcPr>
            <w:tcW w:w="742" w:type="pct"/>
          </w:tcPr>
          <w:p w14:paraId="0FCD275D"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4C6BE078" w14:textId="77777777" w:rsidR="00B90D85" w:rsidRPr="00265B90" w:rsidRDefault="00B90D85" w:rsidP="00D9657B">
            <w:pPr>
              <w:pStyle w:val="Tabletext"/>
              <w:jc w:val="center"/>
            </w:pPr>
            <w:r w:rsidRPr="00265B90">
              <w:sym w:font="Wingdings" w:char="F0FC"/>
            </w:r>
          </w:p>
        </w:tc>
        <w:tc>
          <w:tcPr>
            <w:tcW w:w="742" w:type="pct"/>
          </w:tcPr>
          <w:p w14:paraId="618F3295" w14:textId="77777777" w:rsidR="00B90D85" w:rsidRPr="00265B90" w:rsidRDefault="00B90D85" w:rsidP="00D9657B">
            <w:pPr>
              <w:pStyle w:val="Tabletext"/>
              <w:jc w:val="center"/>
            </w:pPr>
            <w:r w:rsidRPr="00265B90">
              <w:t>–</w:t>
            </w:r>
          </w:p>
        </w:tc>
      </w:tr>
      <w:tr w:rsidR="00B90D85" w:rsidRPr="00265B90" w14:paraId="04FDEB12" w14:textId="77777777" w:rsidTr="00B90D85">
        <w:trPr>
          <w:trHeight w:val="103"/>
        </w:trPr>
        <w:tc>
          <w:tcPr>
            <w:tcW w:w="872" w:type="pct"/>
            <w:vMerge/>
          </w:tcPr>
          <w:p w14:paraId="5415BC2E" w14:textId="77777777" w:rsidR="00B90D85" w:rsidRPr="00265B90" w:rsidRDefault="00B90D85" w:rsidP="00D9657B">
            <w:pPr>
              <w:pStyle w:val="Tabletext"/>
            </w:pPr>
          </w:p>
        </w:tc>
        <w:tc>
          <w:tcPr>
            <w:tcW w:w="1287" w:type="pct"/>
          </w:tcPr>
          <w:p w14:paraId="60E11710" w14:textId="77777777" w:rsidR="00B90D85" w:rsidRPr="00265B90" w:rsidRDefault="00B90D85" w:rsidP="00B90D85">
            <w:pPr>
              <w:pStyle w:val="Tabletext"/>
              <w:ind w:left="0"/>
            </w:pPr>
            <w:r w:rsidRPr="00265B90">
              <w:t>Use in patients with autoimmune or inflammatory disorders</w:t>
            </w:r>
          </w:p>
        </w:tc>
        <w:tc>
          <w:tcPr>
            <w:tcW w:w="743" w:type="pct"/>
          </w:tcPr>
          <w:p w14:paraId="363E9F4C" w14:textId="77777777" w:rsidR="00B90D85" w:rsidRPr="00265B90" w:rsidRDefault="00B90D85" w:rsidP="00D9657B">
            <w:pPr>
              <w:pStyle w:val="Tabletext"/>
              <w:jc w:val="center"/>
            </w:pPr>
            <w:r w:rsidRPr="00265B90">
              <w:sym w:font="Wingdings" w:char="F0FC"/>
            </w:r>
          </w:p>
        </w:tc>
        <w:tc>
          <w:tcPr>
            <w:tcW w:w="742" w:type="pct"/>
          </w:tcPr>
          <w:p w14:paraId="1B720253"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7FCFEA36" w14:textId="77777777" w:rsidR="00B90D85" w:rsidRPr="00265B90" w:rsidRDefault="00B90D85" w:rsidP="00D9657B">
            <w:pPr>
              <w:pStyle w:val="Tabletext"/>
              <w:jc w:val="center"/>
            </w:pPr>
            <w:r w:rsidRPr="00265B90">
              <w:t>–</w:t>
            </w:r>
          </w:p>
        </w:tc>
        <w:tc>
          <w:tcPr>
            <w:tcW w:w="742" w:type="pct"/>
          </w:tcPr>
          <w:p w14:paraId="6659256E" w14:textId="77777777" w:rsidR="00B90D85" w:rsidRPr="00265B90" w:rsidRDefault="00B90D85" w:rsidP="00D9657B">
            <w:pPr>
              <w:pStyle w:val="Tabletext"/>
              <w:jc w:val="center"/>
            </w:pPr>
            <w:r w:rsidRPr="00265B90">
              <w:t>–</w:t>
            </w:r>
          </w:p>
        </w:tc>
      </w:tr>
      <w:tr w:rsidR="00B90D85" w:rsidRPr="00265B90" w14:paraId="383DAE01" w14:textId="77777777" w:rsidTr="00B90D85">
        <w:trPr>
          <w:trHeight w:val="103"/>
        </w:trPr>
        <w:tc>
          <w:tcPr>
            <w:tcW w:w="872" w:type="pct"/>
            <w:vMerge/>
          </w:tcPr>
          <w:p w14:paraId="1C2FB98E" w14:textId="77777777" w:rsidR="00B90D85" w:rsidRPr="00265B90" w:rsidRDefault="00B90D85" w:rsidP="00D9657B">
            <w:pPr>
              <w:pStyle w:val="Tabletext"/>
            </w:pPr>
          </w:p>
        </w:tc>
        <w:tc>
          <w:tcPr>
            <w:tcW w:w="1287" w:type="pct"/>
          </w:tcPr>
          <w:p w14:paraId="6DEE2FE9" w14:textId="77777777" w:rsidR="00B90D85" w:rsidRPr="00265B90" w:rsidRDefault="00B90D85" w:rsidP="00B90D85">
            <w:pPr>
              <w:pStyle w:val="Tabletext"/>
              <w:ind w:left="0"/>
            </w:pPr>
            <w:r w:rsidRPr="00265B90">
              <w:t>Interaction with other vaccines</w:t>
            </w:r>
          </w:p>
        </w:tc>
        <w:tc>
          <w:tcPr>
            <w:tcW w:w="743" w:type="pct"/>
          </w:tcPr>
          <w:p w14:paraId="65B0E7BE" w14:textId="77777777" w:rsidR="00B90D85" w:rsidRPr="00265B90" w:rsidRDefault="00B90D85" w:rsidP="00D9657B">
            <w:pPr>
              <w:pStyle w:val="Tabletext"/>
              <w:jc w:val="center"/>
            </w:pPr>
            <w:r w:rsidRPr="00265B90">
              <w:sym w:font="Wingdings" w:char="F0FC"/>
            </w:r>
          </w:p>
        </w:tc>
        <w:tc>
          <w:tcPr>
            <w:tcW w:w="742" w:type="pct"/>
          </w:tcPr>
          <w:p w14:paraId="4EB745A8"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67F80B81" w14:textId="77777777" w:rsidR="00B90D85" w:rsidRPr="00265B90" w:rsidRDefault="00B90D85" w:rsidP="00D9657B">
            <w:pPr>
              <w:pStyle w:val="Tabletext"/>
              <w:jc w:val="center"/>
            </w:pPr>
            <w:r w:rsidRPr="00265B90">
              <w:sym w:font="Wingdings" w:char="F0FC"/>
            </w:r>
          </w:p>
        </w:tc>
        <w:tc>
          <w:tcPr>
            <w:tcW w:w="742" w:type="pct"/>
          </w:tcPr>
          <w:p w14:paraId="31DE4D06" w14:textId="77777777" w:rsidR="00B90D85" w:rsidRPr="00265B90" w:rsidRDefault="00B90D85" w:rsidP="00D9657B">
            <w:pPr>
              <w:pStyle w:val="Tabletext"/>
              <w:jc w:val="center"/>
            </w:pPr>
            <w:r w:rsidRPr="00265B90">
              <w:t>–</w:t>
            </w:r>
          </w:p>
        </w:tc>
      </w:tr>
      <w:tr w:rsidR="00B90D85" w:rsidRPr="00265B90" w14:paraId="38989A1F" w14:textId="77777777" w:rsidTr="00B90D85">
        <w:trPr>
          <w:trHeight w:val="140"/>
        </w:trPr>
        <w:tc>
          <w:tcPr>
            <w:tcW w:w="872" w:type="pct"/>
            <w:vMerge/>
          </w:tcPr>
          <w:p w14:paraId="31493980" w14:textId="77777777" w:rsidR="00B90D85" w:rsidRPr="00265B90" w:rsidRDefault="00B90D85" w:rsidP="00D9657B">
            <w:pPr>
              <w:pStyle w:val="Tabletext"/>
            </w:pPr>
          </w:p>
        </w:tc>
        <w:tc>
          <w:tcPr>
            <w:tcW w:w="1287" w:type="pct"/>
          </w:tcPr>
          <w:p w14:paraId="612FB4DF" w14:textId="77777777" w:rsidR="00B90D85" w:rsidRPr="00265B90" w:rsidRDefault="00B90D85" w:rsidP="00B90D85">
            <w:pPr>
              <w:pStyle w:val="Tabletext"/>
              <w:ind w:left="0"/>
            </w:pPr>
            <w:r w:rsidRPr="00265B90">
              <w:t>Long term safety data</w:t>
            </w:r>
          </w:p>
        </w:tc>
        <w:tc>
          <w:tcPr>
            <w:tcW w:w="743" w:type="pct"/>
          </w:tcPr>
          <w:p w14:paraId="7E3AB2E3" w14:textId="77777777" w:rsidR="00B90D85" w:rsidRPr="00265B90" w:rsidRDefault="00B90D85" w:rsidP="00D9657B">
            <w:pPr>
              <w:pStyle w:val="Tabletext"/>
              <w:jc w:val="center"/>
            </w:pPr>
            <w:r w:rsidRPr="00265B90">
              <w:sym w:font="Wingdings" w:char="F0FC"/>
            </w:r>
          </w:p>
        </w:tc>
        <w:tc>
          <w:tcPr>
            <w:tcW w:w="742" w:type="pct"/>
          </w:tcPr>
          <w:p w14:paraId="2CEDB38A" w14:textId="77777777" w:rsidR="00B90D85" w:rsidRPr="00265B90" w:rsidRDefault="00B90D85" w:rsidP="00D9657B">
            <w:pPr>
              <w:pStyle w:val="Tabletext"/>
              <w:jc w:val="center"/>
            </w:pPr>
            <w:r w:rsidRPr="00265B90">
              <w:sym w:font="Wingdings" w:char="F0FC"/>
            </w:r>
            <w:r w:rsidRPr="00265B90">
              <w:rPr>
                <w:rFonts w:asciiTheme="majorHAnsi" w:hAnsiTheme="majorHAnsi"/>
                <w:szCs w:val="20"/>
              </w:rPr>
              <w:t>*</w:t>
            </w:r>
          </w:p>
        </w:tc>
        <w:tc>
          <w:tcPr>
            <w:tcW w:w="613" w:type="pct"/>
          </w:tcPr>
          <w:p w14:paraId="360D7F63" w14:textId="77777777" w:rsidR="00B90D85" w:rsidRPr="00265B90" w:rsidRDefault="00B90D85" w:rsidP="00D9657B">
            <w:pPr>
              <w:pStyle w:val="Tabletext"/>
              <w:jc w:val="center"/>
            </w:pPr>
            <w:r w:rsidRPr="00265B90">
              <w:t>–</w:t>
            </w:r>
          </w:p>
        </w:tc>
        <w:tc>
          <w:tcPr>
            <w:tcW w:w="742" w:type="pct"/>
          </w:tcPr>
          <w:p w14:paraId="3EDCD307" w14:textId="77777777" w:rsidR="00B90D85" w:rsidRPr="00265B90" w:rsidRDefault="00B90D85" w:rsidP="00D9657B">
            <w:pPr>
              <w:pStyle w:val="Tabletext"/>
              <w:jc w:val="center"/>
            </w:pPr>
            <w:r w:rsidRPr="00265B90">
              <w:t>–</w:t>
            </w:r>
          </w:p>
        </w:tc>
      </w:tr>
    </w:tbl>
    <w:p w14:paraId="5F5C0069" w14:textId="5F8FB302" w:rsidR="00B90D85" w:rsidRPr="00265B90" w:rsidRDefault="00B90D85" w:rsidP="00B90D85">
      <w:pPr>
        <w:pStyle w:val="TableDescription"/>
      </w:pPr>
      <w:r w:rsidRPr="00265B90">
        <w:rPr>
          <w:szCs w:val="20"/>
          <w:vertAlign w:val="superscript"/>
        </w:rPr>
        <w:t>†</w:t>
      </w:r>
      <w:r w:rsidRPr="00265B90">
        <w:t>Data capture Aid</w:t>
      </w:r>
      <w:r>
        <w:t xml:space="preserve"> </w:t>
      </w:r>
      <w:r w:rsidRPr="00265B90">
        <w:rPr>
          <w:sz w:val="20"/>
          <w:szCs w:val="20"/>
        </w:rPr>
        <w:t>*</w:t>
      </w:r>
      <w:r w:rsidRPr="00265B90">
        <w:t>Clinical trials</w:t>
      </w:r>
    </w:p>
    <w:p w14:paraId="5FED3BFA" w14:textId="284DA75A" w:rsidR="00B90D85" w:rsidRPr="00265B90" w:rsidRDefault="00B90D85" w:rsidP="00B90D85">
      <w:r w:rsidRPr="00265B90">
        <w:t>The above summary of safety concerns is acce</w:t>
      </w:r>
      <w:r>
        <w:t>ptable from an RMP perspective.</w:t>
      </w:r>
    </w:p>
    <w:p w14:paraId="27E844DE" w14:textId="6A82C26D" w:rsidR="007D235C" w:rsidRDefault="007D235C" w:rsidP="007D235C">
      <w:r w:rsidRPr="007D235C">
        <w:t xml:space="preserve">The pharmacovigilance plan is acceptable from an RMP perspective. The </w:t>
      </w:r>
      <w:proofErr w:type="gramStart"/>
      <w:r w:rsidRPr="007D235C">
        <w:t>acceptability of the clinical study plan will be assessed by the c</w:t>
      </w:r>
      <w:r>
        <w:t>linical evaluator/TGA delegate</w:t>
      </w:r>
      <w:proofErr w:type="gramEnd"/>
      <w:r>
        <w:t>.</w:t>
      </w:r>
    </w:p>
    <w:p w14:paraId="6F5EC538" w14:textId="5795E6D1" w:rsidR="00B90D85" w:rsidRDefault="007D235C" w:rsidP="00B90D85">
      <w:pPr>
        <w:rPr>
          <w:szCs w:val="24"/>
        </w:rPr>
      </w:pPr>
      <w:r w:rsidRPr="007D235C">
        <w:rPr>
          <w:szCs w:val="24"/>
        </w:rPr>
        <w:t xml:space="preserve">Currently there are no additional risk minimisation measures implemented for </w:t>
      </w:r>
      <w:proofErr w:type="spellStart"/>
      <w:r w:rsidRPr="007D235C">
        <w:rPr>
          <w:szCs w:val="24"/>
        </w:rPr>
        <w:t>Comirnaty</w:t>
      </w:r>
      <w:proofErr w:type="spellEnd"/>
      <w:r w:rsidRPr="007D235C">
        <w:rPr>
          <w:szCs w:val="24"/>
        </w:rPr>
        <w:t xml:space="preserve"> </w:t>
      </w:r>
      <w:r w:rsidR="00A5742A">
        <w:rPr>
          <w:szCs w:val="24"/>
        </w:rPr>
        <w:t xml:space="preserve">BNT162b2 </w:t>
      </w:r>
      <w:r w:rsidRPr="007D235C">
        <w:rPr>
          <w:szCs w:val="24"/>
        </w:rPr>
        <w:t xml:space="preserve">in Australia or in the EU. It </w:t>
      </w:r>
      <w:proofErr w:type="gramStart"/>
      <w:r w:rsidRPr="007D235C">
        <w:rPr>
          <w:szCs w:val="24"/>
        </w:rPr>
        <w:t>is expected</w:t>
      </w:r>
      <w:proofErr w:type="gramEnd"/>
      <w:r w:rsidRPr="007D235C">
        <w:rPr>
          <w:szCs w:val="24"/>
        </w:rPr>
        <w:t xml:space="preserve"> that the Australian Government’s educational programs, activities to increase </w:t>
      </w:r>
      <w:r>
        <w:rPr>
          <w:szCs w:val="24"/>
        </w:rPr>
        <w:t xml:space="preserve">awareness of the public </w:t>
      </w:r>
      <w:r w:rsidR="00B90D85" w:rsidRPr="004A5750">
        <w:rPr>
          <w:szCs w:val="24"/>
        </w:rPr>
        <w:t xml:space="preserve">and the </w:t>
      </w:r>
      <w:r w:rsidR="00726D95" w:rsidRPr="00726D95">
        <w:rPr>
          <w:szCs w:val="24"/>
        </w:rPr>
        <w:t>healthcare professionals</w:t>
      </w:r>
      <w:r w:rsidR="00B90D85" w:rsidRPr="004A5750">
        <w:rPr>
          <w:szCs w:val="24"/>
        </w:rPr>
        <w:t xml:space="preserve"> would address some of th</w:t>
      </w:r>
      <w:r>
        <w:rPr>
          <w:szCs w:val="24"/>
        </w:rPr>
        <w:t>e aspects of risk minimisation.</w:t>
      </w:r>
    </w:p>
    <w:p w14:paraId="17C3D22B" w14:textId="77777777" w:rsidR="007D235C" w:rsidRDefault="007D235C" w:rsidP="007D235C">
      <w:pPr>
        <w:pStyle w:val="Heading4"/>
      </w:pPr>
      <w:r>
        <w:t>Wording for conditions of registration</w:t>
      </w:r>
    </w:p>
    <w:p w14:paraId="4E626E6C" w14:textId="77777777" w:rsidR="007D235C" w:rsidRDefault="007D235C" w:rsidP="007D235C">
      <w:r>
        <w:t xml:space="preserve">Any changes to which the sponsor has agreed should be included in a revised RMP and ASA. However, irrespective of whether or not they are included in the currently available version of the RMP document, the agreed changes become part of the risk management system. </w:t>
      </w:r>
    </w:p>
    <w:p w14:paraId="313304EB" w14:textId="77777777" w:rsidR="007D235C" w:rsidRDefault="007D235C" w:rsidP="007D235C">
      <w:r>
        <w:t xml:space="preserve">The suggested wording is: </w:t>
      </w:r>
    </w:p>
    <w:p w14:paraId="0D50837D" w14:textId="77777777" w:rsidR="007D235C" w:rsidRPr="007D235C" w:rsidRDefault="007D235C" w:rsidP="007D235C">
      <w:pPr>
        <w:rPr>
          <w:i/>
        </w:rPr>
      </w:pPr>
      <w:r w:rsidRPr="007D235C">
        <w:rPr>
          <w:i/>
        </w:rPr>
        <w:t xml:space="preserve">The </w:t>
      </w:r>
      <w:proofErr w:type="spellStart"/>
      <w:r w:rsidRPr="007D235C">
        <w:rPr>
          <w:i/>
        </w:rPr>
        <w:t>Comirnaty</w:t>
      </w:r>
      <w:proofErr w:type="spellEnd"/>
      <w:r w:rsidRPr="007D235C">
        <w:rPr>
          <w:i/>
        </w:rPr>
        <w:t xml:space="preserve"> EU-Risk Management Plan (RMP) (version 2.0, date 29 April 2021; DLP 28 February 2021 (Safety Database) 13 March 2021 (Clinical Database)), included with submission PM-2021-02187-1-2, with Australian Specific Annex (version 0.3, dated 11 June 2021), will be implemented in Australia.</w:t>
      </w:r>
    </w:p>
    <w:p w14:paraId="64D11D43" w14:textId="77777777" w:rsidR="007D235C" w:rsidRPr="007D235C" w:rsidRDefault="007D235C" w:rsidP="007D235C">
      <w:pPr>
        <w:rPr>
          <w:i/>
        </w:rPr>
      </w:pPr>
      <w:r w:rsidRPr="007D235C">
        <w:rPr>
          <w:i/>
        </w:rPr>
        <w:t>An obligatory component of risk management plans is routine pharmacovigilance. Routine pharmacovigilance includes the submission of periodic safety update reports (PSURs).</w:t>
      </w:r>
    </w:p>
    <w:p w14:paraId="455C7EC9" w14:textId="70A80B54" w:rsidR="007D235C" w:rsidRPr="007D235C" w:rsidRDefault="007D235C" w:rsidP="007D235C">
      <w:pPr>
        <w:rPr>
          <w:i/>
        </w:rPr>
      </w:pPr>
      <w:r w:rsidRPr="007D235C">
        <w:rPr>
          <w:i/>
        </w:rPr>
        <w:t xml:space="preserve">Unless agreed separately between the supplier who is the recipient of the approval and the TGA, the first report </w:t>
      </w:r>
      <w:proofErr w:type="gramStart"/>
      <w:r w:rsidRPr="007D235C">
        <w:rPr>
          <w:i/>
        </w:rPr>
        <w:t>must be submitted</w:t>
      </w:r>
      <w:proofErr w:type="gramEnd"/>
      <w:r w:rsidRPr="007D235C">
        <w:rPr>
          <w:i/>
        </w:rPr>
        <w:t xml:space="preserve"> to TGA no later than six calend</w:t>
      </w:r>
      <w:r w:rsidR="007B6181">
        <w:rPr>
          <w:i/>
        </w:rPr>
        <w:t>ar months after the date of the</w:t>
      </w:r>
      <w:r w:rsidRPr="007D235C">
        <w:rPr>
          <w:i/>
        </w:rPr>
        <w:t xml:space="preserve"> approval letter. The subsequent reports </w:t>
      </w:r>
      <w:proofErr w:type="gramStart"/>
      <w:r w:rsidRPr="007D235C">
        <w:rPr>
          <w:i/>
        </w:rPr>
        <w:t>must be submitted</w:t>
      </w:r>
      <w:proofErr w:type="gramEnd"/>
      <w:r w:rsidRPr="007D235C">
        <w:rPr>
          <w:i/>
        </w:rPr>
        <w:t xml:space="preserve"> no less frequently than six monthly until the period covered by such reports is not less than three years from the date of the approval letter, or the entire period of provisional registration, whichever is longer.</w:t>
      </w:r>
    </w:p>
    <w:p w14:paraId="0878D0FF" w14:textId="408EBF62" w:rsidR="007D235C" w:rsidRPr="007D235C" w:rsidRDefault="007D235C" w:rsidP="007D235C">
      <w:pPr>
        <w:rPr>
          <w:i/>
        </w:rPr>
      </w:pPr>
      <w:r w:rsidRPr="007D235C">
        <w:rPr>
          <w:i/>
        </w:rPr>
        <w:t xml:space="preserve">The reports are </w:t>
      </w:r>
      <w:proofErr w:type="gramStart"/>
      <w:r w:rsidRPr="007D235C">
        <w:rPr>
          <w:i/>
        </w:rPr>
        <w:t>to at least meet</w:t>
      </w:r>
      <w:proofErr w:type="gramEnd"/>
      <w:r w:rsidRPr="007D235C">
        <w:rPr>
          <w:i/>
        </w:rPr>
        <w:t xml:space="preserve"> the requirements for PSURs as described in the European Medicin</w:t>
      </w:r>
      <w:r w:rsidR="007B6181">
        <w:rPr>
          <w:i/>
        </w:rPr>
        <w:t xml:space="preserve">es Agency’s Guideline on Good Pharmacovigilance </w:t>
      </w:r>
      <w:proofErr w:type="spellStart"/>
      <w:r w:rsidR="007B6181">
        <w:rPr>
          <w:i/>
        </w:rPr>
        <w:t>PO</w:t>
      </w:r>
      <w:r w:rsidRPr="007D235C">
        <w:rPr>
          <w:i/>
        </w:rPr>
        <w:t>ractices</w:t>
      </w:r>
      <w:proofErr w:type="spellEnd"/>
      <w:r w:rsidRPr="007D235C">
        <w:rPr>
          <w:i/>
        </w:rPr>
        <w:t xml:space="preserve"> (</w:t>
      </w:r>
      <w:proofErr w:type="spellStart"/>
      <w:r w:rsidRPr="007D235C">
        <w:rPr>
          <w:i/>
        </w:rPr>
        <w:t>GVP</w:t>
      </w:r>
      <w:proofErr w:type="spellEnd"/>
      <w:r w:rsidRPr="007D235C">
        <w:rPr>
          <w:i/>
        </w:rPr>
        <w:t>)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1DF6704D" w14:textId="77777777" w:rsidR="007D235C" w:rsidRPr="007D235C" w:rsidRDefault="007D235C" w:rsidP="007D235C">
      <w:pPr>
        <w:rPr>
          <w:i/>
        </w:rPr>
      </w:pPr>
      <w:r w:rsidRPr="007D235C">
        <w:rPr>
          <w:i/>
        </w:rPr>
        <w:t xml:space="preserve">Additional to the routine submission of the routine </w:t>
      </w:r>
      <w:proofErr w:type="spellStart"/>
      <w:r w:rsidRPr="007D235C">
        <w:rPr>
          <w:i/>
        </w:rPr>
        <w:t>PSURs</w:t>
      </w:r>
      <w:proofErr w:type="spellEnd"/>
      <w:r w:rsidRPr="007D235C">
        <w:rPr>
          <w:i/>
        </w:rPr>
        <w:t xml:space="preserve">, expedited monthly, </w:t>
      </w:r>
      <w:proofErr w:type="spellStart"/>
      <w:r w:rsidRPr="007D235C">
        <w:rPr>
          <w:i/>
        </w:rPr>
        <w:t>Comirnaty</w:t>
      </w:r>
      <w:proofErr w:type="spellEnd"/>
      <w:r w:rsidRPr="007D235C">
        <w:rPr>
          <w:i/>
        </w:rPr>
        <w:t xml:space="preserve"> safety summary reports (including safety data for patients in Australia) are to </w:t>
      </w:r>
      <w:proofErr w:type="gramStart"/>
      <w:r w:rsidRPr="007D235C">
        <w:rPr>
          <w:i/>
        </w:rPr>
        <w:t>be provided</w:t>
      </w:r>
      <w:proofErr w:type="gramEnd"/>
      <w:r w:rsidRPr="007D235C">
        <w:rPr>
          <w:i/>
        </w:rPr>
        <w:t xml:space="preserve"> for the first 6 months post registration, and thereafter at intervals specified by the TGA.</w:t>
      </w:r>
    </w:p>
    <w:p w14:paraId="08EAE6BA" w14:textId="123EED27" w:rsidR="007D235C" w:rsidRPr="007D235C" w:rsidRDefault="007D235C" w:rsidP="007D235C">
      <w:pPr>
        <w:rPr>
          <w:i/>
        </w:rPr>
      </w:pPr>
      <w:proofErr w:type="spellStart"/>
      <w:r w:rsidRPr="007D235C">
        <w:rPr>
          <w:i/>
        </w:rPr>
        <w:t>Comirnaty</w:t>
      </w:r>
      <w:proofErr w:type="spellEnd"/>
      <w:r w:rsidRPr="007D235C">
        <w:rPr>
          <w:i/>
        </w:rPr>
        <w:t xml:space="preserve"> is to be included in the Black Triangle Scheme due to provisional approval. The PI and CMI for </w:t>
      </w:r>
      <w:proofErr w:type="spellStart"/>
      <w:r w:rsidRPr="007D235C">
        <w:rPr>
          <w:i/>
        </w:rPr>
        <w:t>Comirnaty</w:t>
      </w:r>
      <w:proofErr w:type="spellEnd"/>
      <w:r w:rsidRPr="007D235C">
        <w:rPr>
          <w:i/>
        </w:rPr>
        <w:t xml:space="preserve"> must include the black triangle symbol and mandatory accompanying text for the products entire period of provisional registration.</w:t>
      </w:r>
    </w:p>
    <w:p w14:paraId="4CD022DF" w14:textId="77777777" w:rsidR="008E7846" w:rsidRDefault="00AA0ED0" w:rsidP="008E7846">
      <w:pPr>
        <w:pStyle w:val="Heading3"/>
      </w:pPr>
      <w:bookmarkStart w:id="50" w:name="_Toc247691531"/>
      <w:bookmarkStart w:id="51" w:name="_Toc314842515"/>
      <w:bookmarkStart w:id="52" w:name="_Toc77866298"/>
      <w:bookmarkStart w:id="53" w:name="_Toc196046505"/>
      <w:bookmarkStart w:id="54" w:name="_Toc196046949"/>
      <w:r>
        <w:t>Risk-benefit a</w:t>
      </w:r>
      <w:r w:rsidR="008E7846">
        <w:t>nalysis</w:t>
      </w:r>
      <w:bookmarkEnd w:id="50"/>
      <w:bookmarkEnd w:id="51"/>
      <w:bookmarkEnd w:id="52"/>
    </w:p>
    <w:p w14:paraId="67D6ABD0" w14:textId="77777777" w:rsidR="00D23139" w:rsidRDefault="007D53B6" w:rsidP="00D23139">
      <w:pPr>
        <w:pStyle w:val="Heading4"/>
      </w:pPr>
      <w:r>
        <w:t>Delegate’s considerations</w:t>
      </w:r>
    </w:p>
    <w:p w14:paraId="2788836F" w14:textId="5A4BAE0A" w:rsidR="00726D95" w:rsidRPr="00726D95" w:rsidRDefault="00C65BE8" w:rsidP="00AD59B0">
      <w:r>
        <w:rPr>
          <w:rFonts w:eastAsiaTheme="minorHAnsi"/>
          <w:color w:val="000000"/>
        </w:rPr>
        <w:t xml:space="preserve">The </w:t>
      </w:r>
      <w:proofErr w:type="spellStart"/>
      <w:r w:rsidR="00726D95" w:rsidRPr="001D16CD">
        <w:rPr>
          <w:rFonts w:eastAsiaTheme="minorHAnsi"/>
          <w:color w:val="000000"/>
        </w:rPr>
        <w:t>C</w:t>
      </w:r>
      <w:r w:rsidR="00726D95">
        <w:rPr>
          <w:rFonts w:eastAsiaTheme="minorHAnsi"/>
          <w:color w:val="000000"/>
        </w:rPr>
        <w:t>omirnaty</w:t>
      </w:r>
      <w:proofErr w:type="spellEnd"/>
      <w:r w:rsidR="00726D95" w:rsidRPr="001D16CD">
        <w:rPr>
          <w:rFonts w:eastAsiaTheme="minorHAnsi"/>
          <w:color w:val="000000"/>
        </w:rPr>
        <w:t xml:space="preserve"> </w:t>
      </w:r>
      <w:r w:rsidR="00726D95">
        <w:rPr>
          <w:rFonts w:eastAsiaTheme="minorHAnsi"/>
          <w:color w:val="000000"/>
        </w:rPr>
        <w:t>(</w:t>
      </w:r>
      <w:r w:rsidR="00726D95" w:rsidRPr="00AB5612">
        <w:rPr>
          <w:rFonts w:eastAsiaTheme="minorHAnsi"/>
          <w:color w:val="000000"/>
        </w:rPr>
        <w:t>BNT162b2</w:t>
      </w:r>
      <w:r w:rsidR="00726D95">
        <w:rPr>
          <w:rFonts w:eastAsiaTheme="minorHAnsi"/>
          <w:color w:val="000000"/>
        </w:rPr>
        <w:t xml:space="preserve"> </w:t>
      </w:r>
      <w:r w:rsidR="009E340F">
        <w:rPr>
          <w:rFonts w:eastAsiaTheme="minorHAnsi"/>
          <w:color w:val="000000"/>
        </w:rPr>
        <w:t>(</w:t>
      </w:r>
      <w:r w:rsidR="00726D95">
        <w:rPr>
          <w:rFonts w:eastAsiaTheme="minorHAnsi"/>
          <w:color w:val="000000"/>
        </w:rPr>
        <w:t>mRNA)</w:t>
      </w:r>
      <w:r w:rsidR="009E340F">
        <w:rPr>
          <w:rFonts w:eastAsiaTheme="minorHAnsi"/>
          <w:color w:val="000000"/>
        </w:rPr>
        <w:t>)</w:t>
      </w:r>
      <w:r w:rsidR="00726D95">
        <w:rPr>
          <w:rFonts w:eastAsiaTheme="minorHAnsi"/>
          <w:color w:val="000000"/>
        </w:rPr>
        <w:t xml:space="preserve"> </w:t>
      </w:r>
      <w:r w:rsidR="00726D95" w:rsidRPr="001D16CD">
        <w:rPr>
          <w:rFonts w:eastAsiaTheme="minorHAnsi"/>
          <w:color w:val="000000"/>
        </w:rPr>
        <w:t xml:space="preserve">COVID-19 </w:t>
      </w:r>
      <w:r>
        <w:rPr>
          <w:rFonts w:eastAsiaTheme="minorHAnsi"/>
          <w:color w:val="000000"/>
        </w:rPr>
        <w:t>v</w:t>
      </w:r>
      <w:r w:rsidR="00726D95" w:rsidRPr="001D16CD">
        <w:rPr>
          <w:rFonts w:eastAsiaTheme="minorHAnsi"/>
          <w:color w:val="000000"/>
        </w:rPr>
        <w:t xml:space="preserve">accine </w:t>
      </w:r>
      <w:r w:rsidR="00726D95">
        <w:rPr>
          <w:rFonts w:eastAsiaTheme="minorHAnsi"/>
          <w:color w:val="000000"/>
        </w:rPr>
        <w:t xml:space="preserve">has been </w:t>
      </w:r>
      <w:r w:rsidR="00726D95" w:rsidRPr="001D16CD">
        <w:t xml:space="preserve">provisionally approved by TGA on 25 January 2021 for </w:t>
      </w:r>
      <w:r w:rsidR="00726D95" w:rsidRPr="001D16CD">
        <w:rPr>
          <w:rFonts w:eastAsiaTheme="minorHAnsi" w:cs="TimesNewRomanPSMT"/>
        </w:rPr>
        <w:t>a</w:t>
      </w:r>
      <w:r w:rsidR="00726D95" w:rsidRPr="001D16CD">
        <w:t>ctive immunisation to prevent COVID-19 disease in individuals 16 years of age and older</w:t>
      </w:r>
      <w:r w:rsidR="00726D95">
        <w:t xml:space="preserve"> </w:t>
      </w:r>
      <w:proofErr w:type="gramStart"/>
      <w:r w:rsidR="00726D95">
        <w:t>on the basis of</w:t>
      </w:r>
      <w:proofErr w:type="gramEnd"/>
      <w:r w:rsidR="00726D95">
        <w:t xml:space="preserve"> short term efficacy and safety data</w:t>
      </w:r>
      <w:r w:rsidR="00726D95" w:rsidRPr="001D16CD">
        <w:t xml:space="preserve">. The sponsor </w:t>
      </w:r>
      <w:r w:rsidR="00726D95">
        <w:t xml:space="preserve">has </w:t>
      </w:r>
      <w:r w:rsidR="00726D95" w:rsidRPr="001D16CD">
        <w:t xml:space="preserve">now submitted the data to support the </w:t>
      </w:r>
      <w:r w:rsidR="00726D95">
        <w:t xml:space="preserve">indication </w:t>
      </w:r>
      <w:r w:rsidR="00726D95" w:rsidRPr="001D16CD">
        <w:t xml:space="preserve">extension to include adolescents group 12 to 15 years of age. The </w:t>
      </w:r>
      <w:r w:rsidR="00726D95">
        <w:t>submitted data</w:t>
      </w:r>
      <w:r w:rsidR="00726D95" w:rsidRPr="001D16CD">
        <w:t xml:space="preserve"> include immunogenicity, efficacy and safety analysis for adolescents 12 to 15 years old from S</w:t>
      </w:r>
      <w:r w:rsidR="00726D95">
        <w:t xml:space="preserve">tudy C4591001 in blinded follow </w:t>
      </w:r>
      <w:r w:rsidR="00726D95" w:rsidRPr="001D16CD">
        <w:t xml:space="preserve">up to a data </w:t>
      </w:r>
      <w:proofErr w:type="spellStart"/>
      <w:r w:rsidR="00726D95" w:rsidRPr="001D16CD">
        <w:t>cutoff</w:t>
      </w:r>
      <w:proofErr w:type="spellEnd"/>
      <w:r w:rsidR="00726D95" w:rsidRPr="001D16CD">
        <w:t xml:space="preserve"> date of 13 March 2021.</w:t>
      </w:r>
    </w:p>
    <w:p w14:paraId="3B26F8DD" w14:textId="0837458D" w:rsidR="00726D95" w:rsidRDefault="00726D95" w:rsidP="00AD59B0">
      <w:pPr>
        <w:rPr>
          <w:rFonts w:eastAsiaTheme="minorHAnsi"/>
          <w:b/>
          <w:color w:val="000000"/>
        </w:rPr>
      </w:pPr>
      <w:r w:rsidRPr="00726D95">
        <w:rPr>
          <w:shd w:val="clear" w:color="auto" w:fill="FFFFFF"/>
        </w:rPr>
        <w:t>The</w:t>
      </w:r>
      <w:r w:rsidRPr="00726D95">
        <w:t xml:space="preserve"> </w:t>
      </w:r>
      <w:r w:rsidRPr="00726D95">
        <w:rPr>
          <w:shd w:val="clear" w:color="auto" w:fill="FFFFFF"/>
        </w:rPr>
        <w:t>immunogenicity analysis demonstrated that the immune response to</w:t>
      </w:r>
      <w:r w:rsidR="002B42C9">
        <w:rPr>
          <w:shd w:val="clear" w:color="auto" w:fill="FFFFFF"/>
        </w:rPr>
        <w:t xml:space="preserve"> the</w:t>
      </w:r>
      <w:r w:rsidRPr="00726D95">
        <w:rPr>
          <w:shd w:val="clear" w:color="auto" w:fill="FFFFFF"/>
        </w:rPr>
        <w:t xml:space="preserve"> </w:t>
      </w:r>
      <w:proofErr w:type="spellStart"/>
      <w:r w:rsidR="00A5742A">
        <w:t>Comirnaty</w:t>
      </w:r>
      <w:proofErr w:type="spellEnd"/>
      <w:r w:rsidR="00A5742A" w:rsidRPr="00726D95">
        <w:rPr>
          <w:rFonts w:eastAsiaTheme="minorHAnsi"/>
          <w:color w:val="000000"/>
        </w:rPr>
        <w:t xml:space="preserve"> </w:t>
      </w:r>
      <w:r w:rsidRPr="00726D95">
        <w:rPr>
          <w:rFonts w:eastAsiaTheme="minorHAnsi"/>
          <w:color w:val="000000"/>
        </w:rPr>
        <w:t xml:space="preserve">BNT162b2 </w:t>
      </w:r>
      <w:r w:rsidR="00A5742A">
        <w:rPr>
          <w:rFonts w:eastAsiaTheme="minorHAnsi"/>
          <w:color w:val="000000"/>
        </w:rPr>
        <w:t>(</w:t>
      </w:r>
      <w:r w:rsidRPr="00726D95">
        <w:rPr>
          <w:rFonts w:eastAsiaTheme="minorHAnsi"/>
          <w:color w:val="000000"/>
        </w:rPr>
        <w:t>mRNA</w:t>
      </w:r>
      <w:r w:rsidR="00A5742A">
        <w:rPr>
          <w:rFonts w:eastAsiaTheme="minorHAnsi"/>
          <w:color w:val="000000"/>
        </w:rPr>
        <w:t>)</w:t>
      </w:r>
      <w:r w:rsidRPr="00726D95">
        <w:rPr>
          <w:rFonts w:eastAsiaTheme="minorHAnsi"/>
          <w:color w:val="000000"/>
        </w:rPr>
        <w:t xml:space="preserve"> va</w:t>
      </w:r>
      <w:r>
        <w:rPr>
          <w:rFonts w:eastAsiaTheme="minorHAnsi"/>
          <w:color w:val="000000"/>
        </w:rPr>
        <w:t xml:space="preserve">ccine </w:t>
      </w:r>
      <w:r w:rsidRPr="001D16CD">
        <w:rPr>
          <w:shd w:val="clear" w:color="auto" w:fill="FFFFFF"/>
        </w:rPr>
        <w:t xml:space="preserve">in adolescents 12 to 15 years of age </w:t>
      </w:r>
      <w:r>
        <w:rPr>
          <w:shd w:val="clear" w:color="auto" w:fill="FFFFFF"/>
        </w:rPr>
        <w:t>was non-inferior</w:t>
      </w:r>
      <w:r w:rsidRPr="001D16CD">
        <w:rPr>
          <w:shd w:val="clear" w:color="auto" w:fill="FFFFFF"/>
        </w:rPr>
        <w:t xml:space="preserve"> to young adults </w:t>
      </w:r>
      <w:r w:rsidR="002B42C9">
        <w:rPr>
          <w:shd w:val="clear" w:color="auto" w:fill="FFFFFF"/>
        </w:rPr>
        <w:t xml:space="preserve">between </w:t>
      </w:r>
      <w:r w:rsidRPr="001D16CD">
        <w:rPr>
          <w:shd w:val="clear" w:color="auto" w:fill="FFFFFF"/>
        </w:rPr>
        <w:t xml:space="preserve">16 to 25 </w:t>
      </w:r>
      <w:r>
        <w:rPr>
          <w:shd w:val="clear" w:color="auto" w:fill="FFFFFF"/>
        </w:rPr>
        <w:t>year of age. At one</w:t>
      </w:r>
      <w:r w:rsidR="002B42C9">
        <w:rPr>
          <w:shd w:val="clear" w:color="auto" w:fill="FFFFFF"/>
        </w:rPr>
        <w:noBreakHyphen/>
      </w:r>
      <w:r>
        <w:rPr>
          <w:shd w:val="clear" w:color="auto" w:fill="FFFFFF"/>
        </w:rPr>
        <w:t xml:space="preserve">month </w:t>
      </w:r>
      <w:r w:rsidR="002B42C9">
        <w:rPr>
          <w:shd w:val="clear" w:color="auto" w:fill="FFFFFF"/>
        </w:rPr>
        <w:t>following the second dose</w:t>
      </w:r>
      <w:r w:rsidRPr="001D16CD">
        <w:rPr>
          <w:shd w:val="clear" w:color="auto" w:fill="FFFFFF"/>
        </w:rPr>
        <w:t xml:space="preserve">, the estimated GMT ratio in adolescents relative to young adults was 1.76 (95% CI: 1.47 to 2.10), </w:t>
      </w:r>
      <w:r>
        <w:rPr>
          <w:rFonts w:eastAsiaTheme="minorHAnsi"/>
          <w:color w:val="000000"/>
        </w:rPr>
        <w:t>meeting the</w:t>
      </w:r>
      <w:r w:rsidRPr="001D16CD">
        <w:rPr>
          <w:rFonts w:eastAsiaTheme="minorHAnsi"/>
          <w:color w:val="000000"/>
        </w:rPr>
        <w:t xml:space="preserve"> </w:t>
      </w:r>
      <w:r w:rsidRPr="001D16CD">
        <w:rPr>
          <w:shd w:val="clear" w:color="auto" w:fill="FFFFFF"/>
        </w:rPr>
        <w:t>non-inferior</w:t>
      </w:r>
      <w:r>
        <w:rPr>
          <w:rFonts w:eastAsiaTheme="minorHAnsi"/>
          <w:color w:val="000000"/>
        </w:rPr>
        <w:t xml:space="preserve"> criterion</w:t>
      </w:r>
      <w:r w:rsidRPr="001D16CD">
        <w:rPr>
          <w:rFonts w:eastAsiaTheme="minorHAnsi"/>
          <w:color w:val="000000"/>
        </w:rPr>
        <w:t xml:space="preserve">. </w:t>
      </w:r>
      <w:r w:rsidRPr="00692AD2">
        <w:rPr>
          <w:lang w:val="en-GB"/>
        </w:rPr>
        <w:t>It is acknowledge</w:t>
      </w:r>
      <w:r w:rsidR="002B42C9">
        <w:rPr>
          <w:lang w:val="en-GB"/>
        </w:rPr>
        <w:t>d</w:t>
      </w:r>
      <w:r w:rsidRPr="00692AD2">
        <w:rPr>
          <w:lang w:val="en-GB"/>
        </w:rPr>
        <w:t xml:space="preserve"> that </w:t>
      </w:r>
      <w:r>
        <w:rPr>
          <w:lang w:val="en-GB"/>
        </w:rPr>
        <w:t>neutrali</w:t>
      </w:r>
      <w:r w:rsidR="00333E93">
        <w:rPr>
          <w:lang w:val="en-GB"/>
        </w:rPr>
        <w:t>s</w:t>
      </w:r>
      <w:r>
        <w:rPr>
          <w:lang w:val="en-GB"/>
        </w:rPr>
        <w:t xml:space="preserve">ing antibody responses were chosen here as an immune biomarker for inferring effectiveness through </w:t>
      </w:r>
      <w:proofErr w:type="spellStart"/>
      <w:r>
        <w:rPr>
          <w:lang w:val="en-GB"/>
        </w:rPr>
        <w:t>immunobridging</w:t>
      </w:r>
      <w:proofErr w:type="spellEnd"/>
      <w:r>
        <w:rPr>
          <w:lang w:val="en-GB"/>
        </w:rPr>
        <w:t xml:space="preserve">, but </w:t>
      </w:r>
      <w:r w:rsidR="00AD59B0">
        <w:rPr>
          <w:lang w:val="en-GB"/>
        </w:rPr>
        <w:t>a specific level of neutralis</w:t>
      </w:r>
      <w:r w:rsidRPr="00692AD2">
        <w:rPr>
          <w:lang w:val="en-GB"/>
        </w:rPr>
        <w:t xml:space="preserve">ing antibodies has not yet been established to correlate with protection, and other aspects of the immune response, </w:t>
      </w:r>
      <w:r w:rsidRPr="00692AD2">
        <w:rPr>
          <w:bCs/>
          <w:lang w:val="en-GB"/>
        </w:rPr>
        <w:t>such as cellular immunity, were not analysed</w:t>
      </w:r>
      <w:r w:rsidRPr="00692AD2">
        <w:rPr>
          <w:lang w:val="en-GB"/>
        </w:rPr>
        <w:t xml:space="preserve">. Although no data </w:t>
      </w:r>
      <w:proofErr w:type="gramStart"/>
      <w:r w:rsidRPr="00692AD2">
        <w:rPr>
          <w:lang w:val="en-GB"/>
        </w:rPr>
        <w:t>were presented</w:t>
      </w:r>
      <w:proofErr w:type="gramEnd"/>
      <w:r w:rsidRPr="00692AD2">
        <w:rPr>
          <w:lang w:val="en-GB"/>
        </w:rPr>
        <w:t xml:space="preserve"> on cellular immunity, this is not considered critical in the presence of </w:t>
      </w:r>
      <w:r>
        <w:rPr>
          <w:lang w:val="en-GB"/>
        </w:rPr>
        <w:t xml:space="preserve">available </w:t>
      </w:r>
      <w:r w:rsidRPr="00692AD2">
        <w:rPr>
          <w:lang w:val="en-GB"/>
        </w:rPr>
        <w:t xml:space="preserve">descriptive </w:t>
      </w:r>
      <w:r w:rsidR="00AD59B0">
        <w:rPr>
          <w:lang w:val="en-GB"/>
        </w:rPr>
        <w:t>efficacy data.</w:t>
      </w:r>
    </w:p>
    <w:p w14:paraId="498384C3" w14:textId="070A5FEB" w:rsidR="00AD59B0" w:rsidRPr="00AD59B0" w:rsidRDefault="00AD59B0" w:rsidP="00AD59B0">
      <w:pPr>
        <w:rPr>
          <w:rFonts w:eastAsiaTheme="minorHAnsi"/>
          <w:b/>
          <w:color w:val="000000"/>
        </w:rPr>
      </w:pPr>
      <w:r w:rsidRPr="00AD59B0">
        <w:rPr>
          <w:rFonts w:eastAsiaTheme="minorHAnsi"/>
          <w:color w:val="000000"/>
        </w:rPr>
        <w:t>It</w:t>
      </w:r>
      <w:r w:rsidR="00726D95" w:rsidRPr="00AD59B0">
        <w:t xml:space="preserve"> i</w:t>
      </w:r>
      <w:r w:rsidR="00726D95">
        <w:t>s noted that vaccine efficac</w:t>
      </w:r>
      <w:r w:rsidR="00990255">
        <w:t>y for adolescents was not a pre-</w:t>
      </w:r>
      <w:r w:rsidR="00726D95">
        <w:t xml:space="preserve">specified endpoint and the data </w:t>
      </w:r>
      <w:proofErr w:type="spellStart"/>
      <w:r w:rsidR="00726D95">
        <w:t>cutoff</w:t>
      </w:r>
      <w:proofErr w:type="spellEnd"/>
      <w:r w:rsidR="00726D95">
        <w:t xml:space="preserve"> date (</w:t>
      </w:r>
      <w:r w:rsidR="00726D95" w:rsidRPr="001D16CD">
        <w:t>13 March 2021</w:t>
      </w:r>
      <w:r w:rsidR="00726D95">
        <w:t xml:space="preserve">) was based on the immunogenicity and safety assessment, not based on the number of </w:t>
      </w:r>
      <w:r>
        <w:t>COVID-</w:t>
      </w:r>
      <w:r w:rsidR="00726D95">
        <w:t xml:space="preserve">19 cases accrued for the adolescent group. The efficacy analysis </w:t>
      </w:r>
      <w:proofErr w:type="gramStart"/>
      <w:r w:rsidR="00726D95">
        <w:t>is therefore considered</w:t>
      </w:r>
      <w:proofErr w:type="gramEnd"/>
      <w:r w:rsidR="00726D95">
        <w:t xml:space="preserve"> as descriptive, not as hypothesis testing. The efficacy endpoints for adolescents are consistent with the endpoints assessed for adult population. The adolescent population </w:t>
      </w:r>
      <w:proofErr w:type="gramStart"/>
      <w:r w:rsidR="00726D95">
        <w:t>is considered</w:t>
      </w:r>
      <w:proofErr w:type="gramEnd"/>
      <w:r w:rsidR="00726D95">
        <w:t xml:space="preserve"> a subgroup rather than a separate study population. The results showed that i</w:t>
      </w:r>
      <w:r w:rsidR="00726D95" w:rsidRPr="005307C3">
        <w:t xml:space="preserve">n adolescents without evidence of prior infection with SARS-CoV-2, the estimate of </w:t>
      </w:r>
      <w:r>
        <w:t>VE</w:t>
      </w:r>
      <w:r w:rsidR="00726D95" w:rsidRPr="005307C3">
        <w:t xml:space="preserve"> against the first occurrence of confi</w:t>
      </w:r>
      <w:r>
        <w:t>rmed SARS-CoV-2 infection from seven</w:t>
      </w:r>
      <w:r w:rsidR="00726D95" w:rsidRPr="005307C3">
        <w:t xml:space="preserve"> days </w:t>
      </w:r>
      <w:r w:rsidR="00D60CDB">
        <w:t>following the second dose</w:t>
      </w:r>
      <w:r w:rsidR="00726D95" w:rsidRPr="005307C3">
        <w:t xml:space="preserve"> was 100% (95% CI: 75.3 to 100.0%). There were </w:t>
      </w:r>
      <w:r w:rsidR="00726D95">
        <w:rPr>
          <w:shd w:val="clear" w:color="auto" w:fill="FFFFFF"/>
        </w:rPr>
        <w:t>no cases of COVID-19</w:t>
      </w:r>
      <w:r w:rsidR="00726D95" w:rsidRPr="005307C3">
        <w:rPr>
          <w:shd w:val="clear" w:color="auto" w:fill="FFFFFF"/>
        </w:rPr>
        <w:t xml:space="preserve"> among 1,005 vaccine recipients and </w:t>
      </w:r>
      <w:r w:rsidR="00726D95">
        <w:rPr>
          <w:shd w:val="clear" w:color="auto" w:fill="FFFFFF"/>
        </w:rPr>
        <w:t xml:space="preserve">there were 16 cases of COVID-19 </w:t>
      </w:r>
      <w:r w:rsidR="00726D95" w:rsidRPr="005307C3">
        <w:rPr>
          <w:shd w:val="clear" w:color="auto" w:fill="FFFFFF"/>
        </w:rPr>
        <w:t xml:space="preserve">among 978 placebo recipients. </w:t>
      </w:r>
      <w:r w:rsidR="00726D95" w:rsidRPr="005307C3">
        <w:t>The estimate of vaccine efficacy in all participants 12 to 15 years of age (including those with evidence of prior SARS</w:t>
      </w:r>
      <w:r w:rsidR="00A5742A">
        <w:noBreakHyphen/>
      </w:r>
      <w:r w:rsidR="00726D95" w:rsidRPr="005307C3">
        <w:t>CoV</w:t>
      </w:r>
      <w:r w:rsidR="00A5742A">
        <w:noBreakHyphen/>
      </w:r>
      <w:r w:rsidR="00726D95" w:rsidRPr="005307C3">
        <w:t>2 infection) was also 100% (95% CI: 78.1 to 100.0%). No cases meeting the severe COVID</w:t>
      </w:r>
      <w:r w:rsidR="002B42C9">
        <w:noBreakHyphen/>
      </w:r>
      <w:r w:rsidR="00726D95" w:rsidRPr="005307C3">
        <w:t xml:space="preserve">19 case definition </w:t>
      </w:r>
      <w:proofErr w:type="gramStart"/>
      <w:r w:rsidR="00726D95" w:rsidRPr="005307C3">
        <w:t>were reported</w:t>
      </w:r>
      <w:proofErr w:type="gramEnd"/>
      <w:r w:rsidR="00726D95" w:rsidRPr="005307C3">
        <w:t xml:space="preserve"> in any participant 12 to 15 yea</w:t>
      </w:r>
      <w:r>
        <w:t xml:space="preserve">rs of age as of </w:t>
      </w:r>
      <w:r w:rsidR="002B42C9">
        <w:t>13 </w:t>
      </w:r>
      <w:r>
        <w:t>March</w:t>
      </w:r>
      <w:r w:rsidR="002B42C9">
        <w:t> </w:t>
      </w:r>
      <w:r>
        <w:t>2021.</w:t>
      </w:r>
    </w:p>
    <w:p w14:paraId="42E57440" w14:textId="202C8F46" w:rsidR="00726D95" w:rsidRPr="004728AD" w:rsidRDefault="00AD59B0" w:rsidP="00AD59B0">
      <w:pPr>
        <w:rPr>
          <w:rFonts w:asciiTheme="minorHAnsi" w:eastAsiaTheme="minorHAnsi" w:hAnsiTheme="minorHAnsi"/>
          <w:b/>
        </w:rPr>
      </w:pPr>
      <w:r w:rsidRPr="00AD59B0">
        <w:t>In term of safety</w:t>
      </w:r>
      <w:r>
        <w:t xml:space="preserve"> data</w:t>
      </w:r>
      <w:r w:rsidRPr="00AD59B0">
        <w:t>,</w:t>
      </w:r>
      <w:r>
        <w:rPr>
          <w:rFonts w:asciiTheme="minorHAnsi" w:eastAsiaTheme="minorHAnsi" w:hAnsiTheme="minorHAnsi"/>
          <w:b/>
          <w:color w:val="000000"/>
        </w:rPr>
        <w:t xml:space="preserve"> </w:t>
      </w:r>
      <w:proofErr w:type="gramStart"/>
      <w:r w:rsidR="00726D95">
        <w:rPr>
          <w:rFonts w:asciiTheme="minorHAnsi" w:hAnsiTheme="minorHAnsi"/>
        </w:rPr>
        <w:t>a total of 2260</w:t>
      </w:r>
      <w:proofErr w:type="gramEnd"/>
      <w:r w:rsidR="00726D95">
        <w:rPr>
          <w:rFonts w:asciiTheme="minorHAnsi" w:hAnsiTheme="minorHAnsi"/>
        </w:rPr>
        <w:t xml:space="preserve"> adolescents (1131 in the vaccine group and 1129 in the placebo group) have been included in the safety population</w:t>
      </w:r>
      <w:r w:rsidRPr="00AD59B0">
        <w:rPr>
          <w:rFonts w:asciiTheme="minorHAnsi" w:hAnsiTheme="minorHAnsi"/>
        </w:rPr>
        <w:t xml:space="preserve"> </w:t>
      </w:r>
      <w:r>
        <w:rPr>
          <w:rFonts w:asciiTheme="minorHAnsi" w:hAnsiTheme="minorHAnsi"/>
        </w:rPr>
        <w:t>up to the cut-off date</w:t>
      </w:r>
      <w:r w:rsidR="00726D95">
        <w:rPr>
          <w:rFonts w:asciiTheme="minorHAnsi" w:hAnsiTheme="minorHAnsi"/>
        </w:rPr>
        <w:t xml:space="preserve">. Around </w:t>
      </w:r>
      <w:r w:rsidR="00726D95" w:rsidRPr="004728AD">
        <w:rPr>
          <w:rFonts w:asciiTheme="minorHAnsi" w:hAnsiTheme="minorHAnsi"/>
        </w:rPr>
        <w:t xml:space="preserve">98.3% of </w:t>
      </w:r>
      <w:r w:rsidR="00726D95">
        <w:rPr>
          <w:rFonts w:asciiTheme="minorHAnsi" w:hAnsiTheme="minorHAnsi"/>
        </w:rPr>
        <w:t xml:space="preserve">these </w:t>
      </w:r>
      <w:r w:rsidR="00726D95" w:rsidRPr="004728AD">
        <w:rPr>
          <w:rFonts w:asciiTheme="minorHAnsi" w:hAnsiTheme="minorHAnsi"/>
        </w:rPr>
        <w:t>parti</w:t>
      </w:r>
      <w:r>
        <w:rPr>
          <w:rFonts w:asciiTheme="minorHAnsi" w:hAnsiTheme="minorHAnsi"/>
        </w:rPr>
        <w:t xml:space="preserve">cipants had ≥ 1 month of follow </w:t>
      </w:r>
      <w:r w:rsidR="00726D95" w:rsidRPr="004728AD">
        <w:rPr>
          <w:rFonts w:asciiTheme="minorHAnsi" w:hAnsiTheme="minorHAnsi"/>
        </w:rPr>
        <w:t>up while</w:t>
      </w:r>
      <w:r>
        <w:rPr>
          <w:rFonts w:asciiTheme="minorHAnsi" w:hAnsiTheme="minorHAnsi"/>
        </w:rPr>
        <w:t xml:space="preserve"> 57.9% had ≥</w:t>
      </w:r>
      <w:r w:rsidR="00D60CDB">
        <w:rPr>
          <w:rFonts w:asciiTheme="minorHAnsi" w:hAnsiTheme="minorHAnsi"/>
        </w:rPr>
        <w:t> </w:t>
      </w:r>
      <w:r>
        <w:rPr>
          <w:rFonts w:asciiTheme="minorHAnsi" w:hAnsiTheme="minorHAnsi"/>
        </w:rPr>
        <w:t>2</w:t>
      </w:r>
      <w:r w:rsidR="00D60CDB">
        <w:rPr>
          <w:rFonts w:asciiTheme="minorHAnsi" w:hAnsiTheme="minorHAnsi"/>
        </w:rPr>
        <w:t> </w:t>
      </w:r>
      <w:r>
        <w:rPr>
          <w:rFonts w:asciiTheme="minorHAnsi" w:hAnsiTheme="minorHAnsi"/>
        </w:rPr>
        <w:t xml:space="preserve">months of follow </w:t>
      </w:r>
      <w:r w:rsidR="00726D95" w:rsidRPr="004728AD">
        <w:rPr>
          <w:rFonts w:asciiTheme="minorHAnsi" w:hAnsiTheme="minorHAnsi"/>
        </w:rPr>
        <w:t xml:space="preserve">up after the </w:t>
      </w:r>
      <w:r>
        <w:rPr>
          <w:rFonts w:asciiTheme="minorHAnsi" w:hAnsiTheme="minorHAnsi"/>
        </w:rPr>
        <w:t>D</w:t>
      </w:r>
      <w:r w:rsidR="00726D95" w:rsidRPr="004728AD">
        <w:rPr>
          <w:rFonts w:asciiTheme="minorHAnsi" w:hAnsiTheme="minorHAnsi"/>
        </w:rPr>
        <w:t>ose</w:t>
      </w:r>
      <w:r>
        <w:rPr>
          <w:rFonts w:asciiTheme="minorHAnsi" w:hAnsiTheme="minorHAnsi"/>
        </w:rPr>
        <w:t xml:space="preserve"> 2</w:t>
      </w:r>
      <w:r w:rsidR="00726D95" w:rsidRPr="004728AD">
        <w:rPr>
          <w:rFonts w:asciiTheme="minorHAnsi" w:hAnsiTheme="minorHAnsi"/>
        </w:rPr>
        <w:t xml:space="preserve">. Within this follow up period, the vaccine </w:t>
      </w:r>
      <w:proofErr w:type="gramStart"/>
      <w:r w:rsidR="00726D95" w:rsidRPr="004728AD">
        <w:rPr>
          <w:rFonts w:asciiTheme="minorHAnsi" w:hAnsiTheme="minorHAnsi"/>
        </w:rPr>
        <w:t>was well tolerated</w:t>
      </w:r>
      <w:proofErr w:type="gramEnd"/>
      <w:r w:rsidR="00726D95" w:rsidRPr="004728AD">
        <w:rPr>
          <w:rFonts w:asciiTheme="minorHAnsi" w:hAnsiTheme="minorHAnsi"/>
        </w:rPr>
        <w:t>. Local reactions were mostly mild to moderate. Systemic events were predominantly fatigue, headaches, chills, muscle pain, fever, and joint pain and occ</w:t>
      </w:r>
      <w:r>
        <w:rPr>
          <w:rFonts w:asciiTheme="minorHAnsi" w:hAnsiTheme="minorHAnsi"/>
        </w:rPr>
        <w:t>urred more frequently after the</w:t>
      </w:r>
      <w:r w:rsidR="00726D95">
        <w:rPr>
          <w:rFonts w:asciiTheme="minorHAnsi" w:hAnsiTheme="minorHAnsi"/>
        </w:rPr>
        <w:t xml:space="preserve"> </w:t>
      </w:r>
      <w:r w:rsidR="00D60CDB">
        <w:rPr>
          <w:rFonts w:asciiTheme="minorHAnsi" w:hAnsiTheme="minorHAnsi"/>
        </w:rPr>
        <w:t>second dose</w:t>
      </w:r>
      <w:r w:rsidR="00726D95" w:rsidRPr="004728AD">
        <w:rPr>
          <w:rFonts w:asciiTheme="minorHAnsi" w:hAnsiTheme="minorHAnsi"/>
        </w:rPr>
        <w:t xml:space="preserve">. In comparison to </w:t>
      </w:r>
      <w:r w:rsidR="00726D95">
        <w:rPr>
          <w:rFonts w:asciiTheme="minorHAnsi" w:hAnsiTheme="minorHAnsi"/>
        </w:rPr>
        <w:t>adult subjects,</w:t>
      </w:r>
      <w:r w:rsidR="00726D95" w:rsidRPr="004728AD">
        <w:rPr>
          <w:rFonts w:asciiTheme="minorHAnsi" w:hAnsiTheme="minorHAnsi"/>
        </w:rPr>
        <w:t xml:space="preserve"> the adolescent group demonstrated increased frequency of headache, chills, and fever. </w:t>
      </w:r>
      <w:r w:rsidR="00726D95">
        <w:rPr>
          <w:rFonts w:asciiTheme="minorHAnsi" w:hAnsiTheme="minorHAnsi"/>
        </w:rPr>
        <w:t xml:space="preserve">Fever </w:t>
      </w:r>
      <w:proofErr w:type="gramStart"/>
      <w:r w:rsidR="00726D95">
        <w:rPr>
          <w:rFonts w:asciiTheme="minorHAnsi" w:hAnsiTheme="minorHAnsi"/>
        </w:rPr>
        <w:t>was reported</w:t>
      </w:r>
      <w:proofErr w:type="gramEnd"/>
      <w:r w:rsidR="00726D95">
        <w:rPr>
          <w:rFonts w:asciiTheme="minorHAnsi" w:hAnsiTheme="minorHAnsi"/>
        </w:rPr>
        <w:t xml:space="preserve"> in about 10% of adolescent participants after the first dose and in about 20% after the second dose, this is higher than that reported for young adults and adults. </w:t>
      </w:r>
      <w:r w:rsidR="00726D95" w:rsidRPr="004728AD">
        <w:rPr>
          <w:rFonts w:asciiTheme="minorHAnsi" w:hAnsiTheme="minorHAnsi"/>
        </w:rPr>
        <w:t>Up to 64.5% of adolescent</w:t>
      </w:r>
      <w:r w:rsidR="00726D95">
        <w:rPr>
          <w:rFonts w:asciiTheme="minorHAnsi" w:hAnsiTheme="minorHAnsi"/>
        </w:rPr>
        <w:t xml:space="preserve">s reported </w:t>
      </w:r>
      <w:r w:rsidR="00726D95" w:rsidRPr="004728AD">
        <w:rPr>
          <w:rFonts w:asciiTheme="minorHAnsi" w:hAnsiTheme="minorHAnsi"/>
        </w:rPr>
        <w:t xml:space="preserve">headaches, up to 41.5% had chills, and up </w:t>
      </w:r>
      <w:r>
        <w:rPr>
          <w:rFonts w:asciiTheme="minorHAnsi" w:hAnsiTheme="minorHAnsi"/>
        </w:rPr>
        <w:t xml:space="preserve">to 19.6% had fever. Vaccination </w:t>
      </w:r>
      <w:r w:rsidR="00726D95" w:rsidRPr="004728AD">
        <w:rPr>
          <w:rFonts w:asciiTheme="minorHAnsi" w:hAnsiTheme="minorHAnsi"/>
        </w:rPr>
        <w:t>related lymphadenopathy in adolescents occurred in 0.6% of vaccine recipients, and no serious adverse events related to the vacci</w:t>
      </w:r>
      <w:r>
        <w:rPr>
          <w:rFonts w:asciiTheme="minorHAnsi" w:hAnsiTheme="minorHAnsi"/>
        </w:rPr>
        <w:t xml:space="preserve">ne and no deaths </w:t>
      </w:r>
      <w:proofErr w:type="gramStart"/>
      <w:r>
        <w:rPr>
          <w:rFonts w:asciiTheme="minorHAnsi" w:hAnsiTheme="minorHAnsi"/>
        </w:rPr>
        <w:t>were reported</w:t>
      </w:r>
      <w:proofErr w:type="gramEnd"/>
      <w:r>
        <w:rPr>
          <w:rFonts w:asciiTheme="minorHAnsi" w:hAnsiTheme="minorHAnsi"/>
        </w:rPr>
        <w:t>.</w:t>
      </w:r>
    </w:p>
    <w:p w14:paraId="77A98F77" w14:textId="21B4BFC3" w:rsidR="00726D95" w:rsidRPr="004728AD" w:rsidRDefault="00726D95" w:rsidP="00AD59B0">
      <w:r w:rsidRPr="004728AD">
        <w:t xml:space="preserve">The reactogenicity profile </w:t>
      </w:r>
      <w:r>
        <w:t xml:space="preserve">in adolescents in the trial </w:t>
      </w:r>
      <w:proofErr w:type="gramStart"/>
      <w:r w:rsidRPr="004728AD">
        <w:t>is considered</w:t>
      </w:r>
      <w:proofErr w:type="gramEnd"/>
      <w:r w:rsidRPr="004728AD">
        <w:t xml:space="preserve"> acceptable. The frequency of reported AEs and SAEs in adolescents were low. The sample size is</w:t>
      </w:r>
      <w:r>
        <w:t xml:space="preserve"> relatively small</w:t>
      </w:r>
      <w:r w:rsidRPr="004728AD">
        <w:t xml:space="preserve"> and is not sufficient for the detection of rare adverse reactions.</w:t>
      </w:r>
      <w:r>
        <w:t xml:space="preserve"> The safety database for adults in the real world setting is now quite extensive, which provide some reassurance for the use of this vaccine in the </w:t>
      </w:r>
      <w:r w:rsidR="00AD59B0">
        <w:t>adolescent population.</w:t>
      </w:r>
    </w:p>
    <w:p w14:paraId="3EF1CEBA" w14:textId="215BD643" w:rsidR="00726D95" w:rsidRPr="00E87534" w:rsidRDefault="00AD59B0" w:rsidP="00726D95">
      <w:pPr>
        <w:rPr>
          <w:rFonts w:asciiTheme="minorHAnsi" w:hAnsiTheme="minorHAnsi"/>
          <w:b/>
          <w:color w:val="333333"/>
          <w:shd w:val="clear" w:color="auto" w:fill="FFFFFF"/>
        </w:rPr>
      </w:pPr>
      <w:r w:rsidRPr="00990255">
        <w:t>The Delegate noted that t</w:t>
      </w:r>
      <w:r w:rsidR="00726D95" w:rsidRPr="00990255">
        <w:t>he submitted data</w:t>
      </w:r>
      <w:r w:rsidR="00726D95">
        <w:t xml:space="preserve"> have the following limitations:</w:t>
      </w:r>
    </w:p>
    <w:p w14:paraId="5D949135" w14:textId="3BF00BFE" w:rsidR="00726D95" w:rsidRDefault="00726D95" w:rsidP="00AD59B0">
      <w:pPr>
        <w:pStyle w:val="ListBullet"/>
      </w:pPr>
      <w:r>
        <w:t xml:space="preserve">The long-term efficacy and safety </w:t>
      </w:r>
      <w:proofErr w:type="gramStart"/>
      <w:r w:rsidR="00AD59B0">
        <w:t>is not known</w:t>
      </w:r>
      <w:proofErr w:type="gramEnd"/>
      <w:r w:rsidR="00AD59B0">
        <w:t>.</w:t>
      </w:r>
    </w:p>
    <w:p w14:paraId="27937DB7" w14:textId="2672CC12" w:rsidR="00726D95" w:rsidRPr="00990255" w:rsidRDefault="00726D95" w:rsidP="00AD59B0">
      <w:pPr>
        <w:pStyle w:val="ListBullet"/>
        <w:rPr>
          <w:rFonts w:asciiTheme="minorHAnsi" w:hAnsiTheme="minorHAnsi"/>
        </w:rPr>
      </w:pPr>
      <w:r w:rsidRPr="00990255">
        <w:t xml:space="preserve">The </w:t>
      </w:r>
      <w:r w:rsidR="00AD59B0" w:rsidRPr="00990255">
        <w:t>VE</w:t>
      </w:r>
      <w:r w:rsidRPr="00990255">
        <w:t xml:space="preserve"> against asymptomatic infection</w:t>
      </w:r>
      <w:r w:rsidRPr="00990255">
        <w:rPr>
          <w:rFonts w:asciiTheme="minorHAnsi" w:hAnsiTheme="minorHAnsi"/>
        </w:rPr>
        <w:t xml:space="preserve"> and viral transmission </w:t>
      </w:r>
      <w:proofErr w:type="gramStart"/>
      <w:r w:rsidR="00AD59B0" w:rsidRPr="00990255">
        <w:rPr>
          <w:rFonts w:asciiTheme="minorHAnsi" w:hAnsiTheme="minorHAnsi"/>
        </w:rPr>
        <w:t>is not known</w:t>
      </w:r>
      <w:proofErr w:type="gramEnd"/>
      <w:r w:rsidR="00AD59B0" w:rsidRPr="00990255">
        <w:rPr>
          <w:rFonts w:asciiTheme="minorHAnsi" w:hAnsiTheme="minorHAnsi"/>
        </w:rPr>
        <w:t>.</w:t>
      </w:r>
    </w:p>
    <w:p w14:paraId="604A98B1" w14:textId="7F46B22B" w:rsidR="00726D95" w:rsidRPr="00990255" w:rsidRDefault="00726D95" w:rsidP="00AD59B0">
      <w:pPr>
        <w:pStyle w:val="ListBullet"/>
      </w:pPr>
      <w:r w:rsidRPr="00990255">
        <w:rPr>
          <w:rFonts w:asciiTheme="minorHAnsi" w:hAnsiTheme="minorHAnsi"/>
        </w:rPr>
        <w:t xml:space="preserve">The number of </w:t>
      </w:r>
      <w:r w:rsidRPr="00990255">
        <w:rPr>
          <w:rFonts w:asciiTheme="minorHAnsi" w:hAnsiTheme="minorHAnsi" w:cs="Arial"/>
        </w:rPr>
        <w:t>adolescents in the study not sufficient to detect vary rare adverse events</w:t>
      </w:r>
      <w:r w:rsidR="00AD59B0" w:rsidRPr="00990255">
        <w:rPr>
          <w:rFonts w:asciiTheme="minorHAnsi" w:hAnsiTheme="minorHAnsi"/>
        </w:rPr>
        <w:t>.</w:t>
      </w:r>
    </w:p>
    <w:p w14:paraId="28D09585" w14:textId="56041572" w:rsidR="00726D95" w:rsidRDefault="00990255" w:rsidP="00AD59B0">
      <w:pPr>
        <w:pStyle w:val="ListBullet"/>
      </w:pPr>
      <w:r>
        <w:t>No data available on the co-</w:t>
      </w:r>
      <w:r w:rsidR="00726D95">
        <w:t>administration with quadrivalent seasonal influenza vaccine</w:t>
      </w:r>
      <w:r w:rsidR="00AD59B0">
        <w:t>.</w:t>
      </w:r>
    </w:p>
    <w:p w14:paraId="6504D346" w14:textId="0CC482F0" w:rsidR="00726D95" w:rsidRDefault="00726D95" w:rsidP="00AD59B0">
      <w:pPr>
        <w:pStyle w:val="ListBullet"/>
      </w:pPr>
      <w:r>
        <w:t xml:space="preserve">Adolescents with immunodeficient status/high health risks </w:t>
      </w:r>
      <w:proofErr w:type="gramStart"/>
      <w:r>
        <w:t>are not specifically assessed</w:t>
      </w:r>
      <w:proofErr w:type="gramEnd"/>
      <w:r w:rsidR="00AD59B0">
        <w:t>.</w:t>
      </w:r>
    </w:p>
    <w:p w14:paraId="052A1AF8" w14:textId="7C188570" w:rsidR="00726D95" w:rsidRDefault="00726D95" w:rsidP="00AD59B0">
      <w:pPr>
        <w:pStyle w:val="ListBullet"/>
      </w:pPr>
      <w:r>
        <w:t xml:space="preserve">The </w:t>
      </w:r>
      <w:r w:rsidR="00AD59B0">
        <w:t>VE</w:t>
      </w:r>
      <w:r>
        <w:t xml:space="preserve"> against variants of concern </w:t>
      </w:r>
      <w:proofErr w:type="gramStart"/>
      <w:r>
        <w:t>has not been assessed</w:t>
      </w:r>
      <w:proofErr w:type="gramEnd"/>
      <w:r>
        <w:t>.</w:t>
      </w:r>
    </w:p>
    <w:p w14:paraId="3B595D35" w14:textId="56FBA61E" w:rsidR="00726D95" w:rsidRPr="002270A2" w:rsidRDefault="00726D95" w:rsidP="00726D95">
      <w:pPr>
        <w:rPr>
          <w:lang w:val="de-CH"/>
        </w:rPr>
      </w:pPr>
      <w:r>
        <w:t xml:space="preserve">These limitations are the same as these identified for individual </w:t>
      </w:r>
      <w:r w:rsidRPr="00200242">
        <w:rPr>
          <w:lang w:val="de-CH"/>
        </w:rPr>
        <w:t>16 years a</w:t>
      </w:r>
      <w:r>
        <w:rPr>
          <w:lang w:val="de-CH"/>
        </w:rPr>
        <w:t xml:space="preserve">nd above with the </w:t>
      </w:r>
      <w:r>
        <w:t>previous submission</w:t>
      </w:r>
      <w:r w:rsidRPr="00200242">
        <w:rPr>
          <w:lang w:val="de-CH"/>
        </w:rPr>
        <w:t xml:space="preserve">. </w:t>
      </w:r>
      <w:r w:rsidRPr="00E818BF">
        <w:rPr>
          <w:rFonts w:asciiTheme="minorHAnsi" w:hAnsiTheme="minorHAnsi"/>
        </w:rPr>
        <w:t>The submit</w:t>
      </w:r>
      <w:r w:rsidRPr="00D12811">
        <w:rPr>
          <w:rFonts w:asciiTheme="minorHAnsi" w:hAnsiTheme="minorHAnsi"/>
        </w:rPr>
        <w:t xml:space="preserve">ted </w:t>
      </w:r>
      <w:r>
        <w:rPr>
          <w:rFonts w:asciiTheme="minorHAnsi" w:hAnsiTheme="minorHAnsi"/>
        </w:rPr>
        <w:t xml:space="preserve">efficacy and </w:t>
      </w:r>
      <w:r w:rsidRPr="00D12811">
        <w:rPr>
          <w:rFonts w:asciiTheme="minorHAnsi" w:hAnsiTheme="minorHAnsi"/>
        </w:rPr>
        <w:t xml:space="preserve">safety data </w:t>
      </w:r>
      <w:r>
        <w:rPr>
          <w:rFonts w:asciiTheme="minorHAnsi" w:hAnsiTheme="minorHAnsi"/>
        </w:rPr>
        <w:t xml:space="preserve">is short term at this stage, but the data </w:t>
      </w:r>
      <w:r w:rsidRPr="00D12811">
        <w:rPr>
          <w:rFonts w:asciiTheme="minorHAnsi" w:hAnsiTheme="minorHAnsi"/>
        </w:rPr>
        <w:t>have</w:t>
      </w:r>
      <w:r w:rsidRPr="00E818BF">
        <w:rPr>
          <w:rFonts w:asciiTheme="minorHAnsi" w:hAnsiTheme="minorHAnsi"/>
        </w:rPr>
        <w:t xml:space="preserve"> fulfilled the requirement as set out in the</w:t>
      </w:r>
      <w:r w:rsidRPr="00E818BF">
        <w:rPr>
          <w:rFonts w:asciiTheme="minorHAnsi" w:hAnsiTheme="minorHAnsi"/>
          <w:b/>
          <w:bCs/>
        </w:rPr>
        <w:t xml:space="preserve"> </w:t>
      </w:r>
      <w:r w:rsidRPr="00E818BF">
        <w:rPr>
          <w:rFonts w:asciiTheme="minorHAnsi" w:hAnsiTheme="minorHAnsi"/>
          <w:bCs/>
        </w:rPr>
        <w:t>Access Consortium statemen</w:t>
      </w:r>
      <w:r w:rsidR="00AD59B0">
        <w:rPr>
          <w:rFonts w:asciiTheme="minorHAnsi" w:hAnsiTheme="minorHAnsi"/>
          <w:bCs/>
        </w:rPr>
        <w:t>t on COVID-19 vaccines evidence</w:t>
      </w:r>
      <w:r w:rsidRPr="00E818BF">
        <w:rPr>
          <w:rFonts w:asciiTheme="minorHAnsi" w:hAnsiTheme="minorHAnsi"/>
        </w:rPr>
        <w:t>.</w:t>
      </w:r>
      <w:r w:rsidR="00AD59B0" w:rsidRPr="00AD59B0">
        <w:rPr>
          <w:rFonts w:asciiTheme="minorHAnsi" w:hAnsiTheme="minorHAnsi"/>
          <w:vertAlign w:val="superscript"/>
        </w:rPr>
        <w:fldChar w:fldCharType="begin"/>
      </w:r>
      <w:r w:rsidR="00AD59B0" w:rsidRPr="00AD59B0">
        <w:rPr>
          <w:rFonts w:asciiTheme="minorHAnsi" w:hAnsiTheme="minorHAnsi"/>
          <w:vertAlign w:val="superscript"/>
        </w:rPr>
        <w:instrText xml:space="preserve"> NOTEREF _Ref74648387 \h </w:instrText>
      </w:r>
      <w:r w:rsidR="00AD59B0">
        <w:rPr>
          <w:rFonts w:asciiTheme="minorHAnsi" w:hAnsiTheme="minorHAnsi"/>
          <w:vertAlign w:val="superscript"/>
        </w:rPr>
        <w:instrText xml:space="preserve"> \* MERGEFORMAT </w:instrText>
      </w:r>
      <w:r w:rsidR="00AD59B0" w:rsidRPr="00AD59B0">
        <w:rPr>
          <w:rFonts w:asciiTheme="minorHAnsi" w:hAnsiTheme="minorHAnsi"/>
          <w:vertAlign w:val="superscript"/>
        </w:rPr>
      </w:r>
      <w:r w:rsidR="00AD59B0" w:rsidRPr="00AD59B0">
        <w:rPr>
          <w:rFonts w:asciiTheme="minorHAnsi" w:hAnsiTheme="minorHAnsi"/>
          <w:vertAlign w:val="superscript"/>
        </w:rPr>
        <w:fldChar w:fldCharType="separate"/>
      </w:r>
      <w:r w:rsidR="00B15022">
        <w:rPr>
          <w:rFonts w:asciiTheme="minorHAnsi" w:hAnsiTheme="minorHAnsi"/>
          <w:vertAlign w:val="superscript"/>
        </w:rPr>
        <w:t>10</w:t>
      </w:r>
      <w:r w:rsidR="00AD59B0" w:rsidRPr="00AD59B0">
        <w:rPr>
          <w:rFonts w:asciiTheme="minorHAnsi" w:hAnsiTheme="minorHAnsi"/>
          <w:vertAlign w:val="superscript"/>
        </w:rPr>
        <w:fldChar w:fldCharType="end"/>
      </w:r>
      <w:r w:rsidRPr="00E818BF">
        <w:rPr>
          <w:rFonts w:asciiTheme="minorHAnsi" w:hAnsiTheme="minorHAnsi"/>
        </w:rPr>
        <w:t xml:space="preserve"> The statement specified the minimum requirement that trial participants </w:t>
      </w:r>
      <w:proofErr w:type="gramStart"/>
      <w:r w:rsidRPr="00E818BF">
        <w:rPr>
          <w:rFonts w:asciiTheme="minorHAnsi" w:hAnsiTheme="minorHAnsi"/>
        </w:rPr>
        <w:t>must be fol</w:t>
      </w:r>
      <w:r w:rsidR="00AD59B0">
        <w:rPr>
          <w:rFonts w:asciiTheme="minorHAnsi" w:hAnsiTheme="minorHAnsi"/>
        </w:rPr>
        <w:t>lowed</w:t>
      </w:r>
      <w:proofErr w:type="gramEnd"/>
      <w:r w:rsidR="00AD59B0">
        <w:rPr>
          <w:rFonts w:asciiTheme="minorHAnsi" w:hAnsiTheme="minorHAnsi"/>
        </w:rPr>
        <w:t xml:space="preserve"> for a median of at least two</w:t>
      </w:r>
      <w:r w:rsidRPr="00E818BF">
        <w:rPr>
          <w:rFonts w:asciiTheme="minorHAnsi" w:hAnsiTheme="minorHAnsi"/>
        </w:rPr>
        <w:t xml:space="preserve"> months after receiving their final vaccine dose.</w:t>
      </w:r>
      <w:r w:rsidR="00AD59B0">
        <w:rPr>
          <w:rFonts w:asciiTheme="minorHAnsi" w:hAnsiTheme="minorHAnsi"/>
        </w:rPr>
        <w:fldChar w:fldCharType="begin"/>
      </w:r>
      <w:r w:rsidR="00AD59B0">
        <w:rPr>
          <w:rFonts w:asciiTheme="minorHAnsi" w:hAnsiTheme="minorHAnsi"/>
        </w:rPr>
        <w:instrText xml:space="preserve"> NOTEREF _Ref74648387 \f \h </w:instrText>
      </w:r>
      <w:r w:rsidR="00AD59B0">
        <w:rPr>
          <w:rFonts w:asciiTheme="minorHAnsi" w:hAnsiTheme="minorHAnsi"/>
        </w:rPr>
      </w:r>
      <w:r w:rsidR="00AD59B0">
        <w:rPr>
          <w:rFonts w:asciiTheme="minorHAnsi" w:hAnsiTheme="minorHAnsi"/>
        </w:rPr>
        <w:fldChar w:fldCharType="separate"/>
      </w:r>
      <w:r w:rsidR="00B15022" w:rsidRPr="00B15022">
        <w:rPr>
          <w:rStyle w:val="FootnoteReference"/>
        </w:rPr>
        <w:t>10</w:t>
      </w:r>
      <w:r w:rsidR="00AD59B0">
        <w:rPr>
          <w:rFonts w:asciiTheme="minorHAnsi" w:hAnsiTheme="minorHAnsi"/>
        </w:rPr>
        <w:fldChar w:fldCharType="end"/>
      </w:r>
      <w:r>
        <w:t xml:space="preserve"> The </w:t>
      </w:r>
      <w:proofErr w:type="spellStart"/>
      <w:r>
        <w:t>EMA</w:t>
      </w:r>
      <w:proofErr w:type="spellEnd"/>
      <w:r>
        <w:t xml:space="preserve"> has stated that conditional marketing authorisation for a COVID-19 vaccine </w:t>
      </w:r>
      <w:proofErr w:type="gramStart"/>
      <w:r>
        <w:t xml:space="preserve">could </w:t>
      </w:r>
      <w:r w:rsidR="00990255">
        <w:t>be based</w:t>
      </w:r>
      <w:proofErr w:type="gramEnd"/>
      <w:r w:rsidR="00990255">
        <w:t xml:space="preserve"> on review of at least six</w:t>
      </w:r>
      <w:r>
        <w:t xml:space="preserve"> week</w:t>
      </w:r>
      <w:r w:rsidR="00AD59B0">
        <w:t>s post</w:t>
      </w:r>
      <w:r w:rsidR="00990255">
        <w:t xml:space="preserve"> </w:t>
      </w:r>
      <w:r w:rsidR="00AD59B0">
        <w:t>vaccination safety data</w:t>
      </w:r>
      <w:r>
        <w:t>.</w:t>
      </w:r>
      <w:r w:rsidR="00AD59B0">
        <w:fldChar w:fldCharType="begin"/>
      </w:r>
      <w:r w:rsidR="00AD59B0">
        <w:instrText xml:space="preserve"> NOTEREF _Ref74648461 \f \h </w:instrText>
      </w:r>
      <w:r w:rsidR="00AD59B0">
        <w:fldChar w:fldCharType="separate"/>
      </w:r>
      <w:r w:rsidR="00B15022" w:rsidRPr="00B15022">
        <w:rPr>
          <w:rStyle w:val="FootnoteReference"/>
        </w:rPr>
        <w:t>14</w:t>
      </w:r>
      <w:r w:rsidR="00AD59B0">
        <w:fldChar w:fldCharType="end"/>
      </w:r>
    </w:p>
    <w:p w14:paraId="6E598E2C" w14:textId="05E4E4B5" w:rsidR="00726D95" w:rsidRPr="008D779B" w:rsidRDefault="00726D95" w:rsidP="00726D95">
      <w:r>
        <w:t xml:space="preserve">The benefit of this vaccine in adolescent population </w:t>
      </w:r>
      <w:proofErr w:type="gramStart"/>
      <w:r>
        <w:t>has been shown</w:t>
      </w:r>
      <w:proofErr w:type="gramEnd"/>
      <w:r>
        <w:t xml:space="preserve"> with the trial results of demonstrating the prote</w:t>
      </w:r>
      <w:r w:rsidR="00D21688">
        <w:t>ction against symptomatic COVID-</w:t>
      </w:r>
      <w:r>
        <w:t xml:space="preserve">19 and the higher neutralising antibody levels. The safety profile in this age group </w:t>
      </w:r>
      <w:proofErr w:type="gramStart"/>
      <w:r>
        <w:t>is considered</w:t>
      </w:r>
      <w:proofErr w:type="gramEnd"/>
      <w:r>
        <w:t xml:space="preserve"> acceptable. The limitations regarding the </w:t>
      </w:r>
      <w:proofErr w:type="gramStart"/>
      <w:r>
        <w:t>short term</w:t>
      </w:r>
      <w:proofErr w:type="gramEnd"/>
      <w:r>
        <w:t xml:space="preserve"> data can be addressed by planned post</w:t>
      </w:r>
      <w:r w:rsidR="00D21688">
        <w:t xml:space="preserve"> </w:t>
      </w:r>
      <w:r>
        <w:t xml:space="preserve">market studies. The sponsor </w:t>
      </w:r>
      <w:proofErr w:type="gramStart"/>
      <w:r>
        <w:t>is requested</w:t>
      </w:r>
      <w:proofErr w:type="gramEnd"/>
      <w:r>
        <w:t xml:space="preserve"> to </w:t>
      </w:r>
      <w:r>
        <w:rPr>
          <w:rFonts w:asciiTheme="minorHAnsi" w:eastAsiaTheme="minorHAnsi" w:hAnsiTheme="minorHAnsi" w:cs="TimesNewRoman"/>
          <w:color w:val="000000"/>
        </w:rPr>
        <w:t xml:space="preserve">specify whether adolescent subjects will </w:t>
      </w:r>
      <w:r w:rsidR="00D21688">
        <w:rPr>
          <w:rFonts w:asciiTheme="minorHAnsi" w:eastAsiaTheme="minorHAnsi" w:hAnsiTheme="minorHAnsi" w:cs="TimesNewRoman"/>
          <w:color w:val="000000"/>
        </w:rPr>
        <w:t xml:space="preserve">be included in some of the post </w:t>
      </w:r>
      <w:r>
        <w:rPr>
          <w:rFonts w:asciiTheme="minorHAnsi" w:eastAsiaTheme="minorHAnsi" w:hAnsiTheme="minorHAnsi" w:cs="TimesNewRoman"/>
          <w:color w:val="000000"/>
        </w:rPr>
        <w:t xml:space="preserve">market studies. </w:t>
      </w:r>
      <w:r w:rsidR="00D21688">
        <w:rPr>
          <w:lang w:val="en-GB"/>
        </w:rPr>
        <w:t>Provision of six</w:t>
      </w:r>
      <w:r w:rsidRPr="0075463C">
        <w:rPr>
          <w:lang w:val="en-GB"/>
        </w:rPr>
        <w:t xml:space="preserve"> month</w:t>
      </w:r>
      <w:r>
        <w:rPr>
          <w:lang w:val="en-GB"/>
        </w:rPr>
        <w:t xml:space="preserve">s post </w:t>
      </w:r>
      <w:r w:rsidR="00D60CDB">
        <w:rPr>
          <w:lang w:val="en-GB"/>
        </w:rPr>
        <w:t>the second dose</w:t>
      </w:r>
      <w:r>
        <w:rPr>
          <w:lang w:val="en-GB"/>
        </w:rPr>
        <w:t xml:space="preserve"> safety </w:t>
      </w:r>
      <w:r w:rsidRPr="0075463C">
        <w:rPr>
          <w:lang w:val="en-GB"/>
        </w:rPr>
        <w:t>data in subjects 12</w:t>
      </w:r>
      <w:r w:rsidR="00D21688">
        <w:rPr>
          <w:lang w:val="en-GB"/>
        </w:rPr>
        <w:t xml:space="preserve"> to </w:t>
      </w:r>
      <w:r w:rsidRPr="0075463C">
        <w:rPr>
          <w:lang w:val="en-GB"/>
        </w:rPr>
        <w:t xml:space="preserve">15 years </w:t>
      </w:r>
      <w:proofErr w:type="gramStart"/>
      <w:r>
        <w:rPr>
          <w:lang w:val="en-GB"/>
        </w:rPr>
        <w:t xml:space="preserve">are </w:t>
      </w:r>
      <w:r w:rsidRPr="0075463C">
        <w:rPr>
          <w:lang w:val="en-GB"/>
        </w:rPr>
        <w:t>listed</w:t>
      </w:r>
      <w:proofErr w:type="gramEnd"/>
      <w:r w:rsidRPr="0075463C">
        <w:rPr>
          <w:lang w:val="en-GB"/>
        </w:rPr>
        <w:t xml:space="preserve"> as </w:t>
      </w:r>
      <w:r>
        <w:rPr>
          <w:lang w:val="en-GB"/>
        </w:rPr>
        <w:t xml:space="preserve">one of </w:t>
      </w:r>
      <w:r w:rsidRPr="0075463C">
        <w:rPr>
          <w:lang w:val="en-GB"/>
        </w:rPr>
        <w:t xml:space="preserve">the </w:t>
      </w:r>
      <w:r>
        <w:rPr>
          <w:lang w:val="en-GB"/>
        </w:rPr>
        <w:t xml:space="preserve">clinical </w:t>
      </w:r>
      <w:r w:rsidRPr="0075463C">
        <w:rPr>
          <w:lang w:val="en-GB"/>
        </w:rPr>
        <w:t>condition</w:t>
      </w:r>
      <w:r>
        <w:rPr>
          <w:lang w:val="en-GB"/>
        </w:rPr>
        <w:t>s</w:t>
      </w:r>
      <w:r w:rsidRPr="0075463C">
        <w:rPr>
          <w:lang w:val="en-GB"/>
        </w:rPr>
        <w:t xml:space="preserve"> of the provisional registration. </w:t>
      </w:r>
      <w:r>
        <w:t xml:space="preserve">Further safety data </w:t>
      </w:r>
      <w:proofErr w:type="gramStart"/>
      <w:r>
        <w:t>are being collect</w:t>
      </w:r>
      <w:r w:rsidR="00D21688">
        <w:t>ed</w:t>
      </w:r>
      <w:proofErr w:type="gramEnd"/>
      <w:r w:rsidR="00D21688">
        <w:t xml:space="preserve"> in Study C4591001 for up to two</w:t>
      </w:r>
      <w:r>
        <w:t xml:space="preserve"> years for all age groups. Real world use data and active surveillance will also provide long-term data in the vaccine recipients.</w:t>
      </w:r>
    </w:p>
    <w:p w14:paraId="7CB0189B" w14:textId="2FACE88D" w:rsidR="00726D95" w:rsidRDefault="00D21688" w:rsidP="00726D95">
      <w:pPr>
        <w:rPr>
          <w:lang w:val="en-GB"/>
        </w:rPr>
      </w:pPr>
      <w:r>
        <w:rPr>
          <w:lang w:val="en-GB"/>
        </w:rPr>
        <w:t>The D</w:t>
      </w:r>
      <w:r w:rsidR="00726D95">
        <w:rPr>
          <w:lang w:val="en-GB"/>
        </w:rPr>
        <w:t>elegate has noted the r</w:t>
      </w:r>
      <w:r>
        <w:rPr>
          <w:lang w:val="en-GB"/>
        </w:rPr>
        <w:t>ecent international discussions</w:t>
      </w:r>
      <w:r w:rsidR="00726D95">
        <w:rPr>
          <w:lang w:val="en-GB"/>
        </w:rPr>
        <w:t xml:space="preserve"> on post market reports of rare cases of myocarditis and pericarditis following </w:t>
      </w:r>
      <w:r>
        <w:rPr>
          <w:lang w:val="en-GB"/>
        </w:rPr>
        <w:t xml:space="preserve">vaccination with </w:t>
      </w:r>
      <w:r w:rsidR="00D60CDB">
        <w:rPr>
          <w:lang w:val="en-GB"/>
        </w:rPr>
        <w:t xml:space="preserve">the sponsor’s </w:t>
      </w:r>
      <w:r>
        <w:rPr>
          <w:lang w:val="en-GB"/>
        </w:rPr>
        <w:t>COVID-</w:t>
      </w:r>
      <w:r w:rsidR="00726D95">
        <w:rPr>
          <w:lang w:val="en-GB"/>
        </w:rPr>
        <w:t>19 vaccine in young people. The Vaccines and Related Biological Products Advisory Committee meeting on 10 June 2021 presented the safety data from the Vaccine Adverse</w:t>
      </w:r>
      <w:r w:rsidR="00990255">
        <w:rPr>
          <w:lang w:val="en-GB"/>
        </w:rPr>
        <w:t xml:space="preserve"> Events Reporting System</w:t>
      </w:r>
      <w:r w:rsidR="00726D95">
        <w:rPr>
          <w:lang w:val="en-GB"/>
        </w:rPr>
        <w:t>. The p</w:t>
      </w:r>
      <w:r w:rsidR="00726D95" w:rsidRPr="00AF03BE">
        <w:rPr>
          <w:lang w:val="en-GB"/>
        </w:rPr>
        <w:t>reliminary findings suggest</w:t>
      </w:r>
      <w:r w:rsidR="00726D95" w:rsidRPr="00B02F57">
        <w:rPr>
          <w:lang w:val="en-GB"/>
        </w:rPr>
        <w:t xml:space="preserve"> </w:t>
      </w:r>
      <w:r w:rsidR="00726D95">
        <w:rPr>
          <w:lang w:val="en-GB"/>
        </w:rPr>
        <w:t xml:space="preserve">there have been a higher than expected number of cases reported, especially </w:t>
      </w:r>
      <w:r w:rsidR="00726D95" w:rsidRPr="00AF03BE">
        <w:rPr>
          <w:lang w:val="en-GB"/>
        </w:rPr>
        <w:t xml:space="preserve">after </w:t>
      </w:r>
      <w:r>
        <w:rPr>
          <w:lang w:val="en-GB"/>
        </w:rPr>
        <w:t xml:space="preserve">the </w:t>
      </w:r>
      <w:r w:rsidR="00D60CDB">
        <w:rPr>
          <w:lang w:val="en-GB"/>
        </w:rPr>
        <w:t>second dose</w:t>
      </w:r>
      <w:r w:rsidR="00726D95">
        <w:rPr>
          <w:lang w:val="en-GB"/>
        </w:rPr>
        <w:t xml:space="preserve"> of mRNA vaccines, in individuals 16</w:t>
      </w:r>
      <w:r>
        <w:rPr>
          <w:lang w:val="en-GB"/>
        </w:rPr>
        <w:t xml:space="preserve"> to </w:t>
      </w:r>
      <w:r w:rsidR="00726D95">
        <w:rPr>
          <w:lang w:val="en-GB"/>
        </w:rPr>
        <w:t xml:space="preserve">24 years of age. The Advisory Committee on Immunisation </w:t>
      </w:r>
      <w:r w:rsidR="00990255">
        <w:rPr>
          <w:lang w:val="en-GB"/>
        </w:rPr>
        <w:t>(</w:t>
      </w:r>
      <w:r>
        <w:rPr>
          <w:lang w:val="en-GB"/>
        </w:rPr>
        <w:t>US CDC</w:t>
      </w:r>
      <w:r w:rsidR="00990255">
        <w:rPr>
          <w:lang w:val="en-GB"/>
        </w:rPr>
        <w:t>)</w:t>
      </w:r>
      <w:r>
        <w:rPr>
          <w:lang w:val="en-GB"/>
        </w:rPr>
        <w:t xml:space="preserve"> </w:t>
      </w:r>
      <w:r w:rsidR="00726D95">
        <w:rPr>
          <w:lang w:val="en-GB"/>
        </w:rPr>
        <w:t xml:space="preserve">meeting </w:t>
      </w:r>
      <w:proofErr w:type="gramStart"/>
      <w:r w:rsidR="00726D95">
        <w:rPr>
          <w:lang w:val="en-GB"/>
        </w:rPr>
        <w:t>is scheduled</w:t>
      </w:r>
      <w:proofErr w:type="gramEnd"/>
      <w:r w:rsidR="00726D95">
        <w:rPr>
          <w:lang w:val="en-GB"/>
        </w:rPr>
        <w:t xml:space="preserve"> for 18 June with further update on the analysis of myocarditis following mRNA COVID vaccination and benefit-risk assessment.</w:t>
      </w:r>
    </w:p>
    <w:p w14:paraId="45ADEA90" w14:textId="76955B7C" w:rsidR="00726D95" w:rsidRPr="00456765" w:rsidRDefault="00726D95" w:rsidP="00726D95">
      <w:r>
        <w:rPr>
          <w:rFonts w:asciiTheme="minorHAnsi" w:eastAsia="Times New Roman" w:hAnsiTheme="minorHAnsi" w:cs="Segoe UI"/>
          <w:color w:val="000000"/>
          <w:lang w:eastAsia="en-AU"/>
        </w:rPr>
        <w:t xml:space="preserve">TGA’s </w:t>
      </w:r>
      <w:proofErr w:type="gramStart"/>
      <w:r>
        <w:rPr>
          <w:rFonts w:asciiTheme="minorHAnsi" w:eastAsia="Times New Roman" w:hAnsiTheme="minorHAnsi" w:cs="Segoe UI"/>
          <w:color w:val="000000"/>
          <w:lang w:eastAsia="en-AU"/>
        </w:rPr>
        <w:t>post</w:t>
      </w:r>
      <w:r w:rsidR="00D21688">
        <w:rPr>
          <w:rFonts w:asciiTheme="minorHAnsi" w:eastAsia="Times New Roman" w:hAnsiTheme="minorHAnsi" w:cs="Segoe UI"/>
          <w:color w:val="000000"/>
          <w:lang w:eastAsia="en-AU"/>
        </w:rPr>
        <w:t xml:space="preserve"> </w:t>
      </w:r>
      <w:r>
        <w:rPr>
          <w:rFonts w:asciiTheme="minorHAnsi" w:eastAsia="Times New Roman" w:hAnsiTheme="minorHAnsi" w:cs="Segoe UI"/>
          <w:color w:val="000000"/>
          <w:lang w:eastAsia="en-AU"/>
        </w:rPr>
        <w:t>market evaluation team</w:t>
      </w:r>
      <w:proofErr w:type="gramEnd"/>
      <w:r>
        <w:rPr>
          <w:rFonts w:asciiTheme="minorHAnsi" w:eastAsia="Times New Roman" w:hAnsiTheme="minorHAnsi" w:cs="Segoe UI"/>
          <w:color w:val="000000"/>
          <w:lang w:eastAsia="en-AU"/>
        </w:rPr>
        <w:t xml:space="preserve"> </w:t>
      </w:r>
      <w:r w:rsidR="00D21688">
        <w:t>has plans</w:t>
      </w:r>
      <w:r>
        <w:t xml:space="preserve"> to discuss with the ACV the issue of </w:t>
      </w:r>
      <w:r>
        <w:rPr>
          <w:lang w:val="en-GB"/>
        </w:rPr>
        <w:t xml:space="preserve">myocarditis and pericarditis reports following vaccination </w:t>
      </w:r>
      <w:r w:rsidR="00990255">
        <w:rPr>
          <w:lang w:val="en-GB"/>
        </w:rPr>
        <w:t>with sponsor</w:t>
      </w:r>
      <w:r w:rsidR="00D21688">
        <w:rPr>
          <w:lang w:val="en-GB"/>
        </w:rPr>
        <w:t xml:space="preserve">’s </w:t>
      </w:r>
      <w:r w:rsidR="00130E98">
        <w:rPr>
          <w:lang w:val="en-GB"/>
        </w:rPr>
        <w:t>COVID-19</w:t>
      </w:r>
      <w:r w:rsidR="00D21688">
        <w:rPr>
          <w:lang w:val="en-GB"/>
        </w:rPr>
        <w:t xml:space="preserve"> vaccine.</w:t>
      </w:r>
    </w:p>
    <w:p w14:paraId="1CD9C720" w14:textId="77777777" w:rsidR="00D23139" w:rsidRDefault="00D23139" w:rsidP="00D23139">
      <w:pPr>
        <w:pStyle w:val="Heading4"/>
      </w:pPr>
      <w:r w:rsidRPr="00D23139">
        <w:t>Proposed action</w:t>
      </w:r>
    </w:p>
    <w:p w14:paraId="0ACE744E" w14:textId="67DF679C" w:rsidR="00D21688" w:rsidRPr="00D21688" w:rsidRDefault="00D21688" w:rsidP="00D21688">
      <w:r w:rsidRPr="00D21688">
        <w:t>Based on the evaluation of the submitted data and taking into consideration of the current pandem</w:t>
      </w:r>
      <w:r>
        <w:t>ic and public health need, the D</w:t>
      </w:r>
      <w:r w:rsidRPr="00D21688">
        <w:t>elegate is of the view that there is a favourable benefit-risk balance for the use of this vaccine in the adolescent population. The submitted data has satisfied the regulatory requirement for the extension of provisional registration to individual 12 to 15 years of age.</w:t>
      </w:r>
    </w:p>
    <w:p w14:paraId="04E74EB4" w14:textId="6C814BCC" w:rsidR="00D21688" w:rsidRPr="00D21688" w:rsidRDefault="00D21688" w:rsidP="00D21688">
      <w:r w:rsidRPr="00D21688">
        <w:t>Pending the advice from the ACV and further review o</w:t>
      </w:r>
      <w:r>
        <w:t>f the Product Information, the D</w:t>
      </w:r>
      <w:r w:rsidRPr="00D21688">
        <w:t>elegate proposes the provisional approval of this vac</w:t>
      </w:r>
      <w:r>
        <w:t>cine for the indication below:</w:t>
      </w:r>
    </w:p>
    <w:p w14:paraId="38C310A7" w14:textId="5E8887C5" w:rsidR="00D21688" w:rsidRPr="00D21688" w:rsidRDefault="00D21688" w:rsidP="00D21688">
      <w:pPr>
        <w:ind w:left="720"/>
        <w:rPr>
          <w:i/>
        </w:rPr>
      </w:pPr>
      <w:proofErr w:type="spellStart"/>
      <w:r w:rsidRPr="00D21688">
        <w:rPr>
          <w:i/>
        </w:rPr>
        <w:t>C</w:t>
      </w:r>
      <w:r>
        <w:rPr>
          <w:i/>
        </w:rPr>
        <w:t>omirnaty</w:t>
      </w:r>
      <w:proofErr w:type="spellEnd"/>
      <w:r>
        <w:rPr>
          <w:i/>
        </w:rPr>
        <w:t xml:space="preserve"> (</w:t>
      </w:r>
      <w:proofErr w:type="gramStart"/>
      <w:r>
        <w:rPr>
          <w:i/>
        </w:rPr>
        <w:t>BNT162b2(</w:t>
      </w:r>
      <w:proofErr w:type="gramEnd"/>
      <w:r>
        <w:rPr>
          <w:i/>
        </w:rPr>
        <w:t>mRNA)</w:t>
      </w:r>
      <w:r w:rsidRPr="00D21688">
        <w:rPr>
          <w:i/>
        </w:rPr>
        <w:t xml:space="preserve">) COVID-19 Vaccine has provisional approval for the indication below: </w:t>
      </w:r>
    </w:p>
    <w:p w14:paraId="2E62B887" w14:textId="20B570F3" w:rsidR="00D21688" w:rsidRPr="00D21688" w:rsidRDefault="00D21688" w:rsidP="00D21688">
      <w:pPr>
        <w:ind w:left="720"/>
        <w:rPr>
          <w:i/>
        </w:rPr>
      </w:pPr>
      <w:r w:rsidRPr="00D21688">
        <w:rPr>
          <w:i/>
        </w:rPr>
        <w:t>Active immunisation to prevent coronavirus disease 2019 (COVID-19) caused by SARS-CoV-2, in individ</w:t>
      </w:r>
      <w:r>
        <w:rPr>
          <w:i/>
        </w:rPr>
        <w:t>uals 12 years of age and older.</w:t>
      </w:r>
    </w:p>
    <w:p w14:paraId="1C4DCF10" w14:textId="77777777" w:rsidR="00D21688" w:rsidRPr="00D21688" w:rsidRDefault="00D21688" w:rsidP="00D21688">
      <w:pPr>
        <w:ind w:left="720"/>
        <w:rPr>
          <w:i/>
        </w:rPr>
      </w:pPr>
      <w:r w:rsidRPr="00D21688">
        <w:rPr>
          <w:i/>
        </w:rPr>
        <w:t>The use of this vaccine should be in accordance with official recommendations.</w:t>
      </w:r>
    </w:p>
    <w:p w14:paraId="700D5F3E" w14:textId="77777777" w:rsidR="00D21688" w:rsidRPr="00D21688" w:rsidRDefault="00D21688" w:rsidP="00D21688">
      <w:pPr>
        <w:ind w:left="720"/>
      </w:pPr>
      <w:r w:rsidRPr="00D21688">
        <w:rPr>
          <w:i/>
        </w:rPr>
        <w:t xml:space="preserve">The decision has been made </w:t>
      </w:r>
      <w:proofErr w:type="gramStart"/>
      <w:r w:rsidRPr="00D21688">
        <w:rPr>
          <w:i/>
        </w:rPr>
        <w:t>on the basis of</w:t>
      </w:r>
      <w:proofErr w:type="gramEnd"/>
      <w:r w:rsidRPr="00D21688">
        <w:rPr>
          <w:i/>
        </w:rPr>
        <w:t xml:space="preserve"> short term efficacy and safety data. Continued approval depends on the evidence of </w:t>
      </w:r>
      <w:proofErr w:type="gramStart"/>
      <w:r w:rsidRPr="00D21688">
        <w:rPr>
          <w:i/>
        </w:rPr>
        <w:t>longer term</w:t>
      </w:r>
      <w:proofErr w:type="gramEnd"/>
      <w:r w:rsidRPr="00D21688">
        <w:rPr>
          <w:i/>
        </w:rPr>
        <w:t xml:space="preserve"> efficacy and safety from ongoing clinical trials and post-market assessment.</w:t>
      </w:r>
    </w:p>
    <w:p w14:paraId="4D47A1F8" w14:textId="79D6E749" w:rsidR="00D21688" w:rsidRDefault="00D21688" w:rsidP="00D21688">
      <w:pPr>
        <w:rPr>
          <w:b/>
          <w:bCs/>
        </w:rPr>
      </w:pPr>
      <w:r w:rsidRPr="00D21688">
        <w:t xml:space="preserve">The final decision </w:t>
      </w:r>
      <w:proofErr w:type="gramStart"/>
      <w:r w:rsidRPr="00D21688">
        <w:t>will be made</w:t>
      </w:r>
      <w:proofErr w:type="gramEnd"/>
      <w:r w:rsidRPr="00D21688">
        <w:t xml:space="preserve"> following the ACV discussion and the satisfactory negotiation of t</w:t>
      </w:r>
      <w:r w:rsidR="00F46046">
        <w:t>he Product Information and the c</w:t>
      </w:r>
      <w:r w:rsidRPr="00D21688">
        <w:t>onditions of provisional registration.</w:t>
      </w:r>
    </w:p>
    <w:p w14:paraId="5F11CDA7" w14:textId="77777777" w:rsidR="008E7846" w:rsidRDefault="008E7846" w:rsidP="007D53B6">
      <w:pPr>
        <w:pStyle w:val="Heading4"/>
      </w:pPr>
      <w:r>
        <w:t xml:space="preserve">Advisory Committee </w:t>
      </w:r>
      <w:r w:rsidR="007D53B6">
        <w:t>c</w:t>
      </w:r>
      <w:r>
        <w:t>onsiderations</w:t>
      </w:r>
      <w:r w:rsidR="00456765">
        <w:rPr>
          <w:rStyle w:val="FootnoteReference"/>
        </w:rPr>
        <w:footnoteReference w:id="18"/>
      </w:r>
    </w:p>
    <w:p w14:paraId="490B59A8" w14:textId="32E575DE" w:rsidR="00744121" w:rsidRDefault="00744121" w:rsidP="00744121">
      <w:pPr>
        <w:rPr>
          <w:bCs/>
        </w:rPr>
      </w:pPr>
      <w:bookmarkStart w:id="55" w:name="_Toc247691532"/>
      <w:bookmarkStart w:id="56" w:name="_Toc314842516"/>
      <w:bookmarkEnd w:id="31"/>
      <w:bookmarkEnd w:id="53"/>
      <w:bookmarkEnd w:id="54"/>
      <w:r w:rsidRPr="00456765">
        <w:rPr>
          <w:bCs/>
        </w:rPr>
        <w:t xml:space="preserve">The Advisory Committee on </w:t>
      </w:r>
      <w:r w:rsidR="00D21688">
        <w:rPr>
          <w:bCs/>
        </w:rPr>
        <w:t>Vaccines (ACV</w:t>
      </w:r>
      <w:r w:rsidRPr="00456765">
        <w:rPr>
          <w:bCs/>
        </w:rPr>
        <w:t>), having considered the evaluations and the Delegate’s overview, as well as the sponsor’s response to these documents, advised the following</w:t>
      </w:r>
      <w:r>
        <w:rPr>
          <w:bCs/>
        </w:rPr>
        <w:t>.</w:t>
      </w:r>
    </w:p>
    <w:p w14:paraId="537B61A4" w14:textId="77777777" w:rsidR="00744121" w:rsidRDefault="00744121" w:rsidP="00744121">
      <w:pPr>
        <w:pStyle w:val="Heading5"/>
      </w:pPr>
      <w:r>
        <w:t>Specific advice to the Delegate</w:t>
      </w:r>
    </w:p>
    <w:p w14:paraId="64CF964A" w14:textId="7FBB1BCA" w:rsidR="00D21688" w:rsidRPr="00E4333E" w:rsidRDefault="00D21688" w:rsidP="00D21688">
      <w:pPr>
        <w:pStyle w:val="Numberbullet0"/>
        <w:rPr>
          <w:rFonts w:eastAsiaTheme="minorHAnsi"/>
          <w:b/>
          <w:i/>
        </w:rPr>
      </w:pPr>
      <w:r w:rsidRPr="00D21688">
        <w:rPr>
          <w:rFonts w:cstheme="minorHAnsi"/>
          <w:b/>
          <w:i/>
          <w:lang w:eastAsia="en-AU"/>
        </w:rPr>
        <w:t xml:space="preserve">Does </w:t>
      </w:r>
      <w:r w:rsidR="00D60CDB">
        <w:rPr>
          <w:rFonts w:cstheme="minorHAnsi"/>
          <w:b/>
          <w:i/>
          <w:lang w:eastAsia="en-AU"/>
        </w:rPr>
        <w:t xml:space="preserve">the </w:t>
      </w:r>
      <w:r w:rsidRPr="00D21688">
        <w:rPr>
          <w:rFonts w:cstheme="minorHAnsi"/>
          <w:b/>
          <w:i/>
          <w:lang w:eastAsia="en-AU"/>
        </w:rPr>
        <w:t xml:space="preserve">ACV consider that </w:t>
      </w:r>
      <w:r w:rsidRPr="00D21688">
        <w:rPr>
          <w:b/>
          <w:i/>
          <w:lang w:val="en-GB"/>
        </w:rPr>
        <w:t>there is a favourable benefit-risk balance for the use of this vaccine in the adolescent population and</w:t>
      </w:r>
      <w:r w:rsidRPr="00D21688">
        <w:rPr>
          <w:b/>
          <w:i/>
        </w:rPr>
        <w:t xml:space="preserve"> the submitted data has met the regulatory requirement for the extension of provisional registration to individuals 12 to 15 years of age?</w:t>
      </w:r>
    </w:p>
    <w:p w14:paraId="1C78C55B" w14:textId="77777777" w:rsidR="00E4333E" w:rsidRDefault="00E4333E" w:rsidP="00E4333E">
      <w:r>
        <w:t xml:space="preserve">The ACV advised that the benefit of the vaccine </w:t>
      </w:r>
      <w:proofErr w:type="gramStart"/>
      <w:r>
        <w:t>are</w:t>
      </w:r>
      <w:proofErr w:type="gramEnd"/>
      <w:r>
        <w:t>:</w:t>
      </w:r>
    </w:p>
    <w:p w14:paraId="6037EA61" w14:textId="441EF7D2" w:rsidR="00E4333E" w:rsidRDefault="00E4333E" w:rsidP="00E4333E">
      <w:pPr>
        <w:pStyle w:val="ListBullet"/>
      </w:pPr>
      <w:r>
        <w:t xml:space="preserve">immunogenicity that is not inferior (and possibly superior) in the 12 to 15 years </w:t>
      </w:r>
      <w:r w:rsidR="00A5742A">
        <w:t xml:space="preserve">of </w:t>
      </w:r>
      <w:r>
        <w:t>age group compared to older persons</w:t>
      </w:r>
      <w:r w:rsidR="00A5742A">
        <w:t>;</w:t>
      </w:r>
    </w:p>
    <w:p w14:paraId="5C277F87" w14:textId="186F1306" w:rsidR="00E4333E" w:rsidRDefault="00E4333E" w:rsidP="00E4333E">
      <w:pPr>
        <w:pStyle w:val="ListBullet"/>
      </w:pPr>
      <w:r>
        <w:t>although limited, efficacy data are similar to that in young adults</w:t>
      </w:r>
      <w:r w:rsidR="00A5742A">
        <w:t>; and</w:t>
      </w:r>
    </w:p>
    <w:p w14:paraId="72543448" w14:textId="2F87BFFC" w:rsidR="00E4333E" w:rsidRDefault="00E4333E" w:rsidP="00E4333E">
      <w:pPr>
        <w:pStyle w:val="ListBullet"/>
      </w:pPr>
      <w:proofErr w:type="gramStart"/>
      <w:r>
        <w:t>reactogenicity</w:t>
      </w:r>
      <w:proofErr w:type="gramEnd"/>
      <w:r>
        <w:t xml:space="preserve"> is similar to that in young adults.</w:t>
      </w:r>
    </w:p>
    <w:p w14:paraId="2366B0FC" w14:textId="5DAF570F" w:rsidR="00E4333E" w:rsidRDefault="00E4333E" w:rsidP="00E4333E">
      <w:r>
        <w:t>Risks of the vaccine in the 12 to 15 years</w:t>
      </w:r>
      <w:r w:rsidR="00A5742A">
        <w:t xml:space="preserve"> of</w:t>
      </w:r>
      <w:r>
        <w:t xml:space="preserve"> age group include increase risks in myocarditis and/or pericarditis and </w:t>
      </w:r>
      <w:r w:rsidR="00A5742A">
        <w:t>lymphadenopathy</w:t>
      </w:r>
      <w:r>
        <w:t>.</w:t>
      </w:r>
    </w:p>
    <w:p w14:paraId="35A06CB8" w14:textId="6B4445F1" w:rsidR="00E4333E" w:rsidRDefault="00E4333E" w:rsidP="00E4333E">
      <w:r>
        <w:t xml:space="preserve">Even </w:t>
      </w:r>
      <w:proofErr w:type="gramStart"/>
      <w:r>
        <w:t>apparently</w:t>
      </w:r>
      <w:proofErr w:type="gramEnd"/>
      <w:r>
        <w:t xml:space="preserve"> mild episodes of myocarditis may lead to long term sequelae, such as arrhythmias. However, additional data from the US</w:t>
      </w:r>
      <w:r w:rsidR="00A7366B">
        <w:t>A</w:t>
      </w:r>
      <w:r>
        <w:t xml:space="preserve"> suggested that the majority of cases of myocarditis and/or pericarditis after mRNA COVID-19 vaccines (both </w:t>
      </w:r>
      <w:r w:rsidR="00A7366B">
        <w:t xml:space="preserve">the </w:t>
      </w:r>
      <w:r>
        <w:t xml:space="preserve">Pfizer </w:t>
      </w:r>
      <w:r w:rsidR="00A7366B">
        <w:t>[</w:t>
      </w:r>
      <w:proofErr w:type="spellStart"/>
      <w:r w:rsidR="00A7366B">
        <w:t>Comirnaty</w:t>
      </w:r>
      <w:proofErr w:type="spellEnd"/>
      <w:r w:rsidR="00A7366B">
        <w:t xml:space="preserve"> BNT162b2 (mRNA)] </w:t>
      </w:r>
      <w:r>
        <w:t>and Moderna</w:t>
      </w:r>
      <w:r w:rsidR="00A7366B">
        <w:t xml:space="preserve"> [(mRNA) vaccines]</w:t>
      </w:r>
      <w:r>
        <w:t>) analysed to date occurred in older adolescents and young adults (aged 16 to 30 years), with highest risk in younger males within days after dose 2. Most cases were mild and recovered within days with a median duration of hospitalisation of 1 day.</w:t>
      </w:r>
    </w:p>
    <w:p w14:paraId="66779905" w14:textId="7E30FB56" w:rsidR="00E4333E" w:rsidRDefault="00E4333E" w:rsidP="00E4333E">
      <w:r>
        <w:t>Health authorities in the US</w:t>
      </w:r>
      <w:r w:rsidR="00A7366B">
        <w:t>A</w:t>
      </w:r>
      <w:r>
        <w:t xml:space="preserve"> and other settings continue to recommend use of the vaccine in this age group and younger adolescents based on the balance of benefit over risk.</w:t>
      </w:r>
    </w:p>
    <w:p w14:paraId="15364E47" w14:textId="77777777" w:rsidR="00E4333E" w:rsidRDefault="00E4333E" w:rsidP="00E4333E">
      <w:r>
        <w:t xml:space="preserve">Thus, </w:t>
      </w:r>
      <w:proofErr w:type="spellStart"/>
      <w:r>
        <w:t>myocartitis</w:t>
      </w:r>
      <w:proofErr w:type="spellEnd"/>
      <w:r>
        <w:t xml:space="preserve"> / pericarditis is a small but significant risk of an important complication in otherwise healthy children.</w:t>
      </w:r>
    </w:p>
    <w:p w14:paraId="5F65BE20" w14:textId="0D6AE3B1" w:rsidR="00E4333E" w:rsidRDefault="00E4333E" w:rsidP="00E4333E">
      <w:r>
        <w:t>Risks from COVID-19 infection in children include hospitalization (about 5%) and mechanical ventilation (a</w:t>
      </w:r>
      <w:r w:rsidR="002C26AE">
        <w:t>bout 0.25%), as well as MIS-C (m</w:t>
      </w:r>
      <w:r>
        <w:t>ulti-inflammatory syndrome in children, also known as PIMS-TS) and ‘long COVID’.</w:t>
      </w:r>
    </w:p>
    <w:p w14:paraId="5D3BC4A3" w14:textId="77777777" w:rsidR="00E4333E" w:rsidRDefault="00E4333E" w:rsidP="00E4333E">
      <w:r>
        <w:t>Overall, the benefit-risk is favourable for provisional approval of the vaccine. The balance or risk and benefit will depend on the epidemiology of COVID-19 disease.</w:t>
      </w:r>
    </w:p>
    <w:p w14:paraId="482611BD" w14:textId="58F39A73" w:rsidR="00E4333E" w:rsidRPr="00D21688" w:rsidRDefault="00E4333E" w:rsidP="00E4333E">
      <w:r>
        <w:t>The benefit-risk will be higher in adolescents at greater risk of COVID-19 disease due to pre-existing health conditions.</w:t>
      </w:r>
    </w:p>
    <w:p w14:paraId="7B04229B" w14:textId="77777777" w:rsidR="002C26AE" w:rsidRPr="002C26AE" w:rsidRDefault="00D21688" w:rsidP="00D21688">
      <w:pPr>
        <w:pStyle w:val="Numberbullet0"/>
        <w:rPr>
          <w:rFonts w:eastAsiaTheme="minorHAnsi"/>
          <w:b/>
          <w:i/>
        </w:rPr>
      </w:pPr>
      <w:r w:rsidRPr="00FC6FAD">
        <w:rPr>
          <w:b/>
          <w:i/>
        </w:rPr>
        <w:t xml:space="preserve">There are rare cases of myocarditis and pericarditis reported following vaccination with </w:t>
      </w:r>
      <w:proofErr w:type="spellStart"/>
      <w:r w:rsidRPr="00FC6FAD">
        <w:rPr>
          <w:b/>
          <w:i/>
        </w:rPr>
        <w:t>Comirnaty</w:t>
      </w:r>
      <w:proofErr w:type="spellEnd"/>
      <w:r w:rsidRPr="00FC6FAD">
        <w:rPr>
          <w:b/>
          <w:i/>
        </w:rPr>
        <w:t xml:space="preserve"> in young people in the global post-market setting, could </w:t>
      </w:r>
      <w:r w:rsidR="00D60CDB">
        <w:rPr>
          <w:b/>
          <w:i/>
        </w:rPr>
        <w:t xml:space="preserve">the </w:t>
      </w:r>
      <w:r w:rsidRPr="00FC6FAD">
        <w:rPr>
          <w:b/>
          <w:i/>
        </w:rPr>
        <w:t>ACV please advise</w:t>
      </w:r>
      <w:r w:rsidR="002C26AE">
        <w:rPr>
          <w:b/>
          <w:i/>
        </w:rPr>
        <w:t>:</w:t>
      </w:r>
    </w:p>
    <w:p w14:paraId="32588303" w14:textId="4A82E5DF" w:rsidR="002C26AE" w:rsidRPr="002C26AE" w:rsidRDefault="00FC6FAD" w:rsidP="002C26AE">
      <w:pPr>
        <w:pStyle w:val="Numberbullet2"/>
        <w:rPr>
          <w:rFonts w:eastAsiaTheme="minorHAnsi"/>
          <w:b/>
          <w:i/>
        </w:rPr>
      </w:pPr>
      <w:proofErr w:type="gramStart"/>
      <w:r w:rsidRPr="002C26AE">
        <w:rPr>
          <w:b/>
          <w:i/>
          <w:lang w:eastAsia="en-AU"/>
        </w:rPr>
        <w:t>w</w:t>
      </w:r>
      <w:r w:rsidR="00D21688" w:rsidRPr="002C26AE">
        <w:rPr>
          <w:b/>
          <w:i/>
          <w:lang w:eastAsia="en-AU"/>
        </w:rPr>
        <w:t>hether</w:t>
      </w:r>
      <w:proofErr w:type="gramEnd"/>
      <w:r w:rsidR="00D21688" w:rsidRPr="002C26AE">
        <w:rPr>
          <w:b/>
          <w:i/>
          <w:lang w:eastAsia="en-AU"/>
        </w:rPr>
        <w:t xml:space="preserve"> these rare events would change the benefit-risk balance for the use of this vaccine in the adolescent populat</w:t>
      </w:r>
      <w:r w:rsidR="002C26AE">
        <w:rPr>
          <w:b/>
          <w:i/>
          <w:lang w:eastAsia="en-AU"/>
        </w:rPr>
        <w:t>ion?</w:t>
      </w:r>
    </w:p>
    <w:p w14:paraId="63044C81" w14:textId="77777777" w:rsidR="002C26AE" w:rsidRDefault="002C26AE" w:rsidP="002C26AE">
      <w:r>
        <w:t>The ACV advised that incidence, severity and outcome data (the true size of the signal) are still emerging.</w:t>
      </w:r>
    </w:p>
    <w:p w14:paraId="36F7E321" w14:textId="77777777" w:rsidR="002C26AE" w:rsidRDefault="002C26AE" w:rsidP="002C26AE">
      <w:r>
        <w:t>Most cases of myocarditis and pericarditis appeared to be mild and resolve with therapy.</w:t>
      </w:r>
    </w:p>
    <w:p w14:paraId="1AB9666B" w14:textId="2D4256FA" w:rsidR="002C26AE" w:rsidRPr="002C26AE" w:rsidRDefault="002C26AE" w:rsidP="002C26AE">
      <w:r>
        <w:t xml:space="preserve">Information on </w:t>
      </w:r>
      <w:proofErr w:type="gramStart"/>
      <w:r>
        <w:t>longer term</w:t>
      </w:r>
      <w:proofErr w:type="gramEnd"/>
      <w:r>
        <w:t xml:space="preserve"> outcomes or recurrences is not available.</w:t>
      </w:r>
    </w:p>
    <w:p w14:paraId="269B55B8" w14:textId="01551EE6" w:rsidR="00D21688" w:rsidRPr="002C26AE" w:rsidRDefault="00FC6FAD" w:rsidP="002C26AE">
      <w:pPr>
        <w:pStyle w:val="Numberbullet2"/>
        <w:rPr>
          <w:rFonts w:eastAsiaTheme="minorHAnsi"/>
          <w:b/>
          <w:i/>
        </w:rPr>
      </w:pPr>
      <w:r w:rsidRPr="002C26AE">
        <w:rPr>
          <w:b/>
          <w:i/>
        </w:rPr>
        <w:t xml:space="preserve">There are rare cases of myocarditis and pericarditis reported following vaccination with </w:t>
      </w:r>
      <w:proofErr w:type="spellStart"/>
      <w:r w:rsidRPr="002C26AE">
        <w:rPr>
          <w:b/>
          <w:i/>
        </w:rPr>
        <w:t>Comirnaty</w:t>
      </w:r>
      <w:proofErr w:type="spellEnd"/>
      <w:r w:rsidRPr="002C26AE">
        <w:rPr>
          <w:b/>
          <w:i/>
        </w:rPr>
        <w:t xml:space="preserve"> in young people in the global post-market setting, could</w:t>
      </w:r>
      <w:r w:rsidR="00D60CDB" w:rsidRPr="002C26AE">
        <w:rPr>
          <w:b/>
          <w:i/>
        </w:rPr>
        <w:t xml:space="preserve"> the</w:t>
      </w:r>
      <w:r w:rsidRPr="002C26AE">
        <w:rPr>
          <w:b/>
          <w:i/>
        </w:rPr>
        <w:t xml:space="preserve"> ACV please advise w</w:t>
      </w:r>
      <w:r w:rsidR="00D21688" w:rsidRPr="002C26AE">
        <w:rPr>
          <w:b/>
          <w:i/>
          <w:lang w:eastAsia="en-AU"/>
        </w:rPr>
        <w:t xml:space="preserve">hether any regulatory action, such as adding relevant statements in the PI, </w:t>
      </w:r>
      <w:proofErr w:type="gramStart"/>
      <w:r w:rsidR="00D21688" w:rsidRPr="002C26AE">
        <w:rPr>
          <w:b/>
          <w:i/>
          <w:lang w:eastAsia="en-AU"/>
        </w:rPr>
        <w:t>should be taken</w:t>
      </w:r>
      <w:proofErr w:type="gramEnd"/>
      <w:r w:rsidR="00D21688" w:rsidRPr="002C26AE">
        <w:rPr>
          <w:b/>
          <w:i/>
          <w:lang w:eastAsia="en-AU"/>
        </w:rPr>
        <w:t xml:space="preserve"> </w:t>
      </w:r>
      <w:r w:rsidRPr="002C26AE">
        <w:rPr>
          <w:b/>
          <w:i/>
          <w:lang w:eastAsia="en-AU"/>
        </w:rPr>
        <w:t>at this stage?</w:t>
      </w:r>
    </w:p>
    <w:p w14:paraId="28AD71DD" w14:textId="77777777" w:rsidR="002C26AE" w:rsidRDefault="002C26AE" w:rsidP="002C26AE">
      <w:r>
        <w:t>The ACV advised that relevant statements should be included in the PI:</w:t>
      </w:r>
    </w:p>
    <w:p w14:paraId="20F5ED26" w14:textId="2C9BF858" w:rsidR="002C26AE" w:rsidRDefault="002C26AE" w:rsidP="002C26AE">
      <w:pPr>
        <w:pStyle w:val="ListBullet"/>
      </w:pPr>
      <w:r>
        <w:t>Reported events of myocarditis and pericarditis</w:t>
      </w:r>
    </w:p>
    <w:p w14:paraId="159797AF" w14:textId="2CB43AB4" w:rsidR="002C26AE" w:rsidRDefault="002C26AE" w:rsidP="002C26AE">
      <w:pPr>
        <w:pStyle w:val="ListBullet"/>
      </w:pPr>
      <w:r>
        <w:t>Risk appears to be greater in adolescents compared to older adults; in males; after the second dose</w:t>
      </w:r>
    </w:p>
    <w:p w14:paraId="398F0DBC" w14:textId="422CE5BD" w:rsidR="002C26AE" w:rsidRDefault="002C26AE" w:rsidP="002C26AE">
      <w:pPr>
        <w:pStyle w:val="ListBullet"/>
      </w:pPr>
      <w:r>
        <w:t>A high index of suspicion for presentations within a risk time window</w:t>
      </w:r>
      <w:r w:rsidR="00A7366B">
        <w:t xml:space="preserve">, </w:t>
      </w:r>
      <w:r>
        <w:t>within 4 days of either first or second dose, but particularly the second dose</w:t>
      </w:r>
      <w:r w:rsidR="00A7366B">
        <w:t xml:space="preserve">; </w:t>
      </w:r>
      <w:r>
        <w:t>for people presenting with chest pain, dyspnoea, or suggestion of arrhythmia.</w:t>
      </w:r>
    </w:p>
    <w:p w14:paraId="40AF8F54" w14:textId="06592EBA" w:rsidR="002C26AE" w:rsidRDefault="002C26AE" w:rsidP="002C26AE">
      <w:pPr>
        <w:pStyle w:val="ListBullet"/>
      </w:pPr>
      <w:r w:rsidRPr="002C26AE">
        <w:t xml:space="preserve">Precaution for patients with a history of myocarditis or pericarditis, whether due to mRNA vaccine or not. Vaccination of such children </w:t>
      </w:r>
      <w:proofErr w:type="gramStart"/>
      <w:r w:rsidRPr="002C26AE">
        <w:t>should be considered</w:t>
      </w:r>
      <w:proofErr w:type="gramEnd"/>
      <w:r w:rsidRPr="002C26AE">
        <w:t xml:space="preserve"> on a case-by-case basis with specialist input, as required.</w:t>
      </w:r>
    </w:p>
    <w:p w14:paraId="56D6BAFD" w14:textId="77777777" w:rsidR="002C26AE" w:rsidRDefault="002C26AE" w:rsidP="002C26AE">
      <w:r>
        <w:t>Suitable wording could be:</w:t>
      </w:r>
    </w:p>
    <w:p w14:paraId="06D05F0B" w14:textId="77777777" w:rsidR="002C26AE" w:rsidRPr="002C26AE" w:rsidRDefault="002C26AE" w:rsidP="002C26AE">
      <w:pPr>
        <w:ind w:left="720"/>
        <w:rPr>
          <w:i/>
        </w:rPr>
      </w:pPr>
      <w:r w:rsidRPr="002C26AE">
        <w:rPr>
          <w:i/>
        </w:rPr>
        <w:t xml:space="preserve">Rare cases of myocarditis and pericarditis </w:t>
      </w:r>
      <w:proofErr w:type="gramStart"/>
      <w:r w:rsidRPr="002C26AE">
        <w:rPr>
          <w:i/>
        </w:rPr>
        <w:t>have been reported</w:t>
      </w:r>
      <w:proofErr w:type="gramEnd"/>
      <w:r w:rsidRPr="002C26AE">
        <w:rPr>
          <w:i/>
        </w:rPr>
        <w:t xml:space="preserve"> following vaccination with </w:t>
      </w:r>
      <w:proofErr w:type="spellStart"/>
      <w:r w:rsidRPr="002C26AE">
        <w:rPr>
          <w:i/>
        </w:rPr>
        <w:t>Comirnaty</w:t>
      </w:r>
      <w:proofErr w:type="spellEnd"/>
      <w:r w:rsidRPr="002C26AE">
        <w:rPr>
          <w:i/>
        </w:rPr>
        <w:t xml:space="preserve">, although a causal association is not established. Reported cases have occurred predominantly but not exclusively in male adolescents and young adults. Onset was typically within several days after vaccination, and cases have occurred more often after the second dose than the first dose. Current available data from short term follow-up suggest most individuals have had resolution of symptoms, however information regarding potential </w:t>
      </w:r>
      <w:proofErr w:type="gramStart"/>
      <w:r w:rsidRPr="002C26AE">
        <w:rPr>
          <w:i/>
        </w:rPr>
        <w:t>long term</w:t>
      </w:r>
      <w:proofErr w:type="gramEnd"/>
      <w:r w:rsidRPr="002C26AE">
        <w:rPr>
          <w:i/>
        </w:rPr>
        <w:t xml:space="preserve"> sequelae is not known. Clinicians should consider myocarditis and pericarditis in adolescents or young adults presenting with acute chest pain, shortness of breath, or palpitations several days after vaccination, and should consider consultation with cardiologists or referral to an emergency department for assistance with cardiac evaluation and management.</w:t>
      </w:r>
    </w:p>
    <w:p w14:paraId="410E1829" w14:textId="02DAE864" w:rsidR="002C26AE" w:rsidRPr="002C26AE" w:rsidRDefault="002C26AE" w:rsidP="002C26AE">
      <w:r>
        <w:t>Enhanced surveillance should be in place for myocarditis and pericarditis.</w:t>
      </w:r>
    </w:p>
    <w:p w14:paraId="0B6D6CE9" w14:textId="5ABBBF00" w:rsidR="00D21688" w:rsidRDefault="00D21688" w:rsidP="00FC6FAD">
      <w:pPr>
        <w:pStyle w:val="Numberbullet0"/>
        <w:rPr>
          <w:b/>
          <w:i/>
        </w:rPr>
      </w:pPr>
      <w:r w:rsidRPr="00FC6FAD">
        <w:rPr>
          <w:b/>
          <w:i/>
        </w:rPr>
        <w:t xml:space="preserve">The committee </w:t>
      </w:r>
      <w:proofErr w:type="gramStart"/>
      <w:r w:rsidRPr="00FC6FAD">
        <w:rPr>
          <w:b/>
          <w:i/>
        </w:rPr>
        <w:t>is also requested</w:t>
      </w:r>
      <w:proofErr w:type="gramEnd"/>
      <w:r w:rsidRPr="00FC6FAD">
        <w:rPr>
          <w:b/>
          <w:i/>
        </w:rPr>
        <w:t xml:space="preserve"> to provide advice on any other issues that it thinks may be relevant to a decision on whether or not to approve this application.</w:t>
      </w:r>
    </w:p>
    <w:p w14:paraId="0C6CF76D" w14:textId="2031B464" w:rsidR="002C26AE" w:rsidRDefault="002C26AE" w:rsidP="002C26AE">
      <w:r>
        <w:t>The ACV suggested liaison with primary care, emergency and radiology clinical colleges and similar, regarding: recognition of presentation, specialist referral and management; availability of appropriate diagnostic tests (</w:t>
      </w:r>
      <w:r w:rsidR="00A7366B">
        <w:t>for example,</w:t>
      </w:r>
      <w:r>
        <w:t xml:space="preserve"> echocardiogram; cardiac </w:t>
      </w:r>
      <w:r w:rsidR="00A7366B">
        <w:t>magnetic resonance imaging</w:t>
      </w:r>
      <w:r>
        <w:t>, if indicated)</w:t>
      </w:r>
      <w:proofErr w:type="gramStart"/>
      <w:r>
        <w:t>;</w:t>
      </w:r>
      <w:proofErr w:type="gramEnd"/>
      <w:r>
        <w:t xml:space="preserve"> agreed case definitions. This </w:t>
      </w:r>
      <w:proofErr w:type="gramStart"/>
      <w:r>
        <w:t>should be done</w:t>
      </w:r>
      <w:proofErr w:type="gramEnd"/>
      <w:r>
        <w:t xml:space="preserve"> in conjunction with the Australian Technical Advisory Group on Immunisation, which develops clinical guidelines for immunisation use in Australia.</w:t>
      </w:r>
    </w:p>
    <w:p w14:paraId="6F9B42D5" w14:textId="4B5CB829" w:rsidR="002C26AE" w:rsidRPr="00FC6FAD" w:rsidRDefault="002C26AE" w:rsidP="002C26AE">
      <w:r>
        <w:t>The ACV suggested liaison with paediatric cardiologists, including potential role in active surveillance.</w:t>
      </w:r>
    </w:p>
    <w:p w14:paraId="06122B8C" w14:textId="2221F2D4" w:rsidR="00744121" w:rsidRDefault="00744121" w:rsidP="00D21688">
      <w:pPr>
        <w:pStyle w:val="Heading5"/>
      </w:pPr>
      <w:r>
        <w:t>Conclusion</w:t>
      </w:r>
    </w:p>
    <w:p w14:paraId="74902476" w14:textId="77777777" w:rsidR="002C26AE" w:rsidRDefault="002C26AE" w:rsidP="002C26AE">
      <w:proofErr w:type="gramStart"/>
      <w:r>
        <w:t xml:space="preserve">The ACV considered </w:t>
      </w:r>
      <w:proofErr w:type="spellStart"/>
      <w:r>
        <w:t>Comirnaty</w:t>
      </w:r>
      <w:proofErr w:type="spellEnd"/>
      <w:r>
        <w:t xml:space="preserve"> to have an overall positive benefit-risk profile, and therefore supports provisional approval for the following:</w:t>
      </w:r>
      <w:proofErr w:type="gramEnd"/>
    </w:p>
    <w:p w14:paraId="58D3C1F2" w14:textId="484B5D4F" w:rsidR="002C26AE" w:rsidRPr="002C26AE" w:rsidRDefault="002C26AE" w:rsidP="002C26AE">
      <w:pPr>
        <w:ind w:left="720"/>
        <w:rPr>
          <w:i/>
        </w:rPr>
      </w:pPr>
      <w:proofErr w:type="spellStart"/>
      <w:r>
        <w:rPr>
          <w:i/>
        </w:rPr>
        <w:t>C</w:t>
      </w:r>
      <w:r w:rsidR="00310D58">
        <w:rPr>
          <w:i/>
        </w:rPr>
        <w:t>omirnaty</w:t>
      </w:r>
      <w:proofErr w:type="spellEnd"/>
      <w:r>
        <w:rPr>
          <w:i/>
        </w:rPr>
        <w:t xml:space="preserve"> (BNT162b2 (mRNA)</w:t>
      </w:r>
      <w:r w:rsidRPr="002C26AE">
        <w:rPr>
          <w:i/>
        </w:rPr>
        <w:t>) COVID-19 Vaccine has provisional approval for the indication below:</w:t>
      </w:r>
    </w:p>
    <w:p w14:paraId="4EC43D26" w14:textId="77777777" w:rsidR="002C26AE" w:rsidRPr="002C26AE" w:rsidRDefault="002C26AE" w:rsidP="002C26AE">
      <w:pPr>
        <w:ind w:left="720"/>
        <w:rPr>
          <w:i/>
        </w:rPr>
      </w:pPr>
      <w:r w:rsidRPr="002C26AE">
        <w:rPr>
          <w:i/>
        </w:rPr>
        <w:t>Active immunisation to prevent coronavirus disease 2019 (COVID-19) caused by SARS-CoV-2, in individuals 12 years of age and older.</w:t>
      </w:r>
    </w:p>
    <w:p w14:paraId="596ACBA5" w14:textId="77777777" w:rsidR="002C26AE" w:rsidRPr="002C26AE" w:rsidRDefault="002C26AE" w:rsidP="002C26AE">
      <w:pPr>
        <w:ind w:left="720"/>
        <w:rPr>
          <w:i/>
        </w:rPr>
      </w:pPr>
      <w:r w:rsidRPr="002C26AE">
        <w:rPr>
          <w:i/>
        </w:rPr>
        <w:t>The use of this vaccine should be in accordance with official recommendations.</w:t>
      </w:r>
    </w:p>
    <w:p w14:paraId="5FC87D49" w14:textId="711367E8" w:rsidR="002C26AE" w:rsidRPr="002C26AE" w:rsidRDefault="002C26AE" w:rsidP="002C26AE">
      <w:pPr>
        <w:ind w:left="720"/>
        <w:rPr>
          <w:i/>
        </w:rPr>
      </w:pPr>
      <w:r w:rsidRPr="002C26AE">
        <w:rPr>
          <w:i/>
        </w:rPr>
        <w:t xml:space="preserve">The decision has been made </w:t>
      </w:r>
      <w:proofErr w:type="gramStart"/>
      <w:r w:rsidRPr="002C26AE">
        <w:rPr>
          <w:i/>
        </w:rPr>
        <w:t>on the basis of</w:t>
      </w:r>
      <w:proofErr w:type="gramEnd"/>
      <w:r w:rsidRPr="002C26AE">
        <w:rPr>
          <w:i/>
        </w:rPr>
        <w:t xml:space="preserve"> short term efficacy and safety data. Continued approval depends on the evidence of </w:t>
      </w:r>
      <w:proofErr w:type="gramStart"/>
      <w:r w:rsidRPr="002C26AE">
        <w:rPr>
          <w:i/>
        </w:rPr>
        <w:t>longer term</w:t>
      </w:r>
      <w:proofErr w:type="gramEnd"/>
      <w:r w:rsidRPr="002C26AE">
        <w:rPr>
          <w:i/>
        </w:rPr>
        <w:t xml:space="preserve"> efficacy and safety from ongoing clinical trials and post-market assessment.</w:t>
      </w:r>
    </w:p>
    <w:p w14:paraId="02120314" w14:textId="77777777" w:rsidR="008E7846" w:rsidRPr="007B6181" w:rsidRDefault="008E7846" w:rsidP="008E7846">
      <w:pPr>
        <w:pStyle w:val="Heading3"/>
      </w:pPr>
      <w:bookmarkStart w:id="57" w:name="_Toc77866299"/>
      <w:r w:rsidRPr="007B6181">
        <w:t>Outcome</w:t>
      </w:r>
      <w:bookmarkEnd w:id="55"/>
      <w:bookmarkEnd w:id="56"/>
      <w:bookmarkEnd w:id="57"/>
    </w:p>
    <w:p w14:paraId="6E5C52EA" w14:textId="6AE7CB86" w:rsidR="007D53B6" w:rsidRPr="007B6181" w:rsidRDefault="00744121" w:rsidP="00744121">
      <w:bookmarkStart w:id="58" w:name="_Toc247691533"/>
      <w:bookmarkStart w:id="59" w:name="_Toc314842517"/>
      <w:r w:rsidRPr="007B6181">
        <w:t xml:space="preserve">Based on a review of quality, safety and efficacy, the TGA approved the registration of </w:t>
      </w:r>
      <w:proofErr w:type="spellStart"/>
      <w:r w:rsidR="00B17022" w:rsidRPr="007B6181">
        <w:t>Comirnaty</w:t>
      </w:r>
      <w:proofErr w:type="spellEnd"/>
      <w:r w:rsidR="00B17022" w:rsidRPr="007B6181">
        <w:t xml:space="preserve"> (BNT162b2 mRNA) 30 µg/0.3 mL concentrated suspension for injection multiple doses vial</w:t>
      </w:r>
      <w:r w:rsidRPr="007B6181">
        <w:t>, indicated for the following extension of indications:</w:t>
      </w:r>
    </w:p>
    <w:p w14:paraId="0BCC7FC7" w14:textId="77777777" w:rsidR="00AE41A3" w:rsidRPr="00AE41A3" w:rsidRDefault="00AE41A3" w:rsidP="00AE41A3">
      <w:pPr>
        <w:ind w:left="720"/>
        <w:rPr>
          <w:rFonts w:eastAsia="MS Mincho"/>
          <w:i/>
          <w:lang w:eastAsia="ja-JP"/>
        </w:rPr>
      </w:pPr>
      <w:proofErr w:type="spellStart"/>
      <w:r w:rsidRPr="00AE41A3">
        <w:rPr>
          <w:rFonts w:eastAsia="MS Mincho"/>
          <w:i/>
          <w:lang w:eastAsia="ja-JP"/>
        </w:rPr>
        <w:t>Comirnaty</w:t>
      </w:r>
      <w:proofErr w:type="spellEnd"/>
      <w:r w:rsidRPr="00AE41A3">
        <w:rPr>
          <w:rFonts w:eastAsia="MS Mincho"/>
          <w:i/>
          <w:lang w:eastAsia="ja-JP"/>
        </w:rPr>
        <w:t xml:space="preserve"> (BNT162b2 [mRNA]) COVID-19 Vaccine has provisional approval for the indication below:</w:t>
      </w:r>
    </w:p>
    <w:p w14:paraId="3F4E9D88" w14:textId="77777777" w:rsidR="00AE41A3" w:rsidRPr="00AE41A3" w:rsidRDefault="00AE41A3" w:rsidP="00AE41A3">
      <w:pPr>
        <w:ind w:left="720"/>
        <w:rPr>
          <w:rFonts w:eastAsia="MS Mincho"/>
          <w:i/>
          <w:lang w:eastAsia="ja-JP"/>
        </w:rPr>
      </w:pPr>
      <w:r w:rsidRPr="00AE41A3">
        <w:rPr>
          <w:rFonts w:eastAsia="MS Mincho"/>
          <w:i/>
          <w:lang w:eastAsia="ja-JP"/>
        </w:rPr>
        <w:t>Active immunisation to prevent coronavirus disease 2019 (COVID-19) caused by SARS-CoV-2, in individuals 12 years of age and older.</w:t>
      </w:r>
    </w:p>
    <w:p w14:paraId="3B227F1F" w14:textId="77777777" w:rsidR="00AE41A3" w:rsidRPr="00AE41A3" w:rsidRDefault="00AE41A3" w:rsidP="00AE41A3">
      <w:pPr>
        <w:ind w:left="720"/>
        <w:rPr>
          <w:rFonts w:eastAsia="MS Mincho"/>
          <w:i/>
          <w:lang w:eastAsia="ja-JP"/>
        </w:rPr>
      </w:pPr>
      <w:r w:rsidRPr="00AE41A3">
        <w:rPr>
          <w:rFonts w:eastAsia="MS Mincho"/>
          <w:i/>
          <w:lang w:eastAsia="ja-JP"/>
        </w:rPr>
        <w:t>The use of this vaccine should be in accordance with official recommendations.</w:t>
      </w:r>
    </w:p>
    <w:p w14:paraId="1A658C78" w14:textId="12F0CE2E" w:rsidR="00AE41A3" w:rsidRPr="00AE41A3" w:rsidRDefault="00AE41A3" w:rsidP="00AE41A3">
      <w:pPr>
        <w:ind w:left="720"/>
        <w:rPr>
          <w:rFonts w:eastAsia="MS Mincho"/>
          <w:i/>
          <w:lang w:eastAsia="ja-JP"/>
        </w:rPr>
      </w:pPr>
      <w:r w:rsidRPr="00AE41A3">
        <w:rPr>
          <w:i/>
          <w:lang w:eastAsia="ja-JP"/>
        </w:rPr>
        <w:t xml:space="preserve">The decision has been made </w:t>
      </w:r>
      <w:proofErr w:type="gramStart"/>
      <w:r w:rsidRPr="00AE41A3">
        <w:rPr>
          <w:i/>
          <w:lang w:eastAsia="ja-JP"/>
        </w:rPr>
        <w:t>on the basis of</w:t>
      </w:r>
      <w:proofErr w:type="gramEnd"/>
      <w:r w:rsidRPr="00AE41A3">
        <w:rPr>
          <w:i/>
          <w:lang w:eastAsia="ja-JP"/>
        </w:rPr>
        <w:t xml:space="preserve"> short term efficacy and safety data. Continued approval depends on the evidence of </w:t>
      </w:r>
      <w:proofErr w:type="gramStart"/>
      <w:r w:rsidRPr="00AE41A3">
        <w:rPr>
          <w:i/>
          <w:lang w:eastAsia="ja-JP"/>
        </w:rPr>
        <w:t>longer term</w:t>
      </w:r>
      <w:proofErr w:type="gramEnd"/>
      <w:r w:rsidRPr="00AE41A3">
        <w:rPr>
          <w:i/>
          <w:lang w:eastAsia="ja-JP"/>
        </w:rPr>
        <w:t xml:space="preserve"> efficacy and safety from ongoing clinical trials and post-market assessmen</w:t>
      </w:r>
      <w:r w:rsidRPr="00AE41A3">
        <w:rPr>
          <w:i/>
        </w:rPr>
        <w:t>t</w:t>
      </w:r>
      <w:r w:rsidRPr="00AE41A3">
        <w:rPr>
          <w:rFonts w:eastAsia="MS Mincho"/>
          <w:i/>
          <w:lang w:eastAsia="ja-JP"/>
        </w:rPr>
        <w:t>.</w:t>
      </w:r>
    </w:p>
    <w:p w14:paraId="6008DEB7" w14:textId="5BD9F241" w:rsidR="00D23139" w:rsidRPr="002742BB" w:rsidRDefault="00D23139" w:rsidP="00AE41A3">
      <w:pPr>
        <w:pStyle w:val="Heading4"/>
      </w:pPr>
      <w:r w:rsidRPr="002742BB">
        <w:t>Specific conditions of registration applying to these goods</w:t>
      </w:r>
    </w:p>
    <w:p w14:paraId="03FA3783" w14:textId="08FF622B" w:rsidR="000B7C3D" w:rsidRDefault="00783BD3" w:rsidP="00FB362D">
      <w:pPr>
        <w:pStyle w:val="ListBullet"/>
      </w:pPr>
      <w:proofErr w:type="spellStart"/>
      <w:r w:rsidRPr="00783BD3">
        <w:t>C</w:t>
      </w:r>
      <w:r w:rsidR="00AD10FB">
        <w:t>omirnaty</w:t>
      </w:r>
      <w:proofErr w:type="spellEnd"/>
      <w:r w:rsidR="00AD10FB">
        <w:t xml:space="preserve"> v</w:t>
      </w:r>
      <w:r w:rsidRPr="00783BD3">
        <w:t>accine is to be included in the Black Triangle Scheme due to provisional approval. The P</w:t>
      </w:r>
      <w:r>
        <w:t xml:space="preserve">roduct </w:t>
      </w:r>
      <w:r w:rsidRPr="00783BD3">
        <w:t>I</w:t>
      </w:r>
      <w:r>
        <w:t>nformation</w:t>
      </w:r>
      <w:r w:rsidR="00FB362D">
        <w:t xml:space="preserve"> (PI)</w:t>
      </w:r>
      <w:r w:rsidRPr="00783BD3">
        <w:t xml:space="preserve"> and C</w:t>
      </w:r>
      <w:r>
        <w:t xml:space="preserve">onsumer </w:t>
      </w:r>
      <w:r w:rsidRPr="00783BD3">
        <w:t>M</w:t>
      </w:r>
      <w:r>
        <w:t xml:space="preserve">edicines </w:t>
      </w:r>
      <w:r w:rsidRPr="00783BD3">
        <w:t>I</w:t>
      </w:r>
      <w:r>
        <w:t>nformation</w:t>
      </w:r>
      <w:r w:rsidR="00FB362D">
        <w:t xml:space="preserve"> (CMI)</w:t>
      </w:r>
      <w:r w:rsidRPr="00783BD3">
        <w:t xml:space="preserve"> for </w:t>
      </w:r>
      <w:proofErr w:type="spellStart"/>
      <w:r w:rsidRPr="00783BD3">
        <w:t>C</w:t>
      </w:r>
      <w:r>
        <w:t>omirnaty</w:t>
      </w:r>
      <w:proofErr w:type="spellEnd"/>
      <w:r>
        <w:t xml:space="preserve"> V</w:t>
      </w:r>
      <w:r w:rsidRPr="00783BD3">
        <w:t>accine must include the black triangle symbol and mandatory accompanying text for the products entire period of provisional registration.</w:t>
      </w:r>
    </w:p>
    <w:p w14:paraId="7CAA0665" w14:textId="77777777" w:rsidR="000B7C3D" w:rsidRDefault="000B7C3D" w:rsidP="000B7C3D">
      <w:pPr>
        <w:pStyle w:val="ListBullet"/>
      </w:pPr>
      <w:r>
        <w:t xml:space="preserve">The </w:t>
      </w:r>
      <w:proofErr w:type="spellStart"/>
      <w:r>
        <w:t>Comirnaty</w:t>
      </w:r>
      <w:proofErr w:type="spellEnd"/>
      <w:r>
        <w:t xml:space="preserve"> EU-Risk Management Plan (RMP) (version 2.0, date 29 April 2021; DLP 28 February 2021 (Safety Database) 13 March 2021 (Clinical Database)), included with submission PM-2021-02187-1-2, with Australian Specific Annex (version 0.3, dated 11 June 2021), will be implemented in Australia.</w:t>
      </w:r>
    </w:p>
    <w:p w14:paraId="4EE2EFAB" w14:textId="5B26DAF0" w:rsidR="000B7C3D" w:rsidRDefault="000B7C3D" w:rsidP="000B7C3D">
      <w:pPr>
        <w:pStyle w:val="ListBullet"/>
        <w:numPr>
          <w:ilvl w:val="0"/>
          <w:numId w:val="0"/>
        </w:numPr>
        <w:ind w:left="360"/>
      </w:pPr>
      <w:r>
        <w:t>Any changes to which the sponsor has agreed should be included in a revised RMP and ASA. However, irrespective of whether or not they are included in the currently available version of the RMP document, the agreed changes become part of the risk management system</w:t>
      </w:r>
    </w:p>
    <w:p w14:paraId="7311520D" w14:textId="77777777" w:rsidR="000B7C3D" w:rsidRDefault="000B7C3D" w:rsidP="000B7C3D">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7A85C23E" w14:textId="5B149885" w:rsidR="000B7C3D" w:rsidRDefault="000B7C3D" w:rsidP="000B7C3D">
      <w:pPr>
        <w:pStyle w:val="ListBullet"/>
        <w:numPr>
          <w:ilvl w:val="0"/>
          <w:numId w:val="0"/>
        </w:numPr>
        <w:ind w:left="360"/>
      </w:pPr>
      <w:r>
        <w:t xml:space="preserve">Unless agreed separately between the supplier who is the recipient of the approval and the TGA, the first report </w:t>
      </w:r>
      <w:proofErr w:type="gramStart"/>
      <w:r>
        <w:t>must be submitted</w:t>
      </w:r>
      <w:proofErr w:type="gramEnd"/>
      <w:r>
        <w:t xml:space="preserve"> to TGA no later than six calendar months after the date of the approval letter. The subsequent reports </w:t>
      </w:r>
      <w:proofErr w:type="gramStart"/>
      <w:r>
        <w:t>must be submitted</w:t>
      </w:r>
      <w:proofErr w:type="gramEnd"/>
      <w:r>
        <w:t xml:space="preserve"> no less frequently than six monthly until the period covered by such reports is not less than three years from the date of the approval letter, or the entire period of provisional registration, whichever is longer.</w:t>
      </w:r>
    </w:p>
    <w:p w14:paraId="7879B8BC" w14:textId="50A214D5" w:rsidR="000B7C3D" w:rsidRDefault="000B7C3D" w:rsidP="000B7C3D">
      <w:pPr>
        <w:pStyle w:val="ListBullet"/>
        <w:numPr>
          <w:ilvl w:val="0"/>
          <w:numId w:val="0"/>
        </w:numPr>
        <w:ind w:left="360"/>
      </w:pPr>
      <w:r>
        <w:t xml:space="preserve">The reports are </w:t>
      </w:r>
      <w:proofErr w:type="gramStart"/>
      <w:r>
        <w:t>to at least meet</w:t>
      </w:r>
      <w:proofErr w:type="gramEnd"/>
      <w:r>
        <w:t xml:space="preserve">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4344E201" w14:textId="70B0FA02" w:rsidR="000B7C3D" w:rsidRDefault="000B7C3D" w:rsidP="000B7C3D">
      <w:pPr>
        <w:pStyle w:val="ListBullet"/>
        <w:numPr>
          <w:ilvl w:val="0"/>
          <w:numId w:val="0"/>
        </w:numPr>
        <w:ind w:left="360"/>
      </w:pPr>
      <w:r>
        <w:t xml:space="preserve">Additional to the routine submission of the routine </w:t>
      </w:r>
      <w:proofErr w:type="spellStart"/>
      <w:r>
        <w:t>PSURs</w:t>
      </w:r>
      <w:proofErr w:type="spellEnd"/>
      <w:r>
        <w:t xml:space="preserve">, expedited monthly, </w:t>
      </w:r>
      <w:proofErr w:type="spellStart"/>
      <w:r>
        <w:t>Comirnaty</w:t>
      </w:r>
      <w:proofErr w:type="spellEnd"/>
      <w:r>
        <w:t xml:space="preserve"> safety summary reports (including safety data for patients in Australia) are to </w:t>
      </w:r>
      <w:proofErr w:type="gramStart"/>
      <w:r>
        <w:t>be provided</w:t>
      </w:r>
      <w:proofErr w:type="gramEnd"/>
      <w:r>
        <w:t xml:space="preserve"> for the first 6 months post registration, and thereafter at intervals specified by the TGA.</w:t>
      </w:r>
    </w:p>
    <w:p w14:paraId="37573A52" w14:textId="742937F3" w:rsidR="00310D58" w:rsidRDefault="008D26F4" w:rsidP="008D26F4">
      <w:pPr>
        <w:pStyle w:val="ListBullet"/>
        <w:numPr>
          <w:ilvl w:val="0"/>
          <w:numId w:val="0"/>
        </w:numPr>
        <w:ind w:left="360" w:hanging="360"/>
      </w:pPr>
      <w:r>
        <w:t>Clinical</w:t>
      </w:r>
    </w:p>
    <w:p w14:paraId="45410D4E" w14:textId="1EF936A2" w:rsidR="008D26F4" w:rsidRDefault="008D26F4" w:rsidP="008D26F4">
      <w:pPr>
        <w:pStyle w:val="ListBullet"/>
      </w:pPr>
      <w:r>
        <w:t>Data relating to individuals 12 to 15 years old</w:t>
      </w:r>
    </w:p>
    <w:p w14:paraId="2F799A4A" w14:textId="3C0D8329" w:rsidR="008D26F4" w:rsidRDefault="008D26F4" w:rsidP="008D26F4">
      <w:pPr>
        <w:pStyle w:val="ListBullet2"/>
      </w:pPr>
      <w:r>
        <w:t>Submit safety data for all adolescents 12 to 15 years of age in Study C4591001, 6 months post Dose 2, when the data becomes available.</w:t>
      </w:r>
    </w:p>
    <w:p w14:paraId="742C4770" w14:textId="4BDA5301" w:rsidR="008D26F4" w:rsidRDefault="008D26F4" w:rsidP="008D26F4">
      <w:pPr>
        <w:pStyle w:val="ListBullet2"/>
      </w:pPr>
      <w:r>
        <w:t xml:space="preserve">Submit study report of Study C4591001, including data up to 24 months after Dose </w:t>
      </w:r>
      <w:proofErr w:type="gramStart"/>
      <w:r>
        <w:t>2</w:t>
      </w:r>
      <w:proofErr w:type="gramEnd"/>
      <w:r>
        <w:t xml:space="preserve"> in adolescents 12 to 15 years of age, when the data becomes available.</w:t>
      </w:r>
    </w:p>
    <w:p w14:paraId="4605F502" w14:textId="69D82FDE" w:rsidR="008D26F4" w:rsidRDefault="008D26F4" w:rsidP="008D26F4">
      <w:pPr>
        <w:pStyle w:val="ListBullet"/>
      </w:pPr>
      <w:r>
        <w:t>Data relating to individuals 16 years and older</w:t>
      </w:r>
    </w:p>
    <w:p w14:paraId="6D952431" w14:textId="71CC3A12" w:rsidR="008D26F4" w:rsidRDefault="008D26F4" w:rsidP="008D26F4">
      <w:pPr>
        <w:pStyle w:val="ListBullet2"/>
      </w:pPr>
      <w:r>
        <w:t>Submit safety data in relation to follow</w:t>
      </w:r>
      <w:r w:rsidR="006E2E86">
        <w:t xml:space="preserve"> </w:t>
      </w:r>
      <w:r>
        <w:t xml:space="preserve">up at 6 months post-Dose 2 for all original </w:t>
      </w:r>
      <w:proofErr w:type="spellStart"/>
      <w:r>
        <w:t>Comirnaty</w:t>
      </w:r>
      <w:proofErr w:type="spellEnd"/>
      <w:r>
        <w:t xml:space="preserve"> recipients and at 6 months post-Dose 4 for original placebo recipients subsequently vaccinated with </w:t>
      </w:r>
      <w:proofErr w:type="spellStart"/>
      <w:r>
        <w:t>Comirnaty</w:t>
      </w:r>
      <w:proofErr w:type="spellEnd"/>
      <w:r>
        <w:t xml:space="preserve"> (that is 6 months following their second dose), when the analysis is available.</w:t>
      </w:r>
    </w:p>
    <w:p w14:paraId="0D9A5D2C" w14:textId="34CF56BA" w:rsidR="008D26F4" w:rsidRDefault="008D26F4" w:rsidP="008D26F4">
      <w:pPr>
        <w:pStyle w:val="ListBullet2"/>
      </w:pPr>
      <w:r>
        <w:t>Submit the final completed study report for Study C4591001, including data up to 24 months after Dose 2 for individuals 16 years and older, when the data becomes available.</w:t>
      </w:r>
    </w:p>
    <w:p w14:paraId="11AF34B1" w14:textId="25619EAF" w:rsidR="008D26F4" w:rsidRDefault="008D26F4" w:rsidP="008D26F4">
      <w:pPr>
        <w:pStyle w:val="ListBullet2"/>
      </w:pPr>
      <w:r>
        <w:t>Submit final study reports for Study BNT162-01 once completed, including data on healthy subjects.</w:t>
      </w:r>
    </w:p>
    <w:p w14:paraId="2D11687B" w14:textId="2765AAA4" w:rsidR="008D26F4" w:rsidRDefault="008D26F4" w:rsidP="008D26F4">
      <w:pPr>
        <w:pStyle w:val="ListBullet2"/>
        <w:numPr>
          <w:ilvl w:val="0"/>
          <w:numId w:val="0"/>
        </w:numPr>
        <w:ind w:left="360"/>
      </w:pPr>
      <w:r w:rsidRPr="008D26F4">
        <w:t xml:space="preserve">When available, further data relating to vaccine efficacy against asymptomatic disease, vaccine efficacy in immunocompromised subjects, paediatric subjects, pregnant women, lactating mothers, and the information relating to post-market safety and effectiveness studies </w:t>
      </w:r>
      <w:proofErr w:type="gramStart"/>
      <w:r w:rsidRPr="008D26F4">
        <w:t>should be provided</w:t>
      </w:r>
      <w:proofErr w:type="gramEnd"/>
      <w:r w:rsidRPr="008D26F4">
        <w:t xml:space="preserve"> to the TGA, as separate submissions, t</w:t>
      </w:r>
      <w:r>
        <w:t>o update the PI</w:t>
      </w:r>
      <w:r w:rsidRPr="008D26F4">
        <w:t>.</w:t>
      </w:r>
    </w:p>
    <w:p w14:paraId="259A31CD" w14:textId="77777777" w:rsidR="00D14D1F" w:rsidRDefault="00D14D1F" w:rsidP="00D14D1F">
      <w:pPr>
        <w:pStyle w:val="ListBullet"/>
      </w:pPr>
      <w:r>
        <w:t>Medicine Labels</w:t>
      </w:r>
    </w:p>
    <w:p w14:paraId="27754038" w14:textId="5BC986A8" w:rsidR="00D14D1F" w:rsidRDefault="00D14D1F" w:rsidP="00D14D1F">
      <w:pPr>
        <w:pStyle w:val="ListBullet2"/>
      </w:pPr>
      <w:r>
        <w:t xml:space="preserve">a) The New </w:t>
      </w:r>
      <w:proofErr w:type="spellStart"/>
      <w:r>
        <w:t>Comirnaty</w:t>
      </w:r>
      <w:proofErr w:type="spellEnd"/>
      <w:r>
        <w:t xml:space="preserve"> Medicine </w:t>
      </w:r>
      <w:proofErr w:type="gramStart"/>
      <w:r>
        <w:t>must only be supplied</w:t>
      </w:r>
      <w:proofErr w:type="gramEnd"/>
      <w:r>
        <w:t xml:space="preserve"> with the labels referred to in paragraph 8(a) of Attachment 4 to the decision dated 24 January 2021 to provisionally register the Existing </w:t>
      </w:r>
      <w:proofErr w:type="spellStart"/>
      <w:r>
        <w:t>Comirnaty</w:t>
      </w:r>
      <w:proofErr w:type="spellEnd"/>
      <w:r>
        <w:t xml:space="preserve"> Medicine.</w:t>
      </w:r>
    </w:p>
    <w:p w14:paraId="582D6767" w14:textId="77777777" w:rsidR="00D14D1F" w:rsidRDefault="00D14D1F" w:rsidP="00D14D1F">
      <w:pPr>
        <w:pStyle w:val="ListBullet2"/>
      </w:pPr>
      <w:proofErr w:type="gramStart"/>
      <w:r>
        <w:t>b) The sponsor will develop Australian-specific labels for the product, that conform with all relevant Australian labelling requirements, and will take all reasonable steps to implement such labelling before the end of the provisional registration period referred to in subsection 29(3) of the Act (being the period of 2 years starting on the day specified in the ARTG certificate of registration) (noting that, consistent with paragraph 28(5)(</w:t>
      </w:r>
      <w:proofErr w:type="spellStart"/>
      <w:r>
        <w:t>aaa</w:t>
      </w:r>
      <w:proofErr w:type="spellEnd"/>
      <w:r>
        <w:t>) of the Act, changes to such matters as labels that have been agreed to as part of an evaluation under section 25 of the Act may only occur following submission under section 9D of a 'variation' application and approval by the TGA).</w:t>
      </w:r>
      <w:proofErr w:type="gramEnd"/>
    </w:p>
    <w:p w14:paraId="145CFC9E" w14:textId="69A157F9" w:rsidR="00D14D1F" w:rsidRDefault="00D14D1F" w:rsidP="00D14D1F">
      <w:pPr>
        <w:pStyle w:val="ListBullet2"/>
      </w:pPr>
      <w:r>
        <w:t>c) The sponsor will provide information to the TGA on the proposed strategies and planned timelines for Australian dedicated supplies, as soon as possible, and no later than 24 January 2023.</w:t>
      </w:r>
    </w:p>
    <w:p w14:paraId="74288835" w14:textId="77777777" w:rsidR="00D14D1F" w:rsidRDefault="00D14D1F" w:rsidP="00D14D1F">
      <w:pPr>
        <w:pStyle w:val="ListBullet"/>
      </w:pPr>
      <w:r>
        <w:t xml:space="preserve">Batch Release Testing and Compliance </w:t>
      </w:r>
    </w:p>
    <w:p w14:paraId="5B9C207D" w14:textId="731CDFDE" w:rsidR="000E0631" w:rsidRDefault="000E0631" w:rsidP="000E0631">
      <w:pPr>
        <w:pStyle w:val="ListBullet"/>
        <w:numPr>
          <w:ilvl w:val="0"/>
          <w:numId w:val="0"/>
        </w:numPr>
        <w:ind w:left="360"/>
      </w:pPr>
      <w:r>
        <w:t xml:space="preserve">It is a condition of registration that all independent manufacturing batches of </w:t>
      </w:r>
      <w:proofErr w:type="spellStart"/>
      <w:r>
        <w:t>Comirnaty</w:t>
      </w:r>
      <w:proofErr w:type="spellEnd"/>
      <w:r>
        <w:t xml:space="preserve"> (BNT162b2 (mRNA)) COVID-19 Vaccine to be supplied in Australia are not released for supply by or on behalf of the sponsor until samples and the manufacturer’s release data have been assessed by, and sponsor have received notification acknowledging authorisation to release from, the Laboratories Branch, TGA.</w:t>
      </w:r>
    </w:p>
    <w:p w14:paraId="38E812A5" w14:textId="59E255C0" w:rsidR="000E0631" w:rsidRDefault="000E0631" w:rsidP="000E0631">
      <w:pPr>
        <w:pStyle w:val="ListBullet"/>
        <w:numPr>
          <w:ilvl w:val="0"/>
          <w:numId w:val="0"/>
        </w:numPr>
        <w:ind w:left="360"/>
      </w:pPr>
      <w:r>
        <w:t>In complying with the above, the sponsor must supply the following for each independent batch of the product imported or proposed to be imported into Australia:</w:t>
      </w:r>
    </w:p>
    <w:p w14:paraId="3A201072" w14:textId="35C5D635" w:rsidR="000E0631" w:rsidRDefault="000E0631" w:rsidP="000E0631">
      <w:pPr>
        <w:pStyle w:val="ListBullet2"/>
      </w:pPr>
      <w:r>
        <w:t>a completed Request for Release Form, available from vaccines@health.gov.au ; and</w:t>
      </w:r>
    </w:p>
    <w:p w14:paraId="7B23AA58" w14:textId="5D18FE82" w:rsidR="000E0631" w:rsidRDefault="000E0631" w:rsidP="000E0631">
      <w:pPr>
        <w:pStyle w:val="ListBullet2"/>
      </w:pPr>
      <w:r>
        <w:t xml:space="preserve">complete summary protocols for manufacture and quality control (QC), including all steps in production in the agreed format; and </w:t>
      </w:r>
    </w:p>
    <w:p w14:paraId="30DA4C7D" w14:textId="77777777" w:rsidR="000E0631" w:rsidRDefault="000E0631" w:rsidP="000E0631">
      <w:pPr>
        <w:pStyle w:val="ListBullet2"/>
      </w:pPr>
      <w:r>
        <w:t xml:space="preserve">if the manufacturing batch has been released in Europe or United Kingdom a copy of the EU Official Control Authority Batch Release (OCABR) certificate (or equivalent from the UK) must also be provided; and </w:t>
      </w:r>
    </w:p>
    <w:p w14:paraId="60124BB4" w14:textId="5F23C08B" w:rsidR="000E0631" w:rsidRDefault="000E0631" w:rsidP="000E0631">
      <w:pPr>
        <w:pStyle w:val="ListBullet2"/>
      </w:pPr>
      <w:proofErr w:type="gramStart"/>
      <w:r>
        <w:t>any</w:t>
      </w:r>
      <w:proofErr w:type="gramEnd"/>
      <w:r>
        <w:t xml:space="preserve"> reagents, reference material and standards required to undertake testing as requested by Laboratories Branch, TGA.</w:t>
      </w:r>
    </w:p>
    <w:p w14:paraId="4D8A8C50" w14:textId="253E5A91" w:rsidR="000E0631" w:rsidRDefault="000E0631" w:rsidP="000E0631">
      <w:pPr>
        <w:pStyle w:val="ListBullet"/>
        <w:numPr>
          <w:ilvl w:val="0"/>
          <w:numId w:val="0"/>
        </w:numPr>
        <w:ind w:left="360"/>
      </w:pPr>
      <w:r>
        <w:t>The shipments (including reagents) to TGA are the responsibility of the Australian sponsor/agent who will be required to facilitate the import and customs clearance process.</w:t>
      </w:r>
    </w:p>
    <w:p w14:paraId="1F79845A" w14:textId="77777777" w:rsidR="00D14D1F" w:rsidRDefault="00D14D1F" w:rsidP="00D14D1F">
      <w:pPr>
        <w:pStyle w:val="ListBullet"/>
      </w:pPr>
      <w:r>
        <w:t>Certified Product Details</w:t>
      </w:r>
    </w:p>
    <w:p w14:paraId="0D4C67F2" w14:textId="0DD225B5" w:rsidR="00D14D1F" w:rsidRDefault="00D14D1F" w:rsidP="00D14D1F">
      <w:pPr>
        <w:pStyle w:val="ListBullet"/>
        <w:numPr>
          <w:ilvl w:val="0"/>
          <w:numId w:val="0"/>
        </w:numPr>
      </w:pPr>
      <w:r>
        <w:t xml:space="preserve">An electronic copy of the Certified Product Details (CPD) as described in Guidance 7: Certified Product Details of the Australian Regulatory Guidelines for Prescription Medicines (ARGPM) https://www.tga.gov.au/guidance-7-certified-product-details </w:t>
      </w:r>
      <w:proofErr w:type="gramStart"/>
      <w:r>
        <w:t>should be provided</w:t>
      </w:r>
      <w:proofErr w:type="gramEnd"/>
      <w:r>
        <w:t xml:space="preserve"> upon registration of the therapeutic good. In addition, an updated CPD, for the above products incorporating the approved changes is to </w:t>
      </w:r>
      <w:proofErr w:type="gramStart"/>
      <w:r>
        <w:t>be provided</w:t>
      </w:r>
      <w:proofErr w:type="gramEnd"/>
      <w:r>
        <w:t xml:space="preserve"> within one month of the date of approval letter. A template for preparation of CPD for biological prescription medicines and Vaccines </w:t>
      </w:r>
      <w:proofErr w:type="gramStart"/>
      <w:r>
        <w:t>can be obtained</w:t>
      </w:r>
      <w:proofErr w:type="gramEnd"/>
      <w:r>
        <w:t xml:space="preserve"> from the TGA website https://www.tga.gov.au/form/certified-product-details-cpd-biological-prescription-medicines. The CPD </w:t>
      </w:r>
      <w:proofErr w:type="gramStart"/>
      <w:r>
        <w:t>should be sent</w:t>
      </w:r>
      <w:proofErr w:type="gramEnd"/>
      <w:r>
        <w:t xml:space="preserve"> as a single bookmarked PDF document to Vaccines@health.gov.au as soon as possible after registration/approval of the product or any subsequent changes as indicated above.</w:t>
      </w:r>
    </w:p>
    <w:p w14:paraId="51FD5576" w14:textId="39C8CA27" w:rsidR="00783BD3" w:rsidRDefault="00783BD3" w:rsidP="00783BD3">
      <w:pPr>
        <w:pStyle w:val="ListBullet"/>
      </w:pPr>
      <w:r>
        <w:t>Post approval commitments</w:t>
      </w:r>
    </w:p>
    <w:p w14:paraId="670001F2" w14:textId="279173FA" w:rsidR="00783BD3" w:rsidRDefault="00783BD3" w:rsidP="00783BD3">
      <w:pPr>
        <w:pStyle w:val="ListBullet"/>
        <w:numPr>
          <w:ilvl w:val="0"/>
          <w:numId w:val="0"/>
        </w:numPr>
      </w:pPr>
      <w:r w:rsidRPr="00783BD3">
        <w:t xml:space="preserve">As a provisionally registered medicine, extensive post-approval commitments are required of the sponsor. The additional requested quality data and notifications to the TGA </w:t>
      </w:r>
      <w:proofErr w:type="gramStart"/>
      <w:r w:rsidRPr="00783BD3">
        <w:t>should be provided</w:t>
      </w:r>
      <w:proofErr w:type="gramEnd"/>
      <w:r w:rsidRPr="00783BD3">
        <w:t xml:space="preserve"> as post approval commitments. This includes the following commitments:</w:t>
      </w:r>
    </w:p>
    <w:p w14:paraId="121AF5B8" w14:textId="1AAF6458" w:rsidR="00783BD3" w:rsidRDefault="00783BD3" w:rsidP="00783BD3">
      <w:pPr>
        <w:pStyle w:val="ListBullet2"/>
      </w:pPr>
      <w:r w:rsidRPr="009C48CC">
        <w:t xml:space="preserve">Commitment is required from the sponsor that they maintain the validity of all manufacturer Good Manufacturing Practice (GMP) clearances for the duration of product supply to Australia. Additionally, that adherence to the conditions of GMP clearance approval </w:t>
      </w:r>
      <w:proofErr w:type="gramStart"/>
      <w:r w:rsidRPr="009C48CC">
        <w:t>is upheld</w:t>
      </w:r>
      <w:proofErr w:type="gramEnd"/>
      <w:r>
        <w:t>.</w:t>
      </w:r>
    </w:p>
    <w:p w14:paraId="55A94707" w14:textId="0F465163" w:rsidR="00783BD3" w:rsidRDefault="00783BD3" w:rsidP="00783BD3">
      <w:pPr>
        <w:pStyle w:val="ListBullet2"/>
      </w:pPr>
      <w:r w:rsidRPr="009C48CC">
        <w:t xml:space="preserve">Additional data </w:t>
      </w:r>
      <w:proofErr w:type="gramStart"/>
      <w:r w:rsidRPr="009C48CC">
        <w:t>should be provided</w:t>
      </w:r>
      <w:proofErr w:type="gramEnd"/>
      <w:r w:rsidRPr="009C48CC">
        <w:t xml:space="preserve"> in relation to the reference standards and materials</w:t>
      </w:r>
      <w:r>
        <w:t>.</w:t>
      </w:r>
    </w:p>
    <w:p w14:paraId="16734DD4" w14:textId="3E0B5808" w:rsidR="00783BD3" w:rsidRDefault="00783BD3" w:rsidP="00783BD3">
      <w:pPr>
        <w:pStyle w:val="ListBullet2"/>
      </w:pPr>
      <w:r w:rsidRPr="009C48CC">
        <w:t>Additional stability data</w:t>
      </w:r>
      <w:r>
        <w:t xml:space="preserve"> and updated protocols</w:t>
      </w:r>
      <w:r w:rsidRPr="009C48CC">
        <w:t xml:space="preserve"> </w:t>
      </w:r>
      <w:proofErr w:type="gramStart"/>
      <w:r w:rsidRPr="009C48CC">
        <w:t>should be submitted</w:t>
      </w:r>
      <w:proofErr w:type="gramEnd"/>
      <w:r w:rsidRPr="009C48CC">
        <w:t xml:space="preserve"> as it becomes available</w:t>
      </w:r>
      <w:r>
        <w:t>.</w:t>
      </w:r>
    </w:p>
    <w:p w14:paraId="543CF935" w14:textId="730175BE" w:rsidR="00783BD3" w:rsidRPr="009C48CC" w:rsidRDefault="00783BD3" w:rsidP="00783BD3">
      <w:pPr>
        <w:pStyle w:val="ListBullet2"/>
      </w:pPr>
      <w:r w:rsidRPr="00783BD3">
        <w:t>Any out of specif</w:t>
      </w:r>
      <w:r>
        <w:t xml:space="preserve">ication stability results for drug </w:t>
      </w:r>
      <w:r w:rsidR="0059515C">
        <w:t>substance</w:t>
      </w:r>
      <w:r>
        <w:t xml:space="preserve"> and/or drug product</w:t>
      </w:r>
      <w:r w:rsidRPr="00783BD3">
        <w:t xml:space="preserve"> </w:t>
      </w:r>
      <w:proofErr w:type="gramStart"/>
      <w:r w:rsidRPr="00783BD3">
        <w:t>should be submitted</w:t>
      </w:r>
      <w:proofErr w:type="gramEnd"/>
      <w:r w:rsidRPr="00783BD3">
        <w:t xml:space="preserve"> to the TGA as soon as they are generated.</w:t>
      </w:r>
    </w:p>
    <w:p w14:paraId="17ACEF53" w14:textId="6FB20FA5" w:rsidR="00783BD3" w:rsidRDefault="00783BD3" w:rsidP="00783BD3">
      <w:pPr>
        <w:pStyle w:val="ListBullet2"/>
      </w:pPr>
      <w:r w:rsidRPr="009C48CC">
        <w:t xml:space="preserve">The sponsor must inform the TGA of any temperature deviation during shipment and not supply product that </w:t>
      </w:r>
      <w:proofErr w:type="gramStart"/>
      <w:r w:rsidRPr="009C48CC">
        <w:t>has been exposed</w:t>
      </w:r>
      <w:proofErr w:type="gramEnd"/>
      <w:r w:rsidRPr="009C48CC">
        <w:t xml:space="preserve"> to a temperature excursion outside of the approved storage conditions of -90°C to -60°C</w:t>
      </w:r>
      <w:r>
        <w:t>.</w:t>
      </w:r>
    </w:p>
    <w:p w14:paraId="1C34ADE1" w14:textId="77777777" w:rsidR="00783BD3" w:rsidRPr="009C48CC" w:rsidRDefault="00783BD3" w:rsidP="00783BD3">
      <w:pPr>
        <w:pStyle w:val="ListBullet2"/>
      </w:pPr>
      <w:r w:rsidRPr="009C48CC">
        <w:t xml:space="preserve">Additional information </w:t>
      </w:r>
      <w:proofErr w:type="gramStart"/>
      <w:r w:rsidRPr="009C48CC">
        <w:t>should be provided</w:t>
      </w:r>
      <w:proofErr w:type="gramEnd"/>
      <w:r w:rsidRPr="009C48CC">
        <w:t xml:space="preserve"> regarding batch analyses.</w:t>
      </w:r>
    </w:p>
    <w:p w14:paraId="1D0F0E0D" w14:textId="3CD425C9" w:rsidR="00783BD3" w:rsidRDefault="00783BD3" w:rsidP="00783BD3">
      <w:pPr>
        <w:pStyle w:val="ListBullet2"/>
      </w:pPr>
      <w:r w:rsidRPr="009C48CC">
        <w:t xml:space="preserve">Additional data </w:t>
      </w:r>
      <w:proofErr w:type="gramStart"/>
      <w:r w:rsidRPr="009C48CC">
        <w:t>should be provided</w:t>
      </w:r>
      <w:proofErr w:type="gramEnd"/>
      <w:r w:rsidRPr="009C48CC">
        <w:t xml:space="preserve"> in relation to process validation of commercial scale batches.</w:t>
      </w:r>
    </w:p>
    <w:p w14:paraId="31BA75B3" w14:textId="7D188B2E" w:rsidR="002742BB" w:rsidRDefault="002742BB" w:rsidP="002742BB">
      <w:pPr>
        <w:pStyle w:val="ListBullet2"/>
      </w:pPr>
      <w:r w:rsidRPr="009C48CC">
        <w:t xml:space="preserve">Additional data </w:t>
      </w:r>
      <w:proofErr w:type="gramStart"/>
      <w:r w:rsidRPr="009C48CC">
        <w:t>should be provided</w:t>
      </w:r>
      <w:proofErr w:type="gramEnd"/>
      <w:r w:rsidRPr="009C48CC">
        <w:t xml:space="preserve"> in relation to </w:t>
      </w:r>
      <w:r>
        <w:t>validation of the proposed rapid sterility test.</w:t>
      </w:r>
    </w:p>
    <w:p w14:paraId="4DC5A05D" w14:textId="0BA6A89C" w:rsidR="00783BD3" w:rsidRDefault="00783BD3" w:rsidP="00783BD3">
      <w:pPr>
        <w:pStyle w:val="ListBullet2"/>
      </w:pPr>
      <w:r>
        <w:t xml:space="preserve">Additional data </w:t>
      </w:r>
      <w:proofErr w:type="gramStart"/>
      <w:r>
        <w:t>should be provided</w:t>
      </w:r>
      <w:proofErr w:type="gramEnd"/>
      <w:r>
        <w:t xml:space="preserve"> in relation to the container safety.</w:t>
      </w:r>
    </w:p>
    <w:p w14:paraId="139F1B7A" w14:textId="03A6733C" w:rsidR="00783BD3" w:rsidRPr="00310D58" w:rsidRDefault="00FB362D" w:rsidP="00FB362D">
      <w:pPr>
        <w:pStyle w:val="ListBullet"/>
      </w:pPr>
      <w:r w:rsidRPr="00EB01E9">
        <w:rPr>
          <w:lang w:eastAsia="en-AU"/>
        </w:rPr>
        <w:t xml:space="preserve">For all injectable </w:t>
      </w:r>
      <w:proofErr w:type="gramStart"/>
      <w:r w:rsidRPr="00EB01E9">
        <w:rPr>
          <w:lang w:eastAsia="en-AU"/>
        </w:rPr>
        <w:t>products</w:t>
      </w:r>
      <w:proofErr w:type="gramEnd"/>
      <w:r w:rsidRPr="00EB01E9">
        <w:rPr>
          <w:lang w:eastAsia="en-AU"/>
        </w:rPr>
        <w:t xml:space="preserve"> the </w:t>
      </w:r>
      <w:r>
        <w:rPr>
          <w:lang w:eastAsia="en-AU"/>
        </w:rPr>
        <w:t>PI</w:t>
      </w:r>
      <w:r w:rsidRPr="00EB01E9">
        <w:rPr>
          <w:lang w:eastAsia="en-AU"/>
        </w:rPr>
        <w:t xml:space="preserve"> must be included with the product as a package insert</w:t>
      </w:r>
      <w:r>
        <w:rPr>
          <w:lang w:eastAsia="en-AU"/>
        </w:rPr>
        <w:t>.</w:t>
      </w:r>
    </w:p>
    <w:p w14:paraId="1E8D694B" w14:textId="77777777" w:rsidR="008E7846" w:rsidRDefault="00A80B5B" w:rsidP="00D23139">
      <w:pPr>
        <w:pStyle w:val="Heading2"/>
      </w:pPr>
      <w:bookmarkStart w:id="60" w:name="_Toc77866300"/>
      <w:r>
        <w:t xml:space="preserve">Attachment 1. </w:t>
      </w:r>
      <w:r w:rsidR="008E7846">
        <w:t xml:space="preserve">Product </w:t>
      </w:r>
      <w:r w:rsidR="00AA0ED0">
        <w:t>I</w:t>
      </w:r>
      <w:r w:rsidR="008E7846">
        <w:t>nformation</w:t>
      </w:r>
      <w:bookmarkEnd w:id="58"/>
      <w:bookmarkEnd w:id="59"/>
      <w:bookmarkEnd w:id="60"/>
    </w:p>
    <w:p w14:paraId="320D2BC0" w14:textId="5D3440E7" w:rsidR="00C80137" w:rsidRDefault="006136D7" w:rsidP="00C80137">
      <w:pPr>
        <w:rPr>
          <w:color w:val="000000"/>
          <w:lang w:eastAsia="en-AU"/>
        </w:rPr>
      </w:pPr>
      <w:r w:rsidRPr="002B3624">
        <w:t xml:space="preserve">The </w:t>
      </w:r>
      <w:r>
        <w:t>PI</w:t>
      </w:r>
      <w:r w:rsidRPr="002B3624">
        <w:t xml:space="preserve"> for </w:t>
      </w:r>
      <w:proofErr w:type="spellStart"/>
      <w:r w:rsidR="00B17022">
        <w:t>Comirnaty</w:t>
      </w:r>
      <w:proofErr w:type="spellEnd"/>
      <w:r w:rsidRPr="002B3624">
        <w:t xml:space="preserve"> </w:t>
      </w:r>
      <w:r>
        <w:t xml:space="preserve">approved with the </w:t>
      </w:r>
      <w:proofErr w:type="gramStart"/>
      <w:r>
        <w:t xml:space="preserve">submission which is described in </w:t>
      </w:r>
      <w:r w:rsidRPr="002B3624">
        <w:t>this AusPAR</w:t>
      </w:r>
      <w:proofErr w:type="gram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25" w:history="1">
        <w:r w:rsidR="007C6B9B" w:rsidRPr="007C6B9B">
          <w:rPr>
            <w:rStyle w:val="Hyperlink"/>
          </w:rPr>
          <w:t>https://www.tga.gov.au/product-information-pi</w:t>
        </w:r>
      </w:hyperlink>
      <w:r w:rsidR="00B17022">
        <w:t>&gt;.</w:t>
      </w:r>
    </w:p>
    <w:p w14:paraId="1A731372" w14:textId="3239B478" w:rsidR="00744121" w:rsidRDefault="008E7846" w:rsidP="00B17022">
      <w:pPr>
        <w:autoSpaceDE w:val="0"/>
        <w:autoSpaceDN w:val="0"/>
        <w:adjustRightInd w:val="0"/>
        <w:spacing w:after="0"/>
        <w:rPr>
          <w:lang w:eastAsia="ja-JP"/>
        </w:rPr>
      </w:pPr>
      <w:r w:rsidRPr="00C80137">
        <w:rPr>
          <w:b/>
        </w:rPr>
        <w:br w:type="page"/>
      </w:r>
    </w:p>
    <w:p w14:paraId="4BBDB31D" w14:textId="77777777" w:rsidR="00C80137" w:rsidRPr="001D043B" w:rsidRDefault="00C80137" w:rsidP="003A7F6C">
      <w:pPr>
        <w:pStyle w:val="TableTitle"/>
        <w:sectPr w:rsidR="00C80137" w:rsidRPr="001D043B" w:rsidSect="00B452CE">
          <w:headerReference w:type="even" r:id="rId26"/>
          <w:headerReference w:type="default" r:id="rId27"/>
          <w:headerReference w:type="first" r:id="rId28"/>
          <w:footerReference w:type="first" r:id="rId2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0D8EC431" w14:textId="77777777" w:rsidTr="00A05FA4">
        <w:trPr>
          <w:trHeight w:hRule="exact" w:val="704"/>
        </w:trPr>
        <w:tc>
          <w:tcPr>
            <w:tcW w:w="9175" w:type="dxa"/>
          </w:tcPr>
          <w:p w14:paraId="478D29F0" w14:textId="77777777" w:rsidR="001C32CD" w:rsidRPr="00487162" w:rsidRDefault="001C32CD" w:rsidP="00A05FA4">
            <w:pPr>
              <w:pStyle w:val="TGASignoff"/>
            </w:pPr>
            <w:r w:rsidRPr="00487162">
              <w:t>Therapeutic Goods Administration</w:t>
            </w:r>
          </w:p>
        </w:tc>
      </w:tr>
      <w:tr w:rsidR="001C32CD" w:rsidRPr="004C239D" w14:paraId="6E32BC26" w14:textId="77777777" w:rsidTr="00A05FA4">
        <w:trPr>
          <w:trHeight w:val="1221"/>
        </w:trPr>
        <w:tc>
          <w:tcPr>
            <w:tcW w:w="9175" w:type="dxa"/>
            <w:tcMar>
              <w:top w:w="28" w:type="dxa"/>
            </w:tcMar>
          </w:tcPr>
          <w:p w14:paraId="390943C6" w14:textId="77777777" w:rsidR="001C32CD" w:rsidRPr="00487162" w:rsidRDefault="001C32CD" w:rsidP="00A05FA4">
            <w:pPr>
              <w:pStyle w:val="Address"/>
            </w:pPr>
            <w:r w:rsidRPr="00487162">
              <w:t>PO Box 100 Woden ACT 2606 Australia</w:t>
            </w:r>
          </w:p>
          <w:p w14:paraId="3379D0B5" w14:textId="38AAC2B3" w:rsidR="001C32CD" w:rsidRPr="00487162" w:rsidRDefault="001C32CD" w:rsidP="00A05FA4">
            <w:pPr>
              <w:pStyle w:val="Address"/>
            </w:pPr>
            <w:r w:rsidRPr="00487162">
              <w:t xml:space="preserve">Email: </w:t>
            </w:r>
            <w:hyperlink r:id="rId30" w:history="1">
              <w:r w:rsidRPr="004C239D">
                <w:rPr>
                  <w:rStyle w:val="Hyperlink"/>
                </w:rPr>
                <w:t>info@tga.gov.au</w:t>
              </w:r>
            </w:hyperlink>
            <w:r w:rsidRPr="00487162">
              <w:t xml:space="preserve">  Phone: 1800 020 653  Fax: 02 6232 8605</w:t>
            </w:r>
          </w:p>
          <w:p w14:paraId="6348780F" w14:textId="09FC0C45" w:rsidR="001C32CD" w:rsidRPr="004C239D" w:rsidRDefault="00352D4E" w:rsidP="00A05FA4">
            <w:pPr>
              <w:pStyle w:val="Address"/>
              <w:spacing w:line="260" w:lineRule="atLeast"/>
              <w:rPr>
                <w:b/>
                <w:color w:val="0000FF"/>
                <w:u w:val="single"/>
              </w:rPr>
            </w:pPr>
            <w:hyperlink r:id="rId31" w:history="1">
              <w:r w:rsidR="007C6B9B" w:rsidRPr="007C6B9B">
                <w:rPr>
                  <w:rStyle w:val="Hyperlink"/>
                  <w:b/>
                </w:rPr>
                <w:t>https://www.tga.gov.au</w:t>
              </w:r>
            </w:hyperlink>
          </w:p>
        </w:tc>
      </w:tr>
    </w:tbl>
    <w:p w14:paraId="2B6902CE" w14:textId="77777777" w:rsidR="00774E1D" w:rsidRPr="008A5E0B" w:rsidRDefault="00774E1D" w:rsidP="004C239D"/>
    <w:sectPr w:rsidR="00774E1D" w:rsidRPr="008A5E0B" w:rsidSect="001C32CD">
      <w:headerReference w:type="even" r:id="rId32"/>
      <w:headerReference w:type="default" r:id="rId33"/>
      <w:footerReference w:type="default" r:id="rId34"/>
      <w:headerReference w:type="first" r:id="rId35"/>
      <w:footerReference w:type="first" r:id="rId36"/>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B327" w14:textId="77777777" w:rsidR="0032477C" w:rsidRDefault="0032477C" w:rsidP="00C40A36">
      <w:pPr>
        <w:spacing w:after="0"/>
      </w:pPr>
      <w:r>
        <w:separator/>
      </w:r>
    </w:p>
  </w:endnote>
  <w:endnote w:type="continuationSeparator" w:id="0">
    <w:p w14:paraId="2867A428" w14:textId="77777777" w:rsidR="0032477C" w:rsidRDefault="0032477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0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0D09" w14:textId="77777777" w:rsidR="00026282" w:rsidRDefault="0002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32477C" w:rsidRPr="00487162" w14:paraId="6E99306E" w14:textId="77777777" w:rsidTr="00DB750B">
      <w:trPr>
        <w:trHeight w:val="269"/>
      </w:trPr>
      <w:tc>
        <w:tcPr>
          <w:tcW w:w="7371" w:type="dxa"/>
          <w:tcMar>
            <w:top w:w="142" w:type="dxa"/>
            <w:bottom w:w="0" w:type="dxa"/>
          </w:tcMar>
        </w:tcPr>
        <w:p w14:paraId="2D152C21" w14:textId="46B9DDDE" w:rsidR="0032477C" w:rsidRPr="00487162" w:rsidRDefault="0032477C" w:rsidP="007C0FED">
          <w:pPr>
            <w:pStyle w:val="Footer"/>
          </w:pPr>
          <w:proofErr w:type="spellStart"/>
          <w:r w:rsidRPr="00487162">
            <w:t>AusPA</w:t>
          </w:r>
          <w:r>
            <w:t>R</w:t>
          </w:r>
          <w:proofErr w:type="spellEnd"/>
          <w:r>
            <w:t xml:space="preserve"> - </w:t>
          </w:r>
          <w:proofErr w:type="spellStart"/>
          <w:r>
            <w:t>Comirnaty</w:t>
          </w:r>
          <w:proofErr w:type="spellEnd"/>
          <w:r>
            <w:t xml:space="preserve"> </w:t>
          </w:r>
          <w:r w:rsidRPr="00460036">
            <w:t xml:space="preserve">– </w:t>
          </w:r>
          <w:r>
            <w:t>BNT162b2 (mRNA)</w:t>
          </w:r>
          <w:r w:rsidRPr="00460036">
            <w:t xml:space="preserve"> </w:t>
          </w:r>
          <w:r>
            <w:t>– Pfizer Australia Pty Ltd PM-2021-02187-1-2</w:t>
          </w:r>
          <w:r>
            <w:br/>
            <w:t>FINAL</w:t>
          </w:r>
          <w:r w:rsidRPr="00487162">
            <w:t xml:space="preserve"> </w:t>
          </w:r>
          <w:r>
            <w:t>22 July 2021</w:t>
          </w:r>
        </w:p>
      </w:tc>
      <w:tc>
        <w:tcPr>
          <w:tcW w:w="1490" w:type="dxa"/>
          <w:tcMar>
            <w:top w:w="142" w:type="dxa"/>
            <w:bottom w:w="0" w:type="dxa"/>
          </w:tcMar>
        </w:tcPr>
        <w:p w14:paraId="204ABF4A" w14:textId="588D8CD5" w:rsidR="0032477C" w:rsidRPr="00487162" w:rsidRDefault="0032477C" w:rsidP="00DB750B">
          <w:pPr>
            <w:pStyle w:val="Footer"/>
            <w:jc w:val="right"/>
          </w:pPr>
          <w:r w:rsidRPr="00487162">
            <w:t xml:space="preserve">Page </w:t>
          </w:r>
          <w:r>
            <w:fldChar w:fldCharType="begin"/>
          </w:r>
          <w:r>
            <w:instrText xml:space="preserve"> PAGE  \* Arabic </w:instrText>
          </w:r>
          <w:r>
            <w:fldChar w:fldCharType="separate"/>
          </w:r>
          <w:r w:rsidR="00352D4E">
            <w:rPr>
              <w:noProof/>
            </w:rPr>
            <w:t>12</w:t>
          </w:r>
          <w:r>
            <w:fldChar w:fldCharType="end"/>
          </w:r>
          <w:r w:rsidRPr="00487162">
            <w:t xml:space="preserve"> of </w:t>
          </w:r>
          <w:fldSimple w:instr=" NUMPAGES  \* Arabic ">
            <w:r w:rsidR="00352D4E">
              <w:rPr>
                <w:noProof/>
              </w:rPr>
              <w:t>37</w:t>
            </w:r>
          </w:fldSimple>
        </w:p>
      </w:tc>
    </w:tr>
  </w:tbl>
  <w:p w14:paraId="05E3CECC" w14:textId="77777777" w:rsidR="0032477C" w:rsidRDefault="0032477C"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85BC" w14:textId="77777777" w:rsidR="00026282" w:rsidRDefault="00026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32477C" w:rsidRPr="00487162" w14:paraId="6ABFDF60" w14:textId="77777777" w:rsidTr="00E45619">
      <w:trPr>
        <w:trHeight w:val="269"/>
      </w:trPr>
      <w:tc>
        <w:tcPr>
          <w:tcW w:w="4519" w:type="dxa"/>
          <w:tcBorders>
            <w:top w:val="single" w:sz="4" w:space="0" w:color="auto"/>
          </w:tcBorders>
          <w:tcMar>
            <w:top w:w="142" w:type="dxa"/>
            <w:bottom w:w="0" w:type="dxa"/>
          </w:tcMar>
        </w:tcPr>
        <w:p w14:paraId="6A51480E" w14:textId="77777777" w:rsidR="0032477C" w:rsidRPr="00487162" w:rsidRDefault="0032477C" w:rsidP="00FE1DEE">
          <w:pPr>
            <w:pStyle w:val="Footer"/>
          </w:pPr>
          <w:r w:rsidRPr="00487162">
            <w:t>Document title, Part #, Section # - Section title</w:t>
          </w:r>
        </w:p>
        <w:p w14:paraId="4B463AD8" w14:textId="77777777" w:rsidR="0032477C" w:rsidRPr="00487162" w:rsidRDefault="0032477C" w:rsidP="00FE1DEE">
          <w:pPr>
            <w:pStyle w:val="Footer"/>
          </w:pPr>
          <w:r w:rsidRPr="00487162">
            <w:t>V1.0 October 2010</w:t>
          </w:r>
        </w:p>
      </w:tc>
      <w:tc>
        <w:tcPr>
          <w:tcW w:w="4342" w:type="dxa"/>
          <w:tcBorders>
            <w:top w:val="single" w:sz="4" w:space="0" w:color="auto"/>
          </w:tcBorders>
          <w:tcMar>
            <w:top w:w="142" w:type="dxa"/>
            <w:bottom w:w="0" w:type="dxa"/>
          </w:tcMar>
        </w:tcPr>
        <w:p w14:paraId="604C50AD" w14:textId="77777777" w:rsidR="0032477C" w:rsidRPr="00487162" w:rsidRDefault="0032477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5DE9609B" w14:textId="77777777" w:rsidR="0032477C" w:rsidRDefault="003247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DEF7" w14:textId="77777777" w:rsidR="0032477C" w:rsidRPr="001C32CD" w:rsidRDefault="0032477C"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32477C" w14:paraId="1DC05172" w14:textId="77777777" w:rsidTr="0010601F">
      <w:trPr>
        <w:trHeight w:val="108"/>
      </w:trPr>
      <w:tc>
        <w:tcPr>
          <w:tcW w:w="8875" w:type="dxa"/>
          <w:gridSpan w:val="2"/>
          <w:tcBorders>
            <w:bottom w:val="single" w:sz="4" w:space="0" w:color="auto"/>
          </w:tcBorders>
          <w:tcMar>
            <w:right w:w="284" w:type="dxa"/>
          </w:tcMar>
        </w:tcPr>
        <w:p w14:paraId="0F44FCB6" w14:textId="77777777" w:rsidR="0032477C" w:rsidRDefault="0032477C" w:rsidP="006E08B3">
          <w:pPr>
            <w:pStyle w:val="Heading3"/>
          </w:pPr>
          <w:r>
            <w:t>Copyright</w:t>
          </w:r>
        </w:p>
        <w:p w14:paraId="649F88D0" w14:textId="77777777" w:rsidR="0032477C" w:rsidRDefault="0032477C" w:rsidP="006E08B3">
          <w:r>
            <w:rPr>
              <w:rFonts w:cs="Arial"/>
            </w:rPr>
            <w:t>©</w:t>
          </w:r>
          <w:r>
            <w:t xml:space="preserve"> Commonwealth of Australia [add year]</w:t>
          </w:r>
        </w:p>
        <w:p w14:paraId="57508454" w14:textId="77777777" w:rsidR="0032477C" w:rsidRDefault="0032477C" w:rsidP="006E08B3"/>
        <w:p w14:paraId="46F17284" w14:textId="77777777" w:rsidR="0032477C" w:rsidRDefault="0032477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37C3104A" w14:textId="77777777" w:rsidR="0032477C" w:rsidRDefault="0032477C" w:rsidP="006E08B3"/>
        <w:p w14:paraId="5154B4A8" w14:textId="77777777" w:rsidR="0032477C" w:rsidRDefault="0032477C" w:rsidP="006E08B3">
          <w:pPr>
            <w:pStyle w:val="Heading3"/>
          </w:pPr>
          <w:r>
            <w:t>Confidentiality</w:t>
          </w:r>
        </w:p>
        <w:p w14:paraId="39A37FB3" w14:textId="77777777" w:rsidR="0032477C" w:rsidRDefault="0032477C" w:rsidP="006E08B3">
          <w:r>
            <w:t xml:space="preserve">All submissions received </w:t>
          </w:r>
          <w:proofErr w:type="gramStart"/>
          <w:r>
            <w:t>will be placed</w:t>
          </w:r>
          <w:proofErr w:type="gramEnd"/>
          <w:r>
            <w:t xml:space="preserve"> on the TGA’s Internet site, unless marked confidential. Any confidential material contained within your submission </w:t>
          </w:r>
          <w:proofErr w:type="gramStart"/>
          <w:r>
            <w:t>should be provided</w:t>
          </w:r>
          <w:proofErr w:type="gramEnd"/>
          <w:r>
            <w:t xml:space="preserve"> under a separate cover and clearly marked “IN CONFIDENCE”. Reasons for a claim to confidentiality must be included in the space provided on the TGA submission coversheet.</w:t>
          </w:r>
        </w:p>
        <w:p w14:paraId="5066DABB" w14:textId="77777777" w:rsidR="0032477C" w:rsidRDefault="0032477C" w:rsidP="006E08B3"/>
        <w:p w14:paraId="14E21692" w14:textId="77777777" w:rsidR="0032477C" w:rsidRDefault="0032477C" w:rsidP="006E08B3">
          <w:r>
            <w:t xml:space="preserve">For submission made by individuals, all personal details, other than your name, </w:t>
          </w:r>
          <w:proofErr w:type="gramStart"/>
          <w:r>
            <w:t>will be removed</w:t>
          </w:r>
          <w:proofErr w:type="gramEnd"/>
          <w:r>
            <w:t xml:space="preserve"> from your submission before it is published on the TGA’s Internet site.</w:t>
          </w:r>
        </w:p>
        <w:p w14:paraId="4088A253" w14:textId="77777777" w:rsidR="0032477C" w:rsidRDefault="0032477C" w:rsidP="006E08B3"/>
        <w:p w14:paraId="54C82856" w14:textId="77777777" w:rsidR="0032477C" w:rsidRDefault="0032477C" w:rsidP="006E08B3">
          <w:r>
            <w:t xml:space="preserve">In addition, a list of parties making submissions </w:t>
          </w:r>
          <w:proofErr w:type="gramStart"/>
          <w:r>
            <w:t>will be published</w:t>
          </w:r>
          <w:proofErr w:type="gramEnd"/>
          <w:r>
            <w:t xml:space="preserve">. If you do not wish to be identified with your </w:t>
          </w:r>
          <w:proofErr w:type="gramStart"/>
          <w:r>
            <w:t>submission</w:t>
          </w:r>
          <w:proofErr w:type="gramEnd"/>
          <w:r>
            <w:t xml:space="preserve"> you must specifically request this in the space provided </w:t>
          </w:r>
          <w:proofErr w:type="spellStart"/>
          <w:r>
            <w:t>ib</w:t>
          </w:r>
          <w:proofErr w:type="spellEnd"/>
          <w:r>
            <w:t xml:space="preserve"> the submission coversheet.</w:t>
          </w:r>
        </w:p>
      </w:tc>
    </w:tr>
    <w:tr w:rsidR="0032477C" w14:paraId="30E8B778" w14:textId="77777777" w:rsidTr="0010601F">
      <w:trPr>
        <w:trHeight w:val="417"/>
      </w:trPr>
      <w:tc>
        <w:tcPr>
          <w:tcW w:w="4519" w:type="dxa"/>
          <w:tcBorders>
            <w:top w:val="single" w:sz="4" w:space="0" w:color="auto"/>
          </w:tcBorders>
          <w:tcMar>
            <w:top w:w="142" w:type="dxa"/>
            <w:bottom w:w="0" w:type="dxa"/>
          </w:tcMar>
        </w:tcPr>
        <w:p w14:paraId="760152F6" w14:textId="77777777" w:rsidR="0032477C" w:rsidRDefault="0032477C" w:rsidP="006E08B3">
          <w:r>
            <w:t>Document title, Part #, Section # - Section title</w:t>
          </w:r>
        </w:p>
        <w:p w14:paraId="2BD88B53" w14:textId="77777777" w:rsidR="0032477C" w:rsidRDefault="0032477C" w:rsidP="006E08B3">
          <w:r>
            <w:t>V1.0 October 2010</w:t>
          </w:r>
        </w:p>
      </w:tc>
      <w:tc>
        <w:tcPr>
          <w:tcW w:w="4356" w:type="dxa"/>
          <w:tcBorders>
            <w:top w:val="single" w:sz="4" w:space="0" w:color="auto"/>
          </w:tcBorders>
          <w:tcMar>
            <w:top w:w="142" w:type="dxa"/>
            <w:bottom w:w="0" w:type="dxa"/>
          </w:tcMar>
        </w:tcPr>
        <w:p w14:paraId="2D65AE9E" w14:textId="77777777" w:rsidR="0032477C" w:rsidRDefault="0032477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6AD348CA" w14:textId="77777777" w:rsidR="0032477C" w:rsidRDefault="003247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AFC2" w14:textId="77777777" w:rsidR="0032477C" w:rsidRDefault="0032477C" w:rsidP="00C40A36">
      <w:pPr>
        <w:spacing w:after="0"/>
      </w:pPr>
      <w:r>
        <w:separator/>
      </w:r>
    </w:p>
  </w:footnote>
  <w:footnote w:type="continuationSeparator" w:id="0">
    <w:p w14:paraId="0FF4DF07" w14:textId="77777777" w:rsidR="0032477C" w:rsidRDefault="0032477C" w:rsidP="00C40A36">
      <w:pPr>
        <w:spacing w:after="0"/>
      </w:pPr>
      <w:r>
        <w:continuationSeparator/>
      </w:r>
    </w:p>
  </w:footnote>
  <w:footnote w:id="1">
    <w:p w14:paraId="73C8070C" w14:textId="77777777" w:rsidR="0032477C" w:rsidRDefault="0032477C">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w:t>
      </w:r>
      <w:proofErr w:type="gramStart"/>
      <w:r w:rsidRPr="00460036">
        <w:t>being used</w:t>
      </w:r>
      <w:proofErr w:type="gramEnd"/>
      <w:r w:rsidRPr="00460036">
        <w:t xml:space="preserve">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5BC3571C" w14:textId="77777777" w:rsidR="0032477C" w:rsidRDefault="0032477C">
      <w:pPr>
        <w:pStyle w:val="FootnoteText"/>
      </w:pPr>
      <w:r>
        <w:rPr>
          <w:rStyle w:val="FootnoteReference"/>
        </w:rPr>
        <w:footnoteRef/>
      </w:r>
      <w:r>
        <w:t xml:space="preserve"> </w:t>
      </w:r>
      <w:r w:rsidRPr="0078014C">
        <w:t>Zhu N, Zhang D, Wang W, et al. A Novel Coronavirus from Patients with Pneumonia in China, 2019. The New England journal of medicine. 2020</w:t>
      </w:r>
      <w:proofErr w:type="gramStart"/>
      <w:r w:rsidRPr="0078014C">
        <w:t>;382</w:t>
      </w:r>
      <w:proofErr w:type="gramEnd"/>
      <w:r w:rsidRPr="0078014C">
        <w:t>(8):727-733.</w:t>
      </w:r>
    </w:p>
  </w:footnote>
  <w:footnote w:id="3">
    <w:p w14:paraId="6FF1C1D5" w14:textId="77777777" w:rsidR="0032477C" w:rsidRDefault="0032477C">
      <w:pPr>
        <w:pStyle w:val="FootnoteText"/>
      </w:pPr>
      <w:r>
        <w:rPr>
          <w:rStyle w:val="FootnoteReference"/>
        </w:rPr>
        <w:footnoteRef/>
      </w:r>
      <w:r>
        <w:t xml:space="preserve"> </w:t>
      </w:r>
      <w:r w:rsidRPr="0078014C">
        <w:t xml:space="preserve">Hoffmann M, </w:t>
      </w:r>
      <w:proofErr w:type="spellStart"/>
      <w:r w:rsidRPr="0078014C">
        <w:t>Kleine</w:t>
      </w:r>
      <w:proofErr w:type="spellEnd"/>
      <w:r w:rsidRPr="0078014C">
        <w:t>-Weber H, Schroeder S, et al. SARS-CoV-2 Cell Entry Depends on ACE2 and TMPRSS2 and Is Blocked by a Clinically Proven Protease Inhibitor. Cell. 2020</w:t>
      </w:r>
      <w:proofErr w:type="gramStart"/>
      <w:r w:rsidRPr="0078014C">
        <w:t>;181</w:t>
      </w:r>
      <w:proofErr w:type="gramEnd"/>
      <w:r w:rsidRPr="0078014C">
        <w:t>(2):271-280.e278.</w:t>
      </w:r>
    </w:p>
  </w:footnote>
  <w:footnote w:id="4">
    <w:p w14:paraId="362EB912" w14:textId="46B7325E" w:rsidR="0032477C" w:rsidRPr="004F6C12" w:rsidRDefault="0032477C" w:rsidP="004F6C12">
      <w:pPr>
        <w:pStyle w:val="FootnoteText"/>
      </w:pPr>
      <w:r>
        <w:rPr>
          <w:rStyle w:val="FootnoteReference"/>
        </w:rPr>
        <w:footnoteRef/>
      </w:r>
      <w:r>
        <w:t xml:space="preserve"> World Health Organization’s General Director 11 March 2020; available at: https://www.who.int/director- general/speeches/detail/who-director-general-s-opening-remarks-at-the-media-briefing-on-covid-19---11- march-2020.</w:t>
      </w:r>
    </w:p>
  </w:footnote>
  <w:footnote w:id="5">
    <w:p w14:paraId="0382C33D" w14:textId="0F3ECF32" w:rsidR="0032477C" w:rsidRPr="002A2E35" w:rsidRDefault="0032477C">
      <w:pPr>
        <w:pStyle w:val="FootnoteText"/>
        <w:rPr>
          <w:lang w:val="en-US"/>
        </w:rPr>
      </w:pPr>
      <w:r>
        <w:rPr>
          <w:rStyle w:val="FootnoteReference"/>
        </w:rPr>
        <w:footnoteRef/>
      </w:r>
      <w:r>
        <w:t xml:space="preserve"> See the AusPAR for </w:t>
      </w:r>
      <w:r w:rsidRPr="004F6C12">
        <w:t>ChAdOx1-S</w:t>
      </w:r>
      <w:r>
        <w:t xml:space="preserve">, </w:t>
      </w:r>
      <w:r w:rsidRPr="007059A7">
        <w:t>COVID-19 Vaccine AstraZeneca</w:t>
      </w:r>
      <w:r>
        <w:t xml:space="preserve">, published in February 2021 for further details: </w:t>
      </w:r>
      <w:r w:rsidRPr="004F6C12">
        <w:t>https://www.tga.gov.au/auspar/auspar-chadox1-s</w:t>
      </w:r>
    </w:p>
  </w:footnote>
  <w:footnote w:id="6">
    <w:p w14:paraId="3DEBC7F4" w14:textId="736EE9CA" w:rsidR="0032477C" w:rsidRDefault="0032477C">
      <w:pPr>
        <w:pStyle w:val="FootnoteText"/>
      </w:pPr>
      <w:r>
        <w:rPr>
          <w:rStyle w:val="FootnoteReference"/>
        </w:rPr>
        <w:footnoteRef/>
      </w:r>
      <w:r>
        <w:t xml:space="preserve"> See the AusPAR for Ad26.COV2.S, COVID-19 Vaccine Janssen, published in June 2021 for further details; </w:t>
      </w:r>
      <w:r w:rsidRPr="00BA6761">
        <w:t>https://www.tga.gov.au/auspar/auspar-ad26cov2s</w:t>
      </w:r>
    </w:p>
  </w:footnote>
  <w:footnote w:id="7">
    <w:p w14:paraId="66FD57FE" w14:textId="4B1DD8BF" w:rsidR="0032477C" w:rsidRPr="002A2E35" w:rsidRDefault="0032477C">
      <w:pPr>
        <w:pStyle w:val="FootnoteText"/>
        <w:rPr>
          <w:lang w:val="en-US"/>
        </w:rPr>
      </w:pPr>
      <w:r>
        <w:rPr>
          <w:rStyle w:val="FootnoteReference"/>
        </w:rPr>
        <w:footnoteRef/>
      </w:r>
      <w:r>
        <w:t xml:space="preserve"> </w:t>
      </w:r>
      <w:r>
        <w:rPr>
          <w:lang w:val="en-US"/>
        </w:rPr>
        <w:t xml:space="preserve">See the AusPAR for BNT162b2 (mRNA), </w:t>
      </w:r>
      <w:proofErr w:type="spellStart"/>
      <w:r>
        <w:rPr>
          <w:lang w:val="en-US"/>
        </w:rPr>
        <w:t>Comirnaty</w:t>
      </w:r>
      <w:proofErr w:type="spellEnd"/>
      <w:r>
        <w:rPr>
          <w:lang w:val="en-US"/>
        </w:rPr>
        <w:t xml:space="preserve">, published in January 2021 for further details; </w:t>
      </w:r>
      <w:r w:rsidRPr="007059A7">
        <w:rPr>
          <w:lang w:val="en-US"/>
        </w:rPr>
        <w:t>https://www.tga.gov.au/auspar/auspar-bnt162b2-mrna-comirnaty</w:t>
      </w:r>
    </w:p>
  </w:footnote>
  <w:footnote w:id="8">
    <w:p w14:paraId="044C49E4" w14:textId="29F80666" w:rsidR="0032477C" w:rsidRPr="00DA12A4" w:rsidRDefault="0032477C" w:rsidP="00A237BB">
      <w:pPr>
        <w:pStyle w:val="FootnoteText"/>
      </w:pPr>
      <w:r>
        <w:rPr>
          <w:rStyle w:val="FootnoteReference"/>
        </w:rPr>
        <w:footnoteRef/>
      </w:r>
      <w:r>
        <w:t xml:space="preserve"> The Provisional approval pathway allows for provisional registration of medicines </w:t>
      </w:r>
      <w:proofErr w:type="gramStart"/>
      <w:r>
        <w:t>on the basis of</w:t>
      </w:r>
      <w:proofErr w:type="gramEnd"/>
      <w:r>
        <w:t xml:space="preserve"> preliminary clinical data. However, we require comprehensive non-clinical data on safety, quality and compliance with Good Manufacturing Practice. These requirements are the same as in the standard registration process for prescription medicines.</w:t>
      </w:r>
    </w:p>
  </w:footnote>
  <w:footnote w:id="9">
    <w:p w14:paraId="73884B76" w14:textId="455C2E5A" w:rsidR="0032477C" w:rsidRDefault="0032477C">
      <w:pPr>
        <w:pStyle w:val="FootnoteText"/>
      </w:pPr>
      <w:r>
        <w:rPr>
          <w:rStyle w:val="FootnoteReference"/>
        </w:rPr>
        <w:footnoteRef/>
      </w:r>
      <w:r>
        <w:t xml:space="preserve"> </w:t>
      </w:r>
      <w:r w:rsidRPr="00E1027A">
        <w:t>EMA, Committee for Medicinal Products for Human Use (CHMP), Guideline on Clinical Evaluation of New Vaccines EMEA/CHMP/VMP/164653/2005, October 2006. Available from the EMA website.</w:t>
      </w:r>
    </w:p>
  </w:footnote>
  <w:footnote w:id="10">
    <w:p w14:paraId="0810CD05" w14:textId="33615ECB" w:rsidR="0032477C" w:rsidRDefault="0032477C">
      <w:pPr>
        <w:pStyle w:val="FootnoteText"/>
      </w:pPr>
      <w:r>
        <w:rPr>
          <w:rStyle w:val="FootnoteReference"/>
        </w:rPr>
        <w:footnoteRef/>
      </w:r>
      <w:r>
        <w:t xml:space="preserve"> </w:t>
      </w:r>
      <w:r w:rsidRPr="00E1027A">
        <w:t>Access Consortium statement on COVID-19 vaccines evidence (published on 4 December). Available from the TGA website at https://www.tga.gov.au/access-consortium-statement-covid-19-vaccines-evidence.</w:t>
      </w:r>
    </w:p>
  </w:footnote>
  <w:footnote w:id="11">
    <w:p w14:paraId="6FF99A70" w14:textId="2E5403D6" w:rsidR="0032477C" w:rsidRDefault="0032477C">
      <w:pPr>
        <w:pStyle w:val="FootnoteText"/>
      </w:pPr>
      <w:r>
        <w:rPr>
          <w:rStyle w:val="FootnoteReference"/>
        </w:rPr>
        <w:footnoteRef/>
      </w:r>
      <w:r>
        <w:t xml:space="preserve"> </w:t>
      </w:r>
      <w:r w:rsidRPr="00E1027A">
        <w:t xml:space="preserve">The </w:t>
      </w:r>
      <w:r w:rsidRPr="00E1027A">
        <w:rPr>
          <w:b/>
        </w:rPr>
        <w:t>Access Consortium</w:t>
      </w:r>
      <w:r w:rsidRPr="00E1027A">
        <w:t xml:space="preserve"> is a medium-sized coalition, which </w:t>
      </w:r>
      <w:proofErr w:type="gramStart"/>
      <w:r w:rsidRPr="00E1027A">
        <w:t>was formed</w:t>
      </w:r>
      <w:proofErr w:type="gramEnd"/>
      <w:r w:rsidRPr="00E1027A">
        <w:t xml:space="preserve"> in 2007 by 'like-minded' regulatory authorities to promote greater regulatory collaboration and alignment of regulatory requirements. The consortium currently comprises the national regulatory authorities of Australia, Canada, Singapore, Switzerland and the UK. For further information visit: https://www.tga.gov.au/australia-canada-singapore-switzerland-united-kingdom-access-consortium.</w:t>
      </w:r>
    </w:p>
  </w:footnote>
  <w:footnote w:id="12">
    <w:p w14:paraId="18C9159C" w14:textId="3BC26A5C" w:rsidR="0032477C" w:rsidRDefault="0032477C">
      <w:pPr>
        <w:pStyle w:val="FootnoteText"/>
      </w:pPr>
      <w:r>
        <w:rPr>
          <w:rStyle w:val="FootnoteReference"/>
        </w:rPr>
        <w:footnoteRef/>
      </w:r>
      <w:r>
        <w:t xml:space="preserve"> FDA Guidance for Industry, </w:t>
      </w:r>
      <w:r w:rsidRPr="00E1027A">
        <w:t>D</w:t>
      </w:r>
      <w:r w:rsidRPr="00E1027A">
        <w:rPr>
          <w:rStyle w:val="Hyperlink"/>
          <w:color w:val="auto"/>
          <w:u w:val="none"/>
        </w:rPr>
        <w:t>evelopment and Licensure of Vaccines to Prevent COVID-19</w:t>
      </w:r>
      <w:r>
        <w:rPr>
          <w:rStyle w:val="Hyperlink"/>
          <w:color w:val="auto"/>
          <w:u w:val="none"/>
        </w:rPr>
        <w:t xml:space="preserve"> (published June 2020). Available from the FDA website.</w:t>
      </w:r>
    </w:p>
  </w:footnote>
  <w:footnote w:id="13">
    <w:p w14:paraId="15E5F3F2" w14:textId="45E65673" w:rsidR="0032477C" w:rsidRDefault="0032477C">
      <w:pPr>
        <w:pStyle w:val="FootnoteText"/>
      </w:pPr>
      <w:r>
        <w:rPr>
          <w:rStyle w:val="FootnoteReference"/>
        </w:rPr>
        <w:footnoteRef/>
      </w:r>
      <w:r>
        <w:t xml:space="preserve"> FDA Guidance for Industry, </w:t>
      </w:r>
      <w:r w:rsidRPr="00B16A37">
        <w:t>Emergency Use Authorization for Vaccines to Prevent COVID-19</w:t>
      </w:r>
      <w:r>
        <w:t xml:space="preserve"> (published 25 May 2021)</w:t>
      </w:r>
    </w:p>
  </w:footnote>
  <w:footnote w:id="14">
    <w:p w14:paraId="62C7A0FB" w14:textId="6CE24105" w:rsidR="0032477C" w:rsidRDefault="0032477C">
      <w:pPr>
        <w:pStyle w:val="FootnoteText"/>
      </w:pPr>
      <w:r>
        <w:rPr>
          <w:rStyle w:val="FootnoteReference"/>
        </w:rPr>
        <w:footnoteRef/>
      </w:r>
      <w:r>
        <w:t xml:space="preserve"> </w:t>
      </w:r>
      <w:r w:rsidRPr="00E1027A">
        <w:t>EMA, Committee for Medicinal Products for Human Use (CHMP),</w:t>
      </w:r>
      <w:r>
        <w:t xml:space="preserve"> Considerations on COVID-19 vaccine approval EMA/592928/2020, 16 November 2020.</w:t>
      </w:r>
      <w:r w:rsidRPr="00B16A37">
        <w:t xml:space="preserve"> </w:t>
      </w:r>
      <w:r w:rsidRPr="00E1027A">
        <w:t>Available from the EMA website.</w:t>
      </w:r>
    </w:p>
  </w:footnote>
  <w:footnote w:id="15">
    <w:p w14:paraId="381C0138" w14:textId="7692C94C" w:rsidR="0032477C" w:rsidRDefault="0032477C">
      <w:pPr>
        <w:pStyle w:val="FootnoteText"/>
      </w:pPr>
      <w:r>
        <w:rPr>
          <w:rStyle w:val="FootnoteReference"/>
        </w:rPr>
        <w:footnoteRef/>
      </w:r>
      <w:r>
        <w:t xml:space="preserve"> </w:t>
      </w:r>
      <w:r w:rsidRPr="00130E98">
        <w:t>Australian Public Assessment Report</w:t>
      </w:r>
      <w:r>
        <w:t xml:space="preserve"> for </w:t>
      </w:r>
      <w:proofErr w:type="spellStart"/>
      <w:r>
        <w:t>Comirnaty</w:t>
      </w:r>
      <w:proofErr w:type="spellEnd"/>
      <w:r>
        <w:t xml:space="preserve"> (BNT162b2 (mRNA)), first published on 25 January 2021. Assessable via </w:t>
      </w:r>
      <w:r w:rsidRPr="00130E98">
        <w:t>https://www.tga.gov.au/auspar/auspar-bnt162b2-mrna-comirnaty</w:t>
      </w:r>
      <w:r>
        <w:t>.</w:t>
      </w:r>
    </w:p>
  </w:footnote>
  <w:footnote w:id="16">
    <w:p w14:paraId="2AADAD05" w14:textId="69030E33" w:rsidR="0032477C" w:rsidRPr="00CA26FB" w:rsidRDefault="0032477C">
      <w:pPr>
        <w:pStyle w:val="FootnoteText"/>
        <w:rPr>
          <w:lang w:val="en-US"/>
        </w:rPr>
      </w:pPr>
      <w:r>
        <w:rPr>
          <w:rStyle w:val="FootnoteReference"/>
        </w:rPr>
        <w:footnoteRef/>
      </w:r>
      <w:r>
        <w:t xml:space="preserve"> </w:t>
      </w:r>
      <w:r>
        <w:rPr>
          <w:lang w:val="en-US"/>
        </w:rPr>
        <w:t xml:space="preserve">The nature of the third and fourth dosage schedule does not comprise part of the application as submitted here, but is included </w:t>
      </w:r>
      <w:proofErr w:type="gramStart"/>
      <w:r>
        <w:rPr>
          <w:lang w:val="en-US"/>
        </w:rPr>
        <w:t>on the basis of</w:t>
      </w:r>
      <w:proofErr w:type="gramEnd"/>
      <w:r>
        <w:rPr>
          <w:lang w:val="en-US"/>
        </w:rPr>
        <w:t xml:space="preserve"> analysis of safety information. Participants originally </w:t>
      </w:r>
      <w:proofErr w:type="spellStart"/>
      <w:r>
        <w:rPr>
          <w:lang w:val="en-US"/>
        </w:rPr>
        <w:t>randomised</w:t>
      </w:r>
      <w:proofErr w:type="spellEnd"/>
      <w:r>
        <w:rPr>
          <w:lang w:val="en-US"/>
        </w:rPr>
        <w:t xml:space="preserve"> to placebo for their first two doses, would then go on to receive two doses of active vaccine.</w:t>
      </w:r>
    </w:p>
  </w:footnote>
  <w:footnote w:id="17">
    <w:p w14:paraId="1DD3F8CA" w14:textId="77777777" w:rsidR="0032477C" w:rsidRDefault="0032477C" w:rsidP="007D235C">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67FC0E29" w14:textId="77777777" w:rsidR="0032477C" w:rsidRDefault="0032477C" w:rsidP="007D235C">
      <w:pPr>
        <w:pStyle w:val="FootnoteText"/>
      </w:pPr>
      <w:r w:rsidRPr="007D53B6">
        <w:rPr>
          <w:i/>
        </w:rPr>
        <w:t>Routine pharmacovigilance</w:t>
      </w:r>
      <w:r>
        <w:t xml:space="preserve"> practices involve the following activities:</w:t>
      </w:r>
    </w:p>
    <w:p w14:paraId="4BB81E40" w14:textId="77777777" w:rsidR="0032477C" w:rsidRDefault="0032477C" w:rsidP="007D235C">
      <w:pPr>
        <w:pStyle w:val="FootnoteText"/>
        <w:numPr>
          <w:ilvl w:val="0"/>
          <w:numId w:val="32"/>
        </w:numPr>
        <w:ind w:left="284" w:hanging="284"/>
      </w:pPr>
      <w:r>
        <w:t>All suspected adverse reactions that are reported to the personnel of the company are collected and collated in an accessible manner;</w:t>
      </w:r>
    </w:p>
    <w:p w14:paraId="716D518B" w14:textId="77777777" w:rsidR="0032477C" w:rsidRDefault="0032477C" w:rsidP="007D235C">
      <w:pPr>
        <w:pStyle w:val="FootnoteText"/>
        <w:numPr>
          <w:ilvl w:val="0"/>
          <w:numId w:val="32"/>
        </w:numPr>
        <w:ind w:left="284" w:hanging="284"/>
      </w:pPr>
      <w:r>
        <w:t>Reporting to regulatory authorities;</w:t>
      </w:r>
    </w:p>
    <w:p w14:paraId="09DE289A" w14:textId="77777777" w:rsidR="0032477C" w:rsidRDefault="0032477C" w:rsidP="007D235C">
      <w:pPr>
        <w:pStyle w:val="FootnoteText"/>
        <w:numPr>
          <w:ilvl w:val="0"/>
          <w:numId w:val="32"/>
        </w:numPr>
        <w:ind w:left="284" w:hanging="284"/>
      </w:pPr>
      <w:r>
        <w:t>Continuous monitoring of the safety profiles of approved products including signal detection and updating of labelling;</w:t>
      </w:r>
    </w:p>
    <w:p w14:paraId="2AC84D06" w14:textId="77777777" w:rsidR="0032477C" w:rsidRDefault="0032477C" w:rsidP="007D235C">
      <w:pPr>
        <w:pStyle w:val="FootnoteText"/>
        <w:numPr>
          <w:ilvl w:val="0"/>
          <w:numId w:val="32"/>
        </w:numPr>
        <w:ind w:left="284" w:hanging="284"/>
      </w:pPr>
      <w:r>
        <w:t>Submission of PSURs;</w:t>
      </w:r>
    </w:p>
    <w:p w14:paraId="613FB80B" w14:textId="77777777" w:rsidR="0032477C" w:rsidRDefault="0032477C" w:rsidP="007D235C">
      <w:pPr>
        <w:pStyle w:val="FootnoteText"/>
        <w:numPr>
          <w:ilvl w:val="0"/>
          <w:numId w:val="32"/>
        </w:numPr>
        <w:ind w:left="284" w:hanging="284"/>
      </w:pPr>
      <w:r>
        <w:t>Meeting other local regulatory agency requirements.</w:t>
      </w:r>
    </w:p>
  </w:footnote>
  <w:footnote w:id="18">
    <w:p w14:paraId="0A22FA78" w14:textId="77777777" w:rsidR="0032477C" w:rsidRPr="00C61EC3" w:rsidRDefault="0032477C" w:rsidP="00D21688">
      <w:pPr>
        <w:pStyle w:val="FootnoteText"/>
      </w:pPr>
      <w:r>
        <w:rPr>
          <w:rStyle w:val="FootnoteReference"/>
        </w:rPr>
        <w:footnoteRef/>
      </w:r>
      <w:r>
        <w:t xml:space="preserve"> </w:t>
      </w:r>
      <w:r w:rsidRPr="00C61EC3">
        <w:t xml:space="preserve">The </w:t>
      </w:r>
      <w:r w:rsidRPr="00C61EC3">
        <w:rPr>
          <w:b/>
        </w:rPr>
        <w:t>Advisory Committee on Vaccines (ACV)</w:t>
      </w:r>
      <w:r w:rsidRPr="00C61EC3">
        <w:t xml:space="preserve"> provides independent medical and scientific advice to the Minister for Health and the Therapeutic Goods Administration (TGA) on issues relating to the safety, quality and efficacy of vaccines supplied in Australia including issues relating to pre-market assessment, post-market monitoring and safe use in national immunisation programs.</w:t>
      </w:r>
    </w:p>
    <w:p w14:paraId="7AEF81AA" w14:textId="77777777" w:rsidR="0032477C" w:rsidRPr="00C61EC3" w:rsidRDefault="0032477C" w:rsidP="00D21688">
      <w:pPr>
        <w:pStyle w:val="FootnoteText"/>
      </w:pPr>
      <w:r w:rsidRPr="00C61EC3">
        <w:t xml:space="preserve">The Committee is established under Regulation 39F of the Therapeutic Goods Regulations 1990 and the </w:t>
      </w:r>
      <w:proofErr w:type="gramStart"/>
      <w:r w:rsidRPr="00C61EC3">
        <w:t>members are appointed by the Minister for Health</w:t>
      </w:r>
      <w:proofErr w:type="gramEnd"/>
      <w:r w:rsidRPr="00C61EC3">
        <w:t>.</w:t>
      </w:r>
    </w:p>
    <w:p w14:paraId="514E602D" w14:textId="77777777" w:rsidR="0032477C" w:rsidRPr="00C61EC3" w:rsidRDefault="0032477C" w:rsidP="00D21688">
      <w:pPr>
        <w:pStyle w:val="FootnoteText"/>
      </w:pPr>
      <w:r w:rsidRPr="00C61EC3">
        <w:t xml:space="preserve">The ACV </w:t>
      </w:r>
      <w:proofErr w:type="gramStart"/>
      <w:r w:rsidRPr="00C61EC3">
        <w:t>was established</w:t>
      </w:r>
      <w:proofErr w:type="gramEnd"/>
      <w:r w:rsidRPr="00C61EC3">
        <w:t xml:space="preserve"> in January 2017, following consolidation of previous functions of the Advisory Committee on the Safety of Vaccines (ACSOV) and the pre-market functions for vaccines of the Advisory Committee on Prescription Medicines (ACPM).</w:t>
      </w:r>
    </w:p>
    <w:p w14:paraId="4C2B6C78" w14:textId="327A588E" w:rsidR="0032477C" w:rsidRPr="00D21688" w:rsidRDefault="0032477C" w:rsidP="00D21688">
      <w:pPr>
        <w:pStyle w:val="FootnoteText"/>
      </w:pPr>
      <w:r w:rsidRPr="00C61EC3">
        <w:t>Membership comprises professionals with expertise in specific scientific, medical or clinical fields, or consumer health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2CB4" w14:textId="77777777" w:rsidR="00026282" w:rsidRDefault="0002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4C32" w14:textId="77777777" w:rsidR="0032477C" w:rsidRDefault="0032477C"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B694" w14:textId="77777777" w:rsidR="0032477C" w:rsidRDefault="0032477C">
    <w:pPr>
      <w:rPr>
        <w:noProof/>
        <w:lang w:eastAsia="en-AU"/>
      </w:rPr>
    </w:pPr>
    <w:r w:rsidRPr="00347824">
      <w:rPr>
        <w:noProof/>
        <w:lang w:eastAsia="en-AU"/>
      </w:rPr>
      <w:drawing>
        <wp:anchor distT="0" distB="0" distL="114300" distR="114300" simplePos="0" relativeHeight="251659264" behindDoc="1" locked="0" layoutInCell="1" allowOverlap="1" wp14:anchorId="149130BE" wp14:editId="21079B01">
          <wp:simplePos x="0" y="0"/>
          <wp:positionH relativeFrom="column">
            <wp:posOffset>-1089660</wp:posOffset>
          </wp:positionH>
          <wp:positionV relativeFrom="paragraph">
            <wp:posOffset>-585470</wp:posOffset>
          </wp:positionV>
          <wp:extent cx="7572375" cy="10706100"/>
          <wp:effectExtent l="19050" t="0" r="0" b="0"/>
          <wp:wrapNone/>
          <wp:docPr id="7"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042B42D5" w14:textId="77777777" w:rsidR="0032477C" w:rsidRDefault="0032477C"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D3EF" w14:textId="77777777" w:rsidR="0032477C" w:rsidRDefault="003247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7927" w14:textId="77777777" w:rsidR="0032477C" w:rsidRDefault="0032477C">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609F" w14:textId="77777777" w:rsidR="0032477C" w:rsidRDefault="0032477C">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448E" w14:textId="77777777" w:rsidR="0032477C" w:rsidRDefault="003247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4729" w14:textId="77777777" w:rsidR="0032477C" w:rsidRDefault="0032477C"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FAE9" w14:textId="77777777" w:rsidR="0032477C" w:rsidRDefault="0032477C" w:rsidP="006E08B3">
    <w:r>
      <w:t>Therapeutic Goods Administration</w:t>
    </w:r>
  </w:p>
  <w:p w14:paraId="18DEA120" w14:textId="77777777" w:rsidR="0032477C" w:rsidRDefault="0032477C"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1467A29"/>
    <w:multiLevelType w:val="hybridMultilevel"/>
    <w:tmpl w:val="39945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22208AB"/>
    <w:multiLevelType w:val="hybridMultilevel"/>
    <w:tmpl w:val="2A94C2BC"/>
    <w:lvl w:ilvl="0" w:tplc="0C090001">
      <w:start w:val="1"/>
      <w:numFmt w:val="bullet"/>
      <w:lvlText w:val=""/>
      <w:lvlJc w:val="left"/>
      <w:pPr>
        <w:ind w:left="720" w:hanging="360"/>
      </w:pPr>
      <w:rPr>
        <w:rFonts w:ascii="Symbol" w:hAnsi="Symbol" w:hint="default"/>
      </w:rPr>
    </w:lvl>
    <w:lvl w:ilvl="1" w:tplc="53345DEC">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F13E9"/>
    <w:multiLevelType w:val="multilevel"/>
    <w:tmpl w:val="50FC2A92"/>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88B08BC"/>
    <w:multiLevelType w:val="hybridMultilevel"/>
    <w:tmpl w:val="0848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C77D9"/>
    <w:multiLevelType w:val="hybridMultilevel"/>
    <w:tmpl w:val="00A4D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C71AC"/>
    <w:multiLevelType w:val="hybridMultilevel"/>
    <w:tmpl w:val="79DE9B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99633F"/>
    <w:multiLevelType w:val="hybridMultilevel"/>
    <w:tmpl w:val="BF06C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8"/>
  </w:num>
  <w:num w:numId="9">
    <w:abstractNumId w:val="8"/>
  </w:num>
  <w:num w:numId="10">
    <w:abstractNumId w:val="8"/>
  </w:num>
  <w:num w:numId="11">
    <w:abstractNumId w:val="8"/>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8"/>
  </w:num>
  <w:num w:numId="17">
    <w:abstractNumId w:val="8"/>
  </w:num>
  <w:num w:numId="18">
    <w:abstractNumId w:val="8"/>
  </w:num>
  <w:num w:numId="19">
    <w:abstractNumId w:val="10"/>
  </w:num>
  <w:num w:numId="20">
    <w:abstractNumId w:val="10"/>
  </w:num>
  <w:num w:numId="21">
    <w:abstractNumId w:val="10"/>
  </w:num>
  <w:num w:numId="22">
    <w:abstractNumId w:val="8"/>
  </w:num>
  <w:num w:numId="23">
    <w:abstractNumId w:val="8"/>
  </w:num>
  <w:num w:numId="24">
    <w:abstractNumId w:val="8"/>
  </w:num>
  <w:num w:numId="25">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5"/>
  </w:num>
  <w:num w:numId="28">
    <w:abstractNumId w:val="18"/>
  </w:num>
  <w:num w:numId="29">
    <w:abstractNumId w:val="9"/>
  </w:num>
  <w:num w:numId="30">
    <w:abstractNumId w:val="13"/>
  </w:num>
  <w:num w:numId="31">
    <w:abstractNumId w:val="6"/>
  </w:num>
  <w:num w:numId="32">
    <w:abstractNumId w:val="16"/>
  </w:num>
  <w:num w:numId="33">
    <w:abstractNumId w:val="11"/>
  </w:num>
  <w:num w:numId="34">
    <w:abstractNumId w:val="17"/>
  </w:num>
  <w:num w:numId="35">
    <w:abstractNumId w:val="12"/>
  </w:num>
  <w:num w:numId="36">
    <w:abstractNumId w:val="7"/>
  </w:num>
  <w:num w:numId="37">
    <w:abstractNumId w:val="5"/>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9A"/>
    <w:rsid w:val="00002031"/>
    <w:rsid w:val="00004734"/>
    <w:rsid w:val="00006B22"/>
    <w:rsid w:val="00006FAB"/>
    <w:rsid w:val="0001276A"/>
    <w:rsid w:val="000176FD"/>
    <w:rsid w:val="0002135E"/>
    <w:rsid w:val="000246AE"/>
    <w:rsid w:val="00025C67"/>
    <w:rsid w:val="00026282"/>
    <w:rsid w:val="00044772"/>
    <w:rsid w:val="0004541C"/>
    <w:rsid w:val="0005559E"/>
    <w:rsid w:val="000604D6"/>
    <w:rsid w:val="00060AD1"/>
    <w:rsid w:val="000734D8"/>
    <w:rsid w:val="00077775"/>
    <w:rsid w:val="00090471"/>
    <w:rsid w:val="00096AA7"/>
    <w:rsid w:val="000A3AED"/>
    <w:rsid w:val="000B3532"/>
    <w:rsid w:val="000B3A75"/>
    <w:rsid w:val="000B4E5F"/>
    <w:rsid w:val="000B7C3D"/>
    <w:rsid w:val="000C00C2"/>
    <w:rsid w:val="000C2F70"/>
    <w:rsid w:val="000C690F"/>
    <w:rsid w:val="000D1295"/>
    <w:rsid w:val="000D391B"/>
    <w:rsid w:val="000D3D6D"/>
    <w:rsid w:val="000D4FC7"/>
    <w:rsid w:val="000E0631"/>
    <w:rsid w:val="000E6196"/>
    <w:rsid w:val="000F4869"/>
    <w:rsid w:val="000F5B42"/>
    <w:rsid w:val="000F6D3C"/>
    <w:rsid w:val="000F6E6F"/>
    <w:rsid w:val="0010601F"/>
    <w:rsid w:val="0010788A"/>
    <w:rsid w:val="00107A31"/>
    <w:rsid w:val="00110EA5"/>
    <w:rsid w:val="00112F56"/>
    <w:rsid w:val="00115CFC"/>
    <w:rsid w:val="00122C2E"/>
    <w:rsid w:val="00124ACD"/>
    <w:rsid w:val="00125318"/>
    <w:rsid w:val="001305A2"/>
    <w:rsid w:val="00130E98"/>
    <w:rsid w:val="00131E34"/>
    <w:rsid w:val="00133238"/>
    <w:rsid w:val="00133A1B"/>
    <w:rsid w:val="00135C51"/>
    <w:rsid w:val="0014197B"/>
    <w:rsid w:val="0014271B"/>
    <w:rsid w:val="001447CD"/>
    <w:rsid w:val="001516B1"/>
    <w:rsid w:val="001531C4"/>
    <w:rsid w:val="00154EBB"/>
    <w:rsid w:val="00156316"/>
    <w:rsid w:val="00161181"/>
    <w:rsid w:val="00162D14"/>
    <w:rsid w:val="00163780"/>
    <w:rsid w:val="00165389"/>
    <w:rsid w:val="0017693F"/>
    <w:rsid w:val="00180496"/>
    <w:rsid w:val="0018110E"/>
    <w:rsid w:val="00181684"/>
    <w:rsid w:val="0018264C"/>
    <w:rsid w:val="001843C6"/>
    <w:rsid w:val="001850E0"/>
    <w:rsid w:val="00196F22"/>
    <w:rsid w:val="001A03AF"/>
    <w:rsid w:val="001A2158"/>
    <w:rsid w:val="001A525F"/>
    <w:rsid w:val="001B09F9"/>
    <w:rsid w:val="001B5C90"/>
    <w:rsid w:val="001B6448"/>
    <w:rsid w:val="001C3054"/>
    <w:rsid w:val="001C32CD"/>
    <w:rsid w:val="001D2984"/>
    <w:rsid w:val="001E07CF"/>
    <w:rsid w:val="001E59F1"/>
    <w:rsid w:val="001F2CEE"/>
    <w:rsid w:val="001F49EB"/>
    <w:rsid w:val="001F6CBA"/>
    <w:rsid w:val="00201D4E"/>
    <w:rsid w:val="00206EBC"/>
    <w:rsid w:val="002076C9"/>
    <w:rsid w:val="002077BE"/>
    <w:rsid w:val="00220B8A"/>
    <w:rsid w:val="0022306F"/>
    <w:rsid w:val="002257F3"/>
    <w:rsid w:val="00233456"/>
    <w:rsid w:val="002339A5"/>
    <w:rsid w:val="00250271"/>
    <w:rsid w:val="00257848"/>
    <w:rsid w:val="002578E8"/>
    <w:rsid w:val="0027084A"/>
    <w:rsid w:val="002742BB"/>
    <w:rsid w:val="00280265"/>
    <w:rsid w:val="00286434"/>
    <w:rsid w:val="00286C59"/>
    <w:rsid w:val="00291957"/>
    <w:rsid w:val="00292829"/>
    <w:rsid w:val="002942D1"/>
    <w:rsid w:val="0029501A"/>
    <w:rsid w:val="002976D9"/>
    <w:rsid w:val="002A2E35"/>
    <w:rsid w:val="002A3443"/>
    <w:rsid w:val="002A3721"/>
    <w:rsid w:val="002B1638"/>
    <w:rsid w:val="002B3624"/>
    <w:rsid w:val="002B42C9"/>
    <w:rsid w:val="002C0486"/>
    <w:rsid w:val="002C26AE"/>
    <w:rsid w:val="002D0952"/>
    <w:rsid w:val="002E40B3"/>
    <w:rsid w:val="002E4C9A"/>
    <w:rsid w:val="002F11F8"/>
    <w:rsid w:val="002F3F56"/>
    <w:rsid w:val="002F44B5"/>
    <w:rsid w:val="002F5122"/>
    <w:rsid w:val="00310D58"/>
    <w:rsid w:val="00311AC0"/>
    <w:rsid w:val="003176FC"/>
    <w:rsid w:val="0032477C"/>
    <w:rsid w:val="00324E45"/>
    <w:rsid w:val="0032583B"/>
    <w:rsid w:val="00327883"/>
    <w:rsid w:val="00333E93"/>
    <w:rsid w:val="00335504"/>
    <w:rsid w:val="00340C18"/>
    <w:rsid w:val="003433CE"/>
    <w:rsid w:val="003442FD"/>
    <w:rsid w:val="003445F9"/>
    <w:rsid w:val="00347824"/>
    <w:rsid w:val="00350567"/>
    <w:rsid w:val="003521E8"/>
    <w:rsid w:val="00352D4E"/>
    <w:rsid w:val="0036326E"/>
    <w:rsid w:val="0036539E"/>
    <w:rsid w:val="00370A64"/>
    <w:rsid w:val="00370CE3"/>
    <w:rsid w:val="003728F3"/>
    <w:rsid w:val="003735BC"/>
    <w:rsid w:val="0037496E"/>
    <w:rsid w:val="00383221"/>
    <w:rsid w:val="00386150"/>
    <w:rsid w:val="003874CE"/>
    <w:rsid w:val="00390900"/>
    <w:rsid w:val="003A7F6C"/>
    <w:rsid w:val="003B4D60"/>
    <w:rsid w:val="003B7E39"/>
    <w:rsid w:val="003C4B4B"/>
    <w:rsid w:val="003C58DC"/>
    <w:rsid w:val="003D1E62"/>
    <w:rsid w:val="003E0B99"/>
    <w:rsid w:val="003E2486"/>
    <w:rsid w:val="003E3208"/>
    <w:rsid w:val="003E4507"/>
    <w:rsid w:val="003F0B04"/>
    <w:rsid w:val="0040134E"/>
    <w:rsid w:val="004056C5"/>
    <w:rsid w:val="004262E0"/>
    <w:rsid w:val="004334C7"/>
    <w:rsid w:val="00440A2D"/>
    <w:rsid w:val="00441C3F"/>
    <w:rsid w:val="00444D1A"/>
    <w:rsid w:val="00445AF9"/>
    <w:rsid w:val="0045186A"/>
    <w:rsid w:val="004564A7"/>
    <w:rsid w:val="00456765"/>
    <w:rsid w:val="00460036"/>
    <w:rsid w:val="004617BF"/>
    <w:rsid w:val="00463658"/>
    <w:rsid w:val="004637A0"/>
    <w:rsid w:val="004722CC"/>
    <w:rsid w:val="00490483"/>
    <w:rsid w:val="004936E4"/>
    <w:rsid w:val="00494E60"/>
    <w:rsid w:val="00497487"/>
    <w:rsid w:val="004A2771"/>
    <w:rsid w:val="004A6189"/>
    <w:rsid w:val="004A7390"/>
    <w:rsid w:val="004A73C5"/>
    <w:rsid w:val="004B7B76"/>
    <w:rsid w:val="004C239D"/>
    <w:rsid w:val="004C2DCA"/>
    <w:rsid w:val="004C4FBE"/>
    <w:rsid w:val="004C61D2"/>
    <w:rsid w:val="004E1385"/>
    <w:rsid w:val="004E5E23"/>
    <w:rsid w:val="004F0C4A"/>
    <w:rsid w:val="004F0F38"/>
    <w:rsid w:val="004F3962"/>
    <w:rsid w:val="004F47D6"/>
    <w:rsid w:val="004F6C12"/>
    <w:rsid w:val="00500337"/>
    <w:rsid w:val="00501921"/>
    <w:rsid w:val="00510617"/>
    <w:rsid w:val="0051250F"/>
    <w:rsid w:val="00530354"/>
    <w:rsid w:val="00534D61"/>
    <w:rsid w:val="0053625B"/>
    <w:rsid w:val="005402BF"/>
    <w:rsid w:val="005434C6"/>
    <w:rsid w:val="00543B39"/>
    <w:rsid w:val="00546154"/>
    <w:rsid w:val="00550096"/>
    <w:rsid w:val="00555280"/>
    <w:rsid w:val="00557FF9"/>
    <w:rsid w:val="00561378"/>
    <w:rsid w:val="00562327"/>
    <w:rsid w:val="005711D5"/>
    <w:rsid w:val="00576378"/>
    <w:rsid w:val="00577130"/>
    <w:rsid w:val="00577945"/>
    <w:rsid w:val="00577E38"/>
    <w:rsid w:val="00584B38"/>
    <w:rsid w:val="00585322"/>
    <w:rsid w:val="005857C6"/>
    <w:rsid w:val="005865D9"/>
    <w:rsid w:val="00592F6E"/>
    <w:rsid w:val="00593AD1"/>
    <w:rsid w:val="0059515C"/>
    <w:rsid w:val="005A22AE"/>
    <w:rsid w:val="005A614D"/>
    <w:rsid w:val="005A68B6"/>
    <w:rsid w:val="005C5570"/>
    <w:rsid w:val="005C5B66"/>
    <w:rsid w:val="005C79A4"/>
    <w:rsid w:val="005D5442"/>
    <w:rsid w:val="00601C1F"/>
    <w:rsid w:val="00603F32"/>
    <w:rsid w:val="00605AD4"/>
    <w:rsid w:val="006136D7"/>
    <w:rsid w:val="006179E7"/>
    <w:rsid w:val="00625A6E"/>
    <w:rsid w:val="00632398"/>
    <w:rsid w:val="00640930"/>
    <w:rsid w:val="00640FC3"/>
    <w:rsid w:val="00642020"/>
    <w:rsid w:val="006430EE"/>
    <w:rsid w:val="00647A5E"/>
    <w:rsid w:val="0065337B"/>
    <w:rsid w:val="0065419D"/>
    <w:rsid w:val="006603BC"/>
    <w:rsid w:val="006604D8"/>
    <w:rsid w:val="00664A5B"/>
    <w:rsid w:val="0066735C"/>
    <w:rsid w:val="006763D2"/>
    <w:rsid w:val="006768B0"/>
    <w:rsid w:val="00680C08"/>
    <w:rsid w:val="00685690"/>
    <w:rsid w:val="006916A0"/>
    <w:rsid w:val="006931B1"/>
    <w:rsid w:val="006A0D8E"/>
    <w:rsid w:val="006A15C0"/>
    <w:rsid w:val="006A58A8"/>
    <w:rsid w:val="006B1648"/>
    <w:rsid w:val="006C3E2A"/>
    <w:rsid w:val="006C642F"/>
    <w:rsid w:val="006D03E5"/>
    <w:rsid w:val="006D5D3E"/>
    <w:rsid w:val="006E08B3"/>
    <w:rsid w:val="006E2E86"/>
    <w:rsid w:val="006F17AC"/>
    <w:rsid w:val="006F25B8"/>
    <w:rsid w:val="006F572E"/>
    <w:rsid w:val="007046D6"/>
    <w:rsid w:val="007059A7"/>
    <w:rsid w:val="00705DB0"/>
    <w:rsid w:val="00713EF9"/>
    <w:rsid w:val="00720302"/>
    <w:rsid w:val="00722B57"/>
    <w:rsid w:val="00726D95"/>
    <w:rsid w:val="00730F8A"/>
    <w:rsid w:val="00735A8C"/>
    <w:rsid w:val="0074253D"/>
    <w:rsid w:val="00744121"/>
    <w:rsid w:val="0074429B"/>
    <w:rsid w:val="00753109"/>
    <w:rsid w:val="007615BC"/>
    <w:rsid w:val="00762F05"/>
    <w:rsid w:val="007652FF"/>
    <w:rsid w:val="00770CAC"/>
    <w:rsid w:val="00770EF1"/>
    <w:rsid w:val="00773EF7"/>
    <w:rsid w:val="00774E1D"/>
    <w:rsid w:val="007765D8"/>
    <w:rsid w:val="0077675A"/>
    <w:rsid w:val="0078014C"/>
    <w:rsid w:val="00780355"/>
    <w:rsid w:val="007819FD"/>
    <w:rsid w:val="00783BD3"/>
    <w:rsid w:val="007849E2"/>
    <w:rsid w:val="00785717"/>
    <w:rsid w:val="00785721"/>
    <w:rsid w:val="00793A59"/>
    <w:rsid w:val="007A2DCC"/>
    <w:rsid w:val="007A46F5"/>
    <w:rsid w:val="007A6505"/>
    <w:rsid w:val="007B6132"/>
    <w:rsid w:val="007B6181"/>
    <w:rsid w:val="007B6E9F"/>
    <w:rsid w:val="007C0FED"/>
    <w:rsid w:val="007C1216"/>
    <w:rsid w:val="007C1AF7"/>
    <w:rsid w:val="007C6B9B"/>
    <w:rsid w:val="007D1492"/>
    <w:rsid w:val="007D235C"/>
    <w:rsid w:val="007D53B6"/>
    <w:rsid w:val="007E11D7"/>
    <w:rsid w:val="007E71C0"/>
    <w:rsid w:val="00805D27"/>
    <w:rsid w:val="00806DCB"/>
    <w:rsid w:val="00821776"/>
    <w:rsid w:val="008321F5"/>
    <w:rsid w:val="00832369"/>
    <w:rsid w:val="00834660"/>
    <w:rsid w:val="00836BC2"/>
    <w:rsid w:val="0085156D"/>
    <w:rsid w:val="00852B28"/>
    <w:rsid w:val="0085641B"/>
    <w:rsid w:val="00857136"/>
    <w:rsid w:val="00875A6B"/>
    <w:rsid w:val="00882590"/>
    <w:rsid w:val="00885B11"/>
    <w:rsid w:val="00886D15"/>
    <w:rsid w:val="00887DD8"/>
    <w:rsid w:val="00891BA9"/>
    <w:rsid w:val="00896018"/>
    <w:rsid w:val="008960DD"/>
    <w:rsid w:val="0089635C"/>
    <w:rsid w:val="008A2B9D"/>
    <w:rsid w:val="008A3D9F"/>
    <w:rsid w:val="008A5E0B"/>
    <w:rsid w:val="008A6716"/>
    <w:rsid w:val="008A6D59"/>
    <w:rsid w:val="008B4B03"/>
    <w:rsid w:val="008B596F"/>
    <w:rsid w:val="008B65B8"/>
    <w:rsid w:val="008C159F"/>
    <w:rsid w:val="008C1623"/>
    <w:rsid w:val="008C1850"/>
    <w:rsid w:val="008C51A9"/>
    <w:rsid w:val="008D26F4"/>
    <w:rsid w:val="008D6768"/>
    <w:rsid w:val="008E7846"/>
    <w:rsid w:val="008F02E5"/>
    <w:rsid w:val="008F1CCC"/>
    <w:rsid w:val="008F2967"/>
    <w:rsid w:val="008F332C"/>
    <w:rsid w:val="008F6943"/>
    <w:rsid w:val="00902A21"/>
    <w:rsid w:val="009117EA"/>
    <w:rsid w:val="0091523F"/>
    <w:rsid w:val="00920330"/>
    <w:rsid w:val="009219D7"/>
    <w:rsid w:val="00922D53"/>
    <w:rsid w:val="00923B70"/>
    <w:rsid w:val="00924482"/>
    <w:rsid w:val="00927982"/>
    <w:rsid w:val="00930237"/>
    <w:rsid w:val="00937C17"/>
    <w:rsid w:val="00940A89"/>
    <w:rsid w:val="00941F77"/>
    <w:rsid w:val="00946EA5"/>
    <w:rsid w:val="0095131C"/>
    <w:rsid w:val="00960520"/>
    <w:rsid w:val="00962AD6"/>
    <w:rsid w:val="00963C08"/>
    <w:rsid w:val="009752A5"/>
    <w:rsid w:val="0098585A"/>
    <w:rsid w:val="00990255"/>
    <w:rsid w:val="00990C7D"/>
    <w:rsid w:val="009A4CED"/>
    <w:rsid w:val="009A690D"/>
    <w:rsid w:val="009B115C"/>
    <w:rsid w:val="009B1D12"/>
    <w:rsid w:val="009B2362"/>
    <w:rsid w:val="009B416B"/>
    <w:rsid w:val="009C4BD5"/>
    <w:rsid w:val="009D027A"/>
    <w:rsid w:val="009D5DC1"/>
    <w:rsid w:val="009D7B77"/>
    <w:rsid w:val="009E0BB0"/>
    <w:rsid w:val="009E340F"/>
    <w:rsid w:val="009E3898"/>
    <w:rsid w:val="009E3FBB"/>
    <w:rsid w:val="009F7353"/>
    <w:rsid w:val="00A04F85"/>
    <w:rsid w:val="00A05FA4"/>
    <w:rsid w:val="00A102E4"/>
    <w:rsid w:val="00A1219C"/>
    <w:rsid w:val="00A12C42"/>
    <w:rsid w:val="00A14DF7"/>
    <w:rsid w:val="00A22D57"/>
    <w:rsid w:val="00A237BB"/>
    <w:rsid w:val="00A3246D"/>
    <w:rsid w:val="00A36FA7"/>
    <w:rsid w:val="00A43FD6"/>
    <w:rsid w:val="00A44DDB"/>
    <w:rsid w:val="00A475B7"/>
    <w:rsid w:val="00A47AF7"/>
    <w:rsid w:val="00A47C3E"/>
    <w:rsid w:val="00A50226"/>
    <w:rsid w:val="00A5742A"/>
    <w:rsid w:val="00A57A89"/>
    <w:rsid w:val="00A60BAD"/>
    <w:rsid w:val="00A62B65"/>
    <w:rsid w:val="00A711D6"/>
    <w:rsid w:val="00A7366B"/>
    <w:rsid w:val="00A77F87"/>
    <w:rsid w:val="00A80B5B"/>
    <w:rsid w:val="00A84E36"/>
    <w:rsid w:val="00A903A1"/>
    <w:rsid w:val="00A964D1"/>
    <w:rsid w:val="00AA0ED0"/>
    <w:rsid w:val="00AA6B02"/>
    <w:rsid w:val="00AB318B"/>
    <w:rsid w:val="00AB6D06"/>
    <w:rsid w:val="00AC2B40"/>
    <w:rsid w:val="00AC2BB2"/>
    <w:rsid w:val="00AC2C3C"/>
    <w:rsid w:val="00AC512D"/>
    <w:rsid w:val="00AD0083"/>
    <w:rsid w:val="00AD10FB"/>
    <w:rsid w:val="00AD3935"/>
    <w:rsid w:val="00AD59B0"/>
    <w:rsid w:val="00AE41A3"/>
    <w:rsid w:val="00AE65EB"/>
    <w:rsid w:val="00AE67A7"/>
    <w:rsid w:val="00AF1D94"/>
    <w:rsid w:val="00AF60C5"/>
    <w:rsid w:val="00B009C6"/>
    <w:rsid w:val="00B01548"/>
    <w:rsid w:val="00B130C5"/>
    <w:rsid w:val="00B13EBD"/>
    <w:rsid w:val="00B15022"/>
    <w:rsid w:val="00B15C5C"/>
    <w:rsid w:val="00B16A37"/>
    <w:rsid w:val="00B17022"/>
    <w:rsid w:val="00B21D29"/>
    <w:rsid w:val="00B25034"/>
    <w:rsid w:val="00B32FA4"/>
    <w:rsid w:val="00B33588"/>
    <w:rsid w:val="00B33863"/>
    <w:rsid w:val="00B37D17"/>
    <w:rsid w:val="00B4175E"/>
    <w:rsid w:val="00B41C85"/>
    <w:rsid w:val="00B452CE"/>
    <w:rsid w:val="00B46F9F"/>
    <w:rsid w:val="00B54C25"/>
    <w:rsid w:val="00B76B91"/>
    <w:rsid w:val="00B77EB1"/>
    <w:rsid w:val="00B811C6"/>
    <w:rsid w:val="00B855B0"/>
    <w:rsid w:val="00B8671B"/>
    <w:rsid w:val="00B90D85"/>
    <w:rsid w:val="00B92E08"/>
    <w:rsid w:val="00B9786F"/>
    <w:rsid w:val="00BA6761"/>
    <w:rsid w:val="00BC49C2"/>
    <w:rsid w:val="00BC622A"/>
    <w:rsid w:val="00BE0A78"/>
    <w:rsid w:val="00BE79F0"/>
    <w:rsid w:val="00BF046D"/>
    <w:rsid w:val="00BF1190"/>
    <w:rsid w:val="00BF3774"/>
    <w:rsid w:val="00BF5D04"/>
    <w:rsid w:val="00C009AA"/>
    <w:rsid w:val="00C01B0B"/>
    <w:rsid w:val="00C10B11"/>
    <w:rsid w:val="00C1164D"/>
    <w:rsid w:val="00C16861"/>
    <w:rsid w:val="00C3411D"/>
    <w:rsid w:val="00C346AB"/>
    <w:rsid w:val="00C404A6"/>
    <w:rsid w:val="00C40A36"/>
    <w:rsid w:val="00C40D1F"/>
    <w:rsid w:val="00C44419"/>
    <w:rsid w:val="00C45E7B"/>
    <w:rsid w:val="00C471B1"/>
    <w:rsid w:val="00C525A2"/>
    <w:rsid w:val="00C52E24"/>
    <w:rsid w:val="00C6316B"/>
    <w:rsid w:val="00C634A9"/>
    <w:rsid w:val="00C64586"/>
    <w:rsid w:val="00C65BE8"/>
    <w:rsid w:val="00C70A36"/>
    <w:rsid w:val="00C70D53"/>
    <w:rsid w:val="00C73D0B"/>
    <w:rsid w:val="00C74F5C"/>
    <w:rsid w:val="00C772FF"/>
    <w:rsid w:val="00C80137"/>
    <w:rsid w:val="00C801AF"/>
    <w:rsid w:val="00C80256"/>
    <w:rsid w:val="00C86030"/>
    <w:rsid w:val="00C94CD4"/>
    <w:rsid w:val="00C9747E"/>
    <w:rsid w:val="00CA21C5"/>
    <w:rsid w:val="00CA26FB"/>
    <w:rsid w:val="00CB129A"/>
    <w:rsid w:val="00CB6BC0"/>
    <w:rsid w:val="00CC1B7C"/>
    <w:rsid w:val="00CC727F"/>
    <w:rsid w:val="00CE4937"/>
    <w:rsid w:val="00CE52CC"/>
    <w:rsid w:val="00CF15C3"/>
    <w:rsid w:val="00CF28C4"/>
    <w:rsid w:val="00CF2B6F"/>
    <w:rsid w:val="00CF2F3E"/>
    <w:rsid w:val="00CF58B6"/>
    <w:rsid w:val="00CF5DAD"/>
    <w:rsid w:val="00D0062D"/>
    <w:rsid w:val="00D017ED"/>
    <w:rsid w:val="00D040D3"/>
    <w:rsid w:val="00D04C65"/>
    <w:rsid w:val="00D074C0"/>
    <w:rsid w:val="00D14D1F"/>
    <w:rsid w:val="00D153D8"/>
    <w:rsid w:val="00D201D2"/>
    <w:rsid w:val="00D21688"/>
    <w:rsid w:val="00D224FE"/>
    <w:rsid w:val="00D23139"/>
    <w:rsid w:val="00D35734"/>
    <w:rsid w:val="00D36D6D"/>
    <w:rsid w:val="00D425BB"/>
    <w:rsid w:val="00D453FA"/>
    <w:rsid w:val="00D51B04"/>
    <w:rsid w:val="00D60CDB"/>
    <w:rsid w:val="00D6493E"/>
    <w:rsid w:val="00D67C90"/>
    <w:rsid w:val="00D7195D"/>
    <w:rsid w:val="00D7301E"/>
    <w:rsid w:val="00D83AE1"/>
    <w:rsid w:val="00D855D4"/>
    <w:rsid w:val="00D902C9"/>
    <w:rsid w:val="00D93466"/>
    <w:rsid w:val="00D9657B"/>
    <w:rsid w:val="00DA1124"/>
    <w:rsid w:val="00DA12A4"/>
    <w:rsid w:val="00DA64CB"/>
    <w:rsid w:val="00DB06B8"/>
    <w:rsid w:val="00DB6124"/>
    <w:rsid w:val="00DB71C7"/>
    <w:rsid w:val="00DB750B"/>
    <w:rsid w:val="00DB75B7"/>
    <w:rsid w:val="00DC0A2F"/>
    <w:rsid w:val="00DC1948"/>
    <w:rsid w:val="00DC2C7F"/>
    <w:rsid w:val="00DC6E02"/>
    <w:rsid w:val="00DD28CD"/>
    <w:rsid w:val="00DD3F00"/>
    <w:rsid w:val="00DD4AC0"/>
    <w:rsid w:val="00DE02AE"/>
    <w:rsid w:val="00DE39D1"/>
    <w:rsid w:val="00DE7F4D"/>
    <w:rsid w:val="00DF1D7F"/>
    <w:rsid w:val="00DF4BE4"/>
    <w:rsid w:val="00E02382"/>
    <w:rsid w:val="00E02FB4"/>
    <w:rsid w:val="00E1027A"/>
    <w:rsid w:val="00E13FC7"/>
    <w:rsid w:val="00E20571"/>
    <w:rsid w:val="00E235F7"/>
    <w:rsid w:val="00E23659"/>
    <w:rsid w:val="00E239D4"/>
    <w:rsid w:val="00E26130"/>
    <w:rsid w:val="00E30AC3"/>
    <w:rsid w:val="00E3203B"/>
    <w:rsid w:val="00E33D42"/>
    <w:rsid w:val="00E40B22"/>
    <w:rsid w:val="00E4333E"/>
    <w:rsid w:val="00E44ED1"/>
    <w:rsid w:val="00E45619"/>
    <w:rsid w:val="00E4588F"/>
    <w:rsid w:val="00E46DA3"/>
    <w:rsid w:val="00E51BB1"/>
    <w:rsid w:val="00E55BFD"/>
    <w:rsid w:val="00E55CB0"/>
    <w:rsid w:val="00E624A5"/>
    <w:rsid w:val="00E64BA4"/>
    <w:rsid w:val="00E70A93"/>
    <w:rsid w:val="00E7344E"/>
    <w:rsid w:val="00E82665"/>
    <w:rsid w:val="00E847D1"/>
    <w:rsid w:val="00E94BB8"/>
    <w:rsid w:val="00EB0798"/>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2670"/>
    <w:rsid w:val="00F14B27"/>
    <w:rsid w:val="00F15AC3"/>
    <w:rsid w:val="00F3148D"/>
    <w:rsid w:val="00F325C5"/>
    <w:rsid w:val="00F32FE0"/>
    <w:rsid w:val="00F35298"/>
    <w:rsid w:val="00F46046"/>
    <w:rsid w:val="00F47333"/>
    <w:rsid w:val="00F47E37"/>
    <w:rsid w:val="00F53C07"/>
    <w:rsid w:val="00F54B65"/>
    <w:rsid w:val="00F63DBF"/>
    <w:rsid w:val="00F640B6"/>
    <w:rsid w:val="00F66DF2"/>
    <w:rsid w:val="00F705FC"/>
    <w:rsid w:val="00F80E40"/>
    <w:rsid w:val="00F848D9"/>
    <w:rsid w:val="00F905FF"/>
    <w:rsid w:val="00FA5069"/>
    <w:rsid w:val="00FA5B82"/>
    <w:rsid w:val="00FA639E"/>
    <w:rsid w:val="00FB362D"/>
    <w:rsid w:val="00FB7FE3"/>
    <w:rsid w:val="00FC1EEA"/>
    <w:rsid w:val="00FC1FCA"/>
    <w:rsid w:val="00FC25E4"/>
    <w:rsid w:val="00FC4EF7"/>
    <w:rsid w:val="00FC6FAD"/>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3B3D30"/>
  <w15:docId w15:val="{55C24977-410D-4230-A4DB-778C61E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026282"/>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nhideWhenUsed/>
    <w:rsid w:val="00EC463D"/>
    <w:rPr>
      <w:sz w:val="16"/>
      <w:szCs w:val="16"/>
    </w:rPr>
  </w:style>
  <w:style w:type="paragraph" w:styleId="CommentText">
    <w:name w:val="annotation text"/>
    <w:basedOn w:val="Normal"/>
    <w:link w:val="CommentTextChar"/>
    <w:unhideWhenUsed/>
    <w:rsid w:val="00EC463D"/>
    <w:pPr>
      <w:spacing w:line="240" w:lineRule="auto"/>
    </w:pPr>
    <w:rPr>
      <w:sz w:val="20"/>
      <w:szCs w:val="20"/>
    </w:rPr>
  </w:style>
  <w:style w:type="character" w:customStyle="1" w:styleId="CommentTextChar">
    <w:name w:val="Comment Text Char"/>
    <w:basedOn w:val="DefaultParagraphFont"/>
    <w:link w:val="CommentText"/>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E1027A"/>
    <w:pPr>
      <w:adjustRightInd w:val="0"/>
      <w:snapToGrid w:val="0"/>
      <w:spacing w:before="180" w:after="180"/>
      <w:ind w:left="720"/>
      <w:contextualSpacing/>
    </w:pPr>
    <w:rPr>
      <w:rFonts w:eastAsia="MS Mincho"/>
      <w:szCs w:val="20"/>
      <w:lang w:eastAsia="ja-JP"/>
    </w:rPr>
  </w:style>
  <w:style w:type="character" w:customStyle="1" w:styleId="TabletextChar">
    <w:name w:val="Table text Char"/>
    <w:basedOn w:val="DefaultParagraphFont"/>
    <w:link w:val="Tabletext"/>
    <w:rsid w:val="00B90D85"/>
    <w:rPr>
      <w:rFonts w:ascii="Cambria" w:eastAsia="Cambria" w:hAnsi="Cambria" w:cs="Times New Roman"/>
      <w:sz w:val="19"/>
    </w:rPr>
  </w:style>
  <w:style w:type="paragraph" w:customStyle="1" w:styleId="Standard">
    <w:name w:val="Standard"/>
    <w:basedOn w:val="Normal"/>
    <w:link w:val="StandardChar"/>
    <w:qFormat/>
    <w:rsid w:val="00B90D85"/>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B90D85"/>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B90D85"/>
    <w:pPr>
      <w:numPr>
        <w:numId w:val="36"/>
      </w:numPr>
      <w:spacing w:after="180"/>
      <w:ind w:left="426" w:hanging="284"/>
    </w:pPr>
    <w:rPr>
      <w:kern w:val="2"/>
    </w:rPr>
  </w:style>
  <w:style w:type="character" w:customStyle="1" w:styleId="BulletlistChar">
    <w:name w:val="Bullet list Char"/>
    <w:basedOn w:val="StandardChar"/>
    <w:link w:val="Bulletlist"/>
    <w:rsid w:val="00B90D85"/>
    <w:rPr>
      <w:rFonts w:ascii="Cambria" w:eastAsia="Times New Roman" w:hAnsi="Cambria" w:cs="Times New Roman"/>
      <w:snapToGrid w:val="0"/>
      <w:kern w:val="2"/>
      <w:sz w:val="23"/>
      <w:szCs w:val="24"/>
    </w:rPr>
  </w:style>
  <w:style w:type="paragraph" w:styleId="TOC6">
    <w:name w:val="toc 6"/>
    <w:basedOn w:val="Normal"/>
    <w:next w:val="Normal"/>
    <w:autoRedefine/>
    <w:uiPriority w:val="39"/>
    <w:semiHidden/>
    <w:unhideWhenUsed/>
    <w:rsid w:val="00D21688"/>
    <w:pPr>
      <w:spacing w:after="100"/>
      <w:ind w:left="1100"/>
    </w:pPr>
  </w:style>
  <w:style w:type="paragraph" w:customStyle="1" w:styleId="Default">
    <w:name w:val="Default"/>
    <w:rsid w:val="00D14D1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2182">
      <w:bodyDiv w:val="1"/>
      <w:marLeft w:val="0"/>
      <w:marRight w:val="0"/>
      <w:marTop w:val="0"/>
      <w:marBottom w:val="0"/>
      <w:divBdr>
        <w:top w:val="none" w:sz="0" w:space="0" w:color="auto"/>
        <w:left w:val="none" w:sz="0" w:space="0" w:color="auto"/>
        <w:bottom w:val="none" w:sz="0" w:space="0" w:color="auto"/>
        <w:right w:val="none" w:sz="0" w:space="0" w:color="auto"/>
      </w:divBdr>
    </w:div>
    <w:div w:id="326321381">
      <w:bodyDiv w:val="1"/>
      <w:marLeft w:val="0"/>
      <w:marRight w:val="0"/>
      <w:marTop w:val="0"/>
      <w:marBottom w:val="0"/>
      <w:divBdr>
        <w:top w:val="none" w:sz="0" w:space="0" w:color="auto"/>
        <w:left w:val="none" w:sz="0" w:space="0" w:color="auto"/>
        <w:bottom w:val="none" w:sz="0" w:space="0" w:color="auto"/>
        <w:right w:val="none" w:sz="0" w:space="0" w:color="auto"/>
      </w:divBdr>
    </w:div>
    <w:div w:id="780338404">
      <w:bodyDiv w:val="1"/>
      <w:marLeft w:val="0"/>
      <w:marRight w:val="0"/>
      <w:marTop w:val="0"/>
      <w:marBottom w:val="0"/>
      <w:divBdr>
        <w:top w:val="none" w:sz="0" w:space="0" w:color="auto"/>
        <w:left w:val="none" w:sz="0" w:space="0" w:color="auto"/>
        <w:bottom w:val="none" w:sz="0" w:space="0" w:color="auto"/>
        <w:right w:val="none" w:sz="0" w:space="0" w:color="auto"/>
      </w:divBdr>
    </w:div>
    <w:div w:id="843594545">
      <w:bodyDiv w:val="1"/>
      <w:marLeft w:val="0"/>
      <w:marRight w:val="0"/>
      <w:marTop w:val="0"/>
      <w:marBottom w:val="0"/>
      <w:divBdr>
        <w:top w:val="none" w:sz="0" w:space="0" w:color="auto"/>
        <w:left w:val="none" w:sz="0" w:space="0" w:color="auto"/>
        <w:bottom w:val="none" w:sz="0" w:space="0" w:color="auto"/>
        <w:right w:val="none" w:sz="0" w:space="0" w:color="auto"/>
      </w:divBdr>
    </w:div>
    <w:div w:id="910895803">
      <w:bodyDiv w:val="1"/>
      <w:marLeft w:val="0"/>
      <w:marRight w:val="0"/>
      <w:marTop w:val="0"/>
      <w:marBottom w:val="0"/>
      <w:divBdr>
        <w:top w:val="none" w:sz="0" w:space="0" w:color="auto"/>
        <w:left w:val="none" w:sz="0" w:space="0" w:color="auto"/>
        <w:bottom w:val="none" w:sz="0" w:space="0" w:color="auto"/>
        <w:right w:val="none" w:sz="0" w:space="0" w:color="auto"/>
      </w:divBdr>
    </w:div>
    <w:div w:id="942037842">
      <w:bodyDiv w:val="1"/>
      <w:marLeft w:val="0"/>
      <w:marRight w:val="0"/>
      <w:marTop w:val="0"/>
      <w:marBottom w:val="0"/>
      <w:divBdr>
        <w:top w:val="none" w:sz="0" w:space="0" w:color="auto"/>
        <w:left w:val="none" w:sz="0" w:space="0" w:color="auto"/>
        <w:bottom w:val="none" w:sz="0" w:space="0" w:color="auto"/>
        <w:right w:val="none" w:sz="0" w:space="0" w:color="auto"/>
      </w:divBdr>
    </w:div>
    <w:div w:id="1014068246">
      <w:bodyDiv w:val="1"/>
      <w:marLeft w:val="0"/>
      <w:marRight w:val="0"/>
      <w:marTop w:val="0"/>
      <w:marBottom w:val="0"/>
      <w:divBdr>
        <w:top w:val="none" w:sz="0" w:space="0" w:color="auto"/>
        <w:left w:val="none" w:sz="0" w:space="0" w:color="auto"/>
        <w:bottom w:val="none" w:sz="0" w:space="0" w:color="auto"/>
        <w:right w:val="none" w:sz="0" w:space="0" w:color="auto"/>
      </w:divBdr>
    </w:div>
    <w:div w:id="1048870905">
      <w:bodyDiv w:val="1"/>
      <w:marLeft w:val="0"/>
      <w:marRight w:val="0"/>
      <w:marTop w:val="0"/>
      <w:marBottom w:val="0"/>
      <w:divBdr>
        <w:top w:val="none" w:sz="0" w:space="0" w:color="auto"/>
        <w:left w:val="none" w:sz="0" w:space="0" w:color="auto"/>
        <w:bottom w:val="none" w:sz="0" w:space="0" w:color="auto"/>
        <w:right w:val="none" w:sz="0" w:space="0" w:color="auto"/>
      </w:divBdr>
    </w:div>
    <w:div w:id="1104303214">
      <w:bodyDiv w:val="1"/>
      <w:marLeft w:val="0"/>
      <w:marRight w:val="0"/>
      <w:marTop w:val="0"/>
      <w:marBottom w:val="0"/>
      <w:divBdr>
        <w:top w:val="none" w:sz="0" w:space="0" w:color="auto"/>
        <w:left w:val="none" w:sz="0" w:space="0" w:color="auto"/>
        <w:bottom w:val="none" w:sz="0" w:space="0" w:color="auto"/>
        <w:right w:val="none" w:sz="0" w:space="0" w:color="auto"/>
      </w:divBdr>
    </w:div>
    <w:div w:id="1577470577">
      <w:bodyDiv w:val="1"/>
      <w:marLeft w:val="0"/>
      <w:marRight w:val="0"/>
      <w:marTop w:val="0"/>
      <w:marBottom w:val="0"/>
      <w:divBdr>
        <w:top w:val="none" w:sz="0" w:space="0" w:color="auto"/>
        <w:left w:val="none" w:sz="0" w:space="0" w:color="auto"/>
        <w:bottom w:val="none" w:sz="0" w:space="0" w:color="auto"/>
        <w:right w:val="none" w:sz="0" w:space="0" w:color="auto"/>
      </w:divBdr>
    </w:div>
    <w:div w:id="1637645388">
      <w:bodyDiv w:val="1"/>
      <w:marLeft w:val="0"/>
      <w:marRight w:val="0"/>
      <w:marTop w:val="0"/>
      <w:marBottom w:val="0"/>
      <w:divBdr>
        <w:top w:val="none" w:sz="0" w:space="0" w:color="auto"/>
        <w:left w:val="none" w:sz="0" w:space="0" w:color="auto"/>
        <w:bottom w:val="none" w:sz="0" w:space="0" w:color="auto"/>
        <w:right w:val="none" w:sz="0" w:space="0" w:color="auto"/>
      </w:divBdr>
    </w:div>
    <w:div w:id="1754159838">
      <w:bodyDiv w:val="1"/>
      <w:marLeft w:val="0"/>
      <w:marRight w:val="0"/>
      <w:marTop w:val="0"/>
      <w:marBottom w:val="0"/>
      <w:divBdr>
        <w:top w:val="none" w:sz="0" w:space="0" w:color="auto"/>
        <w:left w:val="none" w:sz="0" w:space="0" w:color="auto"/>
        <w:bottom w:val="none" w:sz="0" w:space="0" w:color="auto"/>
        <w:right w:val="none" w:sz="0" w:space="0" w:color="auto"/>
      </w:divBdr>
    </w:div>
    <w:div w:id="1760717519">
      <w:bodyDiv w:val="1"/>
      <w:marLeft w:val="0"/>
      <w:marRight w:val="0"/>
      <w:marTop w:val="0"/>
      <w:marBottom w:val="0"/>
      <w:divBdr>
        <w:top w:val="none" w:sz="0" w:space="0" w:color="auto"/>
        <w:left w:val="none" w:sz="0" w:space="0" w:color="auto"/>
        <w:bottom w:val="none" w:sz="0" w:space="0" w:color="auto"/>
        <w:right w:val="none" w:sz="0" w:space="0" w:color="auto"/>
      </w:divBdr>
    </w:div>
    <w:div w:id="1952977491">
      <w:bodyDiv w:val="1"/>
      <w:marLeft w:val="0"/>
      <w:marRight w:val="0"/>
      <w:marTop w:val="0"/>
      <w:marBottom w:val="0"/>
      <w:divBdr>
        <w:top w:val="none" w:sz="0" w:space="0" w:color="auto"/>
        <w:left w:val="none" w:sz="0" w:space="0" w:color="auto"/>
        <w:bottom w:val="none" w:sz="0" w:space="0" w:color="auto"/>
        <w:right w:val="none" w:sz="0" w:space="0" w:color="auto"/>
      </w:divBdr>
    </w:div>
    <w:div w:id="2031838818">
      <w:bodyDiv w:val="1"/>
      <w:marLeft w:val="0"/>
      <w:marRight w:val="0"/>
      <w:marTop w:val="0"/>
      <w:marBottom w:val="0"/>
      <w:divBdr>
        <w:top w:val="none" w:sz="0" w:space="0" w:color="auto"/>
        <w:left w:val="none" w:sz="0" w:space="0" w:color="auto"/>
        <w:bottom w:val="none" w:sz="0" w:space="0" w:color="auto"/>
        <w:right w:val="none" w:sz="0" w:space="0" w:color="auto"/>
      </w:divBdr>
    </w:div>
    <w:div w:id="21005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hyperlink" Target="https://www.fda.gov/media/142749/downloa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da.gov/media/139638/download" TargetMode="External"/><Relationship Id="rId25" Type="http://schemas.openxmlformats.org/officeDocument/2006/relationships/hyperlink" Target="https://www.tga.gov.au/product-information-pi"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eader" Target="header5.xml"/><Relationship Id="rId30" Type="http://schemas.openxmlformats.org/officeDocument/2006/relationships/hyperlink" Target="mailto:info@tga.gov.au" TargetMode="External"/><Relationship Id="rId35"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3488\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593E-CFFD-4BF0-A537-03DA6C78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11</TotalTime>
  <Pages>37</Pages>
  <Words>13482</Words>
  <Characters>76849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BNT162b2 (mRNA)</dc:title>
  <dc:subject>prescription medicines</dc:subject>
  <dc:creator>Therapeutic Goods Administration</dc:creator>
  <cp:keywords/>
  <cp:lastPrinted>2019-08-14T04:30:00Z</cp:lastPrinted>
  <dcterms:created xsi:type="dcterms:W3CDTF">2021-07-22T07:01:00Z</dcterms:created>
  <dcterms:modified xsi:type="dcterms:W3CDTF">2021-07-22T12:05:00Z</dcterms:modified>
  <cp:category/>
</cp:coreProperties>
</file>