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135E95FB" w14:textId="77777777" w:rsidTr="00BF1190">
        <w:trPr>
          <w:trHeight w:val="1863"/>
        </w:trPr>
        <w:tc>
          <w:tcPr>
            <w:tcW w:w="3652" w:type="dxa"/>
            <w:tcBorders>
              <w:top w:val="nil"/>
              <w:left w:val="nil"/>
              <w:bottom w:val="nil"/>
              <w:right w:val="nil"/>
            </w:tcBorders>
          </w:tcPr>
          <w:p w14:paraId="14E0E930" w14:textId="4985526B" w:rsidR="008E7846" w:rsidRPr="00096AA7" w:rsidRDefault="00E00DFB" w:rsidP="00096AA7">
            <w:pPr>
              <w:rPr>
                <w:rFonts w:ascii="Arial" w:hAnsi="Arial" w:cs="Arial"/>
                <w:b/>
                <w:color w:val="002C47"/>
                <w:sz w:val="36"/>
                <w:szCs w:val="36"/>
              </w:rPr>
            </w:pPr>
            <w:bookmarkStart w:id="0" w:name="_GoBack"/>
            <w:bookmarkEnd w:id="0"/>
            <w:r>
              <w:rPr>
                <w:rFonts w:ascii="Arial" w:hAnsi="Arial" w:cs="Arial"/>
                <w:b/>
                <w:color w:val="002C47"/>
                <w:sz w:val="36"/>
                <w:szCs w:val="36"/>
              </w:rPr>
              <w:t xml:space="preserve">June </w:t>
            </w:r>
            <w:r w:rsidR="00C34F97">
              <w:rPr>
                <w:rFonts w:ascii="Arial" w:hAnsi="Arial" w:cs="Arial"/>
                <w:b/>
                <w:color w:val="002C47"/>
                <w:sz w:val="36"/>
                <w:szCs w:val="36"/>
              </w:rPr>
              <w:t>2018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28BF3000" w14:textId="77777777" w:rsidTr="00966CF3">
        <w:trPr>
          <w:trHeight w:val="868"/>
        </w:trPr>
        <w:tc>
          <w:tcPr>
            <w:tcW w:w="9079" w:type="dxa"/>
          </w:tcPr>
          <w:p w14:paraId="2EAC72DC" w14:textId="77777777"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r w:rsidR="00C34F97" w:rsidRPr="00C34F97">
              <w:rPr>
                <w:color w:val="FFFFFF" w:themeColor="background1"/>
              </w:rPr>
              <w:t>Bosentan</w:t>
            </w:r>
          </w:p>
        </w:tc>
      </w:tr>
      <w:tr w:rsidR="0032583B" w:rsidRPr="00B64760" w14:paraId="47677F25" w14:textId="77777777" w:rsidTr="00966CF3">
        <w:tc>
          <w:tcPr>
            <w:tcW w:w="9079" w:type="dxa"/>
          </w:tcPr>
          <w:p w14:paraId="49A12DD1" w14:textId="77777777" w:rsidR="0032583B" w:rsidRPr="008E7846" w:rsidRDefault="0032583B" w:rsidP="00966CF3">
            <w:pPr>
              <w:pStyle w:val="Subtitle"/>
              <w:rPr>
                <w:color w:val="FFFFFF" w:themeColor="background1"/>
              </w:rPr>
            </w:pPr>
            <w:r w:rsidRPr="008E7846">
              <w:rPr>
                <w:color w:val="FFFFFF" w:themeColor="background1"/>
              </w:rPr>
              <w:t xml:space="preserve">Proprietary Product Name: </w:t>
            </w:r>
            <w:r w:rsidR="00335934">
              <w:rPr>
                <w:color w:val="FFFFFF" w:themeColor="background1"/>
              </w:rPr>
              <w:t>Tracleer</w:t>
            </w:r>
          </w:p>
        </w:tc>
      </w:tr>
      <w:tr w:rsidR="0032583B" w:rsidRPr="00B64760" w14:paraId="66BB78F6" w14:textId="77777777" w:rsidTr="00966CF3">
        <w:trPr>
          <w:trHeight w:val="486"/>
        </w:trPr>
        <w:tc>
          <w:tcPr>
            <w:tcW w:w="9079" w:type="dxa"/>
          </w:tcPr>
          <w:p w14:paraId="68858E92" w14:textId="77777777" w:rsidR="0032583B" w:rsidRPr="008E7846" w:rsidRDefault="0032583B" w:rsidP="00966CF3">
            <w:pPr>
              <w:pStyle w:val="Subtitle"/>
              <w:rPr>
                <w:color w:val="FFFFFF" w:themeColor="background1"/>
              </w:rPr>
            </w:pPr>
            <w:r w:rsidRPr="008E7846">
              <w:rPr>
                <w:color w:val="FFFFFF" w:themeColor="background1"/>
              </w:rPr>
              <w:t xml:space="preserve">Sponsor: </w:t>
            </w:r>
            <w:proofErr w:type="spellStart"/>
            <w:r w:rsidR="00C34F97" w:rsidRPr="00C34F97">
              <w:rPr>
                <w:color w:val="FFFFFF" w:themeColor="background1"/>
              </w:rPr>
              <w:t>Actelion</w:t>
            </w:r>
            <w:proofErr w:type="spellEnd"/>
            <w:r w:rsidR="00C34F97" w:rsidRPr="00C34F97">
              <w:rPr>
                <w:color w:val="FFFFFF" w:themeColor="background1"/>
              </w:rPr>
              <w:t xml:space="preserve"> Ph</w:t>
            </w:r>
            <w:r w:rsidR="00C34F97">
              <w:rPr>
                <w:color w:val="FFFFFF" w:themeColor="background1"/>
              </w:rPr>
              <w:t>armaceuticals Australia Pty Ltd</w:t>
            </w:r>
          </w:p>
        </w:tc>
      </w:tr>
    </w:tbl>
    <w:p w14:paraId="411C7439" w14:textId="77777777" w:rsidR="008E7846" w:rsidRPr="0085156D" w:rsidRDefault="008E7846" w:rsidP="0085156D">
      <w:r w:rsidRPr="0085156D">
        <w:br w:type="page"/>
      </w:r>
    </w:p>
    <w:p w14:paraId="7BA37609" w14:textId="77777777" w:rsidR="008E7846" w:rsidRPr="001F6CBA" w:rsidRDefault="008E7846" w:rsidP="008E7846">
      <w:pPr>
        <w:pStyle w:val="NonTOCHeading2"/>
      </w:pPr>
      <w:r w:rsidRPr="001F6CBA">
        <w:lastRenderedPageBreak/>
        <w:t>About the Therapeutic Goods Administration (TGA)</w:t>
      </w:r>
    </w:p>
    <w:p w14:paraId="48F43479"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5B8DF3E0"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6FD1C41F"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5D5DBABE"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6FD1F100" w14:textId="77777777"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14:paraId="64176F01" w14:textId="77777777" w:rsidR="008E7846" w:rsidRDefault="008E7846" w:rsidP="00875A6B">
      <w:pPr>
        <w:pStyle w:val="NonTOCHeading2"/>
      </w:pPr>
      <w:r>
        <w:t>About AusPARs</w:t>
      </w:r>
    </w:p>
    <w:p w14:paraId="720A69AE"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14851CC5" w14:textId="77777777" w:rsidR="008E7846" w:rsidRDefault="008E7846" w:rsidP="008E7846">
      <w:pPr>
        <w:pStyle w:val="ListBullet"/>
        <w:numPr>
          <w:ilvl w:val="0"/>
          <w:numId w:val="3"/>
        </w:numPr>
        <w:ind w:left="357" w:hanging="357"/>
      </w:pPr>
      <w:r>
        <w:t>AusPARs are prepared and published by the TGA.</w:t>
      </w:r>
    </w:p>
    <w:p w14:paraId="51AD5C0D"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02B13831"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63C55EA1"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25CC347D" w14:textId="77777777" w:rsidR="00924482" w:rsidRPr="00DF1D7F" w:rsidRDefault="00924482" w:rsidP="00F54B65">
      <w:pPr>
        <w:pStyle w:val="LegalSubheading"/>
        <w:spacing w:before="3120"/>
      </w:pPr>
      <w:r w:rsidRPr="00DF1D7F">
        <w:t>Copyright</w:t>
      </w:r>
    </w:p>
    <w:p w14:paraId="26065C67" w14:textId="77777777" w:rsidR="00924482" w:rsidRDefault="00924482" w:rsidP="00924482">
      <w:pPr>
        <w:pStyle w:val="LegalCopy"/>
      </w:pPr>
      <w:r w:rsidRPr="00191B3B">
        <w:rPr>
          <w:rFonts w:cs="Arial"/>
          <w:lang w:val="en-GB"/>
        </w:rPr>
        <w:t>© Comm</w:t>
      </w:r>
      <w:r>
        <w:rPr>
          <w:rFonts w:cs="Arial"/>
          <w:lang w:val="en-GB"/>
        </w:rPr>
        <w:t>onwealth of Australia 201</w:t>
      </w:r>
      <w:r w:rsidR="00C34F97">
        <w:rPr>
          <w:rFonts w:cs="Arial"/>
          <w:lang w:val="en-GB"/>
        </w:rPr>
        <w:t>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14:paraId="5D13AFB6"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5748C038" w14:textId="77777777" w:rsidR="0089635C" w:rsidRPr="0089635C" w:rsidRDefault="0089635C" w:rsidP="0010788A">
          <w:pPr>
            <w:pStyle w:val="Contents"/>
          </w:pPr>
          <w:r w:rsidRPr="0010788A">
            <w:t>Contents</w:t>
          </w:r>
        </w:p>
        <w:p w14:paraId="48ED65A2" w14:textId="77777777" w:rsidR="00DD4C81"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19764270" w:history="1">
            <w:r w:rsidR="00DD4C81" w:rsidRPr="000D773B">
              <w:rPr>
                <w:rStyle w:val="Hyperlink"/>
                <w:noProof/>
              </w:rPr>
              <w:t>Common abbreviations</w:t>
            </w:r>
            <w:r w:rsidR="00DD4C81">
              <w:rPr>
                <w:noProof/>
                <w:webHidden/>
              </w:rPr>
              <w:tab/>
            </w:r>
            <w:r w:rsidR="00DD4C81">
              <w:rPr>
                <w:noProof/>
                <w:webHidden/>
              </w:rPr>
              <w:fldChar w:fldCharType="begin"/>
            </w:r>
            <w:r w:rsidR="00DD4C81">
              <w:rPr>
                <w:noProof/>
                <w:webHidden/>
              </w:rPr>
              <w:instrText xml:space="preserve"> PAGEREF _Toc519764270 \h </w:instrText>
            </w:r>
            <w:r w:rsidR="00DD4C81">
              <w:rPr>
                <w:noProof/>
                <w:webHidden/>
              </w:rPr>
            </w:r>
            <w:r w:rsidR="00DD4C81">
              <w:rPr>
                <w:noProof/>
                <w:webHidden/>
              </w:rPr>
              <w:fldChar w:fldCharType="separate"/>
            </w:r>
            <w:r w:rsidR="00DD4C81">
              <w:rPr>
                <w:noProof/>
                <w:webHidden/>
              </w:rPr>
              <w:t>5</w:t>
            </w:r>
            <w:r w:rsidR="00DD4C81">
              <w:rPr>
                <w:noProof/>
                <w:webHidden/>
              </w:rPr>
              <w:fldChar w:fldCharType="end"/>
            </w:r>
          </w:hyperlink>
        </w:p>
        <w:p w14:paraId="5660C4F4" w14:textId="77777777" w:rsidR="00DD4C81" w:rsidRDefault="00232E73">
          <w:pPr>
            <w:pStyle w:val="TOC2"/>
            <w:rPr>
              <w:rFonts w:asciiTheme="minorHAnsi" w:eastAsiaTheme="minorEastAsia" w:hAnsiTheme="minorHAnsi" w:cstheme="minorBidi"/>
              <w:b w:val="0"/>
              <w:noProof/>
              <w:sz w:val="22"/>
              <w:lang w:eastAsia="en-AU"/>
            </w:rPr>
          </w:pPr>
          <w:hyperlink w:anchor="_Toc519764271" w:history="1">
            <w:r w:rsidR="00DD4C81" w:rsidRPr="000D773B">
              <w:rPr>
                <w:rStyle w:val="Hyperlink"/>
                <w:noProof/>
              </w:rPr>
              <w:t>I. Introduction to product submission</w:t>
            </w:r>
            <w:r w:rsidR="00DD4C81">
              <w:rPr>
                <w:noProof/>
                <w:webHidden/>
              </w:rPr>
              <w:tab/>
            </w:r>
            <w:r w:rsidR="00DD4C81">
              <w:rPr>
                <w:noProof/>
                <w:webHidden/>
              </w:rPr>
              <w:fldChar w:fldCharType="begin"/>
            </w:r>
            <w:r w:rsidR="00DD4C81">
              <w:rPr>
                <w:noProof/>
                <w:webHidden/>
              </w:rPr>
              <w:instrText xml:space="preserve"> PAGEREF _Toc519764271 \h </w:instrText>
            </w:r>
            <w:r w:rsidR="00DD4C81">
              <w:rPr>
                <w:noProof/>
                <w:webHidden/>
              </w:rPr>
            </w:r>
            <w:r w:rsidR="00DD4C81">
              <w:rPr>
                <w:noProof/>
                <w:webHidden/>
              </w:rPr>
              <w:fldChar w:fldCharType="separate"/>
            </w:r>
            <w:r w:rsidR="00DD4C81">
              <w:rPr>
                <w:noProof/>
                <w:webHidden/>
              </w:rPr>
              <w:t>8</w:t>
            </w:r>
            <w:r w:rsidR="00DD4C81">
              <w:rPr>
                <w:noProof/>
                <w:webHidden/>
              </w:rPr>
              <w:fldChar w:fldCharType="end"/>
            </w:r>
          </w:hyperlink>
        </w:p>
        <w:p w14:paraId="59709AF5" w14:textId="77777777" w:rsidR="00DD4C81" w:rsidRDefault="00232E73">
          <w:pPr>
            <w:pStyle w:val="TOC3"/>
            <w:rPr>
              <w:rFonts w:asciiTheme="minorHAnsi" w:eastAsiaTheme="minorEastAsia" w:hAnsiTheme="minorHAnsi" w:cstheme="minorBidi"/>
              <w:noProof/>
              <w:lang w:eastAsia="en-AU"/>
            </w:rPr>
          </w:pPr>
          <w:hyperlink w:anchor="_Toc519764272" w:history="1">
            <w:r w:rsidR="00DD4C81" w:rsidRPr="000D773B">
              <w:rPr>
                <w:rStyle w:val="Hyperlink"/>
                <w:noProof/>
                <w:lang w:eastAsia="en-AU"/>
              </w:rPr>
              <w:t>Submission details</w:t>
            </w:r>
            <w:r w:rsidR="00DD4C81">
              <w:rPr>
                <w:noProof/>
                <w:webHidden/>
              </w:rPr>
              <w:tab/>
            </w:r>
            <w:r w:rsidR="00DD4C81">
              <w:rPr>
                <w:noProof/>
                <w:webHidden/>
              </w:rPr>
              <w:fldChar w:fldCharType="begin"/>
            </w:r>
            <w:r w:rsidR="00DD4C81">
              <w:rPr>
                <w:noProof/>
                <w:webHidden/>
              </w:rPr>
              <w:instrText xml:space="preserve"> PAGEREF _Toc519764272 \h </w:instrText>
            </w:r>
            <w:r w:rsidR="00DD4C81">
              <w:rPr>
                <w:noProof/>
                <w:webHidden/>
              </w:rPr>
            </w:r>
            <w:r w:rsidR="00DD4C81">
              <w:rPr>
                <w:noProof/>
                <w:webHidden/>
              </w:rPr>
              <w:fldChar w:fldCharType="separate"/>
            </w:r>
            <w:r w:rsidR="00DD4C81">
              <w:rPr>
                <w:noProof/>
                <w:webHidden/>
              </w:rPr>
              <w:t>8</w:t>
            </w:r>
            <w:r w:rsidR="00DD4C81">
              <w:rPr>
                <w:noProof/>
                <w:webHidden/>
              </w:rPr>
              <w:fldChar w:fldCharType="end"/>
            </w:r>
          </w:hyperlink>
        </w:p>
        <w:p w14:paraId="4FF58C6F" w14:textId="77777777" w:rsidR="00DD4C81" w:rsidRDefault="00232E73">
          <w:pPr>
            <w:pStyle w:val="TOC3"/>
            <w:rPr>
              <w:rFonts w:asciiTheme="minorHAnsi" w:eastAsiaTheme="minorEastAsia" w:hAnsiTheme="minorHAnsi" w:cstheme="minorBidi"/>
              <w:noProof/>
              <w:lang w:eastAsia="en-AU"/>
            </w:rPr>
          </w:pPr>
          <w:hyperlink w:anchor="_Toc519764273" w:history="1">
            <w:r w:rsidR="00DD4C81" w:rsidRPr="000D773B">
              <w:rPr>
                <w:rStyle w:val="Hyperlink"/>
                <w:noProof/>
              </w:rPr>
              <w:t>Product background</w:t>
            </w:r>
            <w:r w:rsidR="00DD4C81">
              <w:rPr>
                <w:noProof/>
                <w:webHidden/>
              </w:rPr>
              <w:tab/>
            </w:r>
            <w:r w:rsidR="00DD4C81">
              <w:rPr>
                <w:noProof/>
                <w:webHidden/>
              </w:rPr>
              <w:fldChar w:fldCharType="begin"/>
            </w:r>
            <w:r w:rsidR="00DD4C81">
              <w:rPr>
                <w:noProof/>
                <w:webHidden/>
              </w:rPr>
              <w:instrText xml:space="preserve"> PAGEREF _Toc519764273 \h </w:instrText>
            </w:r>
            <w:r w:rsidR="00DD4C81">
              <w:rPr>
                <w:noProof/>
                <w:webHidden/>
              </w:rPr>
            </w:r>
            <w:r w:rsidR="00DD4C81">
              <w:rPr>
                <w:noProof/>
                <w:webHidden/>
              </w:rPr>
              <w:fldChar w:fldCharType="separate"/>
            </w:r>
            <w:r w:rsidR="00DD4C81">
              <w:rPr>
                <w:noProof/>
                <w:webHidden/>
              </w:rPr>
              <w:t>9</w:t>
            </w:r>
            <w:r w:rsidR="00DD4C81">
              <w:rPr>
                <w:noProof/>
                <w:webHidden/>
              </w:rPr>
              <w:fldChar w:fldCharType="end"/>
            </w:r>
          </w:hyperlink>
        </w:p>
        <w:p w14:paraId="1A195997" w14:textId="77777777" w:rsidR="00DD4C81" w:rsidRDefault="00232E73">
          <w:pPr>
            <w:pStyle w:val="TOC3"/>
            <w:rPr>
              <w:rFonts w:asciiTheme="minorHAnsi" w:eastAsiaTheme="minorEastAsia" w:hAnsiTheme="minorHAnsi" w:cstheme="minorBidi"/>
              <w:noProof/>
              <w:lang w:eastAsia="en-AU"/>
            </w:rPr>
          </w:pPr>
          <w:hyperlink w:anchor="_Toc519764274" w:history="1">
            <w:r w:rsidR="00DD4C81" w:rsidRPr="000D773B">
              <w:rPr>
                <w:rStyle w:val="Hyperlink"/>
                <w:noProof/>
              </w:rPr>
              <w:t>Regulatory status</w:t>
            </w:r>
            <w:r w:rsidR="00DD4C81">
              <w:rPr>
                <w:noProof/>
                <w:webHidden/>
              </w:rPr>
              <w:tab/>
            </w:r>
            <w:r w:rsidR="00DD4C81">
              <w:rPr>
                <w:noProof/>
                <w:webHidden/>
              </w:rPr>
              <w:fldChar w:fldCharType="begin"/>
            </w:r>
            <w:r w:rsidR="00DD4C81">
              <w:rPr>
                <w:noProof/>
                <w:webHidden/>
              </w:rPr>
              <w:instrText xml:space="preserve"> PAGEREF _Toc519764274 \h </w:instrText>
            </w:r>
            <w:r w:rsidR="00DD4C81">
              <w:rPr>
                <w:noProof/>
                <w:webHidden/>
              </w:rPr>
            </w:r>
            <w:r w:rsidR="00DD4C81">
              <w:rPr>
                <w:noProof/>
                <w:webHidden/>
              </w:rPr>
              <w:fldChar w:fldCharType="separate"/>
            </w:r>
            <w:r w:rsidR="00DD4C81">
              <w:rPr>
                <w:noProof/>
                <w:webHidden/>
              </w:rPr>
              <w:t>9</w:t>
            </w:r>
            <w:r w:rsidR="00DD4C81">
              <w:rPr>
                <w:noProof/>
                <w:webHidden/>
              </w:rPr>
              <w:fldChar w:fldCharType="end"/>
            </w:r>
          </w:hyperlink>
        </w:p>
        <w:p w14:paraId="598EB279" w14:textId="77777777" w:rsidR="00DD4C81" w:rsidRDefault="00232E73">
          <w:pPr>
            <w:pStyle w:val="TOC2"/>
            <w:rPr>
              <w:rFonts w:asciiTheme="minorHAnsi" w:eastAsiaTheme="minorEastAsia" w:hAnsiTheme="minorHAnsi" w:cstheme="minorBidi"/>
              <w:b w:val="0"/>
              <w:noProof/>
              <w:sz w:val="22"/>
              <w:lang w:eastAsia="en-AU"/>
            </w:rPr>
          </w:pPr>
          <w:hyperlink w:anchor="_Toc519764275" w:history="1">
            <w:r w:rsidR="00DD4C81" w:rsidRPr="000D773B">
              <w:rPr>
                <w:rStyle w:val="Hyperlink"/>
                <w:noProof/>
              </w:rPr>
              <w:t>II. Registration timeline</w:t>
            </w:r>
            <w:r w:rsidR="00DD4C81">
              <w:rPr>
                <w:noProof/>
                <w:webHidden/>
              </w:rPr>
              <w:tab/>
            </w:r>
            <w:r w:rsidR="00DD4C81">
              <w:rPr>
                <w:noProof/>
                <w:webHidden/>
              </w:rPr>
              <w:fldChar w:fldCharType="begin"/>
            </w:r>
            <w:r w:rsidR="00DD4C81">
              <w:rPr>
                <w:noProof/>
                <w:webHidden/>
              </w:rPr>
              <w:instrText xml:space="preserve"> PAGEREF _Toc519764275 \h </w:instrText>
            </w:r>
            <w:r w:rsidR="00DD4C81">
              <w:rPr>
                <w:noProof/>
                <w:webHidden/>
              </w:rPr>
            </w:r>
            <w:r w:rsidR="00DD4C81">
              <w:rPr>
                <w:noProof/>
                <w:webHidden/>
              </w:rPr>
              <w:fldChar w:fldCharType="separate"/>
            </w:r>
            <w:r w:rsidR="00DD4C81">
              <w:rPr>
                <w:noProof/>
                <w:webHidden/>
              </w:rPr>
              <w:t>10</w:t>
            </w:r>
            <w:r w:rsidR="00DD4C81">
              <w:rPr>
                <w:noProof/>
                <w:webHidden/>
              </w:rPr>
              <w:fldChar w:fldCharType="end"/>
            </w:r>
          </w:hyperlink>
        </w:p>
        <w:p w14:paraId="5261A3C6" w14:textId="77777777" w:rsidR="00DD4C81" w:rsidRDefault="00232E73">
          <w:pPr>
            <w:pStyle w:val="TOC2"/>
            <w:rPr>
              <w:rFonts w:asciiTheme="minorHAnsi" w:eastAsiaTheme="minorEastAsia" w:hAnsiTheme="minorHAnsi" w:cstheme="minorBidi"/>
              <w:b w:val="0"/>
              <w:noProof/>
              <w:sz w:val="22"/>
              <w:lang w:eastAsia="en-AU"/>
            </w:rPr>
          </w:pPr>
          <w:hyperlink w:anchor="_Toc519764276" w:history="1">
            <w:r w:rsidR="00DD4C81" w:rsidRPr="000D773B">
              <w:rPr>
                <w:rStyle w:val="Hyperlink"/>
                <w:noProof/>
              </w:rPr>
              <w:t>III. Quality findings</w:t>
            </w:r>
            <w:r w:rsidR="00DD4C81">
              <w:rPr>
                <w:noProof/>
                <w:webHidden/>
              </w:rPr>
              <w:tab/>
            </w:r>
            <w:r w:rsidR="00DD4C81">
              <w:rPr>
                <w:noProof/>
                <w:webHidden/>
              </w:rPr>
              <w:fldChar w:fldCharType="begin"/>
            </w:r>
            <w:r w:rsidR="00DD4C81">
              <w:rPr>
                <w:noProof/>
                <w:webHidden/>
              </w:rPr>
              <w:instrText xml:space="preserve"> PAGEREF _Toc519764276 \h </w:instrText>
            </w:r>
            <w:r w:rsidR="00DD4C81">
              <w:rPr>
                <w:noProof/>
                <w:webHidden/>
              </w:rPr>
            </w:r>
            <w:r w:rsidR="00DD4C81">
              <w:rPr>
                <w:noProof/>
                <w:webHidden/>
              </w:rPr>
              <w:fldChar w:fldCharType="separate"/>
            </w:r>
            <w:r w:rsidR="00DD4C81">
              <w:rPr>
                <w:noProof/>
                <w:webHidden/>
              </w:rPr>
              <w:t>10</w:t>
            </w:r>
            <w:r w:rsidR="00DD4C81">
              <w:rPr>
                <w:noProof/>
                <w:webHidden/>
              </w:rPr>
              <w:fldChar w:fldCharType="end"/>
            </w:r>
          </w:hyperlink>
        </w:p>
        <w:p w14:paraId="06D4B847" w14:textId="77777777" w:rsidR="00DD4C81" w:rsidRDefault="00232E73">
          <w:pPr>
            <w:pStyle w:val="TOC3"/>
            <w:rPr>
              <w:rFonts w:asciiTheme="minorHAnsi" w:eastAsiaTheme="minorEastAsia" w:hAnsiTheme="minorHAnsi" w:cstheme="minorBidi"/>
              <w:noProof/>
              <w:lang w:eastAsia="en-AU"/>
            </w:rPr>
          </w:pPr>
          <w:hyperlink w:anchor="_Toc519764277" w:history="1">
            <w:r w:rsidR="00DD4C81" w:rsidRPr="000D773B">
              <w:rPr>
                <w:rStyle w:val="Hyperlink"/>
                <w:noProof/>
              </w:rPr>
              <w:t>Introduction</w:t>
            </w:r>
            <w:r w:rsidR="00DD4C81">
              <w:rPr>
                <w:noProof/>
                <w:webHidden/>
              </w:rPr>
              <w:tab/>
            </w:r>
            <w:r w:rsidR="00DD4C81">
              <w:rPr>
                <w:noProof/>
                <w:webHidden/>
              </w:rPr>
              <w:fldChar w:fldCharType="begin"/>
            </w:r>
            <w:r w:rsidR="00DD4C81">
              <w:rPr>
                <w:noProof/>
                <w:webHidden/>
              </w:rPr>
              <w:instrText xml:space="preserve"> PAGEREF _Toc519764277 \h </w:instrText>
            </w:r>
            <w:r w:rsidR="00DD4C81">
              <w:rPr>
                <w:noProof/>
                <w:webHidden/>
              </w:rPr>
            </w:r>
            <w:r w:rsidR="00DD4C81">
              <w:rPr>
                <w:noProof/>
                <w:webHidden/>
              </w:rPr>
              <w:fldChar w:fldCharType="separate"/>
            </w:r>
            <w:r w:rsidR="00DD4C81">
              <w:rPr>
                <w:noProof/>
                <w:webHidden/>
              </w:rPr>
              <w:t>10</w:t>
            </w:r>
            <w:r w:rsidR="00DD4C81">
              <w:rPr>
                <w:noProof/>
                <w:webHidden/>
              </w:rPr>
              <w:fldChar w:fldCharType="end"/>
            </w:r>
          </w:hyperlink>
        </w:p>
        <w:p w14:paraId="29AE2B00" w14:textId="77777777" w:rsidR="00DD4C81" w:rsidRDefault="00232E73">
          <w:pPr>
            <w:pStyle w:val="TOC3"/>
            <w:rPr>
              <w:rFonts w:asciiTheme="minorHAnsi" w:eastAsiaTheme="minorEastAsia" w:hAnsiTheme="minorHAnsi" w:cstheme="minorBidi"/>
              <w:noProof/>
              <w:lang w:eastAsia="en-AU"/>
            </w:rPr>
          </w:pPr>
          <w:hyperlink w:anchor="_Toc519764278" w:history="1">
            <w:r w:rsidR="00DD4C81" w:rsidRPr="000D773B">
              <w:rPr>
                <w:rStyle w:val="Hyperlink"/>
                <w:noProof/>
              </w:rPr>
              <w:t>Drug substance (active ingredient)</w:t>
            </w:r>
            <w:r w:rsidR="00DD4C81">
              <w:rPr>
                <w:noProof/>
                <w:webHidden/>
              </w:rPr>
              <w:tab/>
            </w:r>
            <w:r w:rsidR="00DD4C81">
              <w:rPr>
                <w:noProof/>
                <w:webHidden/>
              </w:rPr>
              <w:fldChar w:fldCharType="begin"/>
            </w:r>
            <w:r w:rsidR="00DD4C81">
              <w:rPr>
                <w:noProof/>
                <w:webHidden/>
              </w:rPr>
              <w:instrText xml:space="preserve"> PAGEREF _Toc519764278 \h </w:instrText>
            </w:r>
            <w:r w:rsidR="00DD4C81">
              <w:rPr>
                <w:noProof/>
                <w:webHidden/>
              </w:rPr>
            </w:r>
            <w:r w:rsidR="00DD4C81">
              <w:rPr>
                <w:noProof/>
                <w:webHidden/>
              </w:rPr>
              <w:fldChar w:fldCharType="separate"/>
            </w:r>
            <w:r w:rsidR="00DD4C81">
              <w:rPr>
                <w:noProof/>
                <w:webHidden/>
              </w:rPr>
              <w:t>11</w:t>
            </w:r>
            <w:r w:rsidR="00DD4C81">
              <w:rPr>
                <w:noProof/>
                <w:webHidden/>
              </w:rPr>
              <w:fldChar w:fldCharType="end"/>
            </w:r>
          </w:hyperlink>
        </w:p>
        <w:p w14:paraId="19B4631D" w14:textId="77777777" w:rsidR="00DD4C81" w:rsidRDefault="00232E73">
          <w:pPr>
            <w:pStyle w:val="TOC3"/>
            <w:rPr>
              <w:rFonts w:asciiTheme="minorHAnsi" w:eastAsiaTheme="minorEastAsia" w:hAnsiTheme="minorHAnsi" w:cstheme="minorBidi"/>
              <w:noProof/>
              <w:lang w:eastAsia="en-AU"/>
            </w:rPr>
          </w:pPr>
          <w:hyperlink w:anchor="_Toc519764279" w:history="1">
            <w:r w:rsidR="00DD4C81" w:rsidRPr="000D773B">
              <w:rPr>
                <w:rStyle w:val="Hyperlink"/>
                <w:noProof/>
              </w:rPr>
              <w:t>Drug product</w:t>
            </w:r>
            <w:r w:rsidR="00DD4C81">
              <w:rPr>
                <w:noProof/>
                <w:webHidden/>
              </w:rPr>
              <w:tab/>
            </w:r>
            <w:r w:rsidR="00DD4C81">
              <w:rPr>
                <w:noProof/>
                <w:webHidden/>
              </w:rPr>
              <w:fldChar w:fldCharType="begin"/>
            </w:r>
            <w:r w:rsidR="00DD4C81">
              <w:rPr>
                <w:noProof/>
                <w:webHidden/>
              </w:rPr>
              <w:instrText xml:space="preserve"> PAGEREF _Toc519764279 \h </w:instrText>
            </w:r>
            <w:r w:rsidR="00DD4C81">
              <w:rPr>
                <w:noProof/>
                <w:webHidden/>
              </w:rPr>
            </w:r>
            <w:r w:rsidR="00DD4C81">
              <w:rPr>
                <w:noProof/>
                <w:webHidden/>
              </w:rPr>
              <w:fldChar w:fldCharType="separate"/>
            </w:r>
            <w:r w:rsidR="00DD4C81">
              <w:rPr>
                <w:noProof/>
                <w:webHidden/>
              </w:rPr>
              <w:t>11</w:t>
            </w:r>
            <w:r w:rsidR="00DD4C81">
              <w:rPr>
                <w:noProof/>
                <w:webHidden/>
              </w:rPr>
              <w:fldChar w:fldCharType="end"/>
            </w:r>
          </w:hyperlink>
        </w:p>
        <w:p w14:paraId="384B0748" w14:textId="77777777" w:rsidR="00DD4C81" w:rsidRDefault="00232E73">
          <w:pPr>
            <w:pStyle w:val="TOC3"/>
            <w:rPr>
              <w:rFonts w:asciiTheme="minorHAnsi" w:eastAsiaTheme="minorEastAsia" w:hAnsiTheme="minorHAnsi" w:cstheme="minorBidi"/>
              <w:noProof/>
              <w:lang w:eastAsia="en-AU"/>
            </w:rPr>
          </w:pPr>
          <w:hyperlink w:anchor="_Toc519764280" w:history="1">
            <w:r w:rsidR="00DD4C81" w:rsidRPr="000D773B">
              <w:rPr>
                <w:rStyle w:val="Hyperlink"/>
                <w:noProof/>
              </w:rPr>
              <w:t>Biopharmaceutics</w:t>
            </w:r>
            <w:r w:rsidR="00DD4C81">
              <w:rPr>
                <w:noProof/>
                <w:webHidden/>
              </w:rPr>
              <w:tab/>
            </w:r>
            <w:r w:rsidR="00DD4C81">
              <w:rPr>
                <w:noProof/>
                <w:webHidden/>
              </w:rPr>
              <w:fldChar w:fldCharType="begin"/>
            </w:r>
            <w:r w:rsidR="00DD4C81">
              <w:rPr>
                <w:noProof/>
                <w:webHidden/>
              </w:rPr>
              <w:instrText xml:space="preserve"> PAGEREF _Toc519764280 \h </w:instrText>
            </w:r>
            <w:r w:rsidR="00DD4C81">
              <w:rPr>
                <w:noProof/>
                <w:webHidden/>
              </w:rPr>
            </w:r>
            <w:r w:rsidR="00DD4C81">
              <w:rPr>
                <w:noProof/>
                <w:webHidden/>
              </w:rPr>
              <w:fldChar w:fldCharType="separate"/>
            </w:r>
            <w:r w:rsidR="00DD4C81">
              <w:rPr>
                <w:noProof/>
                <w:webHidden/>
              </w:rPr>
              <w:t>12</w:t>
            </w:r>
            <w:r w:rsidR="00DD4C81">
              <w:rPr>
                <w:noProof/>
                <w:webHidden/>
              </w:rPr>
              <w:fldChar w:fldCharType="end"/>
            </w:r>
          </w:hyperlink>
        </w:p>
        <w:p w14:paraId="31633464" w14:textId="77777777" w:rsidR="00DD4C81" w:rsidRDefault="00232E73">
          <w:pPr>
            <w:pStyle w:val="TOC3"/>
            <w:rPr>
              <w:rFonts w:asciiTheme="minorHAnsi" w:eastAsiaTheme="minorEastAsia" w:hAnsiTheme="minorHAnsi" w:cstheme="minorBidi"/>
              <w:noProof/>
              <w:lang w:eastAsia="en-AU"/>
            </w:rPr>
          </w:pPr>
          <w:hyperlink w:anchor="_Toc519764281" w:history="1">
            <w:r w:rsidR="00DD4C81" w:rsidRPr="000D773B">
              <w:rPr>
                <w:rStyle w:val="Hyperlink"/>
                <w:noProof/>
              </w:rPr>
              <w:t>Quality summary and conclusions</w:t>
            </w:r>
            <w:r w:rsidR="00DD4C81">
              <w:rPr>
                <w:noProof/>
                <w:webHidden/>
              </w:rPr>
              <w:tab/>
            </w:r>
            <w:r w:rsidR="00DD4C81">
              <w:rPr>
                <w:noProof/>
                <w:webHidden/>
              </w:rPr>
              <w:fldChar w:fldCharType="begin"/>
            </w:r>
            <w:r w:rsidR="00DD4C81">
              <w:rPr>
                <w:noProof/>
                <w:webHidden/>
              </w:rPr>
              <w:instrText xml:space="preserve"> PAGEREF _Toc519764281 \h </w:instrText>
            </w:r>
            <w:r w:rsidR="00DD4C81">
              <w:rPr>
                <w:noProof/>
                <w:webHidden/>
              </w:rPr>
            </w:r>
            <w:r w:rsidR="00DD4C81">
              <w:rPr>
                <w:noProof/>
                <w:webHidden/>
              </w:rPr>
              <w:fldChar w:fldCharType="separate"/>
            </w:r>
            <w:r w:rsidR="00DD4C81">
              <w:rPr>
                <w:noProof/>
                <w:webHidden/>
              </w:rPr>
              <w:t>13</w:t>
            </w:r>
            <w:r w:rsidR="00DD4C81">
              <w:rPr>
                <w:noProof/>
                <w:webHidden/>
              </w:rPr>
              <w:fldChar w:fldCharType="end"/>
            </w:r>
          </w:hyperlink>
        </w:p>
        <w:p w14:paraId="45DDB4FF" w14:textId="77777777" w:rsidR="00DD4C81" w:rsidRDefault="00232E73">
          <w:pPr>
            <w:pStyle w:val="TOC2"/>
            <w:rPr>
              <w:rFonts w:asciiTheme="minorHAnsi" w:eastAsiaTheme="minorEastAsia" w:hAnsiTheme="minorHAnsi" w:cstheme="minorBidi"/>
              <w:b w:val="0"/>
              <w:noProof/>
              <w:sz w:val="22"/>
              <w:lang w:eastAsia="en-AU"/>
            </w:rPr>
          </w:pPr>
          <w:hyperlink w:anchor="_Toc519764282" w:history="1">
            <w:r w:rsidR="00DD4C81" w:rsidRPr="000D773B">
              <w:rPr>
                <w:rStyle w:val="Hyperlink"/>
                <w:noProof/>
              </w:rPr>
              <w:t>IV. Nonclinical findings</w:t>
            </w:r>
            <w:r w:rsidR="00DD4C81">
              <w:rPr>
                <w:noProof/>
                <w:webHidden/>
              </w:rPr>
              <w:tab/>
            </w:r>
            <w:r w:rsidR="00DD4C81">
              <w:rPr>
                <w:noProof/>
                <w:webHidden/>
              </w:rPr>
              <w:fldChar w:fldCharType="begin"/>
            </w:r>
            <w:r w:rsidR="00DD4C81">
              <w:rPr>
                <w:noProof/>
                <w:webHidden/>
              </w:rPr>
              <w:instrText xml:space="preserve"> PAGEREF _Toc519764282 \h </w:instrText>
            </w:r>
            <w:r w:rsidR="00DD4C81">
              <w:rPr>
                <w:noProof/>
                <w:webHidden/>
              </w:rPr>
            </w:r>
            <w:r w:rsidR="00DD4C81">
              <w:rPr>
                <w:noProof/>
                <w:webHidden/>
              </w:rPr>
              <w:fldChar w:fldCharType="separate"/>
            </w:r>
            <w:r w:rsidR="00DD4C81">
              <w:rPr>
                <w:noProof/>
                <w:webHidden/>
              </w:rPr>
              <w:t>14</w:t>
            </w:r>
            <w:r w:rsidR="00DD4C81">
              <w:rPr>
                <w:noProof/>
                <w:webHidden/>
              </w:rPr>
              <w:fldChar w:fldCharType="end"/>
            </w:r>
          </w:hyperlink>
        </w:p>
        <w:p w14:paraId="65757E37" w14:textId="77777777" w:rsidR="00DD4C81" w:rsidRDefault="00232E73">
          <w:pPr>
            <w:pStyle w:val="TOC3"/>
            <w:rPr>
              <w:rFonts w:asciiTheme="minorHAnsi" w:eastAsiaTheme="minorEastAsia" w:hAnsiTheme="minorHAnsi" w:cstheme="minorBidi"/>
              <w:noProof/>
              <w:lang w:eastAsia="en-AU"/>
            </w:rPr>
          </w:pPr>
          <w:hyperlink w:anchor="_Toc519764283" w:history="1">
            <w:r w:rsidR="00DD4C81" w:rsidRPr="000D773B">
              <w:rPr>
                <w:rStyle w:val="Hyperlink"/>
                <w:noProof/>
              </w:rPr>
              <w:t>Introduction</w:t>
            </w:r>
            <w:r w:rsidR="00DD4C81">
              <w:rPr>
                <w:noProof/>
                <w:webHidden/>
              </w:rPr>
              <w:tab/>
            </w:r>
            <w:r w:rsidR="00DD4C81">
              <w:rPr>
                <w:noProof/>
                <w:webHidden/>
              </w:rPr>
              <w:fldChar w:fldCharType="begin"/>
            </w:r>
            <w:r w:rsidR="00DD4C81">
              <w:rPr>
                <w:noProof/>
                <w:webHidden/>
              </w:rPr>
              <w:instrText xml:space="preserve"> PAGEREF _Toc519764283 \h </w:instrText>
            </w:r>
            <w:r w:rsidR="00DD4C81">
              <w:rPr>
                <w:noProof/>
                <w:webHidden/>
              </w:rPr>
            </w:r>
            <w:r w:rsidR="00DD4C81">
              <w:rPr>
                <w:noProof/>
                <w:webHidden/>
              </w:rPr>
              <w:fldChar w:fldCharType="separate"/>
            </w:r>
            <w:r w:rsidR="00DD4C81">
              <w:rPr>
                <w:noProof/>
                <w:webHidden/>
              </w:rPr>
              <w:t>14</w:t>
            </w:r>
            <w:r w:rsidR="00DD4C81">
              <w:rPr>
                <w:noProof/>
                <w:webHidden/>
              </w:rPr>
              <w:fldChar w:fldCharType="end"/>
            </w:r>
          </w:hyperlink>
        </w:p>
        <w:p w14:paraId="6777ED2D" w14:textId="77777777" w:rsidR="00DD4C81" w:rsidRDefault="00232E73">
          <w:pPr>
            <w:pStyle w:val="TOC3"/>
            <w:rPr>
              <w:rFonts w:asciiTheme="minorHAnsi" w:eastAsiaTheme="minorEastAsia" w:hAnsiTheme="minorHAnsi" w:cstheme="minorBidi"/>
              <w:noProof/>
              <w:lang w:eastAsia="en-AU"/>
            </w:rPr>
          </w:pPr>
          <w:hyperlink w:anchor="_Toc519764284" w:history="1">
            <w:r w:rsidR="00DD4C81" w:rsidRPr="000D773B">
              <w:rPr>
                <w:rStyle w:val="Hyperlink"/>
                <w:noProof/>
              </w:rPr>
              <w:t>Assessment</w:t>
            </w:r>
            <w:r w:rsidR="00DD4C81">
              <w:rPr>
                <w:noProof/>
                <w:webHidden/>
              </w:rPr>
              <w:tab/>
            </w:r>
            <w:r w:rsidR="00DD4C81">
              <w:rPr>
                <w:noProof/>
                <w:webHidden/>
              </w:rPr>
              <w:fldChar w:fldCharType="begin"/>
            </w:r>
            <w:r w:rsidR="00DD4C81">
              <w:rPr>
                <w:noProof/>
                <w:webHidden/>
              </w:rPr>
              <w:instrText xml:space="preserve"> PAGEREF _Toc519764284 \h </w:instrText>
            </w:r>
            <w:r w:rsidR="00DD4C81">
              <w:rPr>
                <w:noProof/>
                <w:webHidden/>
              </w:rPr>
            </w:r>
            <w:r w:rsidR="00DD4C81">
              <w:rPr>
                <w:noProof/>
                <w:webHidden/>
              </w:rPr>
              <w:fldChar w:fldCharType="separate"/>
            </w:r>
            <w:r w:rsidR="00DD4C81">
              <w:rPr>
                <w:noProof/>
                <w:webHidden/>
              </w:rPr>
              <w:t>14</w:t>
            </w:r>
            <w:r w:rsidR="00DD4C81">
              <w:rPr>
                <w:noProof/>
                <w:webHidden/>
              </w:rPr>
              <w:fldChar w:fldCharType="end"/>
            </w:r>
          </w:hyperlink>
        </w:p>
        <w:p w14:paraId="7ED2D872" w14:textId="77777777" w:rsidR="00DD4C81" w:rsidRDefault="00232E73">
          <w:pPr>
            <w:pStyle w:val="TOC3"/>
            <w:rPr>
              <w:rFonts w:asciiTheme="minorHAnsi" w:eastAsiaTheme="minorEastAsia" w:hAnsiTheme="minorHAnsi" w:cstheme="minorBidi"/>
              <w:noProof/>
              <w:lang w:eastAsia="en-AU"/>
            </w:rPr>
          </w:pPr>
          <w:hyperlink w:anchor="_Toc519764285" w:history="1">
            <w:r w:rsidR="00DD4C81" w:rsidRPr="000D773B">
              <w:rPr>
                <w:rStyle w:val="Hyperlink"/>
                <w:noProof/>
              </w:rPr>
              <w:t>Nonclinical conclusions and recommendation</w:t>
            </w:r>
            <w:r w:rsidR="00DD4C81">
              <w:rPr>
                <w:noProof/>
                <w:webHidden/>
              </w:rPr>
              <w:tab/>
            </w:r>
            <w:r w:rsidR="00DD4C81">
              <w:rPr>
                <w:noProof/>
                <w:webHidden/>
              </w:rPr>
              <w:fldChar w:fldCharType="begin"/>
            </w:r>
            <w:r w:rsidR="00DD4C81">
              <w:rPr>
                <w:noProof/>
                <w:webHidden/>
              </w:rPr>
              <w:instrText xml:space="preserve"> PAGEREF _Toc519764285 \h </w:instrText>
            </w:r>
            <w:r w:rsidR="00DD4C81">
              <w:rPr>
                <w:noProof/>
                <w:webHidden/>
              </w:rPr>
            </w:r>
            <w:r w:rsidR="00DD4C81">
              <w:rPr>
                <w:noProof/>
                <w:webHidden/>
              </w:rPr>
              <w:fldChar w:fldCharType="separate"/>
            </w:r>
            <w:r w:rsidR="00DD4C81">
              <w:rPr>
                <w:noProof/>
                <w:webHidden/>
              </w:rPr>
              <w:t>15</w:t>
            </w:r>
            <w:r w:rsidR="00DD4C81">
              <w:rPr>
                <w:noProof/>
                <w:webHidden/>
              </w:rPr>
              <w:fldChar w:fldCharType="end"/>
            </w:r>
          </w:hyperlink>
        </w:p>
        <w:p w14:paraId="79C68C57" w14:textId="77777777" w:rsidR="00DD4C81" w:rsidRDefault="00232E73">
          <w:pPr>
            <w:pStyle w:val="TOC2"/>
            <w:rPr>
              <w:rFonts w:asciiTheme="minorHAnsi" w:eastAsiaTheme="minorEastAsia" w:hAnsiTheme="minorHAnsi" w:cstheme="minorBidi"/>
              <w:b w:val="0"/>
              <w:noProof/>
              <w:sz w:val="22"/>
              <w:lang w:eastAsia="en-AU"/>
            </w:rPr>
          </w:pPr>
          <w:hyperlink w:anchor="_Toc519764286" w:history="1">
            <w:r w:rsidR="00DD4C81" w:rsidRPr="000D773B">
              <w:rPr>
                <w:rStyle w:val="Hyperlink"/>
                <w:noProof/>
              </w:rPr>
              <w:t>V. Clinical findings</w:t>
            </w:r>
            <w:r w:rsidR="00DD4C81">
              <w:rPr>
                <w:noProof/>
                <w:webHidden/>
              </w:rPr>
              <w:tab/>
            </w:r>
            <w:r w:rsidR="00DD4C81">
              <w:rPr>
                <w:noProof/>
                <w:webHidden/>
              </w:rPr>
              <w:fldChar w:fldCharType="begin"/>
            </w:r>
            <w:r w:rsidR="00DD4C81">
              <w:rPr>
                <w:noProof/>
                <w:webHidden/>
              </w:rPr>
              <w:instrText xml:space="preserve"> PAGEREF _Toc519764286 \h </w:instrText>
            </w:r>
            <w:r w:rsidR="00DD4C81">
              <w:rPr>
                <w:noProof/>
                <w:webHidden/>
              </w:rPr>
            </w:r>
            <w:r w:rsidR="00DD4C81">
              <w:rPr>
                <w:noProof/>
                <w:webHidden/>
              </w:rPr>
              <w:fldChar w:fldCharType="separate"/>
            </w:r>
            <w:r w:rsidR="00DD4C81">
              <w:rPr>
                <w:noProof/>
                <w:webHidden/>
              </w:rPr>
              <w:t>15</w:t>
            </w:r>
            <w:r w:rsidR="00DD4C81">
              <w:rPr>
                <w:noProof/>
                <w:webHidden/>
              </w:rPr>
              <w:fldChar w:fldCharType="end"/>
            </w:r>
          </w:hyperlink>
        </w:p>
        <w:p w14:paraId="5102DA45" w14:textId="77777777" w:rsidR="00DD4C81" w:rsidRDefault="00232E73">
          <w:pPr>
            <w:pStyle w:val="TOC3"/>
            <w:rPr>
              <w:rFonts w:asciiTheme="minorHAnsi" w:eastAsiaTheme="minorEastAsia" w:hAnsiTheme="minorHAnsi" w:cstheme="minorBidi"/>
              <w:noProof/>
              <w:lang w:eastAsia="en-AU"/>
            </w:rPr>
          </w:pPr>
          <w:hyperlink w:anchor="_Toc519764287" w:history="1">
            <w:r w:rsidR="00DD4C81" w:rsidRPr="000D773B">
              <w:rPr>
                <w:rStyle w:val="Hyperlink"/>
                <w:noProof/>
              </w:rPr>
              <w:t>Introduction</w:t>
            </w:r>
            <w:r w:rsidR="00DD4C81">
              <w:rPr>
                <w:noProof/>
                <w:webHidden/>
              </w:rPr>
              <w:tab/>
            </w:r>
            <w:r w:rsidR="00DD4C81">
              <w:rPr>
                <w:noProof/>
                <w:webHidden/>
              </w:rPr>
              <w:fldChar w:fldCharType="begin"/>
            </w:r>
            <w:r w:rsidR="00DD4C81">
              <w:rPr>
                <w:noProof/>
                <w:webHidden/>
              </w:rPr>
              <w:instrText xml:space="preserve"> PAGEREF _Toc519764287 \h </w:instrText>
            </w:r>
            <w:r w:rsidR="00DD4C81">
              <w:rPr>
                <w:noProof/>
                <w:webHidden/>
              </w:rPr>
            </w:r>
            <w:r w:rsidR="00DD4C81">
              <w:rPr>
                <w:noProof/>
                <w:webHidden/>
              </w:rPr>
              <w:fldChar w:fldCharType="separate"/>
            </w:r>
            <w:r w:rsidR="00DD4C81">
              <w:rPr>
                <w:noProof/>
                <w:webHidden/>
              </w:rPr>
              <w:t>16</w:t>
            </w:r>
            <w:r w:rsidR="00DD4C81">
              <w:rPr>
                <w:noProof/>
                <w:webHidden/>
              </w:rPr>
              <w:fldChar w:fldCharType="end"/>
            </w:r>
          </w:hyperlink>
        </w:p>
        <w:p w14:paraId="757C5BDC" w14:textId="77777777" w:rsidR="00DD4C81" w:rsidRDefault="00232E73">
          <w:pPr>
            <w:pStyle w:val="TOC3"/>
            <w:rPr>
              <w:rFonts w:asciiTheme="minorHAnsi" w:eastAsiaTheme="minorEastAsia" w:hAnsiTheme="minorHAnsi" w:cstheme="minorBidi"/>
              <w:noProof/>
              <w:lang w:eastAsia="en-AU"/>
            </w:rPr>
          </w:pPr>
          <w:hyperlink w:anchor="_Toc519764288" w:history="1">
            <w:r w:rsidR="00DD4C81" w:rsidRPr="000D773B">
              <w:rPr>
                <w:rStyle w:val="Hyperlink"/>
                <w:noProof/>
              </w:rPr>
              <w:t>Evaluator’s commentary on the background information</w:t>
            </w:r>
            <w:r w:rsidR="00DD4C81">
              <w:rPr>
                <w:noProof/>
                <w:webHidden/>
              </w:rPr>
              <w:tab/>
            </w:r>
            <w:r w:rsidR="00DD4C81">
              <w:rPr>
                <w:noProof/>
                <w:webHidden/>
              </w:rPr>
              <w:fldChar w:fldCharType="begin"/>
            </w:r>
            <w:r w:rsidR="00DD4C81">
              <w:rPr>
                <w:noProof/>
                <w:webHidden/>
              </w:rPr>
              <w:instrText xml:space="preserve"> PAGEREF _Toc519764288 \h </w:instrText>
            </w:r>
            <w:r w:rsidR="00DD4C81">
              <w:rPr>
                <w:noProof/>
                <w:webHidden/>
              </w:rPr>
            </w:r>
            <w:r w:rsidR="00DD4C81">
              <w:rPr>
                <w:noProof/>
                <w:webHidden/>
              </w:rPr>
              <w:fldChar w:fldCharType="separate"/>
            </w:r>
            <w:r w:rsidR="00DD4C81">
              <w:rPr>
                <w:noProof/>
                <w:webHidden/>
              </w:rPr>
              <w:t>18</w:t>
            </w:r>
            <w:r w:rsidR="00DD4C81">
              <w:rPr>
                <w:noProof/>
                <w:webHidden/>
              </w:rPr>
              <w:fldChar w:fldCharType="end"/>
            </w:r>
          </w:hyperlink>
        </w:p>
        <w:p w14:paraId="3EDCFC1C" w14:textId="77777777" w:rsidR="00DD4C81" w:rsidRDefault="00232E73">
          <w:pPr>
            <w:pStyle w:val="TOC3"/>
            <w:rPr>
              <w:rFonts w:asciiTheme="minorHAnsi" w:eastAsiaTheme="minorEastAsia" w:hAnsiTheme="minorHAnsi" w:cstheme="minorBidi"/>
              <w:noProof/>
              <w:lang w:eastAsia="en-AU"/>
            </w:rPr>
          </w:pPr>
          <w:hyperlink w:anchor="_Toc519764289" w:history="1">
            <w:r w:rsidR="00DD4C81" w:rsidRPr="000D773B">
              <w:rPr>
                <w:rStyle w:val="Hyperlink"/>
                <w:noProof/>
              </w:rPr>
              <w:t>Pharmacokinetics</w:t>
            </w:r>
            <w:r w:rsidR="00DD4C81">
              <w:rPr>
                <w:noProof/>
                <w:webHidden/>
              </w:rPr>
              <w:tab/>
            </w:r>
            <w:r w:rsidR="00DD4C81">
              <w:rPr>
                <w:noProof/>
                <w:webHidden/>
              </w:rPr>
              <w:fldChar w:fldCharType="begin"/>
            </w:r>
            <w:r w:rsidR="00DD4C81">
              <w:rPr>
                <w:noProof/>
                <w:webHidden/>
              </w:rPr>
              <w:instrText xml:space="preserve"> PAGEREF _Toc519764289 \h </w:instrText>
            </w:r>
            <w:r w:rsidR="00DD4C81">
              <w:rPr>
                <w:noProof/>
                <w:webHidden/>
              </w:rPr>
            </w:r>
            <w:r w:rsidR="00DD4C81">
              <w:rPr>
                <w:noProof/>
                <w:webHidden/>
              </w:rPr>
              <w:fldChar w:fldCharType="separate"/>
            </w:r>
            <w:r w:rsidR="00DD4C81">
              <w:rPr>
                <w:noProof/>
                <w:webHidden/>
              </w:rPr>
              <w:t>22</w:t>
            </w:r>
            <w:r w:rsidR="00DD4C81">
              <w:rPr>
                <w:noProof/>
                <w:webHidden/>
              </w:rPr>
              <w:fldChar w:fldCharType="end"/>
            </w:r>
          </w:hyperlink>
        </w:p>
        <w:p w14:paraId="3EC09B4F" w14:textId="77777777" w:rsidR="00DD4C81" w:rsidRDefault="00232E73">
          <w:pPr>
            <w:pStyle w:val="TOC3"/>
            <w:rPr>
              <w:rFonts w:asciiTheme="minorHAnsi" w:eastAsiaTheme="minorEastAsia" w:hAnsiTheme="minorHAnsi" w:cstheme="minorBidi"/>
              <w:noProof/>
              <w:lang w:eastAsia="en-AU"/>
            </w:rPr>
          </w:pPr>
          <w:hyperlink w:anchor="_Toc519764290" w:history="1">
            <w:r w:rsidR="00DD4C81" w:rsidRPr="000D773B">
              <w:rPr>
                <w:rStyle w:val="Hyperlink"/>
                <w:noProof/>
              </w:rPr>
              <w:t>Pharmacodynamics</w:t>
            </w:r>
            <w:r w:rsidR="00DD4C81">
              <w:rPr>
                <w:noProof/>
                <w:webHidden/>
              </w:rPr>
              <w:tab/>
            </w:r>
            <w:r w:rsidR="00DD4C81">
              <w:rPr>
                <w:noProof/>
                <w:webHidden/>
              </w:rPr>
              <w:fldChar w:fldCharType="begin"/>
            </w:r>
            <w:r w:rsidR="00DD4C81">
              <w:rPr>
                <w:noProof/>
                <w:webHidden/>
              </w:rPr>
              <w:instrText xml:space="preserve"> PAGEREF _Toc519764290 \h </w:instrText>
            </w:r>
            <w:r w:rsidR="00DD4C81">
              <w:rPr>
                <w:noProof/>
                <w:webHidden/>
              </w:rPr>
            </w:r>
            <w:r w:rsidR="00DD4C81">
              <w:rPr>
                <w:noProof/>
                <w:webHidden/>
              </w:rPr>
              <w:fldChar w:fldCharType="separate"/>
            </w:r>
            <w:r w:rsidR="00DD4C81">
              <w:rPr>
                <w:noProof/>
                <w:webHidden/>
              </w:rPr>
              <w:t>30</w:t>
            </w:r>
            <w:r w:rsidR="00DD4C81">
              <w:rPr>
                <w:noProof/>
                <w:webHidden/>
              </w:rPr>
              <w:fldChar w:fldCharType="end"/>
            </w:r>
          </w:hyperlink>
        </w:p>
        <w:p w14:paraId="7E12F711" w14:textId="77777777" w:rsidR="00DD4C81" w:rsidRDefault="00232E73">
          <w:pPr>
            <w:pStyle w:val="TOC3"/>
            <w:rPr>
              <w:rFonts w:asciiTheme="minorHAnsi" w:eastAsiaTheme="minorEastAsia" w:hAnsiTheme="minorHAnsi" w:cstheme="minorBidi"/>
              <w:noProof/>
              <w:lang w:eastAsia="en-AU"/>
            </w:rPr>
          </w:pPr>
          <w:hyperlink w:anchor="_Toc519764291" w:history="1">
            <w:r w:rsidR="00DD4C81" w:rsidRPr="000D773B">
              <w:rPr>
                <w:rStyle w:val="Hyperlink"/>
                <w:noProof/>
              </w:rPr>
              <w:t>Dosage selection for the pivotal studies</w:t>
            </w:r>
            <w:r w:rsidR="00DD4C81">
              <w:rPr>
                <w:noProof/>
                <w:webHidden/>
              </w:rPr>
              <w:tab/>
            </w:r>
            <w:r w:rsidR="00DD4C81">
              <w:rPr>
                <w:noProof/>
                <w:webHidden/>
              </w:rPr>
              <w:fldChar w:fldCharType="begin"/>
            </w:r>
            <w:r w:rsidR="00DD4C81">
              <w:rPr>
                <w:noProof/>
                <w:webHidden/>
              </w:rPr>
              <w:instrText xml:space="preserve"> PAGEREF _Toc519764291 \h </w:instrText>
            </w:r>
            <w:r w:rsidR="00DD4C81">
              <w:rPr>
                <w:noProof/>
                <w:webHidden/>
              </w:rPr>
            </w:r>
            <w:r w:rsidR="00DD4C81">
              <w:rPr>
                <w:noProof/>
                <w:webHidden/>
              </w:rPr>
              <w:fldChar w:fldCharType="separate"/>
            </w:r>
            <w:r w:rsidR="00DD4C81">
              <w:rPr>
                <w:noProof/>
                <w:webHidden/>
              </w:rPr>
              <w:t>30</w:t>
            </w:r>
            <w:r w:rsidR="00DD4C81">
              <w:rPr>
                <w:noProof/>
                <w:webHidden/>
              </w:rPr>
              <w:fldChar w:fldCharType="end"/>
            </w:r>
          </w:hyperlink>
        </w:p>
        <w:p w14:paraId="389D516B" w14:textId="77777777" w:rsidR="00DD4C81" w:rsidRDefault="00232E73">
          <w:pPr>
            <w:pStyle w:val="TOC3"/>
            <w:rPr>
              <w:rFonts w:asciiTheme="minorHAnsi" w:eastAsiaTheme="minorEastAsia" w:hAnsiTheme="minorHAnsi" w:cstheme="minorBidi"/>
              <w:noProof/>
              <w:lang w:eastAsia="en-AU"/>
            </w:rPr>
          </w:pPr>
          <w:hyperlink w:anchor="_Toc519764292" w:history="1">
            <w:r w:rsidR="00DD4C81" w:rsidRPr="000D773B">
              <w:rPr>
                <w:rStyle w:val="Hyperlink"/>
                <w:noProof/>
              </w:rPr>
              <w:t>Efficacy</w:t>
            </w:r>
            <w:r w:rsidR="00DD4C81">
              <w:rPr>
                <w:noProof/>
                <w:webHidden/>
              </w:rPr>
              <w:tab/>
            </w:r>
            <w:r w:rsidR="00DD4C81">
              <w:rPr>
                <w:noProof/>
                <w:webHidden/>
              </w:rPr>
              <w:fldChar w:fldCharType="begin"/>
            </w:r>
            <w:r w:rsidR="00DD4C81">
              <w:rPr>
                <w:noProof/>
                <w:webHidden/>
              </w:rPr>
              <w:instrText xml:space="preserve"> PAGEREF _Toc519764292 \h </w:instrText>
            </w:r>
            <w:r w:rsidR="00DD4C81">
              <w:rPr>
                <w:noProof/>
                <w:webHidden/>
              </w:rPr>
            </w:r>
            <w:r w:rsidR="00DD4C81">
              <w:rPr>
                <w:noProof/>
                <w:webHidden/>
              </w:rPr>
              <w:fldChar w:fldCharType="separate"/>
            </w:r>
            <w:r w:rsidR="00DD4C81">
              <w:rPr>
                <w:noProof/>
                <w:webHidden/>
              </w:rPr>
              <w:t>31</w:t>
            </w:r>
            <w:r w:rsidR="00DD4C81">
              <w:rPr>
                <w:noProof/>
                <w:webHidden/>
              </w:rPr>
              <w:fldChar w:fldCharType="end"/>
            </w:r>
          </w:hyperlink>
        </w:p>
        <w:p w14:paraId="064954A9" w14:textId="77777777" w:rsidR="00DD4C81" w:rsidRDefault="00232E73">
          <w:pPr>
            <w:pStyle w:val="TOC3"/>
            <w:rPr>
              <w:rFonts w:asciiTheme="minorHAnsi" w:eastAsiaTheme="minorEastAsia" w:hAnsiTheme="minorHAnsi" w:cstheme="minorBidi"/>
              <w:noProof/>
              <w:lang w:eastAsia="en-AU"/>
            </w:rPr>
          </w:pPr>
          <w:hyperlink w:anchor="_Toc519764293" w:history="1">
            <w:r w:rsidR="00DD4C81" w:rsidRPr="000D773B">
              <w:rPr>
                <w:rStyle w:val="Hyperlink"/>
                <w:noProof/>
              </w:rPr>
              <w:t>Safety</w:t>
            </w:r>
            <w:r w:rsidR="00DD4C81">
              <w:rPr>
                <w:noProof/>
                <w:webHidden/>
              </w:rPr>
              <w:tab/>
            </w:r>
            <w:r w:rsidR="00DD4C81">
              <w:rPr>
                <w:noProof/>
                <w:webHidden/>
              </w:rPr>
              <w:fldChar w:fldCharType="begin"/>
            </w:r>
            <w:r w:rsidR="00DD4C81">
              <w:rPr>
                <w:noProof/>
                <w:webHidden/>
              </w:rPr>
              <w:instrText xml:space="preserve"> PAGEREF _Toc519764293 \h </w:instrText>
            </w:r>
            <w:r w:rsidR="00DD4C81">
              <w:rPr>
                <w:noProof/>
                <w:webHidden/>
              </w:rPr>
            </w:r>
            <w:r w:rsidR="00DD4C81">
              <w:rPr>
                <w:noProof/>
                <w:webHidden/>
              </w:rPr>
              <w:fldChar w:fldCharType="separate"/>
            </w:r>
            <w:r w:rsidR="00DD4C81">
              <w:rPr>
                <w:noProof/>
                <w:webHidden/>
              </w:rPr>
              <w:t>32</w:t>
            </w:r>
            <w:r w:rsidR="00DD4C81">
              <w:rPr>
                <w:noProof/>
                <w:webHidden/>
              </w:rPr>
              <w:fldChar w:fldCharType="end"/>
            </w:r>
          </w:hyperlink>
        </w:p>
        <w:p w14:paraId="46418241" w14:textId="77777777" w:rsidR="00DD4C81" w:rsidRDefault="00232E73">
          <w:pPr>
            <w:pStyle w:val="TOC3"/>
            <w:rPr>
              <w:rFonts w:asciiTheme="minorHAnsi" w:eastAsiaTheme="minorEastAsia" w:hAnsiTheme="minorHAnsi" w:cstheme="minorBidi"/>
              <w:noProof/>
              <w:lang w:eastAsia="en-AU"/>
            </w:rPr>
          </w:pPr>
          <w:hyperlink w:anchor="_Toc519764294" w:history="1">
            <w:r w:rsidR="00DD4C81" w:rsidRPr="000D773B">
              <w:rPr>
                <w:rStyle w:val="Hyperlink"/>
                <w:noProof/>
              </w:rPr>
              <w:t>First round benefit-risk assessment</w:t>
            </w:r>
            <w:r w:rsidR="00DD4C81">
              <w:rPr>
                <w:noProof/>
                <w:webHidden/>
              </w:rPr>
              <w:tab/>
            </w:r>
            <w:r w:rsidR="00DD4C81">
              <w:rPr>
                <w:noProof/>
                <w:webHidden/>
              </w:rPr>
              <w:fldChar w:fldCharType="begin"/>
            </w:r>
            <w:r w:rsidR="00DD4C81">
              <w:rPr>
                <w:noProof/>
                <w:webHidden/>
              </w:rPr>
              <w:instrText xml:space="preserve"> PAGEREF _Toc519764294 \h </w:instrText>
            </w:r>
            <w:r w:rsidR="00DD4C81">
              <w:rPr>
                <w:noProof/>
                <w:webHidden/>
              </w:rPr>
            </w:r>
            <w:r w:rsidR="00DD4C81">
              <w:rPr>
                <w:noProof/>
                <w:webHidden/>
              </w:rPr>
              <w:fldChar w:fldCharType="separate"/>
            </w:r>
            <w:r w:rsidR="00DD4C81">
              <w:rPr>
                <w:noProof/>
                <w:webHidden/>
              </w:rPr>
              <w:t>39</w:t>
            </w:r>
            <w:r w:rsidR="00DD4C81">
              <w:rPr>
                <w:noProof/>
                <w:webHidden/>
              </w:rPr>
              <w:fldChar w:fldCharType="end"/>
            </w:r>
          </w:hyperlink>
        </w:p>
        <w:p w14:paraId="5A2ECD8E" w14:textId="77777777" w:rsidR="00DD4C81" w:rsidRDefault="00232E73">
          <w:pPr>
            <w:pStyle w:val="TOC3"/>
            <w:rPr>
              <w:rFonts w:asciiTheme="minorHAnsi" w:eastAsiaTheme="minorEastAsia" w:hAnsiTheme="minorHAnsi" w:cstheme="minorBidi"/>
              <w:noProof/>
              <w:lang w:eastAsia="en-AU"/>
            </w:rPr>
          </w:pPr>
          <w:hyperlink w:anchor="_Toc519764295" w:history="1">
            <w:r w:rsidR="00DD4C81" w:rsidRPr="000D773B">
              <w:rPr>
                <w:rStyle w:val="Hyperlink"/>
                <w:noProof/>
              </w:rPr>
              <w:t>First round recommendation regarding authorisation</w:t>
            </w:r>
            <w:r w:rsidR="00DD4C81">
              <w:rPr>
                <w:noProof/>
                <w:webHidden/>
              </w:rPr>
              <w:tab/>
            </w:r>
            <w:r w:rsidR="00DD4C81">
              <w:rPr>
                <w:noProof/>
                <w:webHidden/>
              </w:rPr>
              <w:fldChar w:fldCharType="begin"/>
            </w:r>
            <w:r w:rsidR="00DD4C81">
              <w:rPr>
                <w:noProof/>
                <w:webHidden/>
              </w:rPr>
              <w:instrText xml:space="preserve"> PAGEREF _Toc519764295 \h </w:instrText>
            </w:r>
            <w:r w:rsidR="00DD4C81">
              <w:rPr>
                <w:noProof/>
                <w:webHidden/>
              </w:rPr>
            </w:r>
            <w:r w:rsidR="00DD4C81">
              <w:rPr>
                <w:noProof/>
                <w:webHidden/>
              </w:rPr>
              <w:fldChar w:fldCharType="separate"/>
            </w:r>
            <w:r w:rsidR="00DD4C81">
              <w:rPr>
                <w:noProof/>
                <w:webHidden/>
              </w:rPr>
              <w:t>41</w:t>
            </w:r>
            <w:r w:rsidR="00DD4C81">
              <w:rPr>
                <w:noProof/>
                <w:webHidden/>
              </w:rPr>
              <w:fldChar w:fldCharType="end"/>
            </w:r>
          </w:hyperlink>
        </w:p>
        <w:p w14:paraId="5090A789" w14:textId="77777777" w:rsidR="00DD4C81" w:rsidRDefault="00232E73">
          <w:pPr>
            <w:pStyle w:val="TOC3"/>
            <w:rPr>
              <w:rFonts w:asciiTheme="minorHAnsi" w:eastAsiaTheme="minorEastAsia" w:hAnsiTheme="minorHAnsi" w:cstheme="minorBidi"/>
              <w:noProof/>
              <w:lang w:eastAsia="en-AU"/>
            </w:rPr>
          </w:pPr>
          <w:hyperlink w:anchor="_Toc519764296" w:history="1">
            <w:r w:rsidR="00DD4C81" w:rsidRPr="000D773B">
              <w:rPr>
                <w:rStyle w:val="Hyperlink"/>
                <w:noProof/>
              </w:rPr>
              <w:t>Clinical questions and second round evaluation of clinical data submitted in response to questions</w:t>
            </w:r>
            <w:r w:rsidR="00DD4C81">
              <w:rPr>
                <w:noProof/>
                <w:webHidden/>
              </w:rPr>
              <w:tab/>
            </w:r>
            <w:r w:rsidR="00DD4C81">
              <w:rPr>
                <w:noProof/>
                <w:webHidden/>
              </w:rPr>
              <w:fldChar w:fldCharType="begin"/>
            </w:r>
            <w:r w:rsidR="00DD4C81">
              <w:rPr>
                <w:noProof/>
                <w:webHidden/>
              </w:rPr>
              <w:instrText xml:space="preserve"> PAGEREF _Toc519764296 \h </w:instrText>
            </w:r>
            <w:r w:rsidR="00DD4C81">
              <w:rPr>
                <w:noProof/>
                <w:webHidden/>
              </w:rPr>
            </w:r>
            <w:r w:rsidR="00DD4C81">
              <w:rPr>
                <w:noProof/>
                <w:webHidden/>
              </w:rPr>
              <w:fldChar w:fldCharType="separate"/>
            </w:r>
            <w:r w:rsidR="00DD4C81">
              <w:rPr>
                <w:noProof/>
                <w:webHidden/>
              </w:rPr>
              <w:t>42</w:t>
            </w:r>
            <w:r w:rsidR="00DD4C81">
              <w:rPr>
                <w:noProof/>
                <w:webHidden/>
              </w:rPr>
              <w:fldChar w:fldCharType="end"/>
            </w:r>
          </w:hyperlink>
        </w:p>
        <w:p w14:paraId="587822A3" w14:textId="77777777" w:rsidR="00DD4C81" w:rsidRDefault="00232E73">
          <w:pPr>
            <w:pStyle w:val="TOC3"/>
            <w:rPr>
              <w:rFonts w:asciiTheme="minorHAnsi" w:eastAsiaTheme="minorEastAsia" w:hAnsiTheme="minorHAnsi" w:cstheme="minorBidi"/>
              <w:noProof/>
              <w:lang w:eastAsia="en-AU"/>
            </w:rPr>
          </w:pPr>
          <w:hyperlink w:anchor="_Toc519764297" w:history="1">
            <w:r w:rsidR="00DD4C81" w:rsidRPr="000D773B">
              <w:rPr>
                <w:rStyle w:val="Hyperlink"/>
                <w:noProof/>
              </w:rPr>
              <w:t>Second round benefit-risk assessment and recommendation regarding authorisation</w:t>
            </w:r>
            <w:r w:rsidR="00DD4C81">
              <w:rPr>
                <w:noProof/>
                <w:webHidden/>
              </w:rPr>
              <w:tab/>
            </w:r>
            <w:r w:rsidR="00DD4C81">
              <w:rPr>
                <w:noProof/>
                <w:webHidden/>
              </w:rPr>
              <w:fldChar w:fldCharType="begin"/>
            </w:r>
            <w:r w:rsidR="00DD4C81">
              <w:rPr>
                <w:noProof/>
                <w:webHidden/>
              </w:rPr>
              <w:instrText xml:space="preserve"> PAGEREF _Toc519764297 \h </w:instrText>
            </w:r>
            <w:r w:rsidR="00DD4C81">
              <w:rPr>
                <w:noProof/>
                <w:webHidden/>
              </w:rPr>
            </w:r>
            <w:r w:rsidR="00DD4C81">
              <w:rPr>
                <w:noProof/>
                <w:webHidden/>
              </w:rPr>
              <w:fldChar w:fldCharType="separate"/>
            </w:r>
            <w:r w:rsidR="00DD4C81">
              <w:rPr>
                <w:noProof/>
                <w:webHidden/>
              </w:rPr>
              <w:t>42</w:t>
            </w:r>
            <w:r w:rsidR="00DD4C81">
              <w:rPr>
                <w:noProof/>
                <w:webHidden/>
              </w:rPr>
              <w:fldChar w:fldCharType="end"/>
            </w:r>
          </w:hyperlink>
        </w:p>
        <w:p w14:paraId="13D5A853" w14:textId="77777777" w:rsidR="00DD4C81" w:rsidRDefault="00232E73">
          <w:pPr>
            <w:pStyle w:val="TOC2"/>
            <w:rPr>
              <w:rFonts w:asciiTheme="minorHAnsi" w:eastAsiaTheme="minorEastAsia" w:hAnsiTheme="minorHAnsi" w:cstheme="minorBidi"/>
              <w:b w:val="0"/>
              <w:noProof/>
              <w:sz w:val="22"/>
              <w:lang w:eastAsia="en-AU"/>
            </w:rPr>
          </w:pPr>
          <w:hyperlink w:anchor="_Toc519764298" w:history="1">
            <w:r w:rsidR="00DD4C81" w:rsidRPr="000D773B">
              <w:rPr>
                <w:rStyle w:val="Hyperlink"/>
                <w:noProof/>
              </w:rPr>
              <w:t>VI. Pharmacovigilance findings</w:t>
            </w:r>
            <w:r w:rsidR="00DD4C81">
              <w:rPr>
                <w:noProof/>
                <w:webHidden/>
              </w:rPr>
              <w:tab/>
            </w:r>
            <w:r w:rsidR="00DD4C81">
              <w:rPr>
                <w:noProof/>
                <w:webHidden/>
              </w:rPr>
              <w:fldChar w:fldCharType="begin"/>
            </w:r>
            <w:r w:rsidR="00DD4C81">
              <w:rPr>
                <w:noProof/>
                <w:webHidden/>
              </w:rPr>
              <w:instrText xml:space="preserve"> PAGEREF _Toc519764298 \h </w:instrText>
            </w:r>
            <w:r w:rsidR="00DD4C81">
              <w:rPr>
                <w:noProof/>
                <w:webHidden/>
              </w:rPr>
            </w:r>
            <w:r w:rsidR="00DD4C81">
              <w:rPr>
                <w:noProof/>
                <w:webHidden/>
              </w:rPr>
              <w:fldChar w:fldCharType="separate"/>
            </w:r>
            <w:r w:rsidR="00DD4C81">
              <w:rPr>
                <w:noProof/>
                <w:webHidden/>
              </w:rPr>
              <w:t>42</w:t>
            </w:r>
            <w:r w:rsidR="00DD4C81">
              <w:rPr>
                <w:noProof/>
                <w:webHidden/>
              </w:rPr>
              <w:fldChar w:fldCharType="end"/>
            </w:r>
          </w:hyperlink>
        </w:p>
        <w:p w14:paraId="06A73B38" w14:textId="77777777" w:rsidR="00DD4C81" w:rsidRDefault="00232E73">
          <w:pPr>
            <w:pStyle w:val="TOC3"/>
            <w:rPr>
              <w:rFonts w:asciiTheme="minorHAnsi" w:eastAsiaTheme="minorEastAsia" w:hAnsiTheme="minorHAnsi" w:cstheme="minorBidi"/>
              <w:noProof/>
              <w:lang w:eastAsia="en-AU"/>
            </w:rPr>
          </w:pPr>
          <w:hyperlink w:anchor="_Toc519764299" w:history="1">
            <w:r w:rsidR="00DD4C81" w:rsidRPr="000D773B">
              <w:rPr>
                <w:rStyle w:val="Hyperlink"/>
                <w:noProof/>
              </w:rPr>
              <w:t>Summary</w:t>
            </w:r>
            <w:r w:rsidR="00DD4C81">
              <w:rPr>
                <w:noProof/>
                <w:webHidden/>
              </w:rPr>
              <w:tab/>
            </w:r>
            <w:r w:rsidR="00DD4C81">
              <w:rPr>
                <w:noProof/>
                <w:webHidden/>
              </w:rPr>
              <w:fldChar w:fldCharType="begin"/>
            </w:r>
            <w:r w:rsidR="00DD4C81">
              <w:rPr>
                <w:noProof/>
                <w:webHidden/>
              </w:rPr>
              <w:instrText xml:space="preserve"> PAGEREF _Toc519764299 \h </w:instrText>
            </w:r>
            <w:r w:rsidR="00DD4C81">
              <w:rPr>
                <w:noProof/>
                <w:webHidden/>
              </w:rPr>
            </w:r>
            <w:r w:rsidR="00DD4C81">
              <w:rPr>
                <w:noProof/>
                <w:webHidden/>
              </w:rPr>
              <w:fldChar w:fldCharType="separate"/>
            </w:r>
            <w:r w:rsidR="00DD4C81">
              <w:rPr>
                <w:noProof/>
                <w:webHidden/>
              </w:rPr>
              <w:t>42</w:t>
            </w:r>
            <w:r w:rsidR="00DD4C81">
              <w:rPr>
                <w:noProof/>
                <w:webHidden/>
              </w:rPr>
              <w:fldChar w:fldCharType="end"/>
            </w:r>
          </w:hyperlink>
        </w:p>
        <w:p w14:paraId="58977642" w14:textId="77777777" w:rsidR="00DD4C81" w:rsidRDefault="00232E73">
          <w:pPr>
            <w:pStyle w:val="TOC2"/>
            <w:rPr>
              <w:rFonts w:asciiTheme="minorHAnsi" w:eastAsiaTheme="minorEastAsia" w:hAnsiTheme="minorHAnsi" w:cstheme="minorBidi"/>
              <w:b w:val="0"/>
              <w:noProof/>
              <w:sz w:val="22"/>
              <w:lang w:eastAsia="en-AU"/>
            </w:rPr>
          </w:pPr>
          <w:hyperlink w:anchor="_Toc519764300" w:history="1">
            <w:r w:rsidR="00DD4C81" w:rsidRPr="000D773B">
              <w:rPr>
                <w:rStyle w:val="Hyperlink"/>
                <w:noProof/>
              </w:rPr>
              <w:t>VII. Overall conclusion and risk/benefit assessment</w:t>
            </w:r>
            <w:r w:rsidR="00DD4C81">
              <w:rPr>
                <w:noProof/>
                <w:webHidden/>
              </w:rPr>
              <w:tab/>
            </w:r>
            <w:r w:rsidR="00DD4C81">
              <w:rPr>
                <w:noProof/>
                <w:webHidden/>
              </w:rPr>
              <w:fldChar w:fldCharType="begin"/>
            </w:r>
            <w:r w:rsidR="00DD4C81">
              <w:rPr>
                <w:noProof/>
                <w:webHidden/>
              </w:rPr>
              <w:instrText xml:space="preserve"> PAGEREF _Toc519764300 \h </w:instrText>
            </w:r>
            <w:r w:rsidR="00DD4C81">
              <w:rPr>
                <w:noProof/>
                <w:webHidden/>
              </w:rPr>
            </w:r>
            <w:r w:rsidR="00DD4C81">
              <w:rPr>
                <w:noProof/>
                <w:webHidden/>
              </w:rPr>
              <w:fldChar w:fldCharType="separate"/>
            </w:r>
            <w:r w:rsidR="00DD4C81">
              <w:rPr>
                <w:noProof/>
                <w:webHidden/>
              </w:rPr>
              <w:t>43</w:t>
            </w:r>
            <w:r w:rsidR="00DD4C81">
              <w:rPr>
                <w:noProof/>
                <w:webHidden/>
              </w:rPr>
              <w:fldChar w:fldCharType="end"/>
            </w:r>
          </w:hyperlink>
        </w:p>
        <w:p w14:paraId="45A0B48B" w14:textId="77777777" w:rsidR="00DD4C81" w:rsidRDefault="00232E73">
          <w:pPr>
            <w:pStyle w:val="TOC3"/>
            <w:rPr>
              <w:rFonts w:asciiTheme="minorHAnsi" w:eastAsiaTheme="minorEastAsia" w:hAnsiTheme="minorHAnsi" w:cstheme="minorBidi"/>
              <w:noProof/>
              <w:lang w:eastAsia="en-AU"/>
            </w:rPr>
          </w:pPr>
          <w:hyperlink w:anchor="_Toc519764301" w:history="1">
            <w:r w:rsidR="00DD4C81" w:rsidRPr="000D773B">
              <w:rPr>
                <w:rStyle w:val="Hyperlink"/>
                <w:noProof/>
              </w:rPr>
              <w:t>Background</w:t>
            </w:r>
            <w:r w:rsidR="00DD4C81">
              <w:rPr>
                <w:noProof/>
                <w:webHidden/>
              </w:rPr>
              <w:tab/>
            </w:r>
            <w:r w:rsidR="00DD4C81">
              <w:rPr>
                <w:noProof/>
                <w:webHidden/>
              </w:rPr>
              <w:fldChar w:fldCharType="begin"/>
            </w:r>
            <w:r w:rsidR="00DD4C81">
              <w:rPr>
                <w:noProof/>
                <w:webHidden/>
              </w:rPr>
              <w:instrText xml:space="preserve"> PAGEREF _Toc519764301 \h </w:instrText>
            </w:r>
            <w:r w:rsidR="00DD4C81">
              <w:rPr>
                <w:noProof/>
                <w:webHidden/>
              </w:rPr>
            </w:r>
            <w:r w:rsidR="00DD4C81">
              <w:rPr>
                <w:noProof/>
                <w:webHidden/>
              </w:rPr>
              <w:fldChar w:fldCharType="separate"/>
            </w:r>
            <w:r w:rsidR="00DD4C81">
              <w:rPr>
                <w:noProof/>
                <w:webHidden/>
              </w:rPr>
              <w:t>44</w:t>
            </w:r>
            <w:r w:rsidR="00DD4C81">
              <w:rPr>
                <w:noProof/>
                <w:webHidden/>
              </w:rPr>
              <w:fldChar w:fldCharType="end"/>
            </w:r>
          </w:hyperlink>
        </w:p>
        <w:p w14:paraId="413B07EC" w14:textId="77777777" w:rsidR="00DD4C81" w:rsidRDefault="00232E73">
          <w:pPr>
            <w:pStyle w:val="TOC3"/>
            <w:rPr>
              <w:rFonts w:asciiTheme="minorHAnsi" w:eastAsiaTheme="minorEastAsia" w:hAnsiTheme="minorHAnsi" w:cstheme="minorBidi"/>
              <w:noProof/>
              <w:lang w:eastAsia="en-AU"/>
            </w:rPr>
          </w:pPr>
          <w:hyperlink w:anchor="_Toc519764302" w:history="1">
            <w:r w:rsidR="00DD4C81" w:rsidRPr="000D773B">
              <w:rPr>
                <w:rStyle w:val="Hyperlink"/>
                <w:noProof/>
              </w:rPr>
              <w:t>Quality</w:t>
            </w:r>
            <w:r w:rsidR="00DD4C81">
              <w:rPr>
                <w:noProof/>
                <w:webHidden/>
              </w:rPr>
              <w:tab/>
            </w:r>
            <w:r w:rsidR="00DD4C81">
              <w:rPr>
                <w:noProof/>
                <w:webHidden/>
              </w:rPr>
              <w:fldChar w:fldCharType="begin"/>
            </w:r>
            <w:r w:rsidR="00DD4C81">
              <w:rPr>
                <w:noProof/>
                <w:webHidden/>
              </w:rPr>
              <w:instrText xml:space="preserve"> PAGEREF _Toc519764302 \h </w:instrText>
            </w:r>
            <w:r w:rsidR="00DD4C81">
              <w:rPr>
                <w:noProof/>
                <w:webHidden/>
              </w:rPr>
            </w:r>
            <w:r w:rsidR="00DD4C81">
              <w:rPr>
                <w:noProof/>
                <w:webHidden/>
              </w:rPr>
              <w:fldChar w:fldCharType="separate"/>
            </w:r>
            <w:r w:rsidR="00DD4C81">
              <w:rPr>
                <w:noProof/>
                <w:webHidden/>
              </w:rPr>
              <w:t>44</w:t>
            </w:r>
            <w:r w:rsidR="00DD4C81">
              <w:rPr>
                <w:noProof/>
                <w:webHidden/>
              </w:rPr>
              <w:fldChar w:fldCharType="end"/>
            </w:r>
          </w:hyperlink>
        </w:p>
        <w:p w14:paraId="10ABB0E5" w14:textId="77777777" w:rsidR="00DD4C81" w:rsidRDefault="00232E73">
          <w:pPr>
            <w:pStyle w:val="TOC3"/>
            <w:rPr>
              <w:rFonts w:asciiTheme="minorHAnsi" w:eastAsiaTheme="minorEastAsia" w:hAnsiTheme="minorHAnsi" w:cstheme="minorBidi"/>
              <w:noProof/>
              <w:lang w:eastAsia="en-AU"/>
            </w:rPr>
          </w:pPr>
          <w:hyperlink w:anchor="_Toc519764303" w:history="1">
            <w:r w:rsidR="00DD4C81" w:rsidRPr="000D773B">
              <w:rPr>
                <w:rStyle w:val="Hyperlink"/>
                <w:noProof/>
              </w:rPr>
              <w:t>Nonclinical</w:t>
            </w:r>
            <w:r w:rsidR="00DD4C81">
              <w:rPr>
                <w:noProof/>
                <w:webHidden/>
              </w:rPr>
              <w:tab/>
            </w:r>
            <w:r w:rsidR="00DD4C81">
              <w:rPr>
                <w:noProof/>
                <w:webHidden/>
              </w:rPr>
              <w:fldChar w:fldCharType="begin"/>
            </w:r>
            <w:r w:rsidR="00DD4C81">
              <w:rPr>
                <w:noProof/>
                <w:webHidden/>
              </w:rPr>
              <w:instrText xml:space="preserve"> PAGEREF _Toc519764303 \h </w:instrText>
            </w:r>
            <w:r w:rsidR="00DD4C81">
              <w:rPr>
                <w:noProof/>
                <w:webHidden/>
              </w:rPr>
            </w:r>
            <w:r w:rsidR="00DD4C81">
              <w:rPr>
                <w:noProof/>
                <w:webHidden/>
              </w:rPr>
              <w:fldChar w:fldCharType="separate"/>
            </w:r>
            <w:r w:rsidR="00DD4C81">
              <w:rPr>
                <w:noProof/>
                <w:webHidden/>
              </w:rPr>
              <w:t>44</w:t>
            </w:r>
            <w:r w:rsidR="00DD4C81">
              <w:rPr>
                <w:noProof/>
                <w:webHidden/>
              </w:rPr>
              <w:fldChar w:fldCharType="end"/>
            </w:r>
          </w:hyperlink>
        </w:p>
        <w:p w14:paraId="25ADF199" w14:textId="77777777" w:rsidR="00DD4C81" w:rsidRDefault="00232E73">
          <w:pPr>
            <w:pStyle w:val="TOC3"/>
            <w:rPr>
              <w:rFonts w:asciiTheme="minorHAnsi" w:eastAsiaTheme="minorEastAsia" w:hAnsiTheme="minorHAnsi" w:cstheme="minorBidi"/>
              <w:noProof/>
              <w:lang w:eastAsia="en-AU"/>
            </w:rPr>
          </w:pPr>
          <w:hyperlink w:anchor="_Toc519764304" w:history="1">
            <w:r w:rsidR="00DD4C81" w:rsidRPr="000D773B">
              <w:rPr>
                <w:rStyle w:val="Hyperlink"/>
                <w:noProof/>
              </w:rPr>
              <w:t>Clinical</w:t>
            </w:r>
            <w:r w:rsidR="00DD4C81">
              <w:rPr>
                <w:noProof/>
                <w:webHidden/>
              </w:rPr>
              <w:tab/>
            </w:r>
            <w:r w:rsidR="00DD4C81">
              <w:rPr>
                <w:noProof/>
                <w:webHidden/>
              </w:rPr>
              <w:fldChar w:fldCharType="begin"/>
            </w:r>
            <w:r w:rsidR="00DD4C81">
              <w:rPr>
                <w:noProof/>
                <w:webHidden/>
              </w:rPr>
              <w:instrText xml:space="preserve"> PAGEREF _Toc519764304 \h </w:instrText>
            </w:r>
            <w:r w:rsidR="00DD4C81">
              <w:rPr>
                <w:noProof/>
                <w:webHidden/>
              </w:rPr>
            </w:r>
            <w:r w:rsidR="00DD4C81">
              <w:rPr>
                <w:noProof/>
                <w:webHidden/>
              </w:rPr>
              <w:fldChar w:fldCharType="separate"/>
            </w:r>
            <w:r w:rsidR="00DD4C81">
              <w:rPr>
                <w:noProof/>
                <w:webHidden/>
              </w:rPr>
              <w:t>44</w:t>
            </w:r>
            <w:r w:rsidR="00DD4C81">
              <w:rPr>
                <w:noProof/>
                <w:webHidden/>
              </w:rPr>
              <w:fldChar w:fldCharType="end"/>
            </w:r>
          </w:hyperlink>
        </w:p>
        <w:p w14:paraId="1D1A3B19" w14:textId="77777777" w:rsidR="00DD4C81" w:rsidRDefault="00232E73">
          <w:pPr>
            <w:pStyle w:val="TOC3"/>
            <w:rPr>
              <w:rFonts w:asciiTheme="minorHAnsi" w:eastAsiaTheme="minorEastAsia" w:hAnsiTheme="minorHAnsi" w:cstheme="minorBidi"/>
              <w:noProof/>
              <w:lang w:eastAsia="en-AU"/>
            </w:rPr>
          </w:pPr>
          <w:hyperlink w:anchor="_Toc519764305" w:history="1">
            <w:r w:rsidR="00DD4C81" w:rsidRPr="000D773B">
              <w:rPr>
                <w:rStyle w:val="Hyperlink"/>
                <w:noProof/>
              </w:rPr>
              <w:t>Risk management plan</w:t>
            </w:r>
            <w:r w:rsidR="00DD4C81">
              <w:rPr>
                <w:noProof/>
                <w:webHidden/>
              </w:rPr>
              <w:tab/>
            </w:r>
            <w:r w:rsidR="00DD4C81">
              <w:rPr>
                <w:noProof/>
                <w:webHidden/>
              </w:rPr>
              <w:fldChar w:fldCharType="begin"/>
            </w:r>
            <w:r w:rsidR="00DD4C81">
              <w:rPr>
                <w:noProof/>
                <w:webHidden/>
              </w:rPr>
              <w:instrText xml:space="preserve"> PAGEREF _Toc519764305 \h </w:instrText>
            </w:r>
            <w:r w:rsidR="00DD4C81">
              <w:rPr>
                <w:noProof/>
                <w:webHidden/>
              </w:rPr>
            </w:r>
            <w:r w:rsidR="00DD4C81">
              <w:rPr>
                <w:noProof/>
                <w:webHidden/>
              </w:rPr>
              <w:fldChar w:fldCharType="separate"/>
            </w:r>
            <w:r w:rsidR="00DD4C81">
              <w:rPr>
                <w:noProof/>
                <w:webHidden/>
              </w:rPr>
              <w:t>47</w:t>
            </w:r>
            <w:r w:rsidR="00DD4C81">
              <w:rPr>
                <w:noProof/>
                <w:webHidden/>
              </w:rPr>
              <w:fldChar w:fldCharType="end"/>
            </w:r>
          </w:hyperlink>
        </w:p>
        <w:p w14:paraId="1259F09F" w14:textId="77777777" w:rsidR="00DD4C81" w:rsidRDefault="00232E73">
          <w:pPr>
            <w:pStyle w:val="TOC3"/>
            <w:rPr>
              <w:rFonts w:asciiTheme="minorHAnsi" w:eastAsiaTheme="minorEastAsia" w:hAnsiTheme="minorHAnsi" w:cstheme="minorBidi"/>
              <w:noProof/>
              <w:lang w:eastAsia="en-AU"/>
            </w:rPr>
          </w:pPr>
          <w:hyperlink w:anchor="_Toc519764306" w:history="1">
            <w:r w:rsidR="00DD4C81" w:rsidRPr="000D773B">
              <w:rPr>
                <w:rStyle w:val="Hyperlink"/>
                <w:noProof/>
              </w:rPr>
              <w:t>Risk-benefit analysis</w:t>
            </w:r>
            <w:r w:rsidR="00DD4C81">
              <w:rPr>
                <w:noProof/>
                <w:webHidden/>
              </w:rPr>
              <w:tab/>
            </w:r>
            <w:r w:rsidR="00DD4C81">
              <w:rPr>
                <w:noProof/>
                <w:webHidden/>
              </w:rPr>
              <w:fldChar w:fldCharType="begin"/>
            </w:r>
            <w:r w:rsidR="00DD4C81">
              <w:rPr>
                <w:noProof/>
                <w:webHidden/>
              </w:rPr>
              <w:instrText xml:space="preserve"> PAGEREF _Toc519764306 \h </w:instrText>
            </w:r>
            <w:r w:rsidR="00DD4C81">
              <w:rPr>
                <w:noProof/>
                <w:webHidden/>
              </w:rPr>
            </w:r>
            <w:r w:rsidR="00DD4C81">
              <w:rPr>
                <w:noProof/>
                <w:webHidden/>
              </w:rPr>
              <w:fldChar w:fldCharType="separate"/>
            </w:r>
            <w:r w:rsidR="00DD4C81">
              <w:rPr>
                <w:noProof/>
                <w:webHidden/>
              </w:rPr>
              <w:t>47</w:t>
            </w:r>
            <w:r w:rsidR="00DD4C81">
              <w:rPr>
                <w:noProof/>
                <w:webHidden/>
              </w:rPr>
              <w:fldChar w:fldCharType="end"/>
            </w:r>
          </w:hyperlink>
        </w:p>
        <w:p w14:paraId="1F70C2A1" w14:textId="77777777" w:rsidR="00DD4C81" w:rsidRDefault="00232E73">
          <w:pPr>
            <w:pStyle w:val="TOC3"/>
            <w:rPr>
              <w:rFonts w:asciiTheme="minorHAnsi" w:eastAsiaTheme="minorEastAsia" w:hAnsiTheme="minorHAnsi" w:cstheme="minorBidi"/>
              <w:noProof/>
              <w:lang w:eastAsia="en-AU"/>
            </w:rPr>
          </w:pPr>
          <w:hyperlink w:anchor="_Toc519764307" w:history="1">
            <w:r w:rsidR="00DD4C81" w:rsidRPr="000D773B">
              <w:rPr>
                <w:rStyle w:val="Hyperlink"/>
                <w:noProof/>
              </w:rPr>
              <w:t>Outcome</w:t>
            </w:r>
            <w:r w:rsidR="00DD4C81">
              <w:rPr>
                <w:noProof/>
                <w:webHidden/>
              </w:rPr>
              <w:tab/>
            </w:r>
            <w:r w:rsidR="00DD4C81">
              <w:rPr>
                <w:noProof/>
                <w:webHidden/>
              </w:rPr>
              <w:fldChar w:fldCharType="begin"/>
            </w:r>
            <w:r w:rsidR="00DD4C81">
              <w:rPr>
                <w:noProof/>
                <w:webHidden/>
              </w:rPr>
              <w:instrText xml:space="preserve"> PAGEREF _Toc519764307 \h </w:instrText>
            </w:r>
            <w:r w:rsidR="00DD4C81">
              <w:rPr>
                <w:noProof/>
                <w:webHidden/>
              </w:rPr>
            </w:r>
            <w:r w:rsidR="00DD4C81">
              <w:rPr>
                <w:noProof/>
                <w:webHidden/>
              </w:rPr>
              <w:fldChar w:fldCharType="separate"/>
            </w:r>
            <w:r w:rsidR="00DD4C81">
              <w:rPr>
                <w:noProof/>
                <w:webHidden/>
              </w:rPr>
              <w:t>56</w:t>
            </w:r>
            <w:r w:rsidR="00DD4C81">
              <w:rPr>
                <w:noProof/>
                <w:webHidden/>
              </w:rPr>
              <w:fldChar w:fldCharType="end"/>
            </w:r>
          </w:hyperlink>
        </w:p>
        <w:p w14:paraId="43E75D2D" w14:textId="77777777" w:rsidR="00DD4C81" w:rsidRDefault="00232E73">
          <w:pPr>
            <w:pStyle w:val="TOC2"/>
            <w:rPr>
              <w:rFonts w:asciiTheme="minorHAnsi" w:eastAsiaTheme="minorEastAsia" w:hAnsiTheme="minorHAnsi" w:cstheme="minorBidi"/>
              <w:b w:val="0"/>
              <w:noProof/>
              <w:sz w:val="22"/>
              <w:lang w:eastAsia="en-AU"/>
            </w:rPr>
          </w:pPr>
          <w:hyperlink w:anchor="_Toc519764308" w:history="1">
            <w:r w:rsidR="00DD4C81" w:rsidRPr="000D773B">
              <w:rPr>
                <w:rStyle w:val="Hyperlink"/>
                <w:noProof/>
                <w:lang w:eastAsia="en-AU"/>
              </w:rPr>
              <w:t>Attachment 1. Extract from the Clinical Evaluation Report</w:t>
            </w:r>
            <w:r w:rsidR="00DD4C81">
              <w:rPr>
                <w:noProof/>
                <w:webHidden/>
              </w:rPr>
              <w:tab/>
            </w:r>
            <w:r w:rsidR="00DD4C81">
              <w:rPr>
                <w:noProof/>
                <w:webHidden/>
              </w:rPr>
              <w:fldChar w:fldCharType="begin"/>
            </w:r>
            <w:r w:rsidR="00DD4C81">
              <w:rPr>
                <w:noProof/>
                <w:webHidden/>
              </w:rPr>
              <w:instrText xml:space="preserve"> PAGEREF _Toc519764308 \h </w:instrText>
            </w:r>
            <w:r w:rsidR="00DD4C81">
              <w:rPr>
                <w:noProof/>
                <w:webHidden/>
              </w:rPr>
            </w:r>
            <w:r w:rsidR="00DD4C81">
              <w:rPr>
                <w:noProof/>
                <w:webHidden/>
              </w:rPr>
              <w:fldChar w:fldCharType="separate"/>
            </w:r>
            <w:r w:rsidR="00DD4C81">
              <w:rPr>
                <w:noProof/>
                <w:webHidden/>
              </w:rPr>
              <w:t>57</w:t>
            </w:r>
            <w:r w:rsidR="00DD4C81">
              <w:rPr>
                <w:noProof/>
                <w:webHidden/>
              </w:rPr>
              <w:fldChar w:fldCharType="end"/>
            </w:r>
          </w:hyperlink>
        </w:p>
        <w:p w14:paraId="0A12E376" w14:textId="77777777" w:rsidR="003A7F6C" w:rsidRPr="00B811C6" w:rsidRDefault="00DB6124" w:rsidP="00B811C6">
          <w:pPr>
            <w:pStyle w:val="TOC2"/>
          </w:pPr>
          <w:r>
            <w:fldChar w:fldCharType="end"/>
          </w:r>
        </w:p>
      </w:sdtContent>
    </w:sdt>
    <w:bookmarkStart w:id="3" w:name="_Toc314842482" w:displacedByCustomXml="prev"/>
    <w:p w14:paraId="11ACDA2C" w14:textId="77777777" w:rsidR="00FD119B" w:rsidRDefault="00FD119B">
      <w:pPr>
        <w:spacing w:before="0" w:after="200" w:line="0" w:lineRule="auto"/>
      </w:pPr>
      <w:r>
        <w:br w:type="page"/>
      </w:r>
    </w:p>
    <w:p w14:paraId="2F3A7538" w14:textId="77777777"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519764270"/>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09"/>
        <w:gridCol w:w="6911"/>
      </w:tblGrid>
      <w:tr w:rsidR="00FD119B" w:rsidRPr="00FD119B" w14:paraId="79CD68AC" w14:textId="77777777" w:rsidTr="00FD119B">
        <w:trPr>
          <w:cnfStyle w:val="100000000000" w:firstRow="1" w:lastRow="0" w:firstColumn="0" w:lastColumn="0" w:oddVBand="0" w:evenVBand="0" w:oddHBand="0" w:evenHBand="0" w:firstRowFirstColumn="0" w:firstRowLastColumn="0" w:lastRowFirstColumn="0" w:lastRowLastColumn="0"/>
        </w:trPr>
        <w:tc>
          <w:tcPr>
            <w:tcW w:w="1809" w:type="dxa"/>
          </w:tcPr>
          <w:p w14:paraId="70AFB7C3" w14:textId="77777777"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14:paraId="2029AC8D" w14:textId="77777777" w:rsidR="00FD119B" w:rsidRPr="00FD119B" w:rsidRDefault="00FD119B" w:rsidP="00FD119B">
            <w:pPr>
              <w:keepNext w:val="0"/>
              <w:ind w:left="0" w:right="0"/>
              <w:rPr>
                <w:szCs w:val="22"/>
                <w:lang w:eastAsia="en-US"/>
              </w:rPr>
            </w:pPr>
            <w:r w:rsidRPr="00FD119B">
              <w:rPr>
                <w:szCs w:val="22"/>
                <w:lang w:eastAsia="en-US"/>
              </w:rPr>
              <w:t>Meaning</w:t>
            </w:r>
          </w:p>
        </w:tc>
      </w:tr>
      <w:tr w:rsidR="00CB080F" w:rsidRPr="00FD119B" w14:paraId="252EA7BA" w14:textId="77777777" w:rsidTr="00FD119B">
        <w:tc>
          <w:tcPr>
            <w:tcW w:w="1809" w:type="dxa"/>
          </w:tcPr>
          <w:p w14:paraId="58358B50" w14:textId="77777777" w:rsidR="00CB080F" w:rsidRDefault="00CB080F" w:rsidP="00CB080F">
            <w:r>
              <w:t>AE</w:t>
            </w:r>
          </w:p>
        </w:tc>
        <w:tc>
          <w:tcPr>
            <w:tcW w:w="6911" w:type="dxa"/>
          </w:tcPr>
          <w:p w14:paraId="192E6D95" w14:textId="77777777" w:rsidR="00CB080F" w:rsidRDefault="00CB080F" w:rsidP="00CB080F">
            <w:r>
              <w:t>Adverse event</w:t>
            </w:r>
          </w:p>
        </w:tc>
      </w:tr>
      <w:tr w:rsidR="00CB080F" w:rsidRPr="00FD119B" w14:paraId="5AA239E4" w14:textId="77777777" w:rsidTr="00FD119B">
        <w:tc>
          <w:tcPr>
            <w:tcW w:w="1809" w:type="dxa"/>
          </w:tcPr>
          <w:p w14:paraId="09E53FB3" w14:textId="77777777" w:rsidR="00CB080F" w:rsidRDefault="00CB080F" w:rsidP="00CB080F">
            <w:r>
              <w:t>AI</w:t>
            </w:r>
            <w:r w:rsidR="003778D6">
              <w:t>H</w:t>
            </w:r>
          </w:p>
        </w:tc>
        <w:tc>
          <w:tcPr>
            <w:tcW w:w="6911" w:type="dxa"/>
          </w:tcPr>
          <w:p w14:paraId="3AC96130" w14:textId="03CE0819" w:rsidR="00CB080F" w:rsidRDefault="00326E00" w:rsidP="00CB080F">
            <w:r>
              <w:t>A</w:t>
            </w:r>
            <w:r w:rsidR="003778D6" w:rsidRPr="00C94BA1">
              <w:t>utoimmune hepatitis</w:t>
            </w:r>
          </w:p>
        </w:tc>
      </w:tr>
      <w:tr w:rsidR="00CB080F" w:rsidRPr="00FD119B" w14:paraId="5118F60E" w14:textId="77777777" w:rsidTr="00FD119B">
        <w:tc>
          <w:tcPr>
            <w:tcW w:w="1809" w:type="dxa"/>
          </w:tcPr>
          <w:p w14:paraId="1C93B64C" w14:textId="77777777" w:rsidR="00CB080F" w:rsidRDefault="00CB080F" w:rsidP="00CB080F">
            <w:r>
              <w:t>ARGPM</w:t>
            </w:r>
          </w:p>
        </w:tc>
        <w:tc>
          <w:tcPr>
            <w:tcW w:w="6911" w:type="dxa"/>
          </w:tcPr>
          <w:p w14:paraId="69C54C9C" w14:textId="77777777" w:rsidR="00CB080F" w:rsidRDefault="00CB080F" w:rsidP="00CB080F">
            <w:r w:rsidRPr="00B06222">
              <w:t>Australian Regulatory Guidel</w:t>
            </w:r>
            <w:r>
              <w:t>ines for Prescription Medicines</w:t>
            </w:r>
          </w:p>
        </w:tc>
      </w:tr>
      <w:tr w:rsidR="00CB080F" w:rsidRPr="00FD119B" w14:paraId="31B8A986" w14:textId="77777777" w:rsidTr="00FD119B">
        <w:tc>
          <w:tcPr>
            <w:tcW w:w="1809" w:type="dxa"/>
          </w:tcPr>
          <w:p w14:paraId="45A45AD1" w14:textId="77777777" w:rsidR="00CB080F" w:rsidRDefault="00CB080F" w:rsidP="00CB080F">
            <w:r>
              <w:t>ASA</w:t>
            </w:r>
          </w:p>
        </w:tc>
        <w:tc>
          <w:tcPr>
            <w:tcW w:w="6911" w:type="dxa"/>
          </w:tcPr>
          <w:p w14:paraId="4D3CD4B3" w14:textId="77777777" w:rsidR="00CB080F" w:rsidRDefault="00CB080F" w:rsidP="00CB080F">
            <w:r>
              <w:t>Australian Specific Annexe</w:t>
            </w:r>
          </w:p>
        </w:tc>
      </w:tr>
      <w:tr w:rsidR="00CB080F" w:rsidRPr="00FD119B" w14:paraId="04B96C12" w14:textId="77777777" w:rsidTr="00FD119B">
        <w:tc>
          <w:tcPr>
            <w:tcW w:w="1809" w:type="dxa"/>
          </w:tcPr>
          <w:p w14:paraId="144C52FF" w14:textId="77777777" w:rsidR="00CB080F" w:rsidRDefault="00CB080F" w:rsidP="00CB080F">
            <w:r>
              <w:t>AUC</w:t>
            </w:r>
          </w:p>
        </w:tc>
        <w:tc>
          <w:tcPr>
            <w:tcW w:w="6911" w:type="dxa"/>
          </w:tcPr>
          <w:p w14:paraId="4F18C7E5" w14:textId="77777777" w:rsidR="00CB080F" w:rsidRDefault="00CB080F" w:rsidP="00CB080F">
            <w:r>
              <w:t>Area under the curve</w:t>
            </w:r>
          </w:p>
        </w:tc>
      </w:tr>
      <w:tr w:rsidR="00CB080F" w:rsidRPr="00FD119B" w14:paraId="43F51ECA" w14:textId="77777777" w:rsidTr="00FD119B">
        <w:tc>
          <w:tcPr>
            <w:tcW w:w="1809" w:type="dxa"/>
          </w:tcPr>
          <w:p w14:paraId="587393C7" w14:textId="77777777" w:rsidR="00CB080F" w:rsidRDefault="00CB080F" w:rsidP="00CB080F">
            <w:r>
              <w:t>AUC</w:t>
            </w:r>
            <w:r w:rsidRPr="00BC415F">
              <w:rPr>
                <w:vertAlign w:val="subscript"/>
              </w:rPr>
              <w:t>0-24C</w:t>
            </w:r>
          </w:p>
        </w:tc>
        <w:tc>
          <w:tcPr>
            <w:tcW w:w="6911" w:type="dxa"/>
          </w:tcPr>
          <w:p w14:paraId="64F91DB2" w14:textId="77777777" w:rsidR="00CB080F" w:rsidRDefault="00CB080F" w:rsidP="00CB080F">
            <w:r>
              <w:t>Corrected AUC</w:t>
            </w:r>
          </w:p>
        </w:tc>
      </w:tr>
      <w:tr w:rsidR="00CB080F" w:rsidRPr="00FD119B" w14:paraId="12363A7D" w14:textId="77777777" w:rsidTr="00FD119B">
        <w:tc>
          <w:tcPr>
            <w:tcW w:w="1809" w:type="dxa"/>
          </w:tcPr>
          <w:p w14:paraId="2DAAFF27" w14:textId="77777777" w:rsidR="00CB080F" w:rsidRDefault="00CB080F" w:rsidP="00CB080F">
            <w:proofErr w:type="spellStart"/>
            <w:r w:rsidRPr="00BC415F">
              <w:t>AUC</w:t>
            </w:r>
            <w:r w:rsidRPr="00BC415F">
              <w:rPr>
                <w:rFonts w:hint="eastAsia"/>
                <w:vertAlign w:val="subscript"/>
              </w:rPr>
              <w:t>τ</w:t>
            </w:r>
            <w:proofErr w:type="spellEnd"/>
          </w:p>
        </w:tc>
        <w:tc>
          <w:tcPr>
            <w:tcW w:w="6911" w:type="dxa"/>
          </w:tcPr>
          <w:p w14:paraId="140B57DB" w14:textId="77777777" w:rsidR="00CB080F" w:rsidRDefault="00CB080F" w:rsidP="00CB080F">
            <w:r>
              <w:t>AUC during a dosing interval</w:t>
            </w:r>
          </w:p>
        </w:tc>
      </w:tr>
      <w:tr w:rsidR="00CB080F" w:rsidRPr="00FD119B" w14:paraId="59E87B5A" w14:textId="77777777" w:rsidTr="00FD119B">
        <w:tc>
          <w:tcPr>
            <w:tcW w:w="1809" w:type="dxa"/>
          </w:tcPr>
          <w:p w14:paraId="456E7D4A" w14:textId="77777777" w:rsidR="00CB080F" w:rsidRDefault="00CB080F" w:rsidP="00CB080F">
            <w:r>
              <w:t>BCS</w:t>
            </w:r>
          </w:p>
        </w:tc>
        <w:tc>
          <w:tcPr>
            <w:tcW w:w="6911" w:type="dxa"/>
          </w:tcPr>
          <w:p w14:paraId="3AC95C58" w14:textId="77777777" w:rsidR="00CB080F" w:rsidRDefault="00CB080F" w:rsidP="00CB080F">
            <w:r w:rsidRPr="00FA4849">
              <w:t>Biopha</w:t>
            </w:r>
            <w:r>
              <w:t>rmaceutic Classification System</w:t>
            </w:r>
          </w:p>
        </w:tc>
      </w:tr>
      <w:tr w:rsidR="00CB080F" w:rsidRPr="00FD119B" w14:paraId="756D6FA5" w14:textId="77777777" w:rsidTr="00FD119B">
        <w:tc>
          <w:tcPr>
            <w:tcW w:w="1809" w:type="dxa"/>
          </w:tcPr>
          <w:p w14:paraId="46D10E4D" w14:textId="77777777" w:rsidR="00CB080F" w:rsidRDefault="00CB080F" w:rsidP="00CB080F">
            <w:r>
              <w:t>BD</w:t>
            </w:r>
          </w:p>
        </w:tc>
        <w:tc>
          <w:tcPr>
            <w:tcW w:w="6911" w:type="dxa"/>
          </w:tcPr>
          <w:p w14:paraId="5D1E7B4F" w14:textId="77777777" w:rsidR="00CB080F" w:rsidRDefault="00CB080F" w:rsidP="00CB080F">
            <w:r>
              <w:t>Twice daily</w:t>
            </w:r>
          </w:p>
        </w:tc>
      </w:tr>
      <w:tr w:rsidR="007C5D1A" w:rsidRPr="00FD119B" w14:paraId="0FCC24C4" w14:textId="77777777" w:rsidTr="00FD119B">
        <w:tc>
          <w:tcPr>
            <w:tcW w:w="1809" w:type="dxa"/>
          </w:tcPr>
          <w:p w14:paraId="02610701" w14:textId="77777777" w:rsidR="007C5D1A" w:rsidRDefault="007C5D1A" w:rsidP="00CB080F">
            <w:r>
              <w:rPr>
                <w:lang w:eastAsia="ja-JP"/>
              </w:rPr>
              <w:t>CCDS</w:t>
            </w:r>
          </w:p>
        </w:tc>
        <w:tc>
          <w:tcPr>
            <w:tcW w:w="6911" w:type="dxa"/>
          </w:tcPr>
          <w:p w14:paraId="5F5660CB" w14:textId="77777777" w:rsidR="007C5D1A" w:rsidRDefault="00B4142C" w:rsidP="00CB080F">
            <w:r>
              <w:rPr>
                <w:lang w:eastAsia="ja-JP"/>
              </w:rPr>
              <w:t xml:space="preserve">Company </w:t>
            </w:r>
            <w:r w:rsidR="004B55CF">
              <w:rPr>
                <w:lang w:eastAsia="ja-JP"/>
              </w:rPr>
              <w:t>Core Data Sheet</w:t>
            </w:r>
          </w:p>
        </w:tc>
      </w:tr>
      <w:tr w:rsidR="00CB080F" w:rsidRPr="00FD119B" w14:paraId="3F52B1BC" w14:textId="77777777" w:rsidTr="00FD119B">
        <w:tc>
          <w:tcPr>
            <w:tcW w:w="1809" w:type="dxa"/>
          </w:tcPr>
          <w:p w14:paraId="25AB3597" w14:textId="77777777" w:rsidR="00CB080F" w:rsidRDefault="00CB080F" w:rsidP="00CB080F">
            <w:r>
              <w:t>CHMP</w:t>
            </w:r>
          </w:p>
        </w:tc>
        <w:tc>
          <w:tcPr>
            <w:tcW w:w="6911" w:type="dxa"/>
          </w:tcPr>
          <w:p w14:paraId="3433B926" w14:textId="77777777" w:rsidR="00CB080F" w:rsidRPr="00627E88" w:rsidRDefault="00CB080F" w:rsidP="00CB080F">
            <w:r w:rsidRPr="00627E88">
              <w:rPr>
                <w:bCs/>
              </w:rPr>
              <w:t>Committee for Medicinal Products for Human Use</w:t>
            </w:r>
          </w:p>
        </w:tc>
      </w:tr>
      <w:tr w:rsidR="00CB080F" w:rsidRPr="00FD119B" w14:paraId="2CF88E79" w14:textId="77777777" w:rsidTr="00FD119B">
        <w:tc>
          <w:tcPr>
            <w:tcW w:w="1809" w:type="dxa"/>
          </w:tcPr>
          <w:p w14:paraId="62794559" w14:textId="77777777" w:rsidR="00CB080F" w:rsidRDefault="00CB080F" w:rsidP="00CB080F">
            <w:r>
              <w:t>CI</w:t>
            </w:r>
          </w:p>
        </w:tc>
        <w:tc>
          <w:tcPr>
            <w:tcW w:w="6911" w:type="dxa"/>
          </w:tcPr>
          <w:p w14:paraId="61664F2E" w14:textId="77777777" w:rsidR="00CB080F" w:rsidRDefault="00CB080F" w:rsidP="00CB080F">
            <w:r>
              <w:t>Confidence interval</w:t>
            </w:r>
          </w:p>
        </w:tc>
      </w:tr>
      <w:tr w:rsidR="00CB080F" w:rsidRPr="00FD119B" w14:paraId="7C05899E" w14:textId="77777777" w:rsidTr="00FD119B">
        <w:tc>
          <w:tcPr>
            <w:tcW w:w="1809" w:type="dxa"/>
          </w:tcPr>
          <w:p w14:paraId="567E8DF9" w14:textId="77777777" w:rsidR="00CB080F" w:rsidRDefault="00CB080F" w:rsidP="00CB080F">
            <w:r>
              <w:t>C</w:t>
            </w:r>
            <w:r w:rsidRPr="00441792">
              <w:rPr>
                <w:vertAlign w:val="subscript"/>
              </w:rPr>
              <w:t>max</w:t>
            </w:r>
          </w:p>
        </w:tc>
        <w:tc>
          <w:tcPr>
            <w:tcW w:w="6911" w:type="dxa"/>
          </w:tcPr>
          <w:p w14:paraId="50197760" w14:textId="77777777" w:rsidR="00CB080F" w:rsidRDefault="00CB080F" w:rsidP="00CB080F">
            <w:r>
              <w:t>Maximum observed concentration</w:t>
            </w:r>
          </w:p>
        </w:tc>
      </w:tr>
      <w:tr w:rsidR="00CB080F" w:rsidRPr="00FD119B" w14:paraId="5BE64A94" w14:textId="77777777" w:rsidTr="00FD119B">
        <w:tc>
          <w:tcPr>
            <w:tcW w:w="1809" w:type="dxa"/>
          </w:tcPr>
          <w:p w14:paraId="7B7D7A3D" w14:textId="77777777" w:rsidR="00CB080F" w:rsidRDefault="00CB080F" w:rsidP="00CB080F">
            <w:proofErr w:type="spellStart"/>
            <w:r>
              <w:t>C</w:t>
            </w:r>
            <w:r w:rsidRPr="00BC415F">
              <w:rPr>
                <w:vertAlign w:val="subscript"/>
              </w:rPr>
              <w:t>maxC</w:t>
            </w:r>
            <w:proofErr w:type="spellEnd"/>
          </w:p>
        </w:tc>
        <w:tc>
          <w:tcPr>
            <w:tcW w:w="6911" w:type="dxa"/>
          </w:tcPr>
          <w:p w14:paraId="17C78281" w14:textId="77777777" w:rsidR="00CB080F" w:rsidRDefault="00CB080F" w:rsidP="00CB080F">
            <w:r>
              <w:t>Corrected C</w:t>
            </w:r>
            <w:r w:rsidRPr="00BC415F">
              <w:rPr>
                <w:vertAlign w:val="subscript"/>
              </w:rPr>
              <w:t>max</w:t>
            </w:r>
          </w:p>
        </w:tc>
      </w:tr>
      <w:tr w:rsidR="00CB080F" w:rsidRPr="00FD119B" w14:paraId="31FFF59B" w14:textId="77777777" w:rsidTr="00FD119B">
        <w:tc>
          <w:tcPr>
            <w:tcW w:w="1809" w:type="dxa"/>
          </w:tcPr>
          <w:p w14:paraId="2CC8070E" w14:textId="77777777" w:rsidR="00CB080F" w:rsidRDefault="00CB080F" w:rsidP="00CB080F">
            <w:r>
              <w:t>CPMP</w:t>
            </w:r>
          </w:p>
        </w:tc>
        <w:tc>
          <w:tcPr>
            <w:tcW w:w="6911" w:type="dxa"/>
          </w:tcPr>
          <w:p w14:paraId="10C35E29" w14:textId="77777777" w:rsidR="00CB080F" w:rsidRPr="00627E88" w:rsidRDefault="00CB080F" w:rsidP="00CB080F">
            <w:r w:rsidRPr="00627E88">
              <w:rPr>
                <w:bCs/>
              </w:rPr>
              <w:t>Committee for Proprietary Medicinal Products</w:t>
            </w:r>
          </w:p>
        </w:tc>
      </w:tr>
      <w:tr w:rsidR="00CB080F" w:rsidRPr="00FD119B" w14:paraId="6953C3BB" w14:textId="77777777" w:rsidTr="00FD119B">
        <w:tc>
          <w:tcPr>
            <w:tcW w:w="1809" w:type="dxa"/>
          </w:tcPr>
          <w:p w14:paraId="437E0351" w14:textId="77777777" w:rsidR="00CB080F" w:rsidRDefault="00CB080F" w:rsidP="00CB080F">
            <w:r>
              <w:t>CSR</w:t>
            </w:r>
          </w:p>
        </w:tc>
        <w:tc>
          <w:tcPr>
            <w:tcW w:w="6911" w:type="dxa"/>
          </w:tcPr>
          <w:p w14:paraId="54520341" w14:textId="77777777" w:rsidR="00CB080F" w:rsidRDefault="00CB080F" w:rsidP="00CB080F">
            <w:r>
              <w:t>Clinical Study Report</w:t>
            </w:r>
          </w:p>
        </w:tc>
      </w:tr>
      <w:tr w:rsidR="00CB080F" w:rsidRPr="00FD119B" w14:paraId="275F3D74" w14:textId="77777777" w:rsidTr="00FD119B">
        <w:tc>
          <w:tcPr>
            <w:tcW w:w="1809" w:type="dxa"/>
          </w:tcPr>
          <w:p w14:paraId="4D88C515" w14:textId="77777777" w:rsidR="00CB080F" w:rsidRDefault="00CB080F" w:rsidP="00CB080F">
            <w:r w:rsidRPr="00B86F2C">
              <w:t>EEA</w:t>
            </w:r>
          </w:p>
        </w:tc>
        <w:tc>
          <w:tcPr>
            <w:tcW w:w="6911" w:type="dxa"/>
          </w:tcPr>
          <w:p w14:paraId="12FDA2E7" w14:textId="77777777" w:rsidR="00CB080F" w:rsidRDefault="00CB080F" w:rsidP="00CB080F">
            <w:r w:rsidRPr="00B86F2C">
              <w:t>Euro</w:t>
            </w:r>
            <w:r>
              <w:t>pean Economic Area</w:t>
            </w:r>
          </w:p>
        </w:tc>
      </w:tr>
      <w:tr w:rsidR="00CB080F" w:rsidRPr="00FD119B" w14:paraId="10067D71" w14:textId="77777777" w:rsidTr="00FD119B">
        <w:tc>
          <w:tcPr>
            <w:tcW w:w="1809" w:type="dxa"/>
          </w:tcPr>
          <w:p w14:paraId="0BC55433" w14:textId="77777777" w:rsidR="00CB080F" w:rsidRDefault="00CB080F" w:rsidP="00CB080F">
            <w:r>
              <w:t>EMEA</w:t>
            </w:r>
          </w:p>
        </w:tc>
        <w:tc>
          <w:tcPr>
            <w:tcW w:w="6911" w:type="dxa"/>
          </w:tcPr>
          <w:p w14:paraId="2C3BDFD3" w14:textId="77777777" w:rsidR="00CB080F" w:rsidRDefault="00CB080F" w:rsidP="00CB080F">
            <w:r>
              <w:t>European Medicines Agency</w:t>
            </w:r>
          </w:p>
        </w:tc>
      </w:tr>
      <w:tr w:rsidR="00CB080F" w:rsidRPr="00FD119B" w14:paraId="3D623A55" w14:textId="77777777" w:rsidTr="00FD119B">
        <w:tc>
          <w:tcPr>
            <w:tcW w:w="1809" w:type="dxa"/>
          </w:tcPr>
          <w:p w14:paraId="64071F15" w14:textId="77777777" w:rsidR="00CB080F" w:rsidRDefault="00CB080F" w:rsidP="00CB080F">
            <w:r>
              <w:t>EU</w:t>
            </w:r>
          </w:p>
        </w:tc>
        <w:tc>
          <w:tcPr>
            <w:tcW w:w="6911" w:type="dxa"/>
          </w:tcPr>
          <w:p w14:paraId="004049F7" w14:textId="77777777" w:rsidR="00CB080F" w:rsidRDefault="00CB080F" w:rsidP="00CB080F">
            <w:r>
              <w:t>European Union</w:t>
            </w:r>
          </w:p>
        </w:tc>
      </w:tr>
      <w:tr w:rsidR="00FD708D" w:rsidRPr="00FD119B" w14:paraId="1384E2BD" w14:textId="77777777" w:rsidTr="00FD119B">
        <w:tc>
          <w:tcPr>
            <w:tcW w:w="1809" w:type="dxa"/>
          </w:tcPr>
          <w:p w14:paraId="7C64B228" w14:textId="77777777" w:rsidR="00FD708D" w:rsidRDefault="00FD708D" w:rsidP="00CB080F">
            <w:r>
              <w:t>F1</w:t>
            </w:r>
          </w:p>
        </w:tc>
        <w:tc>
          <w:tcPr>
            <w:tcW w:w="6911" w:type="dxa"/>
          </w:tcPr>
          <w:p w14:paraId="3E13AA9B" w14:textId="77777777" w:rsidR="00FD708D" w:rsidRDefault="00B4142C" w:rsidP="00CB080F">
            <w:r>
              <w:t>First filial generation</w:t>
            </w:r>
          </w:p>
        </w:tc>
      </w:tr>
      <w:tr w:rsidR="00CB080F" w:rsidRPr="00FD119B" w14:paraId="7279BC7B" w14:textId="77777777" w:rsidTr="00FD119B">
        <w:tc>
          <w:tcPr>
            <w:tcW w:w="1809" w:type="dxa"/>
          </w:tcPr>
          <w:p w14:paraId="6BFB2BBF" w14:textId="77777777" w:rsidR="00CB080F" w:rsidRDefault="00CB080F" w:rsidP="00CB080F">
            <w:r>
              <w:t>FC</w:t>
            </w:r>
          </w:p>
        </w:tc>
        <w:tc>
          <w:tcPr>
            <w:tcW w:w="6911" w:type="dxa"/>
          </w:tcPr>
          <w:p w14:paraId="1DCA3C58" w14:textId="77777777" w:rsidR="00CB080F" w:rsidRDefault="00CB080F" w:rsidP="00CB080F">
            <w:r>
              <w:t>Functional class</w:t>
            </w:r>
          </w:p>
        </w:tc>
      </w:tr>
      <w:tr w:rsidR="00CB080F" w:rsidRPr="00FD119B" w14:paraId="54733C1B" w14:textId="77777777" w:rsidTr="00FD119B">
        <w:tc>
          <w:tcPr>
            <w:tcW w:w="1809" w:type="dxa"/>
          </w:tcPr>
          <w:p w14:paraId="4340A395" w14:textId="77777777" w:rsidR="00CB080F" w:rsidRDefault="00CB080F" w:rsidP="00CB080F">
            <w:r w:rsidRPr="00581884">
              <w:t>GCI</w:t>
            </w:r>
            <w:r>
              <w:t>S</w:t>
            </w:r>
          </w:p>
        </w:tc>
        <w:tc>
          <w:tcPr>
            <w:tcW w:w="6911" w:type="dxa"/>
          </w:tcPr>
          <w:p w14:paraId="21D0705C" w14:textId="77777777" w:rsidR="00CB080F" w:rsidRDefault="00CB080F" w:rsidP="00CB080F">
            <w:r>
              <w:t>G</w:t>
            </w:r>
            <w:r w:rsidRPr="00581884">
              <w:t>lobal clinical impression</w:t>
            </w:r>
            <w:r>
              <w:t xml:space="preserve"> scale</w:t>
            </w:r>
          </w:p>
        </w:tc>
      </w:tr>
      <w:tr w:rsidR="00CB080F" w:rsidRPr="00FD119B" w14:paraId="5E966541" w14:textId="77777777" w:rsidTr="00FD119B">
        <w:tc>
          <w:tcPr>
            <w:tcW w:w="1809" w:type="dxa"/>
          </w:tcPr>
          <w:p w14:paraId="63D5CAF9" w14:textId="77777777" w:rsidR="00CB080F" w:rsidRDefault="00CB080F" w:rsidP="00CB080F">
            <w:r>
              <w:t>GCP</w:t>
            </w:r>
          </w:p>
        </w:tc>
        <w:tc>
          <w:tcPr>
            <w:tcW w:w="6911" w:type="dxa"/>
          </w:tcPr>
          <w:p w14:paraId="1BD89344" w14:textId="77777777" w:rsidR="00CB080F" w:rsidRDefault="00CB080F" w:rsidP="00CB080F">
            <w:r>
              <w:t xml:space="preserve">Good </w:t>
            </w:r>
            <w:r w:rsidR="00B4142C">
              <w:t>clinical practice</w:t>
            </w:r>
          </w:p>
        </w:tc>
      </w:tr>
      <w:tr w:rsidR="00B4142C" w:rsidRPr="00FD119B" w14:paraId="347FAA10" w14:textId="77777777" w:rsidTr="00FD119B">
        <w:tc>
          <w:tcPr>
            <w:tcW w:w="1809" w:type="dxa"/>
          </w:tcPr>
          <w:p w14:paraId="4AB74861" w14:textId="77777777" w:rsidR="00B4142C" w:rsidRDefault="00B4142C" w:rsidP="00CB080F">
            <w:r>
              <w:t>GLP</w:t>
            </w:r>
          </w:p>
        </w:tc>
        <w:tc>
          <w:tcPr>
            <w:tcW w:w="6911" w:type="dxa"/>
          </w:tcPr>
          <w:p w14:paraId="74607BF0" w14:textId="77777777" w:rsidR="00B4142C" w:rsidRDefault="00B4142C" w:rsidP="00B4142C">
            <w:r>
              <w:t>Good laboratory practice</w:t>
            </w:r>
          </w:p>
        </w:tc>
      </w:tr>
      <w:tr w:rsidR="00CB080F" w:rsidRPr="00FD119B" w14:paraId="0CB0F57E" w14:textId="77777777" w:rsidTr="00FD119B">
        <w:tc>
          <w:tcPr>
            <w:tcW w:w="1809" w:type="dxa"/>
          </w:tcPr>
          <w:p w14:paraId="20ABF5AA" w14:textId="77777777" w:rsidR="00CB080F" w:rsidRDefault="00CB080F" w:rsidP="00CB080F">
            <w:r>
              <w:t>HCPM</w:t>
            </w:r>
          </w:p>
        </w:tc>
        <w:tc>
          <w:tcPr>
            <w:tcW w:w="6911" w:type="dxa"/>
          </w:tcPr>
          <w:p w14:paraId="7FFC4A07" w14:textId="77777777" w:rsidR="00CB080F" w:rsidRDefault="00CB080F" w:rsidP="00CB080F">
            <w:r>
              <w:t>Health Canada Product Monograph</w:t>
            </w:r>
          </w:p>
        </w:tc>
      </w:tr>
      <w:tr w:rsidR="00FD708D" w:rsidRPr="00FD119B" w14:paraId="22AEB979" w14:textId="77777777" w:rsidTr="00FD119B">
        <w:tc>
          <w:tcPr>
            <w:tcW w:w="1809" w:type="dxa"/>
          </w:tcPr>
          <w:p w14:paraId="7BC69B7E" w14:textId="77777777" w:rsidR="00FD708D" w:rsidRDefault="00FD708D" w:rsidP="00CB080F">
            <w:r>
              <w:lastRenderedPageBreak/>
              <w:t>HD</w:t>
            </w:r>
          </w:p>
        </w:tc>
        <w:tc>
          <w:tcPr>
            <w:tcW w:w="6911" w:type="dxa"/>
          </w:tcPr>
          <w:p w14:paraId="0D481DDF" w14:textId="77777777" w:rsidR="00FD708D" w:rsidRDefault="00B4142C" w:rsidP="00CB080F">
            <w:r>
              <w:t>High dose</w:t>
            </w:r>
          </w:p>
        </w:tc>
      </w:tr>
      <w:tr w:rsidR="007C5D1A" w:rsidRPr="00FD119B" w14:paraId="760259B4" w14:textId="77777777" w:rsidTr="00FD119B">
        <w:tc>
          <w:tcPr>
            <w:tcW w:w="1809" w:type="dxa"/>
          </w:tcPr>
          <w:p w14:paraId="240E190C" w14:textId="77777777" w:rsidR="007C5D1A" w:rsidRDefault="007C5D1A" w:rsidP="00CB080F">
            <w:r w:rsidRPr="0007701E">
              <w:rPr>
                <w:lang w:eastAsia="ja-JP"/>
              </w:rPr>
              <w:t>IBD</w:t>
            </w:r>
          </w:p>
        </w:tc>
        <w:tc>
          <w:tcPr>
            <w:tcW w:w="6911" w:type="dxa"/>
          </w:tcPr>
          <w:p w14:paraId="4BE39CC7" w14:textId="77777777" w:rsidR="007C5D1A" w:rsidRDefault="00B4142C" w:rsidP="00CB080F">
            <w:r>
              <w:t>International birthdate</w:t>
            </w:r>
          </w:p>
        </w:tc>
      </w:tr>
      <w:tr w:rsidR="00CB080F" w:rsidRPr="00FD119B" w14:paraId="7A5EF864" w14:textId="77777777" w:rsidTr="00FD119B">
        <w:tc>
          <w:tcPr>
            <w:tcW w:w="1809" w:type="dxa"/>
          </w:tcPr>
          <w:p w14:paraId="53383F4F" w14:textId="77777777" w:rsidR="00CB080F" w:rsidRDefault="00CB080F" w:rsidP="00CB080F">
            <w:r>
              <w:t>iNO</w:t>
            </w:r>
          </w:p>
        </w:tc>
        <w:tc>
          <w:tcPr>
            <w:tcW w:w="6911" w:type="dxa"/>
          </w:tcPr>
          <w:p w14:paraId="2FE18959" w14:textId="77777777" w:rsidR="00CB080F" w:rsidRDefault="00CB080F" w:rsidP="00CB080F">
            <w:r>
              <w:t>Inhaled nitric oxide</w:t>
            </w:r>
          </w:p>
        </w:tc>
      </w:tr>
      <w:tr w:rsidR="00CB080F" w:rsidRPr="00FD119B" w14:paraId="1AAABE0D" w14:textId="77777777" w:rsidTr="00FD119B">
        <w:tc>
          <w:tcPr>
            <w:tcW w:w="1809" w:type="dxa"/>
          </w:tcPr>
          <w:p w14:paraId="286C0519" w14:textId="77777777" w:rsidR="00CB080F" w:rsidRDefault="00CB080F" w:rsidP="00CB080F">
            <w:r>
              <w:t>IPAH</w:t>
            </w:r>
          </w:p>
        </w:tc>
        <w:tc>
          <w:tcPr>
            <w:tcW w:w="6911" w:type="dxa"/>
          </w:tcPr>
          <w:p w14:paraId="530C51CB" w14:textId="77777777" w:rsidR="00CB080F" w:rsidRDefault="00CB080F" w:rsidP="00CB080F">
            <w:r>
              <w:rPr>
                <w:lang w:eastAsia="ja-JP"/>
              </w:rPr>
              <w:t>idiopathic PAH</w:t>
            </w:r>
          </w:p>
        </w:tc>
      </w:tr>
      <w:tr w:rsidR="00CB080F" w:rsidRPr="00FD119B" w14:paraId="6945D78D" w14:textId="77777777" w:rsidTr="00FD119B">
        <w:tc>
          <w:tcPr>
            <w:tcW w:w="1809" w:type="dxa"/>
          </w:tcPr>
          <w:p w14:paraId="2349C261" w14:textId="77777777" w:rsidR="00CB080F" w:rsidRDefault="00CB080F" w:rsidP="00CB080F">
            <w:proofErr w:type="spellStart"/>
            <w:r>
              <w:t>k</w:t>
            </w:r>
            <w:r w:rsidRPr="004C3C1E">
              <w:rPr>
                <w:vertAlign w:val="subscript"/>
              </w:rPr>
              <w:t>a</w:t>
            </w:r>
            <w:proofErr w:type="spellEnd"/>
          </w:p>
        </w:tc>
        <w:tc>
          <w:tcPr>
            <w:tcW w:w="6911" w:type="dxa"/>
          </w:tcPr>
          <w:p w14:paraId="5FB2CBEB" w14:textId="77777777" w:rsidR="00CB080F" w:rsidRDefault="00CB080F" w:rsidP="00CB080F">
            <w:pPr>
              <w:rPr>
                <w:lang w:eastAsia="ja-JP"/>
              </w:rPr>
            </w:pPr>
            <w:r>
              <w:rPr>
                <w:lang w:eastAsia="ja-JP"/>
              </w:rPr>
              <w:t>Absorption rate constant</w:t>
            </w:r>
          </w:p>
        </w:tc>
      </w:tr>
      <w:tr w:rsidR="00CB080F" w:rsidRPr="00FD119B" w14:paraId="56ED3086" w14:textId="77777777" w:rsidTr="00FD119B">
        <w:tc>
          <w:tcPr>
            <w:tcW w:w="1809" w:type="dxa"/>
          </w:tcPr>
          <w:p w14:paraId="376B2C9E" w14:textId="77777777" w:rsidR="00CB080F" w:rsidRDefault="00CB080F" w:rsidP="00CB080F">
            <w:proofErr w:type="spellStart"/>
            <w:r>
              <w:t>k</w:t>
            </w:r>
            <w:r w:rsidRPr="004C3C1E">
              <w:rPr>
                <w:vertAlign w:val="subscript"/>
              </w:rPr>
              <w:t>t</w:t>
            </w:r>
            <w:proofErr w:type="spellEnd"/>
          </w:p>
        </w:tc>
        <w:tc>
          <w:tcPr>
            <w:tcW w:w="6911" w:type="dxa"/>
          </w:tcPr>
          <w:p w14:paraId="259B6E8F" w14:textId="77777777" w:rsidR="00CB080F" w:rsidRDefault="00CB080F" w:rsidP="00CB080F">
            <w:pPr>
              <w:rPr>
                <w:lang w:eastAsia="ja-JP"/>
              </w:rPr>
            </w:pPr>
            <w:r w:rsidRPr="004C3C1E">
              <w:rPr>
                <w:lang w:eastAsia="ja-JP"/>
              </w:rPr>
              <w:t>Transfer rate constant</w:t>
            </w:r>
          </w:p>
        </w:tc>
      </w:tr>
      <w:tr w:rsidR="003E4B7D" w:rsidRPr="00FD119B" w14:paraId="7ECFCCA7" w14:textId="77777777" w:rsidTr="00FD119B">
        <w:tc>
          <w:tcPr>
            <w:tcW w:w="1809" w:type="dxa"/>
          </w:tcPr>
          <w:p w14:paraId="646B76F2" w14:textId="77777777" w:rsidR="003E4B7D" w:rsidRDefault="003E4B7D" w:rsidP="00CB080F">
            <w:r w:rsidRPr="00B4142C">
              <w:t>KM</w:t>
            </w:r>
          </w:p>
        </w:tc>
        <w:tc>
          <w:tcPr>
            <w:tcW w:w="6911" w:type="dxa"/>
          </w:tcPr>
          <w:p w14:paraId="09BEFBD5" w14:textId="77777777" w:rsidR="003E4B7D" w:rsidRPr="004C3C1E" w:rsidRDefault="003E4B7D" w:rsidP="00CB080F">
            <w:pPr>
              <w:rPr>
                <w:lang w:eastAsia="ja-JP"/>
              </w:rPr>
            </w:pPr>
            <w:r w:rsidRPr="00E80B4B">
              <w:rPr>
                <w:lang w:eastAsia="ja-JP"/>
              </w:rPr>
              <w:t>Kaplan-Meier</w:t>
            </w:r>
          </w:p>
        </w:tc>
      </w:tr>
      <w:tr w:rsidR="00FD708D" w:rsidRPr="00FD119B" w14:paraId="63D1155F" w14:textId="77777777" w:rsidTr="00FD119B">
        <w:tc>
          <w:tcPr>
            <w:tcW w:w="1809" w:type="dxa"/>
          </w:tcPr>
          <w:p w14:paraId="04EB1E4E" w14:textId="77777777" w:rsidR="00FD708D" w:rsidRDefault="00FD708D" w:rsidP="00CB080F">
            <w:r w:rsidRPr="00B4142C">
              <w:t>LD</w:t>
            </w:r>
          </w:p>
        </w:tc>
        <w:tc>
          <w:tcPr>
            <w:tcW w:w="6911" w:type="dxa"/>
          </w:tcPr>
          <w:p w14:paraId="4AF63EB9" w14:textId="77777777" w:rsidR="00FD708D" w:rsidRPr="004C3C1E" w:rsidRDefault="00B4142C" w:rsidP="00CB080F">
            <w:pPr>
              <w:rPr>
                <w:lang w:eastAsia="ja-JP"/>
              </w:rPr>
            </w:pPr>
            <w:r>
              <w:rPr>
                <w:lang w:eastAsia="ja-JP"/>
              </w:rPr>
              <w:t>Low dose</w:t>
            </w:r>
          </w:p>
        </w:tc>
      </w:tr>
      <w:tr w:rsidR="00FD708D" w:rsidRPr="00FD119B" w14:paraId="381CBEE6" w14:textId="77777777" w:rsidTr="00FD119B">
        <w:tc>
          <w:tcPr>
            <w:tcW w:w="1809" w:type="dxa"/>
          </w:tcPr>
          <w:p w14:paraId="672DD95E" w14:textId="77777777" w:rsidR="00FD708D" w:rsidRDefault="00FD708D" w:rsidP="00CB080F">
            <w:r w:rsidRPr="00B4142C">
              <w:t>MD</w:t>
            </w:r>
          </w:p>
        </w:tc>
        <w:tc>
          <w:tcPr>
            <w:tcW w:w="6911" w:type="dxa"/>
          </w:tcPr>
          <w:p w14:paraId="64F8CEA7" w14:textId="77777777" w:rsidR="00FD708D" w:rsidRDefault="00B4142C" w:rsidP="00CB080F">
            <w:r>
              <w:t>Medium dose</w:t>
            </w:r>
          </w:p>
        </w:tc>
      </w:tr>
      <w:tr w:rsidR="00FD708D" w:rsidRPr="00FD119B" w14:paraId="53DB72D9" w14:textId="77777777" w:rsidTr="00FD119B">
        <w:tc>
          <w:tcPr>
            <w:tcW w:w="1809" w:type="dxa"/>
          </w:tcPr>
          <w:p w14:paraId="41D45C6A" w14:textId="77777777" w:rsidR="00FD708D" w:rsidRPr="00F96E4C" w:rsidRDefault="00FD708D" w:rsidP="00CB080F">
            <w:r w:rsidRPr="00B4142C">
              <w:t>NOEL</w:t>
            </w:r>
          </w:p>
        </w:tc>
        <w:tc>
          <w:tcPr>
            <w:tcW w:w="6911" w:type="dxa"/>
          </w:tcPr>
          <w:p w14:paraId="0AEA26B4" w14:textId="77777777" w:rsidR="00FD708D" w:rsidRDefault="00B4142C" w:rsidP="00CB080F">
            <w:r>
              <w:t>No observable effect level</w:t>
            </w:r>
          </w:p>
        </w:tc>
      </w:tr>
      <w:tr w:rsidR="00CB080F" w:rsidRPr="00FD119B" w14:paraId="3D888C3E" w14:textId="77777777" w:rsidTr="00FD119B">
        <w:tc>
          <w:tcPr>
            <w:tcW w:w="1809" w:type="dxa"/>
          </w:tcPr>
          <w:p w14:paraId="24D1D629" w14:textId="77777777" w:rsidR="00CB080F" w:rsidRDefault="00CB080F" w:rsidP="00CB080F">
            <w:r>
              <w:t>PAH</w:t>
            </w:r>
          </w:p>
        </w:tc>
        <w:tc>
          <w:tcPr>
            <w:tcW w:w="6911" w:type="dxa"/>
          </w:tcPr>
          <w:p w14:paraId="2111A8E1" w14:textId="77777777" w:rsidR="00CB080F" w:rsidRDefault="00CB080F" w:rsidP="00CB080F">
            <w:r>
              <w:t>Pulmonary arterial hypertension</w:t>
            </w:r>
          </w:p>
        </w:tc>
      </w:tr>
      <w:tr w:rsidR="00CB080F" w:rsidRPr="00FD119B" w14:paraId="7BC01765" w14:textId="77777777" w:rsidTr="00FD119B">
        <w:tc>
          <w:tcPr>
            <w:tcW w:w="1809" w:type="dxa"/>
          </w:tcPr>
          <w:p w14:paraId="3A78EB75" w14:textId="77777777" w:rsidR="00CB080F" w:rsidRDefault="00CB080F" w:rsidP="00CB080F">
            <w:r w:rsidRPr="0097242A">
              <w:t>PAH-CHD</w:t>
            </w:r>
          </w:p>
        </w:tc>
        <w:tc>
          <w:tcPr>
            <w:tcW w:w="6911" w:type="dxa"/>
          </w:tcPr>
          <w:p w14:paraId="4BEDC58A" w14:textId="77777777" w:rsidR="00CB080F" w:rsidRDefault="00CB080F" w:rsidP="00CB080F">
            <w:r w:rsidRPr="0097242A">
              <w:t>PAH secondary to congenital heart</w:t>
            </w:r>
            <w:r>
              <w:t xml:space="preserve"> disease</w:t>
            </w:r>
          </w:p>
        </w:tc>
      </w:tr>
      <w:tr w:rsidR="00CB080F" w:rsidRPr="00FD119B" w14:paraId="506B8C13" w14:textId="77777777" w:rsidTr="00FD119B">
        <w:tc>
          <w:tcPr>
            <w:tcW w:w="1809" w:type="dxa"/>
          </w:tcPr>
          <w:p w14:paraId="134E7CD9" w14:textId="77777777" w:rsidR="00CB080F" w:rsidRPr="0097242A" w:rsidRDefault="00CB080F" w:rsidP="00CB080F">
            <w:r w:rsidRPr="0097242A">
              <w:t>PAH-</w:t>
            </w:r>
            <w:proofErr w:type="spellStart"/>
            <w:r w:rsidRPr="0097242A">
              <w:t>SSc</w:t>
            </w:r>
            <w:proofErr w:type="spellEnd"/>
          </w:p>
        </w:tc>
        <w:tc>
          <w:tcPr>
            <w:tcW w:w="6911" w:type="dxa"/>
          </w:tcPr>
          <w:p w14:paraId="45184DC0" w14:textId="77777777" w:rsidR="00CB080F" w:rsidRPr="0097242A" w:rsidRDefault="00CB080F" w:rsidP="00CB080F">
            <w:r>
              <w:t>PAH</w:t>
            </w:r>
            <w:r w:rsidRPr="0097242A">
              <w:t xml:space="preserve"> asso</w:t>
            </w:r>
            <w:r>
              <w:t>ciated with systemic sclerosis</w:t>
            </w:r>
          </w:p>
        </w:tc>
      </w:tr>
      <w:tr w:rsidR="00CB080F" w:rsidRPr="00FD119B" w14:paraId="2929DCB0" w14:textId="77777777" w:rsidTr="00FD119B">
        <w:tc>
          <w:tcPr>
            <w:tcW w:w="1809" w:type="dxa"/>
          </w:tcPr>
          <w:p w14:paraId="48E9A020" w14:textId="77777777" w:rsidR="00CB080F" w:rsidRDefault="00CB080F" w:rsidP="00CB080F">
            <w:r>
              <w:t>PH</w:t>
            </w:r>
          </w:p>
        </w:tc>
        <w:tc>
          <w:tcPr>
            <w:tcW w:w="6911" w:type="dxa"/>
          </w:tcPr>
          <w:p w14:paraId="45B0C2B1" w14:textId="77777777" w:rsidR="00CB080F" w:rsidRDefault="00CB080F" w:rsidP="00CB080F">
            <w:r>
              <w:t>Pulmonary hypertension</w:t>
            </w:r>
          </w:p>
        </w:tc>
      </w:tr>
      <w:tr w:rsidR="00CB080F" w:rsidRPr="00FD119B" w14:paraId="42394533" w14:textId="77777777" w:rsidTr="00FD119B">
        <w:tc>
          <w:tcPr>
            <w:tcW w:w="1809" w:type="dxa"/>
          </w:tcPr>
          <w:p w14:paraId="4604245A" w14:textId="77777777" w:rsidR="00CB080F" w:rsidRDefault="00CB080F" w:rsidP="00CB080F">
            <w:r>
              <w:t>PI</w:t>
            </w:r>
          </w:p>
        </w:tc>
        <w:tc>
          <w:tcPr>
            <w:tcW w:w="6911" w:type="dxa"/>
          </w:tcPr>
          <w:p w14:paraId="27F3776C" w14:textId="77777777" w:rsidR="00CB080F" w:rsidRDefault="00CB080F" w:rsidP="00CB080F">
            <w:r>
              <w:t>Product Information</w:t>
            </w:r>
          </w:p>
        </w:tc>
      </w:tr>
      <w:tr w:rsidR="00CB080F" w:rsidRPr="00FD119B" w14:paraId="0F9C1B04" w14:textId="77777777" w:rsidTr="00FD119B">
        <w:tc>
          <w:tcPr>
            <w:tcW w:w="1809" w:type="dxa"/>
          </w:tcPr>
          <w:p w14:paraId="2A207CA3" w14:textId="77777777" w:rsidR="00CB080F" w:rsidRDefault="00CB080F" w:rsidP="00CB080F">
            <w:r>
              <w:t>PIP</w:t>
            </w:r>
          </w:p>
        </w:tc>
        <w:tc>
          <w:tcPr>
            <w:tcW w:w="6911" w:type="dxa"/>
          </w:tcPr>
          <w:p w14:paraId="3B5A3B27" w14:textId="77777777" w:rsidR="00CB080F" w:rsidRDefault="00CB080F" w:rsidP="00CB080F">
            <w:r>
              <w:t>Paediatric investigational plan</w:t>
            </w:r>
          </w:p>
        </w:tc>
      </w:tr>
      <w:tr w:rsidR="00CB080F" w:rsidRPr="00FD119B" w14:paraId="62D0607E" w14:textId="77777777" w:rsidTr="00FD119B">
        <w:tc>
          <w:tcPr>
            <w:tcW w:w="1809" w:type="dxa"/>
          </w:tcPr>
          <w:p w14:paraId="72C525BE" w14:textId="77777777" w:rsidR="00CB080F" w:rsidRDefault="00CB080F" w:rsidP="00CB080F">
            <w:r>
              <w:t>PK</w:t>
            </w:r>
          </w:p>
        </w:tc>
        <w:tc>
          <w:tcPr>
            <w:tcW w:w="6911" w:type="dxa"/>
          </w:tcPr>
          <w:p w14:paraId="1045DA32" w14:textId="77777777" w:rsidR="00CB080F" w:rsidRDefault="00CB080F" w:rsidP="00CB080F">
            <w:r>
              <w:t>Pharmacokinetics</w:t>
            </w:r>
          </w:p>
        </w:tc>
      </w:tr>
      <w:tr w:rsidR="00CB080F" w:rsidRPr="00FD119B" w14:paraId="57BE255C" w14:textId="77777777" w:rsidTr="00FD119B">
        <w:tc>
          <w:tcPr>
            <w:tcW w:w="1809" w:type="dxa"/>
          </w:tcPr>
          <w:p w14:paraId="6F12A1AE" w14:textId="77777777" w:rsidR="00CB080F" w:rsidRDefault="00CB080F" w:rsidP="00CB080F">
            <w:r>
              <w:t>PKWP</w:t>
            </w:r>
          </w:p>
        </w:tc>
        <w:tc>
          <w:tcPr>
            <w:tcW w:w="6911" w:type="dxa"/>
          </w:tcPr>
          <w:p w14:paraId="38D17D3B" w14:textId="77777777" w:rsidR="00CB080F" w:rsidRDefault="00CB080F" w:rsidP="00CB080F">
            <w:r>
              <w:t>Pharmacokinetics Working Party</w:t>
            </w:r>
          </w:p>
        </w:tc>
      </w:tr>
      <w:tr w:rsidR="00197761" w:rsidRPr="00FD119B" w14:paraId="693ACCF9" w14:textId="77777777" w:rsidTr="00FD119B">
        <w:tc>
          <w:tcPr>
            <w:tcW w:w="1809" w:type="dxa"/>
          </w:tcPr>
          <w:p w14:paraId="34AC2DF6" w14:textId="77777777" w:rsidR="00197761" w:rsidRDefault="00197761">
            <w:r w:rsidRPr="009E1127">
              <w:t>PND</w:t>
            </w:r>
          </w:p>
        </w:tc>
        <w:tc>
          <w:tcPr>
            <w:tcW w:w="6911" w:type="dxa"/>
          </w:tcPr>
          <w:p w14:paraId="4C6C13A7" w14:textId="12195205" w:rsidR="00197761" w:rsidRDefault="004B55CF">
            <w:r>
              <w:t>Post</w:t>
            </w:r>
            <w:r w:rsidR="00D17D39">
              <w:t>-natal day</w:t>
            </w:r>
          </w:p>
        </w:tc>
      </w:tr>
      <w:tr w:rsidR="00CB080F" w:rsidRPr="00FD119B" w14:paraId="49198FF1" w14:textId="77777777" w:rsidTr="00FD119B">
        <w:tc>
          <w:tcPr>
            <w:tcW w:w="1809" w:type="dxa"/>
          </w:tcPr>
          <w:p w14:paraId="0FD66E76" w14:textId="77777777" w:rsidR="00CB080F" w:rsidRDefault="00CB080F" w:rsidP="00CB080F">
            <w:r>
              <w:t>PopPK</w:t>
            </w:r>
          </w:p>
        </w:tc>
        <w:tc>
          <w:tcPr>
            <w:tcW w:w="6911" w:type="dxa"/>
          </w:tcPr>
          <w:p w14:paraId="30585DF7" w14:textId="77777777" w:rsidR="00CB080F" w:rsidRDefault="00CB080F" w:rsidP="00CB080F">
            <w:r>
              <w:t>Population pharmacokinetics</w:t>
            </w:r>
          </w:p>
        </w:tc>
      </w:tr>
      <w:tr w:rsidR="00197761" w:rsidRPr="00FD119B" w14:paraId="0C1EEF4B" w14:textId="77777777" w:rsidTr="00FD119B">
        <w:tc>
          <w:tcPr>
            <w:tcW w:w="1809" w:type="dxa"/>
          </w:tcPr>
          <w:p w14:paraId="74B3E7C4" w14:textId="77777777" w:rsidR="00197761" w:rsidRDefault="00197761" w:rsidP="00CB080F">
            <w:r>
              <w:t>PPD</w:t>
            </w:r>
          </w:p>
        </w:tc>
        <w:tc>
          <w:tcPr>
            <w:tcW w:w="6911" w:type="dxa"/>
          </w:tcPr>
          <w:p w14:paraId="34CF3487" w14:textId="77777777" w:rsidR="00197761" w:rsidRDefault="00D17D39" w:rsidP="00CB080F">
            <w:r>
              <w:t>Post-partum day</w:t>
            </w:r>
          </w:p>
        </w:tc>
      </w:tr>
      <w:tr w:rsidR="00CB080F" w:rsidRPr="00FD119B" w14:paraId="59568E0F" w14:textId="77777777" w:rsidTr="00FD119B">
        <w:tc>
          <w:tcPr>
            <w:tcW w:w="1809" w:type="dxa"/>
          </w:tcPr>
          <w:p w14:paraId="19CED854" w14:textId="77777777" w:rsidR="00CB080F" w:rsidRDefault="00CB080F" w:rsidP="00CB080F">
            <w:r>
              <w:t>PPHN</w:t>
            </w:r>
          </w:p>
        </w:tc>
        <w:tc>
          <w:tcPr>
            <w:tcW w:w="6911" w:type="dxa"/>
          </w:tcPr>
          <w:p w14:paraId="2F4DDE51" w14:textId="77777777" w:rsidR="00CB080F" w:rsidRDefault="00CB080F" w:rsidP="00CB080F">
            <w:r>
              <w:t>Persistent pulmonary hypertension of the newborn</w:t>
            </w:r>
          </w:p>
        </w:tc>
      </w:tr>
      <w:tr w:rsidR="00D17D39" w:rsidRPr="00FD119B" w14:paraId="601AE28B" w14:textId="77777777" w:rsidTr="00FD119B">
        <w:tc>
          <w:tcPr>
            <w:tcW w:w="1809" w:type="dxa"/>
          </w:tcPr>
          <w:p w14:paraId="6894BDF9" w14:textId="77777777" w:rsidR="00D17D39" w:rsidRDefault="00D17D39" w:rsidP="00CB080F">
            <w:r w:rsidRPr="00766FB5">
              <w:rPr>
                <w:lang w:eastAsia="ja-JP"/>
              </w:rPr>
              <w:t>PT</w:t>
            </w:r>
          </w:p>
        </w:tc>
        <w:tc>
          <w:tcPr>
            <w:tcW w:w="6911" w:type="dxa"/>
          </w:tcPr>
          <w:p w14:paraId="2D48E235" w14:textId="706C405D" w:rsidR="00D17D39" w:rsidRDefault="00D17D39" w:rsidP="00CB080F">
            <w:r>
              <w:t xml:space="preserve">Preferred </w:t>
            </w:r>
            <w:r w:rsidR="004B55CF">
              <w:t>T</w:t>
            </w:r>
            <w:r>
              <w:t>erm</w:t>
            </w:r>
          </w:p>
        </w:tc>
      </w:tr>
      <w:tr w:rsidR="00CB080F" w:rsidRPr="00FD119B" w14:paraId="3C53CE2D" w14:textId="77777777" w:rsidTr="00FD119B">
        <w:tc>
          <w:tcPr>
            <w:tcW w:w="1809" w:type="dxa"/>
          </w:tcPr>
          <w:p w14:paraId="0271DFCB" w14:textId="77777777" w:rsidR="00CB080F" w:rsidRDefault="00CB080F" w:rsidP="00CB080F">
            <w:r>
              <w:t>PVR</w:t>
            </w:r>
          </w:p>
        </w:tc>
        <w:tc>
          <w:tcPr>
            <w:tcW w:w="6911" w:type="dxa"/>
          </w:tcPr>
          <w:p w14:paraId="65A3146F" w14:textId="77777777" w:rsidR="00CB080F" w:rsidRDefault="00CB080F" w:rsidP="00CB080F">
            <w:r>
              <w:t>Pulmonary vascular resistance</w:t>
            </w:r>
          </w:p>
        </w:tc>
      </w:tr>
      <w:tr w:rsidR="00CB080F" w:rsidRPr="00FD119B" w14:paraId="73BE5ED8" w14:textId="77777777" w:rsidTr="00FD119B">
        <w:tc>
          <w:tcPr>
            <w:tcW w:w="1809" w:type="dxa"/>
          </w:tcPr>
          <w:p w14:paraId="76197BBF" w14:textId="77777777" w:rsidR="00CB080F" w:rsidRPr="00081D87" w:rsidRDefault="00CB080F" w:rsidP="00CB080F">
            <w:r>
              <w:t>RHC</w:t>
            </w:r>
          </w:p>
        </w:tc>
        <w:tc>
          <w:tcPr>
            <w:tcW w:w="6911" w:type="dxa"/>
          </w:tcPr>
          <w:p w14:paraId="4AAD41B3" w14:textId="77777777" w:rsidR="00CB080F" w:rsidRPr="00081D87" w:rsidRDefault="00CB080F" w:rsidP="00CB080F">
            <w:r>
              <w:t>Right heart catheterisation</w:t>
            </w:r>
          </w:p>
        </w:tc>
      </w:tr>
      <w:tr w:rsidR="00CB080F" w:rsidRPr="00FD119B" w14:paraId="28119574" w14:textId="77777777" w:rsidTr="00FD119B">
        <w:tc>
          <w:tcPr>
            <w:tcW w:w="1809" w:type="dxa"/>
          </w:tcPr>
          <w:p w14:paraId="6949771B" w14:textId="77777777" w:rsidR="00CB080F" w:rsidRPr="00081D87" w:rsidRDefault="00CB080F" w:rsidP="00CB080F">
            <w:r w:rsidRPr="00081D87">
              <w:t>RMP</w:t>
            </w:r>
          </w:p>
        </w:tc>
        <w:tc>
          <w:tcPr>
            <w:tcW w:w="6911" w:type="dxa"/>
          </w:tcPr>
          <w:p w14:paraId="426B43B7" w14:textId="77777777" w:rsidR="00CB080F" w:rsidRDefault="00CB080F" w:rsidP="00CB080F">
            <w:r w:rsidRPr="00081D87">
              <w:t>Risk management plan</w:t>
            </w:r>
          </w:p>
        </w:tc>
      </w:tr>
      <w:tr w:rsidR="00CB080F" w:rsidRPr="00FD119B" w14:paraId="09B678EA" w14:textId="77777777" w:rsidTr="00FD119B">
        <w:tc>
          <w:tcPr>
            <w:tcW w:w="1809" w:type="dxa"/>
          </w:tcPr>
          <w:p w14:paraId="459F520A" w14:textId="77777777" w:rsidR="00CB080F" w:rsidRPr="00081D87" w:rsidRDefault="00CB080F" w:rsidP="00CB080F">
            <w:r>
              <w:lastRenderedPageBreak/>
              <w:t>SAE</w:t>
            </w:r>
          </w:p>
        </w:tc>
        <w:tc>
          <w:tcPr>
            <w:tcW w:w="6911" w:type="dxa"/>
          </w:tcPr>
          <w:p w14:paraId="0C1B2DBE" w14:textId="77777777" w:rsidR="00CB080F" w:rsidRPr="00081D87" w:rsidRDefault="00CB080F" w:rsidP="00CB080F">
            <w:r>
              <w:t>Serious adverse event</w:t>
            </w:r>
          </w:p>
        </w:tc>
      </w:tr>
      <w:tr w:rsidR="00CB080F" w:rsidRPr="00FD119B" w14:paraId="7D753508" w14:textId="77777777" w:rsidTr="00FD119B">
        <w:tc>
          <w:tcPr>
            <w:tcW w:w="1809" w:type="dxa"/>
          </w:tcPr>
          <w:p w14:paraId="384966E6" w14:textId="77777777" w:rsidR="00CB080F" w:rsidRDefault="00CB080F" w:rsidP="00CB080F">
            <w:r>
              <w:t>SmPC</w:t>
            </w:r>
          </w:p>
        </w:tc>
        <w:tc>
          <w:tcPr>
            <w:tcW w:w="6911" w:type="dxa"/>
          </w:tcPr>
          <w:p w14:paraId="72FD60BD" w14:textId="77777777" w:rsidR="00CB080F" w:rsidRDefault="00CB080F" w:rsidP="00CB080F">
            <w:r>
              <w:t>Summary of Product Characteristics</w:t>
            </w:r>
          </w:p>
        </w:tc>
      </w:tr>
      <w:tr w:rsidR="00CB080F" w:rsidRPr="00FD119B" w14:paraId="0102D7AC" w14:textId="77777777" w:rsidTr="00FD119B">
        <w:tc>
          <w:tcPr>
            <w:tcW w:w="1809" w:type="dxa"/>
          </w:tcPr>
          <w:p w14:paraId="14807636" w14:textId="77777777" w:rsidR="00CB080F" w:rsidRPr="00783C29" w:rsidRDefault="00CB080F" w:rsidP="00CB080F">
            <w:pPr>
              <w:rPr>
                <w:vertAlign w:val="subscript"/>
              </w:rPr>
            </w:pPr>
            <w:r>
              <w:t>t</w:t>
            </w:r>
            <w:r>
              <w:rPr>
                <w:szCs w:val="20"/>
                <w:vertAlign w:val="subscript"/>
                <w:lang w:eastAsia="ja-JP"/>
              </w:rPr>
              <w:t>½</w:t>
            </w:r>
          </w:p>
        </w:tc>
        <w:tc>
          <w:tcPr>
            <w:tcW w:w="6911" w:type="dxa"/>
          </w:tcPr>
          <w:p w14:paraId="1F43A44D" w14:textId="77777777" w:rsidR="00CB080F" w:rsidRDefault="00CB080F" w:rsidP="00CB080F">
            <w:r>
              <w:t>Half-life</w:t>
            </w:r>
          </w:p>
        </w:tc>
      </w:tr>
      <w:tr w:rsidR="00CB080F" w:rsidRPr="00FD119B" w14:paraId="26643724" w14:textId="77777777" w:rsidTr="00FD119B">
        <w:tc>
          <w:tcPr>
            <w:tcW w:w="1809" w:type="dxa"/>
          </w:tcPr>
          <w:p w14:paraId="65188FB7" w14:textId="77777777" w:rsidR="00CB080F" w:rsidRDefault="00CB080F" w:rsidP="00CB080F">
            <w:r>
              <w:t>TDS</w:t>
            </w:r>
          </w:p>
        </w:tc>
        <w:tc>
          <w:tcPr>
            <w:tcW w:w="6911" w:type="dxa"/>
          </w:tcPr>
          <w:p w14:paraId="7A4E3C17" w14:textId="77777777" w:rsidR="00CB080F" w:rsidRDefault="00CB080F" w:rsidP="00CB080F">
            <w:r>
              <w:t>Three times daily</w:t>
            </w:r>
          </w:p>
        </w:tc>
      </w:tr>
      <w:tr w:rsidR="00CB080F" w:rsidRPr="00FD119B" w14:paraId="645C2878" w14:textId="77777777" w:rsidTr="00FD119B">
        <w:tc>
          <w:tcPr>
            <w:tcW w:w="1809" w:type="dxa"/>
          </w:tcPr>
          <w:p w14:paraId="6DA4326C" w14:textId="77777777" w:rsidR="00CB080F" w:rsidRPr="00783C29" w:rsidRDefault="00CB080F" w:rsidP="00CB080F">
            <w:pPr>
              <w:rPr>
                <w:vertAlign w:val="subscript"/>
              </w:rPr>
            </w:pPr>
            <w:r>
              <w:t>t</w:t>
            </w:r>
            <w:r>
              <w:rPr>
                <w:vertAlign w:val="subscript"/>
              </w:rPr>
              <w:t>max</w:t>
            </w:r>
          </w:p>
        </w:tc>
        <w:tc>
          <w:tcPr>
            <w:tcW w:w="6911" w:type="dxa"/>
          </w:tcPr>
          <w:p w14:paraId="4F2F4AFA" w14:textId="77777777" w:rsidR="00CB080F" w:rsidRDefault="00CB080F" w:rsidP="00CB080F">
            <w:r>
              <w:t>Time to maximum concentration</w:t>
            </w:r>
          </w:p>
        </w:tc>
      </w:tr>
      <w:tr w:rsidR="00CB080F" w:rsidRPr="00FD119B" w14:paraId="404EA553" w14:textId="77777777" w:rsidTr="00FD119B">
        <w:tc>
          <w:tcPr>
            <w:tcW w:w="1809" w:type="dxa"/>
          </w:tcPr>
          <w:p w14:paraId="3E8960A8" w14:textId="77777777" w:rsidR="00CB080F" w:rsidRDefault="00CB080F" w:rsidP="00CB080F">
            <w:r>
              <w:t>US</w:t>
            </w:r>
          </w:p>
        </w:tc>
        <w:tc>
          <w:tcPr>
            <w:tcW w:w="6911" w:type="dxa"/>
          </w:tcPr>
          <w:p w14:paraId="374DD770" w14:textId="77777777" w:rsidR="00CB080F" w:rsidRDefault="00CB080F" w:rsidP="00CB080F">
            <w:r>
              <w:t>United States</w:t>
            </w:r>
          </w:p>
        </w:tc>
      </w:tr>
      <w:tr w:rsidR="00CB080F" w:rsidRPr="00FD119B" w14:paraId="7CC435BD" w14:textId="77777777" w:rsidTr="00FD119B">
        <w:tc>
          <w:tcPr>
            <w:tcW w:w="1809" w:type="dxa"/>
          </w:tcPr>
          <w:p w14:paraId="24293F7D" w14:textId="77777777" w:rsidR="00CB080F" w:rsidRDefault="00CB080F" w:rsidP="00CB080F">
            <w:r>
              <w:t>US PI</w:t>
            </w:r>
          </w:p>
        </w:tc>
        <w:tc>
          <w:tcPr>
            <w:tcW w:w="6911" w:type="dxa"/>
          </w:tcPr>
          <w:p w14:paraId="5D756C2F" w14:textId="77777777" w:rsidR="00CB080F" w:rsidRDefault="00CB080F" w:rsidP="00CB080F">
            <w:r>
              <w:t>United States Prescribing Information</w:t>
            </w:r>
          </w:p>
        </w:tc>
      </w:tr>
      <w:tr w:rsidR="00CB080F" w:rsidRPr="00FD119B" w14:paraId="2D75C88A" w14:textId="77777777" w:rsidTr="00FD119B">
        <w:tc>
          <w:tcPr>
            <w:tcW w:w="1809" w:type="dxa"/>
          </w:tcPr>
          <w:p w14:paraId="0E4E9EBB" w14:textId="77777777" w:rsidR="00CB080F" w:rsidRDefault="00CB080F" w:rsidP="00CB080F">
            <w:r>
              <w:t>WHO</w:t>
            </w:r>
          </w:p>
        </w:tc>
        <w:tc>
          <w:tcPr>
            <w:tcW w:w="6911" w:type="dxa"/>
          </w:tcPr>
          <w:p w14:paraId="792C2434" w14:textId="77777777" w:rsidR="00CB080F" w:rsidRDefault="00CB080F" w:rsidP="00CB080F">
            <w:r>
              <w:t>World Health Organization</w:t>
            </w:r>
          </w:p>
        </w:tc>
      </w:tr>
    </w:tbl>
    <w:p w14:paraId="1A9B3478" w14:textId="77777777" w:rsidR="00FD119B" w:rsidRDefault="00FD119B" w:rsidP="00FD119B"/>
    <w:p w14:paraId="4F38AD5E" w14:textId="77777777" w:rsidR="00FD119B" w:rsidRPr="00FD119B" w:rsidRDefault="00FD119B" w:rsidP="00FD119B">
      <w:pPr>
        <w:spacing w:before="0" w:after="200" w:line="0" w:lineRule="auto"/>
        <w:rPr>
          <w:b/>
          <w:i/>
          <w:sz w:val="24"/>
          <w:szCs w:val="24"/>
        </w:rPr>
      </w:pPr>
      <w:r w:rsidRPr="00FD119B">
        <w:rPr>
          <w:b/>
          <w:i/>
          <w:sz w:val="24"/>
          <w:szCs w:val="24"/>
        </w:rPr>
        <w:br w:type="page"/>
      </w:r>
    </w:p>
    <w:p w14:paraId="4C5FDDD1" w14:textId="77777777" w:rsidR="008E7846" w:rsidRDefault="00F53C07" w:rsidP="008E7846">
      <w:pPr>
        <w:pStyle w:val="Heading2"/>
      </w:pPr>
      <w:bookmarkStart w:id="9" w:name="_Toc519764271"/>
      <w:r>
        <w:lastRenderedPageBreak/>
        <w:t>I.</w:t>
      </w:r>
      <w:r w:rsidR="008E7846">
        <w:t xml:space="preserve"> Introduction to product submission</w:t>
      </w:r>
      <w:bookmarkEnd w:id="9"/>
      <w:bookmarkEnd w:id="3"/>
      <w:bookmarkEnd w:id="1"/>
    </w:p>
    <w:p w14:paraId="14CD7FA2" w14:textId="77777777" w:rsidR="008E7846" w:rsidRDefault="008E7846" w:rsidP="008E7846">
      <w:pPr>
        <w:pStyle w:val="Heading3"/>
        <w:rPr>
          <w:lang w:eastAsia="en-AU"/>
        </w:rPr>
      </w:pPr>
      <w:bookmarkStart w:id="10" w:name="_Toc247691502"/>
      <w:bookmarkStart w:id="11" w:name="_Toc314842483"/>
      <w:bookmarkStart w:id="12" w:name="_Toc519764272"/>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0D2F10D5" w14:textId="77777777" w:rsidTr="006B7A12">
        <w:trPr>
          <w:trHeight w:hRule="exact" w:val="454"/>
        </w:trPr>
        <w:tc>
          <w:tcPr>
            <w:tcW w:w="2907" w:type="dxa"/>
          </w:tcPr>
          <w:p w14:paraId="2AA62220"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4277E8E9" w14:textId="77777777" w:rsidR="008E7846" w:rsidRPr="003D1E62" w:rsidRDefault="00CB080F" w:rsidP="001B5C90">
            <w:r>
              <w:t>M</w:t>
            </w:r>
            <w:r w:rsidR="008E7846" w:rsidRPr="003D1E62">
              <w:t xml:space="preserve">ajor </w:t>
            </w:r>
            <w:r w:rsidR="001B5C90">
              <w:t>v</w:t>
            </w:r>
            <w:r w:rsidR="008E7846" w:rsidRPr="003D1E62">
              <w:t>ariation</w:t>
            </w:r>
            <w:r>
              <w:t>: new dosage form and new strength</w:t>
            </w:r>
          </w:p>
        </w:tc>
      </w:tr>
      <w:tr w:rsidR="008E7846" w:rsidRPr="003D1E62" w14:paraId="335785C9" w14:textId="77777777" w:rsidTr="006B7A12">
        <w:trPr>
          <w:trHeight w:hRule="exact" w:val="454"/>
        </w:trPr>
        <w:tc>
          <w:tcPr>
            <w:tcW w:w="2907" w:type="dxa"/>
          </w:tcPr>
          <w:p w14:paraId="61A57B37" w14:textId="77777777" w:rsidR="008E7846" w:rsidRPr="003D1E62" w:rsidRDefault="008E7846" w:rsidP="003D1E62">
            <w:r w:rsidRPr="003D1E62">
              <w:rPr>
                <w:i/>
              </w:rPr>
              <w:t>Decision</w:t>
            </w:r>
            <w:r w:rsidRPr="003D1E62">
              <w:t>:</w:t>
            </w:r>
          </w:p>
        </w:tc>
        <w:tc>
          <w:tcPr>
            <w:tcW w:w="6307" w:type="dxa"/>
          </w:tcPr>
          <w:p w14:paraId="2474E3E5" w14:textId="77777777" w:rsidR="008E7846" w:rsidRPr="003D1E62" w:rsidRDefault="00CB080F" w:rsidP="001B5C90">
            <w:r>
              <w:t>Rejected</w:t>
            </w:r>
          </w:p>
        </w:tc>
      </w:tr>
      <w:tr w:rsidR="008E7846" w:rsidRPr="003D1E62" w14:paraId="5EAF8950" w14:textId="77777777" w:rsidTr="006B7A12">
        <w:trPr>
          <w:trHeight w:hRule="exact" w:val="454"/>
        </w:trPr>
        <w:tc>
          <w:tcPr>
            <w:tcW w:w="2907" w:type="dxa"/>
          </w:tcPr>
          <w:p w14:paraId="3FB42F56"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7E88BC5F" w14:textId="77777777" w:rsidR="008E7846" w:rsidRPr="003D1E62" w:rsidRDefault="00974344" w:rsidP="001B5C90">
            <w:r>
              <w:t>19 May 2017</w:t>
            </w:r>
          </w:p>
        </w:tc>
      </w:tr>
      <w:tr w:rsidR="008E7846" w:rsidRPr="00487162" w14:paraId="479904F5" w14:textId="77777777" w:rsidTr="006B7A12">
        <w:tc>
          <w:tcPr>
            <w:tcW w:w="2907" w:type="dxa"/>
          </w:tcPr>
          <w:p w14:paraId="1B78D90C" w14:textId="77777777" w:rsidR="008E7846" w:rsidRPr="00487162" w:rsidRDefault="00974344" w:rsidP="00E45619">
            <w:pPr>
              <w:rPr>
                <w:i/>
              </w:rPr>
            </w:pPr>
            <w:r>
              <w:rPr>
                <w:i/>
              </w:rPr>
              <w:t>Active ingredient</w:t>
            </w:r>
            <w:r w:rsidR="001B5C90">
              <w:rPr>
                <w:i/>
              </w:rPr>
              <w:t>:</w:t>
            </w:r>
          </w:p>
        </w:tc>
        <w:tc>
          <w:tcPr>
            <w:tcW w:w="6307" w:type="dxa"/>
          </w:tcPr>
          <w:p w14:paraId="062B5643" w14:textId="77777777" w:rsidR="008E7846" w:rsidRPr="00487162" w:rsidRDefault="00BF126D" w:rsidP="00E45619">
            <w:r>
              <w:t>B</w:t>
            </w:r>
            <w:r w:rsidR="00974344">
              <w:t>osentan</w:t>
            </w:r>
          </w:p>
        </w:tc>
      </w:tr>
      <w:tr w:rsidR="008E7846" w:rsidRPr="00487162" w14:paraId="2C86A76C" w14:textId="77777777" w:rsidTr="006B7A12">
        <w:tc>
          <w:tcPr>
            <w:tcW w:w="2907" w:type="dxa"/>
          </w:tcPr>
          <w:p w14:paraId="546002D2" w14:textId="77777777" w:rsidR="008E7846" w:rsidRPr="00487162" w:rsidRDefault="008E7846" w:rsidP="001B5C90">
            <w:pPr>
              <w:rPr>
                <w:i/>
              </w:rPr>
            </w:pPr>
            <w:r w:rsidRPr="00487162">
              <w:rPr>
                <w:i/>
              </w:rPr>
              <w:t>Product</w:t>
            </w:r>
            <w:r w:rsidR="00974344">
              <w:rPr>
                <w:i/>
              </w:rPr>
              <w:t xml:space="preserve"> name</w:t>
            </w:r>
            <w:r w:rsidR="001B5C90">
              <w:rPr>
                <w:i/>
              </w:rPr>
              <w:t>:</w:t>
            </w:r>
          </w:p>
        </w:tc>
        <w:tc>
          <w:tcPr>
            <w:tcW w:w="6307" w:type="dxa"/>
          </w:tcPr>
          <w:p w14:paraId="025907A3" w14:textId="77777777" w:rsidR="008E7846" w:rsidRPr="00487162" w:rsidRDefault="00335934" w:rsidP="00E45619">
            <w:r>
              <w:t>Tracleer</w:t>
            </w:r>
          </w:p>
        </w:tc>
      </w:tr>
      <w:tr w:rsidR="008E7846" w:rsidRPr="00487162" w14:paraId="752C2C73" w14:textId="77777777" w:rsidTr="006B7A12">
        <w:tc>
          <w:tcPr>
            <w:tcW w:w="2907" w:type="dxa"/>
          </w:tcPr>
          <w:p w14:paraId="44D19E59"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38B48B15" w14:textId="77777777" w:rsidR="008E7846" w:rsidRDefault="00974344" w:rsidP="00E45619">
            <w:pPr>
              <w:rPr>
                <w:rFonts w:asciiTheme="minorHAnsi" w:hAnsiTheme="minorHAnsi"/>
              </w:rPr>
            </w:pPr>
            <w:proofErr w:type="spellStart"/>
            <w:r>
              <w:rPr>
                <w:rFonts w:asciiTheme="minorHAnsi" w:hAnsiTheme="minorHAnsi"/>
              </w:rPr>
              <w:t>Actelion</w:t>
            </w:r>
            <w:proofErr w:type="spellEnd"/>
            <w:r>
              <w:rPr>
                <w:rFonts w:asciiTheme="minorHAnsi" w:hAnsiTheme="minorHAnsi"/>
              </w:rPr>
              <w:t xml:space="preserve"> Pharmaceuticals Australia Pty Ltd</w:t>
            </w:r>
          </w:p>
          <w:p w14:paraId="01487ACD" w14:textId="77777777" w:rsidR="00974344" w:rsidRDefault="00974344" w:rsidP="00E45619">
            <w:pPr>
              <w:rPr>
                <w:rFonts w:asciiTheme="minorHAnsi" w:hAnsiTheme="minorHAnsi"/>
              </w:rPr>
            </w:pPr>
            <w:r>
              <w:rPr>
                <w:rFonts w:asciiTheme="minorHAnsi" w:hAnsiTheme="minorHAnsi"/>
              </w:rPr>
              <w:t>PO Box 372</w:t>
            </w:r>
          </w:p>
          <w:p w14:paraId="549BB99A" w14:textId="77777777" w:rsidR="00974344" w:rsidRPr="00487162" w:rsidRDefault="00974344" w:rsidP="00E45619">
            <w:r>
              <w:rPr>
                <w:rFonts w:asciiTheme="minorHAnsi" w:hAnsiTheme="minorHAnsi"/>
              </w:rPr>
              <w:t>Frenches Forest NSW 1640</w:t>
            </w:r>
          </w:p>
        </w:tc>
      </w:tr>
      <w:tr w:rsidR="008E7846" w:rsidRPr="00487162" w14:paraId="446BA4F4" w14:textId="77777777" w:rsidTr="006B7A12">
        <w:tc>
          <w:tcPr>
            <w:tcW w:w="2907" w:type="dxa"/>
          </w:tcPr>
          <w:p w14:paraId="3AB22579" w14:textId="77777777" w:rsidR="008E7846" w:rsidRPr="00487162" w:rsidRDefault="00974344" w:rsidP="00E45619">
            <w:pPr>
              <w:rPr>
                <w:i/>
              </w:rPr>
            </w:pPr>
            <w:r>
              <w:rPr>
                <w:i/>
              </w:rPr>
              <w:t>Dose form</w:t>
            </w:r>
            <w:r w:rsidR="001B5C90">
              <w:rPr>
                <w:i/>
              </w:rPr>
              <w:t>:</w:t>
            </w:r>
          </w:p>
        </w:tc>
        <w:tc>
          <w:tcPr>
            <w:tcW w:w="6307" w:type="dxa"/>
          </w:tcPr>
          <w:p w14:paraId="5F5469CC" w14:textId="77777777" w:rsidR="008E7846" w:rsidRPr="00487162" w:rsidRDefault="00974344" w:rsidP="00E45619">
            <w:r>
              <w:t>Dispersible tablets</w:t>
            </w:r>
          </w:p>
        </w:tc>
      </w:tr>
      <w:tr w:rsidR="008E7846" w:rsidRPr="00487162" w14:paraId="02658E7D" w14:textId="77777777" w:rsidTr="006B7A12">
        <w:tc>
          <w:tcPr>
            <w:tcW w:w="2907" w:type="dxa"/>
          </w:tcPr>
          <w:p w14:paraId="70A4096B" w14:textId="77777777" w:rsidR="008E7846" w:rsidRPr="00487162" w:rsidRDefault="00974344" w:rsidP="00E45619">
            <w:pPr>
              <w:rPr>
                <w:i/>
              </w:rPr>
            </w:pPr>
            <w:r>
              <w:rPr>
                <w:i/>
              </w:rPr>
              <w:t>Strength:</w:t>
            </w:r>
          </w:p>
        </w:tc>
        <w:tc>
          <w:tcPr>
            <w:tcW w:w="6307" w:type="dxa"/>
          </w:tcPr>
          <w:p w14:paraId="600A3379" w14:textId="77777777" w:rsidR="008E7846" w:rsidRPr="00487162" w:rsidRDefault="00974344" w:rsidP="00E45619">
            <w:r>
              <w:t>32 mg</w:t>
            </w:r>
          </w:p>
        </w:tc>
      </w:tr>
      <w:tr w:rsidR="008E7846" w:rsidRPr="00487162" w14:paraId="10FD2037" w14:textId="77777777" w:rsidTr="006B7A12">
        <w:tc>
          <w:tcPr>
            <w:tcW w:w="2907" w:type="dxa"/>
          </w:tcPr>
          <w:p w14:paraId="0D18099C" w14:textId="77777777" w:rsidR="008E7846" w:rsidRPr="00487162" w:rsidRDefault="00974344" w:rsidP="00E45619">
            <w:pPr>
              <w:rPr>
                <w:i/>
              </w:rPr>
            </w:pPr>
            <w:r>
              <w:rPr>
                <w:i/>
              </w:rPr>
              <w:t>Container</w:t>
            </w:r>
            <w:r w:rsidR="008E7846" w:rsidRPr="00487162">
              <w:rPr>
                <w:i/>
              </w:rPr>
              <w:t>:</w:t>
            </w:r>
          </w:p>
        </w:tc>
        <w:tc>
          <w:tcPr>
            <w:tcW w:w="6307" w:type="dxa"/>
          </w:tcPr>
          <w:p w14:paraId="6E3561FD" w14:textId="77777777" w:rsidR="008E7846" w:rsidRPr="00487162" w:rsidRDefault="006947D3" w:rsidP="00E45619">
            <w:r>
              <w:t>Not applicable</w:t>
            </w:r>
          </w:p>
        </w:tc>
      </w:tr>
      <w:tr w:rsidR="008E7846" w:rsidRPr="00487162" w14:paraId="4FAA4CAB" w14:textId="77777777" w:rsidTr="006B7A12">
        <w:tc>
          <w:tcPr>
            <w:tcW w:w="2907" w:type="dxa"/>
          </w:tcPr>
          <w:p w14:paraId="59C9852B" w14:textId="77777777" w:rsidR="008E7846" w:rsidRPr="00487162" w:rsidRDefault="00974344" w:rsidP="00E45619">
            <w:pPr>
              <w:rPr>
                <w:i/>
              </w:rPr>
            </w:pPr>
            <w:r>
              <w:rPr>
                <w:i/>
              </w:rPr>
              <w:t>Pack size</w:t>
            </w:r>
            <w:r w:rsidR="008E7846" w:rsidRPr="00487162">
              <w:rPr>
                <w:i/>
              </w:rPr>
              <w:t>:</w:t>
            </w:r>
          </w:p>
        </w:tc>
        <w:tc>
          <w:tcPr>
            <w:tcW w:w="6307" w:type="dxa"/>
          </w:tcPr>
          <w:p w14:paraId="23069C63" w14:textId="77777777" w:rsidR="008E7846" w:rsidRPr="00487162" w:rsidRDefault="006947D3" w:rsidP="00E45619">
            <w:r>
              <w:t>Not applicable</w:t>
            </w:r>
          </w:p>
        </w:tc>
      </w:tr>
      <w:tr w:rsidR="008E7846" w:rsidRPr="00487162" w14:paraId="34CCADAA" w14:textId="77777777" w:rsidTr="006B7A12">
        <w:tc>
          <w:tcPr>
            <w:tcW w:w="2907" w:type="dxa"/>
          </w:tcPr>
          <w:p w14:paraId="534C19A1"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298029B4" w14:textId="77777777" w:rsidR="008E7846" w:rsidRPr="00487162" w:rsidRDefault="00974344" w:rsidP="00E45619">
            <w:pPr>
              <w:rPr>
                <w:rFonts w:eastAsia="MS Mincho"/>
                <w:lang w:eastAsia="ja-JP"/>
              </w:rPr>
            </w:pPr>
            <w:r>
              <w:t>Not applicable</w:t>
            </w:r>
          </w:p>
        </w:tc>
      </w:tr>
      <w:tr w:rsidR="008E7846" w:rsidRPr="00487162" w14:paraId="19B3C02A" w14:textId="77777777" w:rsidTr="006B7A12">
        <w:tc>
          <w:tcPr>
            <w:tcW w:w="2907" w:type="dxa"/>
          </w:tcPr>
          <w:p w14:paraId="2B2F3358" w14:textId="77777777" w:rsidR="008E7846" w:rsidRPr="00487162" w:rsidRDefault="00974344" w:rsidP="00E45619">
            <w:pPr>
              <w:rPr>
                <w:i/>
              </w:rPr>
            </w:pPr>
            <w:r>
              <w:rPr>
                <w:i/>
              </w:rPr>
              <w:t>Route</w:t>
            </w:r>
            <w:r w:rsidR="008E7846" w:rsidRPr="00487162">
              <w:rPr>
                <w:i/>
              </w:rPr>
              <w:t xml:space="preserve"> of administration:</w:t>
            </w:r>
          </w:p>
        </w:tc>
        <w:tc>
          <w:tcPr>
            <w:tcW w:w="6307" w:type="dxa"/>
          </w:tcPr>
          <w:p w14:paraId="4CD16F9D" w14:textId="03EE129F" w:rsidR="008E7846" w:rsidRPr="00487162" w:rsidRDefault="004B55CF" w:rsidP="00E45619">
            <w:r>
              <w:t>Oral</w:t>
            </w:r>
          </w:p>
        </w:tc>
      </w:tr>
      <w:tr w:rsidR="008E7846" w:rsidRPr="00487162" w14:paraId="19BA203B" w14:textId="77777777" w:rsidTr="006B7A12">
        <w:tc>
          <w:tcPr>
            <w:tcW w:w="2907" w:type="dxa"/>
          </w:tcPr>
          <w:p w14:paraId="1FDFD4D7" w14:textId="77777777" w:rsidR="008E7846" w:rsidRPr="00487162" w:rsidRDefault="008E7846" w:rsidP="00E45619">
            <w:pPr>
              <w:rPr>
                <w:i/>
              </w:rPr>
            </w:pPr>
            <w:r w:rsidRPr="00487162">
              <w:rPr>
                <w:i/>
              </w:rPr>
              <w:t>Dosage:</w:t>
            </w:r>
          </w:p>
        </w:tc>
        <w:tc>
          <w:tcPr>
            <w:tcW w:w="6307" w:type="dxa"/>
          </w:tcPr>
          <w:p w14:paraId="68F4FDD1" w14:textId="77777777" w:rsidR="008E7846" w:rsidRPr="00487162" w:rsidRDefault="006947D3" w:rsidP="00E45619">
            <w:r>
              <w:t>Not applicable</w:t>
            </w:r>
          </w:p>
        </w:tc>
      </w:tr>
      <w:tr w:rsidR="008E7846" w:rsidRPr="00487162" w14:paraId="7D30B273" w14:textId="77777777" w:rsidTr="006B7A12">
        <w:tc>
          <w:tcPr>
            <w:tcW w:w="2907" w:type="dxa"/>
          </w:tcPr>
          <w:p w14:paraId="14734117" w14:textId="77777777" w:rsidR="008E7846" w:rsidRPr="00487162" w:rsidRDefault="008E7846" w:rsidP="001B5C90">
            <w:pPr>
              <w:rPr>
                <w:i/>
              </w:rPr>
            </w:pPr>
            <w:r w:rsidRPr="00487162">
              <w:rPr>
                <w:i/>
              </w:rPr>
              <w:t xml:space="preserve">ARTG </w:t>
            </w:r>
            <w:r w:rsidR="001B5C90">
              <w:rPr>
                <w:i/>
              </w:rPr>
              <w:t>n</w:t>
            </w:r>
            <w:r w:rsidR="00974344">
              <w:rPr>
                <w:i/>
              </w:rPr>
              <w:t>umber</w:t>
            </w:r>
            <w:r w:rsidR="001B5C90">
              <w:rPr>
                <w:i/>
              </w:rPr>
              <w:t>:</w:t>
            </w:r>
          </w:p>
        </w:tc>
        <w:tc>
          <w:tcPr>
            <w:tcW w:w="6307" w:type="dxa"/>
          </w:tcPr>
          <w:p w14:paraId="2494D80A" w14:textId="77777777" w:rsidR="008E7846" w:rsidRPr="00487162" w:rsidRDefault="00974344" w:rsidP="00E45619">
            <w:r>
              <w:t>Not applicable</w:t>
            </w:r>
          </w:p>
        </w:tc>
      </w:tr>
    </w:tbl>
    <w:p w14:paraId="503AD62B" w14:textId="77777777" w:rsidR="008E7846" w:rsidRDefault="008E7846" w:rsidP="008D6064">
      <w:pPr>
        <w:pStyle w:val="Heading3"/>
        <w:pageBreakBefore/>
      </w:pPr>
      <w:bookmarkStart w:id="13" w:name="_Toc247691503"/>
      <w:bookmarkStart w:id="14" w:name="_Toc314842484"/>
      <w:bookmarkStart w:id="15" w:name="_Toc519764273"/>
      <w:r>
        <w:lastRenderedPageBreak/>
        <w:t>Product background</w:t>
      </w:r>
      <w:bookmarkEnd w:id="13"/>
      <w:bookmarkEnd w:id="14"/>
      <w:bookmarkEnd w:id="15"/>
    </w:p>
    <w:p w14:paraId="7C371B24" w14:textId="77777777" w:rsidR="00335934" w:rsidRDefault="00940A89" w:rsidP="00940A89">
      <w:r w:rsidRPr="00940A89">
        <w:t xml:space="preserve">This AusPAR describes the application by </w:t>
      </w:r>
      <w:proofErr w:type="spellStart"/>
      <w:r w:rsidR="007E589E">
        <w:rPr>
          <w:rFonts w:asciiTheme="minorHAnsi" w:hAnsiTheme="minorHAnsi"/>
        </w:rPr>
        <w:t>Actelion</w:t>
      </w:r>
      <w:proofErr w:type="spellEnd"/>
      <w:r w:rsidR="007E589E">
        <w:rPr>
          <w:rFonts w:asciiTheme="minorHAnsi" w:hAnsiTheme="minorHAnsi"/>
        </w:rPr>
        <w:t xml:space="preserve"> Pharmaceuticals Australia Pty Ltd</w:t>
      </w:r>
      <w:r w:rsidR="007E589E" w:rsidRPr="00940A89">
        <w:t xml:space="preserve"> </w:t>
      </w:r>
      <w:r w:rsidR="007E589E">
        <w:t>(</w:t>
      </w:r>
      <w:r w:rsidRPr="00940A89">
        <w:t>the sponsor</w:t>
      </w:r>
      <w:r w:rsidR="007E589E">
        <w:t>)</w:t>
      </w:r>
      <w:r w:rsidRPr="00940A89">
        <w:t xml:space="preserve"> to register </w:t>
      </w:r>
      <w:r w:rsidR="00335934">
        <w:t>Tracleer</w:t>
      </w:r>
      <w:r w:rsidR="007E589E">
        <w:t xml:space="preserve"> bosentan</w:t>
      </w:r>
      <w:r w:rsidRPr="00940A89">
        <w:t xml:space="preserve"> </w:t>
      </w:r>
      <w:r w:rsidR="00335934">
        <w:t>32 mg</w:t>
      </w:r>
      <w:r w:rsidR="00335934" w:rsidRPr="00940A89">
        <w:t xml:space="preserve"> </w:t>
      </w:r>
      <w:r w:rsidR="00335934">
        <w:t>dispersible tablets</w:t>
      </w:r>
      <w:r w:rsidR="00335934" w:rsidRPr="00940A89">
        <w:t xml:space="preserve"> </w:t>
      </w:r>
      <w:r w:rsidR="00335934">
        <w:t>for the following indication:</w:t>
      </w:r>
    </w:p>
    <w:p w14:paraId="69192704" w14:textId="77777777" w:rsidR="00335934" w:rsidRPr="00335934" w:rsidRDefault="00335934" w:rsidP="00335934">
      <w:pPr>
        <w:ind w:left="720"/>
        <w:rPr>
          <w:i/>
        </w:rPr>
      </w:pPr>
      <w:r>
        <w:rPr>
          <w:i/>
        </w:rPr>
        <w:t>Tracleer</w:t>
      </w:r>
      <w:r w:rsidRPr="00335934">
        <w:rPr>
          <w:i/>
        </w:rPr>
        <w:t xml:space="preserve"> is indicated for the treatment of</w:t>
      </w:r>
    </w:p>
    <w:p w14:paraId="04FAB6DF" w14:textId="77777777" w:rsidR="00335934" w:rsidRPr="00335934" w:rsidRDefault="00335934" w:rsidP="00335934">
      <w:pPr>
        <w:pStyle w:val="ListBullet"/>
        <w:ind w:left="1080"/>
        <w:rPr>
          <w:i/>
        </w:rPr>
      </w:pPr>
      <w:r w:rsidRPr="00335934">
        <w:rPr>
          <w:i/>
        </w:rPr>
        <w:t>idiopathic pulmonary arterial hypertension</w:t>
      </w:r>
    </w:p>
    <w:p w14:paraId="21464A80" w14:textId="77777777" w:rsidR="00335934" w:rsidRPr="00335934" w:rsidRDefault="00335934" w:rsidP="00335934">
      <w:pPr>
        <w:pStyle w:val="ListBullet"/>
        <w:ind w:left="1080"/>
        <w:rPr>
          <w:i/>
        </w:rPr>
      </w:pPr>
      <w:r w:rsidRPr="00335934">
        <w:rPr>
          <w:i/>
        </w:rPr>
        <w:t>familial pulmonary arterial hypertension</w:t>
      </w:r>
    </w:p>
    <w:p w14:paraId="20A4E0E6" w14:textId="77777777" w:rsidR="00335934" w:rsidRPr="00335934" w:rsidRDefault="00335934" w:rsidP="00335934">
      <w:pPr>
        <w:pStyle w:val="ListBullet"/>
        <w:ind w:left="1080"/>
        <w:rPr>
          <w:i/>
        </w:rPr>
      </w:pPr>
      <w:r w:rsidRPr="00335934">
        <w:rPr>
          <w:i/>
        </w:rPr>
        <w:t>pulmonary arterial hypertension associated with scleroderma or</w:t>
      </w:r>
    </w:p>
    <w:p w14:paraId="7054AD92" w14:textId="77777777" w:rsidR="00335934" w:rsidRPr="00335934" w:rsidRDefault="00335934" w:rsidP="00335934">
      <w:pPr>
        <w:pStyle w:val="ListBullet"/>
        <w:ind w:left="1080"/>
        <w:rPr>
          <w:i/>
        </w:rPr>
      </w:pPr>
      <w:r w:rsidRPr="00335934">
        <w:rPr>
          <w:i/>
        </w:rPr>
        <w:t xml:space="preserve">pulmonary arterial hypertension associated with congenital systemic to pulmonary shunts including </w:t>
      </w:r>
      <w:proofErr w:type="spellStart"/>
      <w:r w:rsidRPr="00335934">
        <w:rPr>
          <w:i/>
        </w:rPr>
        <w:t>Eisenmenger’s</w:t>
      </w:r>
      <w:proofErr w:type="spellEnd"/>
      <w:r w:rsidRPr="00335934">
        <w:rPr>
          <w:i/>
        </w:rPr>
        <w:t xml:space="preserve"> physiology</w:t>
      </w:r>
    </w:p>
    <w:p w14:paraId="7B93A7F5" w14:textId="77777777" w:rsidR="008E7846" w:rsidRPr="00335934" w:rsidRDefault="00335934" w:rsidP="00335934">
      <w:pPr>
        <w:ind w:left="720"/>
        <w:rPr>
          <w:i/>
        </w:rPr>
      </w:pPr>
      <w:proofErr w:type="gramStart"/>
      <w:r w:rsidRPr="00335934">
        <w:rPr>
          <w:i/>
        </w:rPr>
        <w:t>in</w:t>
      </w:r>
      <w:proofErr w:type="gramEnd"/>
      <w:r w:rsidRPr="00335934">
        <w:rPr>
          <w:i/>
        </w:rPr>
        <w:t xml:space="preserve"> patients with WHO functional Class II, III or IV symptoms.</w:t>
      </w:r>
    </w:p>
    <w:p w14:paraId="6A9F4DD3" w14:textId="77777777" w:rsidR="00123AC6" w:rsidRPr="00335934" w:rsidRDefault="00123AC6" w:rsidP="00335934">
      <w:r w:rsidRPr="00335934">
        <w:t>Bosentan is an endothelin receptor antagonist currently registered in Australia for the treatment of various forms of pulmona</w:t>
      </w:r>
      <w:r w:rsidR="00D17D39">
        <w:t xml:space="preserve">ry arterial hypertension (PAH). </w:t>
      </w:r>
      <w:r w:rsidRPr="00335934">
        <w:t>Causes of PAH include an idiopathic form, familial PAH, persistent pulmonary hypertension of the newborn (PPHN), and PAH due to diseases that localise to the small pulmonary muscular arterioles, including congenital heart disease.</w:t>
      </w:r>
    </w:p>
    <w:p w14:paraId="7C79802D" w14:textId="1612541A" w:rsidR="00123AC6" w:rsidRDefault="00123AC6" w:rsidP="00940A89">
      <w:r w:rsidRPr="00335934">
        <w:t xml:space="preserve">The </w:t>
      </w:r>
      <w:r w:rsidR="00335934">
        <w:t>sponsor</w:t>
      </w:r>
      <w:r w:rsidRPr="00335934">
        <w:t xml:space="preserve"> currently has registered immediate release film-coated tablets in two strengths, 62.5 mg and 125 mg. </w:t>
      </w:r>
      <w:r w:rsidR="00335934">
        <w:t>The curren</w:t>
      </w:r>
      <w:r w:rsidRPr="00335934">
        <w:t xml:space="preserve">t </w:t>
      </w:r>
      <w:r w:rsidR="00335934">
        <w:t>Tracleer</w:t>
      </w:r>
      <w:r w:rsidRPr="00335934">
        <w:t xml:space="preserve"> PI states that a dose of 31.25 mg is required for children with a body weight less than 40 kg; however the 62.5 mg tablet is not scored to facilitate such do</w:t>
      </w:r>
      <w:r w:rsidR="00D17D39">
        <w:t>sing.</w:t>
      </w:r>
    </w:p>
    <w:p w14:paraId="5C372719" w14:textId="77777777" w:rsidR="00D17D39" w:rsidRDefault="00D17D39" w:rsidP="00940A89">
      <w:r w:rsidRPr="00F5665B">
        <w:rPr>
          <w:noProof/>
          <w:lang w:eastAsia="en-AU"/>
        </w:rPr>
        <w:t xml:space="preserve">The proposed product is a 32 mg bosentan (as monohydrate) quadrisected dispersible tablet allowing it </w:t>
      </w:r>
      <w:r w:rsidRPr="00F74713">
        <w:rPr>
          <w:noProof/>
          <w:lang w:eastAsia="en-AU"/>
        </w:rPr>
        <w:t>to be broken into quarters containing 8 mg of bosentan to faciliate adjustment of dosing based on weight and other factors</w:t>
      </w:r>
      <w:r>
        <w:rPr>
          <w:noProof/>
          <w:lang w:eastAsia="en-AU"/>
        </w:rPr>
        <w:t xml:space="preserve"> in particular for the paediatric population.</w:t>
      </w:r>
    </w:p>
    <w:p w14:paraId="4AE3C186" w14:textId="77777777" w:rsidR="008E7846" w:rsidRPr="003F31A2" w:rsidRDefault="00386150" w:rsidP="008E7846">
      <w:pPr>
        <w:pStyle w:val="Heading3"/>
      </w:pPr>
      <w:bookmarkStart w:id="16" w:name="_Toc314842485"/>
      <w:bookmarkStart w:id="17" w:name="_Toc247691504"/>
      <w:bookmarkStart w:id="18" w:name="_Toc519764274"/>
      <w:r>
        <w:t>Regulatory s</w:t>
      </w:r>
      <w:r w:rsidR="008E7846">
        <w:t>tatus</w:t>
      </w:r>
      <w:bookmarkEnd w:id="16"/>
      <w:bookmarkEnd w:id="17"/>
      <w:bookmarkEnd w:id="18"/>
    </w:p>
    <w:p w14:paraId="1E840A8C" w14:textId="58311CEB" w:rsidR="00940A89" w:rsidRPr="00940A89" w:rsidRDefault="00940A89" w:rsidP="00940A89">
      <w:bookmarkStart w:id="19" w:name="_Toc247691505"/>
      <w:bookmarkStart w:id="20" w:name="_Toc314842486"/>
      <w:r w:rsidRPr="00940A89">
        <w:t>The product received initial registration on the Australian Register of Therapeutic Goods</w:t>
      </w:r>
      <w:r w:rsidR="00335934">
        <w:t xml:space="preserve"> (ARTG)</w:t>
      </w:r>
      <w:r w:rsidR="00335934" w:rsidRPr="00335934">
        <w:t xml:space="preserve"> in November 2002. The </w:t>
      </w:r>
      <w:r w:rsidR="00335934">
        <w:t>sponsor</w:t>
      </w:r>
      <w:r w:rsidR="00335934" w:rsidRPr="00335934">
        <w:t xml:space="preserve"> currently has registered immediate release film</w:t>
      </w:r>
      <w:r w:rsidR="002F5EEF">
        <w:noBreakHyphen/>
      </w:r>
      <w:r w:rsidR="00335934" w:rsidRPr="00335934">
        <w:t>coated tablets in two strengths, 62.5 mg and 125 mg.</w:t>
      </w:r>
    </w:p>
    <w:p w14:paraId="4A9560AB" w14:textId="77777777" w:rsidR="00123AC6" w:rsidRDefault="00123AC6" w:rsidP="00123AC6">
      <w:pPr>
        <w:jc w:val="both"/>
      </w:pPr>
      <w:r w:rsidRPr="00005DE6">
        <w:t>The dispersible tablet</w:t>
      </w:r>
      <w:r>
        <w:t xml:space="preserve"> has been approved in Europe; it was submitted in the US i</w:t>
      </w:r>
      <w:r w:rsidRPr="00005DE6">
        <w:t>n August 2016 and is currently under</w:t>
      </w:r>
      <w:r>
        <w:t xml:space="preserve"> </w:t>
      </w:r>
      <w:r w:rsidRPr="00005DE6">
        <w:t>review by th</w:t>
      </w:r>
      <w:r>
        <w:t>e US FDA. It</w:t>
      </w:r>
      <w:r w:rsidRPr="00005DE6">
        <w:t xml:space="preserve"> has not been submitted in Canada or New Zealand.</w:t>
      </w:r>
    </w:p>
    <w:p w14:paraId="5FAA68B8" w14:textId="6F2F5B67" w:rsidR="00B2283A" w:rsidRDefault="00B2283A" w:rsidP="00B2283A">
      <w:pPr>
        <w:rPr>
          <w:lang w:eastAsia="ja-JP"/>
        </w:rPr>
      </w:pPr>
      <w:r w:rsidRPr="00F97B6B">
        <w:rPr>
          <w:lang w:eastAsia="ja-JP"/>
        </w:rPr>
        <w:t xml:space="preserve">At the time of </w:t>
      </w:r>
      <w:r>
        <w:rPr>
          <w:lang w:eastAsia="ja-JP"/>
        </w:rPr>
        <w:t>m</w:t>
      </w:r>
      <w:r w:rsidRPr="00F97B6B">
        <w:rPr>
          <w:lang w:eastAsia="ja-JP"/>
        </w:rPr>
        <w:t xml:space="preserve">arket </w:t>
      </w:r>
      <w:r>
        <w:rPr>
          <w:lang w:eastAsia="ja-JP"/>
        </w:rPr>
        <w:t>a</w:t>
      </w:r>
      <w:r w:rsidRPr="00F97B6B">
        <w:rPr>
          <w:lang w:eastAsia="ja-JP"/>
        </w:rPr>
        <w:t xml:space="preserve">uthorisation of </w:t>
      </w:r>
      <w:r w:rsidR="00335934">
        <w:rPr>
          <w:lang w:eastAsia="ja-JP"/>
        </w:rPr>
        <w:t>Tracleer</w:t>
      </w:r>
      <w:r w:rsidRPr="00F97B6B">
        <w:rPr>
          <w:lang w:eastAsia="ja-JP"/>
        </w:rPr>
        <w:t xml:space="preserve"> in the EU (2002),</w:t>
      </w:r>
      <w:r>
        <w:rPr>
          <w:lang w:eastAsia="ja-JP"/>
        </w:rPr>
        <w:t xml:space="preserve"> </w:t>
      </w:r>
      <w:r w:rsidRPr="00F97B6B">
        <w:rPr>
          <w:lang w:eastAsia="ja-JP"/>
        </w:rPr>
        <w:t xml:space="preserve">an agreement was made with the </w:t>
      </w:r>
      <w:r w:rsidR="00B4142C">
        <w:rPr>
          <w:bCs/>
        </w:rPr>
        <w:t>Committee for Proprietary Medicinal Products</w:t>
      </w:r>
      <w:r w:rsidR="00B4142C">
        <w:rPr>
          <w:lang w:eastAsia="ja-JP"/>
        </w:rPr>
        <w:t xml:space="preserve"> (</w:t>
      </w:r>
      <w:r>
        <w:rPr>
          <w:lang w:eastAsia="ja-JP"/>
        </w:rPr>
        <w:t>CPMP</w:t>
      </w:r>
      <w:r w:rsidR="00B4142C">
        <w:rPr>
          <w:lang w:eastAsia="ja-JP"/>
        </w:rPr>
        <w:t>)</w:t>
      </w:r>
      <w:r w:rsidRPr="00F97B6B">
        <w:rPr>
          <w:lang w:eastAsia="ja-JP"/>
        </w:rPr>
        <w:t xml:space="preserve"> that </w:t>
      </w:r>
      <w:r>
        <w:rPr>
          <w:lang w:eastAsia="ja-JP"/>
        </w:rPr>
        <w:t xml:space="preserve">the </w:t>
      </w:r>
      <w:r w:rsidR="00335934">
        <w:rPr>
          <w:lang w:eastAsia="ja-JP"/>
        </w:rPr>
        <w:t>sponsor</w:t>
      </w:r>
      <w:r w:rsidRPr="00F97B6B">
        <w:rPr>
          <w:lang w:eastAsia="ja-JP"/>
        </w:rPr>
        <w:t xml:space="preserve"> would investigate the use of</w:t>
      </w:r>
      <w:r>
        <w:rPr>
          <w:lang w:eastAsia="ja-JP"/>
        </w:rPr>
        <w:t xml:space="preserve"> </w:t>
      </w:r>
      <w:r w:rsidRPr="00F97B6B">
        <w:rPr>
          <w:lang w:eastAsia="ja-JP"/>
        </w:rPr>
        <w:t xml:space="preserve">bosentan </w:t>
      </w:r>
      <w:r>
        <w:rPr>
          <w:lang w:eastAsia="ja-JP"/>
        </w:rPr>
        <w:t>in paediatric patients with PAH</w:t>
      </w:r>
      <w:r w:rsidRPr="00F97B6B">
        <w:rPr>
          <w:lang w:eastAsia="ja-JP"/>
        </w:rPr>
        <w:t>.</w:t>
      </w:r>
      <w:r>
        <w:rPr>
          <w:lang w:eastAsia="ja-JP"/>
        </w:rPr>
        <w:t xml:space="preserve"> </w:t>
      </w:r>
      <w:r w:rsidR="00326E00">
        <w:rPr>
          <w:lang w:eastAsia="ja-JP"/>
        </w:rPr>
        <w:t>T</w:t>
      </w:r>
      <w:r w:rsidRPr="00F97B6B">
        <w:rPr>
          <w:lang w:eastAsia="ja-JP"/>
        </w:rPr>
        <w:t xml:space="preserve">he </w:t>
      </w:r>
      <w:r w:rsidR="00B4142C">
        <w:rPr>
          <w:bCs/>
        </w:rPr>
        <w:t>Committee for Medicinal Products for Human Use</w:t>
      </w:r>
      <w:r w:rsidR="00B4142C" w:rsidRPr="00F97B6B">
        <w:rPr>
          <w:lang w:eastAsia="ja-JP"/>
        </w:rPr>
        <w:t xml:space="preserve"> </w:t>
      </w:r>
      <w:r w:rsidR="00B4142C">
        <w:rPr>
          <w:lang w:eastAsia="ja-JP"/>
        </w:rPr>
        <w:t>(</w:t>
      </w:r>
      <w:r w:rsidRPr="00F97B6B">
        <w:rPr>
          <w:lang w:eastAsia="ja-JP"/>
        </w:rPr>
        <w:t>CHMP</w:t>
      </w:r>
      <w:r w:rsidR="00B4142C">
        <w:rPr>
          <w:lang w:eastAsia="ja-JP"/>
        </w:rPr>
        <w:t>)</w:t>
      </w:r>
      <w:r w:rsidRPr="00F97B6B">
        <w:rPr>
          <w:lang w:eastAsia="ja-JP"/>
        </w:rPr>
        <w:t xml:space="preserve"> was of the opinion that data from</w:t>
      </w:r>
      <w:r>
        <w:rPr>
          <w:lang w:eastAsia="ja-JP"/>
        </w:rPr>
        <w:t xml:space="preserve"> </w:t>
      </w:r>
      <w:r w:rsidRPr="00F97B6B">
        <w:rPr>
          <w:lang w:eastAsia="ja-JP"/>
        </w:rPr>
        <w:t xml:space="preserve">BREATHE-3 were insufficient to support a therapeutic indication in children. </w:t>
      </w:r>
      <w:r>
        <w:rPr>
          <w:lang w:eastAsia="ja-JP"/>
        </w:rPr>
        <w:t>T</w:t>
      </w:r>
      <w:r w:rsidRPr="00F97B6B">
        <w:rPr>
          <w:lang w:eastAsia="ja-JP"/>
        </w:rPr>
        <w:t xml:space="preserve">he CHMP agreed to include the dosage information from BREATHE-3 in the </w:t>
      </w:r>
      <w:r w:rsidR="00D17D39">
        <w:t>Summary of Product Characteristics</w:t>
      </w:r>
      <w:r w:rsidR="00D17D39" w:rsidRPr="00F97B6B">
        <w:rPr>
          <w:lang w:eastAsia="ja-JP"/>
        </w:rPr>
        <w:t xml:space="preserve"> </w:t>
      </w:r>
      <w:r w:rsidR="00D17D39">
        <w:rPr>
          <w:lang w:eastAsia="ja-JP"/>
        </w:rPr>
        <w:t>(</w:t>
      </w:r>
      <w:r w:rsidRPr="00F97B6B">
        <w:rPr>
          <w:lang w:eastAsia="ja-JP"/>
        </w:rPr>
        <w:t>SmPC</w:t>
      </w:r>
      <w:r w:rsidR="00D17D39">
        <w:rPr>
          <w:lang w:eastAsia="ja-JP"/>
        </w:rPr>
        <w:t>)</w:t>
      </w:r>
      <w:r w:rsidRPr="00F97B6B">
        <w:rPr>
          <w:lang w:eastAsia="ja-JP"/>
        </w:rPr>
        <w:t xml:space="preserve"> with a summary of the clinical findings</w:t>
      </w:r>
      <w:r>
        <w:rPr>
          <w:lang w:eastAsia="ja-JP"/>
        </w:rPr>
        <w:t>.</w:t>
      </w:r>
    </w:p>
    <w:p w14:paraId="0244E55B" w14:textId="77777777" w:rsidR="00970C5B" w:rsidRPr="00970C5B" w:rsidRDefault="00970C5B" w:rsidP="00970C5B">
      <w:pPr>
        <w:pStyle w:val="Heading2"/>
      </w:pPr>
      <w:bookmarkStart w:id="21" w:name="_Toc513715879"/>
      <w:bookmarkStart w:id="22" w:name="_Toc519764275"/>
      <w:bookmarkStart w:id="23" w:name="_Toc247691506"/>
      <w:bookmarkStart w:id="24" w:name="_Toc314842487"/>
      <w:bookmarkEnd w:id="19"/>
      <w:bookmarkEnd w:id="20"/>
      <w:r>
        <w:lastRenderedPageBreak/>
        <w:t>II</w:t>
      </w:r>
      <w:r w:rsidR="00335934">
        <w:t>.</w:t>
      </w:r>
      <w:r>
        <w:t xml:space="preserve"> </w:t>
      </w:r>
      <w:r w:rsidRPr="00970C5B">
        <w:t>Registration timeline</w:t>
      </w:r>
      <w:bookmarkEnd w:id="21"/>
      <w:bookmarkEnd w:id="22"/>
    </w:p>
    <w:p w14:paraId="281F764D" w14:textId="77777777" w:rsidR="00970C5B" w:rsidRPr="00433E27" w:rsidRDefault="00970C5B" w:rsidP="00970C5B">
      <w:pPr>
        <w:pStyle w:val="Tabletitle0"/>
      </w:pPr>
      <w:r>
        <w:t>Table 1: Registration timeline for Submission PM-2015-04745-1-3</w:t>
      </w:r>
    </w:p>
    <w:tbl>
      <w:tblPr>
        <w:tblStyle w:val="TableTGAblue"/>
        <w:tblW w:w="0" w:type="auto"/>
        <w:tblLook w:val="04A0" w:firstRow="1" w:lastRow="0" w:firstColumn="1" w:lastColumn="0" w:noHBand="0" w:noVBand="1"/>
      </w:tblPr>
      <w:tblGrid>
        <w:gridCol w:w="5564"/>
        <w:gridCol w:w="2578"/>
      </w:tblGrid>
      <w:tr w:rsidR="002F5EEF" w14:paraId="6F7B52EF" w14:textId="77777777" w:rsidTr="008D6064">
        <w:trPr>
          <w:cnfStyle w:val="100000000000" w:firstRow="1" w:lastRow="0" w:firstColumn="0" w:lastColumn="0" w:oddVBand="0" w:evenVBand="0" w:oddHBand="0" w:evenHBand="0" w:firstRowFirstColumn="0" w:firstRowLastColumn="0" w:lastRowFirstColumn="0" w:lastRowLastColumn="0"/>
          <w:cantSplit/>
          <w:trHeight w:val="470"/>
        </w:trPr>
        <w:tc>
          <w:tcPr>
            <w:tcW w:w="5564" w:type="dxa"/>
          </w:tcPr>
          <w:p w14:paraId="5A0A4230" w14:textId="77777777" w:rsidR="00970C5B" w:rsidRDefault="00970C5B" w:rsidP="00970C5B">
            <w:r>
              <w:t>Description</w:t>
            </w:r>
          </w:p>
        </w:tc>
        <w:tc>
          <w:tcPr>
            <w:tcW w:w="2578" w:type="dxa"/>
          </w:tcPr>
          <w:p w14:paraId="569A1097" w14:textId="77777777" w:rsidR="00970C5B" w:rsidRDefault="00970C5B" w:rsidP="00970C5B">
            <w:r>
              <w:t>Date</w:t>
            </w:r>
          </w:p>
        </w:tc>
      </w:tr>
      <w:tr w:rsidR="002F5EEF" w:rsidRPr="00970C5B" w14:paraId="29713762" w14:textId="77777777" w:rsidTr="008D6064">
        <w:trPr>
          <w:trHeight w:val="721"/>
        </w:trPr>
        <w:tc>
          <w:tcPr>
            <w:tcW w:w="5564" w:type="dxa"/>
          </w:tcPr>
          <w:p w14:paraId="6929921C" w14:textId="77777777" w:rsidR="00970C5B" w:rsidRDefault="00970C5B" w:rsidP="00970C5B">
            <w:r>
              <w:t>Submission dossier accepted and first round evaluation commenced</w:t>
            </w:r>
          </w:p>
        </w:tc>
        <w:tc>
          <w:tcPr>
            <w:tcW w:w="2578" w:type="dxa"/>
          </w:tcPr>
          <w:p w14:paraId="7AD71C9A" w14:textId="77777777" w:rsidR="00970C5B" w:rsidRPr="00970C5B" w:rsidRDefault="00970C5B" w:rsidP="00970C5B">
            <w:pPr>
              <w:rPr>
                <w:color w:val="auto"/>
              </w:rPr>
            </w:pPr>
            <w:r w:rsidRPr="00970C5B">
              <w:rPr>
                <w:color w:val="auto"/>
              </w:rPr>
              <w:t>20 May 2016</w:t>
            </w:r>
          </w:p>
        </w:tc>
      </w:tr>
      <w:tr w:rsidR="002F5EEF" w:rsidRPr="00970C5B" w14:paraId="217F588D" w14:textId="77777777" w:rsidTr="008D6064">
        <w:trPr>
          <w:trHeight w:val="481"/>
        </w:trPr>
        <w:tc>
          <w:tcPr>
            <w:tcW w:w="5564" w:type="dxa"/>
          </w:tcPr>
          <w:p w14:paraId="776672C1" w14:textId="77777777" w:rsidR="00970C5B" w:rsidRDefault="00970C5B" w:rsidP="00970C5B">
            <w:r>
              <w:t>First round evaluation completed</w:t>
            </w:r>
          </w:p>
        </w:tc>
        <w:tc>
          <w:tcPr>
            <w:tcW w:w="2578" w:type="dxa"/>
          </w:tcPr>
          <w:p w14:paraId="304D533F" w14:textId="77777777" w:rsidR="00970C5B" w:rsidRPr="00970C5B" w:rsidRDefault="00970C5B" w:rsidP="00970C5B">
            <w:pPr>
              <w:rPr>
                <w:color w:val="auto"/>
              </w:rPr>
            </w:pPr>
            <w:r w:rsidRPr="00970C5B">
              <w:rPr>
                <w:color w:val="auto"/>
              </w:rPr>
              <w:t>25 October 2016</w:t>
            </w:r>
          </w:p>
        </w:tc>
      </w:tr>
      <w:tr w:rsidR="002F5EEF" w:rsidRPr="00970C5B" w14:paraId="2EA8801B" w14:textId="77777777" w:rsidTr="008D6064">
        <w:trPr>
          <w:trHeight w:val="721"/>
        </w:trPr>
        <w:tc>
          <w:tcPr>
            <w:tcW w:w="5564" w:type="dxa"/>
          </w:tcPr>
          <w:p w14:paraId="2D74E9B2" w14:textId="77777777" w:rsidR="00970C5B" w:rsidRDefault="00970C5B" w:rsidP="00970C5B">
            <w:r>
              <w:t>Sponsor provides responses on questions raised in first round evaluation</w:t>
            </w:r>
          </w:p>
        </w:tc>
        <w:tc>
          <w:tcPr>
            <w:tcW w:w="2578" w:type="dxa"/>
          </w:tcPr>
          <w:p w14:paraId="79362EA6" w14:textId="77777777" w:rsidR="00970C5B" w:rsidRPr="00970C5B" w:rsidRDefault="00970C5B" w:rsidP="00970C5B">
            <w:pPr>
              <w:rPr>
                <w:color w:val="auto"/>
              </w:rPr>
            </w:pPr>
            <w:r w:rsidRPr="00970C5B">
              <w:rPr>
                <w:color w:val="auto"/>
              </w:rPr>
              <w:t>14 December 2016</w:t>
            </w:r>
          </w:p>
        </w:tc>
      </w:tr>
      <w:tr w:rsidR="002F5EEF" w:rsidRPr="00970C5B" w14:paraId="40120F83" w14:textId="77777777" w:rsidTr="008D6064">
        <w:trPr>
          <w:trHeight w:val="470"/>
        </w:trPr>
        <w:tc>
          <w:tcPr>
            <w:tcW w:w="5564" w:type="dxa"/>
          </w:tcPr>
          <w:p w14:paraId="11475192" w14:textId="77777777" w:rsidR="00970C5B" w:rsidRDefault="00970C5B" w:rsidP="00970C5B">
            <w:r>
              <w:t>Second round evaluation completed</w:t>
            </w:r>
          </w:p>
        </w:tc>
        <w:tc>
          <w:tcPr>
            <w:tcW w:w="2578" w:type="dxa"/>
          </w:tcPr>
          <w:p w14:paraId="781105A2" w14:textId="77777777" w:rsidR="00970C5B" w:rsidRPr="00970C5B" w:rsidRDefault="00970C5B" w:rsidP="00970C5B">
            <w:pPr>
              <w:rPr>
                <w:color w:val="auto"/>
              </w:rPr>
            </w:pPr>
            <w:r w:rsidRPr="00970C5B">
              <w:rPr>
                <w:color w:val="auto"/>
              </w:rPr>
              <w:t>10 February 2017</w:t>
            </w:r>
          </w:p>
        </w:tc>
      </w:tr>
      <w:tr w:rsidR="002F5EEF" w:rsidRPr="00CF563C" w14:paraId="2B2756A7" w14:textId="77777777" w:rsidTr="008D6064">
        <w:trPr>
          <w:trHeight w:val="721"/>
        </w:trPr>
        <w:tc>
          <w:tcPr>
            <w:tcW w:w="5564" w:type="dxa"/>
          </w:tcPr>
          <w:p w14:paraId="0FE9F194" w14:textId="77777777" w:rsidR="00970C5B" w:rsidRDefault="00970C5B" w:rsidP="00970C5B">
            <w:r>
              <w:t>Delegate’s Overall benefit-risk assessment and request for Advisory Committee advice</w:t>
            </w:r>
          </w:p>
        </w:tc>
        <w:tc>
          <w:tcPr>
            <w:tcW w:w="2578" w:type="dxa"/>
          </w:tcPr>
          <w:p w14:paraId="1CE57E34" w14:textId="77777777" w:rsidR="00970C5B" w:rsidRPr="00CF563C" w:rsidRDefault="00CF563C" w:rsidP="00970C5B">
            <w:pPr>
              <w:rPr>
                <w:color w:val="auto"/>
              </w:rPr>
            </w:pPr>
            <w:r w:rsidRPr="00CF563C">
              <w:rPr>
                <w:color w:val="auto"/>
              </w:rPr>
              <w:t>6 March 2017</w:t>
            </w:r>
          </w:p>
        </w:tc>
      </w:tr>
      <w:tr w:rsidR="002F5EEF" w:rsidRPr="00970C5B" w14:paraId="419172E9" w14:textId="77777777" w:rsidTr="008D6064">
        <w:trPr>
          <w:trHeight w:val="481"/>
        </w:trPr>
        <w:tc>
          <w:tcPr>
            <w:tcW w:w="5564" w:type="dxa"/>
          </w:tcPr>
          <w:p w14:paraId="1F33FC44" w14:textId="77777777" w:rsidR="00970C5B" w:rsidRDefault="00970C5B" w:rsidP="00970C5B">
            <w:r>
              <w:t>Sponsor’s pre-Advisory Committee response</w:t>
            </w:r>
          </w:p>
        </w:tc>
        <w:tc>
          <w:tcPr>
            <w:tcW w:w="2578" w:type="dxa"/>
          </w:tcPr>
          <w:p w14:paraId="28618E01" w14:textId="77777777" w:rsidR="00970C5B" w:rsidRPr="00970C5B" w:rsidRDefault="00087DB5" w:rsidP="00970C5B">
            <w:pPr>
              <w:rPr>
                <w:color w:val="auto"/>
              </w:rPr>
            </w:pPr>
            <w:r>
              <w:rPr>
                <w:color w:val="auto"/>
              </w:rPr>
              <w:t>20 March 2017</w:t>
            </w:r>
          </w:p>
        </w:tc>
      </w:tr>
      <w:tr w:rsidR="002F5EEF" w:rsidRPr="00970C5B" w14:paraId="06D23B1E" w14:textId="77777777" w:rsidTr="008D6064">
        <w:trPr>
          <w:trHeight w:val="470"/>
        </w:trPr>
        <w:tc>
          <w:tcPr>
            <w:tcW w:w="5564" w:type="dxa"/>
          </w:tcPr>
          <w:p w14:paraId="03F2377B" w14:textId="77777777" w:rsidR="00970C5B" w:rsidRDefault="00970C5B" w:rsidP="00970C5B">
            <w:r>
              <w:t>Advisory Committee meeting</w:t>
            </w:r>
            <w:r w:rsidR="00087DB5">
              <w:t xml:space="preserve"> (ACM 2)</w:t>
            </w:r>
          </w:p>
        </w:tc>
        <w:tc>
          <w:tcPr>
            <w:tcW w:w="2578" w:type="dxa"/>
          </w:tcPr>
          <w:p w14:paraId="7E470D32" w14:textId="77777777" w:rsidR="00970C5B" w:rsidRPr="00970C5B" w:rsidRDefault="00087DB5" w:rsidP="00970C5B">
            <w:pPr>
              <w:rPr>
                <w:color w:val="auto"/>
              </w:rPr>
            </w:pPr>
            <w:r>
              <w:rPr>
                <w:color w:val="auto"/>
              </w:rPr>
              <w:t>6 to 7 April 2017</w:t>
            </w:r>
          </w:p>
        </w:tc>
      </w:tr>
      <w:tr w:rsidR="002F5EEF" w:rsidRPr="00087DB5" w14:paraId="5131D477" w14:textId="77777777" w:rsidTr="008D6064">
        <w:trPr>
          <w:trHeight w:val="481"/>
        </w:trPr>
        <w:tc>
          <w:tcPr>
            <w:tcW w:w="5564" w:type="dxa"/>
          </w:tcPr>
          <w:p w14:paraId="4A329C6E" w14:textId="77777777" w:rsidR="00970C5B" w:rsidRDefault="00BF126D" w:rsidP="00BF126D">
            <w:r>
              <w:t>Registration decision</w:t>
            </w:r>
          </w:p>
        </w:tc>
        <w:tc>
          <w:tcPr>
            <w:tcW w:w="2578" w:type="dxa"/>
          </w:tcPr>
          <w:p w14:paraId="12A7FA16" w14:textId="77777777" w:rsidR="00970C5B" w:rsidRPr="00087DB5" w:rsidRDefault="00087DB5" w:rsidP="00970C5B">
            <w:pPr>
              <w:rPr>
                <w:color w:val="auto"/>
              </w:rPr>
            </w:pPr>
            <w:r w:rsidRPr="00087DB5">
              <w:rPr>
                <w:color w:val="auto"/>
              </w:rPr>
              <w:t>19</w:t>
            </w:r>
            <w:r w:rsidR="00970C5B" w:rsidRPr="00087DB5">
              <w:rPr>
                <w:color w:val="auto"/>
              </w:rPr>
              <w:t xml:space="preserve"> May 2017</w:t>
            </w:r>
          </w:p>
        </w:tc>
      </w:tr>
      <w:tr w:rsidR="002F5EEF" w:rsidRPr="003E173B" w14:paraId="21A09B22" w14:textId="77777777" w:rsidTr="008D6064">
        <w:trPr>
          <w:trHeight w:val="732"/>
        </w:trPr>
        <w:tc>
          <w:tcPr>
            <w:tcW w:w="5564" w:type="dxa"/>
          </w:tcPr>
          <w:p w14:paraId="7FB0B517" w14:textId="77777777" w:rsidR="00970C5B" w:rsidRDefault="00970C5B" w:rsidP="003E173B">
            <w:r>
              <w:t xml:space="preserve">Number of working days from submission dossier to </w:t>
            </w:r>
            <w:r w:rsidR="003E173B">
              <w:t>decision</w:t>
            </w:r>
            <w:r>
              <w:t>*</w:t>
            </w:r>
          </w:p>
        </w:tc>
        <w:tc>
          <w:tcPr>
            <w:tcW w:w="2578" w:type="dxa"/>
          </w:tcPr>
          <w:p w14:paraId="392027B8" w14:textId="77777777" w:rsidR="00970C5B" w:rsidRPr="003E173B" w:rsidRDefault="00970C5B" w:rsidP="003E173B">
            <w:pPr>
              <w:rPr>
                <w:color w:val="auto"/>
              </w:rPr>
            </w:pPr>
            <w:r w:rsidRPr="003E173B">
              <w:rPr>
                <w:color w:val="auto"/>
              </w:rPr>
              <w:t>2</w:t>
            </w:r>
            <w:r w:rsidR="003E173B" w:rsidRPr="003E173B">
              <w:rPr>
                <w:color w:val="auto"/>
              </w:rPr>
              <w:t>13</w:t>
            </w:r>
          </w:p>
        </w:tc>
      </w:tr>
    </w:tbl>
    <w:p w14:paraId="296C204C" w14:textId="77777777" w:rsidR="00970C5B" w:rsidRPr="00433E27" w:rsidRDefault="00970C5B" w:rsidP="00970C5B">
      <w:pPr>
        <w:pStyle w:val="TableDescription"/>
      </w:pPr>
      <w:r w:rsidRPr="00433E27">
        <w:t xml:space="preserve">*Statutory timeframe is </w:t>
      </w:r>
      <w:r>
        <w:t>255 working days</w:t>
      </w:r>
    </w:p>
    <w:p w14:paraId="341FDF3F" w14:textId="77777777" w:rsidR="008E7846" w:rsidRPr="003602A9" w:rsidRDefault="00087DB5" w:rsidP="008E7846">
      <w:pPr>
        <w:pStyle w:val="Heading2"/>
        <w:ind w:left="-11"/>
      </w:pPr>
      <w:bookmarkStart w:id="25" w:name="_Toc519764276"/>
      <w:r>
        <w:t>I</w:t>
      </w:r>
      <w:r w:rsidR="008E7846">
        <w:t>II. Quality</w:t>
      </w:r>
      <w:bookmarkEnd w:id="2"/>
      <w:r w:rsidR="008E7846">
        <w:t xml:space="preserve"> findings</w:t>
      </w:r>
      <w:bookmarkEnd w:id="23"/>
      <w:bookmarkEnd w:id="24"/>
      <w:bookmarkEnd w:id="25"/>
    </w:p>
    <w:p w14:paraId="45C45358" w14:textId="77777777" w:rsidR="00940A89" w:rsidRDefault="00940A89" w:rsidP="00940A89">
      <w:pPr>
        <w:pStyle w:val="Heading3"/>
      </w:pPr>
      <w:bookmarkStart w:id="26" w:name="_Toc519764277"/>
      <w:bookmarkStart w:id="27" w:name="_Toc247691507"/>
      <w:bookmarkStart w:id="28" w:name="_Toc314842488"/>
      <w:r w:rsidRPr="00940A89">
        <w:t>Introduction</w:t>
      </w:r>
      <w:bookmarkEnd w:id="26"/>
    </w:p>
    <w:p w14:paraId="17BE408C" w14:textId="77777777" w:rsidR="00D56F44" w:rsidRPr="00F5665B" w:rsidRDefault="00D56F44" w:rsidP="00D56F44">
      <w:r w:rsidRPr="00F5665B">
        <w:rPr>
          <w:noProof/>
          <w:lang w:eastAsia="en-AU"/>
        </w:rPr>
        <w:t>The product proposed in this application is a dispersible tablet containing 32 mg of bosentan (as monohydrate) intended for use in paediatrics and adult patients who are unable to take the film-coated tablet. No new trade name is proposed. The 32 mg dispersible tabet has been commercially available overseas for more than 5 years.</w:t>
      </w:r>
    </w:p>
    <w:p w14:paraId="78BEEBB6" w14:textId="77777777" w:rsidR="00D56F44" w:rsidRPr="00F74713" w:rsidRDefault="00D56F44" w:rsidP="00D56F44">
      <w:r w:rsidRPr="00F5665B">
        <w:rPr>
          <w:noProof/>
          <w:lang w:eastAsia="en-AU"/>
        </w:rPr>
        <w:t xml:space="preserve">The proposed product is a 32 mg bosentan (as monohydrate) quadrisected dispersible tablet allowing it </w:t>
      </w:r>
      <w:r w:rsidRPr="00F74713">
        <w:rPr>
          <w:noProof/>
          <w:lang w:eastAsia="en-AU"/>
        </w:rPr>
        <w:t>to be broken into quarters containing 8 mg of bosentan to faciliate adjustment of dosing based on weight and other factors such as dose titration</w:t>
      </w:r>
      <w:r w:rsidR="00335934">
        <w:rPr>
          <w:noProof/>
          <w:lang w:eastAsia="en-AU"/>
        </w:rPr>
        <w:t xml:space="preserve"> due to hepatic abnormalities. </w:t>
      </w:r>
      <w:r w:rsidRPr="00F74713">
        <w:t xml:space="preserve">The proposed product is packed in an </w:t>
      </w:r>
      <w:proofErr w:type="spellStart"/>
      <w:r w:rsidRPr="00F74713">
        <w:t>alu</w:t>
      </w:r>
      <w:proofErr w:type="spellEnd"/>
      <w:r w:rsidRPr="00F74713">
        <w:t>/</w:t>
      </w:r>
      <w:proofErr w:type="spellStart"/>
      <w:r w:rsidRPr="00F74713">
        <w:t>al</w:t>
      </w:r>
      <w:r w:rsidR="00BF126D">
        <w:t>u</w:t>
      </w:r>
      <w:proofErr w:type="spellEnd"/>
      <w:r w:rsidR="00BF126D">
        <w:t xml:space="preserve"> blister (bottom foil and peel </w:t>
      </w:r>
      <w:r w:rsidRPr="00F74713">
        <w:t>push foil).</w:t>
      </w:r>
      <w:r w:rsidR="00335934">
        <w:t xml:space="preserve"> </w:t>
      </w:r>
      <w:r w:rsidRPr="00F74713">
        <w:t>There are 14 dispersible tablets per blister strip and a total of 56 tablets per carton unit.</w:t>
      </w:r>
      <w:r w:rsidR="00335934">
        <w:t xml:space="preserve"> </w:t>
      </w:r>
      <w:r w:rsidRPr="00F74713">
        <w:t>A package insert is enclosed in the pack.</w:t>
      </w:r>
    </w:p>
    <w:p w14:paraId="4F658F71" w14:textId="77777777" w:rsidR="00D56F44" w:rsidRPr="00F5665B" w:rsidRDefault="00D56F44" w:rsidP="00D56F44">
      <w:pPr>
        <w:rPr>
          <w:noProof/>
          <w:lang w:eastAsia="en-AU"/>
        </w:rPr>
      </w:pPr>
      <w:r w:rsidRPr="00F74713">
        <w:rPr>
          <w:noProof/>
          <w:lang w:eastAsia="en-AU"/>
        </w:rPr>
        <w:t>This submission incorporates</w:t>
      </w:r>
      <w:r w:rsidRPr="00F5665B">
        <w:rPr>
          <w:noProof/>
          <w:lang w:eastAsia="en-AU"/>
        </w:rPr>
        <w:t xml:space="preserve"> a proposal to widen to patient population by decreasing the minimum age of paediatric patients from 3 years to 1 year old.</w:t>
      </w:r>
      <w:r w:rsidR="00335934">
        <w:rPr>
          <w:noProof/>
          <w:lang w:eastAsia="en-AU"/>
        </w:rPr>
        <w:t xml:space="preserve"> </w:t>
      </w:r>
      <w:r w:rsidRPr="00F5665B">
        <w:rPr>
          <w:noProof/>
          <w:lang w:eastAsia="en-AU"/>
        </w:rPr>
        <w:t xml:space="preserve">For paediatric patients aged 1 year and older, the recommended starting and maintenance dose is 2 mg/kg twice daily. It is therefore difficult to establish the maximum dose for paediatrics as it is weight dependent. </w:t>
      </w:r>
      <w:r>
        <w:rPr>
          <w:noProof/>
          <w:lang w:eastAsia="en-AU"/>
        </w:rPr>
        <w:t>The proposed PI</w:t>
      </w:r>
      <w:r w:rsidRPr="00F5665B">
        <w:rPr>
          <w:noProof/>
          <w:lang w:eastAsia="en-AU"/>
        </w:rPr>
        <w:t xml:space="preserve"> </w:t>
      </w:r>
      <w:r>
        <w:rPr>
          <w:noProof/>
          <w:lang w:eastAsia="en-AU"/>
        </w:rPr>
        <w:t>also</w:t>
      </w:r>
      <w:r w:rsidRPr="00F5665B">
        <w:rPr>
          <w:noProof/>
          <w:lang w:eastAsia="en-AU"/>
        </w:rPr>
        <w:t xml:space="preserve"> indicate</w:t>
      </w:r>
      <w:r>
        <w:rPr>
          <w:noProof/>
          <w:lang w:eastAsia="en-AU"/>
        </w:rPr>
        <w:t>s</w:t>
      </w:r>
      <w:r w:rsidRPr="00F5665B">
        <w:rPr>
          <w:noProof/>
          <w:lang w:eastAsia="en-AU"/>
        </w:rPr>
        <w:t xml:space="preserve"> that adults who are unable to take the film</w:t>
      </w:r>
      <w:r w:rsidR="00BF126D">
        <w:rPr>
          <w:noProof/>
          <w:lang w:eastAsia="en-AU"/>
        </w:rPr>
        <w:t> </w:t>
      </w:r>
      <w:r w:rsidRPr="00F5665B">
        <w:rPr>
          <w:noProof/>
          <w:lang w:eastAsia="en-AU"/>
        </w:rPr>
        <w:t>coated tablet can consider taking the dispersible tablet. The maximum daily dose can be conside</w:t>
      </w:r>
      <w:r w:rsidR="00335934">
        <w:rPr>
          <w:noProof/>
          <w:lang w:eastAsia="en-AU"/>
        </w:rPr>
        <w:t>red as 250 mg bosentan per day.</w:t>
      </w:r>
    </w:p>
    <w:p w14:paraId="063CB24E" w14:textId="77777777" w:rsidR="00335934" w:rsidRDefault="00D56F44" w:rsidP="00D56F44">
      <w:r w:rsidRPr="00F74713">
        <w:lastRenderedPageBreak/>
        <w:t xml:space="preserve">No change to the wording of the indication already registered for the film-coated tablet presentations of </w:t>
      </w:r>
      <w:r w:rsidR="00335934">
        <w:t>Tracleer</w:t>
      </w:r>
      <w:r w:rsidRPr="00F74713">
        <w:t xml:space="preserve"> is being sought</w:t>
      </w:r>
      <w:r w:rsidR="00335934">
        <w:t>.</w:t>
      </w:r>
    </w:p>
    <w:p w14:paraId="6190FC0D" w14:textId="51EC85CA" w:rsidR="00D56F44" w:rsidRPr="00D56F44" w:rsidRDefault="00D56F44" w:rsidP="00D56F44">
      <w:pPr>
        <w:rPr>
          <w:b/>
          <w:noProof/>
          <w:lang w:eastAsia="en-AU"/>
        </w:rPr>
      </w:pPr>
      <w:r w:rsidRPr="00F5665B">
        <w:rPr>
          <w:noProof/>
          <w:lang w:eastAsia="en-AU"/>
        </w:rPr>
        <w:t>Bosentan monohydrate is not subject to a BP/Ph Eur. monograph, but there is a pend</w:t>
      </w:r>
      <w:r w:rsidR="00335934">
        <w:rPr>
          <w:noProof/>
          <w:lang w:eastAsia="en-AU"/>
        </w:rPr>
        <w:t xml:space="preserve">ing USP monograph for </w:t>
      </w:r>
      <w:r w:rsidR="00EF5FF8">
        <w:rPr>
          <w:noProof/>
          <w:lang w:eastAsia="en-AU"/>
        </w:rPr>
        <w:t xml:space="preserve">bosentan </w:t>
      </w:r>
      <w:r w:rsidR="00335934">
        <w:rPr>
          <w:noProof/>
          <w:lang w:eastAsia="en-AU"/>
        </w:rPr>
        <w:t>m</w:t>
      </w:r>
      <w:r w:rsidRPr="00F5665B">
        <w:rPr>
          <w:noProof/>
          <w:lang w:eastAsia="en-AU"/>
        </w:rPr>
        <w:t>onohydrate. There are no monographs for the finished product.</w:t>
      </w:r>
    </w:p>
    <w:p w14:paraId="122274E3" w14:textId="77777777" w:rsidR="008E7846" w:rsidRDefault="008E7846" w:rsidP="00940A89">
      <w:pPr>
        <w:pStyle w:val="Heading3"/>
      </w:pPr>
      <w:bookmarkStart w:id="29" w:name="_Toc519764278"/>
      <w:r w:rsidRPr="008751DC">
        <w:t xml:space="preserve">Drug </w:t>
      </w:r>
      <w:r>
        <w:t>s</w:t>
      </w:r>
      <w:r w:rsidRPr="008751DC">
        <w:t>ubstance</w:t>
      </w:r>
      <w:r>
        <w:t xml:space="preserve"> (active ingredient)</w:t>
      </w:r>
      <w:bookmarkEnd w:id="27"/>
      <w:bookmarkEnd w:id="28"/>
      <w:bookmarkEnd w:id="29"/>
    </w:p>
    <w:p w14:paraId="4EEAED19" w14:textId="77777777" w:rsidR="00335934" w:rsidRDefault="0049311C" w:rsidP="0049311C">
      <w:r>
        <w:t xml:space="preserve">Bosentan </w:t>
      </w:r>
      <w:r w:rsidR="00335934">
        <w:t>monohydrate</w:t>
      </w:r>
      <w:r>
        <w:t xml:space="preserve"> (structure shown below) is a white to </w:t>
      </w:r>
      <w:r w:rsidR="00A27757">
        <w:t>yellowish fine powder that has</w:t>
      </w:r>
      <w:r w:rsidR="00335934">
        <w:t xml:space="preserve"> </w:t>
      </w:r>
      <w:r>
        <w:t>solubility in water of 1 mg/100 mL. It is achiral and not hygroscopic</w:t>
      </w:r>
      <w:r w:rsidR="00335934">
        <w:t>.</w:t>
      </w:r>
    </w:p>
    <w:p w14:paraId="2596C09C" w14:textId="77777777" w:rsidR="008E7846" w:rsidRDefault="0049311C" w:rsidP="0049311C">
      <w:pPr>
        <w:pStyle w:val="FigureTitle"/>
      </w:pPr>
      <w:r>
        <w:t>Figure 1: Structure of bosentan</w:t>
      </w:r>
    </w:p>
    <w:p w14:paraId="2367E30F" w14:textId="77777777" w:rsidR="0049311C" w:rsidRDefault="0049311C" w:rsidP="0049311C">
      <w:r>
        <w:rPr>
          <w:noProof/>
          <w:lang w:eastAsia="en-AU"/>
        </w:rPr>
        <w:drawing>
          <wp:inline distT="0" distB="0" distL="0" distR="0" wp14:anchorId="310116DA" wp14:editId="11D67D45">
            <wp:extent cx="3760012" cy="1935710"/>
            <wp:effectExtent l="0" t="0" r="0" b="7620"/>
            <wp:docPr id="5" name="Picture 5" descr="Figure 1: Structure of bosen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59796" cy="1935599"/>
                    </a:xfrm>
                    <a:prstGeom prst="rect">
                      <a:avLst/>
                    </a:prstGeom>
                  </pic:spPr>
                </pic:pic>
              </a:graphicData>
            </a:graphic>
          </wp:inline>
        </w:drawing>
      </w:r>
    </w:p>
    <w:p w14:paraId="637E8DBD" w14:textId="77777777" w:rsidR="00335934" w:rsidRPr="00335934" w:rsidRDefault="0049311C" w:rsidP="00335934">
      <w:r w:rsidRPr="00335934">
        <w:t xml:space="preserve">The drug substance sections were not evaluated as part of this application as the </w:t>
      </w:r>
      <w:r w:rsidR="00335934">
        <w:t>sponsor</w:t>
      </w:r>
      <w:r w:rsidRPr="00335934">
        <w:t xml:space="preserve"> provided assurance these sections are the same as previously approved by the TGA for </w:t>
      </w:r>
      <w:r w:rsidR="00335934" w:rsidRPr="00335934">
        <w:t>Tracleer</w:t>
      </w:r>
      <w:r w:rsidRPr="00335934">
        <w:t xml:space="preserve"> bosentan (as monohydrate) 62.5 mg and 125 mg film coated tablets</w:t>
      </w:r>
      <w:r w:rsidR="00335934" w:rsidRPr="00335934">
        <w:t>.</w:t>
      </w:r>
    </w:p>
    <w:p w14:paraId="09107CF5" w14:textId="77777777" w:rsidR="008E7846" w:rsidRDefault="008E7846" w:rsidP="0049311C">
      <w:pPr>
        <w:pStyle w:val="Heading3"/>
      </w:pPr>
      <w:bookmarkStart w:id="30" w:name="_Toc247691508"/>
      <w:bookmarkStart w:id="31" w:name="_Toc314842490"/>
      <w:bookmarkStart w:id="32" w:name="_Toc519764279"/>
      <w:r w:rsidRPr="008751DC">
        <w:t xml:space="preserve">Drug </w:t>
      </w:r>
      <w:r>
        <w:t>p</w:t>
      </w:r>
      <w:r w:rsidRPr="008751DC">
        <w:t>roduct</w:t>
      </w:r>
      <w:bookmarkEnd w:id="30"/>
      <w:bookmarkEnd w:id="31"/>
      <w:bookmarkEnd w:id="32"/>
    </w:p>
    <w:p w14:paraId="589668B1" w14:textId="77777777" w:rsidR="0049311C" w:rsidRPr="00F57E6E" w:rsidRDefault="0049311C" w:rsidP="0049311C">
      <w:pPr>
        <w:rPr>
          <w:highlight w:val="yellow"/>
          <w:lang w:eastAsia="en-AU"/>
        </w:rPr>
      </w:pPr>
      <w:r w:rsidRPr="0007162A">
        <w:t>The proposed product contains 33.045 mg bosentan monohydrate (equivalent to 32 mg bosentan) and is a pale yellow</w:t>
      </w:r>
      <w:r w:rsidRPr="00F57E6E">
        <w:t xml:space="preserve"> to off-white clover shaped tablet, quadrisected on one side and debossed with </w:t>
      </w:r>
      <w:r w:rsidR="006231FF">
        <w:t>‘</w:t>
      </w:r>
      <w:r w:rsidRPr="00F57E6E">
        <w:t>32</w:t>
      </w:r>
      <w:r w:rsidR="006231FF">
        <w:t>’</w:t>
      </w:r>
      <w:r w:rsidRPr="00F57E6E">
        <w:t xml:space="preserve"> on the other side.</w:t>
      </w:r>
    </w:p>
    <w:p w14:paraId="1D3B3627" w14:textId="77777777" w:rsidR="00940A89" w:rsidRDefault="0049311C" w:rsidP="0049311C">
      <w:pPr>
        <w:pStyle w:val="FigureTitle"/>
      </w:pPr>
      <w:r>
        <w:t>Figure 2: Proposed dispersible tablet</w:t>
      </w:r>
    </w:p>
    <w:p w14:paraId="03994692" w14:textId="77777777" w:rsidR="0049311C" w:rsidRDefault="00317C36" w:rsidP="00940A89">
      <w:r>
        <w:rPr>
          <w:noProof/>
          <w:lang w:eastAsia="en-AU"/>
        </w:rPr>
        <w:drawing>
          <wp:inline distT="0" distB="0" distL="0" distR="0" wp14:anchorId="6C906BE6" wp14:editId="7B883A5B">
            <wp:extent cx="5400040" cy="1441197"/>
            <wp:effectExtent l="0" t="0" r="0" b="6985"/>
            <wp:docPr id="6" name="Picture 6" descr="Figure 2: Proposed dispersible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40" cy="1441197"/>
                    </a:xfrm>
                    <a:prstGeom prst="rect">
                      <a:avLst/>
                    </a:prstGeom>
                  </pic:spPr>
                </pic:pic>
              </a:graphicData>
            </a:graphic>
          </wp:inline>
        </w:drawing>
      </w:r>
    </w:p>
    <w:p w14:paraId="2A34FEB2" w14:textId="77777777" w:rsidR="00317C36" w:rsidRPr="0007162A" w:rsidRDefault="00317C36" w:rsidP="00317C36">
      <w:r w:rsidRPr="0007162A">
        <w:t xml:space="preserve">The proposed product is a dispersible tablet intended for paediatric use and is packed in </w:t>
      </w:r>
      <w:proofErr w:type="spellStart"/>
      <w:r w:rsidRPr="0007162A">
        <w:t>alu</w:t>
      </w:r>
      <w:proofErr w:type="spellEnd"/>
      <w:r w:rsidRPr="0007162A">
        <w:t>/</w:t>
      </w:r>
      <w:proofErr w:type="spellStart"/>
      <w:r w:rsidRPr="0007162A">
        <w:t>alu</w:t>
      </w:r>
      <w:proofErr w:type="spellEnd"/>
      <w:r w:rsidRPr="0007162A">
        <w:t xml:space="preserve"> blisters with 14 </w:t>
      </w:r>
      <w:r w:rsidRPr="00493616">
        <w:t xml:space="preserve">tablets per blister strip and a total of 56 tablets per carton. The TGA requested information regarding the quantities of each sub excipient, how each of the sub excipients are controlled, whether they are compliant with any pharmacopoeial standards and if so which ones. The </w:t>
      </w:r>
      <w:r w:rsidR="00335934">
        <w:t>sponsor</w:t>
      </w:r>
      <w:r w:rsidRPr="00493616">
        <w:t xml:space="preserve"> advised this information will be sent directly to the TGA by the supplier </w:t>
      </w:r>
      <w:r w:rsidR="00335934">
        <w:t xml:space="preserve">[information redacted] </w:t>
      </w:r>
      <w:r w:rsidRPr="00493616">
        <w:t xml:space="preserve">but this information has not yet been </w:t>
      </w:r>
      <w:r w:rsidRPr="00493616">
        <w:lastRenderedPageBreak/>
        <w:t>received and without this information it cannot be determined if the flavouring agent is of suitable quality.</w:t>
      </w:r>
      <w:r w:rsidR="00326E00">
        <w:rPr>
          <w:rStyle w:val="FootnoteReference"/>
        </w:rPr>
        <w:footnoteReference w:id="1"/>
      </w:r>
    </w:p>
    <w:p w14:paraId="4E1BBA38" w14:textId="77777777" w:rsidR="00317C36" w:rsidRPr="0007162A" w:rsidRDefault="00317C36" w:rsidP="00317C36">
      <w:pPr>
        <w:rPr>
          <w:lang w:eastAsia="en-AU"/>
        </w:rPr>
      </w:pPr>
      <w:r w:rsidRPr="0007162A">
        <w:rPr>
          <w:lang w:eastAsia="en-AU"/>
        </w:rPr>
        <w:t>The quality of the product is controlled by acceptable specification that includes tests and limits for appearance, colour, average mass (of 10 tablets), friability, uniformity of dosage unit by content uniformity, assay, degradation products, disintegration, fineness of dispersion and microbial contamination. The proposed release and expiry limits have been accepted. The analytical methods used to analyse the product were adequately described and validated.</w:t>
      </w:r>
    </w:p>
    <w:p w14:paraId="18C3E218" w14:textId="2EB30A55" w:rsidR="00317C36" w:rsidRPr="00317C36" w:rsidRDefault="00317C36" w:rsidP="00317C36">
      <w:pPr>
        <w:rPr>
          <w:lang w:eastAsia="en-AU"/>
        </w:rPr>
      </w:pPr>
      <w:r w:rsidRPr="0007162A">
        <w:rPr>
          <w:lang w:eastAsia="en-AU"/>
        </w:rPr>
        <w:t xml:space="preserve">The stability data supplied supported a shelf life of 60 months for the unopened product when it is stored below 25°C and protected from light. An in-use shelf life of 7 days at room temperature has been </w:t>
      </w:r>
      <w:r>
        <w:rPr>
          <w:lang w:eastAsia="en-AU"/>
        </w:rPr>
        <w:t xml:space="preserve">not been </w:t>
      </w:r>
      <w:r w:rsidRPr="0007162A">
        <w:rPr>
          <w:lang w:eastAsia="en-AU"/>
        </w:rPr>
        <w:t>accepted for the remaining portions of a quadrisected tablet</w:t>
      </w:r>
      <w:r>
        <w:rPr>
          <w:lang w:eastAsia="en-AU"/>
        </w:rPr>
        <w:t>. An in use period of 48 hours is acceptable in the interim however,</w:t>
      </w:r>
      <w:r w:rsidRPr="0007162A">
        <w:rPr>
          <w:lang w:eastAsia="en-AU"/>
        </w:rPr>
        <w:t xml:space="preserve"> conting</w:t>
      </w:r>
      <w:r>
        <w:rPr>
          <w:lang w:eastAsia="en-AU"/>
        </w:rPr>
        <w:t xml:space="preserve">ent on the </w:t>
      </w:r>
      <w:r w:rsidR="00335934">
        <w:rPr>
          <w:lang w:eastAsia="en-AU"/>
        </w:rPr>
        <w:t>sponsor</w:t>
      </w:r>
      <w:r>
        <w:rPr>
          <w:lang w:eastAsia="en-AU"/>
        </w:rPr>
        <w:t xml:space="preserve"> conducting the</w:t>
      </w:r>
      <w:r w:rsidRPr="0007162A">
        <w:rPr>
          <w:lang w:eastAsia="en-AU"/>
        </w:rPr>
        <w:t xml:space="preserve"> </w:t>
      </w:r>
      <w:r w:rsidRPr="00493616">
        <w:rPr>
          <w:lang w:eastAsia="en-AU"/>
        </w:rPr>
        <w:t>additional in-use stability study in Q1 2017 committed to in the response to generate data on disintegration time and fineness of dispersion.</w:t>
      </w:r>
    </w:p>
    <w:p w14:paraId="2DC56DD7" w14:textId="77777777" w:rsidR="0049311C" w:rsidRPr="00940A89" w:rsidRDefault="00317C36" w:rsidP="00940A89">
      <w:r w:rsidRPr="00493616">
        <w:t xml:space="preserve">The sponsor was asked to add the warning statement </w:t>
      </w:r>
      <w:r w:rsidR="006231FF">
        <w:t>‘</w:t>
      </w:r>
      <w:r w:rsidRPr="00493616">
        <w:t>Warning: causes birth defects</w:t>
      </w:r>
      <w:r w:rsidR="006231FF">
        <w:t>’</w:t>
      </w:r>
      <w:r w:rsidRPr="00493616">
        <w:t xml:space="preserve"> to the proposed labelling. The </w:t>
      </w:r>
      <w:r w:rsidR="00335934">
        <w:t>sponsor</w:t>
      </w:r>
      <w:r w:rsidRPr="00493616">
        <w:t xml:space="preserve"> has updated the carton (as well as the patient card </w:t>
      </w:r>
      <w:r w:rsidR="00D17D39">
        <w:t>Risk management plan</w:t>
      </w:r>
      <w:r w:rsidR="00D17D39" w:rsidRPr="00493616">
        <w:t xml:space="preserve"> </w:t>
      </w:r>
      <w:r w:rsidR="00D17D39">
        <w:t>(</w:t>
      </w:r>
      <w:r w:rsidRPr="00493616">
        <w:t>RMP</w:t>
      </w:r>
      <w:r w:rsidR="00D17D39">
        <w:t>)</w:t>
      </w:r>
      <w:r w:rsidRPr="00493616">
        <w:t xml:space="preserve"> </w:t>
      </w:r>
      <w:r w:rsidR="00B4142C">
        <w:t>Australian Specific Annexe</w:t>
      </w:r>
      <w:r w:rsidR="00B4142C" w:rsidRPr="00493616">
        <w:t xml:space="preserve"> </w:t>
      </w:r>
      <w:r w:rsidR="00B4142C">
        <w:t>(</w:t>
      </w:r>
      <w:r w:rsidRPr="00493616">
        <w:t>ASA</w:t>
      </w:r>
      <w:r w:rsidR="00B4142C">
        <w:t>)</w:t>
      </w:r>
      <w:r w:rsidRPr="00493616">
        <w:t xml:space="preserve">) to include the warning statement </w:t>
      </w:r>
      <w:r w:rsidR="006231FF">
        <w:t>‘</w:t>
      </w:r>
      <w:r w:rsidRPr="00493616">
        <w:t xml:space="preserve">Warning: </w:t>
      </w:r>
      <w:r w:rsidR="00335934">
        <w:t>Tracleer</w:t>
      </w:r>
      <w:r w:rsidRPr="00493616">
        <w:t xml:space="preserve"> may cause birth defects</w:t>
      </w:r>
      <w:r w:rsidR="006231FF">
        <w:t>’</w:t>
      </w:r>
      <w:r w:rsidRPr="00493616">
        <w:t>.</w:t>
      </w:r>
      <w:r w:rsidR="00335934">
        <w:t xml:space="preserve"> </w:t>
      </w:r>
      <w:r w:rsidRPr="00493616">
        <w:t xml:space="preserve">The warning statement proposed by the </w:t>
      </w:r>
      <w:r w:rsidR="00335934">
        <w:t>sponsor</w:t>
      </w:r>
      <w:r w:rsidRPr="00493616">
        <w:t xml:space="preserve"> could be viewed as being weaker than that specified in </w:t>
      </w:r>
      <w:r w:rsidRPr="00493616">
        <w:rPr>
          <w:i/>
        </w:rPr>
        <w:t>Standard for the Uniform Scheduling of Medicines and Poisons</w:t>
      </w:r>
      <w:r w:rsidRPr="00493616">
        <w:t xml:space="preserve"> (warning statement 7) because of the use of the word </w:t>
      </w:r>
      <w:r w:rsidR="006231FF">
        <w:t>‘</w:t>
      </w:r>
      <w:r w:rsidRPr="00493616">
        <w:t>may</w:t>
      </w:r>
      <w:r w:rsidR="006231FF">
        <w:t>’</w:t>
      </w:r>
      <w:r w:rsidRPr="00493616">
        <w:t>.</w:t>
      </w:r>
      <w:r w:rsidR="00335934">
        <w:t xml:space="preserve"> </w:t>
      </w:r>
      <w:r w:rsidRPr="00493616">
        <w:t xml:space="preserve">Clinical advice was therefore sought and based on this </w:t>
      </w:r>
      <w:r w:rsidR="00335934" w:rsidRPr="00493616">
        <w:t>advice;</w:t>
      </w:r>
      <w:r w:rsidRPr="00493616">
        <w:t xml:space="preserve"> the warning statement proposed is not accepted. If the warning statement was amended to read </w:t>
      </w:r>
      <w:r w:rsidR="006231FF">
        <w:t>‘</w:t>
      </w:r>
      <w:r w:rsidRPr="00493616">
        <w:t>Warning: causes birth defect</w:t>
      </w:r>
      <w:r w:rsidR="006231FF">
        <w:t>’</w:t>
      </w:r>
      <w:r w:rsidRPr="00493616">
        <w:t xml:space="preserve"> the labelling could be approved.</w:t>
      </w:r>
    </w:p>
    <w:p w14:paraId="0A1390A6" w14:textId="77777777" w:rsidR="008E7846" w:rsidRDefault="008E7846" w:rsidP="008E7846">
      <w:pPr>
        <w:pStyle w:val="Heading3"/>
      </w:pPr>
      <w:bookmarkStart w:id="33" w:name="_Toc314842491"/>
      <w:bookmarkStart w:id="34" w:name="_Toc519764280"/>
      <w:r>
        <w:t>Biopharmaceutics</w:t>
      </w:r>
      <w:bookmarkEnd w:id="33"/>
      <w:bookmarkEnd w:id="34"/>
    </w:p>
    <w:p w14:paraId="2BA0E4FB" w14:textId="77777777" w:rsidR="00335934" w:rsidRPr="00335934" w:rsidRDefault="00317C36" w:rsidP="00335934">
      <w:r w:rsidRPr="00335934">
        <w:t xml:space="preserve">The </w:t>
      </w:r>
      <w:r w:rsidR="00335934" w:rsidRPr="00335934">
        <w:t>sponsor</w:t>
      </w:r>
      <w:r w:rsidRPr="00335934">
        <w:t xml:space="preserve"> has conducted the relative bioavailability study (</w:t>
      </w:r>
      <w:r w:rsidR="00197761">
        <w:t xml:space="preserve">Study </w:t>
      </w:r>
      <w:r w:rsidRPr="00335934">
        <w:t xml:space="preserve">AC-052-116). The study was a single centre, open label, two </w:t>
      </w:r>
      <w:proofErr w:type="gramStart"/>
      <w:r w:rsidRPr="00335934">
        <w:t>period</w:t>
      </w:r>
      <w:proofErr w:type="gramEnd"/>
      <w:r w:rsidRPr="00335934">
        <w:t>, two treatment, ra</w:t>
      </w:r>
      <w:r w:rsidR="00335934">
        <w:t>ndomised, crossover study in 16 </w:t>
      </w:r>
      <w:r w:rsidRPr="00335934">
        <w:t>healthy adult (18 to 45 years) male subjects. The study compared the relative bioavailability of a single dose of the registered 62.5 mg film coated tablet (Period A) with a single oral dose of 64 mg of bosentan administered as two of the proposed 32 mg dispersible tablets (Period B)</w:t>
      </w:r>
      <w:r w:rsidR="00335934" w:rsidRPr="00335934">
        <w:t>.</w:t>
      </w:r>
    </w:p>
    <w:p w14:paraId="567D3F42" w14:textId="0F08B861" w:rsidR="00335934" w:rsidRDefault="00317C36" w:rsidP="00317C36">
      <w:r w:rsidRPr="0007162A">
        <w:t>The effect of formulation</w:t>
      </w:r>
      <w:r>
        <w:t xml:space="preserve"> (dispersible tablet versus film coated tablet)</w:t>
      </w:r>
      <w:r w:rsidRPr="0007162A">
        <w:t xml:space="preserve"> was assessed statistically using the pharmacokinetic parameters </w:t>
      </w:r>
      <w:r w:rsidR="00B4142C">
        <w:t>maximum observed concentration</w:t>
      </w:r>
      <w:r w:rsidR="00B4142C" w:rsidRPr="0007162A">
        <w:t xml:space="preserve"> </w:t>
      </w:r>
      <w:r w:rsidR="00B4142C">
        <w:t>(</w:t>
      </w:r>
      <w:r w:rsidRPr="0007162A">
        <w:t>C</w:t>
      </w:r>
      <w:r w:rsidRPr="0007162A">
        <w:rPr>
          <w:vertAlign w:val="subscript"/>
        </w:rPr>
        <w:t>max</w:t>
      </w:r>
      <w:r w:rsidR="00B4142C">
        <w:t>)</w:t>
      </w:r>
      <w:r w:rsidRPr="0007162A">
        <w:t>, AUC</w:t>
      </w:r>
      <w:r w:rsidRPr="0007162A">
        <w:rPr>
          <w:vertAlign w:val="subscript"/>
        </w:rPr>
        <w:t>0-t</w:t>
      </w:r>
      <w:r w:rsidRPr="0007162A">
        <w:t xml:space="preserve"> and AUC</w:t>
      </w:r>
      <w:r w:rsidRPr="0007162A">
        <w:rPr>
          <w:vertAlign w:val="subscript"/>
        </w:rPr>
        <w:t xml:space="preserve">0-∞ </w:t>
      </w:r>
      <w:r w:rsidRPr="0007162A">
        <w:t>measured for bosentan and the primary active metabolite Ro</w:t>
      </w:r>
      <w:r w:rsidR="00C74678">
        <w:noBreakHyphen/>
      </w:r>
      <w:r w:rsidRPr="0007162A">
        <w:t>48</w:t>
      </w:r>
      <w:r w:rsidR="00C74678">
        <w:noBreakHyphen/>
      </w:r>
      <w:r w:rsidRPr="0007162A">
        <w:t>5033. Prior to this analysis, the C</w:t>
      </w:r>
      <w:r w:rsidRPr="0007162A">
        <w:rPr>
          <w:vertAlign w:val="subscript"/>
        </w:rPr>
        <w:t>max</w:t>
      </w:r>
      <w:r w:rsidR="00335934">
        <w:t xml:space="preserve"> and </w:t>
      </w:r>
      <w:r w:rsidR="00B4142C">
        <w:t>area under the curve (</w:t>
      </w:r>
      <w:r w:rsidR="00335934">
        <w:t>AUC</w:t>
      </w:r>
      <w:r w:rsidR="00B4142C">
        <w:t>)</w:t>
      </w:r>
      <w:r w:rsidR="00335934">
        <w:t xml:space="preserve"> values were dose </w:t>
      </w:r>
      <w:r w:rsidRPr="0007162A">
        <w:t>normalised. For these parameters, the 90% confidence intervals for the ratios of the dispersible tablet and the film coated tablet should be within 0.8 to 1.25</w:t>
      </w:r>
      <w:r w:rsidR="00335934">
        <w:t>.</w:t>
      </w:r>
      <w:r w:rsidR="00335934">
        <w:rPr>
          <w:rStyle w:val="FootnoteReference"/>
        </w:rPr>
        <w:footnoteReference w:id="2"/>
      </w:r>
      <w:r w:rsidRPr="0007162A">
        <w:t xml:space="preserve"> The results are </w:t>
      </w:r>
      <w:r w:rsidRPr="00FE6C13">
        <w:t xml:space="preserve">displayed in </w:t>
      </w:r>
      <w:r w:rsidR="00FE6C13" w:rsidRPr="00FE6C13">
        <w:t>Tables 2 and 3</w:t>
      </w:r>
      <w:r w:rsidRPr="00FE6C13">
        <w:t>. The 90%</w:t>
      </w:r>
      <w:r w:rsidRPr="0007162A">
        <w:t xml:space="preserve"> confidence intervals of the geometric mean ratios fell outside the 0.80 to 1.25 equivalence range</w:t>
      </w:r>
      <w:r>
        <w:t xml:space="preserve"> for the majority of pharmacokinetic parameters considered</w:t>
      </w:r>
      <w:r w:rsidR="00335934">
        <w:t>.</w:t>
      </w:r>
    </w:p>
    <w:p w14:paraId="1DF0AB28" w14:textId="77777777" w:rsidR="00317C36" w:rsidRPr="00476400" w:rsidRDefault="00317C36" w:rsidP="00317C36">
      <w:r w:rsidRPr="00476400">
        <w:t>The proposed dispersible tablet was less bioavailable than, and not bioequivalent to, the registered tablet. This was brought to the attention of the Delegate.</w:t>
      </w:r>
    </w:p>
    <w:p w14:paraId="34E2F1C0" w14:textId="77777777" w:rsidR="00317C36" w:rsidRPr="007B45F0" w:rsidRDefault="00FE6C13" w:rsidP="00317C36">
      <w:pPr>
        <w:pStyle w:val="TableTitle"/>
      </w:pPr>
      <w:r w:rsidRPr="00FE6C13">
        <w:lastRenderedPageBreak/>
        <w:t>Table 2</w:t>
      </w:r>
      <w:r w:rsidR="00317C36" w:rsidRPr="00FE6C13">
        <w:t>:</w:t>
      </w:r>
      <w:r w:rsidR="00335934" w:rsidRPr="00FE6C13">
        <w:t xml:space="preserve"> </w:t>
      </w:r>
      <w:r w:rsidR="00317C36" w:rsidRPr="00FE6C13">
        <w:t>Effect of the formulation on bosentan pharmacokinetics: Paediatric</w:t>
      </w:r>
      <w:r w:rsidR="00317C36" w:rsidRPr="00476400">
        <w:t xml:space="preserve"> </w:t>
      </w:r>
      <w:r w:rsidR="00317C36" w:rsidRPr="007B45F0">
        <w:t xml:space="preserve">(proposed dispersible tablet) </w:t>
      </w:r>
      <w:r w:rsidR="006231FF">
        <w:t>versus</w:t>
      </w:r>
      <w:r w:rsidR="00317C36" w:rsidRPr="007B45F0">
        <w:t xml:space="preserve"> adult formulation (registered film-coated tablet)</w:t>
      </w:r>
    </w:p>
    <w:p w14:paraId="016132E3" w14:textId="77777777" w:rsidR="00317C36" w:rsidRDefault="00317C36" w:rsidP="00317C36">
      <w:r>
        <w:rPr>
          <w:noProof/>
          <w:lang w:eastAsia="en-AU"/>
        </w:rPr>
        <w:drawing>
          <wp:inline distT="0" distB="0" distL="0" distR="0" wp14:anchorId="3433B32A" wp14:editId="3E6D20B5">
            <wp:extent cx="4591050" cy="1381125"/>
            <wp:effectExtent l="0" t="0" r="0" b="9525"/>
            <wp:docPr id="7" name="Picture 7" descr="Table 2: Effect of the formulation on bosentan pharmacokinetics: Paediatric (proposed dispersible tablet) versus adult formulation (registered film-coated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91050" cy="1381125"/>
                    </a:xfrm>
                    <a:prstGeom prst="rect">
                      <a:avLst/>
                    </a:prstGeom>
                  </pic:spPr>
                </pic:pic>
              </a:graphicData>
            </a:graphic>
          </wp:inline>
        </w:drawing>
      </w:r>
    </w:p>
    <w:p w14:paraId="08E9E3AB" w14:textId="77777777" w:rsidR="00317C36" w:rsidRPr="007B45F0" w:rsidRDefault="00FE6C13" w:rsidP="00317C36">
      <w:pPr>
        <w:pStyle w:val="TableTitle"/>
      </w:pPr>
      <w:r w:rsidRPr="00FE6C13">
        <w:t>Table 3</w:t>
      </w:r>
      <w:r w:rsidR="00317C36" w:rsidRPr="00FE6C13">
        <w:t>: Effect</w:t>
      </w:r>
      <w:r w:rsidR="00317C36" w:rsidRPr="007B45F0">
        <w:t xml:space="preserve"> of the formulation on Ro-48-5033 pharmacokinetics: Paediatric (proposed dispersible tablet) </w:t>
      </w:r>
      <w:r w:rsidR="006231FF">
        <w:t>versus</w:t>
      </w:r>
      <w:r w:rsidR="00317C36" w:rsidRPr="007B45F0">
        <w:t xml:space="preserve"> adult formulation (registered film-coated tablet)</w:t>
      </w:r>
    </w:p>
    <w:p w14:paraId="0FCFC941" w14:textId="77777777" w:rsidR="00317C36" w:rsidRDefault="00317C36" w:rsidP="00317C36">
      <w:r>
        <w:rPr>
          <w:noProof/>
          <w:lang w:eastAsia="en-AU"/>
        </w:rPr>
        <w:drawing>
          <wp:inline distT="0" distB="0" distL="0" distR="0" wp14:anchorId="7B8CA068" wp14:editId="5CF2C21F">
            <wp:extent cx="4562475" cy="1352550"/>
            <wp:effectExtent l="0" t="0" r="9525" b="0"/>
            <wp:docPr id="8" name="Picture 8" descr="Table 3: Effect of the formulation on Ro-48-5033 pharmacokinetics: Paediatric (proposed dispersible tablet) versus adult formulation (registered film-coated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62475" cy="1352550"/>
                    </a:xfrm>
                    <a:prstGeom prst="rect">
                      <a:avLst/>
                    </a:prstGeom>
                  </pic:spPr>
                </pic:pic>
              </a:graphicData>
            </a:graphic>
          </wp:inline>
        </w:drawing>
      </w:r>
    </w:p>
    <w:p w14:paraId="31686F16" w14:textId="5FFA2B06" w:rsidR="00335934" w:rsidRDefault="00317C36" w:rsidP="00317C36">
      <w:r w:rsidRPr="0007162A">
        <w:t xml:space="preserve">The </w:t>
      </w:r>
      <w:r w:rsidR="00335934">
        <w:t>sponsor</w:t>
      </w:r>
      <w:r w:rsidRPr="0007162A">
        <w:t xml:space="preserve"> has argued</w:t>
      </w:r>
      <w:r w:rsidR="00C74678">
        <w:t xml:space="preserve"> that:</w:t>
      </w:r>
    </w:p>
    <w:p w14:paraId="0E7A5E1F" w14:textId="560F90B9" w:rsidR="00335934" w:rsidRDefault="00317C36" w:rsidP="00335934">
      <w:pPr>
        <w:pStyle w:val="Numberbullet0"/>
      </w:pPr>
      <w:r>
        <w:t xml:space="preserve">although systemic exposure was lower in subjects treated with the dispersible tablet, there is high inter-subject variability in exposure to bosentan and the active metabolite Ro 48-5033 without any commensurate </w:t>
      </w:r>
      <w:r w:rsidR="00335934">
        <w:t>variation in efficacy (</w:t>
      </w:r>
      <w:r w:rsidR="00FD708D">
        <w:t>Study</w:t>
      </w:r>
      <w:r w:rsidR="00C74678">
        <w:t> </w:t>
      </w:r>
      <w:r w:rsidR="00335934">
        <w:t>AC</w:t>
      </w:r>
      <w:r w:rsidR="00335934">
        <w:noBreakHyphen/>
      </w:r>
      <w:r>
        <w:t>052-365)</w:t>
      </w:r>
      <w:r w:rsidR="00C74678">
        <w:t>;</w:t>
      </w:r>
      <w:r>
        <w:t xml:space="preserve"> and</w:t>
      </w:r>
    </w:p>
    <w:p w14:paraId="07799329" w14:textId="00BE1729" w:rsidR="00335934" w:rsidRDefault="00317C36" w:rsidP="00335934">
      <w:pPr>
        <w:pStyle w:val="Numberbullet0"/>
      </w:pPr>
      <w:proofErr w:type="gramStart"/>
      <w:r>
        <w:t>administration</w:t>
      </w:r>
      <w:proofErr w:type="gramEnd"/>
      <w:r>
        <w:t xml:space="preserve"> of bosentan at 2 mg/kg </w:t>
      </w:r>
      <w:r w:rsidR="00B4142C">
        <w:t>twice daily (</w:t>
      </w:r>
      <w:r w:rsidR="00A27757">
        <w:t>BD</w:t>
      </w:r>
      <w:r w:rsidR="00B4142C">
        <w:t>)</w:t>
      </w:r>
      <w:r w:rsidR="00A27757">
        <w:t xml:space="preserve"> </w:t>
      </w:r>
      <w:r>
        <w:t>either in the paediatric dispersible tablet (AC-052-365 FUTURE-1) or in the adult film coated tablet form (AC</w:t>
      </w:r>
      <w:r w:rsidR="00113639">
        <w:noBreakHyphen/>
      </w:r>
      <w:r>
        <w:t xml:space="preserve">052-356, BREATHE-3) to </w:t>
      </w:r>
      <w:r w:rsidRPr="00FE6C13">
        <w:t>paediatric PAH patients</w:t>
      </w:r>
      <w:r>
        <w:t xml:space="preserve"> resulted in comparable plasma concentrations</w:t>
      </w:r>
      <w:r w:rsidR="00335934">
        <w:t>.</w:t>
      </w:r>
    </w:p>
    <w:p w14:paraId="5E0F3717" w14:textId="77777777" w:rsidR="008E7846" w:rsidRPr="008751DC" w:rsidRDefault="008E7846" w:rsidP="008E7846">
      <w:pPr>
        <w:pStyle w:val="Heading3"/>
      </w:pPr>
      <w:bookmarkStart w:id="35" w:name="_Toc247691509"/>
      <w:bookmarkStart w:id="36" w:name="_Toc314842493"/>
      <w:bookmarkStart w:id="37" w:name="_Toc519764281"/>
      <w:r>
        <w:t>Quality s</w:t>
      </w:r>
      <w:r w:rsidRPr="008751DC">
        <w:t>ummary</w:t>
      </w:r>
      <w:r>
        <w:t xml:space="preserve"> and conclusions</w:t>
      </w:r>
      <w:bookmarkEnd w:id="35"/>
      <w:bookmarkEnd w:id="36"/>
      <w:bookmarkEnd w:id="37"/>
    </w:p>
    <w:p w14:paraId="08C14F7A" w14:textId="178B3A0B" w:rsidR="00317C36" w:rsidRPr="00476400" w:rsidRDefault="00317C36" w:rsidP="00317C36">
      <w:r w:rsidRPr="00476400">
        <w:t xml:space="preserve">Approval cannot be recommended at </w:t>
      </w:r>
      <w:r>
        <w:t>t</w:t>
      </w:r>
      <w:r w:rsidRPr="00476400">
        <w:t xml:space="preserve">his stage </w:t>
      </w:r>
      <w:r>
        <w:t>based on the following reasons</w:t>
      </w:r>
      <w:r w:rsidR="00113639">
        <w:t>:</w:t>
      </w:r>
    </w:p>
    <w:p w14:paraId="7B12BC81" w14:textId="77777777" w:rsidR="008E7846" w:rsidRDefault="00317C36" w:rsidP="00335934">
      <w:pPr>
        <w:pStyle w:val="Numberbullet0"/>
        <w:numPr>
          <w:ilvl w:val="0"/>
          <w:numId w:val="46"/>
        </w:numPr>
      </w:pPr>
      <w:r w:rsidRPr="00476400">
        <w:t>The Delegate has stated that the war</w:t>
      </w:r>
      <w:r>
        <w:t>n</w:t>
      </w:r>
      <w:r w:rsidRPr="00476400">
        <w:t xml:space="preserve">ing on the carton label should be strengthened from </w:t>
      </w:r>
      <w:r w:rsidR="006231FF">
        <w:t>‘</w:t>
      </w:r>
      <w:r w:rsidRPr="00476400">
        <w:t xml:space="preserve">Warning: </w:t>
      </w:r>
      <w:r w:rsidR="00335934">
        <w:t>Tracleer</w:t>
      </w:r>
      <w:r w:rsidRPr="00476400">
        <w:t xml:space="preserve"> may cause birth defects</w:t>
      </w:r>
      <w:r w:rsidR="006231FF">
        <w:t>’</w:t>
      </w:r>
      <w:r w:rsidRPr="00476400">
        <w:t xml:space="preserve"> to </w:t>
      </w:r>
      <w:r w:rsidR="006231FF">
        <w:t>‘</w:t>
      </w:r>
      <w:r w:rsidRPr="00476400">
        <w:t>Warning: causes birth defects</w:t>
      </w:r>
      <w:r w:rsidR="006231FF">
        <w:t>’</w:t>
      </w:r>
      <w:r w:rsidRPr="00476400">
        <w:t xml:space="preserve">. This issue has been raised with the </w:t>
      </w:r>
      <w:r w:rsidR="00335934">
        <w:t>sponsor</w:t>
      </w:r>
      <w:r w:rsidRPr="00476400">
        <w:t>.</w:t>
      </w:r>
      <w:r>
        <w:t xml:space="preserve"> (The sponsor has stated an intention to address this in their pre-ACM response).</w:t>
      </w:r>
    </w:p>
    <w:p w14:paraId="18D6A21E" w14:textId="77777777" w:rsidR="00965CF8" w:rsidRDefault="00965CF8" w:rsidP="00335934">
      <w:pPr>
        <w:pStyle w:val="Numberbullet0"/>
        <w:numPr>
          <w:ilvl w:val="0"/>
          <w:numId w:val="46"/>
        </w:numPr>
      </w:pPr>
      <w:r>
        <w:t xml:space="preserve">Further information is required to ensure the safe use of remaining portions of a divided tablet. </w:t>
      </w:r>
      <w:r w:rsidRPr="00476400">
        <w:t>The in-use shelf life needs to be amended</w:t>
      </w:r>
      <w:r>
        <w:t xml:space="preserve"> from 7 days to 48 hours as an interim measure, contingent on t</w:t>
      </w:r>
      <w:r w:rsidRPr="00476400">
        <w:t xml:space="preserve">he </w:t>
      </w:r>
      <w:r w:rsidR="00335934">
        <w:t>sponsor</w:t>
      </w:r>
      <w:r w:rsidRPr="00476400">
        <w:t>’s commitment to</w:t>
      </w:r>
      <w:r>
        <w:t xml:space="preserve"> perform an </w:t>
      </w:r>
      <w:r w:rsidRPr="00476400">
        <w:t>in use stability study to generate</w:t>
      </w:r>
      <w:r>
        <w:t xml:space="preserve"> the additional</w:t>
      </w:r>
      <w:r w:rsidRPr="00476400">
        <w:t xml:space="preserve"> disintegration and fineness of dispersion data</w:t>
      </w:r>
      <w:r>
        <w:t xml:space="preserve"> requested in Q1 2017</w:t>
      </w:r>
      <w:r w:rsidRPr="00476400">
        <w:t xml:space="preserve">. </w:t>
      </w:r>
      <w:r>
        <w:t>This has been raised</w:t>
      </w:r>
      <w:r w:rsidRPr="00476400">
        <w:t xml:space="preserve"> with the </w:t>
      </w:r>
      <w:r w:rsidR="00335934">
        <w:t>sponsor</w:t>
      </w:r>
      <w:r w:rsidRPr="00476400">
        <w:t>.</w:t>
      </w:r>
      <w:r>
        <w:t xml:space="preserve"> (The sponsor has stated an intention to address this in their pre-ACM response).</w:t>
      </w:r>
    </w:p>
    <w:p w14:paraId="7D16191C" w14:textId="77777777" w:rsidR="00335934" w:rsidRDefault="00965CF8" w:rsidP="00965CF8">
      <w:r w:rsidRPr="00476400">
        <w:t>With respect to bioavailability, the proposed dispersible tablet cannot be considered bioequivalent to the registered film-coated tablets.</w:t>
      </w:r>
      <w:r w:rsidR="00335934">
        <w:t xml:space="preserve"> </w:t>
      </w:r>
      <w:r w:rsidRPr="00476400">
        <w:t>This was brought to the attention of the Delegate</w:t>
      </w:r>
      <w:r w:rsidR="00335934">
        <w:t>.</w:t>
      </w:r>
    </w:p>
    <w:p w14:paraId="53CE3A90" w14:textId="77777777" w:rsidR="008E7846" w:rsidRDefault="00087DB5" w:rsidP="008E7846">
      <w:pPr>
        <w:pStyle w:val="Heading2"/>
      </w:pPr>
      <w:bookmarkStart w:id="38" w:name="_Toc196046439"/>
      <w:bookmarkStart w:id="39" w:name="_Toc247691510"/>
      <w:bookmarkStart w:id="40" w:name="_Toc314842494"/>
      <w:bookmarkStart w:id="41" w:name="_Toc519764282"/>
      <w:r>
        <w:lastRenderedPageBreak/>
        <w:t>IV</w:t>
      </w:r>
      <w:r w:rsidR="008E7846">
        <w:t>. Nonclinical</w:t>
      </w:r>
      <w:bookmarkEnd w:id="38"/>
      <w:r w:rsidR="008E7846">
        <w:t xml:space="preserve"> findings</w:t>
      </w:r>
      <w:bookmarkEnd w:id="39"/>
      <w:bookmarkEnd w:id="40"/>
      <w:bookmarkEnd w:id="41"/>
    </w:p>
    <w:p w14:paraId="29A975AA" w14:textId="77777777" w:rsidR="008E7846" w:rsidRPr="00335934" w:rsidRDefault="008E7846" w:rsidP="00335934">
      <w:pPr>
        <w:pStyle w:val="Heading3"/>
      </w:pPr>
      <w:bookmarkStart w:id="42" w:name="_Toc247691511"/>
      <w:bookmarkStart w:id="43" w:name="_Toc314842495"/>
      <w:bookmarkStart w:id="44" w:name="_Toc519764283"/>
      <w:r w:rsidRPr="00335934">
        <w:t>Introduction</w:t>
      </w:r>
      <w:bookmarkEnd w:id="42"/>
      <w:bookmarkEnd w:id="43"/>
      <w:bookmarkEnd w:id="44"/>
    </w:p>
    <w:p w14:paraId="6513BBF2" w14:textId="0978D6B3" w:rsidR="004334C7" w:rsidRPr="004334C7" w:rsidRDefault="00113639" w:rsidP="00335934">
      <w:r>
        <w:t>The sponsor</w:t>
      </w:r>
      <w:r w:rsidR="00A30720" w:rsidRPr="00A30720">
        <w:t xml:space="preserve"> has applied to include a new oral solid dosage form and strength of </w:t>
      </w:r>
      <w:r w:rsidR="00335934">
        <w:t>Tracleer</w:t>
      </w:r>
      <w:r w:rsidR="00A30720" w:rsidRPr="00A30720">
        <w:t xml:space="preserve"> (bosentan) suitable for administration to the paediatric population. </w:t>
      </w:r>
      <w:r w:rsidR="00335934">
        <w:t>Tracleer</w:t>
      </w:r>
      <w:r w:rsidR="00A30720" w:rsidRPr="00A30720">
        <w:t xml:space="preserve"> is currently approved for clinical use in adults for the treatment of primary pulmonary hypertension or pulmonary hypertension secondary to scleroderma, in patients meeting WHO criteria for inclusion in functional </w:t>
      </w:r>
      <w:r w:rsidR="007C535F">
        <w:t>Class</w:t>
      </w:r>
      <w:r w:rsidR="00A30720" w:rsidRPr="00A30720">
        <w:t xml:space="preserve"> III</w:t>
      </w:r>
      <w:r>
        <w:t xml:space="preserve"> to </w:t>
      </w:r>
      <w:r w:rsidR="00A30720" w:rsidRPr="00A30720">
        <w:t>IV hypertension, at a dose up to 125 mg twice daily. The paediatric formulation is a dispersible tablet containing 32 mg of bosentan. In support of the proposed change, the sponsor submitted two nonclinical studies investigating the toxicity of bosentan in juvenile rats.</w:t>
      </w:r>
    </w:p>
    <w:p w14:paraId="411E0DCD" w14:textId="77777777" w:rsidR="008E7846" w:rsidRPr="00335934" w:rsidRDefault="00A30720" w:rsidP="00335934">
      <w:pPr>
        <w:pStyle w:val="Heading3"/>
      </w:pPr>
      <w:bookmarkStart w:id="45" w:name="_Toc247691512"/>
      <w:bookmarkStart w:id="46" w:name="_Toc314842496"/>
      <w:bookmarkStart w:id="47" w:name="_Toc519764284"/>
      <w:r w:rsidRPr="00335934">
        <w:t>Assessme</w:t>
      </w:r>
      <w:bookmarkEnd w:id="45"/>
      <w:bookmarkEnd w:id="46"/>
      <w:r w:rsidRPr="00335934">
        <w:t>nt</w:t>
      </w:r>
      <w:bookmarkEnd w:id="47"/>
    </w:p>
    <w:p w14:paraId="390457FA" w14:textId="77777777" w:rsidR="00A30720" w:rsidRPr="00335934" w:rsidRDefault="00A30720" w:rsidP="00335934">
      <w:pPr>
        <w:pStyle w:val="Heading4"/>
      </w:pPr>
      <w:bookmarkStart w:id="48" w:name="_Toc247691513"/>
      <w:bookmarkStart w:id="49" w:name="_Toc314842497"/>
      <w:r w:rsidRPr="00335934">
        <w:t>Toxicology in neonatal/juvenile animals</w:t>
      </w:r>
    </w:p>
    <w:p w14:paraId="76AFD7E0" w14:textId="77777777" w:rsidR="00A30720" w:rsidRDefault="00A30720" w:rsidP="00335934">
      <w:r>
        <w:t>D</w:t>
      </w:r>
      <w:r w:rsidRPr="000756B7">
        <w:t>ose levels of 15</w:t>
      </w:r>
      <w:r>
        <w:t xml:space="preserve"> </w:t>
      </w:r>
      <w:r w:rsidR="00B4142C">
        <w:rPr>
          <w:lang w:eastAsia="ja-JP"/>
        </w:rPr>
        <w:t xml:space="preserve">low </w:t>
      </w:r>
      <w:r w:rsidR="00B4142C" w:rsidRPr="00B4142C">
        <w:rPr>
          <w:lang w:eastAsia="ja-JP"/>
        </w:rPr>
        <w:t>dose</w:t>
      </w:r>
      <w:r w:rsidR="00B4142C" w:rsidRPr="00B4142C">
        <w:t xml:space="preserve"> </w:t>
      </w:r>
      <w:r w:rsidRPr="00B4142C">
        <w:t>(LD</w:t>
      </w:r>
      <w:r>
        <w:t xml:space="preserve">), 45 </w:t>
      </w:r>
      <w:r w:rsidR="00B4142C">
        <w:t xml:space="preserve">medium </w:t>
      </w:r>
      <w:r w:rsidR="00B4142C" w:rsidRPr="00B4142C">
        <w:t xml:space="preserve">dose </w:t>
      </w:r>
      <w:r w:rsidRPr="00B4142C">
        <w:t>(MD)</w:t>
      </w:r>
      <w:r w:rsidR="00B4142C">
        <w:t xml:space="preserve"> </w:t>
      </w:r>
      <w:r>
        <w:t>and 1</w:t>
      </w:r>
      <w:r w:rsidRPr="000756B7">
        <w:t xml:space="preserve">35 mg/kg/day </w:t>
      </w:r>
      <w:r>
        <w:t xml:space="preserve">bosentan </w:t>
      </w:r>
      <w:r w:rsidR="00B4142C">
        <w:t xml:space="preserve">high </w:t>
      </w:r>
      <w:r w:rsidR="00B4142C" w:rsidRPr="00B4142C">
        <w:t xml:space="preserve">dose </w:t>
      </w:r>
      <w:r w:rsidRPr="00B4142C">
        <w:t>(HD)</w:t>
      </w:r>
      <w:r>
        <w:t xml:space="preserve"> </w:t>
      </w:r>
      <w:r w:rsidRPr="000756B7">
        <w:t xml:space="preserve">were </w:t>
      </w:r>
      <w:r>
        <w:t xml:space="preserve">used in a pivotal </w:t>
      </w:r>
      <w:r w:rsidRPr="000756B7">
        <w:t xml:space="preserve">toxicity study </w:t>
      </w:r>
      <w:r>
        <w:t xml:space="preserve">on </w:t>
      </w:r>
      <w:r w:rsidRPr="000756B7">
        <w:t xml:space="preserve">neonatal/juvenile Han Wistar rats </w:t>
      </w:r>
      <w:r>
        <w:t>based on a previous dose ranging study (60, 300 and 1500 mg/kg) that had shown mean body weight reductions of 13 to 43% in males and 7 to 40% in females.</w:t>
      </w:r>
    </w:p>
    <w:p w14:paraId="52F9A635" w14:textId="77777777" w:rsidR="00335934" w:rsidRDefault="00A30720" w:rsidP="00335934">
      <w:r w:rsidRPr="005E7767">
        <w:t xml:space="preserve">Exposure ratios </w:t>
      </w:r>
      <w:r>
        <w:t xml:space="preserve">for the pivotal juvenile rat study were </w:t>
      </w:r>
      <w:r w:rsidRPr="005E7767">
        <w:t>calculated based on animal</w:t>
      </w:r>
      <w:proofErr w:type="gramStart"/>
      <w:r w:rsidRPr="005E7767">
        <w:t>:human</w:t>
      </w:r>
      <w:proofErr w:type="gramEnd"/>
      <w:r w:rsidRPr="005E7767">
        <w:t xml:space="preserve"> plasma AUC</w:t>
      </w:r>
      <w:r w:rsidRPr="005E7767">
        <w:rPr>
          <w:vertAlign w:val="subscript"/>
        </w:rPr>
        <w:t>(0–24 h)</w:t>
      </w:r>
      <w:r>
        <w:t>.</w:t>
      </w:r>
      <w:r w:rsidRPr="005E7767">
        <w:t xml:space="preserve"> Human reference values are from Clinical Study AC-52-373 (</w:t>
      </w:r>
      <w:r w:rsidR="00335934" w:rsidRPr="005E7767">
        <w:t>FUTURE</w:t>
      </w:r>
      <w:r w:rsidRPr="005E7767">
        <w:t xml:space="preserve"> 3)</w:t>
      </w:r>
      <w:r>
        <w:t xml:space="preserve"> for age groups above and below 2 years while anima</w:t>
      </w:r>
      <w:r w:rsidR="00335934">
        <w:t xml:space="preserve">l values are taken from </w:t>
      </w:r>
      <w:r w:rsidR="00FD708D">
        <w:t>Study </w:t>
      </w:r>
      <w:r w:rsidR="00335934">
        <w:t>T</w:t>
      </w:r>
      <w:r w:rsidR="00335934">
        <w:noBreakHyphen/>
      </w:r>
      <w:r>
        <w:t xml:space="preserve">10.407 on </w:t>
      </w:r>
      <w:r w:rsidR="00D17D39">
        <w:t>post-natal</w:t>
      </w:r>
      <w:r w:rsidR="00B4142C">
        <w:t xml:space="preserve"> day</w:t>
      </w:r>
      <w:r w:rsidR="00D17D39">
        <w:t xml:space="preserve"> (</w:t>
      </w:r>
      <w:r>
        <w:t>PND</w:t>
      </w:r>
      <w:r w:rsidR="00D17D39">
        <w:t>)</w:t>
      </w:r>
      <w:r>
        <w:t xml:space="preserve"> 21 and 69, and are shown separately for males and females as there were significant differences in AUC</w:t>
      </w:r>
      <w:r w:rsidRPr="00717B6B">
        <w:rPr>
          <w:vertAlign w:val="subscript"/>
        </w:rPr>
        <w:t>0-24h</w:t>
      </w:r>
      <w:r>
        <w:t xml:space="preserve"> between sexes</w:t>
      </w:r>
      <w:r w:rsidR="00335934">
        <w:t>.</w:t>
      </w:r>
    </w:p>
    <w:p w14:paraId="4E6A2694" w14:textId="77777777" w:rsidR="00A30720" w:rsidRPr="00E77AE9" w:rsidRDefault="00A30720" w:rsidP="00A30720">
      <w:pPr>
        <w:pStyle w:val="TableTitle"/>
      </w:pPr>
      <w:r w:rsidRPr="00E77AE9">
        <w:t>Table</w:t>
      </w:r>
      <w:r w:rsidR="00FE6C13">
        <w:t xml:space="preserve"> 4</w:t>
      </w:r>
      <w:r w:rsidRPr="00E77AE9">
        <w:t xml:space="preserve">: </w:t>
      </w:r>
      <w:r>
        <w:t xml:space="preserve">Relative </w:t>
      </w:r>
      <w:r w:rsidR="00197761" w:rsidRPr="00E77AE9">
        <w:t>e</w:t>
      </w:r>
      <w:r w:rsidRPr="00E77AE9">
        <w:t>xposure ratios</w:t>
      </w:r>
    </w:p>
    <w:tbl>
      <w:tblPr>
        <w:tblStyle w:val="TableTGAblue"/>
        <w:tblW w:w="0" w:type="auto"/>
        <w:tblLook w:val="04A0" w:firstRow="1" w:lastRow="0" w:firstColumn="1" w:lastColumn="0" w:noHBand="0" w:noVBand="1"/>
      </w:tblPr>
      <w:tblGrid>
        <w:gridCol w:w="1008"/>
        <w:gridCol w:w="1300"/>
        <w:gridCol w:w="1099"/>
        <w:gridCol w:w="1116"/>
        <w:gridCol w:w="1044"/>
        <w:gridCol w:w="1054"/>
        <w:gridCol w:w="1045"/>
        <w:gridCol w:w="1054"/>
      </w:tblGrid>
      <w:tr w:rsidR="00A30720" w:rsidRPr="00335934" w14:paraId="3CA2178B" w14:textId="77777777" w:rsidTr="00A30720">
        <w:trPr>
          <w:cnfStyle w:val="100000000000" w:firstRow="1" w:lastRow="0" w:firstColumn="0" w:lastColumn="0" w:oddVBand="0" w:evenVBand="0" w:oddHBand="0" w:evenHBand="0" w:firstRowFirstColumn="0" w:firstRowLastColumn="0" w:lastRowFirstColumn="0" w:lastRowLastColumn="0"/>
          <w:trHeight w:val="1062"/>
        </w:trPr>
        <w:tc>
          <w:tcPr>
            <w:tcW w:w="1008" w:type="dxa"/>
          </w:tcPr>
          <w:p w14:paraId="5956E81C" w14:textId="77777777" w:rsidR="00A30720" w:rsidRPr="00335934" w:rsidRDefault="00A30720" w:rsidP="00335934">
            <w:pPr>
              <w:ind w:left="0" w:right="0"/>
              <w:rPr>
                <w:sz w:val="20"/>
                <w:szCs w:val="20"/>
              </w:rPr>
            </w:pPr>
            <w:r w:rsidRPr="00335934">
              <w:rPr>
                <w:sz w:val="20"/>
                <w:szCs w:val="20"/>
              </w:rPr>
              <w:t>Time</w:t>
            </w:r>
          </w:p>
        </w:tc>
        <w:tc>
          <w:tcPr>
            <w:tcW w:w="1300" w:type="dxa"/>
          </w:tcPr>
          <w:p w14:paraId="76136D09" w14:textId="77777777" w:rsidR="00A30720" w:rsidRPr="00335934" w:rsidRDefault="00A30720" w:rsidP="00335934">
            <w:pPr>
              <w:ind w:left="0" w:right="0"/>
              <w:rPr>
                <w:sz w:val="20"/>
                <w:szCs w:val="20"/>
              </w:rPr>
            </w:pPr>
            <w:r w:rsidRPr="00335934">
              <w:rPr>
                <w:sz w:val="20"/>
                <w:szCs w:val="20"/>
              </w:rPr>
              <w:t>Dose (mg/kg bw/day)</w:t>
            </w:r>
          </w:p>
        </w:tc>
        <w:tc>
          <w:tcPr>
            <w:tcW w:w="2215" w:type="dxa"/>
            <w:gridSpan w:val="2"/>
          </w:tcPr>
          <w:p w14:paraId="624ADD91" w14:textId="77777777" w:rsidR="00A30720" w:rsidRPr="00335934" w:rsidRDefault="00A30720" w:rsidP="00335934">
            <w:pPr>
              <w:ind w:left="0" w:right="0"/>
              <w:rPr>
                <w:sz w:val="20"/>
                <w:szCs w:val="20"/>
              </w:rPr>
            </w:pPr>
            <w:r w:rsidRPr="00335934">
              <w:rPr>
                <w:sz w:val="20"/>
                <w:szCs w:val="20"/>
              </w:rPr>
              <w:t>AUC0-24h in juvenile rats (ng.h/mL)</w:t>
            </w:r>
          </w:p>
        </w:tc>
        <w:tc>
          <w:tcPr>
            <w:tcW w:w="2098" w:type="dxa"/>
            <w:gridSpan w:val="2"/>
          </w:tcPr>
          <w:p w14:paraId="6D22E1B5" w14:textId="77777777" w:rsidR="00A30720" w:rsidRPr="00335934" w:rsidRDefault="00A30720" w:rsidP="00335934">
            <w:pPr>
              <w:ind w:left="0" w:right="0"/>
              <w:rPr>
                <w:sz w:val="20"/>
                <w:szCs w:val="20"/>
              </w:rPr>
            </w:pPr>
            <w:r w:rsidRPr="00335934">
              <w:rPr>
                <w:sz w:val="20"/>
                <w:szCs w:val="20"/>
              </w:rPr>
              <w:t>Exposure margin (based on AUC0-24h</w:t>
            </w:r>
            <w:r w:rsidR="00335934">
              <w:rPr>
                <w:sz w:val="20"/>
                <w:szCs w:val="20"/>
              </w:rPr>
              <w:t>) for children</w:t>
            </w:r>
            <w:r w:rsidRPr="00335934">
              <w:rPr>
                <w:sz w:val="20"/>
                <w:szCs w:val="20"/>
              </w:rPr>
              <w:t xml:space="preserve"> &lt;</w:t>
            </w:r>
            <w:r w:rsidR="00335934">
              <w:rPr>
                <w:sz w:val="20"/>
                <w:szCs w:val="20"/>
              </w:rPr>
              <w:t> </w:t>
            </w:r>
            <w:r w:rsidRPr="00335934">
              <w:rPr>
                <w:sz w:val="20"/>
                <w:szCs w:val="20"/>
              </w:rPr>
              <w:t>2 years at 2 mg/kg bid*</w:t>
            </w:r>
          </w:p>
        </w:tc>
        <w:tc>
          <w:tcPr>
            <w:tcW w:w="2099" w:type="dxa"/>
            <w:gridSpan w:val="2"/>
          </w:tcPr>
          <w:p w14:paraId="6E39DB61" w14:textId="77777777" w:rsidR="00A30720" w:rsidRPr="00335934" w:rsidRDefault="00A30720" w:rsidP="00335934">
            <w:pPr>
              <w:ind w:left="0" w:right="0"/>
              <w:rPr>
                <w:sz w:val="20"/>
                <w:szCs w:val="20"/>
              </w:rPr>
            </w:pPr>
            <w:r w:rsidRPr="00335934">
              <w:rPr>
                <w:sz w:val="20"/>
                <w:szCs w:val="20"/>
              </w:rPr>
              <w:t>Exposure margin (based on AUC0-24h</w:t>
            </w:r>
            <w:r w:rsidR="00335934">
              <w:rPr>
                <w:sz w:val="20"/>
                <w:szCs w:val="20"/>
              </w:rPr>
              <w:t xml:space="preserve">) for children </w:t>
            </w:r>
            <w:r w:rsidRPr="00335934">
              <w:rPr>
                <w:sz w:val="20"/>
                <w:szCs w:val="20"/>
              </w:rPr>
              <w:t>&gt;</w:t>
            </w:r>
            <w:r w:rsidR="00335934">
              <w:rPr>
                <w:sz w:val="20"/>
                <w:szCs w:val="20"/>
              </w:rPr>
              <w:t> </w:t>
            </w:r>
            <w:r w:rsidRPr="00335934">
              <w:rPr>
                <w:sz w:val="20"/>
                <w:szCs w:val="20"/>
              </w:rPr>
              <w:t>2 years at 2 mg/kg bid **</w:t>
            </w:r>
          </w:p>
        </w:tc>
      </w:tr>
      <w:tr w:rsidR="00A30720" w:rsidRPr="00335934" w14:paraId="17E2AC9B" w14:textId="77777777" w:rsidTr="00A30720">
        <w:tc>
          <w:tcPr>
            <w:tcW w:w="2308" w:type="dxa"/>
            <w:gridSpan w:val="2"/>
          </w:tcPr>
          <w:p w14:paraId="316DFA5A" w14:textId="77777777" w:rsidR="00A30720" w:rsidRPr="00335934" w:rsidRDefault="00A30720" w:rsidP="00335934">
            <w:pPr>
              <w:ind w:left="0" w:right="0"/>
              <w:rPr>
                <w:sz w:val="20"/>
                <w:szCs w:val="20"/>
              </w:rPr>
            </w:pPr>
          </w:p>
        </w:tc>
        <w:tc>
          <w:tcPr>
            <w:tcW w:w="1099" w:type="dxa"/>
          </w:tcPr>
          <w:p w14:paraId="632A13C7" w14:textId="77777777" w:rsidR="00A30720" w:rsidRPr="00335934" w:rsidRDefault="00A30720" w:rsidP="00335934">
            <w:pPr>
              <w:ind w:left="0" w:right="0"/>
              <w:rPr>
                <w:sz w:val="20"/>
                <w:szCs w:val="20"/>
              </w:rPr>
            </w:pPr>
            <w:r w:rsidRPr="00335934">
              <w:rPr>
                <w:sz w:val="20"/>
                <w:szCs w:val="20"/>
              </w:rPr>
              <w:t>M</w:t>
            </w:r>
          </w:p>
        </w:tc>
        <w:tc>
          <w:tcPr>
            <w:tcW w:w="1116" w:type="dxa"/>
          </w:tcPr>
          <w:p w14:paraId="6045A543" w14:textId="77777777" w:rsidR="00A30720" w:rsidRPr="00335934" w:rsidRDefault="00A30720" w:rsidP="00335934">
            <w:pPr>
              <w:ind w:left="0" w:right="0"/>
              <w:rPr>
                <w:sz w:val="20"/>
                <w:szCs w:val="20"/>
              </w:rPr>
            </w:pPr>
            <w:r w:rsidRPr="00335934">
              <w:rPr>
                <w:sz w:val="20"/>
                <w:szCs w:val="20"/>
              </w:rPr>
              <w:t>F</w:t>
            </w:r>
          </w:p>
        </w:tc>
        <w:tc>
          <w:tcPr>
            <w:tcW w:w="1044" w:type="dxa"/>
          </w:tcPr>
          <w:p w14:paraId="6AE1F1B9" w14:textId="77777777" w:rsidR="00A30720" w:rsidRPr="00335934" w:rsidRDefault="00A30720" w:rsidP="00335934">
            <w:pPr>
              <w:ind w:left="0" w:right="0"/>
              <w:rPr>
                <w:sz w:val="20"/>
                <w:szCs w:val="20"/>
              </w:rPr>
            </w:pPr>
            <w:r w:rsidRPr="00335934">
              <w:rPr>
                <w:sz w:val="20"/>
                <w:szCs w:val="20"/>
              </w:rPr>
              <w:t>M</w:t>
            </w:r>
          </w:p>
        </w:tc>
        <w:tc>
          <w:tcPr>
            <w:tcW w:w="1054" w:type="dxa"/>
          </w:tcPr>
          <w:p w14:paraId="7903461B" w14:textId="77777777" w:rsidR="00A30720" w:rsidRPr="00335934" w:rsidRDefault="00A30720" w:rsidP="00335934">
            <w:pPr>
              <w:ind w:left="0" w:right="0"/>
              <w:rPr>
                <w:sz w:val="20"/>
                <w:szCs w:val="20"/>
              </w:rPr>
            </w:pPr>
            <w:r w:rsidRPr="00335934">
              <w:rPr>
                <w:sz w:val="20"/>
                <w:szCs w:val="20"/>
              </w:rPr>
              <w:t>F</w:t>
            </w:r>
          </w:p>
        </w:tc>
        <w:tc>
          <w:tcPr>
            <w:tcW w:w="1045" w:type="dxa"/>
          </w:tcPr>
          <w:p w14:paraId="0DA57C69" w14:textId="77777777" w:rsidR="00A30720" w:rsidRPr="00335934" w:rsidRDefault="00A30720" w:rsidP="00335934">
            <w:pPr>
              <w:ind w:left="0" w:right="0"/>
              <w:rPr>
                <w:sz w:val="20"/>
                <w:szCs w:val="20"/>
              </w:rPr>
            </w:pPr>
            <w:r w:rsidRPr="00335934">
              <w:rPr>
                <w:sz w:val="20"/>
                <w:szCs w:val="20"/>
              </w:rPr>
              <w:t>M</w:t>
            </w:r>
          </w:p>
        </w:tc>
        <w:tc>
          <w:tcPr>
            <w:tcW w:w="1054" w:type="dxa"/>
          </w:tcPr>
          <w:p w14:paraId="20A292B3" w14:textId="77777777" w:rsidR="00A30720" w:rsidRPr="00335934" w:rsidRDefault="00A30720" w:rsidP="00335934">
            <w:pPr>
              <w:ind w:left="0" w:right="0"/>
              <w:rPr>
                <w:sz w:val="20"/>
                <w:szCs w:val="20"/>
              </w:rPr>
            </w:pPr>
            <w:r w:rsidRPr="00335934">
              <w:rPr>
                <w:sz w:val="20"/>
                <w:szCs w:val="20"/>
              </w:rPr>
              <w:t>F</w:t>
            </w:r>
          </w:p>
        </w:tc>
      </w:tr>
      <w:tr w:rsidR="00A30720" w:rsidRPr="00335934" w14:paraId="33CF01F2" w14:textId="77777777" w:rsidTr="00A30720">
        <w:tc>
          <w:tcPr>
            <w:tcW w:w="1008" w:type="dxa"/>
            <w:vMerge w:val="restart"/>
          </w:tcPr>
          <w:p w14:paraId="6E046609" w14:textId="77777777" w:rsidR="00A30720" w:rsidRPr="00335934" w:rsidRDefault="00A30720" w:rsidP="00335934">
            <w:pPr>
              <w:ind w:left="0" w:right="0"/>
              <w:rPr>
                <w:sz w:val="20"/>
                <w:szCs w:val="20"/>
              </w:rPr>
            </w:pPr>
            <w:r w:rsidRPr="00335934">
              <w:rPr>
                <w:sz w:val="20"/>
                <w:szCs w:val="20"/>
              </w:rPr>
              <w:t>PPD 21</w:t>
            </w:r>
          </w:p>
        </w:tc>
        <w:tc>
          <w:tcPr>
            <w:tcW w:w="1300" w:type="dxa"/>
          </w:tcPr>
          <w:p w14:paraId="39CB5C29" w14:textId="77777777" w:rsidR="00A30720" w:rsidRPr="00966CF3" w:rsidRDefault="00A30720" w:rsidP="00335934">
            <w:pPr>
              <w:ind w:left="0" w:right="0"/>
              <w:rPr>
                <w:sz w:val="20"/>
                <w:szCs w:val="20"/>
              </w:rPr>
            </w:pPr>
            <w:r w:rsidRPr="00966CF3">
              <w:rPr>
                <w:sz w:val="20"/>
                <w:szCs w:val="20"/>
              </w:rPr>
              <w:t>15</w:t>
            </w:r>
          </w:p>
        </w:tc>
        <w:tc>
          <w:tcPr>
            <w:tcW w:w="1099" w:type="dxa"/>
          </w:tcPr>
          <w:p w14:paraId="499B5228" w14:textId="77777777" w:rsidR="00A30720" w:rsidRPr="00966CF3" w:rsidRDefault="00A30720" w:rsidP="00335934">
            <w:pPr>
              <w:ind w:left="0" w:right="0"/>
              <w:rPr>
                <w:sz w:val="20"/>
                <w:szCs w:val="20"/>
              </w:rPr>
            </w:pPr>
            <w:r w:rsidRPr="00966CF3">
              <w:rPr>
                <w:sz w:val="20"/>
                <w:szCs w:val="20"/>
              </w:rPr>
              <w:t>59700</w:t>
            </w:r>
          </w:p>
        </w:tc>
        <w:tc>
          <w:tcPr>
            <w:tcW w:w="1116" w:type="dxa"/>
          </w:tcPr>
          <w:p w14:paraId="66ABAA63" w14:textId="77777777" w:rsidR="00A30720" w:rsidRPr="00966CF3" w:rsidRDefault="00A30720" w:rsidP="00335934">
            <w:pPr>
              <w:ind w:left="0" w:right="0"/>
              <w:rPr>
                <w:sz w:val="20"/>
                <w:szCs w:val="20"/>
              </w:rPr>
            </w:pPr>
            <w:r w:rsidRPr="00966CF3">
              <w:rPr>
                <w:sz w:val="20"/>
                <w:szCs w:val="20"/>
              </w:rPr>
              <w:t>168000</w:t>
            </w:r>
          </w:p>
        </w:tc>
        <w:tc>
          <w:tcPr>
            <w:tcW w:w="1044" w:type="dxa"/>
          </w:tcPr>
          <w:p w14:paraId="62B47A58" w14:textId="77777777" w:rsidR="00A30720" w:rsidRPr="00966CF3" w:rsidRDefault="00A30720" w:rsidP="00335934">
            <w:pPr>
              <w:ind w:left="0" w:right="0"/>
              <w:rPr>
                <w:sz w:val="20"/>
                <w:szCs w:val="20"/>
              </w:rPr>
            </w:pPr>
            <w:r w:rsidRPr="00966CF3">
              <w:rPr>
                <w:sz w:val="20"/>
                <w:szCs w:val="20"/>
              </w:rPr>
              <w:t>7.6</w:t>
            </w:r>
          </w:p>
        </w:tc>
        <w:tc>
          <w:tcPr>
            <w:tcW w:w="1054" w:type="dxa"/>
          </w:tcPr>
          <w:p w14:paraId="40C66EC4" w14:textId="77777777" w:rsidR="00A30720" w:rsidRPr="00966CF3" w:rsidRDefault="00A30720" w:rsidP="00335934">
            <w:pPr>
              <w:ind w:left="0" w:right="0"/>
              <w:rPr>
                <w:sz w:val="20"/>
                <w:szCs w:val="20"/>
              </w:rPr>
            </w:pPr>
            <w:r w:rsidRPr="00966CF3">
              <w:rPr>
                <w:sz w:val="20"/>
                <w:szCs w:val="20"/>
              </w:rPr>
              <w:t>21.3</w:t>
            </w:r>
          </w:p>
        </w:tc>
        <w:tc>
          <w:tcPr>
            <w:tcW w:w="1045" w:type="dxa"/>
          </w:tcPr>
          <w:p w14:paraId="17942528" w14:textId="77777777" w:rsidR="00A30720" w:rsidRPr="00966CF3" w:rsidRDefault="00A30720" w:rsidP="00335934">
            <w:pPr>
              <w:ind w:left="0" w:right="0"/>
              <w:rPr>
                <w:sz w:val="20"/>
                <w:szCs w:val="20"/>
              </w:rPr>
            </w:pPr>
            <w:r w:rsidRPr="00966CF3">
              <w:rPr>
                <w:sz w:val="20"/>
                <w:szCs w:val="20"/>
              </w:rPr>
              <w:t>6.8</w:t>
            </w:r>
          </w:p>
        </w:tc>
        <w:tc>
          <w:tcPr>
            <w:tcW w:w="1054" w:type="dxa"/>
          </w:tcPr>
          <w:p w14:paraId="29621BBE" w14:textId="77777777" w:rsidR="00A30720" w:rsidRPr="00966CF3" w:rsidRDefault="00A30720" w:rsidP="00335934">
            <w:pPr>
              <w:ind w:left="0" w:right="0"/>
              <w:rPr>
                <w:sz w:val="20"/>
                <w:szCs w:val="20"/>
              </w:rPr>
            </w:pPr>
            <w:r w:rsidRPr="00966CF3">
              <w:rPr>
                <w:sz w:val="20"/>
                <w:szCs w:val="20"/>
              </w:rPr>
              <w:t>19.0</w:t>
            </w:r>
          </w:p>
        </w:tc>
      </w:tr>
      <w:tr w:rsidR="00A30720" w:rsidRPr="00335934" w14:paraId="4CBEF937" w14:textId="77777777" w:rsidTr="00A30720">
        <w:tc>
          <w:tcPr>
            <w:tcW w:w="1008" w:type="dxa"/>
            <w:vMerge/>
          </w:tcPr>
          <w:p w14:paraId="278A640D" w14:textId="77777777" w:rsidR="00A30720" w:rsidRPr="00335934" w:rsidRDefault="00A30720" w:rsidP="00335934">
            <w:pPr>
              <w:ind w:left="0" w:right="0"/>
              <w:rPr>
                <w:sz w:val="20"/>
                <w:szCs w:val="20"/>
              </w:rPr>
            </w:pPr>
          </w:p>
        </w:tc>
        <w:tc>
          <w:tcPr>
            <w:tcW w:w="1300" w:type="dxa"/>
          </w:tcPr>
          <w:p w14:paraId="032D16FA" w14:textId="77777777" w:rsidR="00A30720" w:rsidRPr="00335934" w:rsidRDefault="00A30720" w:rsidP="00335934">
            <w:pPr>
              <w:ind w:left="0" w:right="0"/>
              <w:rPr>
                <w:sz w:val="20"/>
                <w:szCs w:val="20"/>
              </w:rPr>
            </w:pPr>
            <w:r w:rsidRPr="00335934">
              <w:rPr>
                <w:sz w:val="20"/>
                <w:szCs w:val="20"/>
              </w:rPr>
              <w:t>45</w:t>
            </w:r>
          </w:p>
        </w:tc>
        <w:tc>
          <w:tcPr>
            <w:tcW w:w="1099" w:type="dxa"/>
          </w:tcPr>
          <w:p w14:paraId="73D71689" w14:textId="77777777" w:rsidR="00A30720" w:rsidRPr="00335934" w:rsidRDefault="00A30720" w:rsidP="00335934">
            <w:pPr>
              <w:ind w:left="0" w:right="0"/>
              <w:rPr>
                <w:sz w:val="20"/>
                <w:szCs w:val="20"/>
              </w:rPr>
            </w:pPr>
            <w:r w:rsidRPr="00335934">
              <w:rPr>
                <w:sz w:val="20"/>
                <w:szCs w:val="20"/>
              </w:rPr>
              <w:t>185000</w:t>
            </w:r>
          </w:p>
        </w:tc>
        <w:tc>
          <w:tcPr>
            <w:tcW w:w="1116" w:type="dxa"/>
          </w:tcPr>
          <w:p w14:paraId="1D887BF0" w14:textId="77777777" w:rsidR="00A30720" w:rsidRPr="00335934" w:rsidRDefault="00A30720" w:rsidP="00335934">
            <w:pPr>
              <w:ind w:left="0" w:right="0"/>
              <w:rPr>
                <w:sz w:val="20"/>
                <w:szCs w:val="20"/>
              </w:rPr>
            </w:pPr>
            <w:r w:rsidRPr="00335934">
              <w:rPr>
                <w:sz w:val="20"/>
                <w:szCs w:val="20"/>
              </w:rPr>
              <w:t>270000</w:t>
            </w:r>
          </w:p>
        </w:tc>
        <w:tc>
          <w:tcPr>
            <w:tcW w:w="1044" w:type="dxa"/>
          </w:tcPr>
          <w:p w14:paraId="18075B77" w14:textId="77777777" w:rsidR="00A30720" w:rsidRPr="00335934" w:rsidRDefault="00A30720" w:rsidP="00335934">
            <w:pPr>
              <w:ind w:left="0" w:right="0"/>
              <w:rPr>
                <w:sz w:val="20"/>
                <w:szCs w:val="20"/>
              </w:rPr>
            </w:pPr>
            <w:r w:rsidRPr="00335934">
              <w:rPr>
                <w:sz w:val="20"/>
                <w:szCs w:val="20"/>
              </w:rPr>
              <w:t>23.5</w:t>
            </w:r>
          </w:p>
        </w:tc>
        <w:tc>
          <w:tcPr>
            <w:tcW w:w="1054" w:type="dxa"/>
          </w:tcPr>
          <w:p w14:paraId="6D4C9D53" w14:textId="77777777" w:rsidR="00A30720" w:rsidRPr="00335934" w:rsidRDefault="00A30720" w:rsidP="00335934">
            <w:pPr>
              <w:ind w:left="0" w:right="0"/>
              <w:rPr>
                <w:sz w:val="20"/>
                <w:szCs w:val="20"/>
              </w:rPr>
            </w:pPr>
            <w:r w:rsidRPr="00335934">
              <w:rPr>
                <w:sz w:val="20"/>
                <w:szCs w:val="20"/>
              </w:rPr>
              <w:t>34.3</w:t>
            </w:r>
          </w:p>
        </w:tc>
        <w:tc>
          <w:tcPr>
            <w:tcW w:w="1045" w:type="dxa"/>
          </w:tcPr>
          <w:p w14:paraId="2F3C62BA" w14:textId="77777777" w:rsidR="00A30720" w:rsidRPr="00335934" w:rsidRDefault="00A30720" w:rsidP="00335934">
            <w:pPr>
              <w:ind w:left="0" w:right="0"/>
              <w:rPr>
                <w:sz w:val="20"/>
                <w:szCs w:val="20"/>
              </w:rPr>
            </w:pPr>
            <w:r w:rsidRPr="00335934">
              <w:rPr>
                <w:sz w:val="20"/>
                <w:szCs w:val="20"/>
              </w:rPr>
              <w:t>21.0</w:t>
            </w:r>
          </w:p>
        </w:tc>
        <w:tc>
          <w:tcPr>
            <w:tcW w:w="1054" w:type="dxa"/>
          </w:tcPr>
          <w:p w14:paraId="3AA450DD" w14:textId="77777777" w:rsidR="00A30720" w:rsidRPr="00335934" w:rsidRDefault="00A30720" w:rsidP="00335934">
            <w:pPr>
              <w:ind w:left="0" w:right="0"/>
              <w:rPr>
                <w:sz w:val="20"/>
                <w:szCs w:val="20"/>
              </w:rPr>
            </w:pPr>
            <w:r w:rsidRPr="00335934">
              <w:rPr>
                <w:sz w:val="20"/>
                <w:szCs w:val="20"/>
              </w:rPr>
              <w:t>30.6</w:t>
            </w:r>
          </w:p>
        </w:tc>
      </w:tr>
      <w:tr w:rsidR="00A30720" w:rsidRPr="00335934" w14:paraId="45BF39A4" w14:textId="77777777" w:rsidTr="00A30720">
        <w:tc>
          <w:tcPr>
            <w:tcW w:w="1008" w:type="dxa"/>
            <w:vMerge/>
          </w:tcPr>
          <w:p w14:paraId="556B7F08" w14:textId="77777777" w:rsidR="00A30720" w:rsidRPr="00335934" w:rsidRDefault="00A30720" w:rsidP="00335934">
            <w:pPr>
              <w:ind w:left="0" w:right="0"/>
              <w:rPr>
                <w:sz w:val="20"/>
                <w:szCs w:val="20"/>
              </w:rPr>
            </w:pPr>
          </w:p>
        </w:tc>
        <w:tc>
          <w:tcPr>
            <w:tcW w:w="1300" w:type="dxa"/>
          </w:tcPr>
          <w:p w14:paraId="17F53DC2" w14:textId="77777777" w:rsidR="00A30720" w:rsidRPr="00335934" w:rsidRDefault="00A30720" w:rsidP="00335934">
            <w:pPr>
              <w:ind w:left="0" w:right="0"/>
              <w:rPr>
                <w:sz w:val="20"/>
                <w:szCs w:val="20"/>
              </w:rPr>
            </w:pPr>
            <w:r w:rsidRPr="00335934">
              <w:rPr>
                <w:sz w:val="20"/>
                <w:szCs w:val="20"/>
              </w:rPr>
              <w:t>135</w:t>
            </w:r>
          </w:p>
        </w:tc>
        <w:tc>
          <w:tcPr>
            <w:tcW w:w="1099" w:type="dxa"/>
          </w:tcPr>
          <w:p w14:paraId="364F0BE0" w14:textId="77777777" w:rsidR="00A30720" w:rsidRPr="00335934" w:rsidRDefault="00A30720" w:rsidP="00335934">
            <w:pPr>
              <w:ind w:left="0" w:right="0"/>
              <w:rPr>
                <w:sz w:val="20"/>
                <w:szCs w:val="20"/>
              </w:rPr>
            </w:pPr>
            <w:r w:rsidRPr="00335934">
              <w:rPr>
                <w:sz w:val="20"/>
                <w:szCs w:val="20"/>
              </w:rPr>
              <w:t>282000</w:t>
            </w:r>
          </w:p>
        </w:tc>
        <w:tc>
          <w:tcPr>
            <w:tcW w:w="1116" w:type="dxa"/>
          </w:tcPr>
          <w:p w14:paraId="11876665" w14:textId="77777777" w:rsidR="00A30720" w:rsidRPr="00335934" w:rsidRDefault="00A30720" w:rsidP="00335934">
            <w:pPr>
              <w:ind w:left="0" w:right="0"/>
              <w:rPr>
                <w:sz w:val="20"/>
                <w:szCs w:val="20"/>
              </w:rPr>
            </w:pPr>
            <w:r w:rsidRPr="00335934">
              <w:rPr>
                <w:sz w:val="20"/>
                <w:szCs w:val="20"/>
              </w:rPr>
              <w:t>191000</w:t>
            </w:r>
          </w:p>
        </w:tc>
        <w:tc>
          <w:tcPr>
            <w:tcW w:w="1044" w:type="dxa"/>
          </w:tcPr>
          <w:p w14:paraId="126FF840" w14:textId="77777777" w:rsidR="00A30720" w:rsidRPr="00335934" w:rsidRDefault="00A30720" w:rsidP="00335934">
            <w:pPr>
              <w:ind w:left="0" w:right="0"/>
              <w:rPr>
                <w:sz w:val="20"/>
                <w:szCs w:val="20"/>
              </w:rPr>
            </w:pPr>
            <w:r w:rsidRPr="00335934">
              <w:rPr>
                <w:sz w:val="20"/>
                <w:szCs w:val="20"/>
              </w:rPr>
              <w:t>35.8</w:t>
            </w:r>
          </w:p>
        </w:tc>
        <w:tc>
          <w:tcPr>
            <w:tcW w:w="1054" w:type="dxa"/>
          </w:tcPr>
          <w:p w14:paraId="6C9374A2" w14:textId="77777777" w:rsidR="00A30720" w:rsidRPr="00335934" w:rsidRDefault="00A30720" w:rsidP="00335934">
            <w:pPr>
              <w:ind w:left="0" w:right="0"/>
              <w:rPr>
                <w:sz w:val="20"/>
                <w:szCs w:val="20"/>
              </w:rPr>
            </w:pPr>
            <w:r w:rsidRPr="00335934">
              <w:rPr>
                <w:sz w:val="20"/>
                <w:szCs w:val="20"/>
              </w:rPr>
              <w:t>24.2</w:t>
            </w:r>
          </w:p>
        </w:tc>
        <w:tc>
          <w:tcPr>
            <w:tcW w:w="1045" w:type="dxa"/>
          </w:tcPr>
          <w:p w14:paraId="6FEE4C55" w14:textId="77777777" w:rsidR="00A30720" w:rsidRPr="00335934" w:rsidRDefault="00A30720" w:rsidP="00335934">
            <w:pPr>
              <w:ind w:left="0" w:right="0"/>
              <w:rPr>
                <w:sz w:val="20"/>
                <w:szCs w:val="20"/>
              </w:rPr>
            </w:pPr>
            <w:r w:rsidRPr="00335934">
              <w:rPr>
                <w:sz w:val="20"/>
                <w:szCs w:val="20"/>
              </w:rPr>
              <w:t>32.0</w:t>
            </w:r>
          </w:p>
        </w:tc>
        <w:tc>
          <w:tcPr>
            <w:tcW w:w="1054" w:type="dxa"/>
          </w:tcPr>
          <w:p w14:paraId="23F33EDC" w14:textId="77777777" w:rsidR="00A30720" w:rsidRPr="00335934" w:rsidRDefault="00A30720" w:rsidP="00335934">
            <w:pPr>
              <w:ind w:left="0" w:right="0"/>
              <w:rPr>
                <w:sz w:val="20"/>
                <w:szCs w:val="20"/>
              </w:rPr>
            </w:pPr>
            <w:r w:rsidRPr="00335934">
              <w:rPr>
                <w:sz w:val="20"/>
                <w:szCs w:val="20"/>
              </w:rPr>
              <w:t>21.7</w:t>
            </w:r>
          </w:p>
        </w:tc>
      </w:tr>
      <w:tr w:rsidR="00A30720" w:rsidRPr="00335934" w14:paraId="001C10BE" w14:textId="77777777" w:rsidTr="00A30720">
        <w:tc>
          <w:tcPr>
            <w:tcW w:w="1008" w:type="dxa"/>
            <w:vMerge w:val="restart"/>
          </w:tcPr>
          <w:p w14:paraId="54131980" w14:textId="77777777" w:rsidR="00A30720" w:rsidRPr="00335934" w:rsidRDefault="00A30720" w:rsidP="00335934">
            <w:pPr>
              <w:ind w:left="0" w:right="0"/>
              <w:rPr>
                <w:sz w:val="20"/>
                <w:szCs w:val="20"/>
              </w:rPr>
            </w:pPr>
            <w:r w:rsidRPr="00335934">
              <w:rPr>
                <w:sz w:val="20"/>
                <w:szCs w:val="20"/>
              </w:rPr>
              <w:t>PPD 69</w:t>
            </w:r>
          </w:p>
        </w:tc>
        <w:tc>
          <w:tcPr>
            <w:tcW w:w="1300" w:type="dxa"/>
          </w:tcPr>
          <w:p w14:paraId="7BC623EE" w14:textId="77777777" w:rsidR="00A30720" w:rsidRPr="00966CF3" w:rsidRDefault="00A30720" w:rsidP="00335934">
            <w:pPr>
              <w:ind w:left="0" w:right="0"/>
              <w:rPr>
                <w:sz w:val="20"/>
                <w:szCs w:val="20"/>
              </w:rPr>
            </w:pPr>
            <w:r w:rsidRPr="00966CF3">
              <w:rPr>
                <w:sz w:val="20"/>
                <w:szCs w:val="20"/>
              </w:rPr>
              <w:t>15</w:t>
            </w:r>
          </w:p>
        </w:tc>
        <w:tc>
          <w:tcPr>
            <w:tcW w:w="1099" w:type="dxa"/>
          </w:tcPr>
          <w:p w14:paraId="7B5D58E5" w14:textId="77777777" w:rsidR="00A30720" w:rsidRPr="00966CF3" w:rsidRDefault="00A30720" w:rsidP="00335934">
            <w:pPr>
              <w:ind w:left="0" w:right="0"/>
              <w:rPr>
                <w:sz w:val="20"/>
                <w:szCs w:val="20"/>
              </w:rPr>
            </w:pPr>
            <w:r w:rsidRPr="00966CF3">
              <w:rPr>
                <w:sz w:val="20"/>
                <w:szCs w:val="20"/>
              </w:rPr>
              <w:t>11800</w:t>
            </w:r>
          </w:p>
        </w:tc>
        <w:tc>
          <w:tcPr>
            <w:tcW w:w="1116" w:type="dxa"/>
          </w:tcPr>
          <w:p w14:paraId="472837B6" w14:textId="77777777" w:rsidR="00A30720" w:rsidRPr="00966CF3" w:rsidRDefault="00A30720" w:rsidP="00335934">
            <w:pPr>
              <w:ind w:left="0" w:right="0"/>
              <w:rPr>
                <w:sz w:val="20"/>
                <w:szCs w:val="20"/>
              </w:rPr>
            </w:pPr>
            <w:r w:rsidRPr="00966CF3">
              <w:rPr>
                <w:sz w:val="20"/>
                <w:szCs w:val="20"/>
              </w:rPr>
              <w:t>22500</w:t>
            </w:r>
          </w:p>
        </w:tc>
        <w:tc>
          <w:tcPr>
            <w:tcW w:w="1044" w:type="dxa"/>
          </w:tcPr>
          <w:p w14:paraId="6CEE17F5" w14:textId="77777777" w:rsidR="00A30720" w:rsidRPr="00966CF3" w:rsidRDefault="00A30720" w:rsidP="00335934">
            <w:pPr>
              <w:ind w:left="0" w:right="0"/>
              <w:rPr>
                <w:sz w:val="20"/>
                <w:szCs w:val="20"/>
              </w:rPr>
            </w:pPr>
            <w:r w:rsidRPr="00966CF3">
              <w:rPr>
                <w:sz w:val="20"/>
                <w:szCs w:val="20"/>
              </w:rPr>
              <w:t>1.5</w:t>
            </w:r>
          </w:p>
        </w:tc>
        <w:tc>
          <w:tcPr>
            <w:tcW w:w="1054" w:type="dxa"/>
          </w:tcPr>
          <w:p w14:paraId="0519FFDA" w14:textId="77777777" w:rsidR="00A30720" w:rsidRPr="00966CF3" w:rsidRDefault="00A30720" w:rsidP="00335934">
            <w:pPr>
              <w:ind w:left="0" w:right="0"/>
              <w:rPr>
                <w:sz w:val="20"/>
                <w:szCs w:val="20"/>
              </w:rPr>
            </w:pPr>
            <w:r w:rsidRPr="00966CF3">
              <w:rPr>
                <w:sz w:val="20"/>
                <w:szCs w:val="20"/>
              </w:rPr>
              <w:t>2.9</w:t>
            </w:r>
          </w:p>
        </w:tc>
        <w:tc>
          <w:tcPr>
            <w:tcW w:w="1045" w:type="dxa"/>
          </w:tcPr>
          <w:p w14:paraId="51790CC2" w14:textId="77777777" w:rsidR="00A30720" w:rsidRPr="00966CF3" w:rsidRDefault="00A30720" w:rsidP="00335934">
            <w:pPr>
              <w:ind w:left="0" w:right="0"/>
              <w:rPr>
                <w:sz w:val="20"/>
                <w:szCs w:val="20"/>
              </w:rPr>
            </w:pPr>
            <w:r w:rsidRPr="00966CF3">
              <w:rPr>
                <w:sz w:val="20"/>
                <w:szCs w:val="20"/>
              </w:rPr>
              <w:t>1.3</w:t>
            </w:r>
          </w:p>
        </w:tc>
        <w:tc>
          <w:tcPr>
            <w:tcW w:w="1054" w:type="dxa"/>
          </w:tcPr>
          <w:p w14:paraId="2BEB6204" w14:textId="77777777" w:rsidR="00A30720" w:rsidRPr="00966CF3" w:rsidRDefault="00A30720" w:rsidP="00335934">
            <w:pPr>
              <w:ind w:left="0" w:right="0"/>
              <w:rPr>
                <w:sz w:val="20"/>
                <w:szCs w:val="20"/>
              </w:rPr>
            </w:pPr>
            <w:r w:rsidRPr="00966CF3">
              <w:rPr>
                <w:sz w:val="20"/>
                <w:szCs w:val="20"/>
              </w:rPr>
              <w:t>2.6</w:t>
            </w:r>
          </w:p>
        </w:tc>
      </w:tr>
      <w:tr w:rsidR="00A30720" w:rsidRPr="00335934" w14:paraId="623D35D2" w14:textId="77777777" w:rsidTr="00A30720">
        <w:tc>
          <w:tcPr>
            <w:tcW w:w="1008" w:type="dxa"/>
            <w:vMerge/>
          </w:tcPr>
          <w:p w14:paraId="4FBB01F8" w14:textId="77777777" w:rsidR="00A30720" w:rsidRPr="00335934" w:rsidRDefault="00A30720" w:rsidP="00335934">
            <w:pPr>
              <w:ind w:left="0" w:right="0"/>
              <w:rPr>
                <w:sz w:val="20"/>
                <w:szCs w:val="20"/>
              </w:rPr>
            </w:pPr>
          </w:p>
        </w:tc>
        <w:tc>
          <w:tcPr>
            <w:tcW w:w="1300" w:type="dxa"/>
          </w:tcPr>
          <w:p w14:paraId="544762BB" w14:textId="77777777" w:rsidR="00A30720" w:rsidRPr="00335934" w:rsidRDefault="00A30720" w:rsidP="00335934">
            <w:pPr>
              <w:ind w:left="0" w:right="0"/>
              <w:rPr>
                <w:sz w:val="20"/>
                <w:szCs w:val="20"/>
              </w:rPr>
            </w:pPr>
            <w:r w:rsidRPr="00335934">
              <w:rPr>
                <w:sz w:val="20"/>
                <w:szCs w:val="20"/>
              </w:rPr>
              <w:t>45</w:t>
            </w:r>
          </w:p>
        </w:tc>
        <w:tc>
          <w:tcPr>
            <w:tcW w:w="1099" w:type="dxa"/>
          </w:tcPr>
          <w:p w14:paraId="51A38DC7" w14:textId="77777777" w:rsidR="00A30720" w:rsidRPr="00335934" w:rsidRDefault="00A30720" w:rsidP="00335934">
            <w:pPr>
              <w:ind w:left="0" w:right="0"/>
              <w:rPr>
                <w:sz w:val="20"/>
                <w:szCs w:val="20"/>
              </w:rPr>
            </w:pPr>
            <w:r w:rsidRPr="00335934">
              <w:rPr>
                <w:sz w:val="20"/>
                <w:szCs w:val="20"/>
              </w:rPr>
              <w:t>20300</w:t>
            </w:r>
          </w:p>
        </w:tc>
        <w:tc>
          <w:tcPr>
            <w:tcW w:w="1116" w:type="dxa"/>
          </w:tcPr>
          <w:p w14:paraId="0A82F013" w14:textId="77777777" w:rsidR="00A30720" w:rsidRPr="00335934" w:rsidRDefault="00A30720" w:rsidP="00335934">
            <w:pPr>
              <w:ind w:left="0" w:right="0"/>
              <w:rPr>
                <w:sz w:val="20"/>
                <w:szCs w:val="20"/>
              </w:rPr>
            </w:pPr>
            <w:r w:rsidRPr="00335934">
              <w:rPr>
                <w:sz w:val="20"/>
                <w:szCs w:val="20"/>
              </w:rPr>
              <w:t>53700</w:t>
            </w:r>
          </w:p>
        </w:tc>
        <w:tc>
          <w:tcPr>
            <w:tcW w:w="1044" w:type="dxa"/>
          </w:tcPr>
          <w:p w14:paraId="5C40C824" w14:textId="77777777" w:rsidR="00A30720" w:rsidRPr="00335934" w:rsidRDefault="00A30720" w:rsidP="00335934">
            <w:pPr>
              <w:ind w:left="0" w:right="0"/>
              <w:rPr>
                <w:sz w:val="20"/>
                <w:szCs w:val="20"/>
              </w:rPr>
            </w:pPr>
            <w:r w:rsidRPr="00335934">
              <w:rPr>
                <w:sz w:val="20"/>
                <w:szCs w:val="20"/>
              </w:rPr>
              <w:t>2.6</w:t>
            </w:r>
          </w:p>
        </w:tc>
        <w:tc>
          <w:tcPr>
            <w:tcW w:w="1054" w:type="dxa"/>
          </w:tcPr>
          <w:p w14:paraId="3C4AF29B" w14:textId="77777777" w:rsidR="00A30720" w:rsidRPr="00335934" w:rsidRDefault="00A30720" w:rsidP="00335934">
            <w:pPr>
              <w:ind w:left="0" w:right="0"/>
              <w:rPr>
                <w:sz w:val="20"/>
                <w:szCs w:val="20"/>
              </w:rPr>
            </w:pPr>
            <w:r w:rsidRPr="00335934">
              <w:rPr>
                <w:sz w:val="20"/>
                <w:szCs w:val="20"/>
              </w:rPr>
              <w:t>6.8</w:t>
            </w:r>
          </w:p>
        </w:tc>
        <w:tc>
          <w:tcPr>
            <w:tcW w:w="1045" w:type="dxa"/>
          </w:tcPr>
          <w:p w14:paraId="224A02DF" w14:textId="77777777" w:rsidR="00A30720" w:rsidRPr="00335934" w:rsidRDefault="00A30720" w:rsidP="00335934">
            <w:pPr>
              <w:ind w:left="0" w:right="0"/>
              <w:rPr>
                <w:sz w:val="20"/>
                <w:szCs w:val="20"/>
              </w:rPr>
            </w:pPr>
            <w:r w:rsidRPr="00335934">
              <w:rPr>
                <w:sz w:val="20"/>
                <w:szCs w:val="20"/>
              </w:rPr>
              <w:t>2.3</w:t>
            </w:r>
          </w:p>
        </w:tc>
        <w:tc>
          <w:tcPr>
            <w:tcW w:w="1054" w:type="dxa"/>
          </w:tcPr>
          <w:p w14:paraId="0C5CE155" w14:textId="77777777" w:rsidR="00A30720" w:rsidRPr="00335934" w:rsidRDefault="00A30720" w:rsidP="00335934">
            <w:pPr>
              <w:ind w:left="0" w:right="0"/>
              <w:rPr>
                <w:sz w:val="20"/>
                <w:szCs w:val="20"/>
              </w:rPr>
            </w:pPr>
            <w:r w:rsidRPr="00335934">
              <w:rPr>
                <w:sz w:val="20"/>
                <w:szCs w:val="20"/>
              </w:rPr>
              <w:t>6.1</w:t>
            </w:r>
          </w:p>
        </w:tc>
      </w:tr>
      <w:tr w:rsidR="00A30720" w:rsidRPr="00335934" w14:paraId="4F8006BD" w14:textId="77777777" w:rsidTr="00A30720">
        <w:tc>
          <w:tcPr>
            <w:tcW w:w="1008" w:type="dxa"/>
            <w:vMerge/>
          </w:tcPr>
          <w:p w14:paraId="61469F1D" w14:textId="77777777" w:rsidR="00A30720" w:rsidRPr="00335934" w:rsidRDefault="00A30720" w:rsidP="00335934">
            <w:pPr>
              <w:ind w:left="0" w:right="0"/>
              <w:rPr>
                <w:sz w:val="20"/>
                <w:szCs w:val="20"/>
              </w:rPr>
            </w:pPr>
          </w:p>
        </w:tc>
        <w:tc>
          <w:tcPr>
            <w:tcW w:w="1300" w:type="dxa"/>
          </w:tcPr>
          <w:p w14:paraId="6D5315F7" w14:textId="77777777" w:rsidR="00A30720" w:rsidRPr="00335934" w:rsidRDefault="00A30720" w:rsidP="00335934">
            <w:pPr>
              <w:ind w:left="0" w:right="0"/>
              <w:rPr>
                <w:sz w:val="20"/>
                <w:szCs w:val="20"/>
              </w:rPr>
            </w:pPr>
            <w:r w:rsidRPr="00335934">
              <w:rPr>
                <w:sz w:val="20"/>
                <w:szCs w:val="20"/>
              </w:rPr>
              <w:t>135</w:t>
            </w:r>
          </w:p>
        </w:tc>
        <w:tc>
          <w:tcPr>
            <w:tcW w:w="1099" w:type="dxa"/>
          </w:tcPr>
          <w:p w14:paraId="277E9D4B" w14:textId="77777777" w:rsidR="00A30720" w:rsidRPr="00335934" w:rsidRDefault="00A30720" w:rsidP="00335934">
            <w:pPr>
              <w:ind w:left="0" w:right="0"/>
              <w:rPr>
                <w:sz w:val="20"/>
                <w:szCs w:val="20"/>
              </w:rPr>
            </w:pPr>
            <w:r w:rsidRPr="00335934">
              <w:rPr>
                <w:sz w:val="20"/>
                <w:szCs w:val="20"/>
              </w:rPr>
              <w:t>49900</w:t>
            </w:r>
          </w:p>
        </w:tc>
        <w:tc>
          <w:tcPr>
            <w:tcW w:w="1116" w:type="dxa"/>
          </w:tcPr>
          <w:p w14:paraId="3F6503C3" w14:textId="77777777" w:rsidR="00A30720" w:rsidRPr="00335934" w:rsidRDefault="00A30720" w:rsidP="00335934">
            <w:pPr>
              <w:ind w:left="0" w:right="0"/>
              <w:rPr>
                <w:sz w:val="20"/>
                <w:szCs w:val="20"/>
              </w:rPr>
            </w:pPr>
            <w:r w:rsidRPr="00335934">
              <w:rPr>
                <w:sz w:val="20"/>
                <w:szCs w:val="20"/>
              </w:rPr>
              <w:t>78100</w:t>
            </w:r>
          </w:p>
        </w:tc>
        <w:tc>
          <w:tcPr>
            <w:tcW w:w="1044" w:type="dxa"/>
          </w:tcPr>
          <w:p w14:paraId="214E2E8D" w14:textId="77777777" w:rsidR="00A30720" w:rsidRPr="00335934" w:rsidRDefault="00A30720" w:rsidP="00335934">
            <w:pPr>
              <w:ind w:left="0" w:right="0"/>
              <w:rPr>
                <w:sz w:val="20"/>
                <w:szCs w:val="20"/>
              </w:rPr>
            </w:pPr>
            <w:r w:rsidRPr="00335934">
              <w:rPr>
                <w:sz w:val="20"/>
                <w:szCs w:val="20"/>
              </w:rPr>
              <w:t>6.3</w:t>
            </w:r>
          </w:p>
        </w:tc>
        <w:tc>
          <w:tcPr>
            <w:tcW w:w="1054" w:type="dxa"/>
          </w:tcPr>
          <w:p w14:paraId="4F5CA17A" w14:textId="77777777" w:rsidR="00A30720" w:rsidRPr="00335934" w:rsidRDefault="00A30720" w:rsidP="00335934">
            <w:pPr>
              <w:ind w:left="0" w:right="0"/>
              <w:rPr>
                <w:sz w:val="20"/>
                <w:szCs w:val="20"/>
              </w:rPr>
            </w:pPr>
            <w:r w:rsidRPr="00335934">
              <w:rPr>
                <w:sz w:val="20"/>
                <w:szCs w:val="20"/>
              </w:rPr>
              <w:t>9.9</w:t>
            </w:r>
          </w:p>
        </w:tc>
        <w:tc>
          <w:tcPr>
            <w:tcW w:w="1045" w:type="dxa"/>
          </w:tcPr>
          <w:p w14:paraId="2FAB9F63" w14:textId="77777777" w:rsidR="00A30720" w:rsidRPr="00335934" w:rsidRDefault="00A30720" w:rsidP="00335934">
            <w:pPr>
              <w:ind w:left="0" w:right="0"/>
              <w:rPr>
                <w:sz w:val="20"/>
                <w:szCs w:val="20"/>
              </w:rPr>
            </w:pPr>
            <w:r w:rsidRPr="00335934">
              <w:rPr>
                <w:sz w:val="20"/>
                <w:szCs w:val="20"/>
              </w:rPr>
              <w:t>5.7</w:t>
            </w:r>
          </w:p>
        </w:tc>
        <w:tc>
          <w:tcPr>
            <w:tcW w:w="1054" w:type="dxa"/>
          </w:tcPr>
          <w:p w14:paraId="660E592D" w14:textId="77777777" w:rsidR="00A30720" w:rsidRPr="00335934" w:rsidRDefault="00A30720" w:rsidP="00335934">
            <w:pPr>
              <w:ind w:left="0" w:right="0"/>
              <w:rPr>
                <w:sz w:val="20"/>
                <w:szCs w:val="20"/>
              </w:rPr>
            </w:pPr>
            <w:r w:rsidRPr="00335934">
              <w:rPr>
                <w:sz w:val="20"/>
                <w:szCs w:val="20"/>
              </w:rPr>
              <w:t>8.9</w:t>
            </w:r>
          </w:p>
        </w:tc>
      </w:tr>
    </w:tbl>
    <w:p w14:paraId="7D8F5001" w14:textId="77777777" w:rsidR="00A30720" w:rsidRPr="00521428" w:rsidRDefault="00A30720" w:rsidP="00A30720">
      <w:pPr>
        <w:pStyle w:val="TableDescription"/>
      </w:pPr>
      <w:r w:rsidRPr="00521428">
        <w:t>*7879 ng/h/mL; ** 8820 ng/h/mL; Data at the NOAEL is bold</w:t>
      </w:r>
      <w:r>
        <w:t xml:space="preserve"> </w:t>
      </w:r>
      <w:r w:rsidR="00D17D39">
        <w:t>PPD = Post-partum day</w:t>
      </w:r>
    </w:p>
    <w:p w14:paraId="7DFD4446" w14:textId="77777777" w:rsidR="00D56F44" w:rsidRPr="00087B86" w:rsidRDefault="00D56F44" w:rsidP="00D56F44">
      <w:r>
        <w:t xml:space="preserve">In the Nonclinical Overview the </w:t>
      </w:r>
      <w:r w:rsidR="00335934">
        <w:t>sponsor</w:t>
      </w:r>
      <w:r>
        <w:t xml:space="preserve"> chose not only to pool the results for sexes but also to average out the AUC</w:t>
      </w:r>
      <w:r w:rsidRPr="00CF16E5">
        <w:rPr>
          <w:vertAlign w:val="subscript"/>
        </w:rPr>
        <w:t>0-24h</w:t>
      </w:r>
      <w:r>
        <w:t xml:space="preserve"> values across </w:t>
      </w:r>
      <w:r w:rsidR="00D17D39">
        <w:t>Post-partum day (</w:t>
      </w:r>
      <w:r>
        <w:t>PPD</w:t>
      </w:r>
      <w:r w:rsidR="00D17D39">
        <w:t>)</w:t>
      </w:r>
      <w:r>
        <w:t xml:space="preserve"> 21 and PPD 69, yielding m</w:t>
      </w:r>
      <w:r w:rsidRPr="005E7767">
        <w:t xml:space="preserve">oderate </w:t>
      </w:r>
      <w:r>
        <w:t xml:space="preserve">multiples of the </w:t>
      </w:r>
      <w:r w:rsidRPr="00B4142C">
        <w:t xml:space="preserve">anticipated clinical systemic exposure of approximately </w:t>
      </w:r>
      <w:r w:rsidR="00FD708D" w:rsidRPr="00B4142C">
        <w:lastRenderedPageBreak/>
        <w:t xml:space="preserve">7 to 8 </w:t>
      </w:r>
      <w:r w:rsidRPr="00B4142C">
        <w:t xml:space="preserve">fold at the </w:t>
      </w:r>
      <w:r w:rsidR="00B4142C" w:rsidRPr="00B4142C">
        <w:t>no observable effect level (</w:t>
      </w:r>
      <w:r w:rsidRPr="00B4142C">
        <w:t>NOEL</w:t>
      </w:r>
      <w:r w:rsidR="00B4142C" w:rsidRPr="00B4142C">
        <w:t>)</w:t>
      </w:r>
      <w:r w:rsidRPr="00B4142C">
        <w:t>. However</w:t>
      </w:r>
      <w:r>
        <w:t>, this approach masks the results in males which show no safety margin at the NOEL for animals on PPD 69.</w:t>
      </w:r>
    </w:p>
    <w:p w14:paraId="783132D4" w14:textId="77777777" w:rsidR="00335934" w:rsidRDefault="00D56F44" w:rsidP="00D56F44">
      <w:r>
        <w:t>There were no significant, persistent, treatment-related effects of bosentan on clinical chemistry, histopathology, developmental indices or reproductive performance at 1</w:t>
      </w:r>
      <w:r w:rsidR="00197761">
        <w:t>5 </w:t>
      </w:r>
      <w:r w:rsidRPr="000A3DA2">
        <w:t>mg/kg/day</w:t>
      </w:r>
      <w:r>
        <w:t xml:space="preserve">, which was established as the NOEL. The primary findings in the pivotal study at </w:t>
      </w:r>
      <w:r w:rsidR="00FD708D">
        <w:t xml:space="preserve">≥ </w:t>
      </w:r>
      <w:r w:rsidRPr="00630E74">
        <w:t xml:space="preserve">45 mg/kg/day </w:t>
      </w:r>
      <w:r>
        <w:t>were reduced body weight gain, reduced femur length, increased relative heart weight and reduced testis weight (at 135 mg/kg only)</w:t>
      </w:r>
      <w:r w:rsidR="00335934">
        <w:t>.</w:t>
      </w:r>
    </w:p>
    <w:p w14:paraId="1277E388" w14:textId="77777777" w:rsidR="00D56F44" w:rsidRDefault="00D56F44" w:rsidP="00D56F44">
      <w:r>
        <w:t>Reductions in mean food consumption and mean body weight gain lasted longer and were greater in females than males and the reductions in femur length correlated with these changes in both sexes: at PPD 21 long bone length was reduced in both males (exposure margin range: 21 to 24) and females (exposure margin range: 31 to 34) whereas at PPD 70 only females showed this effect.</w:t>
      </w:r>
    </w:p>
    <w:p w14:paraId="1C609D45" w14:textId="77777777" w:rsidR="00335934" w:rsidRDefault="00D56F44" w:rsidP="00D56F44">
      <w:r>
        <w:t>At necropsy (PPD70), the MD and HD females and the HD males had increased relative heart weights but absolute heart weights were unchanged and there were no microscopic correlates</w:t>
      </w:r>
      <w:r w:rsidR="00335934">
        <w:t>.</w:t>
      </w:r>
    </w:p>
    <w:p w14:paraId="417E10C5" w14:textId="6ADB6175" w:rsidR="00335934" w:rsidRDefault="00D56F44" w:rsidP="00D56F44">
      <w:r w:rsidRPr="00320D92">
        <w:t>At P</w:t>
      </w:r>
      <w:r>
        <w:t>P</w:t>
      </w:r>
      <w:r w:rsidRPr="00320D92">
        <w:t>D</w:t>
      </w:r>
      <w:r w:rsidR="000C363C">
        <w:t xml:space="preserve"> </w:t>
      </w:r>
      <w:r>
        <w:t>70</w:t>
      </w:r>
      <w:r w:rsidRPr="00320D92">
        <w:t xml:space="preserve">, a statistically significant reduction in absolute </w:t>
      </w:r>
      <w:proofErr w:type="spellStart"/>
      <w:r w:rsidRPr="00320D92">
        <w:t>epididymides</w:t>
      </w:r>
      <w:proofErr w:type="spellEnd"/>
      <w:r w:rsidRPr="00320D92">
        <w:t xml:space="preserve"> weights was observed </w:t>
      </w:r>
      <w:r>
        <w:t>at</w:t>
      </w:r>
      <w:r w:rsidRPr="00320D92">
        <w:t xml:space="preserve"> all doses </w:t>
      </w:r>
      <w:r>
        <w:rPr>
          <w:i/>
        </w:rPr>
        <w:t xml:space="preserve">cf. </w:t>
      </w:r>
      <w:r w:rsidRPr="00320D92">
        <w:t>control</w:t>
      </w:r>
      <w:r>
        <w:t xml:space="preserve"> (exposure margin </w:t>
      </w:r>
      <w:r w:rsidR="00FD708D">
        <w:t xml:space="preserve">≥ </w:t>
      </w:r>
      <w:r>
        <w:t xml:space="preserve">clinical exposure). Reductions in </w:t>
      </w:r>
      <w:r w:rsidRPr="00320D92">
        <w:t xml:space="preserve">sperm counts </w:t>
      </w:r>
      <w:r>
        <w:t xml:space="preserve">were noted for both L/R caudal </w:t>
      </w:r>
      <w:proofErr w:type="spellStart"/>
      <w:r>
        <w:t>epididymes</w:t>
      </w:r>
      <w:proofErr w:type="spellEnd"/>
      <w:r>
        <w:t xml:space="preserve"> in HD juvenile males (exposure margin about 6). Exposure at the NOEL for sperm count (PPD 69) was approximately twice that anticipated clinically.</w:t>
      </w:r>
      <w:r w:rsidR="00335934">
        <w:t xml:space="preserve"> </w:t>
      </w:r>
      <w:r>
        <w:t xml:space="preserve">These findings should be included in the Product Information </w:t>
      </w:r>
      <w:r w:rsidR="000A77C9">
        <w:t xml:space="preserve">(PI) </w:t>
      </w:r>
      <w:r>
        <w:t>(see discussion below)</w:t>
      </w:r>
      <w:r w:rsidR="00335934">
        <w:t>.</w:t>
      </w:r>
    </w:p>
    <w:p w14:paraId="1C5631F5" w14:textId="77777777" w:rsidR="008E7846" w:rsidRDefault="008E7846" w:rsidP="008E7846">
      <w:pPr>
        <w:pStyle w:val="Heading3"/>
      </w:pPr>
      <w:bookmarkStart w:id="50" w:name="_Toc247691515"/>
      <w:bookmarkStart w:id="51" w:name="_Toc314842499"/>
      <w:bookmarkStart w:id="52" w:name="_Toc519764285"/>
      <w:bookmarkEnd w:id="48"/>
      <w:bookmarkEnd w:id="49"/>
      <w:r>
        <w:t>Nonclinical conclusions</w:t>
      </w:r>
      <w:bookmarkEnd w:id="50"/>
      <w:bookmarkEnd w:id="51"/>
      <w:r w:rsidR="00D56F44">
        <w:t xml:space="preserve"> and recommendation</w:t>
      </w:r>
      <w:bookmarkEnd w:id="52"/>
    </w:p>
    <w:p w14:paraId="31C7360F" w14:textId="2DC95805" w:rsidR="00D56F44" w:rsidRDefault="00D56F44" w:rsidP="00D56F44">
      <w:r>
        <w:t>T</w:t>
      </w:r>
      <w:r w:rsidRPr="00550A00">
        <w:t>he safety of bosentan in the juvenile population was assessed in a dos</w:t>
      </w:r>
      <w:r w:rsidR="00197761">
        <w:t xml:space="preserve">e range </w:t>
      </w:r>
      <w:r w:rsidRPr="00550A00">
        <w:t>finding</w:t>
      </w:r>
      <w:r>
        <w:t xml:space="preserve"> </w:t>
      </w:r>
      <w:r w:rsidR="00197761">
        <w:t xml:space="preserve">study and a full, </w:t>
      </w:r>
      <w:r w:rsidR="000C363C">
        <w:t xml:space="preserve">Good Laboratory Practice </w:t>
      </w:r>
      <w:r w:rsidR="00B4142C">
        <w:t>(</w:t>
      </w:r>
      <w:r w:rsidR="00197761">
        <w:t>GLP</w:t>
      </w:r>
      <w:r w:rsidR="00B4142C">
        <w:t>)</w:t>
      </w:r>
      <w:r w:rsidR="00197761">
        <w:t xml:space="preserve"> </w:t>
      </w:r>
      <w:r w:rsidRPr="00550A00">
        <w:t xml:space="preserve">compliant toxicity study </w:t>
      </w:r>
      <w:r>
        <w:t xml:space="preserve">and </w:t>
      </w:r>
      <w:r w:rsidRPr="00550A00">
        <w:t>fertility assessment of the</w:t>
      </w:r>
      <w:r>
        <w:t xml:space="preserve"> </w:t>
      </w:r>
      <w:r w:rsidR="000C363C">
        <w:t xml:space="preserve">first </w:t>
      </w:r>
      <w:r w:rsidR="00B4142C" w:rsidRPr="00B4142C">
        <w:t>filial (</w:t>
      </w:r>
      <w:r w:rsidRPr="00B4142C">
        <w:t>F1</w:t>
      </w:r>
      <w:r w:rsidR="00B4142C" w:rsidRPr="00B4142C">
        <w:t>)</w:t>
      </w:r>
      <w:r w:rsidRPr="00550A00">
        <w:t xml:space="preserve"> generation in neonatal/juvenile Han Wistar rat</w:t>
      </w:r>
      <w:r>
        <w:t>s.</w:t>
      </w:r>
    </w:p>
    <w:p w14:paraId="42719DD0" w14:textId="77777777" w:rsidR="00D56F44" w:rsidRDefault="00D56F44" w:rsidP="00D56F44">
      <w:r>
        <w:t>There are no major concerns for juvenile toxicity with respect to growth, development, cognitive, sensory and reproductive function.</w:t>
      </w:r>
    </w:p>
    <w:p w14:paraId="1BC00F87" w14:textId="77777777" w:rsidR="00D56F44" w:rsidRDefault="00D56F44" w:rsidP="00D56F44">
      <w:r>
        <w:t xml:space="preserve">Reductions in testes and </w:t>
      </w:r>
      <w:proofErr w:type="spellStart"/>
      <w:r>
        <w:t>epididymal</w:t>
      </w:r>
      <w:proofErr w:type="spellEnd"/>
      <w:r>
        <w:t xml:space="preserve"> weight were noted in juvenile rats at PPD 70 at similar to, or greater than, the expected clinical exposure levels (based on AUC).</w:t>
      </w:r>
    </w:p>
    <w:p w14:paraId="32207527" w14:textId="77777777" w:rsidR="00D56F44" w:rsidRDefault="00D56F44" w:rsidP="00D56F44">
      <w:r w:rsidRPr="000373C3">
        <w:t xml:space="preserve">Reductions in sperm counts were noted for both </w:t>
      </w:r>
      <w:r w:rsidR="00197761">
        <w:t>left and right</w:t>
      </w:r>
      <w:r w:rsidRPr="000373C3">
        <w:t xml:space="preserve"> caudal </w:t>
      </w:r>
      <w:proofErr w:type="spellStart"/>
      <w:r w:rsidRPr="000373C3">
        <w:t>epididymes</w:t>
      </w:r>
      <w:proofErr w:type="spellEnd"/>
      <w:r w:rsidRPr="000373C3">
        <w:t xml:space="preserve"> in HD juvenile males (exposure margin about </w:t>
      </w:r>
      <w:r>
        <w:t>6</w:t>
      </w:r>
      <w:r w:rsidRPr="000373C3">
        <w:t>)</w:t>
      </w:r>
      <w:r>
        <w:t xml:space="preserve"> with a NOEL exposure margin of about 2 (AUC).</w:t>
      </w:r>
    </w:p>
    <w:p w14:paraId="223B1B1B" w14:textId="41A19032" w:rsidR="00D56F44" w:rsidRDefault="00D56F44" w:rsidP="00D56F44">
      <w:r w:rsidRPr="004C4028">
        <w:t xml:space="preserve">While these specific findings have not been noted with bosentan for adult rats, testicular findings have previously been noted in adult rats with other endothelin receptor antagonists such as </w:t>
      </w:r>
      <w:proofErr w:type="spellStart"/>
      <w:r w:rsidRPr="002A192A">
        <w:t>macitentan</w:t>
      </w:r>
      <w:proofErr w:type="spellEnd"/>
      <w:r w:rsidRPr="002A192A">
        <w:t xml:space="preserve"> (</w:t>
      </w:r>
      <w:r w:rsidR="000C363C">
        <w:t xml:space="preserve">Submission </w:t>
      </w:r>
      <w:r w:rsidRPr="002A192A">
        <w:t>PM-2012-04112-1-3) and</w:t>
      </w:r>
      <w:r w:rsidRPr="004C4028">
        <w:t xml:space="preserve"> </w:t>
      </w:r>
      <w:r w:rsidR="00E50438">
        <w:t>[information redacted]</w:t>
      </w:r>
      <w:r w:rsidRPr="004C4028">
        <w:t xml:space="preserve"> and decreased sperm concentrations have been observed clinically with bosentan (Study AC-052-402), warranting the inclusion of appropriate warnings in the </w:t>
      </w:r>
      <w:r w:rsidR="00197761">
        <w:t>PI</w:t>
      </w:r>
      <w:r w:rsidRPr="004C4028">
        <w:t xml:space="preserve"> and RMP documents</w:t>
      </w:r>
      <w:r>
        <w:t>.</w:t>
      </w:r>
    </w:p>
    <w:p w14:paraId="508BAEA7" w14:textId="77777777" w:rsidR="00D56F44" w:rsidRDefault="00D56F44" w:rsidP="00D56F44">
      <w:r>
        <w:t>Overall, t</w:t>
      </w:r>
      <w:r w:rsidRPr="00461B0E">
        <w:t xml:space="preserve">he results </w:t>
      </w:r>
      <w:r>
        <w:t xml:space="preserve">from the pivotal </w:t>
      </w:r>
      <w:r w:rsidRPr="00461B0E">
        <w:t>toxicity</w:t>
      </w:r>
      <w:r>
        <w:t xml:space="preserve"> study </w:t>
      </w:r>
      <w:r w:rsidRPr="00461B0E">
        <w:t xml:space="preserve">in </w:t>
      </w:r>
      <w:r w:rsidRPr="00550A00">
        <w:t>neonatal/</w:t>
      </w:r>
      <w:r w:rsidRPr="00461B0E">
        <w:t xml:space="preserve">juvenile rats </w:t>
      </w:r>
      <w:r>
        <w:t xml:space="preserve">submitted by the sponsor </w:t>
      </w:r>
      <w:r w:rsidRPr="00461B0E">
        <w:t>support the use of bosentan in the</w:t>
      </w:r>
      <w:r>
        <w:t xml:space="preserve"> </w:t>
      </w:r>
      <w:r w:rsidRPr="00461B0E">
        <w:t>paediatric population</w:t>
      </w:r>
      <w:r>
        <w:t>.</w:t>
      </w:r>
    </w:p>
    <w:p w14:paraId="19B82053" w14:textId="77777777" w:rsidR="00D56F44" w:rsidRPr="00D56F44" w:rsidRDefault="00D56F44" w:rsidP="00D56F44">
      <w:r>
        <w:t xml:space="preserve">The </w:t>
      </w:r>
      <w:r w:rsidR="00197761">
        <w:t>nonclinical evaluator also made recommendations with regard to the PI</w:t>
      </w:r>
      <w:r>
        <w:t xml:space="preserve"> document </w:t>
      </w:r>
      <w:r w:rsidR="00197761">
        <w:t>however presentation of this is beyond the scope of the AusPAR.</w:t>
      </w:r>
    </w:p>
    <w:p w14:paraId="47BCD9F5" w14:textId="77777777" w:rsidR="008E7846" w:rsidRPr="00254787" w:rsidRDefault="008E7846" w:rsidP="008E7846">
      <w:pPr>
        <w:pStyle w:val="Heading2"/>
      </w:pPr>
      <w:bookmarkStart w:id="53" w:name="_Toc196046462"/>
      <w:bookmarkStart w:id="54" w:name="_Toc247691516"/>
      <w:bookmarkStart w:id="55" w:name="_Toc314842500"/>
      <w:bookmarkStart w:id="56" w:name="_Toc519764286"/>
      <w:bookmarkStart w:id="57" w:name="_Toc163441353"/>
      <w:bookmarkStart w:id="58" w:name="_Toc163441348"/>
      <w:r>
        <w:t xml:space="preserve">V. </w:t>
      </w:r>
      <w:r w:rsidRPr="00254787">
        <w:t>Clinical</w:t>
      </w:r>
      <w:bookmarkEnd w:id="53"/>
      <w:r>
        <w:t xml:space="preserve"> </w:t>
      </w:r>
      <w:r w:rsidR="003A7F6C">
        <w:t>f</w:t>
      </w:r>
      <w:r>
        <w:t>indings</w:t>
      </w:r>
      <w:bookmarkEnd w:id="54"/>
      <w:bookmarkEnd w:id="55"/>
      <w:bookmarkEnd w:id="56"/>
    </w:p>
    <w:p w14:paraId="3302629F" w14:textId="77777777" w:rsidR="00C80137" w:rsidRDefault="00C80137" w:rsidP="00D425BB">
      <w:bookmarkStart w:id="59" w:name="_Toc196046463"/>
      <w:r>
        <w:t xml:space="preserve">A summary of the </w:t>
      </w:r>
      <w:r w:rsidRPr="00FD70B8">
        <w:t xml:space="preserve">clinical findings is presented in this section. </w:t>
      </w:r>
      <w:r>
        <w:t xml:space="preserve">Further details of these </w:t>
      </w:r>
      <w:r w:rsidRPr="00FD70B8">
        <w:t xml:space="preserve">clinical findings can be found in Attachment </w:t>
      </w:r>
      <w:r w:rsidR="00A27757">
        <w:t>1</w:t>
      </w:r>
      <w:r w:rsidRPr="00FD70B8">
        <w:t>.</w:t>
      </w:r>
    </w:p>
    <w:p w14:paraId="7D8E46B3" w14:textId="77777777" w:rsidR="008E7846" w:rsidRDefault="008E7846" w:rsidP="008E7846">
      <w:pPr>
        <w:pStyle w:val="Heading3"/>
      </w:pPr>
      <w:bookmarkStart w:id="60" w:name="_Toc247691517"/>
      <w:bookmarkStart w:id="61" w:name="_Toc314842501"/>
      <w:bookmarkStart w:id="62" w:name="_Toc519764287"/>
      <w:r w:rsidRPr="00254787">
        <w:lastRenderedPageBreak/>
        <w:t>Introduction</w:t>
      </w:r>
      <w:bookmarkEnd w:id="59"/>
      <w:bookmarkEnd w:id="60"/>
      <w:bookmarkEnd w:id="61"/>
      <w:bookmarkEnd w:id="62"/>
    </w:p>
    <w:p w14:paraId="563B322B" w14:textId="77777777" w:rsidR="00605AD4" w:rsidRDefault="00605AD4" w:rsidP="00605AD4">
      <w:pPr>
        <w:pStyle w:val="Heading4"/>
      </w:pPr>
      <w:bookmarkStart w:id="63" w:name="_Toc196046464"/>
      <w:bookmarkStart w:id="64" w:name="_Toc247691518"/>
      <w:bookmarkStart w:id="65" w:name="_Toc314842502"/>
      <w:r w:rsidRPr="00605AD4">
        <w:t xml:space="preserve">Clinical </w:t>
      </w:r>
      <w:r w:rsidR="00EF59DC">
        <w:t>r</w:t>
      </w:r>
      <w:r w:rsidRPr="00605AD4">
        <w:t>ationale</w:t>
      </w:r>
    </w:p>
    <w:p w14:paraId="38008040" w14:textId="77777777" w:rsidR="00884778" w:rsidRDefault="00884778" w:rsidP="00884778">
      <w:pPr>
        <w:rPr>
          <w:lang w:eastAsia="ja-JP"/>
        </w:rPr>
      </w:pPr>
      <w:r>
        <w:rPr>
          <w:lang w:eastAsia="ja-JP"/>
        </w:rPr>
        <w:t xml:space="preserve">At the time of the original marketing authorisation of </w:t>
      </w:r>
      <w:r w:rsidR="00335934">
        <w:rPr>
          <w:lang w:eastAsia="ja-JP"/>
        </w:rPr>
        <w:t>Tracleer</w:t>
      </w:r>
      <w:r>
        <w:rPr>
          <w:lang w:eastAsia="ja-JP"/>
        </w:rPr>
        <w:t xml:space="preserve"> in the EU, an agreement was made with the Committee for Proprietary Medicinal Products (CPMP) that the sponsor would investigate the use of bosentan in paediatric patients with PAH, due to the need for therapy in children.</w:t>
      </w:r>
    </w:p>
    <w:p w14:paraId="0644EEEC" w14:textId="77777777" w:rsidR="00884778" w:rsidRDefault="00884778" w:rsidP="00884778">
      <w:pPr>
        <w:rPr>
          <w:lang w:eastAsia="ja-JP"/>
        </w:rPr>
      </w:pPr>
      <w:r>
        <w:rPr>
          <w:lang w:eastAsia="ja-JP"/>
        </w:rPr>
        <w:t xml:space="preserve">The sponsor studied the use of bosentan in children in Study AC-052-356 (BREATHE-3) using the approved tablet formulation of </w:t>
      </w:r>
      <w:r w:rsidR="00335934">
        <w:rPr>
          <w:lang w:eastAsia="ja-JP"/>
        </w:rPr>
        <w:t>Tracleer</w:t>
      </w:r>
      <w:r>
        <w:rPr>
          <w:lang w:eastAsia="ja-JP"/>
        </w:rPr>
        <w:t xml:space="preserve">. BREATHE-3 showed a lower systemic exposure in young children compared to the exposure in adults treated with 125 </w:t>
      </w:r>
      <w:r w:rsidRPr="00E50438">
        <w:rPr>
          <w:lang w:eastAsia="ja-JP"/>
        </w:rPr>
        <w:t>mg BD.</w:t>
      </w:r>
      <w:r>
        <w:rPr>
          <w:lang w:eastAsia="ja-JP"/>
        </w:rPr>
        <w:t xml:space="preserve"> Data from this study were submitted to the CHMP for inclusion in the </w:t>
      </w:r>
      <w:r w:rsidR="00335934">
        <w:rPr>
          <w:lang w:eastAsia="ja-JP"/>
        </w:rPr>
        <w:t>Tracleer</w:t>
      </w:r>
      <w:r>
        <w:rPr>
          <w:lang w:eastAsia="ja-JP"/>
        </w:rPr>
        <w:t xml:space="preserve"> Summary of Product Characteristics (SmPC). The CHMP was of the opinion that data from BREATHE-3 were insufficient to support a therapeutic indication in children for two main reasons:</w:t>
      </w:r>
    </w:p>
    <w:p w14:paraId="1D8E74C8" w14:textId="77777777" w:rsidR="00884778" w:rsidRDefault="00884778" w:rsidP="00884778">
      <w:pPr>
        <w:pStyle w:val="Numberbullet0"/>
        <w:numPr>
          <w:ilvl w:val="0"/>
          <w:numId w:val="42"/>
        </w:numPr>
      </w:pPr>
      <w:r w:rsidRPr="00482EC1">
        <w:t>The number of paediatric patients exposed was considered too small</w:t>
      </w:r>
      <w:r>
        <w:t>.</w:t>
      </w:r>
    </w:p>
    <w:p w14:paraId="7D22D41A" w14:textId="77777777" w:rsidR="00884778" w:rsidRDefault="00884778" w:rsidP="00884778">
      <w:pPr>
        <w:pStyle w:val="Numberbullet0"/>
        <w:numPr>
          <w:ilvl w:val="0"/>
          <w:numId w:val="42"/>
        </w:numPr>
      </w:pPr>
      <w:r w:rsidRPr="00482EC1">
        <w:t>The dose of bosentan used may have been suboptimal since mean plasma concentrations of bosentan obtained in children were lower than those observed in adult PAH patients</w:t>
      </w:r>
      <w:r>
        <w:t>.</w:t>
      </w:r>
    </w:p>
    <w:p w14:paraId="3C2FD32B" w14:textId="77777777" w:rsidR="00884778" w:rsidRDefault="00884778" w:rsidP="00884778">
      <w:pPr>
        <w:rPr>
          <w:lang w:eastAsia="ja-JP"/>
        </w:rPr>
      </w:pPr>
      <w:r>
        <w:rPr>
          <w:lang w:eastAsia="ja-JP"/>
        </w:rPr>
        <w:t>The CHMP agreed to include the dosage information from BREATHE-3 in the SmPC.</w:t>
      </w:r>
    </w:p>
    <w:p w14:paraId="11C4FDDA" w14:textId="204285AB" w:rsidR="00884778" w:rsidRPr="00BE470F" w:rsidRDefault="00884778" w:rsidP="00884778">
      <w:pPr>
        <w:rPr>
          <w:lang w:eastAsia="ja-JP"/>
        </w:rPr>
      </w:pPr>
      <w:r>
        <w:rPr>
          <w:lang w:eastAsia="ja-JP"/>
        </w:rPr>
        <w:t xml:space="preserve">The sponsor has </w:t>
      </w:r>
      <w:r w:rsidRPr="00BE470F">
        <w:rPr>
          <w:lang w:eastAsia="ja-JP"/>
        </w:rPr>
        <w:t>developed a</w:t>
      </w:r>
      <w:r>
        <w:rPr>
          <w:lang w:eastAsia="ja-JP"/>
        </w:rPr>
        <w:t>n oral</w:t>
      </w:r>
      <w:r w:rsidRPr="00BE470F">
        <w:rPr>
          <w:lang w:eastAsia="ja-JP"/>
        </w:rPr>
        <w:t xml:space="preserve"> paediatric formulation of bosentan </w:t>
      </w:r>
      <w:r>
        <w:rPr>
          <w:lang w:eastAsia="ja-JP"/>
        </w:rPr>
        <w:t>to facilitate</w:t>
      </w:r>
      <w:r w:rsidRPr="00BE470F">
        <w:rPr>
          <w:lang w:eastAsia="ja-JP"/>
        </w:rPr>
        <w:t xml:space="preserve"> </w:t>
      </w:r>
      <w:r>
        <w:rPr>
          <w:lang w:eastAsia="ja-JP"/>
        </w:rPr>
        <w:t>weight appropriate</w:t>
      </w:r>
      <w:r w:rsidRPr="00BE470F">
        <w:rPr>
          <w:lang w:eastAsia="ja-JP"/>
        </w:rPr>
        <w:t xml:space="preserve"> dos</w:t>
      </w:r>
      <w:r>
        <w:rPr>
          <w:lang w:eastAsia="ja-JP"/>
        </w:rPr>
        <w:t>ing</w:t>
      </w:r>
      <w:r w:rsidRPr="00BE470F">
        <w:rPr>
          <w:lang w:eastAsia="ja-JP"/>
        </w:rPr>
        <w:t xml:space="preserve"> </w:t>
      </w:r>
      <w:r>
        <w:rPr>
          <w:lang w:eastAsia="ja-JP"/>
        </w:rPr>
        <w:t xml:space="preserve">in children with </w:t>
      </w:r>
      <w:r w:rsidRPr="00BE470F">
        <w:rPr>
          <w:lang w:eastAsia="ja-JP"/>
        </w:rPr>
        <w:t>PAH.</w:t>
      </w:r>
      <w:r>
        <w:rPr>
          <w:lang w:eastAsia="ja-JP"/>
        </w:rPr>
        <w:t xml:space="preserve"> The sponsor and</w:t>
      </w:r>
      <w:r w:rsidRPr="00DE520B">
        <w:rPr>
          <w:lang w:eastAsia="ja-JP"/>
        </w:rPr>
        <w:t xml:space="preserve"> the </w:t>
      </w:r>
      <w:r>
        <w:rPr>
          <w:lang w:eastAsia="ja-JP"/>
        </w:rPr>
        <w:t>EMA</w:t>
      </w:r>
      <w:r w:rsidRPr="00DE520B">
        <w:rPr>
          <w:lang w:eastAsia="ja-JP"/>
        </w:rPr>
        <w:t xml:space="preserve"> reach</w:t>
      </w:r>
      <w:r>
        <w:rPr>
          <w:lang w:eastAsia="ja-JP"/>
        </w:rPr>
        <w:t>ed</w:t>
      </w:r>
      <w:r w:rsidRPr="00DE520B">
        <w:rPr>
          <w:lang w:eastAsia="ja-JP"/>
        </w:rPr>
        <w:t xml:space="preserve"> agreement on the</w:t>
      </w:r>
      <w:r>
        <w:rPr>
          <w:lang w:eastAsia="ja-JP"/>
        </w:rPr>
        <w:t xml:space="preserve"> </w:t>
      </w:r>
      <w:r w:rsidRPr="00DE520B">
        <w:rPr>
          <w:lang w:eastAsia="ja-JP"/>
        </w:rPr>
        <w:t>similarity of the disease of PAH in</w:t>
      </w:r>
      <w:r>
        <w:rPr>
          <w:lang w:eastAsia="ja-JP"/>
        </w:rPr>
        <w:t xml:space="preserve"> adults and children and on </w:t>
      </w:r>
      <w:r w:rsidRPr="00DE520B">
        <w:rPr>
          <w:lang w:eastAsia="ja-JP"/>
        </w:rPr>
        <w:t xml:space="preserve">study design </w:t>
      </w:r>
      <w:r>
        <w:rPr>
          <w:lang w:eastAsia="ja-JP"/>
        </w:rPr>
        <w:t xml:space="preserve">in order </w:t>
      </w:r>
      <w:r w:rsidRPr="00DE520B">
        <w:rPr>
          <w:lang w:eastAsia="ja-JP"/>
        </w:rPr>
        <w:t>to obtain</w:t>
      </w:r>
      <w:r>
        <w:rPr>
          <w:lang w:eastAsia="ja-JP"/>
        </w:rPr>
        <w:t xml:space="preserve"> </w:t>
      </w:r>
      <w:r w:rsidRPr="00DE520B">
        <w:rPr>
          <w:lang w:eastAsia="ja-JP"/>
        </w:rPr>
        <w:t xml:space="preserve">approval </w:t>
      </w:r>
      <w:r>
        <w:rPr>
          <w:lang w:eastAsia="ja-JP"/>
        </w:rPr>
        <w:t>for</w:t>
      </w:r>
      <w:r w:rsidRPr="00DE520B">
        <w:rPr>
          <w:lang w:eastAsia="ja-JP"/>
        </w:rPr>
        <w:t xml:space="preserve"> the indication </w:t>
      </w:r>
      <w:r>
        <w:rPr>
          <w:lang w:eastAsia="ja-JP"/>
        </w:rPr>
        <w:t>‘</w:t>
      </w:r>
      <w:r w:rsidRPr="00DE520B">
        <w:rPr>
          <w:lang w:eastAsia="ja-JP"/>
        </w:rPr>
        <w:t>treatment of PAH in children</w:t>
      </w:r>
      <w:r>
        <w:rPr>
          <w:lang w:eastAsia="ja-JP"/>
        </w:rPr>
        <w:t xml:space="preserve">’ and the paediatric </w:t>
      </w:r>
      <w:r w:rsidRPr="00DE520B">
        <w:rPr>
          <w:lang w:eastAsia="ja-JP"/>
        </w:rPr>
        <w:t xml:space="preserve">formulation. </w:t>
      </w:r>
      <w:r>
        <w:rPr>
          <w:lang w:eastAsia="ja-JP"/>
        </w:rPr>
        <w:t>The a</w:t>
      </w:r>
      <w:r w:rsidRPr="00BE470F">
        <w:rPr>
          <w:lang w:eastAsia="ja-JP"/>
        </w:rPr>
        <w:t xml:space="preserve">gencies </w:t>
      </w:r>
      <w:r>
        <w:rPr>
          <w:lang w:eastAsia="ja-JP"/>
        </w:rPr>
        <w:t xml:space="preserve">are reported to have </w:t>
      </w:r>
      <w:r w:rsidRPr="00BE470F">
        <w:rPr>
          <w:lang w:eastAsia="ja-JP"/>
        </w:rPr>
        <w:t>agreed that the pathophysiology, evolution, and progression</w:t>
      </w:r>
      <w:r>
        <w:rPr>
          <w:lang w:eastAsia="ja-JP"/>
        </w:rPr>
        <w:t xml:space="preserve"> </w:t>
      </w:r>
      <w:r w:rsidRPr="00BE470F">
        <w:rPr>
          <w:lang w:eastAsia="ja-JP"/>
        </w:rPr>
        <w:t>of idiopathic or familial PAH are similar between children and adults</w:t>
      </w:r>
      <w:r>
        <w:rPr>
          <w:lang w:eastAsia="ja-JP"/>
        </w:rPr>
        <w:t>. Therefore</w:t>
      </w:r>
      <w:r w:rsidRPr="00BE470F">
        <w:rPr>
          <w:lang w:eastAsia="ja-JP"/>
        </w:rPr>
        <w:t xml:space="preserve">, </w:t>
      </w:r>
      <w:r>
        <w:rPr>
          <w:lang w:eastAsia="ja-JP"/>
        </w:rPr>
        <w:t xml:space="preserve">the </w:t>
      </w:r>
      <w:r w:rsidRPr="00BE470F">
        <w:rPr>
          <w:lang w:eastAsia="ja-JP"/>
        </w:rPr>
        <w:t xml:space="preserve">treatment effect of bosentan could be assumed </w:t>
      </w:r>
      <w:r>
        <w:rPr>
          <w:lang w:eastAsia="ja-JP"/>
        </w:rPr>
        <w:t xml:space="preserve">to be similar across age groups </w:t>
      </w:r>
      <w:r w:rsidRPr="00BE470F">
        <w:rPr>
          <w:lang w:eastAsia="ja-JP"/>
        </w:rPr>
        <w:t>provided that similar pla</w:t>
      </w:r>
      <w:r>
        <w:rPr>
          <w:lang w:eastAsia="ja-JP"/>
        </w:rPr>
        <w:t xml:space="preserve">sma concentrations are reached. The sponsor states that a pharmacokinetic </w:t>
      </w:r>
      <w:r w:rsidRPr="00BE470F">
        <w:rPr>
          <w:lang w:eastAsia="ja-JP"/>
        </w:rPr>
        <w:t>(PK) study investigating the safety and tolerabi</w:t>
      </w:r>
      <w:r>
        <w:rPr>
          <w:lang w:eastAsia="ja-JP"/>
        </w:rPr>
        <w:t>lity of bosentan (</w:t>
      </w:r>
      <w:r w:rsidR="000C363C">
        <w:rPr>
          <w:lang w:eastAsia="ja-JP"/>
        </w:rPr>
        <w:t xml:space="preserve">Study </w:t>
      </w:r>
      <w:r w:rsidRPr="00F6471A">
        <w:rPr>
          <w:lang w:eastAsia="ja-JP"/>
        </w:rPr>
        <w:t>AC-052-365</w:t>
      </w:r>
      <w:r w:rsidR="000C363C">
        <w:rPr>
          <w:lang w:eastAsia="ja-JP"/>
        </w:rPr>
        <w:t xml:space="preserve">, also referred to as </w:t>
      </w:r>
      <w:r>
        <w:rPr>
          <w:lang w:eastAsia="ja-JP"/>
        </w:rPr>
        <w:t xml:space="preserve">FUTURE-1) was </w:t>
      </w:r>
      <w:r w:rsidRPr="00BE470F">
        <w:rPr>
          <w:lang w:eastAsia="ja-JP"/>
        </w:rPr>
        <w:t>considered adequate to obtain approval of the paediatric formulation of bosentan.</w:t>
      </w:r>
    </w:p>
    <w:p w14:paraId="4D4B56E2" w14:textId="4F02F71C" w:rsidR="00884778" w:rsidRDefault="00884778" w:rsidP="00884778">
      <w:pPr>
        <w:rPr>
          <w:lang w:eastAsia="ja-JP"/>
        </w:rPr>
      </w:pPr>
      <w:r>
        <w:rPr>
          <w:lang w:eastAsia="ja-JP"/>
        </w:rPr>
        <w:t>As</w:t>
      </w:r>
      <w:r w:rsidRPr="00BE470F">
        <w:rPr>
          <w:lang w:eastAsia="ja-JP"/>
        </w:rPr>
        <w:t xml:space="preserve"> data from BREATHE-3 indicated a </w:t>
      </w:r>
      <w:r>
        <w:rPr>
          <w:lang w:eastAsia="ja-JP"/>
        </w:rPr>
        <w:t xml:space="preserve">lower than expected exposure to bosentan in </w:t>
      </w:r>
      <w:r w:rsidRPr="00BE470F">
        <w:rPr>
          <w:lang w:eastAsia="ja-JP"/>
        </w:rPr>
        <w:t xml:space="preserve">paediatric </w:t>
      </w:r>
      <w:r w:rsidRPr="00FE6C13">
        <w:rPr>
          <w:lang w:eastAsia="ja-JP"/>
        </w:rPr>
        <w:t>patients (</w:t>
      </w:r>
      <w:r w:rsidR="00FE6C13" w:rsidRPr="00FE6C13">
        <w:rPr>
          <w:lang w:eastAsia="ja-JP"/>
        </w:rPr>
        <w:t>Table 5</w:t>
      </w:r>
      <w:r w:rsidRPr="00FE6C13">
        <w:rPr>
          <w:lang w:eastAsia="ja-JP"/>
        </w:rPr>
        <w:t>), the</w:t>
      </w:r>
      <w:r w:rsidRPr="00BE470F">
        <w:rPr>
          <w:lang w:eastAsia="ja-JP"/>
        </w:rPr>
        <w:t xml:space="preserve"> FUTURE programme (FUTU</w:t>
      </w:r>
      <w:r>
        <w:rPr>
          <w:lang w:eastAsia="ja-JP"/>
        </w:rPr>
        <w:t xml:space="preserve">RE-1 and </w:t>
      </w:r>
      <w:r w:rsidR="000C363C">
        <w:rPr>
          <w:lang w:eastAsia="ja-JP"/>
        </w:rPr>
        <w:t xml:space="preserve">Study </w:t>
      </w:r>
      <w:r>
        <w:rPr>
          <w:lang w:eastAsia="ja-JP"/>
        </w:rPr>
        <w:t xml:space="preserve">AC-052-367 </w:t>
      </w:r>
      <w:r w:rsidR="000C363C">
        <w:rPr>
          <w:lang w:eastAsia="ja-JP"/>
        </w:rPr>
        <w:t>(</w:t>
      </w:r>
      <w:r>
        <w:rPr>
          <w:lang w:eastAsia="ja-JP"/>
        </w:rPr>
        <w:t>FUTURE-2</w:t>
      </w:r>
      <w:r w:rsidR="000C363C">
        <w:rPr>
          <w:lang w:eastAsia="ja-JP"/>
        </w:rPr>
        <w:t>)</w:t>
      </w:r>
      <w:r>
        <w:rPr>
          <w:lang w:eastAsia="ja-JP"/>
        </w:rPr>
        <w:t xml:space="preserve">) was designed </w:t>
      </w:r>
      <w:r w:rsidRPr="00BE470F">
        <w:rPr>
          <w:lang w:eastAsia="ja-JP"/>
        </w:rPr>
        <w:t xml:space="preserve">with the </w:t>
      </w:r>
      <w:r>
        <w:rPr>
          <w:lang w:eastAsia="ja-JP"/>
        </w:rPr>
        <w:t>following objectives:</w:t>
      </w:r>
    </w:p>
    <w:p w14:paraId="5E50E8E7" w14:textId="77777777" w:rsidR="00884778" w:rsidRPr="00884778" w:rsidRDefault="00884778" w:rsidP="00884778">
      <w:pPr>
        <w:pStyle w:val="Numberbullet0"/>
        <w:numPr>
          <w:ilvl w:val="0"/>
          <w:numId w:val="43"/>
        </w:numPr>
      </w:pPr>
      <w:r w:rsidRPr="00884778">
        <w:t>To increase the exposure in paediatric patients to that seen in adults.</w:t>
      </w:r>
    </w:p>
    <w:p w14:paraId="6103C6B9" w14:textId="77777777" w:rsidR="00884778" w:rsidRPr="00884778" w:rsidRDefault="00884778" w:rsidP="00884778">
      <w:pPr>
        <w:pStyle w:val="Numberbullet0"/>
        <w:numPr>
          <w:ilvl w:val="0"/>
          <w:numId w:val="43"/>
        </w:numPr>
      </w:pPr>
      <w:r w:rsidRPr="00884778">
        <w:t>To increase the overall paediatric data available from bosentan studies.</w:t>
      </w:r>
    </w:p>
    <w:p w14:paraId="68EB9B1E" w14:textId="6BAB9E90" w:rsidR="00884778" w:rsidRDefault="00884778" w:rsidP="00884778">
      <w:pPr>
        <w:rPr>
          <w:lang w:eastAsia="ja-JP"/>
        </w:rPr>
      </w:pPr>
      <w:r>
        <w:rPr>
          <w:lang w:eastAsia="ja-JP"/>
        </w:rPr>
        <w:t xml:space="preserve">FUTURE-1 </w:t>
      </w:r>
      <w:r w:rsidRPr="00BE470F">
        <w:rPr>
          <w:lang w:eastAsia="ja-JP"/>
        </w:rPr>
        <w:t>was designed as a PK study, with exploratory examina</w:t>
      </w:r>
      <w:r>
        <w:rPr>
          <w:lang w:eastAsia="ja-JP"/>
        </w:rPr>
        <w:t xml:space="preserve">tion of efficacy and safety. </w:t>
      </w:r>
      <w:r w:rsidRPr="00FE6C13">
        <w:rPr>
          <w:lang w:eastAsia="ja-JP"/>
        </w:rPr>
        <w:t xml:space="preserve">Patients with WHO functional </w:t>
      </w:r>
      <w:r w:rsidR="007C535F" w:rsidRPr="00FE6C13">
        <w:rPr>
          <w:lang w:eastAsia="ja-JP"/>
        </w:rPr>
        <w:t>Class</w:t>
      </w:r>
      <w:r w:rsidRPr="00FE6C13">
        <w:rPr>
          <w:lang w:eastAsia="ja-JP"/>
        </w:rPr>
        <w:t xml:space="preserve"> (FC) II or III PAH, received</w:t>
      </w:r>
      <w:r>
        <w:rPr>
          <w:lang w:eastAsia="ja-JP"/>
        </w:rPr>
        <w:t xml:space="preserve"> an initial dose of </w:t>
      </w:r>
      <w:r w:rsidR="00D43E08">
        <w:rPr>
          <w:lang w:eastAsia="ja-JP"/>
        </w:rPr>
        <w:t>2 </w:t>
      </w:r>
      <w:r w:rsidRPr="00BE470F">
        <w:rPr>
          <w:lang w:eastAsia="ja-JP"/>
        </w:rPr>
        <w:t xml:space="preserve">mg/kg </w:t>
      </w:r>
      <w:r>
        <w:rPr>
          <w:lang w:eastAsia="ja-JP"/>
        </w:rPr>
        <w:t>BD</w:t>
      </w:r>
      <w:r w:rsidRPr="00BE470F">
        <w:rPr>
          <w:lang w:eastAsia="ja-JP"/>
        </w:rPr>
        <w:t xml:space="preserve"> for 4 weeks, followed by a maintenance</w:t>
      </w:r>
      <w:r>
        <w:rPr>
          <w:lang w:eastAsia="ja-JP"/>
        </w:rPr>
        <w:t xml:space="preserve"> dose of 4 mg/kg BD up to a </w:t>
      </w:r>
      <w:r w:rsidRPr="00BE470F">
        <w:rPr>
          <w:lang w:eastAsia="ja-JP"/>
        </w:rPr>
        <w:t xml:space="preserve">maximum of 120 mg </w:t>
      </w:r>
      <w:r>
        <w:rPr>
          <w:lang w:eastAsia="ja-JP"/>
        </w:rPr>
        <w:t>BD</w:t>
      </w:r>
      <w:r w:rsidRPr="00BE470F">
        <w:rPr>
          <w:lang w:eastAsia="ja-JP"/>
        </w:rPr>
        <w:t xml:space="preserve"> bosentan for a total tr</w:t>
      </w:r>
      <w:r>
        <w:rPr>
          <w:lang w:eastAsia="ja-JP"/>
        </w:rPr>
        <w:t xml:space="preserve">eatment period of 12 weeks. FUTURE-2 was an open label extension </w:t>
      </w:r>
      <w:r w:rsidRPr="00BE470F">
        <w:rPr>
          <w:lang w:eastAsia="ja-JP"/>
        </w:rPr>
        <w:t xml:space="preserve">of </w:t>
      </w:r>
      <w:r>
        <w:rPr>
          <w:lang w:eastAsia="ja-JP"/>
        </w:rPr>
        <w:t xml:space="preserve">the </w:t>
      </w:r>
      <w:r w:rsidRPr="00BE470F">
        <w:rPr>
          <w:lang w:eastAsia="ja-JP"/>
        </w:rPr>
        <w:t>FUTURE-1</w:t>
      </w:r>
      <w:r>
        <w:rPr>
          <w:lang w:eastAsia="ja-JP"/>
        </w:rPr>
        <w:t xml:space="preserve"> </w:t>
      </w:r>
      <w:r w:rsidR="008D6064">
        <w:rPr>
          <w:lang w:eastAsia="ja-JP"/>
        </w:rPr>
        <w:t>Stud</w:t>
      </w:r>
      <w:r w:rsidR="000C363C">
        <w:rPr>
          <w:lang w:eastAsia="ja-JP"/>
        </w:rPr>
        <w:t>y</w:t>
      </w:r>
      <w:r w:rsidRPr="00BE470F">
        <w:rPr>
          <w:lang w:eastAsia="ja-JP"/>
        </w:rPr>
        <w:t>.</w:t>
      </w:r>
      <w:r>
        <w:rPr>
          <w:lang w:eastAsia="ja-JP"/>
        </w:rPr>
        <w:t xml:space="preserve"> </w:t>
      </w:r>
      <w:r w:rsidRPr="00DE520B">
        <w:rPr>
          <w:lang w:eastAsia="ja-JP"/>
        </w:rPr>
        <w:t xml:space="preserve">Results of the FUTURE-1 </w:t>
      </w:r>
      <w:r w:rsidR="008D6064">
        <w:rPr>
          <w:lang w:eastAsia="ja-JP"/>
        </w:rPr>
        <w:t>Stud</w:t>
      </w:r>
      <w:r w:rsidR="000C363C">
        <w:rPr>
          <w:lang w:eastAsia="ja-JP"/>
        </w:rPr>
        <w:t>y</w:t>
      </w:r>
      <w:r w:rsidR="000C363C" w:rsidRPr="00DE520B">
        <w:rPr>
          <w:lang w:eastAsia="ja-JP"/>
        </w:rPr>
        <w:t xml:space="preserve"> </w:t>
      </w:r>
      <w:r w:rsidRPr="00DE520B">
        <w:rPr>
          <w:lang w:eastAsia="ja-JP"/>
        </w:rPr>
        <w:t>indicated that the PK of bosentan in paediatric patients is</w:t>
      </w:r>
      <w:r>
        <w:rPr>
          <w:lang w:eastAsia="ja-JP"/>
        </w:rPr>
        <w:t xml:space="preserve"> </w:t>
      </w:r>
      <w:r w:rsidRPr="00DE520B">
        <w:rPr>
          <w:lang w:eastAsia="ja-JP"/>
        </w:rPr>
        <w:t>characterised by an absorption plateau that limits exposure to bosentan, despite increasing</w:t>
      </w:r>
      <w:r>
        <w:rPr>
          <w:lang w:eastAsia="ja-JP"/>
        </w:rPr>
        <w:t xml:space="preserve"> </w:t>
      </w:r>
      <w:r w:rsidRPr="002A192A">
        <w:rPr>
          <w:lang w:eastAsia="ja-JP"/>
        </w:rPr>
        <w:t>doses (</w:t>
      </w:r>
      <w:r w:rsidR="002A192A" w:rsidRPr="002A192A">
        <w:rPr>
          <w:lang w:eastAsia="ja-JP"/>
        </w:rPr>
        <w:t>Figure 3</w:t>
      </w:r>
      <w:r w:rsidR="00FE6C13" w:rsidRPr="002A192A">
        <w:rPr>
          <w:lang w:eastAsia="ja-JP"/>
        </w:rPr>
        <w:t>, Table</w:t>
      </w:r>
      <w:r w:rsidR="00FE6C13" w:rsidRPr="00FE6C13">
        <w:rPr>
          <w:lang w:eastAsia="ja-JP"/>
        </w:rPr>
        <w:t xml:space="preserve"> 5</w:t>
      </w:r>
      <w:r w:rsidRPr="008806DA">
        <w:rPr>
          <w:lang w:eastAsia="ja-JP"/>
        </w:rPr>
        <w:t>).</w:t>
      </w:r>
    </w:p>
    <w:p w14:paraId="31AACE07" w14:textId="77777777" w:rsidR="00884778" w:rsidRDefault="00884778" w:rsidP="00884778">
      <w:pPr>
        <w:rPr>
          <w:lang w:eastAsia="ja-JP"/>
        </w:rPr>
      </w:pPr>
      <w:r>
        <w:rPr>
          <w:lang w:eastAsia="ja-JP"/>
        </w:rPr>
        <w:t xml:space="preserve">The paediatric formulation was approved in the EU in 2009 and the </w:t>
      </w:r>
      <w:r>
        <w:t xml:space="preserve">CHMP requested a comparison of </w:t>
      </w:r>
      <w:r w:rsidRPr="00D80DA1">
        <w:t>the in vivo bioavailability</w:t>
      </w:r>
      <w:r>
        <w:t xml:space="preserve"> of the dispersible and film coated tablet formulations as a post approval commitment. </w:t>
      </w:r>
      <w:r w:rsidRPr="00EC2B92">
        <w:rPr>
          <w:lang w:eastAsia="ja-JP"/>
        </w:rPr>
        <w:t xml:space="preserve">The CHMP </w:t>
      </w:r>
      <w:r>
        <w:rPr>
          <w:lang w:eastAsia="ja-JP"/>
        </w:rPr>
        <w:t xml:space="preserve">also requested </w:t>
      </w:r>
      <w:r w:rsidRPr="00EC2B92">
        <w:rPr>
          <w:lang w:eastAsia="ja-JP"/>
        </w:rPr>
        <w:t>that further long term safety and clinical data should be collected in paediatric patients.</w:t>
      </w:r>
      <w:r>
        <w:rPr>
          <w:lang w:eastAsia="ja-JP"/>
        </w:rPr>
        <w:t xml:space="preserve"> </w:t>
      </w:r>
      <w:r>
        <w:t xml:space="preserve">Study AC-052-116 </w:t>
      </w:r>
      <w:r>
        <w:rPr>
          <w:lang w:eastAsia="ja-JP"/>
        </w:rPr>
        <w:t xml:space="preserve">compared the </w:t>
      </w:r>
      <w:r w:rsidRPr="00E70851">
        <w:rPr>
          <w:lang w:eastAsia="ja-JP"/>
        </w:rPr>
        <w:t xml:space="preserve">PK properties of the dispersible tablet with the </w:t>
      </w:r>
      <w:r>
        <w:rPr>
          <w:lang w:eastAsia="ja-JP"/>
        </w:rPr>
        <w:t>film coated</w:t>
      </w:r>
      <w:r w:rsidRPr="00E70851">
        <w:rPr>
          <w:lang w:eastAsia="ja-JP"/>
        </w:rPr>
        <w:t xml:space="preserve"> tablet formulation in healthy adult subjects</w:t>
      </w:r>
      <w:r>
        <w:rPr>
          <w:lang w:eastAsia="ja-JP"/>
        </w:rPr>
        <w:t>.</w:t>
      </w:r>
    </w:p>
    <w:p w14:paraId="00AEAD40" w14:textId="07FBA8F1" w:rsidR="00884778" w:rsidRDefault="000C363C" w:rsidP="00884778">
      <w:pPr>
        <w:rPr>
          <w:lang w:eastAsia="ja-JP"/>
        </w:rPr>
      </w:pPr>
      <w:r>
        <w:rPr>
          <w:lang w:eastAsia="ja-JP"/>
        </w:rPr>
        <w:lastRenderedPageBreak/>
        <w:t xml:space="preserve">Study </w:t>
      </w:r>
      <w:r w:rsidR="00884778">
        <w:rPr>
          <w:lang w:eastAsia="ja-JP"/>
        </w:rPr>
        <w:t xml:space="preserve">AC-052-373 </w:t>
      </w:r>
      <w:r>
        <w:rPr>
          <w:lang w:eastAsia="ja-JP"/>
        </w:rPr>
        <w:t xml:space="preserve">(also referred to as </w:t>
      </w:r>
      <w:r w:rsidR="00884778">
        <w:rPr>
          <w:lang w:eastAsia="ja-JP"/>
        </w:rPr>
        <w:t>FUTURE-</w:t>
      </w:r>
      <w:r w:rsidR="00884778" w:rsidRPr="00812476">
        <w:rPr>
          <w:lang w:eastAsia="ja-JP"/>
        </w:rPr>
        <w:t>3</w:t>
      </w:r>
      <w:r>
        <w:rPr>
          <w:lang w:eastAsia="ja-JP"/>
        </w:rPr>
        <w:t xml:space="preserve">) </w:t>
      </w:r>
      <w:r w:rsidR="00884778" w:rsidRPr="00812476">
        <w:rPr>
          <w:lang w:eastAsia="ja-JP"/>
        </w:rPr>
        <w:t>inv</w:t>
      </w:r>
      <w:r w:rsidR="00884778">
        <w:rPr>
          <w:lang w:eastAsia="ja-JP"/>
        </w:rPr>
        <w:t xml:space="preserve">estigated if increasing the dose </w:t>
      </w:r>
      <w:r w:rsidR="00884778" w:rsidRPr="00812476">
        <w:rPr>
          <w:lang w:eastAsia="ja-JP"/>
        </w:rPr>
        <w:t xml:space="preserve">frequency from </w:t>
      </w:r>
      <w:r w:rsidR="00884778">
        <w:rPr>
          <w:lang w:eastAsia="ja-JP"/>
        </w:rPr>
        <w:t>twice daily</w:t>
      </w:r>
      <w:r w:rsidR="00884778" w:rsidRPr="00812476">
        <w:rPr>
          <w:lang w:eastAsia="ja-JP"/>
        </w:rPr>
        <w:t xml:space="preserve"> </w:t>
      </w:r>
      <w:r w:rsidR="00884778">
        <w:rPr>
          <w:lang w:eastAsia="ja-JP"/>
        </w:rPr>
        <w:t xml:space="preserve">(BD) </w:t>
      </w:r>
      <w:r w:rsidR="00884778" w:rsidRPr="00812476">
        <w:rPr>
          <w:lang w:eastAsia="ja-JP"/>
        </w:rPr>
        <w:t xml:space="preserve">to </w:t>
      </w:r>
      <w:r w:rsidR="00884778">
        <w:rPr>
          <w:lang w:eastAsia="ja-JP"/>
        </w:rPr>
        <w:t>three times daily</w:t>
      </w:r>
      <w:r w:rsidR="00884778" w:rsidRPr="00812476">
        <w:rPr>
          <w:lang w:eastAsia="ja-JP"/>
        </w:rPr>
        <w:t xml:space="preserve"> </w:t>
      </w:r>
      <w:r w:rsidR="00884778">
        <w:rPr>
          <w:lang w:eastAsia="ja-JP"/>
        </w:rPr>
        <w:t xml:space="preserve">(TDS) </w:t>
      </w:r>
      <w:r w:rsidR="00884778" w:rsidRPr="00812476">
        <w:rPr>
          <w:lang w:eastAsia="ja-JP"/>
        </w:rPr>
        <w:t>would increase the</w:t>
      </w:r>
      <w:r w:rsidR="00884778">
        <w:rPr>
          <w:lang w:eastAsia="ja-JP"/>
        </w:rPr>
        <w:t xml:space="preserve"> </w:t>
      </w:r>
      <w:r w:rsidR="00884778" w:rsidRPr="00812476">
        <w:rPr>
          <w:lang w:eastAsia="ja-JP"/>
        </w:rPr>
        <w:t>exposure in paediatric PAH patients.</w:t>
      </w:r>
      <w:r w:rsidR="00884778">
        <w:rPr>
          <w:lang w:eastAsia="ja-JP"/>
        </w:rPr>
        <w:t xml:space="preserve"> The study found that TDS administration in the paediatric PAH population did not increase exposure to bosentan compared to BD </w:t>
      </w:r>
      <w:r w:rsidR="00884778" w:rsidRPr="00FE6C13">
        <w:rPr>
          <w:lang w:eastAsia="ja-JP"/>
        </w:rPr>
        <w:t>administration (</w:t>
      </w:r>
      <w:r w:rsidR="00FE6C13" w:rsidRPr="00FE6C13">
        <w:rPr>
          <w:lang w:eastAsia="ja-JP"/>
        </w:rPr>
        <w:t>Table 6</w:t>
      </w:r>
      <w:r w:rsidR="00884778" w:rsidRPr="00FE6C13">
        <w:rPr>
          <w:lang w:eastAsia="ja-JP"/>
        </w:rPr>
        <w:t>).</w:t>
      </w:r>
    </w:p>
    <w:p w14:paraId="48392766" w14:textId="73F367A3" w:rsidR="00884778" w:rsidRDefault="000C363C" w:rsidP="00884778">
      <w:pPr>
        <w:rPr>
          <w:lang w:eastAsia="ja-JP"/>
        </w:rPr>
      </w:pPr>
      <w:r>
        <w:rPr>
          <w:lang w:eastAsia="ja-JP"/>
        </w:rPr>
        <w:t xml:space="preserve">Study </w:t>
      </w:r>
      <w:r w:rsidR="00884778">
        <w:rPr>
          <w:lang w:eastAsia="ja-JP"/>
        </w:rPr>
        <w:t xml:space="preserve">AC-052-391 </w:t>
      </w:r>
      <w:r>
        <w:rPr>
          <w:lang w:eastAsia="ja-JP"/>
        </w:rPr>
        <w:t xml:space="preserve">(also referred to as </w:t>
      </w:r>
      <w:r w:rsidR="00884778">
        <w:rPr>
          <w:lang w:eastAsia="ja-JP"/>
        </w:rPr>
        <w:t>FUTURE-</w:t>
      </w:r>
      <w:r w:rsidR="00884778" w:rsidRPr="00812476">
        <w:rPr>
          <w:lang w:eastAsia="ja-JP"/>
        </w:rPr>
        <w:t>4</w:t>
      </w:r>
      <w:r>
        <w:rPr>
          <w:lang w:eastAsia="ja-JP"/>
        </w:rPr>
        <w:t xml:space="preserve">) </w:t>
      </w:r>
      <w:r w:rsidR="00884778" w:rsidRPr="00812476">
        <w:rPr>
          <w:lang w:eastAsia="ja-JP"/>
        </w:rPr>
        <w:t>evaluate</w:t>
      </w:r>
      <w:r w:rsidR="00884778">
        <w:rPr>
          <w:lang w:eastAsia="ja-JP"/>
        </w:rPr>
        <w:t>d</w:t>
      </w:r>
      <w:r w:rsidR="00884778" w:rsidRPr="00812476">
        <w:rPr>
          <w:lang w:eastAsia="ja-JP"/>
        </w:rPr>
        <w:t xml:space="preserve"> the efficacy, safety and</w:t>
      </w:r>
      <w:r w:rsidR="00884778">
        <w:rPr>
          <w:lang w:eastAsia="ja-JP"/>
        </w:rPr>
        <w:t xml:space="preserve"> PK of bosentan (2 mg/kg BD</w:t>
      </w:r>
      <w:r w:rsidR="00884778" w:rsidRPr="00812476">
        <w:rPr>
          <w:lang w:eastAsia="ja-JP"/>
        </w:rPr>
        <w:t xml:space="preserve">) </w:t>
      </w:r>
      <w:r w:rsidR="00884778">
        <w:rPr>
          <w:lang w:eastAsia="ja-JP"/>
        </w:rPr>
        <w:t>versus</w:t>
      </w:r>
      <w:r w:rsidR="00884778" w:rsidRPr="00812476">
        <w:rPr>
          <w:lang w:eastAsia="ja-JP"/>
        </w:rPr>
        <w:t xml:space="preserve"> placebo as adjunctive treatment of PPHN in</w:t>
      </w:r>
      <w:r w:rsidR="00884778">
        <w:rPr>
          <w:lang w:eastAsia="ja-JP"/>
        </w:rPr>
        <w:t xml:space="preserve"> </w:t>
      </w:r>
      <w:r w:rsidR="00884778" w:rsidRPr="00812476">
        <w:rPr>
          <w:lang w:eastAsia="ja-JP"/>
        </w:rPr>
        <w:t xml:space="preserve">term or </w:t>
      </w:r>
      <w:r w:rsidR="00884778">
        <w:rPr>
          <w:lang w:eastAsia="ja-JP"/>
        </w:rPr>
        <w:t>near term</w:t>
      </w:r>
      <w:r w:rsidR="00884778" w:rsidRPr="00812476">
        <w:rPr>
          <w:lang w:eastAsia="ja-JP"/>
        </w:rPr>
        <w:t xml:space="preserve"> neonates whose response to </w:t>
      </w:r>
      <w:r w:rsidR="00884778">
        <w:t>inhaled nitric oxide</w:t>
      </w:r>
      <w:r w:rsidR="00884778" w:rsidRPr="00812476">
        <w:rPr>
          <w:lang w:eastAsia="ja-JP"/>
        </w:rPr>
        <w:t xml:space="preserve"> </w:t>
      </w:r>
      <w:r w:rsidR="00884778">
        <w:rPr>
          <w:lang w:eastAsia="ja-JP"/>
        </w:rPr>
        <w:t>(</w:t>
      </w:r>
      <w:r w:rsidR="00884778" w:rsidRPr="00812476">
        <w:rPr>
          <w:lang w:eastAsia="ja-JP"/>
        </w:rPr>
        <w:t>iNO</w:t>
      </w:r>
      <w:r w:rsidR="00884778">
        <w:rPr>
          <w:lang w:eastAsia="ja-JP"/>
        </w:rPr>
        <w:t>)</w:t>
      </w:r>
      <w:r w:rsidR="00884778" w:rsidRPr="00812476">
        <w:rPr>
          <w:lang w:eastAsia="ja-JP"/>
        </w:rPr>
        <w:t xml:space="preserve"> therapy was insufficient.</w:t>
      </w:r>
      <w:r w:rsidR="00884778" w:rsidRPr="00DF2962">
        <w:rPr>
          <w:lang w:eastAsia="ja-JP"/>
        </w:rPr>
        <w:t xml:space="preserve"> </w:t>
      </w:r>
      <w:r w:rsidR="00884778">
        <w:rPr>
          <w:lang w:eastAsia="ja-JP"/>
        </w:rPr>
        <w:t>E</w:t>
      </w:r>
      <w:r w:rsidR="00884778" w:rsidRPr="00F839C2">
        <w:rPr>
          <w:lang w:eastAsia="ja-JP"/>
        </w:rPr>
        <w:t>x</w:t>
      </w:r>
      <w:r w:rsidR="00884778" w:rsidRPr="00812476">
        <w:rPr>
          <w:lang w:eastAsia="ja-JP"/>
        </w:rPr>
        <w:t xml:space="preserve">posure achieved at </w:t>
      </w:r>
      <w:r w:rsidR="00884778">
        <w:rPr>
          <w:lang w:eastAsia="ja-JP"/>
        </w:rPr>
        <w:t xml:space="preserve">steady state is reported to be </w:t>
      </w:r>
      <w:r w:rsidR="00884778" w:rsidRPr="00812476">
        <w:rPr>
          <w:lang w:eastAsia="ja-JP"/>
        </w:rPr>
        <w:t xml:space="preserve">similar to that observed in adult PAH patients receiving bosentan 125 mg </w:t>
      </w:r>
      <w:r w:rsidR="00884778">
        <w:rPr>
          <w:lang w:eastAsia="ja-JP"/>
        </w:rPr>
        <w:t>BD</w:t>
      </w:r>
      <w:r w:rsidR="00884778" w:rsidRPr="00812476">
        <w:rPr>
          <w:lang w:eastAsia="ja-JP"/>
        </w:rPr>
        <w:t>. This</w:t>
      </w:r>
      <w:r w:rsidR="00884778">
        <w:rPr>
          <w:lang w:eastAsia="ja-JP"/>
        </w:rPr>
        <w:t xml:space="preserve"> </w:t>
      </w:r>
      <w:r w:rsidR="00884778" w:rsidRPr="00812476">
        <w:rPr>
          <w:lang w:eastAsia="ja-JP"/>
        </w:rPr>
        <w:t xml:space="preserve">was in contrast to the results in paediatric PAH patients </w:t>
      </w:r>
      <w:r w:rsidR="00884778">
        <w:rPr>
          <w:lang w:eastAsia="ja-JP"/>
        </w:rPr>
        <w:t xml:space="preserve">aged </w:t>
      </w:r>
      <w:r w:rsidR="00FD708D">
        <w:rPr>
          <w:lang w:eastAsia="ja-JP"/>
        </w:rPr>
        <w:t xml:space="preserve">≥ </w:t>
      </w:r>
      <w:r w:rsidR="00884778" w:rsidRPr="00812476">
        <w:rPr>
          <w:lang w:eastAsia="ja-JP"/>
        </w:rPr>
        <w:t>3 months, in which adult</w:t>
      </w:r>
      <w:r w:rsidR="00884778">
        <w:rPr>
          <w:lang w:eastAsia="ja-JP"/>
        </w:rPr>
        <w:t xml:space="preserve"> </w:t>
      </w:r>
      <w:r w:rsidR="00884778" w:rsidRPr="00812476">
        <w:rPr>
          <w:lang w:eastAsia="ja-JP"/>
        </w:rPr>
        <w:t>exposures to bosentan were not reached</w:t>
      </w:r>
      <w:r w:rsidR="00884778">
        <w:rPr>
          <w:lang w:eastAsia="ja-JP"/>
        </w:rPr>
        <w:t>.</w:t>
      </w:r>
    </w:p>
    <w:p w14:paraId="53A941E8" w14:textId="3F70E975" w:rsidR="00884778" w:rsidRPr="00D745F5" w:rsidRDefault="00884778" w:rsidP="00884778">
      <w:pPr>
        <w:pStyle w:val="Tabletitle0"/>
      </w:pPr>
      <w:bookmarkStart w:id="66" w:name="_Ref463613277"/>
      <w:bookmarkStart w:id="67" w:name="_Toc473884047"/>
      <w:r>
        <w:t xml:space="preserve">Table </w:t>
      </w:r>
      <w:bookmarkEnd w:id="66"/>
      <w:r w:rsidR="00FE6C13">
        <w:t>5</w:t>
      </w:r>
      <w:r>
        <w:t xml:space="preserve">: </w:t>
      </w:r>
      <w:r w:rsidRPr="00D745F5">
        <w:t>Summary pharmacokinetics of bosentan in paediatric (BREATHE-3</w:t>
      </w:r>
      <w:r>
        <w:t xml:space="preserve"> and</w:t>
      </w:r>
      <w:r w:rsidRPr="00D745F5">
        <w:t xml:space="preserve"> FUTURE-1) and adult (</w:t>
      </w:r>
      <w:r w:rsidR="001B3891">
        <w:t xml:space="preserve">Study </w:t>
      </w:r>
      <w:r w:rsidRPr="00D745F5">
        <w:t>AC-052-357) PAH patients</w:t>
      </w:r>
      <w:bookmarkEnd w:id="67"/>
    </w:p>
    <w:p w14:paraId="1F523C06" w14:textId="77777777" w:rsidR="00884778" w:rsidRDefault="00884778" w:rsidP="00884778">
      <w:r>
        <w:rPr>
          <w:noProof/>
          <w:lang w:eastAsia="en-AU"/>
        </w:rPr>
        <w:drawing>
          <wp:inline distT="0" distB="0" distL="0" distR="0" wp14:anchorId="680E0157" wp14:editId="7C565DE3">
            <wp:extent cx="5400040" cy="1826552"/>
            <wp:effectExtent l="0" t="0" r="0" b="2540"/>
            <wp:docPr id="9" name="Picture 9" descr="Table 5: Summary pharmacokinetics of bosentan in paediatric (BREATHE-3 and FUTURE-1) and adult (AC-052-357) PAH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1826552"/>
                    </a:xfrm>
                    <a:prstGeom prst="rect">
                      <a:avLst/>
                    </a:prstGeom>
                  </pic:spPr>
                </pic:pic>
              </a:graphicData>
            </a:graphic>
          </wp:inline>
        </w:drawing>
      </w:r>
    </w:p>
    <w:p w14:paraId="30D56462" w14:textId="77777777" w:rsidR="00884778" w:rsidRDefault="00884778" w:rsidP="00884778">
      <w:pPr>
        <w:pStyle w:val="FigureTitle"/>
      </w:pPr>
      <w:bookmarkStart w:id="68" w:name="_Ref464547269"/>
      <w:bookmarkStart w:id="69" w:name="_Toc473884152"/>
      <w:r w:rsidRPr="008806DA">
        <w:t xml:space="preserve">Figure </w:t>
      </w:r>
      <w:bookmarkEnd w:id="68"/>
      <w:r w:rsidR="002A192A">
        <w:t>3</w:t>
      </w:r>
      <w:r w:rsidRPr="008806DA">
        <w:t>:</w:t>
      </w:r>
      <w:r>
        <w:t xml:space="preserve"> FUTURE-1 Arithmetic mean (±</w:t>
      </w:r>
      <w:r w:rsidR="002A192A">
        <w:t xml:space="preserve"> </w:t>
      </w:r>
      <w:r>
        <w:t>SD) plasma concentration versus time profiles of bosentan in paediatric patients with pulmonary arterial hypertension after multiple dose administration of bosentan at a dose of 2 and 4 mg/kg BD (n</w:t>
      </w:r>
      <w:r w:rsidR="002A192A">
        <w:t> = </w:t>
      </w:r>
      <w:r>
        <w:t>11)</w:t>
      </w:r>
      <w:bookmarkEnd w:id="69"/>
    </w:p>
    <w:p w14:paraId="0578D1E8" w14:textId="77777777" w:rsidR="00884778" w:rsidRDefault="00884778" w:rsidP="006B7A12">
      <w:r>
        <w:rPr>
          <w:noProof/>
          <w:lang w:eastAsia="en-AU"/>
        </w:rPr>
        <w:drawing>
          <wp:inline distT="0" distB="0" distL="0" distR="0" wp14:anchorId="185CD443" wp14:editId="3C47DF7D">
            <wp:extent cx="5324805" cy="3562502"/>
            <wp:effectExtent l="0" t="0" r="9525" b="0"/>
            <wp:docPr id="10" name="Picture 10" descr="Figure 3: FUTURE-1 Arithmetic mean (± SD) plasma concentration versus time profiles of bosentan in paediatric patients with pulmonary arterial hypertension after multiple dose administration of bosentan at a dose of 2 and 4 mg/kg BD (n =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28487" cy="3564966"/>
                    </a:xfrm>
                    <a:prstGeom prst="rect">
                      <a:avLst/>
                    </a:prstGeom>
                  </pic:spPr>
                </pic:pic>
              </a:graphicData>
            </a:graphic>
          </wp:inline>
        </w:drawing>
      </w:r>
    </w:p>
    <w:p w14:paraId="07195DA5" w14:textId="77777777" w:rsidR="00884778" w:rsidRDefault="00884778" w:rsidP="00884778">
      <w:pPr>
        <w:pStyle w:val="Tabletitle0"/>
      </w:pPr>
      <w:bookmarkStart w:id="70" w:name="_Ref464136971"/>
      <w:bookmarkStart w:id="71" w:name="_Toc473884048"/>
      <w:r w:rsidRPr="005F754D">
        <w:lastRenderedPageBreak/>
        <w:t xml:space="preserve">Table </w:t>
      </w:r>
      <w:bookmarkEnd w:id="70"/>
      <w:r w:rsidR="00FE6C13">
        <w:t>6</w:t>
      </w:r>
      <w:r>
        <w:t xml:space="preserve">: FUTURE-3 </w:t>
      </w:r>
      <w:r w:rsidRPr="00E07D2C">
        <w:t>Ratio of geometric means between treatment groups of PK</w:t>
      </w:r>
      <w:r>
        <w:t xml:space="preserve"> parameters for bosentan (TDS/BD</w:t>
      </w:r>
      <w:r w:rsidRPr="00E07D2C">
        <w:t>); overall age groups and by age</w:t>
      </w:r>
      <w:r>
        <w:t xml:space="preserve"> </w:t>
      </w:r>
      <w:r w:rsidRPr="00E07D2C">
        <w:t>group, PK set</w:t>
      </w:r>
      <w:bookmarkEnd w:id="71"/>
    </w:p>
    <w:p w14:paraId="732A246E" w14:textId="77777777" w:rsidR="00884778" w:rsidRPr="00884778" w:rsidRDefault="00884778" w:rsidP="00884778">
      <w:r>
        <w:rPr>
          <w:noProof/>
          <w:lang w:eastAsia="en-AU"/>
        </w:rPr>
        <w:drawing>
          <wp:inline distT="0" distB="0" distL="0" distR="0" wp14:anchorId="2C558D63" wp14:editId="691DD3AC">
            <wp:extent cx="5400040" cy="1625522"/>
            <wp:effectExtent l="0" t="0" r="0" b="0"/>
            <wp:docPr id="11" name="Picture 11" descr="Table 6: FUTURE-3 Ratio of geometric means between treatment groups of PK parameters for bosentan (TDS/BD); overall age groups and by age group, PK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1625522"/>
                    </a:xfrm>
                    <a:prstGeom prst="rect">
                      <a:avLst/>
                    </a:prstGeom>
                  </pic:spPr>
                </pic:pic>
              </a:graphicData>
            </a:graphic>
          </wp:inline>
        </w:drawing>
      </w:r>
    </w:p>
    <w:p w14:paraId="32C49795" w14:textId="77777777" w:rsidR="00884778" w:rsidRPr="00884778" w:rsidRDefault="00884778" w:rsidP="00884778">
      <w:pPr>
        <w:pStyle w:val="Heading4"/>
      </w:pPr>
      <w:r w:rsidRPr="00884778">
        <w:t>Formulation development</w:t>
      </w:r>
    </w:p>
    <w:p w14:paraId="3AF80047" w14:textId="77777777" w:rsidR="00884778" w:rsidRDefault="00884778" w:rsidP="00884778">
      <w:pPr>
        <w:rPr>
          <w:lang w:eastAsia="ja-JP"/>
        </w:rPr>
      </w:pPr>
      <w:r>
        <w:rPr>
          <w:lang w:eastAsia="ja-JP"/>
        </w:rPr>
        <w:t xml:space="preserve">Previously, the sponsor </w:t>
      </w:r>
      <w:r w:rsidRPr="00352B53">
        <w:rPr>
          <w:lang w:eastAsia="ja-JP"/>
        </w:rPr>
        <w:t xml:space="preserve">studied the use of bosentan in children in </w:t>
      </w:r>
      <w:r>
        <w:rPr>
          <w:lang w:eastAsia="ja-JP"/>
        </w:rPr>
        <w:t xml:space="preserve">BREATHE-3 </w:t>
      </w:r>
      <w:r w:rsidRPr="00352B53">
        <w:rPr>
          <w:lang w:eastAsia="ja-JP"/>
        </w:rPr>
        <w:t xml:space="preserve">using the approved tablet formulation of </w:t>
      </w:r>
      <w:r w:rsidR="00335934">
        <w:rPr>
          <w:lang w:eastAsia="ja-JP"/>
        </w:rPr>
        <w:t>Tracleer</w:t>
      </w:r>
      <w:r>
        <w:rPr>
          <w:lang w:eastAsia="ja-JP"/>
        </w:rPr>
        <w:t xml:space="preserve">. The sponsor </w:t>
      </w:r>
      <w:r w:rsidRPr="00352B53">
        <w:rPr>
          <w:lang w:eastAsia="ja-JP"/>
        </w:rPr>
        <w:t>has</w:t>
      </w:r>
      <w:r>
        <w:rPr>
          <w:lang w:eastAsia="ja-JP"/>
        </w:rPr>
        <w:t xml:space="preserve"> since </w:t>
      </w:r>
      <w:r w:rsidRPr="00352B53">
        <w:rPr>
          <w:lang w:eastAsia="ja-JP"/>
        </w:rPr>
        <w:t>developed a paediatric formulation of bosentan in order to make bosentan available as oral</w:t>
      </w:r>
      <w:r>
        <w:rPr>
          <w:lang w:eastAsia="ja-JP"/>
        </w:rPr>
        <w:t xml:space="preserve"> </w:t>
      </w:r>
      <w:r w:rsidRPr="00352B53">
        <w:rPr>
          <w:lang w:eastAsia="ja-JP"/>
        </w:rPr>
        <w:t xml:space="preserve">treatment with a </w:t>
      </w:r>
      <w:r>
        <w:rPr>
          <w:lang w:eastAsia="ja-JP"/>
        </w:rPr>
        <w:t>weight appropriate</w:t>
      </w:r>
      <w:r w:rsidRPr="00352B53">
        <w:rPr>
          <w:lang w:eastAsia="ja-JP"/>
        </w:rPr>
        <w:t xml:space="preserve"> dose and formulat</w:t>
      </w:r>
      <w:r>
        <w:rPr>
          <w:lang w:eastAsia="ja-JP"/>
        </w:rPr>
        <w:t xml:space="preserve">ion for children with </w:t>
      </w:r>
      <w:r w:rsidRPr="00352B53">
        <w:rPr>
          <w:lang w:eastAsia="ja-JP"/>
        </w:rPr>
        <w:t>PAH.</w:t>
      </w:r>
    </w:p>
    <w:p w14:paraId="572F72C4" w14:textId="77777777" w:rsidR="00884778" w:rsidRDefault="00884778" w:rsidP="00884778">
      <w:pPr>
        <w:rPr>
          <w:lang w:eastAsia="ja-JP"/>
        </w:rPr>
      </w:pPr>
      <w:r>
        <w:rPr>
          <w:lang w:eastAsia="ja-JP"/>
        </w:rPr>
        <w:t>The paediatric formulation is a dispersible tablet containing 32 mg of bosentan. The tablet has quadrisecting score lines, enabling it to be divided into four parts of 8 mg bosentan each. The whole tablet, or fractions thereof, can be dispersed in water on a teaspoon or in a glass to facilitate oral administration.</w:t>
      </w:r>
    </w:p>
    <w:p w14:paraId="5252B446" w14:textId="77777777" w:rsidR="00884778" w:rsidRDefault="00884778" w:rsidP="00884778">
      <w:pPr>
        <w:rPr>
          <w:lang w:eastAsia="ja-JP"/>
        </w:rPr>
      </w:pPr>
      <w:r w:rsidRPr="00FA4849">
        <w:t>In the justification for not providing biopharmaceutic data</w:t>
      </w:r>
      <w:r w:rsidR="00D43E08">
        <w:t>,</w:t>
      </w:r>
      <w:r w:rsidRPr="00FA4849">
        <w:t xml:space="preserve"> the </w:t>
      </w:r>
      <w:r>
        <w:t>sponsor</w:t>
      </w:r>
      <w:r w:rsidRPr="00FA4849">
        <w:t xml:space="preserve"> states that </w:t>
      </w:r>
      <w:r>
        <w:t xml:space="preserve">no changes have been made to the quality aspects of the bosentan drug substance, the excipients fulfil the relevant quality standards and </w:t>
      </w:r>
      <w:r w:rsidR="00D43E08">
        <w:t>that b</w:t>
      </w:r>
      <w:r w:rsidRPr="00FA4849">
        <w:t xml:space="preserve">osentan is classified as a Class II compound according to Biopharmaceutic Classification System </w:t>
      </w:r>
      <w:r>
        <w:t xml:space="preserve">(BCS) </w:t>
      </w:r>
      <w:r w:rsidRPr="00FA4849">
        <w:t xml:space="preserve">and that dissolved </w:t>
      </w:r>
      <w:r w:rsidRPr="00D43E08">
        <w:t xml:space="preserve">bosentan </w:t>
      </w:r>
      <w:r w:rsidRPr="00D43E08">
        <w:rPr>
          <w:iCs/>
        </w:rPr>
        <w:t xml:space="preserve">in vivo </w:t>
      </w:r>
      <w:r w:rsidRPr="00D43E08">
        <w:t>is</w:t>
      </w:r>
      <w:r w:rsidRPr="00FA4849">
        <w:t xml:space="preserve"> immediately bioavailable.</w:t>
      </w:r>
      <w:r>
        <w:t xml:space="preserve"> The sponsor states that </w:t>
      </w:r>
      <w:r w:rsidRPr="00FA4849">
        <w:rPr>
          <w:lang w:eastAsia="ja-JP"/>
        </w:rPr>
        <w:t xml:space="preserve">no specific biopharmaceutic studies </w:t>
      </w:r>
      <w:r>
        <w:rPr>
          <w:lang w:eastAsia="ja-JP"/>
        </w:rPr>
        <w:t>were</w:t>
      </w:r>
      <w:r w:rsidRPr="00FA4849">
        <w:rPr>
          <w:lang w:eastAsia="ja-JP"/>
        </w:rPr>
        <w:t xml:space="preserve"> performed to demonstrate bioequivalen</w:t>
      </w:r>
      <w:r>
        <w:rPr>
          <w:lang w:eastAsia="ja-JP"/>
        </w:rPr>
        <w:t xml:space="preserve">ce for the </w:t>
      </w:r>
      <w:r w:rsidRPr="00FA4849">
        <w:rPr>
          <w:lang w:eastAsia="ja-JP"/>
        </w:rPr>
        <w:t xml:space="preserve">new dispersible tablet </w:t>
      </w:r>
      <w:r>
        <w:rPr>
          <w:lang w:eastAsia="ja-JP"/>
        </w:rPr>
        <w:t>and the approved marketed formulation.</w:t>
      </w:r>
    </w:p>
    <w:p w14:paraId="49DAD0EC" w14:textId="77777777" w:rsidR="00884778" w:rsidRDefault="00884778" w:rsidP="00884778">
      <w:pPr>
        <w:rPr>
          <w:lang w:eastAsia="ja-JP"/>
        </w:rPr>
      </w:pPr>
      <w:r w:rsidRPr="003802D8">
        <w:rPr>
          <w:lang w:eastAsia="ja-JP"/>
        </w:rPr>
        <w:t>As dissolution testing only applies to solid oral dosage forms, no analytical studies have been performed to compare dissolution profiles of the 32 mg dispersib</w:t>
      </w:r>
      <w:r w:rsidR="00D43E08">
        <w:rPr>
          <w:lang w:eastAsia="ja-JP"/>
        </w:rPr>
        <w:t>le tablets, the 62.5 </w:t>
      </w:r>
      <w:r>
        <w:rPr>
          <w:lang w:eastAsia="ja-JP"/>
        </w:rPr>
        <w:t>mg and 125 </w:t>
      </w:r>
      <w:r w:rsidRPr="003802D8">
        <w:rPr>
          <w:lang w:eastAsia="ja-JP"/>
        </w:rPr>
        <w:t xml:space="preserve">mg tablets and the oral suspension of bosentan used in early clinical development. All dosage forms developed are stated to be </w:t>
      </w:r>
      <w:r>
        <w:rPr>
          <w:lang w:eastAsia="ja-JP"/>
        </w:rPr>
        <w:t>immediate release</w:t>
      </w:r>
      <w:r w:rsidRPr="003802D8">
        <w:rPr>
          <w:lang w:eastAsia="ja-JP"/>
        </w:rPr>
        <w:t xml:space="preserve"> forms with 90% of </w:t>
      </w:r>
      <w:r>
        <w:rPr>
          <w:lang w:eastAsia="ja-JP"/>
        </w:rPr>
        <w:t xml:space="preserve">bosentan is dissolved within 20 to </w:t>
      </w:r>
      <w:r w:rsidRPr="003802D8">
        <w:rPr>
          <w:lang w:eastAsia="ja-JP"/>
        </w:rPr>
        <w:t>30 minutes for 62.5 mg and 125 mg tablets, and less than 15 min for an oral suspension or dispersion of bosentan.</w:t>
      </w:r>
    </w:p>
    <w:p w14:paraId="6A8DD25C" w14:textId="77777777" w:rsidR="00884778" w:rsidRPr="00884778" w:rsidRDefault="00884778" w:rsidP="00884778">
      <w:pPr>
        <w:pStyle w:val="Heading3"/>
      </w:pPr>
      <w:bookmarkStart w:id="72" w:name="_Toc473883976"/>
      <w:bookmarkStart w:id="73" w:name="_Toc519764288"/>
      <w:r w:rsidRPr="00884778">
        <w:t>Evaluator’s commentary on the background information</w:t>
      </w:r>
      <w:bookmarkEnd w:id="72"/>
      <w:bookmarkEnd w:id="73"/>
    </w:p>
    <w:p w14:paraId="5DCC1173" w14:textId="5BDBDFC2" w:rsidR="00884778" w:rsidRDefault="00D43E08" w:rsidP="00884778">
      <w:pPr>
        <w:rPr>
          <w:lang w:eastAsia="ja-JP"/>
        </w:rPr>
      </w:pPr>
      <w:r>
        <w:t>Australian Regulatory Guidelines for Prescription Medicines</w:t>
      </w:r>
      <w:r>
        <w:rPr>
          <w:lang w:eastAsia="ja-JP"/>
        </w:rPr>
        <w:t xml:space="preserve"> (</w:t>
      </w:r>
      <w:r w:rsidR="00884778">
        <w:rPr>
          <w:lang w:eastAsia="ja-JP"/>
        </w:rPr>
        <w:t>ARGPM</w:t>
      </w:r>
      <w:r>
        <w:rPr>
          <w:lang w:eastAsia="ja-JP"/>
        </w:rPr>
        <w:t>)</w:t>
      </w:r>
      <w:r w:rsidR="00884778">
        <w:rPr>
          <w:lang w:eastAsia="ja-JP"/>
        </w:rPr>
        <w:t xml:space="preserve"> Guidance 15 states that biopharmaceutic data is required for oral suspensions unless otherwise justified. For new dosage forms bioequivalence must be established between the new dosage form and the currently registered dosage form. The sponsor states that no </w:t>
      </w:r>
      <w:r w:rsidR="00884778" w:rsidRPr="00C1227F">
        <w:rPr>
          <w:lang w:eastAsia="ja-JP"/>
        </w:rPr>
        <w:t xml:space="preserve">specific </w:t>
      </w:r>
      <w:r w:rsidR="00884778">
        <w:rPr>
          <w:lang w:eastAsia="ja-JP"/>
        </w:rPr>
        <w:t>study</w:t>
      </w:r>
      <w:r w:rsidR="00884778" w:rsidRPr="00C1227F">
        <w:rPr>
          <w:lang w:eastAsia="ja-JP"/>
        </w:rPr>
        <w:t xml:space="preserve"> has been performed to demonstrate that the new dispersible tablet, used</w:t>
      </w:r>
      <w:r w:rsidR="00884778">
        <w:rPr>
          <w:lang w:eastAsia="ja-JP"/>
        </w:rPr>
        <w:t xml:space="preserve"> </w:t>
      </w:r>
      <w:r w:rsidR="00884778" w:rsidRPr="00C1227F">
        <w:rPr>
          <w:lang w:eastAsia="ja-JP"/>
        </w:rPr>
        <w:t>in FUTURE-1 and FUTURE-2, is bioequivalent to the approved marketed</w:t>
      </w:r>
      <w:r w:rsidR="00884778">
        <w:rPr>
          <w:lang w:eastAsia="ja-JP"/>
        </w:rPr>
        <w:t xml:space="preserve"> </w:t>
      </w:r>
      <w:r w:rsidR="00884778" w:rsidRPr="00C1227F">
        <w:rPr>
          <w:lang w:eastAsia="ja-JP"/>
        </w:rPr>
        <w:t>formulation.</w:t>
      </w:r>
      <w:r w:rsidR="00884778">
        <w:rPr>
          <w:lang w:eastAsia="ja-JP"/>
        </w:rPr>
        <w:t xml:space="preserve"> However it is noted that Study AC-052-116 evaluated the PK properties of a dispersible paediatric formulation and an adult formulation in healthy adult male subjects. The sponsor should be requested to confirm which studies evaluated the marketed adult formulation, the paediatric formulation intended for market and the formulation in early stages of development.</w:t>
      </w:r>
    </w:p>
    <w:p w14:paraId="78C6568B" w14:textId="77777777" w:rsidR="00884778" w:rsidRDefault="00884778" w:rsidP="00884778">
      <w:pPr>
        <w:rPr>
          <w:lang w:eastAsia="ja-JP"/>
        </w:rPr>
      </w:pPr>
      <w:r>
        <w:rPr>
          <w:lang w:eastAsia="ja-JP"/>
        </w:rPr>
        <w:t xml:space="preserve">Study AC-052-106 </w:t>
      </w:r>
      <w:r w:rsidRPr="00282DC5">
        <w:rPr>
          <w:lang w:eastAsia="ja-JP"/>
        </w:rPr>
        <w:t>compare</w:t>
      </w:r>
      <w:r>
        <w:rPr>
          <w:lang w:eastAsia="ja-JP"/>
        </w:rPr>
        <w:t xml:space="preserve">d the bioavailability of an oral </w:t>
      </w:r>
      <w:r w:rsidRPr="00282DC5">
        <w:rPr>
          <w:lang w:eastAsia="ja-JP"/>
        </w:rPr>
        <w:t>suspension of bosentan used in early clinical development and the approved marketed</w:t>
      </w:r>
      <w:r>
        <w:rPr>
          <w:lang w:eastAsia="ja-JP"/>
        </w:rPr>
        <w:t xml:space="preserve"> formulation</w:t>
      </w:r>
      <w:r w:rsidRPr="00282DC5">
        <w:rPr>
          <w:lang w:eastAsia="ja-JP"/>
        </w:rPr>
        <w:t xml:space="preserve">. </w:t>
      </w:r>
      <w:r>
        <w:rPr>
          <w:lang w:eastAsia="ja-JP"/>
        </w:rPr>
        <w:t xml:space="preserve">The study is stated to </w:t>
      </w:r>
      <w:r>
        <w:rPr>
          <w:lang w:eastAsia="ja-JP"/>
        </w:rPr>
        <w:lastRenderedPageBreak/>
        <w:t xml:space="preserve">provide additional bridging support. Study AC-052-106 </w:t>
      </w:r>
      <w:r w:rsidR="00D43E08">
        <w:rPr>
          <w:lang w:eastAsia="ja-JP"/>
        </w:rPr>
        <w:t>was</w:t>
      </w:r>
      <w:r>
        <w:rPr>
          <w:lang w:eastAsia="ja-JP"/>
        </w:rPr>
        <w:t xml:space="preserve"> summarised in Module 2</w:t>
      </w:r>
      <w:r w:rsidR="00D43E08">
        <w:rPr>
          <w:lang w:eastAsia="ja-JP"/>
        </w:rPr>
        <w:t xml:space="preserve"> </w:t>
      </w:r>
      <w:r>
        <w:rPr>
          <w:lang w:eastAsia="ja-JP"/>
        </w:rPr>
        <w:t xml:space="preserve">and the text indicates that a copy of the final </w:t>
      </w:r>
      <w:r w:rsidR="00D43E08">
        <w:t>Clinical Study Report</w:t>
      </w:r>
      <w:r w:rsidR="00D43E08">
        <w:rPr>
          <w:lang w:eastAsia="ja-JP"/>
        </w:rPr>
        <w:t xml:space="preserve"> (</w:t>
      </w:r>
      <w:r>
        <w:rPr>
          <w:lang w:eastAsia="ja-JP"/>
        </w:rPr>
        <w:t>CSR</w:t>
      </w:r>
      <w:r w:rsidR="00D43E08">
        <w:rPr>
          <w:lang w:eastAsia="ja-JP"/>
        </w:rPr>
        <w:t>)</w:t>
      </w:r>
      <w:r>
        <w:rPr>
          <w:lang w:eastAsia="ja-JP"/>
        </w:rPr>
        <w:t xml:space="preserve"> has been included but the study </w:t>
      </w:r>
      <w:r w:rsidR="00D43E08">
        <w:rPr>
          <w:lang w:eastAsia="ja-JP"/>
        </w:rPr>
        <w:t>was</w:t>
      </w:r>
      <w:r>
        <w:rPr>
          <w:lang w:eastAsia="ja-JP"/>
        </w:rPr>
        <w:t xml:space="preserve"> not included in the current submission. The sponsor states that </w:t>
      </w:r>
      <w:r w:rsidR="00932527">
        <w:rPr>
          <w:lang w:eastAsia="ja-JP"/>
        </w:rPr>
        <w:t>Study AC</w:t>
      </w:r>
      <w:r w:rsidR="00932527">
        <w:rPr>
          <w:lang w:eastAsia="ja-JP"/>
        </w:rPr>
        <w:noBreakHyphen/>
      </w:r>
      <w:r>
        <w:rPr>
          <w:lang w:eastAsia="ja-JP"/>
        </w:rPr>
        <w:t xml:space="preserve">052-106 was provided in full as part of the original </w:t>
      </w:r>
      <w:r w:rsidR="00335934">
        <w:rPr>
          <w:lang w:eastAsia="ja-JP"/>
        </w:rPr>
        <w:t>Tracleer</w:t>
      </w:r>
      <w:r>
        <w:rPr>
          <w:lang w:eastAsia="ja-JP"/>
        </w:rPr>
        <w:t xml:space="preserve"> application.</w:t>
      </w:r>
    </w:p>
    <w:p w14:paraId="6BF316AB" w14:textId="77777777" w:rsidR="00884778" w:rsidRPr="00D80DA1" w:rsidRDefault="00884778" w:rsidP="00884778">
      <w:pPr>
        <w:rPr>
          <w:lang w:eastAsia="ja-JP"/>
        </w:rPr>
      </w:pPr>
      <w:r>
        <w:rPr>
          <w:lang w:eastAsia="ja-JP"/>
        </w:rPr>
        <w:t>According to the ‘Guideline on the Investigation of Bioequivalence’</w:t>
      </w:r>
      <w:r w:rsidR="00932527">
        <w:rPr>
          <w:rStyle w:val="FootnoteReference"/>
          <w:lang w:eastAsia="ja-JP"/>
        </w:rPr>
        <w:footnoteReference w:id="3"/>
      </w:r>
      <w:r>
        <w:rPr>
          <w:lang w:eastAsia="ja-JP"/>
        </w:rPr>
        <w:t xml:space="preserve"> a </w:t>
      </w:r>
      <w:r w:rsidR="00932527">
        <w:t>biopharmaceutic classification system</w:t>
      </w:r>
      <w:r w:rsidR="00932527">
        <w:rPr>
          <w:lang w:eastAsia="ja-JP"/>
        </w:rPr>
        <w:t xml:space="preserve"> (BCS) </w:t>
      </w:r>
      <w:r>
        <w:rPr>
          <w:lang w:eastAsia="ja-JP"/>
        </w:rPr>
        <w:t>based biowaiver may be applicable for immediat</w:t>
      </w:r>
      <w:r w:rsidR="00932527">
        <w:rPr>
          <w:lang w:eastAsia="ja-JP"/>
        </w:rPr>
        <w:t xml:space="preserve">e release drug products for BCS </w:t>
      </w:r>
      <w:r w:rsidR="007C535F">
        <w:rPr>
          <w:lang w:eastAsia="ja-JP"/>
        </w:rPr>
        <w:t>Class</w:t>
      </w:r>
      <w:r>
        <w:rPr>
          <w:lang w:eastAsia="ja-JP"/>
        </w:rPr>
        <w:t xml:space="preserve"> I or III drug substances under certain conditions. The justification for not providing biopharmaceutic studies indicates that bosentan is a BCS </w:t>
      </w:r>
      <w:r w:rsidR="007C535F">
        <w:rPr>
          <w:lang w:eastAsia="ja-JP"/>
        </w:rPr>
        <w:t>Class</w:t>
      </w:r>
      <w:r>
        <w:rPr>
          <w:lang w:eastAsia="ja-JP"/>
        </w:rPr>
        <w:t xml:space="preserve"> II compound. The guidance indicates that in ‘</w:t>
      </w:r>
      <w:r w:rsidRPr="00D80DA1">
        <w:rPr>
          <w:lang w:eastAsia="ja-JP"/>
        </w:rPr>
        <w:t>For dosage forms such as tablets, capsules and oral suspensions, bioequivalence studies are required unless a biowaiver is applicable</w:t>
      </w:r>
      <w:r w:rsidRPr="00D80DA1">
        <w:t>’ and that in ‘cases where the test product is an oral solution which is intended to be bioequivalent to another immediate release oral dosage form, bioequivalence studies are required.’ The justification for not providing biopharmaceutic data is therefore not acceptable.</w:t>
      </w:r>
    </w:p>
    <w:p w14:paraId="67B987D8" w14:textId="77777777" w:rsidR="00884778" w:rsidRPr="00884778" w:rsidRDefault="00884778" w:rsidP="00884778">
      <w:pPr>
        <w:rPr>
          <w:lang w:eastAsia="ja-JP"/>
        </w:rPr>
      </w:pPr>
      <w:r>
        <w:rPr>
          <w:lang w:eastAsia="ja-JP"/>
        </w:rPr>
        <w:t xml:space="preserve">The status of the current submission in the US, Canada and New Zealand is unclear. The sponsor states that this application has not </w:t>
      </w:r>
      <w:r w:rsidRPr="00B0070E">
        <w:rPr>
          <w:lang w:eastAsia="ja-JP"/>
        </w:rPr>
        <w:t xml:space="preserve">been rejected or withdrawn in the US or Canada </w:t>
      </w:r>
      <w:r>
        <w:rPr>
          <w:lang w:eastAsia="ja-JP"/>
        </w:rPr>
        <w:t xml:space="preserve">but it is unclear whether an application to register the dispersible formulation has been made in these jurisdictions. The </w:t>
      </w:r>
      <w:r>
        <w:t xml:space="preserve">United States Prescribing Information (US PI) </w:t>
      </w:r>
      <w:r>
        <w:rPr>
          <w:lang w:eastAsia="ja-JP"/>
        </w:rPr>
        <w:t xml:space="preserve">included in the submission does not describe paediatric dosing or the 32 mg dispersible tablet. The </w:t>
      </w:r>
      <w:r w:rsidR="00932527">
        <w:t xml:space="preserve">Health Canada Product </w:t>
      </w:r>
      <w:r w:rsidR="00932527" w:rsidRPr="00932527">
        <w:t>Monograph</w:t>
      </w:r>
      <w:r w:rsidR="00932527" w:rsidRPr="00932527">
        <w:rPr>
          <w:lang w:eastAsia="ja-JP"/>
        </w:rPr>
        <w:t xml:space="preserve"> (</w:t>
      </w:r>
      <w:r w:rsidRPr="00932527">
        <w:rPr>
          <w:lang w:eastAsia="ja-JP"/>
        </w:rPr>
        <w:t>HCPM</w:t>
      </w:r>
      <w:r w:rsidR="00932527" w:rsidRPr="00932527">
        <w:rPr>
          <w:lang w:eastAsia="ja-JP"/>
        </w:rPr>
        <w:t>)</w:t>
      </w:r>
      <w:r w:rsidRPr="00932527">
        <w:rPr>
          <w:lang w:eastAsia="ja-JP"/>
        </w:rPr>
        <w:t xml:space="preserve"> included in the</w:t>
      </w:r>
      <w:r>
        <w:rPr>
          <w:lang w:eastAsia="ja-JP"/>
        </w:rPr>
        <w:t xml:space="preserve"> submission does not mention the paediatric formulation and contains similar dosing instructions to the current Australian </w:t>
      </w:r>
      <w:r w:rsidR="00335934">
        <w:rPr>
          <w:lang w:eastAsia="ja-JP"/>
        </w:rPr>
        <w:t>Tracleer</w:t>
      </w:r>
      <w:r>
        <w:rPr>
          <w:lang w:eastAsia="ja-JP"/>
        </w:rPr>
        <w:t xml:space="preserve"> PI. It is not stated whether a similar application has been made in New Zealand.</w:t>
      </w:r>
    </w:p>
    <w:p w14:paraId="539D4EB2" w14:textId="77777777" w:rsidR="00605AD4" w:rsidRDefault="00605AD4" w:rsidP="00605AD4">
      <w:pPr>
        <w:pStyle w:val="Heading4"/>
      </w:pPr>
      <w:r w:rsidRPr="00605AD4">
        <w:t>Guidance</w:t>
      </w:r>
    </w:p>
    <w:p w14:paraId="54E0EBB6" w14:textId="77777777" w:rsidR="00B2283A" w:rsidRPr="000A5F72" w:rsidRDefault="00B2283A" w:rsidP="00B2283A">
      <w:pPr>
        <w:rPr>
          <w:lang w:eastAsia="ja-JP"/>
        </w:rPr>
      </w:pPr>
      <w:r>
        <w:rPr>
          <w:lang w:eastAsia="ja-JP"/>
        </w:rPr>
        <w:t>TGA and TGA adopted guidance documents</w:t>
      </w:r>
      <w:r w:rsidRPr="00A4214A">
        <w:rPr>
          <w:lang w:eastAsia="ja-JP"/>
        </w:rPr>
        <w:t xml:space="preserve"> </w:t>
      </w:r>
      <w:r>
        <w:rPr>
          <w:lang w:eastAsia="ja-JP"/>
        </w:rPr>
        <w:t>of relevance to this submission:</w:t>
      </w:r>
    </w:p>
    <w:p w14:paraId="53BF9848" w14:textId="77777777" w:rsidR="00B2283A" w:rsidRDefault="00B2283A" w:rsidP="006B7A12">
      <w:pPr>
        <w:pStyle w:val="ListBullet"/>
        <w:rPr>
          <w:lang w:eastAsia="ja-JP"/>
        </w:rPr>
      </w:pPr>
      <w:r w:rsidRPr="00B06222">
        <w:rPr>
          <w:lang w:eastAsia="ja-JP"/>
        </w:rPr>
        <w:t>Australian Regulatory Guidelines for Prescription Medicines (ARGPM)</w:t>
      </w:r>
    </w:p>
    <w:p w14:paraId="7841E2F6" w14:textId="77777777" w:rsidR="00B2283A" w:rsidRDefault="00B2283A" w:rsidP="006B7A12">
      <w:pPr>
        <w:pStyle w:val="ListBullet"/>
        <w:rPr>
          <w:lang w:eastAsia="ja-JP"/>
        </w:rPr>
      </w:pPr>
      <w:r>
        <w:rPr>
          <w:lang w:eastAsia="ja-JP"/>
        </w:rPr>
        <w:t>EMEA/CHMP/EWP/147013/2004 Corr Guideline on the role of Pharmacokinetics in the Development of Medicinal Products in the Paediatric Population</w:t>
      </w:r>
    </w:p>
    <w:p w14:paraId="12ACEB49" w14:textId="77777777" w:rsidR="00B2283A" w:rsidRDefault="00B2283A" w:rsidP="006B7A12">
      <w:pPr>
        <w:pStyle w:val="ListBullet"/>
        <w:rPr>
          <w:lang w:eastAsia="ja-JP"/>
        </w:rPr>
      </w:pPr>
      <w:r>
        <w:rPr>
          <w:lang w:eastAsia="ja-JP"/>
        </w:rPr>
        <w:t>CPMP/EWP/QWP/1401/98 Rev. 1/ Corr ** Guideline on the Investigation of Bioequivalence</w:t>
      </w:r>
    </w:p>
    <w:p w14:paraId="0ECB0300" w14:textId="77777777" w:rsidR="00B2283A" w:rsidRDefault="00B2283A" w:rsidP="006B7A12">
      <w:pPr>
        <w:pStyle w:val="ListBullet"/>
        <w:rPr>
          <w:lang w:eastAsia="ja-JP"/>
        </w:rPr>
      </w:pPr>
      <w:r>
        <w:t>EMA/618604/2008 Rev. 13 – Questions &amp; Answers: positions on specific questions addressed to the Pharmacokinetics Working Party (PKWP)</w:t>
      </w:r>
    </w:p>
    <w:p w14:paraId="1D3EC250" w14:textId="77777777" w:rsidR="00B2283A" w:rsidRDefault="00B2283A" w:rsidP="006B7A12">
      <w:pPr>
        <w:pStyle w:val="ListBullet"/>
        <w:rPr>
          <w:lang w:eastAsia="ja-JP"/>
        </w:rPr>
      </w:pPr>
      <w:r>
        <w:rPr>
          <w:lang w:eastAsia="ja-JP"/>
        </w:rPr>
        <w:t>CHMP/EWP/185990/06 Guideline on Reporting the results of Population Pharmacokinetic Analysis</w:t>
      </w:r>
    </w:p>
    <w:p w14:paraId="0BB12A18" w14:textId="77777777" w:rsidR="00B2283A" w:rsidRDefault="00B2283A" w:rsidP="006B7A12">
      <w:pPr>
        <w:pStyle w:val="ListBullet"/>
        <w:rPr>
          <w:lang w:eastAsia="ja-JP"/>
        </w:rPr>
      </w:pPr>
      <w:r>
        <w:rPr>
          <w:lang w:eastAsia="ja-JP"/>
        </w:rPr>
        <w:t>3CC3A Pharmacokinetic Studies in Man</w:t>
      </w:r>
    </w:p>
    <w:p w14:paraId="26A88295" w14:textId="77777777" w:rsidR="00B2283A" w:rsidRDefault="00B2283A" w:rsidP="006B7A12">
      <w:pPr>
        <w:pStyle w:val="ListBullet"/>
        <w:rPr>
          <w:lang w:eastAsia="ja-JP"/>
        </w:rPr>
      </w:pPr>
      <w:r>
        <w:rPr>
          <w:lang w:eastAsia="ja-JP"/>
        </w:rPr>
        <w:t>EMEA/CHMP/EWP/356954/2008 Guideline on the Clinical Investigations of Medicinal Products for the Treatment of Pulmonary Arterial Hypertension</w:t>
      </w:r>
    </w:p>
    <w:p w14:paraId="29A659E2" w14:textId="77777777" w:rsidR="00B2283A" w:rsidRDefault="00B2283A" w:rsidP="006B7A12">
      <w:pPr>
        <w:pStyle w:val="ListBullet"/>
        <w:rPr>
          <w:lang w:eastAsia="ja-JP"/>
        </w:rPr>
      </w:pPr>
      <w:r>
        <w:rPr>
          <w:lang w:eastAsia="ja-JP"/>
        </w:rPr>
        <w:t>EMA/CHMP/213972/2010 Paediatric Addendum to the CHMP Guideline on the Clinical Investigations of Medicinal Products for the Treatment of Pulmonary Arterial Hypertension</w:t>
      </w:r>
    </w:p>
    <w:p w14:paraId="6DD2FF14" w14:textId="77777777" w:rsidR="00B2283A" w:rsidRDefault="00B2283A" w:rsidP="00B2283A">
      <w:pPr>
        <w:rPr>
          <w:lang w:eastAsia="ja-JP"/>
        </w:rPr>
      </w:pPr>
      <w:r>
        <w:rPr>
          <w:lang w:eastAsia="ja-JP"/>
        </w:rPr>
        <w:t>Other guidance of relevance to this submission:</w:t>
      </w:r>
    </w:p>
    <w:p w14:paraId="52908326" w14:textId="77777777" w:rsidR="00B2283A" w:rsidRPr="00B2283A" w:rsidRDefault="00B2283A" w:rsidP="00966CF3">
      <w:r>
        <w:t>FDA Draft Guidance on Bosentan</w:t>
      </w:r>
    </w:p>
    <w:p w14:paraId="0D041D67" w14:textId="77777777" w:rsidR="00605AD4" w:rsidRDefault="00605AD4" w:rsidP="00605AD4">
      <w:pPr>
        <w:pStyle w:val="Heading4"/>
      </w:pPr>
      <w:r w:rsidRPr="00605AD4">
        <w:lastRenderedPageBreak/>
        <w:t>Contents of the clinical dossier</w:t>
      </w:r>
    </w:p>
    <w:p w14:paraId="71E8AEAA" w14:textId="77777777" w:rsidR="00CA0B65" w:rsidRDefault="00CA0B65" w:rsidP="00CA0B65">
      <w:r>
        <w:t>The c</w:t>
      </w:r>
      <w:r w:rsidRPr="000A2734">
        <w:t xml:space="preserve">linical efficacy and safety </w:t>
      </w:r>
      <w:r>
        <w:t xml:space="preserve">of the new formulation of bosentan </w:t>
      </w:r>
      <w:r w:rsidRPr="000A2734">
        <w:t xml:space="preserve">in the paediatric population </w:t>
      </w:r>
      <w:r>
        <w:t>has been</w:t>
      </w:r>
      <w:r w:rsidRPr="000A2734">
        <w:t xml:space="preserve"> extrapolated from the currently-registered products</w:t>
      </w:r>
      <w:r>
        <w:t xml:space="preserve"> and the PK of the two formulations</w:t>
      </w:r>
      <w:r w:rsidRPr="000A2734">
        <w:t>.</w:t>
      </w:r>
      <w:r>
        <w:t xml:space="preserve"> Several of the submitted studies collected data on safety and efficacy in the paediatric population.</w:t>
      </w:r>
    </w:p>
    <w:p w14:paraId="06819D15" w14:textId="77777777" w:rsidR="00CA0B65" w:rsidRPr="00A55675" w:rsidRDefault="00CA0B65" w:rsidP="00CA0B65">
      <w:r>
        <w:t>The following clinical studies of relevance to the submission were provided:</w:t>
      </w:r>
    </w:p>
    <w:p w14:paraId="3573E2B4" w14:textId="77777777" w:rsidR="00CA0B65" w:rsidRPr="00CA0B65" w:rsidRDefault="00CA0B65" w:rsidP="00CA0B65">
      <w:pPr>
        <w:pStyle w:val="ListBullet"/>
      </w:pPr>
      <w:r w:rsidRPr="00CA0B65">
        <w:t>Two clinical pharmacology studies providing PK and safety pharmacology data.</w:t>
      </w:r>
    </w:p>
    <w:p w14:paraId="39CCF672" w14:textId="77777777" w:rsidR="00CA0B65" w:rsidRPr="00CA0B65" w:rsidRDefault="00CA0B65" w:rsidP="00CA0B65">
      <w:pPr>
        <w:pStyle w:val="ListBullet"/>
      </w:pPr>
      <w:r w:rsidRPr="00CA0B65">
        <w:t>Two population PK (popPK) analyses</w:t>
      </w:r>
    </w:p>
    <w:p w14:paraId="07175234" w14:textId="77777777" w:rsidR="00CA0B65" w:rsidRPr="00CA0B65" w:rsidRDefault="00CA0B65" w:rsidP="00CA0B65">
      <w:pPr>
        <w:pStyle w:val="ListBullet"/>
      </w:pPr>
      <w:r w:rsidRPr="00CA0B65">
        <w:t>Three uncontrolled studies of safety and efficacy</w:t>
      </w:r>
    </w:p>
    <w:p w14:paraId="24B93FC0" w14:textId="77777777" w:rsidR="00CA0B65" w:rsidRPr="00CA0B65" w:rsidRDefault="00CA0B65" w:rsidP="00CA0B65">
      <w:pPr>
        <w:pStyle w:val="ListBullet"/>
      </w:pPr>
      <w:r w:rsidRPr="00CA0B65">
        <w:t>Two supportive studies requested by the Delegate</w:t>
      </w:r>
    </w:p>
    <w:p w14:paraId="71CF7EB1" w14:textId="77777777" w:rsidR="00CA0B65" w:rsidRPr="00CA0B65" w:rsidRDefault="00CA0B65" w:rsidP="00CA0B65">
      <w:pPr>
        <w:pStyle w:val="ListBullet"/>
      </w:pPr>
      <w:r w:rsidRPr="00CA0B65">
        <w:t>Two reports of analyses o</w:t>
      </w:r>
      <w:r w:rsidR="00932527">
        <w:t>f data from more than one study</w:t>
      </w:r>
    </w:p>
    <w:p w14:paraId="403C3341" w14:textId="77777777" w:rsidR="00CA0B65" w:rsidRPr="00CA0B65" w:rsidRDefault="00CA0B65" w:rsidP="00CA0B65">
      <w:pPr>
        <w:pStyle w:val="ListBullet"/>
      </w:pPr>
      <w:r w:rsidRPr="00CA0B65">
        <w:t>One PSUR for the period 20 November 2013 to 19 November 2014</w:t>
      </w:r>
    </w:p>
    <w:p w14:paraId="60870E44" w14:textId="77777777" w:rsidR="00CA0B65" w:rsidRPr="00CA0B65" w:rsidRDefault="00CA0B65" w:rsidP="00CA0B65">
      <w:pPr>
        <w:pStyle w:val="ListBullet"/>
      </w:pPr>
      <w:r w:rsidRPr="00CA0B65">
        <w:t>61 literature references</w:t>
      </w:r>
      <w:r w:rsidR="000A77C9">
        <w:t>.</w:t>
      </w:r>
    </w:p>
    <w:p w14:paraId="383B35BF" w14:textId="77777777" w:rsidR="00CA0B65" w:rsidRDefault="00CA0B65" w:rsidP="00CA0B65">
      <w:r>
        <w:t>The submission also contained the following documents of relevance to the clinical evaluation:</w:t>
      </w:r>
    </w:p>
    <w:p w14:paraId="5289C191" w14:textId="77777777" w:rsidR="00CA0B65" w:rsidRPr="00CA0B65" w:rsidRDefault="00CA0B65" w:rsidP="00CA0B65">
      <w:pPr>
        <w:pStyle w:val="ListBullet"/>
      </w:pPr>
      <w:r w:rsidRPr="00CA0B65">
        <w:t xml:space="preserve">Clinical Overview and addendum to support </w:t>
      </w:r>
      <w:r w:rsidR="00B4142C">
        <w:t>European Medicines Agency</w:t>
      </w:r>
      <w:r w:rsidR="00B4142C" w:rsidRPr="00CA0B65">
        <w:t xml:space="preserve"> </w:t>
      </w:r>
      <w:r w:rsidR="00B4142C">
        <w:t>(</w:t>
      </w:r>
      <w:r w:rsidRPr="00CA0B65">
        <w:t>EMEA</w:t>
      </w:r>
      <w:r w:rsidR="00B4142C">
        <w:t>)</w:t>
      </w:r>
      <w:r w:rsidRPr="00CA0B65">
        <w:t xml:space="preserve"> variation 39</w:t>
      </w:r>
    </w:p>
    <w:p w14:paraId="09D3C812" w14:textId="77777777" w:rsidR="00CA0B65" w:rsidRPr="00CA0B65" w:rsidRDefault="00CA0B65" w:rsidP="00CA0B65">
      <w:pPr>
        <w:pStyle w:val="ListBullet"/>
      </w:pPr>
      <w:r w:rsidRPr="00CA0B65">
        <w:t>Clinical Overview and addendum to support EMEA variation 66</w:t>
      </w:r>
    </w:p>
    <w:p w14:paraId="1CAF1FB3" w14:textId="77777777" w:rsidR="00CA0B65" w:rsidRPr="00CA0B65" w:rsidRDefault="00CA0B65" w:rsidP="00CA0B65">
      <w:pPr>
        <w:pStyle w:val="ListBullet"/>
      </w:pPr>
      <w:r w:rsidRPr="00CA0B65">
        <w:t>Addendum (used to support EMEA Variation 51)</w:t>
      </w:r>
    </w:p>
    <w:p w14:paraId="055FE29C" w14:textId="77777777" w:rsidR="00CA0B65" w:rsidRPr="00CA0B65" w:rsidRDefault="00CA0B65" w:rsidP="00CA0B65">
      <w:pPr>
        <w:pStyle w:val="ListBullet"/>
      </w:pPr>
      <w:r w:rsidRPr="00CA0B65">
        <w:t>Addendum Clinical Overview (20th PSUR nasal congestion)</w:t>
      </w:r>
    </w:p>
    <w:p w14:paraId="4A852036" w14:textId="77777777" w:rsidR="00CA0B65" w:rsidRPr="00CA0B65" w:rsidRDefault="00CA0B65" w:rsidP="00CA0B65">
      <w:pPr>
        <w:pStyle w:val="ListBullet"/>
      </w:pPr>
      <w:r w:rsidRPr="00CA0B65">
        <w:t>Summary of Biopharmaceutic Studies and Associated Analytical Methods</w:t>
      </w:r>
    </w:p>
    <w:p w14:paraId="70319187" w14:textId="77777777" w:rsidR="00CA0B65" w:rsidRPr="00CA0B65" w:rsidRDefault="00CA0B65" w:rsidP="00CA0B65">
      <w:pPr>
        <w:pStyle w:val="ListBullet"/>
      </w:pPr>
      <w:r w:rsidRPr="00CA0B65">
        <w:t>Summary and Addendum to support variation 39</w:t>
      </w:r>
    </w:p>
    <w:p w14:paraId="38A8E70C" w14:textId="77777777" w:rsidR="00CA0B65" w:rsidRPr="00CA0B65" w:rsidRDefault="00CA0B65" w:rsidP="00CA0B65">
      <w:pPr>
        <w:pStyle w:val="ListBullet"/>
      </w:pPr>
      <w:r w:rsidRPr="00CA0B65">
        <w:t>Two documents titled ‘Summary to support EMEA variation 66’</w:t>
      </w:r>
    </w:p>
    <w:p w14:paraId="42B48CB4" w14:textId="77777777" w:rsidR="00CA0B65" w:rsidRPr="00CA0B65" w:rsidRDefault="00CA0B65" w:rsidP="00CA0B65">
      <w:pPr>
        <w:pStyle w:val="ListBullet"/>
      </w:pPr>
      <w:r w:rsidRPr="00CA0B65">
        <w:t>Three documents titled ‘Summary to support EMEA variation 39’</w:t>
      </w:r>
    </w:p>
    <w:p w14:paraId="2386AAF6" w14:textId="77777777" w:rsidR="00CA0B65" w:rsidRPr="00CA0B65" w:rsidRDefault="00CA0B65" w:rsidP="00CA0B65">
      <w:pPr>
        <w:pStyle w:val="ListBullet"/>
      </w:pPr>
      <w:r w:rsidRPr="00CA0B65">
        <w:t>Summary addendum (used to support EMEA Variation 51)</w:t>
      </w:r>
    </w:p>
    <w:p w14:paraId="0059637B" w14:textId="77777777" w:rsidR="00CA0B65" w:rsidRPr="00CA0B65" w:rsidRDefault="00CA0B65" w:rsidP="00CA0B65">
      <w:pPr>
        <w:pStyle w:val="ListBullet"/>
      </w:pPr>
      <w:r w:rsidRPr="00CA0B65">
        <w:t>Synopses of individual studies</w:t>
      </w:r>
    </w:p>
    <w:p w14:paraId="004A1D6F" w14:textId="77777777" w:rsidR="00CA0B65" w:rsidRPr="00CA0B65" w:rsidRDefault="00CA0B65" w:rsidP="00CA0B65">
      <w:pPr>
        <w:pStyle w:val="ListBullet"/>
      </w:pPr>
      <w:r w:rsidRPr="00CA0B65">
        <w:t>A list of literature references</w:t>
      </w:r>
      <w:r w:rsidR="000A77C9">
        <w:t>.</w:t>
      </w:r>
    </w:p>
    <w:p w14:paraId="3657E432" w14:textId="77777777" w:rsidR="00605AD4" w:rsidRDefault="00605AD4" w:rsidP="00605AD4">
      <w:pPr>
        <w:pStyle w:val="Heading4"/>
      </w:pPr>
      <w:r w:rsidRPr="00605AD4">
        <w:t>Paediatric data</w:t>
      </w:r>
    </w:p>
    <w:p w14:paraId="64DA3534" w14:textId="77777777" w:rsidR="00CA0B65" w:rsidRDefault="00CA0B65" w:rsidP="00CA0B65">
      <w:pPr>
        <w:rPr>
          <w:lang w:eastAsia="ja-JP"/>
        </w:rPr>
      </w:pPr>
      <w:r>
        <w:rPr>
          <w:lang w:eastAsia="ja-JP"/>
        </w:rPr>
        <w:t xml:space="preserve">Seven studies with paediatric data have been included in the </w:t>
      </w:r>
      <w:r w:rsidRPr="00FE6C13">
        <w:rPr>
          <w:lang w:eastAsia="ja-JP"/>
        </w:rPr>
        <w:t>submission (</w:t>
      </w:r>
      <w:r w:rsidR="00FE6C13" w:rsidRPr="00FE6C13">
        <w:rPr>
          <w:lang w:eastAsia="ja-JP"/>
        </w:rPr>
        <w:t>Table 7</w:t>
      </w:r>
      <w:r w:rsidRPr="00FE6C13">
        <w:rPr>
          <w:lang w:eastAsia="ja-JP"/>
        </w:rPr>
        <w:t>). The paediatric development program form indicates that the sponsor is seeking approval for</w:t>
      </w:r>
      <w:r>
        <w:rPr>
          <w:lang w:eastAsia="ja-JP"/>
        </w:rPr>
        <w:t xml:space="preserve"> the preterm or term newborn infant, infant and toddler and children age ranges (less than 28 days to 11 years). The form indicates that the sponsor has an agreed </w:t>
      </w:r>
      <w:r w:rsidR="00932527">
        <w:t>paediatric investigational plan</w:t>
      </w:r>
      <w:r w:rsidR="00932527">
        <w:rPr>
          <w:lang w:eastAsia="ja-JP"/>
        </w:rPr>
        <w:t xml:space="preserve"> (</w:t>
      </w:r>
      <w:r>
        <w:rPr>
          <w:lang w:eastAsia="ja-JP"/>
        </w:rPr>
        <w:t>PIP</w:t>
      </w:r>
      <w:r w:rsidR="00932527">
        <w:rPr>
          <w:lang w:eastAsia="ja-JP"/>
        </w:rPr>
        <w:t>)</w:t>
      </w:r>
      <w:r>
        <w:rPr>
          <w:lang w:eastAsia="ja-JP"/>
        </w:rPr>
        <w:t xml:space="preserve"> in Europe and an exemption from having to submit a paediatric assessment in the USA. The form states that all PIP studies have been completed.</w:t>
      </w:r>
    </w:p>
    <w:p w14:paraId="22380B6C" w14:textId="77777777" w:rsidR="00CA0B65" w:rsidRDefault="00CA0B65" w:rsidP="00E55AFB">
      <w:pPr>
        <w:pStyle w:val="Tabletitle0"/>
        <w:pageBreakBefore/>
      </w:pPr>
      <w:bookmarkStart w:id="74" w:name="_Ref460835035"/>
      <w:bookmarkStart w:id="75" w:name="_Toc473884049"/>
      <w:r>
        <w:lastRenderedPageBreak/>
        <w:t xml:space="preserve">Table </w:t>
      </w:r>
      <w:bookmarkEnd w:id="74"/>
      <w:r w:rsidR="00FE6C13">
        <w:t>7</w:t>
      </w:r>
      <w:r>
        <w:t>: Paediatric studies included in the submission</w:t>
      </w:r>
      <w:bookmarkEnd w:id="75"/>
    </w:p>
    <w:tbl>
      <w:tblPr>
        <w:tblStyle w:val="TableTGAblue"/>
        <w:tblW w:w="9011" w:type="dxa"/>
        <w:tblLook w:val="04A0" w:firstRow="1" w:lastRow="0" w:firstColumn="1" w:lastColumn="0" w:noHBand="0" w:noVBand="1"/>
      </w:tblPr>
      <w:tblGrid>
        <w:gridCol w:w="1942"/>
        <w:gridCol w:w="1966"/>
        <w:gridCol w:w="1473"/>
        <w:gridCol w:w="3630"/>
      </w:tblGrid>
      <w:tr w:rsidR="005231AA" w:rsidRPr="00E55AFB" w14:paraId="78D86D10" w14:textId="77777777" w:rsidTr="00966CF3">
        <w:trPr>
          <w:cnfStyle w:val="100000000000" w:firstRow="1" w:lastRow="0" w:firstColumn="0" w:lastColumn="0" w:oddVBand="0" w:evenVBand="0" w:oddHBand="0" w:evenHBand="0" w:firstRowFirstColumn="0" w:firstRowLastColumn="0" w:lastRowFirstColumn="0" w:lastRowLastColumn="0"/>
        </w:trPr>
        <w:tc>
          <w:tcPr>
            <w:tcW w:w="1951" w:type="dxa"/>
          </w:tcPr>
          <w:p w14:paraId="5B1AE78E" w14:textId="77777777" w:rsidR="00CA0B65" w:rsidRPr="00E55AFB" w:rsidRDefault="00CA0B65" w:rsidP="00E55AFB">
            <w:pPr>
              <w:rPr>
                <w:b w:val="0"/>
                <w:sz w:val="20"/>
                <w:szCs w:val="20"/>
              </w:rPr>
            </w:pPr>
            <w:r w:rsidRPr="00E55AFB">
              <w:rPr>
                <w:sz w:val="20"/>
                <w:szCs w:val="20"/>
              </w:rPr>
              <w:t>PK topic</w:t>
            </w:r>
          </w:p>
        </w:tc>
        <w:tc>
          <w:tcPr>
            <w:tcW w:w="1895" w:type="dxa"/>
          </w:tcPr>
          <w:p w14:paraId="32320AB4" w14:textId="77777777" w:rsidR="00CA0B65" w:rsidRPr="00E55AFB" w:rsidRDefault="00CA0B65" w:rsidP="00E55AFB">
            <w:pPr>
              <w:rPr>
                <w:b w:val="0"/>
                <w:sz w:val="20"/>
                <w:szCs w:val="20"/>
              </w:rPr>
            </w:pPr>
            <w:r w:rsidRPr="00E55AFB">
              <w:rPr>
                <w:sz w:val="20"/>
                <w:szCs w:val="20"/>
              </w:rPr>
              <w:t>Age group</w:t>
            </w:r>
          </w:p>
        </w:tc>
        <w:tc>
          <w:tcPr>
            <w:tcW w:w="1475" w:type="dxa"/>
          </w:tcPr>
          <w:p w14:paraId="44D1663E" w14:textId="77777777" w:rsidR="00CA0B65" w:rsidRPr="00E55AFB" w:rsidRDefault="00CA0B65" w:rsidP="00E55AFB">
            <w:pPr>
              <w:rPr>
                <w:b w:val="0"/>
                <w:sz w:val="20"/>
                <w:szCs w:val="20"/>
              </w:rPr>
            </w:pPr>
            <w:r w:rsidRPr="00E55AFB">
              <w:rPr>
                <w:sz w:val="20"/>
                <w:szCs w:val="20"/>
              </w:rPr>
              <w:t>Study ID</w:t>
            </w:r>
          </w:p>
        </w:tc>
        <w:tc>
          <w:tcPr>
            <w:tcW w:w="3690" w:type="dxa"/>
          </w:tcPr>
          <w:p w14:paraId="304C43F9" w14:textId="77777777" w:rsidR="00CA0B65" w:rsidRPr="00E55AFB" w:rsidRDefault="00CA0B65" w:rsidP="00E55AFB">
            <w:pPr>
              <w:rPr>
                <w:b w:val="0"/>
                <w:sz w:val="20"/>
                <w:szCs w:val="20"/>
              </w:rPr>
            </w:pPr>
            <w:r w:rsidRPr="00E55AFB">
              <w:rPr>
                <w:sz w:val="20"/>
                <w:szCs w:val="20"/>
              </w:rPr>
              <w:t>Synopsis</w:t>
            </w:r>
          </w:p>
        </w:tc>
      </w:tr>
      <w:tr w:rsidR="005231AA" w:rsidRPr="00E55AFB" w14:paraId="0E8CE7B4" w14:textId="77777777" w:rsidTr="00966CF3">
        <w:tc>
          <w:tcPr>
            <w:tcW w:w="1951" w:type="dxa"/>
          </w:tcPr>
          <w:p w14:paraId="21DCF534" w14:textId="0A04E10B" w:rsidR="00CA0B65" w:rsidRPr="00E55AFB" w:rsidRDefault="00CA0B65" w:rsidP="00E55AFB">
            <w:pPr>
              <w:rPr>
                <w:sz w:val="20"/>
                <w:szCs w:val="20"/>
              </w:rPr>
            </w:pPr>
            <w:r w:rsidRPr="00E55AFB">
              <w:rPr>
                <w:sz w:val="20"/>
                <w:szCs w:val="20"/>
              </w:rPr>
              <w:t xml:space="preserve">Intrinsic factor PK </w:t>
            </w:r>
            <w:r w:rsidR="005231AA" w:rsidRPr="00E55AFB">
              <w:rPr>
                <w:sz w:val="20"/>
                <w:szCs w:val="20"/>
              </w:rPr>
              <w:t xml:space="preserve">study </w:t>
            </w:r>
            <w:r w:rsidRPr="00E55AFB">
              <w:rPr>
                <w:sz w:val="20"/>
                <w:szCs w:val="20"/>
              </w:rPr>
              <w:t>reports</w:t>
            </w:r>
          </w:p>
        </w:tc>
        <w:tc>
          <w:tcPr>
            <w:tcW w:w="1895" w:type="dxa"/>
          </w:tcPr>
          <w:p w14:paraId="34B77F11" w14:textId="77777777" w:rsidR="00CA0B65" w:rsidRPr="00E55AFB" w:rsidRDefault="00CA0B65" w:rsidP="00E55AFB">
            <w:pPr>
              <w:rPr>
                <w:sz w:val="20"/>
                <w:szCs w:val="20"/>
              </w:rPr>
            </w:pPr>
            <w:r w:rsidRPr="00E55AFB">
              <w:rPr>
                <w:sz w:val="20"/>
                <w:szCs w:val="20"/>
              </w:rPr>
              <w:t>Children</w:t>
            </w:r>
          </w:p>
        </w:tc>
        <w:tc>
          <w:tcPr>
            <w:tcW w:w="1475" w:type="dxa"/>
          </w:tcPr>
          <w:p w14:paraId="7E928B56" w14:textId="77777777" w:rsidR="00CA0B65" w:rsidRPr="00E55AFB" w:rsidRDefault="00CA0B65" w:rsidP="00E55AFB">
            <w:pPr>
              <w:rPr>
                <w:sz w:val="20"/>
                <w:szCs w:val="20"/>
              </w:rPr>
            </w:pPr>
            <w:r w:rsidRPr="00E55AFB">
              <w:rPr>
                <w:sz w:val="20"/>
                <w:szCs w:val="20"/>
              </w:rPr>
              <w:t>AC-052-365 FUTURE-1</w:t>
            </w:r>
          </w:p>
        </w:tc>
        <w:tc>
          <w:tcPr>
            <w:tcW w:w="3690" w:type="dxa"/>
          </w:tcPr>
          <w:p w14:paraId="56F84C1D" w14:textId="77777777" w:rsidR="00CA0B65" w:rsidRPr="00E55AFB" w:rsidRDefault="00CA0B65" w:rsidP="00E55AFB">
            <w:pPr>
              <w:rPr>
                <w:sz w:val="20"/>
                <w:szCs w:val="20"/>
              </w:rPr>
            </w:pPr>
            <w:r w:rsidRPr="00E55AFB">
              <w:rPr>
                <w:sz w:val="20"/>
                <w:szCs w:val="20"/>
              </w:rPr>
              <w:t>An open label, multicentre study to assess the PK, tolerability, and safety of a paediatric formulation of bosentan in children with idiopathic or familial PAH.</w:t>
            </w:r>
          </w:p>
        </w:tc>
      </w:tr>
      <w:tr w:rsidR="005231AA" w:rsidRPr="00E55AFB" w14:paraId="7989DA41" w14:textId="77777777" w:rsidTr="00966CF3">
        <w:tc>
          <w:tcPr>
            <w:tcW w:w="1951" w:type="dxa"/>
          </w:tcPr>
          <w:p w14:paraId="4EA19ED6" w14:textId="77777777" w:rsidR="00CA0B65" w:rsidRPr="00E55AFB" w:rsidRDefault="00CA0B65" w:rsidP="00E55AFB">
            <w:pPr>
              <w:rPr>
                <w:sz w:val="20"/>
                <w:szCs w:val="20"/>
              </w:rPr>
            </w:pPr>
            <w:r w:rsidRPr="00E55AFB">
              <w:rPr>
                <w:sz w:val="20"/>
                <w:szCs w:val="20"/>
              </w:rPr>
              <w:t>Population PK analyses</w:t>
            </w:r>
          </w:p>
        </w:tc>
        <w:tc>
          <w:tcPr>
            <w:tcW w:w="1895" w:type="dxa"/>
          </w:tcPr>
          <w:p w14:paraId="2957454B" w14:textId="77777777" w:rsidR="00CA0B65" w:rsidRPr="00E55AFB" w:rsidRDefault="00CA0B65" w:rsidP="00E55AFB">
            <w:pPr>
              <w:rPr>
                <w:sz w:val="20"/>
                <w:szCs w:val="20"/>
              </w:rPr>
            </w:pPr>
            <w:r w:rsidRPr="00E55AFB">
              <w:rPr>
                <w:sz w:val="20"/>
                <w:szCs w:val="20"/>
              </w:rPr>
              <w:t>Infants/children</w:t>
            </w:r>
          </w:p>
        </w:tc>
        <w:tc>
          <w:tcPr>
            <w:tcW w:w="1475" w:type="dxa"/>
          </w:tcPr>
          <w:p w14:paraId="140A2803" w14:textId="77777777" w:rsidR="00CA0B65" w:rsidRPr="00E55AFB" w:rsidRDefault="00CA0B65" w:rsidP="00E55AFB">
            <w:pPr>
              <w:rPr>
                <w:sz w:val="20"/>
                <w:szCs w:val="20"/>
              </w:rPr>
            </w:pPr>
            <w:r w:rsidRPr="00E55AFB">
              <w:rPr>
                <w:sz w:val="20"/>
                <w:szCs w:val="20"/>
              </w:rPr>
              <w:t>AC-052-373 FUTURE-3</w:t>
            </w:r>
          </w:p>
        </w:tc>
        <w:tc>
          <w:tcPr>
            <w:tcW w:w="3690" w:type="dxa"/>
          </w:tcPr>
          <w:p w14:paraId="64ADC5CB" w14:textId="77777777" w:rsidR="00CA0B65" w:rsidRPr="00E55AFB" w:rsidRDefault="00CA0B65" w:rsidP="00E55AFB">
            <w:pPr>
              <w:rPr>
                <w:sz w:val="20"/>
                <w:szCs w:val="20"/>
              </w:rPr>
            </w:pPr>
            <w:r w:rsidRPr="00E55AFB">
              <w:rPr>
                <w:sz w:val="20"/>
                <w:szCs w:val="20"/>
              </w:rPr>
              <w:t>PopPK of bosentan in children with PAH</w:t>
            </w:r>
          </w:p>
        </w:tc>
      </w:tr>
      <w:tr w:rsidR="005231AA" w:rsidRPr="00E55AFB" w14:paraId="6A60E490" w14:textId="77777777" w:rsidTr="00966CF3">
        <w:tc>
          <w:tcPr>
            <w:tcW w:w="1951" w:type="dxa"/>
            <w:vMerge w:val="restart"/>
          </w:tcPr>
          <w:p w14:paraId="3886E3D4" w14:textId="77777777" w:rsidR="00CA0B65" w:rsidRPr="00E55AFB" w:rsidRDefault="00CA0B65" w:rsidP="00E55AFB">
            <w:pPr>
              <w:rPr>
                <w:sz w:val="20"/>
                <w:szCs w:val="20"/>
              </w:rPr>
            </w:pPr>
            <w:r w:rsidRPr="00E55AFB">
              <w:rPr>
                <w:sz w:val="20"/>
                <w:szCs w:val="20"/>
              </w:rPr>
              <w:t>Uncontrolled clinical studies</w:t>
            </w:r>
          </w:p>
        </w:tc>
        <w:tc>
          <w:tcPr>
            <w:tcW w:w="1895" w:type="dxa"/>
          </w:tcPr>
          <w:p w14:paraId="29DF0B5E" w14:textId="77777777" w:rsidR="00CA0B65" w:rsidRPr="00E55AFB" w:rsidRDefault="00CA0B65" w:rsidP="00E55AFB">
            <w:pPr>
              <w:rPr>
                <w:sz w:val="20"/>
                <w:szCs w:val="20"/>
              </w:rPr>
            </w:pPr>
            <w:r w:rsidRPr="00E55AFB">
              <w:rPr>
                <w:sz w:val="20"/>
                <w:szCs w:val="20"/>
              </w:rPr>
              <w:t>Children</w:t>
            </w:r>
          </w:p>
        </w:tc>
        <w:tc>
          <w:tcPr>
            <w:tcW w:w="1475" w:type="dxa"/>
          </w:tcPr>
          <w:p w14:paraId="6CC3D655" w14:textId="77777777" w:rsidR="00CA0B65" w:rsidRPr="00E55AFB" w:rsidRDefault="00CA0B65" w:rsidP="00E55AFB">
            <w:pPr>
              <w:rPr>
                <w:sz w:val="20"/>
                <w:szCs w:val="20"/>
              </w:rPr>
            </w:pPr>
            <w:r w:rsidRPr="00E55AFB">
              <w:rPr>
                <w:sz w:val="20"/>
                <w:szCs w:val="20"/>
              </w:rPr>
              <w:t>AC-052-367 FUTURE-2</w:t>
            </w:r>
          </w:p>
        </w:tc>
        <w:tc>
          <w:tcPr>
            <w:tcW w:w="3690" w:type="dxa"/>
          </w:tcPr>
          <w:p w14:paraId="30027C22" w14:textId="77777777" w:rsidR="00CA0B65" w:rsidRPr="00E55AFB" w:rsidRDefault="00CA0B65" w:rsidP="00E55AFB">
            <w:pPr>
              <w:rPr>
                <w:sz w:val="20"/>
                <w:szCs w:val="20"/>
              </w:rPr>
            </w:pPr>
            <w:r w:rsidRPr="00E55AFB">
              <w:rPr>
                <w:sz w:val="20"/>
                <w:szCs w:val="20"/>
              </w:rPr>
              <w:t>An open label, long term, safety, and tolerability extension study using the paediatric formulation of bosentan in the treatment of children with idiopathic or familial PAH who completed FUTURE-1.</w:t>
            </w:r>
          </w:p>
        </w:tc>
      </w:tr>
      <w:tr w:rsidR="005231AA" w:rsidRPr="00E55AFB" w14:paraId="1183E25E" w14:textId="77777777" w:rsidTr="00966CF3">
        <w:tc>
          <w:tcPr>
            <w:tcW w:w="1951" w:type="dxa"/>
            <w:vMerge/>
          </w:tcPr>
          <w:p w14:paraId="222D5BB4" w14:textId="77777777" w:rsidR="00CA0B65" w:rsidRPr="00E55AFB" w:rsidRDefault="00CA0B65" w:rsidP="00E55AFB">
            <w:pPr>
              <w:rPr>
                <w:sz w:val="20"/>
                <w:szCs w:val="20"/>
              </w:rPr>
            </w:pPr>
          </w:p>
        </w:tc>
        <w:tc>
          <w:tcPr>
            <w:tcW w:w="1895" w:type="dxa"/>
          </w:tcPr>
          <w:p w14:paraId="4123D7BD" w14:textId="77777777" w:rsidR="00CA0B65" w:rsidRPr="00E55AFB" w:rsidRDefault="00CA0B65" w:rsidP="00E55AFB">
            <w:pPr>
              <w:rPr>
                <w:sz w:val="20"/>
                <w:szCs w:val="20"/>
              </w:rPr>
            </w:pPr>
            <w:r w:rsidRPr="00E55AFB">
              <w:rPr>
                <w:sz w:val="20"/>
                <w:szCs w:val="20"/>
              </w:rPr>
              <w:t>Infants/children</w:t>
            </w:r>
          </w:p>
        </w:tc>
        <w:tc>
          <w:tcPr>
            <w:tcW w:w="1475" w:type="dxa"/>
          </w:tcPr>
          <w:p w14:paraId="17185537" w14:textId="77777777" w:rsidR="00CA0B65" w:rsidRPr="00E55AFB" w:rsidRDefault="00CA0B65" w:rsidP="00E55AFB">
            <w:pPr>
              <w:rPr>
                <w:sz w:val="20"/>
                <w:szCs w:val="20"/>
              </w:rPr>
            </w:pPr>
            <w:r w:rsidRPr="00E55AFB">
              <w:rPr>
                <w:sz w:val="20"/>
                <w:szCs w:val="20"/>
              </w:rPr>
              <w:t>AC-052-373 FUTURE-3</w:t>
            </w:r>
          </w:p>
        </w:tc>
        <w:tc>
          <w:tcPr>
            <w:tcW w:w="3690" w:type="dxa"/>
          </w:tcPr>
          <w:p w14:paraId="1B89D382" w14:textId="77777777" w:rsidR="00CA0B65" w:rsidRPr="00E55AFB" w:rsidRDefault="00CA0B65" w:rsidP="00E55AFB">
            <w:pPr>
              <w:rPr>
                <w:sz w:val="20"/>
                <w:szCs w:val="20"/>
                <w:highlight w:val="green"/>
              </w:rPr>
            </w:pPr>
            <w:r w:rsidRPr="00E55AFB">
              <w:rPr>
                <w:sz w:val="20"/>
                <w:szCs w:val="20"/>
              </w:rPr>
              <w:t xml:space="preserve">An open </w:t>
            </w:r>
            <w:proofErr w:type="gramStart"/>
            <w:r w:rsidRPr="00E55AFB">
              <w:rPr>
                <w:sz w:val="20"/>
                <w:szCs w:val="20"/>
              </w:rPr>
              <w:t>label,</w:t>
            </w:r>
            <w:proofErr w:type="gramEnd"/>
            <w:r w:rsidRPr="00E55AFB">
              <w:rPr>
                <w:sz w:val="20"/>
                <w:szCs w:val="20"/>
              </w:rPr>
              <w:t xml:space="preserve"> randomised, multicentre, multiple dose trial to evaluate the PK, tolerability, safety and efficacy of the paediatric formulation of bosentan BD versus TDS in children from 3 months to less than 12 years of age with PAH.</w:t>
            </w:r>
          </w:p>
        </w:tc>
      </w:tr>
      <w:tr w:rsidR="005231AA" w:rsidRPr="00E55AFB" w14:paraId="253327D6" w14:textId="77777777" w:rsidTr="00966CF3">
        <w:tc>
          <w:tcPr>
            <w:tcW w:w="1951" w:type="dxa"/>
            <w:vMerge/>
          </w:tcPr>
          <w:p w14:paraId="0B8FF636" w14:textId="77777777" w:rsidR="00CA0B65" w:rsidRPr="00E55AFB" w:rsidRDefault="00CA0B65" w:rsidP="00E55AFB">
            <w:pPr>
              <w:rPr>
                <w:sz w:val="20"/>
                <w:szCs w:val="20"/>
              </w:rPr>
            </w:pPr>
          </w:p>
        </w:tc>
        <w:tc>
          <w:tcPr>
            <w:tcW w:w="1895" w:type="dxa"/>
          </w:tcPr>
          <w:p w14:paraId="2CE522BA" w14:textId="77777777" w:rsidR="00CA0B65" w:rsidRPr="00E55AFB" w:rsidRDefault="00CA0B65" w:rsidP="00E55AFB">
            <w:pPr>
              <w:rPr>
                <w:sz w:val="20"/>
                <w:szCs w:val="20"/>
              </w:rPr>
            </w:pPr>
            <w:r w:rsidRPr="00E55AFB">
              <w:rPr>
                <w:sz w:val="20"/>
                <w:szCs w:val="20"/>
              </w:rPr>
              <w:t>Infants/children</w:t>
            </w:r>
          </w:p>
        </w:tc>
        <w:tc>
          <w:tcPr>
            <w:tcW w:w="1475" w:type="dxa"/>
          </w:tcPr>
          <w:p w14:paraId="6D71FA61" w14:textId="77777777" w:rsidR="00CA0B65" w:rsidRPr="00E55AFB" w:rsidRDefault="00CA0B65" w:rsidP="00E55AFB">
            <w:pPr>
              <w:rPr>
                <w:sz w:val="20"/>
                <w:szCs w:val="20"/>
              </w:rPr>
            </w:pPr>
            <w:r w:rsidRPr="00E55AFB">
              <w:rPr>
                <w:sz w:val="20"/>
                <w:szCs w:val="20"/>
              </w:rPr>
              <w:t>AC-052-374 FUTURE-3 extension</w:t>
            </w:r>
          </w:p>
        </w:tc>
        <w:tc>
          <w:tcPr>
            <w:tcW w:w="3690" w:type="dxa"/>
          </w:tcPr>
          <w:p w14:paraId="489F6003" w14:textId="77777777" w:rsidR="00CA0B65" w:rsidRPr="00E55AFB" w:rsidRDefault="00CA0B65" w:rsidP="00E55AFB">
            <w:pPr>
              <w:rPr>
                <w:sz w:val="20"/>
                <w:szCs w:val="20"/>
              </w:rPr>
            </w:pPr>
            <w:r w:rsidRPr="00E55AFB">
              <w:rPr>
                <w:sz w:val="20"/>
                <w:szCs w:val="20"/>
              </w:rPr>
              <w:t>A prospective multicentre, open label extension of Future 3 to assess the safety, tolerability and efficacy of the paediatric formulation of bosentan BD versus TDS in children with PAH.</w:t>
            </w:r>
          </w:p>
        </w:tc>
      </w:tr>
      <w:tr w:rsidR="005231AA" w:rsidRPr="00E55AFB" w14:paraId="56D66028" w14:textId="77777777" w:rsidTr="00966CF3">
        <w:trPr>
          <w:trHeight w:val="1909"/>
        </w:trPr>
        <w:tc>
          <w:tcPr>
            <w:tcW w:w="1951" w:type="dxa"/>
            <w:vMerge w:val="restart"/>
          </w:tcPr>
          <w:p w14:paraId="368C00EE" w14:textId="0B5EEDCF" w:rsidR="00CA0B65" w:rsidRPr="00E55AFB" w:rsidRDefault="00CA0B65" w:rsidP="00E55AFB">
            <w:pPr>
              <w:rPr>
                <w:sz w:val="20"/>
                <w:szCs w:val="20"/>
              </w:rPr>
            </w:pPr>
            <w:r w:rsidRPr="00E55AFB">
              <w:rPr>
                <w:sz w:val="20"/>
                <w:szCs w:val="20"/>
              </w:rPr>
              <w:t xml:space="preserve">Reports </w:t>
            </w:r>
            <w:r w:rsidR="005231AA" w:rsidRPr="00E55AFB">
              <w:rPr>
                <w:sz w:val="20"/>
                <w:szCs w:val="20"/>
              </w:rPr>
              <w:t>of analyses of data from more than one study</w:t>
            </w:r>
          </w:p>
        </w:tc>
        <w:tc>
          <w:tcPr>
            <w:tcW w:w="1895" w:type="dxa"/>
          </w:tcPr>
          <w:p w14:paraId="340C692D" w14:textId="77777777" w:rsidR="00CA0B65" w:rsidRPr="00E55AFB" w:rsidRDefault="00CA0B65" w:rsidP="00E55AFB">
            <w:pPr>
              <w:rPr>
                <w:sz w:val="20"/>
                <w:szCs w:val="20"/>
              </w:rPr>
            </w:pPr>
            <w:r w:rsidRPr="00E55AFB">
              <w:rPr>
                <w:sz w:val="20"/>
                <w:szCs w:val="20"/>
              </w:rPr>
              <w:t>Infants/children</w:t>
            </w:r>
          </w:p>
        </w:tc>
        <w:tc>
          <w:tcPr>
            <w:tcW w:w="1475" w:type="dxa"/>
          </w:tcPr>
          <w:p w14:paraId="5B2BBE76" w14:textId="77777777" w:rsidR="00CA0B65" w:rsidRPr="00E55AFB" w:rsidRDefault="00CA0B65" w:rsidP="00E55AFB">
            <w:pPr>
              <w:rPr>
                <w:sz w:val="20"/>
                <w:szCs w:val="20"/>
              </w:rPr>
            </w:pPr>
            <w:r w:rsidRPr="00E55AFB">
              <w:rPr>
                <w:sz w:val="20"/>
                <w:szCs w:val="20"/>
              </w:rPr>
              <w:t>AC-052-367 FUTURE-2</w:t>
            </w:r>
          </w:p>
          <w:p w14:paraId="383689E9" w14:textId="77777777" w:rsidR="00CA0B65" w:rsidRPr="00E55AFB" w:rsidRDefault="00CA0B65" w:rsidP="00E55AFB">
            <w:pPr>
              <w:rPr>
                <w:sz w:val="20"/>
                <w:szCs w:val="20"/>
              </w:rPr>
            </w:pPr>
            <w:r w:rsidRPr="00E55AFB">
              <w:rPr>
                <w:sz w:val="20"/>
                <w:szCs w:val="20"/>
              </w:rPr>
              <w:t>AC-052-373 FUTURE-3</w:t>
            </w:r>
          </w:p>
          <w:p w14:paraId="1F558FB4" w14:textId="77777777" w:rsidR="00CA0B65" w:rsidRPr="00E55AFB" w:rsidRDefault="00CA0B65" w:rsidP="00E55AFB">
            <w:pPr>
              <w:rPr>
                <w:sz w:val="20"/>
                <w:szCs w:val="20"/>
              </w:rPr>
            </w:pPr>
            <w:r w:rsidRPr="00E55AFB">
              <w:rPr>
                <w:sz w:val="20"/>
                <w:szCs w:val="20"/>
              </w:rPr>
              <w:t>AC-052-391 FUTURE-4</w:t>
            </w:r>
          </w:p>
        </w:tc>
        <w:tc>
          <w:tcPr>
            <w:tcW w:w="3690" w:type="dxa"/>
          </w:tcPr>
          <w:p w14:paraId="3076C0FC" w14:textId="77777777" w:rsidR="00CA0B65" w:rsidRPr="00E55AFB" w:rsidRDefault="00CA0B65" w:rsidP="00E55AFB">
            <w:pPr>
              <w:rPr>
                <w:sz w:val="20"/>
                <w:szCs w:val="20"/>
              </w:rPr>
            </w:pPr>
            <w:r w:rsidRPr="00E55AFB">
              <w:rPr>
                <w:sz w:val="20"/>
                <w:szCs w:val="20"/>
              </w:rPr>
              <w:t>This document is a compilation of appendices referred to in the Summary of Clinical Efficacy.</w:t>
            </w:r>
          </w:p>
        </w:tc>
      </w:tr>
      <w:tr w:rsidR="005231AA" w:rsidRPr="00E55AFB" w14:paraId="19ABC3EB" w14:textId="77777777" w:rsidTr="00966CF3">
        <w:tc>
          <w:tcPr>
            <w:tcW w:w="1951" w:type="dxa"/>
            <w:vMerge/>
          </w:tcPr>
          <w:p w14:paraId="7933CBD9" w14:textId="77777777" w:rsidR="00CA0B65" w:rsidRPr="00E55AFB" w:rsidRDefault="00CA0B65" w:rsidP="00E55AFB">
            <w:pPr>
              <w:rPr>
                <w:sz w:val="20"/>
                <w:szCs w:val="20"/>
              </w:rPr>
            </w:pPr>
          </w:p>
        </w:tc>
        <w:tc>
          <w:tcPr>
            <w:tcW w:w="1895" w:type="dxa"/>
          </w:tcPr>
          <w:p w14:paraId="5320448F" w14:textId="77777777" w:rsidR="00CA0B65" w:rsidRPr="00E55AFB" w:rsidRDefault="00CA0B65" w:rsidP="00E55AFB">
            <w:pPr>
              <w:rPr>
                <w:sz w:val="20"/>
                <w:szCs w:val="20"/>
              </w:rPr>
            </w:pPr>
            <w:r w:rsidRPr="00E55AFB">
              <w:rPr>
                <w:sz w:val="20"/>
                <w:szCs w:val="20"/>
              </w:rPr>
              <w:t>Infants/children</w:t>
            </w:r>
          </w:p>
        </w:tc>
        <w:tc>
          <w:tcPr>
            <w:tcW w:w="1475" w:type="dxa"/>
          </w:tcPr>
          <w:p w14:paraId="17F2FE30" w14:textId="77777777" w:rsidR="00CA0B65" w:rsidRPr="00E55AFB" w:rsidRDefault="00CA0B65" w:rsidP="00E55AFB">
            <w:pPr>
              <w:rPr>
                <w:sz w:val="20"/>
                <w:szCs w:val="20"/>
              </w:rPr>
            </w:pPr>
            <w:r w:rsidRPr="00E55AFB">
              <w:rPr>
                <w:sz w:val="20"/>
                <w:szCs w:val="20"/>
              </w:rPr>
              <w:t>AC-052-365 FUTURE-1</w:t>
            </w:r>
          </w:p>
          <w:p w14:paraId="600E41EA" w14:textId="77777777" w:rsidR="00CA0B65" w:rsidRPr="00E55AFB" w:rsidRDefault="00CA0B65" w:rsidP="00E55AFB">
            <w:pPr>
              <w:rPr>
                <w:sz w:val="20"/>
                <w:szCs w:val="20"/>
              </w:rPr>
            </w:pPr>
            <w:r w:rsidRPr="00E55AFB">
              <w:rPr>
                <w:sz w:val="20"/>
                <w:szCs w:val="20"/>
              </w:rPr>
              <w:t>AC-052-367 FUTURE-2</w:t>
            </w:r>
          </w:p>
          <w:p w14:paraId="1E039CFB" w14:textId="77777777" w:rsidR="00CA0B65" w:rsidRPr="00E55AFB" w:rsidRDefault="00CA0B65" w:rsidP="00E55AFB">
            <w:pPr>
              <w:rPr>
                <w:sz w:val="20"/>
                <w:szCs w:val="20"/>
              </w:rPr>
            </w:pPr>
            <w:r w:rsidRPr="00E55AFB">
              <w:rPr>
                <w:sz w:val="20"/>
                <w:szCs w:val="20"/>
              </w:rPr>
              <w:t>AC-052-373 FUTURE-3</w:t>
            </w:r>
          </w:p>
          <w:p w14:paraId="0BA9FD0A" w14:textId="77777777" w:rsidR="00CA0B65" w:rsidRPr="00E55AFB" w:rsidRDefault="00CA0B65" w:rsidP="00E55AFB">
            <w:pPr>
              <w:rPr>
                <w:sz w:val="20"/>
                <w:szCs w:val="20"/>
              </w:rPr>
            </w:pPr>
            <w:r w:rsidRPr="00E55AFB">
              <w:rPr>
                <w:sz w:val="20"/>
                <w:szCs w:val="20"/>
              </w:rPr>
              <w:lastRenderedPageBreak/>
              <w:t>AC-052-374 FUTURE-3 Extension</w:t>
            </w:r>
          </w:p>
          <w:p w14:paraId="135D106C" w14:textId="77777777" w:rsidR="00CA0B65" w:rsidRPr="00E55AFB" w:rsidRDefault="00CA0B65" w:rsidP="00E55AFB">
            <w:pPr>
              <w:rPr>
                <w:sz w:val="20"/>
                <w:szCs w:val="20"/>
              </w:rPr>
            </w:pPr>
            <w:r w:rsidRPr="00E55AFB">
              <w:rPr>
                <w:sz w:val="20"/>
                <w:szCs w:val="20"/>
              </w:rPr>
              <w:t>AC-052-391 FUTURE-4</w:t>
            </w:r>
          </w:p>
        </w:tc>
        <w:tc>
          <w:tcPr>
            <w:tcW w:w="3690" w:type="dxa"/>
          </w:tcPr>
          <w:p w14:paraId="744BC404" w14:textId="783A2B73" w:rsidR="00CA0B65" w:rsidRPr="00E55AFB" w:rsidRDefault="00CA0B65" w:rsidP="00E55AFB">
            <w:pPr>
              <w:rPr>
                <w:sz w:val="20"/>
                <w:szCs w:val="20"/>
              </w:rPr>
            </w:pPr>
            <w:r w:rsidRPr="00E55AFB">
              <w:rPr>
                <w:sz w:val="20"/>
                <w:szCs w:val="20"/>
              </w:rPr>
              <w:lastRenderedPageBreak/>
              <w:t xml:space="preserve">This document provides an analysis of the pooled long term safety data from the FUTURE Study series 1 to </w:t>
            </w:r>
            <w:r w:rsidR="00326E00" w:rsidRPr="00E55AFB">
              <w:rPr>
                <w:sz w:val="20"/>
                <w:szCs w:val="20"/>
              </w:rPr>
              <w:t xml:space="preserve">4 </w:t>
            </w:r>
            <w:proofErr w:type="gramStart"/>
            <w:r w:rsidRPr="00E55AFB">
              <w:rPr>
                <w:sz w:val="20"/>
                <w:szCs w:val="20"/>
              </w:rPr>
              <w:t>Extension</w:t>
            </w:r>
            <w:proofErr w:type="gramEnd"/>
            <w:r w:rsidRPr="00E55AFB">
              <w:rPr>
                <w:sz w:val="20"/>
                <w:szCs w:val="20"/>
              </w:rPr>
              <w:t>.</w:t>
            </w:r>
          </w:p>
        </w:tc>
      </w:tr>
      <w:tr w:rsidR="005231AA" w:rsidRPr="00E55AFB" w14:paraId="7F539710" w14:textId="77777777" w:rsidTr="00966CF3">
        <w:tc>
          <w:tcPr>
            <w:tcW w:w="1951" w:type="dxa"/>
            <w:vMerge w:val="restart"/>
          </w:tcPr>
          <w:p w14:paraId="6D87C897" w14:textId="77777777" w:rsidR="00CA0B65" w:rsidRPr="00E55AFB" w:rsidRDefault="00CA0B65" w:rsidP="00E55AFB">
            <w:pPr>
              <w:rPr>
                <w:sz w:val="20"/>
                <w:szCs w:val="20"/>
              </w:rPr>
            </w:pPr>
            <w:r w:rsidRPr="00E55AFB">
              <w:rPr>
                <w:sz w:val="20"/>
                <w:szCs w:val="20"/>
              </w:rPr>
              <w:lastRenderedPageBreak/>
              <w:t>PK in special populations</w:t>
            </w:r>
          </w:p>
        </w:tc>
        <w:tc>
          <w:tcPr>
            <w:tcW w:w="1895" w:type="dxa"/>
          </w:tcPr>
          <w:p w14:paraId="0D2727DE" w14:textId="77777777" w:rsidR="00CA0B65" w:rsidRPr="00E55AFB" w:rsidRDefault="00CA0B65" w:rsidP="00E55AFB">
            <w:pPr>
              <w:rPr>
                <w:sz w:val="20"/>
                <w:szCs w:val="20"/>
              </w:rPr>
            </w:pPr>
            <w:r w:rsidRPr="00E55AFB">
              <w:rPr>
                <w:sz w:val="20"/>
                <w:szCs w:val="20"/>
              </w:rPr>
              <w:t>Neonates</w:t>
            </w:r>
          </w:p>
        </w:tc>
        <w:tc>
          <w:tcPr>
            <w:tcW w:w="1475" w:type="dxa"/>
          </w:tcPr>
          <w:p w14:paraId="32312F6A" w14:textId="77777777" w:rsidR="00CA0B65" w:rsidRPr="00E55AFB" w:rsidRDefault="00CA0B65" w:rsidP="00E55AFB">
            <w:pPr>
              <w:rPr>
                <w:sz w:val="20"/>
                <w:szCs w:val="20"/>
              </w:rPr>
            </w:pPr>
            <w:r w:rsidRPr="00E55AFB">
              <w:rPr>
                <w:sz w:val="20"/>
                <w:szCs w:val="20"/>
              </w:rPr>
              <w:t>AC-052-391 FUTURE-4</w:t>
            </w:r>
          </w:p>
        </w:tc>
        <w:tc>
          <w:tcPr>
            <w:tcW w:w="3690" w:type="dxa"/>
          </w:tcPr>
          <w:p w14:paraId="23F4BF17" w14:textId="77777777" w:rsidR="00CA0B65" w:rsidRPr="00E55AFB" w:rsidRDefault="00CA0B65" w:rsidP="00E55AFB">
            <w:pPr>
              <w:rPr>
                <w:sz w:val="20"/>
                <w:szCs w:val="20"/>
              </w:rPr>
            </w:pPr>
            <w:r w:rsidRPr="00E55AFB">
              <w:rPr>
                <w:sz w:val="20"/>
                <w:szCs w:val="20"/>
              </w:rPr>
              <w:t xml:space="preserve">Exploratory, multicentre, double blind, </w:t>
            </w:r>
            <w:proofErr w:type="gramStart"/>
            <w:r w:rsidRPr="00E55AFB">
              <w:rPr>
                <w:sz w:val="20"/>
                <w:szCs w:val="20"/>
              </w:rPr>
              <w:t>placebo</w:t>
            </w:r>
            <w:proofErr w:type="gramEnd"/>
            <w:r w:rsidRPr="00E55AFB">
              <w:rPr>
                <w:sz w:val="20"/>
                <w:szCs w:val="20"/>
              </w:rPr>
              <w:t xml:space="preserve"> controlled, randomised, prospective study to evaluate PK, safety and efficacy of bosentan as add-on therapy to iNO in the management of PPHN.</w:t>
            </w:r>
          </w:p>
        </w:tc>
      </w:tr>
      <w:tr w:rsidR="005231AA" w:rsidRPr="00E55AFB" w14:paraId="67D9B66B" w14:textId="77777777" w:rsidTr="00966CF3">
        <w:tc>
          <w:tcPr>
            <w:tcW w:w="1951" w:type="dxa"/>
            <w:vMerge/>
          </w:tcPr>
          <w:p w14:paraId="44D74C7B" w14:textId="77777777" w:rsidR="00CA0B65" w:rsidRPr="00E55AFB" w:rsidRDefault="00CA0B65" w:rsidP="00E55AFB">
            <w:pPr>
              <w:rPr>
                <w:sz w:val="20"/>
                <w:szCs w:val="20"/>
              </w:rPr>
            </w:pPr>
          </w:p>
        </w:tc>
        <w:tc>
          <w:tcPr>
            <w:tcW w:w="1895" w:type="dxa"/>
          </w:tcPr>
          <w:p w14:paraId="129DD457" w14:textId="77777777" w:rsidR="00CA0B65" w:rsidRPr="00E55AFB" w:rsidRDefault="00CA0B65" w:rsidP="00E55AFB">
            <w:pPr>
              <w:rPr>
                <w:sz w:val="20"/>
                <w:szCs w:val="20"/>
              </w:rPr>
            </w:pPr>
            <w:r w:rsidRPr="00E55AFB">
              <w:rPr>
                <w:sz w:val="20"/>
                <w:szCs w:val="20"/>
              </w:rPr>
              <w:t>Neonates</w:t>
            </w:r>
          </w:p>
        </w:tc>
        <w:tc>
          <w:tcPr>
            <w:tcW w:w="1475" w:type="dxa"/>
          </w:tcPr>
          <w:p w14:paraId="4BE7D649" w14:textId="77777777" w:rsidR="00CA0B65" w:rsidRPr="00E55AFB" w:rsidRDefault="00CA0B65" w:rsidP="00E55AFB">
            <w:pPr>
              <w:rPr>
                <w:sz w:val="20"/>
                <w:szCs w:val="20"/>
              </w:rPr>
            </w:pPr>
            <w:r w:rsidRPr="00E55AFB">
              <w:rPr>
                <w:sz w:val="20"/>
                <w:szCs w:val="20"/>
              </w:rPr>
              <w:t>AC-052-392 FUTURE-4 Extension</w:t>
            </w:r>
          </w:p>
        </w:tc>
        <w:tc>
          <w:tcPr>
            <w:tcW w:w="3690" w:type="dxa"/>
          </w:tcPr>
          <w:p w14:paraId="18148FB4" w14:textId="77777777" w:rsidR="00CA0B65" w:rsidRPr="00E55AFB" w:rsidRDefault="00CA0B65" w:rsidP="00E55AFB">
            <w:pPr>
              <w:rPr>
                <w:sz w:val="20"/>
                <w:szCs w:val="20"/>
              </w:rPr>
            </w:pPr>
            <w:r w:rsidRPr="00E55AFB">
              <w:rPr>
                <w:sz w:val="20"/>
                <w:szCs w:val="20"/>
              </w:rPr>
              <w:t>Multicentre, non-drug interventional extension study to assess long term safety and effects on growth in patients who received bosentan or placebo as adjunctive therapy to iNO for PPHN in Future 4.</w:t>
            </w:r>
          </w:p>
        </w:tc>
      </w:tr>
    </w:tbl>
    <w:p w14:paraId="50267944" w14:textId="77777777" w:rsidR="00605AD4" w:rsidRDefault="00605AD4" w:rsidP="00605AD4">
      <w:pPr>
        <w:pStyle w:val="Heading4"/>
      </w:pPr>
      <w:r w:rsidRPr="00605AD4">
        <w:t>Good clinical practice</w:t>
      </w:r>
    </w:p>
    <w:p w14:paraId="6F0717F7" w14:textId="77777777" w:rsidR="00386FD5" w:rsidRPr="00386FD5" w:rsidRDefault="00386FD5" w:rsidP="00386FD5">
      <w:pPr>
        <w:rPr>
          <w:lang w:eastAsia="ja-JP"/>
        </w:rPr>
      </w:pPr>
      <w:r>
        <w:rPr>
          <w:lang w:eastAsia="ja-JP"/>
        </w:rPr>
        <w:t>Each of the Clinical Study Reports (CSRs) listed in the tabular listing of all clinical studies included has a statement indicating that research was conducted according to the principles of the ‘Declaration of Helsinki’ and with the laws and regulations of the countries in which the research was conducted. The wording regarding Good Clinical Practice (GCP) varies between studies but all studies indicate that the study was conducted in accordance with GCP.</w:t>
      </w:r>
    </w:p>
    <w:p w14:paraId="7E2F5F01" w14:textId="77777777" w:rsidR="008E7846" w:rsidRDefault="008E7846" w:rsidP="00605AD4">
      <w:pPr>
        <w:pStyle w:val="Heading3"/>
      </w:pPr>
      <w:bookmarkStart w:id="76" w:name="_Toc519764289"/>
      <w:r w:rsidRPr="00254787">
        <w:t>Pharmacokinetics</w:t>
      </w:r>
      <w:bookmarkEnd w:id="57"/>
      <w:bookmarkEnd w:id="63"/>
      <w:bookmarkEnd w:id="64"/>
      <w:bookmarkEnd w:id="65"/>
      <w:bookmarkEnd w:id="76"/>
    </w:p>
    <w:p w14:paraId="7A5CA85D" w14:textId="77777777" w:rsidR="00605AD4" w:rsidRDefault="00605AD4" w:rsidP="00605AD4">
      <w:pPr>
        <w:pStyle w:val="Heading4"/>
      </w:pPr>
      <w:r>
        <w:t>Studies</w:t>
      </w:r>
      <w:r w:rsidR="00386FD5">
        <w:t xml:space="preserve"> providing pharmacokinetic data</w:t>
      </w:r>
    </w:p>
    <w:p w14:paraId="4FB3F37E" w14:textId="77777777" w:rsidR="00386FD5" w:rsidRDefault="00386FD5" w:rsidP="00386FD5">
      <w:pPr>
        <w:rPr>
          <w:lang w:eastAsia="ja-JP"/>
        </w:rPr>
      </w:pPr>
      <w:r>
        <w:rPr>
          <w:lang w:eastAsia="ja-JP"/>
        </w:rPr>
        <w:t>In the clinical summary the sponsor lists the following clinical pharmacology studies of relevance to the submission:</w:t>
      </w:r>
    </w:p>
    <w:p w14:paraId="4590FE6B" w14:textId="0B3B83CB" w:rsidR="00386FD5" w:rsidRPr="00386FD5" w:rsidRDefault="005231AA" w:rsidP="00386FD5">
      <w:pPr>
        <w:pStyle w:val="ListBullet"/>
      </w:pPr>
      <w:r>
        <w:t>Study</w:t>
      </w:r>
      <w:r w:rsidR="002A3D65">
        <w:t xml:space="preserve"> </w:t>
      </w:r>
      <w:r w:rsidR="00386FD5" w:rsidRPr="00386FD5">
        <w:t>AC-052-106</w:t>
      </w:r>
    </w:p>
    <w:p w14:paraId="667D19F2" w14:textId="06D8FC07" w:rsidR="00386FD5" w:rsidRPr="00386FD5" w:rsidRDefault="002A3D65" w:rsidP="00386FD5">
      <w:pPr>
        <w:pStyle w:val="ListBullet"/>
      </w:pPr>
      <w:r>
        <w:t>Study</w:t>
      </w:r>
      <w:r w:rsidRPr="00386FD5">
        <w:t xml:space="preserve"> </w:t>
      </w:r>
      <w:r w:rsidR="00386FD5" w:rsidRPr="00386FD5">
        <w:t>AC-052-116</w:t>
      </w:r>
    </w:p>
    <w:p w14:paraId="68595944" w14:textId="6CA65EB6" w:rsidR="00386FD5" w:rsidRPr="00386FD5" w:rsidRDefault="002A3D65" w:rsidP="00386FD5">
      <w:pPr>
        <w:pStyle w:val="ListBullet"/>
      </w:pPr>
      <w:r>
        <w:t>Study</w:t>
      </w:r>
      <w:r w:rsidRPr="00386FD5">
        <w:t xml:space="preserve"> </w:t>
      </w:r>
      <w:r w:rsidR="00386FD5" w:rsidRPr="00386FD5">
        <w:t>AC-052-356</w:t>
      </w:r>
      <w:r>
        <w:t>;</w:t>
      </w:r>
      <w:r w:rsidR="00386FD5" w:rsidRPr="00386FD5">
        <w:t xml:space="preserve"> BREATHE-3</w:t>
      </w:r>
    </w:p>
    <w:p w14:paraId="46C26550" w14:textId="372FD705" w:rsidR="00386FD5" w:rsidRPr="00386FD5" w:rsidRDefault="002A3D65" w:rsidP="00386FD5">
      <w:pPr>
        <w:pStyle w:val="ListBullet"/>
      </w:pPr>
      <w:r>
        <w:t>Study</w:t>
      </w:r>
      <w:r w:rsidRPr="00386FD5">
        <w:t xml:space="preserve"> </w:t>
      </w:r>
      <w:r w:rsidR="00386FD5" w:rsidRPr="00386FD5">
        <w:t>AC-052-357</w:t>
      </w:r>
    </w:p>
    <w:p w14:paraId="2AB57F36" w14:textId="689D6952" w:rsidR="00386FD5" w:rsidRPr="00386FD5" w:rsidRDefault="002A3D65" w:rsidP="00386FD5">
      <w:pPr>
        <w:pStyle w:val="ListBullet"/>
      </w:pPr>
      <w:r>
        <w:t>Study</w:t>
      </w:r>
      <w:r w:rsidRPr="00386FD5">
        <w:t xml:space="preserve"> </w:t>
      </w:r>
      <w:r w:rsidR="00386FD5" w:rsidRPr="00386FD5">
        <w:t>AC-052-365</w:t>
      </w:r>
      <w:r>
        <w:t>;</w:t>
      </w:r>
      <w:r w:rsidR="00386FD5" w:rsidRPr="00386FD5">
        <w:t xml:space="preserve"> FUTURE-1</w:t>
      </w:r>
    </w:p>
    <w:p w14:paraId="0FDE0998" w14:textId="39B45954" w:rsidR="00386FD5" w:rsidRPr="00386FD5" w:rsidRDefault="002A3D65" w:rsidP="00386FD5">
      <w:pPr>
        <w:pStyle w:val="ListBullet"/>
      </w:pPr>
      <w:r>
        <w:t>Study</w:t>
      </w:r>
      <w:r w:rsidRPr="00386FD5">
        <w:t xml:space="preserve"> </w:t>
      </w:r>
      <w:r w:rsidR="00386FD5" w:rsidRPr="00386FD5">
        <w:t>AC-052-373</w:t>
      </w:r>
      <w:r>
        <w:t>;</w:t>
      </w:r>
      <w:r w:rsidR="00386FD5" w:rsidRPr="00386FD5">
        <w:t xml:space="preserve"> FUTURE-3</w:t>
      </w:r>
    </w:p>
    <w:p w14:paraId="5422D0ED" w14:textId="56D3C6A1" w:rsidR="00386FD5" w:rsidRPr="00386FD5" w:rsidRDefault="002A3D65" w:rsidP="00386FD5">
      <w:pPr>
        <w:pStyle w:val="ListBullet"/>
      </w:pPr>
      <w:r>
        <w:t>Study</w:t>
      </w:r>
      <w:r w:rsidRPr="00386FD5">
        <w:t xml:space="preserve"> </w:t>
      </w:r>
      <w:r w:rsidR="00386FD5" w:rsidRPr="00386FD5">
        <w:t>AC-052-391</w:t>
      </w:r>
      <w:r>
        <w:t>;</w:t>
      </w:r>
      <w:r w:rsidR="00386FD5" w:rsidRPr="00386FD5">
        <w:t xml:space="preserve"> FUTURE-4</w:t>
      </w:r>
    </w:p>
    <w:p w14:paraId="56B60397" w14:textId="5E10ECBD" w:rsidR="00386FD5" w:rsidRDefault="00386FD5" w:rsidP="00386FD5">
      <w:pPr>
        <w:rPr>
          <w:lang w:eastAsia="ja-JP"/>
        </w:rPr>
      </w:pPr>
      <w:r>
        <w:rPr>
          <w:lang w:eastAsia="ja-JP"/>
        </w:rPr>
        <w:t xml:space="preserve">Full CSRs have not been </w:t>
      </w:r>
      <w:r w:rsidR="00932527">
        <w:rPr>
          <w:lang w:eastAsia="ja-JP"/>
        </w:rPr>
        <w:t xml:space="preserve">included in the submission for </w:t>
      </w:r>
      <w:r w:rsidR="002A3D65">
        <w:rPr>
          <w:lang w:eastAsia="ja-JP"/>
        </w:rPr>
        <w:t xml:space="preserve">Study </w:t>
      </w:r>
      <w:r>
        <w:rPr>
          <w:lang w:eastAsia="ja-JP"/>
        </w:rPr>
        <w:t>AC-052-106, BREATHE-3</w:t>
      </w:r>
      <w:r w:rsidRPr="00EE67E9">
        <w:rPr>
          <w:lang w:eastAsia="ja-JP"/>
        </w:rPr>
        <w:t xml:space="preserve"> and </w:t>
      </w:r>
      <w:r w:rsidR="002A3D65">
        <w:t>Study</w:t>
      </w:r>
      <w:r w:rsidR="002A3D65" w:rsidRPr="00EE67E9">
        <w:rPr>
          <w:lang w:eastAsia="ja-JP"/>
        </w:rPr>
        <w:t xml:space="preserve"> </w:t>
      </w:r>
      <w:r w:rsidRPr="00EE67E9">
        <w:rPr>
          <w:lang w:eastAsia="ja-JP"/>
        </w:rPr>
        <w:t>AC-052-357</w:t>
      </w:r>
      <w:r>
        <w:rPr>
          <w:lang w:eastAsia="ja-JP"/>
        </w:rPr>
        <w:t xml:space="preserve">. A brief overview of these studies has been included in </w:t>
      </w:r>
      <w:r w:rsidR="002A3D65">
        <w:rPr>
          <w:lang w:eastAsia="ja-JP"/>
        </w:rPr>
        <w:t>the submission</w:t>
      </w:r>
      <w:r>
        <w:rPr>
          <w:lang w:eastAsia="ja-JP"/>
        </w:rPr>
        <w:t xml:space="preserve"> which the evaluator summarised despite the lack of a full CSR.</w:t>
      </w:r>
    </w:p>
    <w:p w14:paraId="1FB49C7D" w14:textId="359DA7B1" w:rsidR="00386FD5" w:rsidRDefault="00386FD5" w:rsidP="00386FD5">
      <w:r>
        <w:rPr>
          <w:lang w:eastAsia="ja-JP"/>
        </w:rPr>
        <w:lastRenderedPageBreak/>
        <w:t>The sponsor states that they seek marketing authorisation for the paediatric dispersible tablet of bosentan based primarily on data from the BREATHE-3, FUTURE-1 and FUTURE</w:t>
      </w:r>
      <w:r w:rsidR="003D7C03">
        <w:rPr>
          <w:lang w:eastAsia="ja-JP"/>
        </w:rPr>
        <w:noBreakHyphen/>
      </w:r>
      <w:r>
        <w:rPr>
          <w:lang w:eastAsia="ja-JP"/>
        </w:rPr>
        <w:t xml:space="preserve">2 </w:t>
      </w:r>
      <w:r w:rsidR="008D6064">
        <w:rPr>
          <w:lang w:eastAsia="ja-JP"/>
        </w:rPr>
        <w:t>Stud</w:t>
      </w:r>
      <w:r>
        <w:rPr>
          <w:lang w:eastAsia="ja-JP"/>
        </w:rPr>
        <w:t>ies. Previous submissions indicate that BREATHE-3 hours</w:t>
      </w:r>
      <w:r w:rsidR="00932527">
        <w:rPr>
          <w:lang w:eastAsia="ja-JP"/>
        </w:rPr>
        <w:t xml:space="preserve"> </w:t>
      </w:r>
      <w:r>
        <w:rPr>
          <w:lang w:eastAsia="ja-JP"/>
        </w:rPr>
        <w:t xml:space="preserve">as been evaluated by the TGA as part of </w:t>
      </w:r>
      <w:r w:rsidR="003D7C03">
        <w:rPr>
          <w:lang w:eastAsia="ja-JP"/>
        </w:rPr>
        <w:t xml:space="preserve">Submission </w:t>
      </w:r>
      <w:r>
        <w:rPr>
          <w:lang w:eastAsia="ja-JP"/>
        </w:rPr>
        <w:t xml:space="preserve">PM-2005-2150-3 and it is noted that the results of this study are discussed in the current </w:t>
      </w:r>
      <w:r w:rsidR="00335934" w:rsidRPr="00FE6C13">
        <w:rPr>
          <w:lang w:eastAsia="ja-JP"/>
        </w:rPr>
        <w:t>Tracleer</w:t>
      </w:r>
      <w:r w:rsidRPr="00FE6C13">
        <w:rPr>
          <w:lang w:eastAsia="ja-JP"/>
        </w:rPr>
        <w:t xml:space="preserve"> PI. Tabl</w:t>
      </w:r>
      <w:r w:rsidR="00FE6C13" w:rsidRPr="00FE6C13">
        <w:rPr>
          <w:lang w:eastAsia="ja-JP"/>
        </w:rPr>
        <w:t>e 8</w:t>
      </w:r>
      <w:r w:rsidRPr="00FE6C13">
        <w:rPr>
          <w:lang w:eastAsia="ja-JP"/>
        </w:rPr>
        <w:t xml:space="preserve"> summarises the submitted pharmacokinetic studies. A brief synopsis of referenced studies that weren’t</w:t>
      </w:r>
      <w:r>
        <w:rPr>
          <w:lang w:eastAsia="ja-JP"/>
        </w:rPr>
        <w:t xml:space="preserve"> included in the submission is </w:t>
      </w:r>
      <w:r w:rsidRPr="005F754D">
        <w:rPr>
          <w:lang w:eastAsia="ja-JP"/>
        </w:rPr>
        <w:t xml:space="preserve">provided in </w:t>
      </w:r>
      <w:r w:rsidR="00FE6C13" w:rsidRPr="00FE6C13">
        <w:rPr>
          <w:lang w:eastAsia="ja-JP"/>
        </w:rPr>
        <w:t>Table 9</w:t>
      </w:r>
      <w:r w:rsidRPr="00FE6C13">
        <w:rPr>
          <w:lang w:eastAsia="ja-JP"/>
        </w:rPr>
        <w:t>.</w:t>
      </w:r>
    </w:p>
    <w:p w14:paraId="6EE418B6" w14:textId="77777777" w:rsidR="00386FD5" w:rsidRDefault="00386FD5" w:rsidP="00386FD5">
      <w:pPr>
        <w:pStyle w:val="Tabletitle0"/>
      </w:pPr>
      <w:bookmarkStart w:id="77" w:name="_Ref461722706"/>
      <w:bookmarkStart w:id="78" w:name="_Ref461722701"/>
      <w:bookmarkStart w:id="79" w:name="_Toc473884050"/>
      <w:r>
        <w:t xml:space="preserve">Table </w:t>
      </w:r>
      <w:bookmarkEnd w:id="77"/>
      <w:r w:rsidR="00FE6C13">
        <w:t>8</w:t>
      </w:r>
      <w:r>
        <w:t>: Submitted pharmacokinetic studies</w:t>
      </w:r>
      <w:bookmarkEnd w:id="78"/>
      <w:bookmarkEnd w:id="79"/>
    </w:p>
    <w:tbl>
      <w:tblPr>
        <w:tblStyle w:val="TableTGAblue"/>
        <w:tblW w:w="4977" w:type="pct"/>
        <w:tblLook w:val="04A0" w:firstRow="1" w:lastRow="0" w:firstColumn="1" w:lastColumn="0" w:noHBand="0" w:noVBand="1"/>
      </w:tblPr>
      <w:tblGrid>
        <w:gridCol w:w="1575"/>
        <w:gridCol w:w="2220"/>
        <w:gridCol w:w="1507"/>
        <w:gridCol w:w="3378"/>
      </w:tblGrid>
      <w:tr w:rsidR="003D7C03" w:rsidRPr="00E55AFB" w14:paraId="43484913" w14:textId="77777777" w:rsidTr="00E55AFB">
        <w:trPr>
          <w:cnfStyle w:val="100000000000" w:firstRow="1" w:lastRow="0" w:firstColumn="0" w:lastColumn="0" w:oddVBand="0" w:evenVBand="0" w:oddHBand="0" w:evenHBand="0" w:firstRowFirstColumn="0" w:firstRowLastColumn="0" w:lastRowFirstColumn="0" w:lastRowLastColumn="0"/>
          <w:trHeight w:val="451"/>
        </w:trPr>
        <w:tc>
          <w:tcPr>
            <w:tcW w:w="907" w:type="pct"/>
          </w:tcPr>
          <w:p w14:paraId="3F94EBE3" w14:textId="77777777" w:rsidR="00386FD5" w:rsidRPr="00E55AFB" w:rsidRDefault="00386FD5" w:rsidP="00E55AFB">
            <w:pPr>
              <w:rPr>
                <w:b w:val="0"/>
                <w:sz w:val="20"/>
                <w:szCs w:val="20"/>
              </w:rPr>
            </w:pPr>
            <w:r w:rsidRPr="00E55AFB">
              <w:rPr>
                <w:sz w:val="20"/>
                <w:szCs w:val="20"/>
              </w:rPr>
              <w:t>PK topic</w:t>
            </w:r>
          </w:p>
        </w:tc>
        <w:tc>
          <w:tcPr>
            <w:tcW w:w="1279" w:type="pct"/>
          </w:tcPr>
          <w:p w14:paraId="4F2A4159" w14:textId="77777777" w:rsidR="00386FD5" w:rsidRPr="00E55AFB" w:rsidRDefault="00386FD5" w:rsidP="00E55AFB">
            <w:pPr>
              <w:rPr>
                <w:b w:val="0"/>
                <w:sz w:val="20"/>
                <w:szCs w:val="20"/>
              </w:rPr>
            </w:pPr>
            <w:r w:rsidRPr="00E55AFB">
              <w:rPr>
                <w:sz w:val="20"/>
                <w:szCs w:val="20"/>
              </w:rPr>
              <w:t>Subtopic</w:t>
            </w:r>
          </w:p>
        </w:tc>
        <w:tc>
          <w:tcPr>
            <w:tcW w:w="868" w:type="pct"/>
          </w:tcPr>
          <w:p w14:paraId="2319E407" w14:textId="77777777" w:rsidR="00386FD5" w:rsidRPr="00E55AFB" w:rsidRDefault="00386FD5" w:rsidP="00E55AFB">
            <w:pPr>
              <w:rPr>
                <w:b w:val="0"/>
                <w:sz w:val="20"/>
                <w:szCs w:val="20"/>
              </w:rPr>
            </w:pPr>
            <w:r w:rsidRPr="00E55AFB">
              <w:rPr>
                <w:sz w:val="20"/>
                <w:szCs w:val="20"/>
              </w:rPr>
              <w:t>Study ID</w:t>
            </w:r>
          </w:p>
        </w:tc>
        <w:tc>
          <w:tcPr>
            <w:tcW w:w="1946" w:type="pct"/>
          </w:tcPr>
          <w:p w14:paraId="334D9B37" w14:textId="77777777" w:rsidR="00386FD5" w:rsidRPr="00E55AFB" w:rsidRDefault="00386FD5" w:rsidP="00E55AFB">
            <w:pPr>
              <w:rPr>
                <w:b w:val="0"/>
                <w:sz w:val="20"/>
                <w:szCs w:val="20"/>
              </w:rPr>
            </w:pPr>
            <w:r w:rsidRPr="00E55AFB">
              <w:rPr>
                <w:sz w:val="20"/>
                <w:szCs w:val="20"/>
              </w:rPr>
              <w:t>Synopsis</w:t>
            </w:r>
          </w:p>
        </w:tc>
      </w:tr>
      <w:tr w:rsidR="003D7C03" w:rsidRPr="00E55AFB" w14:paraId="410E7B6F" w14:textId="77777777" w:rsidTr="00E55AFB">
        <w:trPr>
          <w:trHeight w:val="1133"/>
        </w:trPr>
        <w:tc>
          <w:tcPr>
            <w:tcW w:w="907" w:type="pct"/>
          </w:tcPr>
          <w:p w14:paraId="47282B4E" w14:textId="77777777" w:rsidR="00386FD5" w:rsidRPr="00E55AFB" w:rsidRDefault="00386FD5" w:rsidP="00E55AFB">
            <w:pPr>
              <w:rPr>
                <w:sz w:val="20"/>
                <w:szCs w:val="20"/>
              </w:rPr>
            </w:pPr>
            <w:r w:rsidRPr="00E55AFB">
              <w:rPr>
                <w:sz w:val="20"/>
                <w:szCs w:val="20"/>
              </w:rPr>
              <w:t>PK in healthy adults</w:t>
            </w:r>
          </w:p>
        </w:tc>
        <w:tc>
          <w:tcPr>
            <w:tcW w:w="1279" w:type="pct"/>
          </w:tcPr>
          <w:p w14:paraId="6B121B29" w14:textId="77777777" w:rsidR="00386FD5" w:rsidRPr="00E55AFB" w:rsidRDefault="00386FD5" w:rsidP="00E55AFB">
            <w:pPr>
              <w:rPr>
                <w:sz w:val="20"/>
                <w:szCs w:val="20"/>
              </w:rPr>
            </w:pPr>
            <w:r w:rsidRPr="00E55AFB">
              <w:rPr>
                <w:sz w:val="20"/>
                <w:szCs w:val="20"/>
              </w:rPr>
              <w:t xml:space="preserve">Bioequivalence </w:t>
            </w:r>
            <w:r w:rsidR="00932527" w:rsidRPr="00E55AFB">
              <w:rPr>
                <w:sz w:val="20"/>
                <w:szCs w:val="20"/>
              </w:rPr>
              <w:t>† Single </w:t>
            </w:r>
            <w:r w:rsidRPr="00E55AFB">
              <w:rPr>
                <w:sz w:val="20"/>
                <w:szCs w:val="20"/>
              </w:rPr>
              <w:t>dose</w:t>
            </w:r>
          </w:p>
        </w:tc>
        <w:tc>
          <w:tcPr>
            <w:tcW w:w="868" w:type="pct"/>
          </w:tcPr>
          <w:p w14:paraId="30A8ED34" w14:textId="77777777" w:rsidR="00386FD5" w:rsidRPr="00E55AFB" w:rsidRDefault="00386FD5" w:rsidP="00E55AFB">
            <w:pPr>
              <w:rPr>
                <w:sz w:val="20"/>
                <w:szCs w:val="20"/>
              </w:rPr>
            </w:pPr>
            <w:r w:rsidRPr="00E55AFB">
              <w:rPr>
                <w:sz w:val="20"/>
                <w:szCs w:val="20"/>
              </w:rPr>
              <w:t>AC-052-116</w:t>
            </w:r>
          </w:p>
        </w:tc>
        <w:tc>
          <w:tcPr>
            <w:tcW w:w="1946" w:type="pct"/>
          </w:tcPr>
          <w:p w14:paraId="5BA0C0BA" w14:textId="77777777" w:rsidR="00386FD5" w:rsidRPr="00E55AFB" w:rsidRDefault="00386FD5" w:rsidP="00E55AFB">
            <w:pPr>
              <w:rPr>
                <w:sz w:val="20"/>
                <w:szCs w:val="20"/>
              </w:rPr>
            </w:pPr>
            <w:r w:rsidRPr="00E55AFB">
              <w:rPr>
                <w:sz w:val="20"/>
                <w:szCs w:val="20"/>
              </w:rPr>
              <w:t>Safety and tolerability study evaluating the relative PK properties of two different formulations of bosentan in healthy male subjects.</w:t>
            </w:r>
          </w:p>
        </w:tc>
      </w:tr>
      <w:tr w:rsidR="003D7C03" w:rsidRPr="00E55AFB" w14:paraId="0A1285B0" w14:textId="77777777" w:rsidTr="00E55AFB">
        <w:trPr>
          <w:trHeight w:val="902"/>
        </w:trPr>
        <w:tc>
          <w:tcPr>
            <w:tcW w:w="907" w:type="pct"/>
            <w:vMerge w:val="restart"/>
          </w:tcPr>
          <w:p w14:paraId="63A21F53" w14:textId="77777777" w:rsidR="00386FD5" w:rsidRPr="00E55AFB" w:rsidRDefault="00386FD5" w:rsidP="00E55AFB">
            <w:pPr>
              <w:rPr>
                <w:sz w:val="20"/>
                <w:szCs w:val="20"/>
              </w:rPr>
            </w:pPr>
            <w:r w:rsidRPr="00E55AFB">
              <w:rPr>
                <w:sz w:val="20"/>
                <w:szCs w:val="20"/>
              </w:rPr>
              <w:t>PK in special populations</w:t>
            </w:r>
          </w:p>
        </w:tc>
        <w:tc>
          <w:tcPr>
            <w:tcW w:w="1279" w:type="pct"/>
          </w:tcPr>
          <w:p w14:paraId="5D98905D" w14:textId="77777777" w:rsidR="00386FD5" w:rsidRPr="00E55AFB" w:rsidRDefault="00386FD5" w:rsidP="00E55AFB">
            <w:pPr>
              <w:rPr>
                <w:sz w:val="20"/>
                <w:szCs w:val="20"/>
              </w:rPr>
            </w:pPr>
            <w:r w:rsidRPr="00E55AFB">
              <w:rPr>
                <w:sz w:val="20"/>
                <w:szCs w:val="20"/>
              </w:rPr>
              <w:t>Targe</w:t>
            </w:r>
            <w:r w:rsidR="00932527" w:rsidRPr="00E55AFB">
              <w:rPr>
                <w:sz w:val="20"/>
                <w:szCs w:val="20"/>
              </w:rPr>
              <w:t>t population (paediatric PAH) § Multi dose</w:t>
            </w:r>
          </w:p>
        </w:tc>
        <w:tc>
          <w:tcPr>
            <w:tcW w:w="868" w:type="pct"/>
          </w:tcPr>
          <w:p w14:paraId="40E71820" w14:textId="77777777" w:rsidR="00386FD5" w:rsidRPr="00E55AFB" w:rsidRDefault="00386FD5" w:rsidP="00E55AFB">
            <w:pPr>
              <w:rPr>
                <w:sz w:val="20"/>
                <w:szCs w:val="20"/>
              </w:rPr>
            </w:pPr>
            <w:r w:rsidRPr="00E55AFB">
              <w:rPr>
                <w:sz w:val="20"/>
                <w:szCs w:val="20"/>
              </w:rPr>
              <w:t>AC-052-365 FUTURE-1</w:t>
            </w:r>
          </w:p>
        </w:tc>
        <w:tc>
          <w:tcPr>
            <w:tcW w:w="1946" w:type="pct"/>
          </w:tcPr>
          <w:p w14:paraId="7C956361" w14:textId="77777777" w:rsidR="00386FD5" w:rsidRPr="00E55AFB" w:rsidRDefault="00386FD5" w:rsidP="00E55AFB">
            <w:pPr>
              <w:rPr>
                <w:sz w:val="20"/>
                <w:szCs w:val="20"/>
              </w:rPr>
            </w:pPr>
            <w:r w:rsidRPr="00E55AFB">
              <w:rPr>
                <w:sz w:val="20"/>
                <w:szCs w:val="20"/>
              </w:rPr>
              <w:t>Assessed the PK, tolerability, and safety of a paediatric formulation of bosentan</w:t>
            </w:r>
            <w:r w:rsidR="00932527" w:rsidRPr="00E55AFB">
              <w:rPr>
                <w:sz w:val="20"/>
                <w:szCs w:val="20"/>
              </w:rPr>
              <w:t>.</w:t>
            </w:r>
          </w:p>
        </w:tc>
      </w:tr>
      <w:tr w:rsidR="003D7C03" w:rsidRPr="00E55AFB" w14:paraId="1734FC97" w14:textId="77777777" w:rsidTr="00E55AFB">
        <w:trPr>
          <w:trHeight w:val="139"/>
        </w:trPr>
        <w:tc>
          <w:tcPr>
            <w:tcW w:w="907" w:type="pct"/>
            <w:vMerge/>
          </w:tcPr>
          <w:p w14:paraId="039F77C0" w14:textId="77777777" w:rsidR="00386FD5" w:rsidRPr="00E55AFB" w:rsidRDefault="00386FD5" w:rsidP="00E55AFB">
            <w:pPr>
              <w:rPr>
                <w:sz w:val="20"/>
                <w:szCs w:val="20"/>
              </w:rPr>
            </w:pPr>
          </w:p>
        </w:tc>
        <w:tc>
          <w:tcPr>
            <w:tcW w:w="1279" w:type="pct"/>
          </w:tcPr>
          <w:p w14:paraId="17C1A6D1" w14:textId="77777777" w:rsidR="00386FD5" w:rsidRPr="00E55AFB" w:rsidRDefault="00386FD5" w:rsidP="00E55AFB">
            <w:pPr>
              <w:rPr>
                <w:sz w:val="20"/>
                <w:szCs w:val="20"/>
              </w:rPr>
            </w:pPr>
            <w:r w:rsidRPr="00E55AFB">
              <w:rPr>
                <w:sz w:val="20"/>
                <w:szCs w:val="20"/>
              </w:rPr>
              <w:t xml:space="preserve">Target population (paediatric PAH) </w:t>
            </w:r>
            <w:r w:rsidR="00932527" w:rsidRPr="00E55AFB">
              <w:rPr>
                <w:sz w:val="20"/>
                <w:szCs w:val="20"/>
              </w:rPr>
              <w:t>§ Multi </w:t>
            </w:r>
            <w:r w:rsidRPr="00E55AFB">
              <w:rPr>
                <w:sz w:val="20"/>
                <w:szCs w:val="20"/>
              </w:rPr>
              <w:t>dose</w:t>
            </w:r>
          </w:p>
        </w:tc>
        <w:tc>
          <w:tcPr>
            <w:tcW w:w="868" w:type="pct"/>
          </w:tcPr>
          <w:p w14:paraId="7B295DE3" w14:textId="77777777" w:rsidR="00386FD5" w:rsidRPr="00E55AFB" w:rsidRDefault="00386FD5" w:rsidP="00E55AFB">
            <w:pPr>
              <w:rPr>
                <w:sz w:val="20"/>
                <w:szCs w:val="20"/>
              </w:rPr>
            </w:pPr>
            <w:r w:rsidRPr="00E55AFB">
              <w:rPr>
                <w:sz w:val="20"/>
                <w:szCs w:val="20"/>
              </w:rPr>
              <w:t>AC-052-373 FUTURE-3</w:t>
            </w:r>
          </w:p>
        </w:tc>
        <w:tc>
          <w:tcPr>
            <w:tcW w:w="1946" w:type="pct"/>
          </w:tcPr>
          <w:p w14:paraId="7D03D5FB" w14:textId="77777777" w:rsidR="00386FD5" w:rsidRPr="00E55AFB" w:rsidRDefault="00386FD5" w:rsidP="00E55AFB">
            <w:pPr>
              <w:rPr>
                <w:sz w:val="20"/>
                <w:szCs w:val="20"/>
              </w:rPr>
            </w:pPr>
            <w:r w:rsidRPr="00E55AFB">
              <w:rPr>
                <w:sz w:val="20"/>
                <w:szCs w:val="20"/>
              </w:rPr>
              <w:t>Investigated the PK of a paediatric formulation of bosentan BD versus TDS in children with PAH.</w:t>
            </w:r>
          </w:p>
        </w:tc>
      </w:tr>
      <w:tr w:rsidR="003D7C03" w:rsidRPr="00E55AFB" w14:paraId="0B90BC46" w14:textId="77777777" w:rsidTr="00E55AFB">
        <w:trPr>
          <w:trHeight w:val="139"/>
        </w:trPr>
        <w:tc>
          <w:tcPr>
            <w:tcW w:w="907" w:type="pct"/>
            <w:vMerge/>
          </w:tcPr>
          <w:p w14:paraId="66CAF0D0" w14:textId="77777777" w:rsidR="00386FD5" w:rsidRPr="00E55AFB" w:rsidRDefault="00386FD5" w:rsidP="00E55AFB">
            <w:pPr>
              <w:rPr>
                <w:sz w:val="20"/>
                <w:szCs w:val="20"/>
              </w:rPr>
            </w:pPr>
          </w:p>
        </w:tc>
        <w:tc>
          <w:tcPr>
            <w:tcW w:w="1279" w:type="pct"/>
          </w:tcPr>
          <w:p w14:paraId="1285521A" w14:textId="2F619D6C" w:rsidR="00386FD5" w:rsidRPr="00E55AFB" w:rsidRDefault="00386FD5" w:rsidP="00E55AFB">
            <w:pPr>
              <w:rPr>
                <w:sz w:val="20"/>
                <w:szCs w:val="20"/>
              </w:rPr>
            </w:pPr>
            <w:r w:rsidRPr="00E55AFB">
              <w:rPr>
                <w:sz w:val="20"/>
                <w:szCs w:val="20"/>
              </w:rPr>
              <w:t>Target population (PPHN)</w:t>
            </w:r>
            <w:r w:rsidR="003D7C03" w:rsidRPr="00E55AFB">
              <w:rPr>
                <w:sz w:val="20"/>
                <w:szCs w:val="20"/>
              </w:rPr>
              <w:t xml:space="preserve"> </w:t>
            </w:r>
            <w:r w:rsidRPr="00E55AFB">
              <w:rPr>
                <w:sz w:val="20"/>
                <w:szCs w:val="20"/>
              </w:rPr>
              <w:t>Multi-dose</w:t>
            </w:r>
          </w:p>
        </w:tc>
        <w:tc>
          <w:tcPr>
            <w:tcW w:w="868" w:type="pct"/>
          </w:tcPr>
          <w:p w14:paraId="1FAB708F" w14:textId="77777777" w:rsidR="00386FD5" w:rsidRPr="00E55AFB" w:rsidRDefault="00386FD5" w:rsidP="00E55AFB">
            <w:pPr>
              <w:rPr>
                <w:sz w:val="20"/>
                <w:szCs w:val="20"/>
              </w:rPr>
            </w:pPr>
            <w:r w:rsidRPr="00E55AFB">
              <w:rPr>
                <w:sz w:val="20"/>
                <w:szCs w:val="20"/>
              </w:rPr>
              <w:t>AC-052-391 FUTURE-4</w:t>
            </w:r>
          </w:p>
        </w:tc>
        <w:tc>
          <w:tcPr>
            <w:tcW w:w="1946" w:type="pct"/>
          </w:tcPr>
          <w:p w14:paraId="0F09F1DF" w14:textId="77777777" w:rsidR="00386FD5" w:rsidRPr="00E55AFB" w:rsidRDefault="00386FD5" w:rsidP="00E55AFB">
            <w:pPr>
              <w:rPr>
                <w:sz w:val="20"/>
                <w:szCs w:val="20"/>
              </w:rPr>
            </w:pPr>
            <w:r w:rsidRPr="00E55AFB">
              <w:rPr>
                <w:sz w:val="20"/>
                <w:szCs w:val="20"/>
              </w:rPr>
              <w:t>Evaluated PK, safety and efficacy of bosentan as add-on therapy to iNO in the management of PPHN.</w:t>
            </w:r>
          </w:p>
        </w:tc>
      </w:tr>
    </w:tbl>
    <w:p w14:paraId="4A938F1D" w14:textId="24E16C04" w:rsidR="00386FD5" w:rsidRPr="00D735B8" w:rsidRDefault="00932527" w:rsidP="00386FD5">
      <w:pPr>
        <w:pStyle w:val="TableDescription"/>
      </w:pPr>
      <w:r>
        <w:t>†</w:t>
      </w:r>
      <w:r w:rsidR="00386FD5" w:rsidRPr="00D735B8">
        <w:t xml:space="preserve"> Bioequivalence of different formulations</w:t>
      </w:r>
      <w:r w:rsidR="003D7C03">
        <w:t>;</w:t>
      </w:r>
      <w:r w:rsidR="00386FD5" w:rsidRPr="00D735B8">
        <w:t xml:space="preserve"> </w:t>
      </w:r>
      <w:r>
        <w:t>§</w:t>
      </w:r>
      <w:r w:rsidR="00386FD5" w:rsidRPr="00D735B8">
        <w:t xml:space="preserve"> Subjects who would be eligible to receive the drug if approved for the proposed indication.</w:t>
      </w:r>
    </w:p>
    <w:p w14:paraId="19E62288" w14:textId="77777777" w:rsidR="00386FD5" w:rsidRDefault="00386FD5" w:rsidP="00386FD5">
      <w:pPr>
        <w:pStyle w:val="Tabletitle0"/>
      </w:pPr>
      <w:bookmarkStart w:id="80" w:name="_Ref461782872"/>
      <w:bookmarkStart w:id="81" w:name="_Toc453839296"/>
      <w:bookmarkStart w:id="82" w:name="_Toc473884051"/>
      <w:r>
        <w:t xml:space="preserve">Table </w:t>
      </w:r>
      <w:bookmarkEnd w:id="80"/>
      <w:r w:rsidR="00FE6C13">
        <w:t>9</w:t>
      </w:r>
      <w:r>
        <w:t>: Referenced p</w:t>
      </w:r>
      <w:r w:rsidRPr="00BC615D">
        <w:t xml:space="preserve">harmacokinetic </w:t>
      </w:r>
      <w:bookmarkEnd w:id="81"/>
      <w:r>
        <w:t>studies not included in the submission</w:t>
      </w:r>
      <w:bookmarkEnd w:id="82"/>
    </w:p>
    <w:tbl>
      <w:tblPr>
        <w:tblStyle w:val="TableTGAblue"/>
        <w:tblW w:w="4971" w:type="pct"/>
        <w:tblLook w:val="04A0" w:firstRow="1" w:lastRow="0" w:firstColumn="1" w:lastColumn="0" w:noHBand="0" w:noVBand="1"/>
      </w:tblPr>
      <w:tblGrid>
        <w:gridCol w:w="2830"/>
        <w:gridCol w:w="2512"/>
        <w:gridCol w:w="3327"/>
      </w:tblGrid>
      <w:tr w:rsidR="003D7C03" w:rsidRPr="008D6064" w14:paraId="3E627A34" w14:textId="77777777" w:rsidTr="008D6064">
        <w:trPr>
          <w:cnfStyle w:val="100000000000" w:firstRow="1" w:lastRow="0" w:firstColumn="0" w:lastColumn="0" w:oddVBand="0" w:evenVBand="0" w:oddHBand="0" w:evenHBand="0" w:firstRowFirstColumn="0" w:firstRowLastColumn="0" w:lastRowFirstColumn="0" w:lastRowLastColumn="0"/>
          <w:trHeight w:val="460"/>
        </w:trPr>
        <w:tc>
          <w:tcPr>
            <w:tcW w:w="1632" w:type="pct"/>
          </w:tcPr>
          <w:p w14:paraId="2CC76A76" w14:textId="77777777" w:rsidR="00386FD5" w:rsidRPr="008D6064" w:rsidRDefault="00386FD5" w:rsidP="00386FD5">
            <w:pPr>
              <w:spacing w:line="240" w:lineRule="auto"/>
              <w:ind w:left="0" w:right="0"/>
              <w:rPr>
                <w:sz w:val="20"/>
                <w:szCs w:val="20"/>
              </w:rPr>
            </w:pPr>
            <w:r w:rsidRPr="008D6064">
              <w:rPr>
                <w:sz w:val="20"/>
                <w:szCs w:val="20"/>
              </w:rPr>
              <w:t>Study ID</w:t>
            </w:r>
          </w:p>
        </w:tc>
        <w:tc>
          <w:tcPr>
            <w:tcW w:w="1449" w:type="pct"/>
          </w:tcPr>
          <w:p w14:paraId="794C0D67" w14:textId="77777777" w:rsidR="00386FD5" w:rsidRPr="008D6064" w:rsidRDefault="00386FD5" w:rsidP="00386FD5">
            <w:pPr>
              <w:spacing w:line="240" w:lineRule="auto"/>
              <w:ind w:left="0" w:right="0"/>
              <w:rPr>
                <w:sz w:val="20"/>
                <w:szCs w:val="20"/>
              </w:rPr>
            </w:pPr>
            <w:r w:rsidRPr="008D6064">
              <w:rPr>
                <w:sz w:val="20"/>
                <w:szCs w:val="20"/>
              </w:rPr>
              <w:t>Subtopics</w:t>
            </w:r>
          </w:p>
        </w:tc>
        <w:tc>
          <w:tcPr>
            <w:tcW w:w="1919" w:type="pct"/>
          </w:tcPr>
          <w:p w14:paraId="75AB0EC4" w14:textId="77777777" w:rsidR="00386FD5" w:rsidRPr="008D6064" w:rsidRDefault="00386FD5" w:rsidP="00386FD5">
            <w:pPr>
              <w:spacing w:line="240" w:lineRule="auto"/>
              <w:ind w:left="0" w:right="0"/>
              <w:rPr>
                <w:sz w:val="20"/>
                <w:szCs w:val="20"/>
              </w:rPr>
            </w:pPr>
            <w:r w:rsidRPr="008D6064">
              <w:rPr>
                <w:sz w:val="20"/>
                <w:szCs w:val="20"/>
              </w:rPr>
              <w:t>Synopsis</w:t>
            </w:r>
          </w:p>
        </w:tc>
      </w:tr>
      <w:tr w:rsidR="003D7C03" w:rsidRPr="008D6064" w14:paraId="7875286B" w14:textId="77777777" w:rsidTr="008D6064">
        <w:trPr>
          <w:trHeight w:val="3044"/>
        </w:trPr>
        <w:tc>
          <w:tcPr>
            <w:tcW w:w="1632" w:type="pct"/>
          </w:tcPr>
          <w:p w14:paraId="62F6E040" w14:textId="77777777" w:rsidR="00386FD5" w:rsidRPr="008D6064" w:rsidRDefault="00932527" w:rsidP="00386FD5">
            <w:pPr>
              <w:spacing w:line="240" w:lineRule="auto"/>
              <w:ind w:left="0" w:right="0"/>
              <w:rPr>
                <w:sz w:val="20"/>
                <w:szCs w:val="20"/>
              </w:rPr>
            </w:pPr>
            <w:r w:rsidRPr="008D6064">
              <w:rPr>
                <w:sz w:val="20"/>
                <w:szCs w:val="20"/>
                <w:lang w:eastAsia="ja-JP"/>
              </w:rPr>
              <w:t>AC-052-106</w:t>
            </w:r>
          </w:p>
        </w:tc>
        <w:tc>
          <w:tcPr>
            <w:tcW w:w="1449" w:type="pct"/>
          </w:tcPr>
          <w:p w14:paraId="3405DC67" w14:textId="77777777" w:rsidR="00386FD5" w:rsidRPr="008D6064" w:rsidRDefault="00386FD5" w:rsidP="00386FD5">
            <w:pPr>
              <w:spacing w:line="240" w:lineRule="auto"/>
              <w:ind w:left="0" w:right="0"/>
              <w:rPr>
                <w:sz w:val="20"/>
                <w:szCs w:val="20"/>
              </w:rPr>
            </w:pPr>
            <w:r w:rsidRPr="008D6064">
              <w:rPr>
                <w:sz w:val="20"/>
                <w:szCs w:val="20"/>
              </w:rPr>
              <w:t>PK in healthy adults, bioequivalence, single dose</w:t>
            </w:r>
          </w:p>
        </w:tc>
        <w:tc>
          <w:tcPr>
            <w:tcW w:w="1919" w:type="pct"/>
          </w:tcPr>
          <w:p w14:paraId="5FE53D7F" w14:textId="77777777" w:rsidR="00386FD5" w:rsidRPr="008D6064" w:rsidRDefault="00386FD5" w:rsidP="00386FD5">
            <w:pPr>
              <w:spacing w:line="240" w:lineRule="auto"/>
              <w:ind w:left="0" w:right="0"/>
              <w:rPr>
                <w:sz w:val="20"/>
                <w:szCs w:val="20"/>
              </w:rPr>
            </w:pPr>
            <w:r w:rsidRPr="008D6064">
              <w:rPr>
                <w:sz w:val="20"/>
                <w:szCs w:val="20"/>
              </w:rPr>
              <w:t>A single-centre, prospective, open label</w:t>
            </w:r>
            <w:r w:rsidR="00932527" w:rsidRPr="008D6064">
              <w:rPr>
                <w:sz w:val="20"/>
                <w:szCs w:val="20"/>
              </w:rPr>
              <w:t xml:space="preserve">, randomised, 4 </w:t>
            </w:r>
            <w:r w:rsidRPr="008D6064">
              <w:rPr>
                <w:sz w:val="20"/>
                <w:szCs w:val="20"/>
              </w:rPr>
              <w:t>way crossover study comparing the bioavailability of a 125 mg bosentan tablet relative to that of an oral suspension of 125 mg bosentan, under both fasting conditions. The study also compared the bioavailability of a 125 mg bosentan tablet to two 62.5 mg tablets under fed conditions.</w:t>
            </w:r>
          </w:p>
        </w:tc>
      </w:tr>
      <w:tr w:rsidR="003D7C03" w:rsidRPr="008D6064" w14:paraId="76BDE4B4" w14:textId="77777777" w:rsidTr="008D6064">
        <w:trPr>
          <w:trHeight w:val="1168"/>
        </w:trPr>
        <w:tc>
          <w:tcPr>
            <w:tcW w:w="1632" w:type="pct"/>
          </w:tcPr>
          <w:p w14:paraId="419C97AB" w14:textId="77777777" w:rsidR="00386FD5" w:rsidRPr="008D6064" w:rsidRDefault="00386FD5" w:rsidP="00386FD5">
            <w:pPr>
              <w:spacing w:line="240" w:lineRule="auto"/>
              <w:ind w:left="0" w:right="0"/>
              <w:rPr>
                <w:sz w:val="20"/>
                <w:szCs w:val="20"/>
              </w:rPr>
            </w:pPr>
            <w:r w:rsidRPr="008D6064">
              <w:rPr>
                <w:sz w:val="20"/>
                <w:szCs w:val="20"/>
                <w:lang w:eastAsia="ja-JP"/>
              </w:rPr>
              <w:t>AC-052-357</w:t>
            </w:r>
          </w:p>
        </w:tc>
        <w:tc>
          <w:tcPr>
            <w:tcW w:w="1449" w:type="pct"/>
          </w:tcPr>
          <w:p w14:paraId="2F734C45" w14:textId="77777777" w:rsidR="00386FD5" w:rsidRPr="008D6064" w:rsidRDefault="00386FD5" w:rsidP="00386FD5">
            <w:pPr>
              <w:spacing w:line="240" w:lineRule="auto"/>
              <w:ind w:left="0" w:right="0"/>
              <w:rPr>
                <w:sz w:val="20"/>
                <w:szCs w:val="20"/>
              </w:rPr>
            </w:pPr>
            <w:r w:rsidRPr="008D6064">
              <w:rPr>
                <w:sz w:val="20"/>
                <w:szCs w:val="20"/>
              </w:rPr>
              <w:t>PK in target population (adult PAH)</w:t>
            </w:r>
          </w:p>
        </w:tc>
        <w:tc>
          <w:tcPr>
            <w:tcW w:w="1919" w:type="pct"/>
          </w:tcPr>
          <w:p w14:paraId="7541C20A" w14:textId="77777777" w:rsidR="00386FD5" w:rsidRPr="008D6064" w:rsidRDefault="00932527" w:rsidP="00386FD5">
            <w:pPr>
              <w:spacing w:line="240" w:lineRule="auto"/>
              <w:ind w:left="0" w:right="0"/>
              <w:rPr>
                <w:sz w:val="20"/>
                <w:szCs w:val="20"/>
              </w:rPr>
            </w:pPr>
            <w:r w:rsidRPr="008D6064">
              <w:rPr>
                <w:sz w:val="20"/>
                <w:szCs w:val="20"/>
              </w:rPr>
              <w:t>A multi-centre</w:t>
            </w:r>
            <w:r w:rsidR="00386FD5" w:rsidRPr="008D6064">
              <w:rPr>
                <w:sz w:val="20"/>
                <w:szCs w:val="20"/>
              </w:rPr>
              <w:t>, open label, non-comparative study designed to obtain safety data with bosentan in adult patients with PAH.</w:t>
            </w:r>
          </w:p>
        </w:tc>
      </w:tr>
      <w:tr w:rsidR="003D7C03" w:rsidRPr="008D6064" w14:paraId="5B1ABC64" w14:textId="77777777" w:rsidTr="008D6064">
        <w:trPr>
          <w:trHeight w:val="1292"/>
        </w:trPr>
        <w:tc>
          <w:tcPr>
            <w:tcW w:w="1632" w:type="pct"/>
          </w:tcPr>
          <w:p w14:paraId="6DFBBCF5" w14:textId="77777777" w:rsidR="00386FD5" w:rsidRPr="008D6064" w:rsidRDefault="00386FD5" w:rsidP="00386FD5">
            <w:pPr>
              <w:spacing w:line="240" w:lineRule="auto"/>
              <w:ind w:left="0" w:right="0"/>
              <w:rPr>
                <w:sz w:val="20"/>
                <w:szCs w:val="20"/>
              </w:rPr>
            </w:pPr>
            <w:r w:rsidRPr="008D6064">
              <w:rPr>
                <w:sz w:val="20"/>
                <w:szCs w:val="20"/>
                <w:lang w:eastAsia="ja-JP"/>
              </w:rPr>
              <w:lastRenderedPageBreak/>
              <w:t>AC-052-356 (BREATHE-3)</w:t>
            </w:r>
          </w:p>
        </w:tc>
        <w:tc>
          <w:tcPr>
            <w:tcW w:w="1449" w:type="pct"/>
          </w:tcPr>
          <w:p w14:paraId="6D8CEEAC" w14:textId="77777777" w:rsidR="00386FD5" w:rsidRPr="008D6064" w:rsidRDefault="00386FD5" w:rsidP="00386FD5">
            <w:pPr>
              <w:spacing w:line="240" w:lineRule="auto"/>
              <w:ind w:left="0" w:right="0"/>
              <w:rPr>
                <w:sz w:val="20"/>
                <w:szCs w:val="20"/>
              </w:rPr>
            </w:pPr>
            <w:r w:rsidRPr="008D6064">
              <w:rPr>
                <w:sz w:val="20"/>
                <w:szCs w:val="20"/>
              </w:rPr>
              <w:t>PK in target population (paediatric PAH)</w:t>
            </w:r>
          </w:p>
        </w:tc>
        <w:tc>
          <w:tcPr>
            <w:tcW w:w="1919" w:type="pct"/>
          </w:tcPr>
          <w:p w14:paraId="52AD3D6F" w14:textId="77777777" w:rsidR="00386FD5" w:rsidRPr="008D6064" w:rsidRDefault="00386FD5" w:rsidP="00386FD5">
            <w:pPr>
              <w:spacing w:line="240" w:lineRule="auto"/>
              <w:ind w:left="0" w:right="0"/>
              <w:rPr>
                <w:sz w:val="20"/>
                <w:szCs w:val="20"/>
              </w:rPr>
            </w:pPr>
            <w:r w:rsidRPr="008D6064">
              <w:rPr>
                <w:sz w:val="20"/>
                <w:szCs w:val="20"/>
              </w:rPr>
              <w:t>A multi-centre, prospective, open label, non-controlled study to investigate the PK of bosentan given as single and multiple oral doses in paediatric patients with PAH.</w:t>
            </w:r>
          </w:p>
        </w:tc>
      </w:tr>
      <w:tr w:rsidR="003D7C03" w:rsidRPr="008D6064" w14:paraId="6A8DD860" w14:textId="77777777" w:rsidTr="008D6064">
        <w:trPr>
          <w:trHeight w:val="140"/>
        </w:trPr>
        <w:tc>
          <w:tcPr>
            <w:tcW w:w="1632" w:type="pct"/>
          </w:tcPr>
          <w:p w14:paraId="2BBA25D7" w14:textId="77777777" w:rsidR="00386FD5" w:rsidRPr="008D6064" w:rsidRDefault="00386FD5" w:rsidP="00386FD5">
            <w:pPr>
              <w:spacing w:line="240" w:lineRule="auto"/>
              <w:ind w:left="0" w:right="0"/>
              <w:rPr>
                <w:sz w:val="20"/>
                <w:szCs w:val="20"/>
              </w:rPr>
            </w:pPr>
            <w:r w:rsidRPr="008D6064">
              <w:rPr>
                <w:sz w:val="20"/>
                <w:szCs w:val="20"/>
                <w:lang w:eastAsia="ja-JP"/>
              </w:rPr>
              <w:t>AC-052-356 (BREATHE-3)</w:t>
            </w:r>
          </w:p>
        </w:tc>
        <w:tc>
          <w:tcPr>
            <w:tcW w:w="1449" w:type="pct"/>
          </w:tcPr>
          <w:p w14:paraId="1F4A76F5" w14:textId="77777777" w:rsidR="00386FD5" w:rsidRPr="008D6064" w:rsidRDefault="00386FD5" w:rsidP="00386FD5">
            <w:pPr>
              <w:spacing w:line="240" w:lineRule="auto"/>
              <w:ind w:left="0" w:right="0"/>
              <w:rPr>
                <w:sz w:val="20"/>
                <w:szCs w:val="20"/>
              </w:rPr>
            </w:pPr>
            <w:r w:rsidRPr="008D6064">
              <w:rPr>
                <w:sz w:val="20"/>
                <w:szCs w:val="20"/>
              </w:rPr>
              <w:t>PK in target population (paediatric PAH)</w:t>
            </w:r>
          </w:p>
        </w:tc>
        <w:tc>
          <w:tcPr>
            <w:tcW w:w="1919" w:type="pct"/>
          </w:tcPr>
          <w:p w14:paraId="06C26448" w14:textId="77777777" w:rsidR="00386FD5" w:rsidRPr="008D6064" w:rsidRDefault="00386FD5" w:rsidP="00386FD5">
            <w:pPr>
              <w:spacing w:line="240" w:lineRule="auto"/>
              <w:ind w:left="0" w:right="0"/>
              <w:rPr>
                <w:sz w:val="20"/>
                <w:szCs w:val="20"/>
              </w:rPr>
            </w:pPr>
            <w:r w:rsidRPr="008D6064">
              <w:rPr>
                <w:sz w:val="20"/>
                <w:szCs w:val="20"/>
              </w:rPr>
              <w:t>A multi-centre, prospective, open label, non-controlled study to investigate the PK of bosentan given as single and multiple oral doses in paediatric patients with PAH.</w:t>
            </w:r>
          </w:p>
        </w:tc>
      </w:tr>
    </w:tbl>
    <w:p w14:paraId="0991F93C" w14:textId="77777777" w:rsidR="00605AD4" w:rsidRDefault="00605AD4" w:rsidP="00605AD4">
      <w:pPr>
        <w:pStyle w:val="Heading4"/>
      </w:pPr>
      <w:r>
        <w:t>Evaluator’s conclusions on pharmacokinetics</w:t>
      </w:r>
    </w:p>
    <w:p w14:paraId="40131603" w14:textId="70ABBA16" w:rsidR="00386FD5" w:rsidRDefault="00386FD5" w:rsidP="00386FD5">
      <w:r w:rsidRPr="00C93CED">
        <w:t>Study AC-052-106 found that an oral suspension of bosentan was not bioequivalent to the tablet formulation with respect to C</w:t>
      </w:r>
      <w:r w:rsidRPr="00E77015">
        <w:rPr>
          <w:vertAlign w:val="subscript"/>
        </w:rPr>
        <w:t>max</w:t>
      </w:r>
      <w:r w:rsidRPr="00C93CED">
        <w:t xml:space="preserve"> as the 90% </w:t>
      </w:r>
      <w:r w:rsidR="00B4142C">
        <w:t>confidence interval</w:t>
      </w:r>
      <w:r w:rsidR="00B4142C" w:rsidRPr="00C93CED">
        <w:t xml:space="preserve"> </w:t>
      </w:r>
      <w:r w:rsidR="00B4142C">
        <w:t>(</w:t>
      </w:r>
      <w:r w:rsidRPr="00C93CED">
        <w:t>CI</w:t>
      </w:r>
      <w:r w:rsidR="00B4142C">
        <w:t>)</w:t>
      </w:r>
      <w:r w:rsidRPr="00C93CED">
        <w:t xml:space="preserve"> for the ratio of geometric means fell outside t</w:t>
      </w:r>
      <w:r>
        <w:t xml:space="preserve">he acceptance interval of 80.00 to </w:t>
      </w:r>
      <w:r w:rsidRPr="00C93CED">
        <w:t>125.</w:t>
      </w:r>
      <w:r w:rsidRPr="00FE6C13">
        <w:t>00% (</w:t>
      </w:r>
      <w:r w:rsidR="00FE6C13" w:rsidRPr="00FE6C13">
        <w:t>Table 10</w:t>
      </w:r>
      <w:r w:rsidRPr="00FE6C13">
        <w:t>). The</w:t>
      </w:r>
      <w:r w:rsidRPr="00C93CED">
        <w:t xml:space="preserve"> ratio of geometric means for AUC</w:t>
      </w:r>
      <w:r w:rsidRPr="00E77015">
        <w:rPr>
          <w:vertAlign w:val="subscript"/>
        </w:rPr>
        <w:t>0-∞</w:t>
      </w:r>
      <w:r w:rsidRPr="00C93CED">
        <w:t xml:space="preserve"> did fall within the acceptance interval. The </w:t>
      </w:r>
      <w:r>
        <w:t>sponsor</w:t>
      </w:r>
      <w:r w:rsidRPr="00C93CED">
        <w:t xml:space="preserve"> states that this result together with the chemical characteristics of bosentan provides evidence for similar PK characteristics between the currently approved formula and oral suspensions or dispersions. In the submission the </w:t>
      </w:r>
      <w:r>
        <w:t>sponsor</w:t>
      </w:r>
      <w:r w:rsidRPr="00C93CED">
        <w:t xml:space="preserve"> refers to bosenta</w:t>
      </w:r>
      <w:r w:rsidR="00932527">
        <w:t>n as both a Class I and a Class </w:t>
      </w:r>
      <w:r w:rsidRPr="00C93CED">
        <w:t xml:space="preserve">II compound. It should be clarified with the </w:t>
      </w:r>
      <w:r>
        <w:t>sponsor</w:t>
      </w:r>
      <w:r w:rsidRPr="00C93CED">
        <w:t xml:space="preserve"> which studies included the paediatric formulation intended for market</w:t>
      </w:r>
      <w:r w:rsidR="00932527">
        <w:t>,</w:t>
      </w:r>
      <w:r w:rsidRPr="00C93CED">
        <w:t xml:space="preserve"> rather than a formulation f</w:t>
      </w:r>
      <w:r w:rsidR="00326E00">
        <w:t>ro</w:t>
      </w:r>
      <w:r w:rsidRPr="00C93CED">
        <w:t xml:space="preserve">m early clinical development. The </w:t>
      </w:r>
      <w:r>
        <w:t>sponsor</w:t>
      </w:r>
      <w:r w:rsidRPr="00C93CED">
        <w:t xml:space="preserve"> states that since the new dispersible tablet is administered as </w:t>
      </w:r>
      <w:proofErr w:type="gramStart"/>
      <w:r w:rsidRPr="00C93CED">
        <w:t>a dispersion</w:t>
      </w:r>
      <w:proofErr w:type="gramEnd"/>
      <w:r w:rsidRPr="00C93CED">
        <w:t xml:space="preserve"> and it is reasonable to assume that the absorption, distribution, metabolism, and elimination characteristics of the paediatric formulation would correspond to those of the oral suspension used in </w:t>
      </w:r>
      <w:r>
        <w:t>Study</w:t>
      </w:r>
      <w:r w:rsidRPr="00C93CED">
        <w:t xml:space="preserve"> AC-052-106 and,</w:t>
      </w:r>
      <w:r w:rsidRPr="00616E09">
        <w:t xml:space="preserve"> </w:t>
      </w:r>
      <w:r>
        <w:t>also</w:t>
      </w:r>
      <w:r w:rsidRPr="00616E09">
        <w:t xml:space="preserve"> to those of the approved, </w:t>
      </w:r>
      <w:r>
        <w:t>film coated</w:t>
      </w:r>
      <w:r w:rsidRPr="00616E09">
        <w:t xml:space="preserve">, </w:t>
      </w:r>
      <w:r>
        <w:t>immediate release</w:t>
      </w:r>
      <w:r w:rsidRPr="00616E09">
        <w:t xml:space="preserve"> tablet.</w:t>
      </w:r>
      <w:r>
        <w:t xml:space="preserve"> The sponsor has not justified only considering AUC as the important PK parameter for establishing bioequivalence for bosentan rather than using both AUC and C</w:t>
      </w:r>
      <w:r w:rsidRPr="00E32800">
        <w:rPr>
          <w:vertAlign w:val="subscript"/>
        </w:rPr>
        <w:t>max</w:t>
      </w:r>
      <w:r>
        <w:t>. Bioequivalence has not been clearly demonstrated for an oral solution versus the approved tablet formulation of bosentan.</w:t>
      </w:r>
    </w:p>
    <w:p w14:paraId="3740592B" w14:textId="77777777" w:rsidR="00932527" w:rsidRDefault="00932527" w:rsidP="00932527">
      <w:pPr>
        <w:pStyle w:val="Tabletitle0"/>
      </w:pPr>
      <w:bookmarkStart w:id="83" w:name="_Toc473884052"/>
      <w:r>
        <w:t xml:space="preserve">Table </w:t>
      </w:r>
      <w:r w:rsidR="00FE6C13">
        <w:t>10</w:t>
      </w:r>
      <w:r>
        <w:t>: AC-052-106 Geometric mean ratios for AUC</w:t>
      </w:r>
      <w:r>
        <w:rPr>
          <w:vertAlign w:val="subscript"/>
        </w:rPr>
        <w:t>0-∞</w:t>
      </w:r>
      <w:r>
        <w:t xml:space="preserve"> and C</w:t>
      </w:r>
      <w:r>
        <w:rPr>
          <w:vertAlign w:val="subscript"/>
        </w:rPr>
        <w:t>max</w:t>
      </w:r>
      <w:bookmarkEnd w:id="83"/>
    </w:p>
    <w:p w14:paraId="3AA98590" w14:textId="77777777" w:rsidR="00932527" w:rsidRDefault="00932527" w:rsidP="00386FD5">
      <w:r>
        <w:rPr>
          <w:noProof/>
          <w:lang w:eastAsia="en-AU"/>
        </w:rPr>
        <w:drawing>
          <wp:inline distT="0" distB="0" distL="0" distR="0" wp14:anchorId="384E5CFA" wp14:editId="292FAA07">
            <wp:extent cx="5237018" cy="1928633"/>
            <wp:effectExtent l="0" t="0" r="1905" b="0"/>
            <wp:docPr id="17" name="Picture 17" descr="Table 10: AC-052-106 Geometric mean ratios for AUC0-∞ and C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38446" cy="1929159"/>
                    </a:xfrm>
                    <a:prstGeom prst="rect">
                      <a:avLst/>
                    </a:prstGeom>
                  </pic:spPr>
                </pic:pic>
              </a:graphicData>
            </a:graphic>
          </wp:inline>
        </w:drawing>
      </w:r>
    </w:p>
    <w:p w14:paraId="1475AEF8" w14:textId="77777777" w:rsidR="00386FD5" w:rsidRDefault="00386FD5" w:rsidP="00386FD5">
      <w:r w:rsidRPr="00E85C68">
        <w:t>The comparison of formulation</w:t>
      </w:r>
      <w:r>
        <w:t>s</w:t>
      </w:r>
      <w:r w:rsidRPr="00E85C68">
        <w:t xml:space="preserve"> in healthy adult volunteers rather than children </w:t>
      </w:r>
      <w:r>
        <w:t xml:space="preserve">in </w:t>
      </w:r>
      <w:r w:rsidR="00932527">
        <w:t>S</w:t>
      </w:r>
      <w:r>
        <w:t xml:space="preserve">tudies AC-052-106 and AC-052-116 </w:t>
      </w:r>
      <w:r w:rsidRPr="00E85C68">
        <w:t xml:space="preserve">is considered acceptable as stated in TGA adopted </w:t>
      </w:r>
      <w:r>
        <w:lastRenderedPageBreak/>
        <w:t>guideline</w:t>
      </w:r>
      <w:r w:rsidR="00932527">
        <w:rPr>
          <w:rStyle w:val="FootnoteReference"/>
        </w:rPr>
        <w:footnoteReference w:id="4"/>
      </w:r>
      <w:r>
        <w:t>: ‘</w:t>
      </w:r>
      <w:r w:rsidRPr="00E85C68">
        <w:rPr>
          <w:i/>
        </w:rPr>
        <w:t>In the vast majority of cases BE studies in healthy volunteers are adequate for products intended for use in children.</w:t>
      </w:r>
      <w:r w:rsidRPr="00E85C68">
        <w:t>’</w:t>
      </w:r>
      <w:r>
        <w:t xml:space="preserve"> </w:t>
      </w:r>
    </w:p>
    <w:p w14:paraId="01C628C7" w14:textId="77777777" w:rsidR="00386FD5" w:rsidRDefault="00386FD5" w:rsidP="00386FD5">
      <w:r>
        <w:rPr>
          <w:lang w:eastAsia="ja-JP"/>
        </w:rPr>
        <w:t>S</w:t>
      </w:r>
      <w:r w:rsidRPr="00BA3D14">
        <w:rPr>
          <w:lang w:eastAsia="ja-JP"/>
        </w:rPr>
        <w:t xml:space="preserve">upporting </w:t>
      </w:r>
      <w:r>
        <w:rPr>
          <w:lang w:eastAsia="ja-JP"/>
        </w:rPr>
        <w:t>Study</w:t>
      </w:r>
      <w:r w:rsidRPr="00BA3D14">
        <w:rPr>
          <w:lang w:eastAsia="ja-JP"/>
        </w:rPr>
        <w:t xml:space="preserve"> AC-052-116 failed to demonstrate bioequivalence of the </w:t>
      </w:r>
      <w:r>
        <w:rPr>
          <w:lang w:eastAsia="ja-JP"/>
        </w:rPr>
        <w:t>paediatric and adult</w:t>
      </w:r>
      <w:r w:rsidRPr="00BA3D14">
        <w:rPr>
          <w:lang w:eastAsia="ja-JP"/>
        </w:rPr>
        <w:t xml:space="preserve"> formulations and therefore bioequivalenc</w:t>
      </w:r>
      <w:r>
        <w:rPr>
          <w:lang w:eastAsia="ja-JP"/>
        </w:rPr>
        <w:t>e in children cannot be assumed</w:t>
      </w:r>
      <w:r>
        <w:t xml:space="preserve"> </w:t>
      </w:r>
      <w:r w:rsidRPr="00FE6C13">
        <w:t>(</w:t>
      </w:r>
      <w:r w:rsidR="00932527" w:rsidRPr="00FE6C13">
        <w:t>Table </w:t>
      </w:r>
      <w:r w:rsidR="00FE6C13" w:rsidRPr="00FE6C13">
        <w:t>11</w:t>
      </w:r>
      <w:r w:rsidRPr="00FE6C13">
        <w:t>). As outlined</w:t>
      </w:r>
      <w:r w:rsidRPr="00BA3D14">
        <w:t xml:space="preserve"> in the TGA adopted EU Guideline</w:t>
      </w:r>
      <w:r w:rsidR="00D513A4">
        <w:t>:</w:t>
      </w:r>
      <w:r w:rsidR="00D513A4">
        <w:rPr>
          <w:rStyle w:val="FootnoteReference"/>
        </w:rPr>
        <w:footnoteReference w:id="5"/>
      </w:r>
    </w:p>
    <w:p w14:paraId="2A17151D" w14:textId="77777777" w:rsidR="00386FD5" w:rsidRDefault="00386FD5" w:rsidP="00386FD5">
      <w:pPr>
        <w:ind w:left="360"/>
        <w:rPr>
          <w:szCs w:val="20"/>
        </w:rPr>
      </w:pPr>
      <w:r w:rsidRPr="00C93CED">
        <w:rPr>
          <w:szCs w:val="20"/>
        </w:rPr>
        <w:t xml:space="preserve">In studies to determine bioequivalence after a single dose, the parameters to be analysed are </w:t>
      </w:r>
      <w:proofErr w:type="gramStart"/>
      <w:r w:rsidRPr="00C93CED">
        <w:rPr>
          <w:szCs w:val="20"/>
        </w:rPr>
        <w:t>AUC</w:t>
      </w:r>
      <w:r w:rsidRPr="00C93CED">
        <w:rPr>
          <w:szCs w:val="20"/>
          <w:vertAlign w:val="subscript"/>
        </w:rPr>
        <w:t>(</w:t>
      </w:r>
      <w:proofErr w:type="gramEnd"/>
      <w:r w:rsidRPr="00C93CED">
        <w:rPr>
          <w:szCs w:val="20"/>
          <w:vertAlign w:val="subscript"/>
        </w:rPr>
        <w:t>0-t)</w:t>
      </w:r>
      <w:r w:rsidRPr="00C93CED">
        <w:rPr>
          <w:szCs w:val="20"/>
        </w:rPr>
        <w:t>, or, when relevant, AUC</w:t>
      </w:r>
      <w:r w:rsidRPr="00C93CED">
        <w:rPr>
          <w:szCs w:val="20"/>
          <w:vertAlign w:val="subscript"/>
        </w:rPr>
        <w:t>(0-72h)</w:t>
      </w:r>
      <w:r w:rsidRPr="00C93CED">
        <w:rPr>
          <w:szCs w:val="20"/>
        </w:rPr>
        <w:t>, and C</w:t>
      </w:r>
      <w:r w:rsidRPr="00C93CED">
        <w:rPr>
          <w:szCs w:val="20"/>
          <w:vertAlign w:val="subscript"/>
        </w:rPr>
        <w:t>max</w:t>
      </w:r>
      <w:r w:rsidRPr="00C93CED">
        <w:rPr>
          <w:szCs w:val="20"/>
        </w:rPr>
        <w:t>. For these parameters the 90% confidence interval for the ratio of the test and reference products should be contained within t</w:t>
      </w:r>
      <w:r>
        <w:rPr>
          <w:szCs w:val="20"/>
        </w:rPr>
        <w:t>he acceptance interval of 80.00 to</w:t>
      </w:r>
      <w:r w:rsidRPr="00C93CED">
        <w:rPr>
          <w:szCs w:val="20"/>
        </w:rPr>
        <w:t xml:space="preserve"> 125.00%.</w:t>
      </w:r>
    </w:p>
    <w:p w14:paraId="5291C391" w14:textId="070EC672" w:rsidR="00932527" w:rsidRDefault="00932527" w:rsidP="00932527">
      <w:pPr>
        <w:pStyle w:val="Tabletitle0"/>
      </w:pPr>
      <w:bookmarkStart w:id="84" w:name="_Ref460934267"/>
      <w:bookmarkStart w:id="85" w:name="_Ref460934264"/>
      <w:bookmarkStart w:id="86" w:name="_Toc473884054"/>
      <w:r w:rsidRPr="005F754D">
        <w:t xml:space="preserve">Table </w:t>
      </w:r>
      <w:bookmarkEnd w:id="84"/>
      <w:r w:rsidR="00FE6C13">
        <w:t>11</w:t>
      </w:r>
      <w:r>
        <w:t xml:space="preserve">: AC-052-116 Effect of the formulation on bosentan pharmacokinetics: Paediatric versus </w:t>
      </w:r>
      <w:r w:rsidR="003D7C03">
        <w:t>a</w:t>
      </w:r>
      <w:r>
        <w:t>dult formulation</w:t>
      </w:r>
      <w:bookmarkEnd w:id="85"/>
      <w:bookmarkEnd w:id="86"/>
    </w:p>
    <w:p w14:paraId="3D086DD7" w14:textId="77777777" w:rsidR="00932527" w:rsidRPr="00D513A4" w:rsidRDefault="006231FF" w:rsidP="00D513A4">
      <w:r>
        <w:rPr>
          <w:noProof/>
          <w:lang w:eastAsia="en-AU"/>
        </w:rPr>
        <w:drawing>
          <wp:inline distT="0" distB="0" distL="0" distR="0" wp14:anchorId="295D5E72" wp14:editId="5C64B0C2">
            <wp:extent cx="5216236" cy="1544252"/>
            <wp:effectExtent l="0" t="0" r="3810" b="0"/>
            <wp:docPr id="32" name="Picture 32" descr="Table 11: AC-052-116 Effect of the formulation on bosentan pharmacokinetics: Paediatric versus Adult form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13116" cy="1543328"/>
                    </a:xfrm>
                    <a:prstGeom prst="rect">
                      <a:avLst/>
                    </a:prstGeom>
                  </pic:spPr>
                </pic:pic>
              </a:graphicData>
            </a:graphic>
          </wp:inline>
        </w:drawing>
      </w:r>
    </w:p>
    <w:p w14:paraId="076A949F" w14:textId="77777777" w:rsidR="00386FD5" w:rsidRDefault="00386FD5" w:rsidP="00386FD5">
      <w:pPr>
        <w:rPr>
          <w:lang w:eastAsia="ja-JP"/>
        </w:rPr>
      </w:pPr>
      <w:r w:rsidRPr="00BA3D14">
        <w:rPr>
          <w:lang w:eastAsia="ja-JP"/>
        </w:rPr>
        <w:t xml:space="preserve">The </w:t>
      </w:r>
      <w:r>
        <w:rPr>
          <w:lang w:eastAsia="ja-JP"/>
        </w:rPr>
        <w:t>sponsor</w:t>
      </w:r>
      <w:r w:rsidRPr="00BA3D14">
        <w:rPr>
          <w:lang w:eastAsia="ja-JP"/>
        </w:rPr>
        <w:t xml:space="preserve"> states that the 90% CIs of the geometric mean ratios (Paediatric/Adult) fell only slight</w:t>
      </w:r>
      <w:r>
        <w:rPr>
          <w:lang w:eastAsia="ja-JP"/>
        </w:rPr>
        <w:t xml:space="preserve">ly outside the conventional 0.8 to </w:t>
      </w:r>
      <w:r w:rsidRPr="00BA3D14">
        <w:rPr>
          <w:lang w:eastAsia="ja-JP"/>
        </w:rPr>
        <w:t xml:space="preserve">1.25 equivalence range but for </w:t>
      </w:r>
      <w:r>
        <w:rPr>
          <w:lang w:eastAsia="ja-JP"/>
        </w:rPr>
        <w:t>C</w:t>
      </w:r>
      <w:r w:rsidRPr="00FB4517">
        <w:rPr>
          <w:vertAlign w:val="subscript"/>
          <w:lang w:eastAsia="ja-JP"/>
        </w:rPr>
        <w:t>max</w:t>
      </w:r>
      <w:r>
        <w:rPr>
          <w:lang w:eastAsia="ja-JP"/>
        </w:rPr>
        <w:t xml:space="preserve"> </w:t>
      </w:r>
      <w:r w:rsidRPr="00BA3D14">
        <w:rPr>
          <w:lang w:eastAsia="ja-JP"/>
        </w:rPr>
        <w:t>the 90% CI were well outside the acceptance interval described in the guidelines</w:t>
      </w:r>
      <w:r>
        <w:rPr>
          <w:lang w:eastAsia="ja-JP"/>
        </w:rPr>
        <w:t>.</w:t>
      </w:r>
    </w:p>
    <w:p w14:paraId="1ED43E21" w14:textId="5CDFBED5" w:rsidR="00386FD5" w:rsidRPr="005E389D" w:rsidRDefault="00386FD5" w:rsidP="00386FD5">
      <w:pPr>
        <w:rPr>
          <w:highlight w:val="green"/>
          <w:lang w:eastAsia="ja-JP"/>
        </w:rPr>
      </w:pPr>
      <w:r>
        <w:rPr>
          <w:lang w:eastAsia="ja-JP"/>
        </w:rPr>
        <w:t>The sponsor’s justification for not providing biopharmaceutic studies is not considered adequate as the relevant guidelines state that ‘</w:t>
      </w:r>
      <w:r w:rsidR="003D7C03">
        <w:rPr>
          <w:i/>
          <w:lang w:eastAsia="ja-JP"/>
        </w:rPr>
        <w:t>i</w:t>
      </w:r>
      <w:r w:rsidRPr="00E336E2">
        <w:rPr>
          <w:i/>
          <w:lang w:eastAsia="ja-JP"/>
        </w:rPr>
        <w:t>n those cases where the test product is an oral solution which is intended to be bioequivalent to another immediate release oral dosage form, bioequivalence studies are required.</w:t>
      </w:r>
      <w:r>
        <w:rPr>
          <w:lang w:eastAsia="ja-JP"/>
        </w:rPr>
        <w:t>’ It is noted that Study</w:t>
      </w:r>
      <w:r w:rsidRPr="00FD71AE">
        <w:rPr>
          <w:lang w:eastAsia="ja-JP"/>
        </w:rPr>
        <w:t xml:space="preserve"> AC-052-106 was conducted to compare the bioavailability of an oral suspension of bosentan used in early clinical development and the approved marketed tablet formulations. </w:t>
      </w:r>
      <w:r>
        <w:rPr>
          <w:lang w:eastAsia="ja-JP"/>
        </w:rPr>
        <w:t xml:space="preserve">The sponsor states that </w:t>
      </w:r>
      <w:r w:rsidRPr="00FD71AE">
        <w:rPr>
          <w:lang w:eastAsia="ja-JP"/>
        </w:rPr>
        <w:t xml:space="preserve">comparable PK characteristics between the oral suspension and the marketed tablet formulations support the comparability between the </w:t>
      </w:r>
      <w:r>
        <w:rPr>
          <w:lang w:eastAsia="ja-JP"/>
        </w:rPr>
        <w:t>approved formulation</w:t>
      </w:r>
      <w:r w:rsidRPr="00FD71AE">
        <w:rPr>
          <w:lang w:eastAsia="ja-JP"/>
        </w:rPr>
        <w:t xml:space="preserve"> and the new </w:t>
      </w:r>
      <w:r>
        <w:rPr>
          <w:lang w:eastAsia="ja-JP"/>
        </w:rPr>
        <w:t>p</w:t>
      </w:r>
      <w:r w:rsidRPr="00FD71AE">
        <w:rPr>
          <w:lang w:eastAsia="ja-JP"/>
        </w:rPr>
        <w:t xml:space="preserve">aediatric </w:t>
      </w:r>
      <w:r>
        <w:rPr>
          <w:lang w:eastAsia="ja-JP"/>
        </w:rPr>
        <w:t>formulation</w:t>
      </w:r>
      <w:r w:rsidRPr="00FD71AE">
        <w:rPr>
          <w:lang w:eastAsia="ja-JP"/>
        </w:rPr>
        <w:t xml:space="preserve">. </w:t>
      </w:r>
      <w:r>
        <w:rPr>
          <w:lang w:eastAsia="ja-JP"/>
        </w:rPr>
        <w:t xml:space="preserve">The evaluator notes that the </w:t>
      </w:r>
      <w:r w:rsidR="00D513A4">
        <w:rPr>
          <w:lang w:eastAsia="ja-JP"/>
        </w:rPr>
        <w:t xml:space="preserve">Studies </w:t>
      </w:r>
      <w:r>
        <w:rPr>
          <w:lang w:eastAsia="ja-JP"/>
        </w:rPr>
        <w:t>AC-052-106 and AC-052-116 failed to establish bioequivalence between the various formulations.</w:t>
      </w:r>
    </w:p>
    <w:p w14:paraId="4F602B77" w14:textId="77777777" w:rsidR="00386FD5" w:rsidRPr="005E389D" w:rsidRDefault="00386FD5" w:rsidP="00386FD5">
      <w:pPr>
        <w:rPr>
          <w:highlight w:val="green"/>
          <w:lang w:eastAsia="ja-JP"/>
        </w:rPr>
      </w:pPr>
      <w:r>
        <w:t>From a clinical perspective, t</w:t>
      </w:r>
      <w:r w:rsidRPr="00FD71AE">
        <w:t xml:space="preserve">he </w:t>
      </w:r>
      <w:r>
        <w:t>sponsor</w:t>
      </w:r>
      <w:r w:rsidRPr="00FD71AE">
        <w:t>’s rational</w:t>
      </w:r>
      <w:r>
        <w:t>e</w:t>
      </w:r>
      <w:r w:rsidRPr="00FD71AE">
        <w:t xml:space="preserve"> for not performing dissolution testing is reasonable</w:t>
      </w:r>
      <w:r>
        <w:t xml:space="preserve"> as the dispersible tablet is intended for administration as an oral solution but the issue is referred to the quality evaluator for consideration. In addition, the sponso</w:t>
      </w:r>
      <w:r w:rsidR="00D513A4">
        <w:t xml:space="preserve">r’s justification regarding BCS </w:t>
      </w:r>
      <w:r>
        <w:t>based biowaiver are referred to the quality evaluator. It is noted that</w:t>
      </w:r>
      <w:r w:rsidR="00D513A4">
        <w:t xml:space="preserve"> bosentan is stated to be BCS </w:t>
      </w:r>
      <w:r w:rsidR="007C535F">
        <w:t>Class</w:t>
      </w:r>
      <w:r>
        <w:t xml:space="preserve"> II.</w:t>
      </w:r>
    </w:p>
    <w:p w14:paraId="377045E7" w14:textId="77777777" w:rsidR="0053536C" w:rsidRDefault="00386FD5" w:rsidP="0053536C">
      <w:r>
        <w:t>The BREATHE-3 Study found a lower exposure to bosentan in paediatric patients compared to adult patients. In BREATHE-3 patients were treated with the adult tablet formulation</w:t>
      </w:r>
      <w:r w:rsidRPr="005B2F55">
        <w:t xml:space="preserve"> administered in a dosing regime</w:t>
      </w:r>
      <w:r>
        <w:t>n of approximating 2 mg</w:t>
      </w:r>
      <w:r w:rsidRPr="005F754D">
        <w:t>/kg BD.</w:t>
      </w:r>
      <w:r w:rsidRPr="005B2F55">
        <w:t xml:space="preserve"> </w:t>
      </w:r>
      <w:r>
        <w:t xml:space="preserve">FUTURE-1 examined whether a higher dose would increase exposure in paediatric patients. It was </w:t>
      </w:r>
      <w:r w:rsidRPr="008A4D94">
        <w:t>assumed that the PK of bosentan would be d</w:t>
      </w:r>
      <w:r>
        <w:t>ose proportional up to at least 4 mg/kg BD</w:t>
      </w:r>
      <w:r w:rsidRPr="008A4D94">
        <w:t xml:space="preserve"> in paediatric patients. </w:t>
      </w:r>
      <w:r>
        <w:t xml:space="preserve">In the 11 children who underwent PK assessments at both the 2 and 4 mg/kg doses, the exposure to bosentan was </w:t>
      </w:r>
      <w:r w:rsidRPr="002A192A">
        <w:t>similar (</w:t>
      </w:r>
      <w:r w:rsidR="002A192A" w:rsidRPr="002A192A">
        <w:t xml:space="preserve">Figure </w:t>
      </w:r>
      <w:r w:rsidR="002A192A">
        <w:t>3, above</w:t>
      </w:r>
      <w:r w:rsidRPr="002A192A">
        <w:t>). This result</w:t>
      </w:r>
      <w:r>
        <w:t xml:space="preserve"> may indicate an exposure plateau occurring at lower doses in paediatric patients. The ratio of </w:t>
      </w:r>
      <w:r>
        <w:lastRenderedPageBreak/>
        <w:t>geometric means and 90% CI for AUC for the 4 mg/kg dose was 0.5 (90% CI 0.4, 0.8)</w:t>
      </w:r>
      <w:r w:rsidRPr="008D6D93">
        <w:rPr>
          <w:lang w:eastAsia="ja-JP"/>
        </w:rPr>
        <w:t>, indicating that exposure to bosentan</w:t>
      </w:r>
      <w:r>
        <w:rPr>
          <w:lang w:eastAsia="ja-JP"/>
        </w:rPr>
        <w:t xml:space="preserve"> </w:t>
      </w:r>
      <w:r w:rsidRPr="008D6D93">
        <w:rPr>
          <w:lang w:eastAsia="ja-JP"/>
        </w:rPr>
        <w:t xml:space="preserve">in adults was almost twice the exposure in </w:t>
      </w:r>
      <w:r w:rsidRPr="00FE6C13">
        <w:rPr>
          <w:lang w:eastAsia="ja-JP"/>
        </w:rPr>
        <w:t>children (Table 12)</w:t>
      </w:r>
      <w:r w:rsidRPr="00FE6C13">
        <w:t>. The sponsor states that exposure to bosentan in the FUTURE-1 Study was similar to that seen in BREATHE-3 and that in both studies the exposure for paediatric patients was lower than for adults (</w:t>
      </w:r>
      <w:r w:rsidR="00FE6C13" w:rsidRPr="00FE6C13">
        <w:t xml:space="preserve">Table </w:t>
      </w:r>
      <w:r w:rsidR="00FE6C13">
        <w:t>13</w:t>
      </w:r>
      <w:r w:rsidRPr="00FE6C13">
        <w:t>). Not enough information has been presented regarding the BREATHE-3 Study to determi</w:t>
      </w:r>
      <w:r>
        <w:t xml:space="preserve">ne whether the paediatric populations and the resulting PK results are comparable. It is noted that in the FUTURE-1 Study subgroup </w:t>
      </w:r>
      <w:proofErr w:type="gramStart"/>
      <w:r>
        <w:t>who</w:t>
      </w:r>
      <w:proofErr w:type="gramEnd"/>
      <w:r>
        <w:t xml:space="preserve"> underwent two PK assessments the </w:t>
      </w:r>
      <w:r w:rsidR="00B4142C">
        <w:t>AUC during a dosing interval (</w:t>
      </w:r>
      <w:proofErr w:type="spellStart"/>
      <w:r>
        <w:t>AUC</w:t>
      </w:r>
      <w:r>
        <w:rPr>
          <w:vertAlign w:val="subscript"/>
        </w:rPr>
        <w:t>τ</w:t>
      </w:r>
      <w:proofErr w:type="spellEnd"/>
      <w:r w:rsidR="00B4142C">
        <w:t>)</w:t>
      </w:r>
      <w:r>
        <w:t xml:space="preserve"> is lower than that seen for the BREATHE-3 subgroup with the lowest </w:t>
      </w:r>
      <w:proofErr w:type="spellStart"/>
      <w:r>
        <w:t>AUC</w:t>
      </w:r>
      <w:r>
        <w:rPr>
          <w:vertAlign w:val="subscript"/>
        </w:rPr>
        <w:t>τ</w:t>
      </w:r>
      <w:proofErr w:type="spellEnd"/>
      <w:r>
        <w:t>.</w:t>
      </w:r>
    </w:p>
    <w:p w14:paraId="6936884E" w14:textId="0FC0D6C6" w:rsidR="0053536C" w:rsidRPr="00692091" w:rsidRDefault="0053536C" w:rsidP="0053536C">
      <w:pPr>
        <w:pStyle w:val="Tabletitle0"/>
      </w:pPr>
      <w:bookmarkStart w:id="87" w:name="_Ref463859506"/>
      <w:bookmarkStart w:id="88" w:name="_Toc473884056"/>
      <w:r w:rsidRPr="005F754D">
        <w:t xml:space="preserve">Table </w:t>
      </w:r>
      <w:bookmarkEnd w:id="87"/>
      <w:r w:rsidRPr="005F754D">
        <w:t>12</w:t>
      </w:r>
      <w:r>
        <w:t xml:space="preserve">: FUTURE-1 </w:t>
      </w:r>
      <w:r w:rsidRPr="00692091">
        <w:t xml:space="preserve">Comparison of </w:t>
      </w:r>
      <w:proofErr w:type="spellStart"/>
      <w:r w:rsidRPr="00692091">
        <w:t>AUC</w:t>
      </w:r>
      <w:r>
        <w:rPr>
          <w:vertAlign w:val="subscript"/>
        </w:rPr>
        <w:t>τ</w:t>
      </w:r>
      <w:proofErr w:type="spellEnd"/>
      <w:r w:rsidRPr="00692091">
        <w:t xml:space="preserve"> of </w:t>
      </w:r>
      <w:proofErr w:type="spellStart"/>
      <w:r w:rsidRPr="00692091">
        <w:t>bosentan</w:t>
      </w:r>
      <w:proofErr w:type="spellEnd"/>
      <w:r w:rsidRPr="00692091">
        <w:t xml:space="preserve"> in paediatric </w:t>
      </w:r>
      <w:r>
        <w:t>(4</w:t>
      </w:r>
      <w:r w:rsidR="00D6401D">
        <w:t xml:space="preserve"> </w:t>
      </w:r>
      <w:r>
        <w:t xml:space="preserve">mg/kg) </w:t>
      </w:r>
      <w:r w:rsidRPr="00692091">
        <w:t>and adult PAH</w:t>
      </w:r>
      <w:r>
        <w:t xml:space="preserve"> </w:t>
      </w:r>
      <w:r w:rsidRPr="00692091">
        <w:t>patients</w:t>
      </w:r>
      <w:r>
        <w:t xml:space="preserve"> (</w:t>
      </w:r>
      <w:r w:rsidR="00D6401D">
        <w:t xml:space="preserve">Study </w:t>
      </w:r>
      <w:r>
        <w:t>AC-052-357)</w:t>
      </w:r>
      <w:bookmarkEnd w:id="88"/>
    </w:p>
    <w:p w14:paraId="6C180CEC" w14:textId="77777777" w:rsidR="0053536C" w:rsidRDefault="0053536C" w:rsidP="0053536C">
      <w:r>
        <w:rPr>
          <w:noProof/>
          <w:lang w:eastAsia="en-AU"/>
        </w:rPr>
        <w:drawing>
          <wp:inline distT="0" distB="0" distL="0" distR="0" wp14:anchorId="6E621019" wp14:editId="13FD211D">
            <wp:extent cx="5257800" cy="2587894"/>
            <wp:effectExtent l="0" t="0" r="0" b="3175"/>
            <wp:docPr id="20" name="Picture 20" descr="Table 12: FUTURE-1 Comparison of AUCτ of bosentan in paediatric (4mg/kg) and adult PAH patients (AC-05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54655" cy="2586346"/>
                    </a:xfrm>
                    <a:prstGeom prst="rect">
                      <a:avLst/>
                    </a:prstGeom>
                  </pic:spPr>
                </pic:pic>
              </a:graphicData>
            </a:graphic>
          </wp:inline>
        </w:drawing>
      </w:r>
    </w:p>
    <w:p w14:paraId="71B4ABD9" w14:textId="73FC1ADB" w:rsidR="0053536C" w:rsidRPr="00D745F5" w:rsidRDefault="0053536C" w:rsidP="0053536C">
      <w:pPr>
        <w:pStyle w:val="Tabletitle0"/>
      </w:pPr>
      <w:r>
        <w:t xml:space="preserve">Table </w:t>
      </w:r>
      <w:r w:rsidR="00FE6C13">
        <w:t>1</w:t>
      </w:r>
      <w:r>
        <w:t xml:space="preserve">3: </w:t>
      </w:r>
      <w:r w:rsidRPr="00D745F5">
        <w:t>Summary pharmacokinetics of bosentan in paediatric (BREATHE-3</w:t>
      </w:r>
      <w:r>
        <w:t xml:space="preserve"> and</w:t>
      </w:r>
      <w:r w:rsidRPr="00D745F5">
        <w:t xml:space="preserve"> FUTURE-1) and adult (</w:t>
      </w:r>
      <w:r w:rsidR="00D6401D">
        <w:t xml:space="preserve">Study </w:t>
      </w:r>
      <w:r w:rsidRPr="00D745F5">
        <w:t>AC-052-357) PAH patients</w:t>
      </w:r>
    </w:p>
    <w:p w14:paraId="3B319640" w14:textId="77777777" w:rsidR="0053536C" w:rsidRPr="0053536C" w:rsidRDefault="0053536C" w:rsidP="0053536C">
      <w:r>
        <w:rPr>
          <w:noProof/>
          <w:lang w:eastAsia="en-AU"/>
        </w:rPr>
        <w:drawing>
          <wp:inline distT="0" distB="0" distL="0" distR="0" wp14:anchorId="69F75C10" wp14:editId="039C7C66">
            <wp:extent cx="5257800" cy="1808773"/>
            <wp:effectExtent l="0" t="0" r="0" b="1270"/>
            <wp:docPr id="23" name="Picture 23" descr="Table 13: Summary pharmacokinetics of bosentan in paediatric (BREATHE-3 and FUTURE-1) and adult (AC-052-357) PAH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54655" cy="1807691"/>
                    </a:xfrm>
                    <a:prstGeom prst="rect">
                      <a:avLst/>
                    </a:prstGeom>
                  </pic:spPr>
                </pic:pic>
              </a:graphicData>
            </a:graphic>
          </wp:inline>
        </w:drawing>
      </w:r>
    </w:p>
    <w:p w14:paraId="785DD6CF" w14:textId="62AB442D" w:rsidR="00386FD5" w:rsidRDefault="00386FD5" w:rsidP="00386FD5">
      <w:r>
        <w:t xml:space="preserve">The FUTURE-3 </w:t>
      </w:r>
      <w:r w:rsidR="008D6064">
        <w:t>Stud</w:t>
      </w:r>
      <w:r w:rsidR="00D6401D">
        <w:t xml:space="preserve">y </w:t>
      </w:r>
      <w:r>
        <w:t xml:space="preserve">compared BD and TDS administration of 2 mg/kg bosentan in the paediatric population. The increased dose frequency did not increase systemic exposure to </w:t>
      </w:r>
      <w:r w:rsidRPr="002A192A">
        <w:t>bosentan (</w:t>
      </w:r>
      <w:r w:rsidR="00FE6C13" w:rsidRPr="002A192A">
        <w:t>Figure 4, Table 14</w:t>
      </w:r>
      <w:r w:rsidRPr="002A192A">
        <w:t>).</w:t>
      </w:r>
      <w:r w:rsidRPr="00FE6C13">
        <w:t xml:space="preserve"> </w:t>
      </w:r>
      <w:r w:rsidR="00FE6C13" w:rsidRPr="00FE6C13">
        <w:rPr>
          <w:lang w:eastAsia="ja-JP"/>
        </w:rPr>
        <w:t>Table 15</w:t>
      </w:r>
      <w:r>
        <w:rPr>
          <w:lang w:eastAsia="ja-JP"/>
        </w:rPr>
        <w:t xml:space="preserve"> indicates that </w:t>
      </w:r>
      <w:r w:rsidR="00B4142C">
        <w:t xml:space="preserve">corrected </w:t>
      </w:r>
      <w:proofErr w:type="spellStart"/>
      <w:r w:rsidR="00B4142C">
        <w:t>C</w:t>
      </w:r>
      <w:r w:rsidR="00B4142C">
        <w:rPr>
          <w:vertAlign w:val="subscript"/>
        </w:rPr>
        <w:t>max</w:t>
      </w:r>
      <w:proofErr w:type="spellEnd"/>
      <w:r w:rsidR="00B4142C">
        <w:rPr>
          <w:lang w:eastAsia="ja-JP"/>
        </w:rPr>
        <w:t xml:space="preserve"> (</w:t>
      </w:r>
      <w:proofErr w:type="spellStart"/>
      <w:r>
        <w:rPr>
          <w:lang w:eastAsia="ja-JP"/>
        </w:rPr>
        <w:t>C</w:t>
      </w:r>
      <w:r>
        <w:rPr>
          <w:vertAlign w:val="subscript"/>
          <w:lang w:eastAsia="ja-JP"/>
        </w:rPr>
        <w:t>maxC</w:t>
      </w:r>
      <w:proofErr w:type="spellEnd"/>
      <w:r w:rsidR="00B4142C">
        <w:rPr>
          <w:lang w:eastAsia="ja-JP"/>
        </w:rPr>
        <w:t>)</w:t>
      </w:r>
      <w:r>
        <w:rPr>
          <w:lang w:eastAsia="ja-JP"/>
        </w:rPr>
        <w:t xml:space="preserve"> and </w:t>
      </w:r>
      <w:r w:rsidR="00B4142C">
        <w:t>corrected AUC</w:t>
      </w:r>
      <w:r w:rsidR="00B4142C">
        <w:rPr>
          <w:lang w:eastAsia="ja-JP"/>
        </w:rPr>
        <w:t xml:space="preserve"> (</w:t>
      </w:r>
      <w:r>
        <w:rPr>
          <w:lang w:eastAsia="ja-JP"/>
        </w:rPr>
        <w:t>AUC</w:t>
      </w:r>
      <w:r w:rsidRPr="00F2162D">
        <w:rPr>
          <w:vertAlign w:val="subscript"/>
          <w:lang w:eastAsia="ja-JP"/>
        </w:rPr>
        <w:t>0-24C</w:t>
      </w:r>
      <w:r w:rsidR="00B4142C">
        <w:rPr>
          <w:lang w:eastAsia="ja-JP"/>
        </w:rPr>
        <w:t>)</w:t>
      </w:r>
      <w:r>
        <w:rPr>
          <w:lang w:eastAsia="ja-JP"/>
        </w:rPr>
        <w:t xml:space="preserve"> were much lower in children &lt; 2 years of age compared to those </w:t>
      </w:r>
      <w:r w:rsidR="00FD708D">
        <w:rPr>
          <w:lang w:eastAsia="ja-JP"/>
        </w:rPr>
        <w:t xml:space="preserve">≥ </w:t>
      </w:r>
      <w:r>
        <w:rPr>
          <w:lang w:eastAsia="ja-JP"/>
        </w:rPr>
        <w:t xml:space="preserve">2 years of age. This result is important to consider given the proposal to expand the dosing instructions to include patients between one and three years of age. </w:t>
      </w:r>
      <w:r>
        <w:t>It is unclear why 95% CI rather than 90% CI were calculated for the ratio of geometric means for various PK parameters.</w:t>
      </w:r>
    </w:p>
    <w:p w14:paraId="4306C0EE" w14:textId="38F3238C" w:rsidR="008A6694" w:rsidRDefault="008A6694" w:rsidP="008A6694">
      <w:pPr>
        <w:pStyle w:val="FigureTitle"/>
      </w:pPr>
      <w:bookmarkStart w:id="89" w:name="_Ref463961460"/>
      <w:bookmarkStart w:id="90" w:name="_Toc473884155"/>
      <w:r w:rsidRPr="008806DA">
        <w:lastRenderedPageBreak/>
        <w:t xml:space="preserve">Figure </w:t>
      </w:r>
      <w:bookmarkEnd w:id="89"/>
      <w:r w:rsidRPr="008806DA">
        <w:t xml:space="preserve">4: </w:t>
      </w:r>
      <w:r w:rsidRPr="008806DA">
        <w:rPr>
          <w:lang w:eastAsia="ja-JP"/>
        </w:rPr>
        <w:t>FUTURE</w:t>
      </w:r>
      <w:r>
        <w:rPr>
          <w:lang w:eastAsia="ja-JP"/>
        </w:rPr>
        <w:t xml:space="preserve">-3 </w:t>
      </w:r>
      <w:r>
        <w:t>Arithmetic mean plasma concentration (±</w:t>
      </w:r>
      <w:r w:rsidR="00D6401D">
        <w:t xml:space="preserve"> </w:t>
      </w:r>
      <w:r>
        <w:t>SD) versus time profiles of bosentan (TDS (n</w:t>
      </w:r>
      <w:r w:rsidR="006231FF">
        <w:t xml:space="preserve"> = </w:t>
      </w:r>
      <w:r>
        <w:t>27) and BD (</w:t>
      </w:r>
      <w:r w:rsidR="00D6401D">
        <w:t xml:space="preserve">n </w:t>
      </w:r>
      <w:r w:rsidR="006231FF">
        <w:t xml:space="preserve">= </w:t>
      </w:r>
      <w:r>
        <w:t>31)) on a linear and semi-logarithmic scale, dose corrected, overall age group at Week 4, PK set</w:t>
      </w:r>
      <w:bookmarkEnd w:id="90"/>
    </w:p>
    <w:p w14:paraId="75243C81" w14:textId="77777777" w:rsidR="008A6694" w:rsidRDefault="008A6694" w:rsidP="00386FD5">
      <w:r>
        <w:rPr>
          <w:noProof/>
          <w:lang w:eastAsia="en-AU"/>
        </w:rPr>
        <w:drawing>
          <wp:inline distT="0" distB="0" distL="0" distR="0" wp14:anchorId="2B747D17" wp14:editId="622E3466">
            <wp:extent cx="5299363" cy="2527955"/>
            <wp:effectExtent l="0" t="0" r="0" b="5715"/>
            <wp:docPr id="25" name="Picture 25" descr="Figure 4: FUTURE-3 Arithmetic mean plasma concentration (±SD) versus time profiles of bosentan (TDS (n = 27) and BD (m = 31)) on a linear and semi-logarithmic scale, dose corrected, overall age group at Week 4, PK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97381" cy="2527009"/>
                    </a:xfrm>
                    <a:prstGeom prst="rect">
                      <a:avLst/>
                    </a:prstGeom>
                  </pic:spPr>
                </pic:pic>
              </a:graphicData>
            </a:graphic>
          </wp:inline>
        </w:drawing>
      </w:r>
    </w:p>
    <w:p w14:paraId="0A321D19" w14:textId="77777777" w:rsidR="008A6694" w:rsidRDefault="00FE6C13" w:rsidP="008A6694">
      <w:pPr>
        <w:pStyle w:val="Tabletitle0"/>
      </w:pPr>
      <w:r>
        <w:t>Table 14</w:t>
      </w:r>
      <w:r w:rsidR="008A6694">
        <w:t xml:space="preserve">: FUTURE-3 </w:t>
      </w:r>
      <w:r w:rsidR="008A6694" w:rsidRPr="00E07D2C">
        <w:t>Ratio of geometric means between treatment groups of PK</w:t>
      </w:r>
      <w:r w:rsidR="008A6694">
        <w:t xml:space="preserve"> parameters for bosentan (TDS/BD</w:t>
      </w:r>
      <w:r w:rsidR="008A6694" w:rsidRPr="00E07D2C">
        <w:t>); overall age groups and by age</w:t>
      </w:r>
      <w:r w:rsidR="008A6694">
        <w:t xml:space="preserve"> </w:t>
      </w:r>
      <w:r w:rsidR="008A6694" w:rsidRPr="00E07D2C">
        <w:t>group, PK set</w:t>
      </w:r>
    </w:p>
    <w:p w14:paraId="3F9301DA" w14:textId="77777777" w:rsidR="008A6694" w:rsidRDefault="008A6694" w:rsidP="00386FD5">
      <w:r>
        <w:rPr>
          <w:noProof/>
          <w:lang w:eastAsia="en-AU"/>
        </w:rPr>
        <w:drawing>
          <wp:inline distT="0" distB="0" distL="0" distR="0" wp14:anchorId="3852A706" wp14:editId="55DE6AF1">
            <wp:extent cx="4784756" cy="1441094"/>
            <wp:effectExtent l="0" t="0" r="0" b="6985"/>
            <wp:docPr id="24" name="Picture 24" descr="Table 14: FUTURE-3 Ratio of geometric means between treatment groups of PK parameters for bosentan (TDS/BD); overall age groups and by age group, PK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brightnessContrast contrast="-40000"/>
                              </a14:imgEffect>
                            </a14:imgLayer>
                          </a14:imgProps>
                        </a:ext>
                      </a:extLst>
                    </a:blip>
                    <a:stretch>
                      <a:fillRect/>
                    </a:stretch>
                  </pic:blipFill>
                  <pic:spPr>
                    <a:xfrm>
                      <a:off x="0" y="0"/>
                      <a:ext cx="4791927" cy="1443254"/>
                    </a:xfrm>
                    <a:prstGeom prst="rect">
                      <a:avLst/>
                    </a:prstGeom>
                  </pic:spPr>
                </pic:pic>
              </a:graphicData>
            </a:graphic>
          </wp:inline>
        </w:drawing>
      </w:r>
    </w:p>
    <w:p w14:paraId="05BAE3C3" w14:textId="62A787F3" w:rsidR="008A6694" w:rsidRDefault="008A6694" w:rsidP="008A6694">
      <w:pPr>
        <w:pStyle w:val="Tabletitle0"/>
        <w:rPr>
          <w:lang w:eastAsia="ja-JP"/>
        </w:rPr>
      </w:pPr>
      <w:bookmarkStart w:id="91" w:name="_Ref463969536"/>
      <w:bookmarkStart w:id="92" w:name="_Toc473884060"/>
      <w:r w:rsidRPr="005F754D">
        <w:lastRenderedPageBreak/>
        <w:t xml:space="preserve">Table </w:t>
      </w:r>
      <w:bookmarkEnd w:id="91"/>
      <w:r w:rsidR="00FE6C13">
        <w:t>15</w:t>
      </w:r>
      <w:r w:rsidRPr="005F754D">
        <w:t>:</w:t>
      </w:r>
      <w:r>
        <w:t xml:space="preserve"> </w:t>
      </w:r>
      <w:r w:rsidRPr="005F754D">
        <w:t>FUTURE</w:t>
      </w:r>
      <w:r w:rsidRPr="004D1BF0">
        <w:t>-3</w:t>
      </w:r>
      <w:r>
        <w:rPr>
          <w:i/>
        </w:rPr>
        <w:t xml:space="preserve"> </w:t>
      </w:r>
      <w:r w:rsidRPr="00DA03B1">
        <w:t>Summary of bosentan PK parameters per treatment group; by age group, PK set</w:t>
      </w:r>
      <w:bookmarkEnd w:id="92"/>
    </w:p>
    <w:p w14:paraId="6DC061F7" w14:textId="77777777" w:rsidR="008A6694" w:rsidRDefault="008A6694" w:rsidP="00386FD5">
      <w:r>
        <w:rPr>
          <w:noProof/>
          <w:lang w:eastAsia="en-AU"/>
        </w:rPr>
        <w:drawing>
          <wp:inline distT="0" distB="0" distL="0" distR="0" wp14:anchorId="50B9909E" wp14:editId="79EDDAE8">
            <wp:extent cx="5400040" cy="6595202"/>
            <wp:effectExtent l="0" t="0" r="0" b="0"/>
            <wp:docPr id="26" name="Picture 26" descr="Table 15: FUTURE-3. Summary of bosentan PK parameters per treatment group; by age group, PK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brightnessContrast contrast="-40000"/>
                              </a14:imgEffect>
                            </a14:imgLayer>
                          </a14:imgProps>
                        </a:ext>
                      </a:extLst>
                    </a:blip>
                    <a:stretch>
                      <a:fillRect/>
                    </a:stretch>
                  </pic:blipFill>
                  <pic:spPr>
                    <a:xfrm>
                      <a:off x="0" y="0"/>
                      <a:ext cx="5400040" cy="6595202"/>
                    </a:xfrm>
                    <a:prstGeom prst="rect">
                      <a:avLst/>
                    </a:prstGeom>
                  </pic:spPr>
                </pic:pic>
              </a:graphicData>
            </a:graphic>
          </wp:inline>
        </w:drawing>
      </w:r>
    </w:p>
    <w:p w14:paraId="78B0E270" w14:textId="77777777" w:rsidR="00386FD5" w:rsidRDefault="00386FD5" w:rsidP="00386FD5">
      <w:pPr>
        <w:rPr>
          <w:lang w:eastAsia="ja-JP"/>
        </w:rPr>
      </w:pPr>
      <w:r>
        <w:t>The FUTURE-4 Study</w:t>
      </w:r>
      <w:r w:rsidRPr="00BC415F">
        <w:t xml:space="preserve"> </w:t>
      </w:r>
      <w:r>
        <w:t xml:space="preserve">in neonates with PPHN found that </w:t>
      </w:r>
      <w:r w:rsidRPr="002F74C3">
        <w:t>the bosentan PK profile was</w:t>
      </w:r>
      <w:r>
        <w:t xml:space="preserve"> </w:t>
      </w:r>
      <w:r w:rsidRPr="002F74C3">
        <w:t>characteri</w:t>
      </w:r>
      <w:r>
        <w:t>s</w:t>
      </w:r>
      <w:r w:rsidRPr="002F74C3">
        <w:t>ed by a slow and continuous increase in concentration over the first dosing</w:t>
      </w:r>
      <w:r>
        <w:t xml:space="preserve"> </w:t>
      </w:r>
      <w:r w:rsidRPr="002A192A">
        <w:t xml:space="preserve">interval </w:t>
      </w:r>
      <w:r w:rsidR="002A192A" w:rsidRPr="002A192A">
        <w:t>(Figure 5</w:t>
      </w:r>
      <w:r w:rsidRPr="002A192A">
        <w:t>). On Day</w:t>
      </w:r>
      <w:r w:rsidRPr="002F74C3">
        <w:t xml:space="preserve"> 5, the pre-dose mean bosentan concentration was similar to that measured at the</w:t>
      </w:r>
      <w:r>
        <w:t xml:space="preserve"> </w:t>
      </w:r>
      <w:r w:rsidRPr="002F74C3">
        <w:t xml:space="preserve">end of the dosing interval, suggesting the attainment of </w:t>
      </w:r>
      <w:r>
        <w:t>steady state</w:t>
      </w:r>
      <w:r w:rsidRPr="002F74C3">
        <w:t xml:space="preserve"> conditions.</w:t>
      </w:r>
      <w:r>
        <w:t xml:space="preserve"> </w:t>
      </w:r>
      <w:r w:rsidRPr="002F74C3">
        <w:t>Bosentan</w:t>
      </w:r>
      <w:r>
        <w:t xml:space="preserve"> </w:t>
      </w:r>
      <w:r w:rsidRPr="002F74C3">
        <w:t xml:space="preserve">exposure remained variable on Day 5 but was </w:t>
      </w:r>
      <w:r>
        <w:t xml:space="preserve">reported to be </w:t>
      </w:r>
      <w:r w:rsidRPr="002F74C3">
        <w:t>similar to the exposure observed in</w:t>
      </w:r>
      <w:r>
        <w:t xml:space="preserve"> </w:t>
      </w:r>
      <w:r w:rsidRPr="002F74C3">
        <w:t>adult PAH patients admini</w:t>
      </w:r>
      <w:r>
        <w:t xml:space="preserve">stered with 125 mg bosentan </w:t>
      </w:r>
      <w:r w:rsidRPr="005F754D">
        <w:t xml:space="preserve">BD </w:t>
      </w:r>
      <w:r w:rsidRPr="00FE6C13">
        <w:t>(</w:t>
      </w:r>
      <w:r w:rsidR="00FE6C13" w:rsidRPr="00FE6C13">
        <w:t>Table 16</w:t>
      </w:r>
      <w:r w:rsidRPr="00FE6C13">
        <w:t xml:space="preserve">). </w:t>
      </w:r>
      <w:r w:rsidRPr="00FE6C13">
        <w:rPr>
          <w:lang w:eastAsia="ja-JP"/>
        </w:rPr>
        <w:t>The sponsor states that the high bosentan PK variability observed in PPHN</w:t>
      </w:r>
      <w:r w:rsidRPr="0072456D">
        <w:rPr>
          <w:lang w:eastAsia="ja-JP"/>
        </w:rPr>
        <w:t xml:space="preserve"> patients might be explained by several factors known to affect the absorp</w:t>
      </w:r>
      <w:r>
        <w:rPr>
          <w:lang w:eastAsia="ja-JP"/>
        </w:rPr>
        <w:t>tion of oral drugs in neonates such as</w:t>
      </w:r>
      <w:r w:rsidRPr="0072456D">
        <w:rPr>
          <w:lang w:eastAsia="ja-JP"/>
        </w:rPr>
        <w:t xml:space="preserve"> slower gut transit time due to delayed gastric emptying and reduced motility, mucus in the stomach, and gastric pH modifications.</w:t>
      </w:r>
    </w:p>
    <w:p w14:paraId="34EBD089" w14:textId="77777777" w:rsidR="008A6694" w:rsidRPr="00DC4C62" w:rsidRDefault="008A6694" w:rsidP="008A6694">
      <w:pPr>
        <w:pStyle w:val="FigureTitle"/>
      </w:pPr>
      <w:bookmarkStart w:id="93" w:name="_Ref464141410"/>
      <w:bookmarkStart w:id="94" w:name="_Ref463517799"/>
      <w:bookmarkStart w:id="95" w:name="_Toc473884158"/>
      <w:r w:rsidRPr="008806DA">
        <w:lastRenderedPageBreak/>
        <w:t xml:space="preserve">Figure </w:t>
      </w:r>
      <w:bookmarkEnd w:id="93"/>
      <w:r w:rsidR="002A192A">
        <w:t>5</w:t>
      </w:r>
      <w:r w:rsidRPr="008806DA">
        <w:t>: FUTURE-4 Arithmetic mean whole blood concentration versus time profiles of</w:t>
      </w:r>
      <w:r>
        <w:t xml:space="preserve"> bosentan and its metabolites on Day 1 (n</w:t>
      </w:r>
      <w:r w:rsidR="006231FF">
        <w:t xml:space="preserve"> = </w:t>
      </w:r>
      <w:r>
        <w:t>11) and Day 5 (n</w:t>
      </w:r>
      <w:r w:rsidR="006231FF">
        <w:t xml:space="preserve"> = </w:t>
      </w:r>
      <w:r>
        <w:t>7) on a linear scale, 2 mg/kg dose-corrected concentrations; PK analysis set</w:t>
      </w:r>
      <w:bookmarkEnd w:id="94"/>
      <w:bookmarkEnd w:id="95"/>
    </w:p>
    <w:p w14:paraId="55ABD655" w14:textId="77777777" w:rsidR="008A6694" w:rsidRDefault="008A6694" w:rsidP="00386FD5">
      <w:r>
        <w:rPr>
          <w:noProof/>
          <w:lang w:eastAsia="en-AU"/>
        </w:rPr>
        <w:drawing>
          <wp:inline distT="0" distB="0" distL="0" distR="0" wp14:anchorId="34F3EA7F" wp14:editId="6758E1CC">
            <wp:extent cx="5292436" cy="2287735"/>
            <wp:effectExtent l="0" t="0" r="3810" b="0"/>
            <wp:docPr id="27" name="Picture 27" descr="Figure 5: FUTURE-4 Arithmetic mean whole blood concentration versus time profiles of bosentan and its metabolites on Day 1 (n = 11) and Day 5 (n = 7) on a linear scale, 2 mg/kg dose-corrected concentrations;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91885" cy="2287497"/>
                    </a:xfrm>
                    <a:prstGeom prst="rect">
                      <a:avLst/>
                    </a:prstGeom>
                  </pic:spPr>
                </pic:pic>
              </a:graphicData>
            </a:graphic>
          </wp:inline>
        </w:drawing>
      </w:r>
    </w:p>
    <w:p w14:paraId="3C4A6E6B" w14:textId="78A8A3DD" w:rsidR="008A6694" w:rsidRDefault="008A6694" w:rsidP="008A6694">
      <w:pPr>
        <w:pStyle w:val="Tabletitle0"/>
      </w:pPr>
      <w:bookmarkStart w:id="96" w:name="_Ref463519089"/>
      <w:bookmarkStart w:id="97" w:name="_Toc473884061"/>
      <w:r w:rsidRPr="005F754D">
        <w:t xml:space="preserve">Table </w:t>
      </w:r>
      <w:bookmarkEnd w:id="96"/>
      <w:r w:rsidR="00FE6C13">
        <w:t>16</w:t>
      </w:r>
      <w:r>
        <w:t>:</w:t>
      </w:r>
      <w:r w:rsidRPr="005F754D">
        <w:t xml:space="preserve"> FUTURE</w:t>
      </w:r>
      <w:r>
        <w:t xml:space="preserve">-4 </w:t>
      </w:r>
      <w:r w:rsidRPr="00984F02">
        <w:t>Summary of bosentan</w:t>
      </w:r>
      <w:r w:rsidR="00226497">
        <w:t xml:space="preserve">; and metabolites </w:t>
      </w:r>
      <w:r w:rsidRPr="00984F02">
        <w:t>Ro</w:t>
      </w:r>
      <w:r w:rsidR="00226497">
        <w:t> </w:t>
      </w:r>
      <w:r w:rsidRPr="00984F02">
        <w:t>47-8634, Ro</w:t>
      </w:r>
      <w:r w:rsidR="00226497">
        <w:t> </w:t>
      </w:r>
      <w:r w:rsidRPr="00984F02">
        <w:t>48</w:t>
      </w:r>
      <w:r w:rsidR="00226497">
        <w:noBreakHyphen/>
      </w:r>
      <w:r w:rsidRPr="00984F02">
        <w:t>5033, and Ro</w:t>
      </w:r>
      <w:r w:rsidR="00D6401D">
        <w:t> </w:t>
      </w:r>
      <w:r w:rsidRPr="00984F02">
        <w:t>64</w:t>
      </w:r>
      <w:r w:rsidR="00226497">
        <w:noBreakHyphen/>
      </w:r>
      <w:r w:rsidRPr="00984F02">
        <w:t>-1056, PK analysis set</w:t>
      </w:r>
      <w:bookmarkEnd w:id="97"/>
    </w:p>
    <w:p w14:paraId="0E7ADC29" w14:textId="77777777" w:rsidR="008A6694" w:rsidRDefault="008A6694" w:rsidP="00386FD5">
      <w:pPr>
        <w:rPr>
          <w:lang w:eastAsia="ja-JP"/>
        </w:rPr>
      </w:pPr>
      <w:r>
        <w:rPr>
          <w:noProof/>
          <w:lang w:eastAsia="en-AU"/>
        </w:rPr>
        <w:drawing>
          <wp:inline distT="0" distB="0" distL="0" distR="0" wp14:anchorId="6CDF5198" wp14:editId="1FD953F8">
            <wp:extent cx="5257800" cy="1508247"/>
            <wp:effectExtent l="0" t="0" r="0" b="0"/>
            <wp:docPr id="28" name="Picture 28" descr="Table 16: FUTURE-4 Summary of bosentan, Ro 47-8634, Ro 48-5033, and Ro 64-1056,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BEBA8EAE-BF5A-486C-A8C5-ECC9F3942E4B}">
                          <a14:imgProps xmlns:a14="http://schemas.microsoft.com/office/drawing/2010/main">
                            <a14:imgLayer r:embed="rId32">
                              <a14:imgEffect>
                                <a14:brightnessContrast contrast="-40000"/>
                              </a14:imgEffect>
                            </a14:imgLayer>
                          </a14:imgProps>
                        </a:ext>
                      </a:extLst>
                    </a:blip>
                    <a:stretch>
                      <a:fillRect/>
                    </a:stretch>
                  </pic:blipFill>
                  <pic:spPr>
                    <a:xfrm>
                      <a:off x="0" y="0"/>
                      <a:ext cx="5254655" cy="1507345"/>
                    </a:xfrm>
                    <a:prstGeom prst="rect">
                      <a:avLst/>
                    </a:prstGeom>
                  </pic:spPr>
                </pic:pic>
              </a:graphicData>
            </a:graphic>
          </wp:inline>
        </w:drawing>
      </w:r>
    </w:p>
    <w:p w14:paraId="1A5CC9D8" w14:textId="2494BDC3" w:rsidR="00386FD5" w:rsidRPr="00667DE8" w:rsidRDefault="00386FD5" w:rsidP="00386FD5">
      <w:pPr>
        <w:rPr>
          <w:lang w:eastAsia="ja-JP"/>
        </w:rPr>
      </w:pPr>
      <w:r w:rsidRPr="00667DE8">
        <w:rPr>
          <w:lang w:eastAsia="ja-JP"/>
        </w:rPr>
        <w:t xml:space="preserve">As outlined above the </w:t>
      </w:r>
      <w:r>
        <w:rPr>
          <w:lang w:eastAsia="ja-JP"/>
        </w:rPr>
        <w:t>sponsor</w:t>
      </w:r>
      <w:r w:rsidRPr="00667DE8">
        <w:rPr>
          <w:lang w:eastAsia="ja-JP"/>
        </w:rPr>
        <w:t xml:space="preserve"> and EMA came to an agreement regarding the extrapolation of the treatment effect of bosentan from adults to children across age groups provided similar plasma concentrations are reached. The </w:t>
      </w:r>
      <w:r>
        <w:rPr>
          <w:lang w:eastAsia="ja-JP"/>
        </w:rPr>
        <w:t>sponsor</w:t>
      </w:r>
      <w:r w:rsidRPr="00667DE8">
        <w:rPr>
          <w:lang w:eastAsia="ja-JP"/>
        </w:rPr>
        <w:t xml:space="preserve"> states that based on this agreement and following the ICH E11 Guideline</w:t>
      </w:r>
      <w:r w:rsidR="00226497">
        <w:rPr>
          <w:lang w:eastAsia="ja-JP"/>
        </w:rPr>
        <w:t>;</w:t>
      </w:r>
      <w:r w:rsidR="002E529B">
        <w:rPr>
          <w:rStyle w:val="FootnoteReference"/>
          <w:lang w:eastAsia="ja-JP"/>
        </w:rPr>
        <w:footnoteReference w:id="6"/>
      </w:r>
      <w:r w:rsidRPr="00667DE8">
        <w:rPr>
          <w:lang w:eastAsia="ja-JP"/>
        </w:rPr>
        <w:t xml:space="preserve"> the following studies were considered adequate to obtain approval for the dispersible formulation of bosentan in the EU:</w:t>
      </w:r>
    </w:p>
    <w:p w14:paraId="74B818BD" w14:textId="20FACAD7" w:rsidR="00386FD5" w:rsidRPr="002E529B" w:rsidRDefault="00226497" w:rsidP="002E529B">
      <w:pPr>
        <w:pStyle w:val="ListBullet"/>
      </w:pPr>
      <w:r>
        <w:t xml:space="preserve">Study </w:t>
      </w:r>
      <w:r w:rsidR="00386FD5" w:rsidRPr="002E529B">
        <w:t xml:space="preserve">AC-052-365 </w:t>
      </w:r>
      <w:r>
        <w:t>(</w:t>
      </w:r>
      <w:r w:rsidR="00386FD5" w:rsidRPr="002E529B">
        <w:t>FUTURE-1</w:t>
      </w:r>
      <w:r>
        <w:t>)</w:t>
      </w:r>
    </w:p>
    <w:p w14:paraId="559A107B" w14:textId="77777777" w:rsidR="00386FD5" w:rsidRPr="002E529B" w:rsidRDefault="00386FD5" w:rsidP="002E529B">
      <w:pPr>
        <w:pStyle w:val="ListBullet"/>
      </w:pPr>
      <w:r w:rsidRPr="002E529B">
        <w:t>Physiologically-based pharmacokinetic modelling of bosentan with application to paediatric patients</w:t>
      </w:r>
    </w:p>
    <w:p w14:paraId="12772869" w14:textId="53CB74F4" w:rsidR="00386FD5" w:rsidRPr="002E529B" w:rsidRDefault="00BA5D20" w:rsidP="002E529B">
      <w:pPr>
        <w:pStyle w:val="ListBullet"/>
      </w:pPr>
      <w:r>
        <w:t xml:space="preserve">Study </w:t>
      </w:r>
      <w:r w:rsidR="00386FD5" w:rsidRPr="002E529B">
        <w:t>AC-052-116</w:t>
      </w:r>
    </w:p>
    <w:p w14:paraId="005602F0" w14:textId="57DB3D41" w:rsidR="00386FD5" w:rsidRPr="002E529B" w:rsidRDefault="00BA5D20" w:rsidP="002E529B">
      <w:pPr>
        <w:pStyle w:val="ListBullet"/>
      </w:pPr>
      <w:r>
        <w:t xml:space="preserve">Study </w:t>
      </w:r>
      <w:r w:rsidR="00386FD5" w:rsidRPr="002E529B">
        <w:t xml:space="preserve">AC-052-373 </w:t>
      </w:r>
      <w:r>
        <w:t>(</w:t>
      </w:r>
      <w:r w:rsidR="00386FD5" w:rsidRPr="002E529B">
        <w:t>FUTURE-3 PopPK</w:t>
      </w:r>
      <w:r>
        <w:t>)</w:t>
      </w:r>
      <w:r w:rsidR="00386FD5" w:rsidRPr="002E529B">
        <w:t>: Population pharmacokinetics of bosentan in children with PAH</w:t>
      </w:r>
      <w:r w:rsidR="008D6064">
        <w:t>.</w:t>
      </w:r>
    </w:p>
    <w:p w14:paraId="7EBB6CE7" w14:textId="77777777" w:rsidR="00386FD5" w:rsidRDefault="00386FD5" w:rsidP="00386FD5">
      <w:pPr>
        <w:rPr>
          <w:lang w:eastAsia="ja-JP"/>
        </w:rPr>
      </w:pPr>
      <w:r>
        <w:rPr>
          <w:lang w:eastAsia="ja-JP"/>
        </w:rPr>
        <w:t>The referenced guideline states:</w:t>
      </w:r>
    </w:p>
    <w:p w14:paraId="774DD134" w14:textId="77777777" w:rsidR="00386FD5" w:rsidRDefault="00386FD5" w:rsidP="00966CF3">
      <w:pPr>
        <w:pStyle w:val="ListBullet"/>
      </w:pPr>
      <w:r w:rsidRPr="00667DE8">
        <w:t>The relevance of efficacy data obtained in adults for the paediatric population for systemically acting drugs depends on a number of factors such as the aetiology and course of the disease, as well as the mechanism of action of the drug in adult and paediatric patients. Provided that data from adults are considered relevant, pharmacokinetic information can be used to extrapolate efficacy to the paediatric population</w:t>
      </w:r>
      <w:r>
        <w:t>.</w:t>
      </w:r>
    </w:p>
    <w:p w14:paraId="7F5FA6B5" w14:textId="77777777" w:rsidR="00386FD5" w:rsidRPr="002E529B" w:rsidRDefault="00386FD5" w:rsidP="00966CF3">
      <w:pPr>
        <w:pStyle w:val="ListBullet"/>
      </w:pPr>
      <w:r w:rsidRPr="002E529B">
        <w:lastRenderedPageBreak/>
        <w:t>If similar exposure in adult and paediatric patients can be assumed to produce similar efficacy, pharmacokinetic data alone can be used to extrapolate efficacy.</w:t>
      </w:r>
      <w:r w:rsidRPr="002E529B">
        <w:sym w:font="Symbol" w:char="F020"/>
      </w:r>
    </w:p>
    <w:p w14:paraId="138B6079" w14:textId="77777777" w:rsidR="00386FD5" w:rsidRDefault="00386FD5" w:rsidP="00966CF3">
      <w:pPr>
        <w:pStyle w:val="ListBullet"/>
        <w:rPr>
          <w:lang w:eastAsia="ja-JP"/>
        </w:rPr>
      </w:pPr>
      <w:r w:rsidRPr="002E529B">
        <w:t>If a similar relationship between concentration and clinical efficacy cannot be assumed, paediatric PK/PD (biomarker) data can be used to extrapolate efficacy. In this case, the predictability of the biomarker should have been documented. If this has been performed in adults only, its value for the paediatric population should be adequately justified.</w:t>
      </w:r>
      <w:r w:rsidRPr="00667DE8">
        <w:t xml:space="preserve"> Evaluation of the PK-PD relationship in dose-ranging studies or multiple dose level studies is encouraged; as such information may be very valuable for dose-selection.</w:t>
      </w:r>
    </w:p>
    <w:p w14:paraId="6500B907" w14:textId="77777777" w:rsidR="00386FD5" w:rsidRDefault="00386FD5" w:rsidP="00386FD5">
      <w:pPr>
        <w:rPr>
          <w:lang w:eastAsia="ja-JP"/>
        </w:rPr>
      </w:pPr>
      <w:r>
        <w:rPr>
          <w:lang w:eastAsia="ja-JP"/>
        </w:rPr>
        <w:t xml:space="preserve">Assuming the features of PAH </w:t>
      </w:r>
      <w:proofErr w:type="gramStart"/>
      <w:r>
        <w:rPr>
          <w:lang w:eastAsia="ja-JP"/>
        </w:rPr>
        <w:t>are</w:t>
      </w:r>
      <w:proofErr w:type="gramEnd"/>
      <w:r>
        <w:rPr>
          <w:lang w:eastAsia="ja-JP"/>
        </w:rPr>
        <w:t xml:space="preserve"> similar in adults and children, the submitted studies have failed to demonstrate similar exposure in adult and paediatric patients. It is therefore difficult to extrapolate efficacy to the paediatric population. </w:t>
      </w:r>
      <w:r w:rsidRPr="008A0BCB">
        <w:rPr>
          <w:lang w:eastAsia="ja-JP"/>
        </w:rPr>
        <w:t xml:space="preserve">Based on the findings obtained at 2 mg/kg and 4 mg/kg, it is unlikely that increasing the dose of bosentan beyond 2 mg/kg in paediatric patients in a </w:t>
      </w:r>
      <w:r>
        <w:rPr>
          <w:lang w:eastAsia="ja-JP"/>
        </w:rPr>
        <w:t>BD</w:t>
      </w:r>
      <w:r w:rsidRPr="008A0BCB">
        <w:rPr>
          <w:lang w:eastAsia="ja-JP"/>
        </w:rPr>
        <w:t xml:space="preserve"> regimen will result in </w:t>
      </w:r>
      <w:r>
        <w:rPr>
          <w:lang w:eastAsia="ja-JP"/>
        </w:rPr>
        <w:t>increased exposure to bosentan.</w:t>
      </w:r>
    </w:p>
    <w:p w14:paraId="67C72EC9" w14:textId="7ADC321F" w:rsidR="00386FD5" w:rsidRDefault="00386FD5" w:rsidP="00386FD5">
      <w:pPr>
        <w:rPr>
          <w:lang w:eastAsia="ja-JP"/>
        </w:rPr>
      </w:pPr>
      <w:r>
        <w:rPr>
          <w:lang w:eastAsia="ja-JP"/>
        </w:rPr>
        <w:t>Whilst bosentan does not have a specific approved indication for the paediatric population the PI notes that there is limited experience with its use in children and provides dosage instructions for children aged three years and over. The PI notes that ‘</w:t>
      </w:r>
      <w:r w:rsidRPr="003F6B51">
        <w:rPr>
          <w:i/>
          <w:lang w:eastAsia="ja-JP"/>
        </w:rPr>
        <w:t>Although the number of patients studied in each dose group was generally insufficient to establish the optimal dosing regimen</w:t>
      </w:r>
      <w:r>
        <w:rPr>
          <w:lang w:eastAsia="ja-JP"/>
        </w:rPr>
        <w:t xml:space="preserve">’. As noted above, </w:t>
      </w:r>
      <w:r w:rsidRPr="003F6B51">
        <w:rPr>
          <w:lang w:eastAsia="ja-JP"/>
        </w:rPr>
        <w:t xml:space="preserve">the </w:t>
      </w:r>
      <w:r>
        <w:rPr>
          <w:lang w:eastAsia="ja-JP"/>
        </w:rPr>
        <w:t xml:space="preserve">bosentan exposure in the </w:t>
      </w:r>
      <w:r w:rsidRPr="003F6B51">
        <w:rPr>
          <w:lang w:eastAsia="ja-JP"/>
        </w:rPr>
        <w:t xml:space="preserve">FUTURE-1 </w:t>
      </w:r>
      <w:r w:rsidR="008D6064">
        <w:rPr>
          <w:lang w:eastAsia="ja-JP"/>
        </w:rPr>
        <w:t>Stud</w:t>
      </w:r>
      <w:r w:rsidR="00BA5D20">
        <w:rPr>
          <w:lang w:eastAsia="ja-JP"/>
        </w:rPr>
        <w:t>y</w:t>
      </w:r>
      <w:r w:rsidR="00BA5D20" w:rsidRPr="003F6B51">
        <w:rPr>
          <w:lang w:eastAsia="ja-JP"/>
        </w:rPr>
        <w:t xml:space="preserve"> </w:t>
      </w:r>
      <w:r w:rsidRPr="003F6B51">
        <w:rPr>
          <w:lang w:eastAsia="ja-JP"/>
        </w:rPr>
        <w:t xml:space="preserve">fell within the range seen in the BREATHE-3 </w:t>
      </w:r>
      <w:r w:rsidR="008D6064">
        <w:rPr>
          <w:lang w:eastAsia="ja-JP"/>
        </w:rPr>
        <w:t>Stud</w:t>
      </w:r>
      <w:r w:rsidR="00BA5D20">
        <w:rPr>
          <w:lang w:eastAsia="ja-JP"/>
        </w:rPr>
        <w:t>y</w:t>
      </w:r>
      <w:r w:rsidR="00BA5D20" w:rsidRPr="003F6B51">
        <w:rPr>
          <w:lang w:eastAsia="ja-JP"/>
        </w:rPr>
        <w:t xml:space="preserve"> </w:t>
      </w:r>
      <w:r>
        <w:rPr>
          <w:lang w:eastAsia="ja-JP"/>
        </w:rPr>
        <w:t xml:space="preserve">but </w:t>
      </w:r>
      <w:r w:rsidRPr="003F6B51">
        <w:rPr>
          <w:lang w:eastAsia="ja-JP"/>
        </w:rPr>
        <w:t>it is difficult to compare the patient populations based on the information provided in the submission.</w:t>
      </w:r>
    </w:p>
    <w:p w14:paraId="5F5ACEC7" w14:textId="4620A0C9" w:rsidR="00386FD5" w:rsidRDefault="00386FD5" w:rsidP="00386FD5">
      <w:pPr>
        <w:rPr>
          <w:lang w:eastAsia="ja-JP"/>
        </w:rPr>
      </w:pPr>
      <w:r>
        <w:rPr>
          <w:lang w:eastAsia="ja-JP"/>
        </w:rPr>
        <w:t>It is noted that the PI states that the adult formulation of bosentan can be taken with or without food and that in healthy volunteers ‘</w:t>
      </w:r>
      <w:r w:rsidR="00BA5D20">
        <w:rPr>
          <w:i/>
          <w:lang w:eastAsia="ja-JP"/>
        </w:rPr>
        <w:t>a</w:t>
      </w:r>
      <w:r w:rsidR="00BA5D20" w:rsidRPr="00273F0B">
        <w:rPr>
          <w:i/>
          <w:lang w:eastAsia="ja-JP"/>
        </w:rPr>
        <w:t xml:space="preserve">t </w:t>
      </w:r>
      <w:r w:rsidRPr="00273F0B">
        <w:rPr>
          <w:i/>
          <w:lang w:eastAsia="ja-JP"/>
        </w:rPr>
        <w:t xml:space="preserve">a dose of 125 mg, administration of </w:t>
      </w:r>
      <w:r w:rsidR="00335934">
        <w:rPr>
          <w:i/>
          <w:lang w:eastAsia="ja-JP"/>
        </w:rPr>
        <w:t>Tracleer</w:t>
      </w:r>
      <w:r w:rsidRPr="00273F0B">
        <w:rPr>
          <w:i/>
          <w:lang w:eastAsia="ja-JP"/>
        </w:rPr>
        <w:t xml:space="preserve"> with food did not have a significant effect on the extent of absorption but did increase the rate, leading to a 20% increase in peak plasma concentrations of bosentan. This is not expected to be clinically significant.</w:t>
      </w:r>
      <w:r>
        <w:rPr>
          <w:lang w:eastAsia="ja-JP"/>
        </w:rPr>
        <w:t>’ The guideline on bioequivalence states that:</w:t>
      </w:r>
    </w:p>
    <w:p w14:paraId="39BB8880" w14:textId="77777777" w:rsidR="00386FD5" w:rsidRPr="00F42144" w:rsidRDefault="00386FD5" w:rsidP="00966CF3">
      <w:pPr>
        <w:pStyle w:val="ListBullet"/>
        <w:rPr>
          <w:lang w:eastAsia="ja-JP"/>
        </w:rPr>
      </w:pPr>
      <w:r w:rsidRPr="00F42144">
        <w:rPr>
          <w:lang w:eastAsia="ja-JP"/>
        </w:rPr>
        <w:t>However, for products with specific formulation characteristics (</w:t>
      </w:r>
      <w:r>
        <w:rPr>
          <w:lang w:eastAsia="ja-JP"/>
        </w:rPr>
        <w:t>for example</w:t>
      </w:r>
      <w:r w:rsidRPr="00F42144">
        <w:rPr>
          <w:lang w:eastAsia="ja-JP"/>
        </w:rPr>
        <w:t xml:space="preserve"> </w:t>
      </w:r>
      <w:proofErr w:type="spellStart"/>
      <w:r w:rsidRPr="00F42144">
        <w:rPr>
          <w:lang w:eastAsia="ja-JP"/>
        </w:rPr>
        <w:t>microemulsions</w:t>
      </w:r>
      <w:proofErr w:type="spellEnd"/>
      <w:r w:rsidRPr="00F42144">
        <w:rPr>
          <w:lang w:eastAsia="ja-JP"/>
        </w:rPr>
        <w:t>, solid dispersions), bioequivalence studies performed under both fasted and fed conditions are required unless the product must be taken only in the fasted state or only in the fed state.</w:t>
      </w:r>
    </w:p>
    <w:p w14:paraId="6A707907" w14:textId="77777777" w:rsidR="00386FD5" w:rsidRPr="00386FD5" w:rsidRDefault="00386FD5" w:rsidP="00386FD5">
      <w:pPr>
        <w:rPr>
          <w:lang w:eastAsia="ja-JP"/>
        </w:rPr>
      </w:pPr>
      <w:r>
        <w:rPr>
          <w:lang w:eastAsia="ja-JP"/>
        </w:rPr>
        <w:t xml:space="preserve">This position is supported by the FDA draft guidance on bosentan which recommends two single </w:t>
      </w:r>
      <w:proofErr w:type="gramStart"/>
      <w:r>
        <w:rPr>
          <w:lang w:eastAsia="ja-JP"/>
        </w:rPr>
        <w:t>dose</w:t>
      </w:r>
      <w:proofErr w:type="gramEnd"/>
      <w:r>
        <w:rPr>
          <w:lang w:eastAsia="ja-JP"/>
        </w:rPr>
        <w:t>, two way, crossover studies in order to establish bioequivalence. It is unclear why bioequivalence studies have not been conducted for the adult and paediatric formulations in both the fed and fasted state.</w:t>
      </w:r>
    </w:p>
    <w:p w14:paraId="77DFFC46" w14:textId="77777777" w:rsidR="008E7846" w:rsidRDefault="008E7846" w:rsidP="008E7846">
      <w:pPr>
        <w:pStyle w:val="Heading3"/>
      </w:pPr>
      <w:bookmarkStart w:id="98" w:name="_Toc196046481"/>
      <w:bookmarkStart w:id="99" w:name="_Toc247691520"/>
      <w:bookmarkStart w:id="100" w:name="_Toc314842503"/>
      <w:bookmarkStart w:id="101" w:name="_Toc519764290"/>
      <w:r w:rsidRPr="00254787">
        <w:t>Pharmacodynamics</w:t>
      </w:r>
      <w:bookmarkEnd w:id="58"/>
      <w:bookmarkEnd w:id="98"/>
      <w:bookmarkEnd w:id="99"/>
      <w:bookmarkEnd w:id="100"/>
      <w:bookmarkEnd w:id="101"/>
    </w:p>
    <w:p w14:paraId="66DDF77F" w14:textId="77777777" w:rsidR="00605AD4" w:rsidRDefault="00605AD4" w:rsidP="00605AD4">
      <w:pPr>
        <w:pStyle w:val="Heading4"/>
      </w:pPr>
      <w:r>
        <w:t>Studies providing pharmacodynamic data</w:t>
      </w:r>
    </w:p>
    <w:p w14:paraId="6C6CBCE5" w14:textId="77777777" w:rsidR="00386FD5" w:rsidRPr="003C3171" w:rsidRDefault="00386FD5" w:rsidP="00386FD5">
      <w:pPr>
        <w:rPr>
          <w:lang w:eastAsia="ja-JP"/>
        </w:rPr>
      </w:pPr>
      <w:r>
        <w:rPr>
          <w:lang w:eastAsia="ja-JP"/>
        </w:rPr>
        <w:t>No pharmacodynamics studies were included in the submission.</w:t>
      </w:r>
    </w:p>
    <w:p w14:paraId="22977D67" w14:textId="77777777" w:rsidR="008E7846" w:rsidRDefault="00605AD4" w:rsidP="00605AD4">
      <w:pPr>
        <w:pStyle w:val="Heading3"/>
      </w:pPr>
      <w:bookmarkStart w:id="102" w:name="_Toc519764291"/>
      <w:r>
        <w:t>Dosage selection for the pivotal studies</w:t>
      </w:r>
      <w:bookmarkEnd w:id="102"/>
    </w:p>
    <w:p w14:paraId="28B29496" w14:textId="77777777" w:rsidR="00386FD5" w:rsidRPr="00386FD5" w:rsidRDefault="00386FD5" w:rsidP="00386FD5">
      <w:pPr>
        <w:rPr>
          <w:lang w:eastAsia="ja-JP"/>
        </w:rPr>
      </w:pPr>
      <w:r>
        <w:rPr>
          <w:lang w:eastAsia="ja-JP"/>
        </w:rPr>
        <w:t>No dose selection studies were included in the submission.</w:t>
      </w:r>
    </w:p>
    <w:p w14:paraId="65FB12DC" w14:textId="77777777" w:rsidR="008E7846" w:rsidRPr="00254787" w:rsidRDefault="008E7846" w:rsidP="008E7846">
      <w:pPr>
        <w:pStyle w:val="Heading3"/>
      </w:pPr>
      <w:bookmarkStart w:id="103" w:name="_Toc163441372"/>
      <w:bookmarkStart w:id="104" w:name="_Toc196046485"/>
      <w:bookmarkStart w:id="105" w:name="_Toc247691521"/>
      <w:bookmarkStart w:id="106" w:name="_Toc314842504"/>
      <w:bookmarkStart w:id="107" w:name="_Toc519764292"/>
      <w:r w:rsidRPr="00254787">
        <w:lastRenderedPageBreak/>
        <w:t>Efficacy</w:t>
      </w:r>
      <w:bookmarkEnd w:id="103"/>
      <w:bookmarkEnd w:id="104"/>
      <w:bookmarkEnd w:id="105"/>
      <w:bookmarkEnd w:id="106"/>
      <w:bookmarkEnd w:id="107"/>
    </w:p>
    <w:p w14:paraId="6C0F6FFD" w14:textId="77777777" w:rsidR="00605AD4" w:rsidRDefault="00605AD4" w:rsidP="00605AD4">
      <w:pPr>
        <w:pStyle w:val="Heading4"/>
      </w:pPr>
      <w:bookmarkStart w:id="108" w:name="_Toc184439992"/>
      <w:bookmarkStart w:id="109" w:name="_Toc184440279"/>
      <w:bookmarkStart w:id="110" w:name="_Toc184444657"/>
      <w:bookmarkStart w:id="111" w:name="_Toc196046487"/>
      <w:r>
        <w:t>Studies providing efficacy data</w:t>
      </w:r>
    </w:p>
    <w:p w14:paraId="27483698" w14:textId="77777777" w:rsidR="00386FD5" w:rsidRPr="00EE37DE" w:rsidRDefault="00386FD5" w:rsidP="00386FD5">
      <w:r w:rsidRPr="00EE37DE">
        <w:t>The following studies included in the submission had a primary efficacy outcome:</w:t>
      </w:r>
    </w:p>
    <w:p w14:paraId="18633E76" w14:textId="324015B5" w:rsidR="00386FD5" w:rsidRPr="00C16D83" w:rsidRDefault="00D76305" w:rsidP="00C16D83">
      <w:pPr>
        <w:pStyle w:val="ListBullet"/>
      </w:pPr>
      <w:r>
        <w:t xml:space="preserve">Study </w:t>
      </w:r>
      <w:r w:rsidR="00386FD5" w:rsidRPr="00C16D83">
        <w:t xml:space="preserve">AC-052-391 </w:t>
      </w:r>
      <w:r>
        <w:t>(</w:t>
      </w:r>
      <w:r w:rsidR="00386FD5" w:rsidRPr="00C16D83">
        <w:t>FUTURE-4</w:t>
      </w:r>
      <w:r>
        <w:t>)</w:t>
      </w:r>
    </w:p>
    <w:p w14:paraId="325FF528" w14:textId="77777777" w:rsidR="00386FD5" w:rsidRPr="00EE37DE" w:rsidRDefault="00386FD5" w:rsidP="00386FD5">
      <w:r w:rsidRPr="00EE37DE">
        <w:t>The following studies included in the submission had exploratory efficacy outcomes:</w:t>
      </w:r>
    </w:p>
    <w:p w14:paraId="264CD387" w14:textId="6CBC4222" w:rsidR="00386FD5" w:rsidRPr="00C16D83" w:rsidRDefault="00D76305" w:rsidP="00C16D83">
      <w:pPr>
        <w:pStyle w:val="ListBullet"/>
      </w:pPr>
      <w:r>
        <w:t>Study</w:t>
      </w:r>
      <w:r w:rsidRPr="00C16D83">
        <w:t xml:space="preserve"> </w:t>
      </w:r>
      <w:r w:rsidR="00386FD5" w:rsidRPr="00C16D83">
        <w:t xml:space="preserve">AC-052-365 </w:t>
      </w:r>
      <w:r>
        <w:t>(</w:t>
      </w:r>
      <w:r w:rsidR="00386FD5" w:rsidRPr="00C16D83">
        <w:t>FUTURE-1</w:t>
      </w:r>
      <w:r>
        <w:t>)</w:t>
      </w:r>
    </w:p>
    <w:p w14:paraId="6C5BAD45" w14:textId="3EC9E844" w:rsidR="00386FD5" w:rsidRPr="00C16D83" w:rsidRDefault="00D76305" w:rsidP="00C16D83">
      <w:pPr>
        <w:pStyle w:val="ListBullet"/>
      </w:pPr>
      <w:r>
        <w:t>Study</w:t>
      </w:r>
      <w:r w:rsidRPr="00C16D83">
        <w:t xml:space="preserve"> </w:t>
      </w:r>
      <w:r w:rsidR="00386FD5" w:rsidRPr="00C16D83">
        <w:t xml:space="preserve">AC-052-367 </w:t>
      </w:r>
      <w:r>
        <w:t>(</w:t>
      </w:r>
      <w:r w:rsidR="00386FD5" w:rsidRPr="00C16D83">
        <w:t>FUTURE-2</w:t>
      </w:r>
      <w:r>
        <w:t>)</w:t>
      </w:r>
    </w:p>
    <w:p w14:paraId="141317FF" w14:textId="696875F9" w:rsidR="00386FD5" w:rsidRPr="00C16D83" w:rsidRDefault="00D76305" w:rsidP="00C16D83">
      <w:pPr>
        <w:pStyle w:val="ListBullet"/>
      </w:pPr>
      <w:r>
        <w:t>Study</w:t>
      </w:r>
      <w:r w:rsidRPr="00C16D83">
        <w:t xml:space="preserve"> </w:t>
      </w:r>
      <w:r w:rsidR="00386FD5" w:rsidRPr="00C16D83">
        <w:t xml:space="preserve">AC-052-373 </w:t>
      </w:r>
      <w:r>
        <w:t>(</w:t>
      </w:r>
      <w:r w:rsidR="00386FD5" w:rsidRPr="00C16D83">
        <w:t>FUTURE-3</w:t>
      </w:r>
      <w:r>
        <w:t>)</w:t>
      </w:r>
    </w:p>
    <w:p w14:paraId="3B8C42B7" w14:textId="443064BB" w:rsidR="00386FD5" w:rsidRDefault="00D76305" w:rsidP="00386FD5">
      <w:pPr>
        <w:pStyle w:val="ListBullet"/>
      </w:pPr>
      <w:r>
        <w:t>Study</w:t>
      </w:r>
      <w:r w:rsidRPr="00C16D83">
        <w:t xml:space="preserve"> </w:t>
      </w:r>
      <w:r w:rsidR="00386FD5" w:rsidRPr="00C16D83">
        <w:t xml:space="preserve">AC-052-374 </w:t>
      </w:r>
      <w:r>
        <w:t>(</w:t>
      </w:r>
      <w:r w:rsidR="00386FD5" w:rsidRPr="00C16D83">
        <w:t>FUTURE-3 Extension</w:t>
      </w:r>
      <w:r>
        <w:t>)</w:t>
      </w:r>
    </w:p>
    <w:p w14:paraId="0EE83F59" w14:textId="60E45B41" w:rsidR="00C16D83" w:rsidRPr="00C16D83" w:rsidRDefault="00C16D83" w:rsidP="00C16D83">
      <w:r>
        <w:t>For the full evaluation report on efficacy please see Attachment 1</w:t>
      </w:r>
      <w:r w:rsidR="00D76305">
        <w:t xml:space="preserve">: </w:t>
      </w:r>
      <w:r>
        <w:t>Extract f</w:t>
      </w:r>
      <w:r w:rsidR="000A77C9">
        <w:t>ro</w:t>
      </w:r>
      <w:r>
        <w:t>m the Clinical Evaluation Report.</w:t>
      </w:r>
    </w:p>
    <w:p w14:paraId="7ED2FD23" w14:textId="77777777" w:rsidR="008E7846" w:rsidRDefault="00605AD4" w:rsidP="00605AD4">
      <w:pPr>
        <w:pStyle w:val="Heading4"/>
      </w:pPr>
      <w:r>
        <w:t>Evaluator’s conclusions on efficacy</w:t>
      </w:r>
    </w:p>
    <w:p w14:paraId="7F4636AD" w14:textId="65C16F2B" w:rsidR="00C16D83" w:rsidRDefault="00D10069" w:rsidP="00C16D83">
      <w:pPr>
        <w:rPr>
          <w:lang w:eastAsia="ja-JP"/>
        </w:rPr>
      </w:pPr>
      <w:r>
        <w:t xml:space="preserve">The </w:t>
      </w:r>
      <w:r w:rsidR="00C16D83">
        <w:t xml:space="preserve">FUTURE-4 </w:t>
      </w:r>
      <w:r w:rsidR="008D6064">
        <w:t>Stud</w:t>
      </w:r>
      <w:r w:rsidR="00D76305">
        <w:t xml:space="preserve">y </w:t>
      </w:r>
      <w:r w:rsidR="00C16D83">
        <w:t>did not identify a benefit in adding bosentan to iNO therapy in neonates with PPHN who had not responded adequately to iNO.</w:t>
      </w:r>
      <w:r w:rsidR="00C16D83" w:rsidRPr="00EE371B">
        <w:t xml:space="preserve"> </w:t>
      </w:r>
      <w:r w:rsidR="00C16D83">
        <w:rPr>
          <w:lang w:eastAsia="ja-JP"/>
        </w:rPr>
        <w:t>The sponsor has not requested an extension of indication for PPHN or changes to the dosage and administration instructions to include this age group.</w:t>
      </w:r>
    </w:p>
    <w:p w14:paraId="43AC7A91" w14:textId="77777777" w:rsidR="00C16D83" w:rsidRDefault="00C16D83" w:rsidP="00C16D83">
      <w:r>
        <w:t>The analyses of efficacy included in this submission were otherwise exploratory. The sponsor states that overall the outcomes of the efficacy variables from the paediatric PAH studies were consistent with the known effect of bosentan in adults as:</w:t>
      </w:r>
    </w:p>
    <w:p w14:paraId="4AE6DFEC" w14:textId="6E7CA74B" w:rsidR="00C16D83" w:rsidRPr="003E4B7D" w:rsidRDefault="00C16D83" w:rsidP="00C16D83">
      <w:pPr>
        <w:pStyle w:val="ListBullet"/>
      </w:pPr>
      <w:r w:rsidRPr="00C16D83">
        <w:t xml:space="preserve">The majority of patients (&gt; 90%) showed improved or stable clinical </w:t>
      </w:r>
      <w:r w:rsidRPr="003E4B7D">
        <w:t>condition (WHO</w:t>
      </w:r>
      <w:r w:rsidR="00D76305">
        <w:t> </w:t>
      </w:r>
      <w:r w:rsidR="003E4B7D" w:rsidRPr="003E4B7D">
        <w:t>functional class (</w:t>
      </w:r>
      <w:r w:rsidRPr="003E4B7D">
        <w:t>FC</w:t>
      </w:r>
      <w:r w:rsidR="003E4B7D" w:rsidRPr="003E4B7D">
        <w:t>)</w:t>
      </w:r>
      <w:r w:rsidRPr="003E4B7D">
        <w:t xml:space="preserve"> and </w:t>
      </w:r>
      <w:r w:rsidR="003E4B7D" w:rsidRPr="003E4B7D">
        <w:t>global clinical impression scale (</w:t>
      </w:r>
      <w:r w:rsidRPr="003E4B7D">
        <w:t>GCIS</w:t>
      </w:r>
      <w:r w:rsidR="003E4B7D" w:rsidRPr="003E4B7D">
        <w:t>)</w:t>
      </w:r>
      <w:r w:rsidRPr="003E4B7D">
        <w:t>) over</w:t>
      </w:r>
      <w:r w:rsidRPr="00C16D83">
        <w:t xml:space="preserve"> a 6 month </w:t>
      </w:r>
      <w:r w:rsidRPr="003E4B7D">
        <w:t>treatment period. Less than 10% showed deterioration during the same period.</w:t>
      </w:r>
    </w:p>
    <w:p w14:paraId="16293302" w14:textId="3F2AD4AB" w:rsidR="00C16D83" w:rsidRPr="00C16D83" w:rsidRDefault="003E4B7D" w:rsidP="00C16D83">
      <w:pPr>
        <w:pStyle w:val="ListBullet"/>
      </w:pPr>
      <w:r w:rsidRPr="003E4B7D">
        <w:rPr>
          <w:lang w:eastAsia="ja-JP"/>
        </w:rPr>
        <w:t>Kaplan-Meier (</w:t>
      </w:r>
      <w:r w:rsidRPr="003E4B7D">
        <w:t xml:space="preserve">KM) event </w:t>
      </w:r>
      <w:r w:rsidR="00C16D83" w:rsidRPr="003E4B7D">
        <w:t>free estimates of worsening of PAH (defined as time to first occurrence of death, lung transplantation or hospitali</w:t>
      </w:r>
      <w:r w:rsidR="00D76305">
        <w:t>s</w:t>
      </w:r>
      <w:r w:rsidR="00C16D83" w:rsidRPr="003E4B7D">
        <w:t>ation fo</w:t>
      </w:r>
      <w:r w:rsidRPr="003E4B7D">
        <w:t xml:space="preserve">r PAH worsening) over the short </w:t>
      </w:r>
      <w:r w:rsidR="00C16D83" w:rsidRPr="003E4B7D">
        <w:t>term period of 6 months was 88.1% (FUTURE-1 and 2) versus 96.8% (FUTURE-3). Over the long term treatment period in the FUTURE-1 and 2 Study, the</w:t>
      </w:r>
      <w:r w:rsidRPr="003E4B7D">
        <w:t xml:space="preserve"> KM event </w:t>
      </w:r>
      <w:r w:rsidR="00C16D83" w:rsidRPr="003E4B7D">
        <w:t>free estimate</w:t>
      </w:r>
      <w:r w:rsidR="00C16D83" w:rsidRPr="00C16D83">
        <w:t xml:space="preserve"> of worsening of PAH was 78.9% at 2 years and 73.6% at 4 years.</w:t>
      </w:r>
    </w:p>
    <w:p w14:paraId="45969823" w14:textId="6EAC6B9C" w:rsidR="00C16D83" w:rsidRDefault="00C16D83" w:rsidP="00C16D83">
      <w:r>
        <w:rPr>
          <w:lang w:eastAsia="ja-JP"/>
        </w:rPr>
        <w:t>The sponsor states that f</w:t>
      </w:r>
      <w:r w:rsidRPr="00E32800">
        <w:rPr>
          <w:lang w:eastAsia="ja-JP"/>
        </w:rPr>
        <w:t>avourable efficacy results were found at the bosentan exposures achieved with both the</w:t>
      </w:r>
      <w:r>
        <w:rPr>
          <w:lang w:eastAsia="ja-JP"/>
        </w:rPr>
        <w:t xml:space="preserve"> adult tablet formulation and </w:t>
      </w:r>
      <w:r w:rsidRPr="00E32800">
        <w:rPr>
          <w:lang w:eastAsia="ja-JP"/>
        </w:rPr>
        <w:t xml:space="preserve">with the paediatric tablet formulation used in </w:t>
      </w:r>
      <w:r w:rsidR="008D6064">
        <w:rPr>
          <w:lang w:eastAsia="ja-JP"/>
        </w:rPr>
        <w:t>Stud</w:t>
      </w:r>
      <w:r w:rsidRPr="00E32800">
        <w:rPr>
          <w:lang w:eastAsia="ja-JP"/>
        </w:rPr>
        <w:t>ies FUTURE-1 and</w:t>
      </w:r>
      <w:r>
        <w:rPr>
          <w:lang w:eastAsia="ja-JP"/>
        </w:rPr>
        <w:t xml:space="preserve"> </w:t>
      </w:r>
      <w:r w:rsidRPr="00E32800">
        <w:rPr>
          <w:lang w:eastAsia="ja-JP"/>
        </w:rPr>
        <w:t>FUTURE-2.</w:t>
      </w:r>
      <w:r>
        <w:rPr>
          <w:lang w:eastAsia="ja-JP"/>
        </w:rPr>
        <w:t xml:space="preserve"> </w:t>
      </w:r>
      <w:r>
        <w:t xml:space="preserve">In the FUTURE-3 </w:t>
      </w:r>
      <w:r w:rsidR="008D6064">
        <w:t>Stud</w:t>
      </w:r>
      <w:r>
        <w:t>ies those on BD dosing tended to have worse outcomes than those on TDS dosing. These results may</w:t>
      </w:r>
      <w:r w:rsidRPr="008E025F">
        <w:t xml:space="preserve"> due to the im</w:t>
      </w:r>
      <w:r w:rsidR="003E4B7D">
        <w:t>balance in disease severity at B</w:t>
      </w:r>
      <w:r w:rsidRPr="008E025F">
        <w:t xml:space="preserve">aseline. </w:t>
      </w:r>
      <w:r>
        <w:rPr>
          <w:lang w:eastAsia="ja-JP"/>
        </w:rPr>
        <w:t>The sponsor states that t</w:t>
      </w:r>
      <w:r>
        <w:t>here is</w:t>
      </w:r>
      <w:r w:rsidRPr="00D630D3">
        <w:t xml:space="preserve"> no additional clinical benefit in increasing the frequency of bosentan dosing.</w:t>
      </w:r>
      <w:r>
        <w:t xml:space="preserve"> The rationale for not increasing the dose frequency to TDS dosing with respect to these efficacy outcomes should be clarified.</w:t>
      </w:r>
    </w:p>
    <w:p w14:paraId="3D574A56" w14:textId="77777777" w:rsidR="00C16D83" w:rsidRPr="00C16D83" w:rsidRDefault="00C16D83" w:rsidP="00C16D83">
      <w:pPr>
        <w:rPr>
          <w:lang w:eastAsia="ja-JP"/>
        </w:rPr>
      </w:pPr>
      <w:r w:rsidRPr="00A10CC6">
        <w:rPr>
          <w:lang w:eastAsia="ja-JP"/>
        </w:rPr>
        <w:t xml:space="preserve">The </w:t>
      </w:r>
      <w:r>
        <w:rPr>
          <w:lang w:eastAsia="ja-JP"/>
        </w:rPr>
        <w:t>sponsor</w:t>
      </w:r>
      <w:r w:rsidRPr="00A10CC6">
        <w:rPr>
          <w:lang w:eastAsia="ja-JP"/>
        </w:rPr>
        <w:t xml:space="preserve"> has proposed changing the dosage and administration instructions to include patients one year of age and over. The current dosage instructions provide advice for patients aged three years and over. The FUTURE series of studies included patients </w:t>
      </w:r>
      <w:r w:rsidR="003E4B7D" w:rsidRPr="00A10CC6">
        <w:rPr>
          <w:lang w:eastAsia="ja-JP"/>
        </w:rPr>
        <w:t>less than</w:t>
      </w:r>
      <w:r w:rsidRPr="00A10CC6">
        <w:rPr>
          <w:lang w:eastAsia="ja-JP"/>
        </w:rPr>
        <w:t xml:space="preserve"> </w:t>
      </w:r>
      <w:r>
        <w:rPr>
          <w:lang w:eastAsia="ja-JP"/>
        </w:rPr>
        <w:t>three</w:t>
      </w:r>
      <w:r w:rsidRPr="00A10CC6">
        <w:rPr>
          <w:lang w:eastAsia="ja-JP"/>
        </w:rPr>
        <w:t xml:space="preserve"> years of age but the total number of patients in this age group remains small. </w:t>
      </w:r>
      <w:r>
        <w:rPr>
          <w:lang w:eastAsia="ja-JP"/>
        </w:rPr>
        <w:t>It is unclear whether the number of patients aged between one and three years of age is sufficient to recommend a change to the dosage instructions.</w:t>
      </w:r>
    </w:p>
    <w:p w14:paraId="58CB93FE" w14:textId="77777777" w:rsidR="008E7846" w:rsidRPr="002E238E" w:rsidRDefault="008E7846" w:rsidP="008E7846">
      <w:pPr>
        <w:pStyle w:val="Heading3"/>
      </w:pPr>
      <w:bookmarkStart w:id="112" w:name="_Toc163441378"/>
      <w:bookmarkStart w:id="113" w:name="_Toc196046495"/>
      <w:bookmarkStart w:id="114" w:name="_Toc247691522"/>
      <w:bookmarkStart w:id="115" w:name="_Toc314842505"/>
      <w:bookmarkStart w:id="116" w:name="_Toc519764293"/>
      <w:bookmarkEnd w:id="108"/>
      <w:bookmarkEnd w:id="109"/>
      <w:bookmarkEnd w:id="110"/>
      <w:bookmarkEnd w:id="111"/>
      <w:r w:rsidRPr="002E238E">
        <w:lastRenderedPageBreak/>
        <w:t>Safety</w:t>
      </w:r>
      <w:bookmarkEnd w:id="112"/>
      <w:bookmarkEnd w:id="113"/>
      <w:bookmarkEnd w:id="114"/>
      <w:bookmarkEnd w:id="115"/>
      <w:bookmarkEnd w:id="116"/>
    </w:p>
    <w:p w14:paraId="14F94D72" w14:textId="77777777" w:rsidR="00605AD4" w:rsidRDefault="00605AD4" w:rsidP="00605AD4">
      <w:pPr>
        <w:pStyle w:val="Heading4"/>
      </w:pPr>
      <w:bookmarkStart w:id="117" w:name="_Toc247691524"/>
      <w:bookmarkStart w:id="118" w:name="_Toc314842508"/>
      <w:bookmarkStart w:id="119" w:name="_Toc196046504"/>
      <w:bookmarkStart w:id="120" w:name="_Toc163441390"/>
      <w:r w:rsidRPr="00605AD4">
        <w:t>Studies providing safety data</w:t>
      </w:r>
    </w:p>
    <w:p w14:paraId="3B1CBD8B" w14:textId="77777777" w:rsidR="00C16D83" w:rsidRPr="00C16D83" w:rsidRDefault="00C16D83" w:rsidP="00C16D83">
      <w:bookmarkStart w:id="121" w:name="_Toc421005275"/>
      <w:bookmarkStart w:id="122" w:name="_Toc432079157"/>
      <w:bookmarkStart w:id="123" w:name="_Toc432080730"/>
      <w:r w:rsidRPr="00C16D83">
        <w:t>Pivotal studies that assessed safety as the sole primary outcome</w:t>
      </w:r>
      <w:bookmarkEnd w:id="121"/>
      <w:bookmarkEnd w:id="122"/>
      <w:bookmarkEnd w:id="123"/>
      <w:r>
        <w:t>:</w:t>
      </w:r>
    </w:p>
    <w:p w14:paraId="58A06100" w14:textId="119CD235" w:rsidR="00C16D83" w:rsidRPr="00C16D83" w:rsidRDefault="00D76305" w:rsidP="00C16D83">
      <w:pPr>
        <w:pStyle w:val="ListBullet"/>
      </w:pPr>
      <w:bookmarkStart w:id="124" w:name="_Ref268776745"/>
      <w:bookmarkStart w:id="125" w:name="_Toc421005276"/>
      <w:bookmarkStart w:id="126" w:name="_Toc432079158"/>
      <w:bookmarkStart w:id="127" w:name="_Toc432080731"/>
      <w:r>
        <w:t>Study</w:t>
      </w:r>
      <w:r w:rsidRPr="00C16D83">
        <w:t xml:space="preserve"> </w:t>
      </w:r>
      <w:r w:rsidR="00C16D83" w:rsidRPr="00C16D83">
        <w:t xml:space="preserve">AC-052-367 </w:t>
      </w:r>
      <w:r>
        <w:t>(</w:t>
      </w:r>
      <w:r w:rsidR="00C16D83" w:rsidRPr="00C16D83">
        <w:t>FUTURE-2</w:t>
      </w:r>
      <w:r>
        <w:t>)</w:t>
      </w:r>
    </w:p>
    <w:p w14:paraId="1BB61F3C" w14:textId="4E392A6E" w:rsidR="00C16D83" w:rsidRPr="00C16D83" w:rsidRDefault="00D76305" w:rsidP="00C16D83">
      <w:pPr>
        <w:pStyle w:val="ListBullet"/>
      </w:pPr>
      <w:r>
        <w:t>Study</w:t>
      </w:r>
      <w:r w:rsidRPr="00C16D83">
        <w:t xml:space="preserve"> </w:t>
      </w:r>
      <w:r w:rsidR="00C16D83" w:rsidRPr="00C16D83">
        <w:t xml:space="preserve">AC-052-374 </w:t>
      </w:r>
      <w:r>
        <w:t>(</w:t>
      </w:r>
      <w:r w:rsidR="00C16D83" w:rsidRPr="00C16D83">
        <w:t>FUTURE-3 Extension</w:t>
      </w:r>
      <w:r>
        <w:t>)</w:t>
      </w:r>
    </w:p>
    <w:p w14:paraId="34D8F94B" w14:textId="43023468" w:rsidR="00C16D83" w:rsidRPr="00C16D83" w:rsidRDefault="00D76305" w:rsidP="00C16D83">
      <w:pPr>
        <w:pStyle w:val="ListBullet"/>
      </w:pPr>
      <w:r>
        <w:t>Study</w:t>
      </w:r>
      <w:r w:rsidRPr="00C16D83">
        <w:t xml:space="preserve"> </w:t>
      </w:r>
      <w:r w:rsidR="00C16D83" w:rsidRPr="00C16D83">
        <w:t xml:space="preserve">AC-052-392 </w:t>
      </w:r>
      <w:r>
        <w:t>(</w:t>
      </w:r>
      <w:r w:rsidR="00C16D83" w:rsidRPr="00C16D83">
        <w:t>FUTURE-4 Extension</w:t>
      </w:r>
      <w:r>
        <w:t>)</w:t>
      </w:r>
    </w:p>
    <w:p w14:paraId="02E08A71" w14:textId="77777777" w:rsidR="00C16D83" w:rsidRPr="00C16D83" w:rsidRDefault="00C16D83" w:rsidP="00C16D83">
      <w:r w:rsidRPr="00C16D83">
        <w:t>Pivotal and/or main efficacy studies</w:t>
      </w:r>
      <w:bookmarkEnd w:id="124"/>
      <w:bookmarkEnd w:id="125"/>
      <w:bookmarkEnd w:id="126"/>
      <w:bookmarkEnd w:id="127"/>
      <w:r>
        <w:t>:</w:t>
      </w:r>
    </w:p>
    <w:p w14:paraId="7B2BBC82" w14:textId="1054A2E8" w:rsidR="00C16D83" w:rsidRPr="00C16D83" w:rsidRDefault="00D76305" w:rsidP="00C16D83">
      <w:pPr>
        <w:pStyle w:val="ListBullet"/>
      </w:pPr>
      <w:bookmarkStart w:id="128" w:name="_Toc421005277"/>
      <w:bookmarkStart w:id="129" w:name="_Toc432079159"/>
      <w:bookmarkStart w:id="130" w:name="_Toc432080732"/>
      <w:r>
        <w:t>Study</w:t>
      </w:r>
      <w:r w:rsidRPr="00C16D83">
        <w:t xml:space="preserve"> </w:t>
      </w:r>
      <w:r w:rsidR="00C16D83" w:rsidRPr="00C16D83">
        <w:t>AC-052-391 FUTURE-4</w:t>
      </w:r>
    </w:p>
    <w:p w14:paraId="57EBAE8E" w14:textId="77777777" w:rsidR="00C16D83" w:rsidRPr="00C16D83" w:rsidRDefault="00C16D83" w:rsidP="00C16D83">
      <w:r w:rsidRPr="00C16D83">
        <w:t>Other studies</w:t>
      </w:r>
      <w:bookmarkEnd w:id="128"/>
      <w:bookmarkEnd w:id="129"/>
      <w:bookmarkEnd w:id="130"/>
      <w:r>
        <w:t>:</w:t>
      </w:r>
    </w:p>
    <w:p w14:paraId="07945A93" w14:textId="3D5E7594" w:rsidR="00C16D83" w:rsidRPr="00C16D83" w:rsidRDefault="00D76305" w:rsidP="00C16D83">
      <w:pPr>
        <w:pStyle w:val="ListBullet"/>
      </w:pPr>
      <w:r>
        <w:t>Study</w:t>
      </w:r>
      <w:r w:rsidRPr="00C16D83">
        <w:t xml:space="preserve"> </w:t>
      </w:r>
      <w:r w:rsidR="00C16D83" w:rsidRPr="00C16D83">
        <w:t>AC-052-116</w:t>
      </w:r>
    </w:p>
    <w:p w14:paraId="61637CD6" w14:textId="4A5CA359" w:rsidR="00C16D83" w:rsidRPr="00C16D83" w:rsidRDefault="00D76305" w:rsidP="00C16D83">
      <w:pPr>
        <w:pStyle w:val="ListBullet"/>
      </w:pPr>
      <w:r>
        <w:t>Study</w:t>
      </w:r>
      <w:r w:rsidRPr="00C16D83">
        <w:t xml:space="preserve"> </w:t>
      </w:r>
      <w:r w:rsidR="00C16D83" w:rsidRPr="00C16D83">
        <w:t xml:space="preserve">AC-052-365 </w:t>
      </w:r>
      <w:r>
        <w:t>(</w:t>
      </w:r>
      <w:r w:rsidR="00C16D83" w:rsidRPr="00C16D83">
        <w:t>FUTURE-1</w:t>
      </w:r>
      <w:r>
        <w:t>)</w:t>
      </w:r>
    </w:p>
    <w:p w14:paraId="40B909DD" w14:textId="2A68F3AA" w:rsidR="00C16D83" w:rsidRPr="00C16D83" w:rsidRDefault="00D76305" w:rsidP="00C16D83">
      <w:pPr>
        <w:pStyle w:val="ListBullet"/>
      </w:pPr>
      <w:r>
        <w:t>Study</w:t>
      </w:r>
      <w:r w:rsidRPr="00C16D83">
        <w:t xml:space="preserve"> </w:t>
      </w:r>
      <w:r w:rsidR="00C16D83" w:rsidRPr="00C16D83">
        <w:t xml:space="preserve">AC-052-373 </w:t>
      </w:r>
      <w:r>
        <w:t>(</w:t>
      </w:r>
      <w:r w:rsidR="00C16D83" w:rsidRPr="00C16D83">
        <w:t>FUTURE-3</w:t>
      </w:r>
      <w:r>
        <w:t>)</w:t>
      </w:r>
      <w:r w:rsidR="000A77C9">
        <w:t>.</w:t>
      </w:r>
    </w:p>
    <w:p w14:paraId="15BC4140" w14:textId="77777777" w:rsidR="00605AD4" w:rsidRDefault="00605AD4" w:rsidP="00605AD4">
      <w:pPr>
        <w:pStyle w:val="Heading4"/>
      </w:pPr>
      <w:r w:rsidRPr="00605AD4">
        <w:t>Patient exposure</w:t>
      </w:r>
    </w:p>
    <w:p w14:paraId="721FDF2E" w14:textId="5E193EC4" w:rsidR="00C16D83" w:rsidRPr="002E7063" w:rsidRDefault="00C16D83" w:rsidP="00C16D83">
      <w:pPr>
        <w:rPr>
          <w:lang w:eastAsia="ja-JP"/>
        </w:rPr>
      </w:pPr>
      <w:r>
        <w:rPr>
          <w:lang w:eastAsia="ja-JP"/>
        </w:rPr>
        <w:t xml:space="preserve">The following summaries of patient exposure were provided. Patient exposure in the BREATHE-3, FUTURE-1 and FUTURE-2 </w:t>
      </w:r>
      <w:r w:rsidR="008D6064">
        <w:rPr>
          <w:lang w:eastAsia="ja-JP"/>
        </w:rPr>
        <w:t>Stud</w:t>
      </w:r>
      <w:r>
        <w:rPr>
          <w:lang w:eastAsia="ja-JP"/>
        </w:rPr>
        <w:t xml:space="preserve">ies are </w:t>
      </w:r>
      <w:r w:rsidRPr="00FE6C13">
        <w:rPr>
          <w:lang w:eastAsia="ja-JP"/>
        </w:rPr>
        <w:t xml:space="preserve">summarised in </w:t>
      </w:r>
      <w:r w:rsidR="00FE6C13" w:rsidRPr="00FE6C13">
        <w:rPr>
          <w:lang w:eastAsia="ja-JP"/>
        </w:rPr>
        <w:t>Table 17</w:t>
      </w:r>
      <w:r w:rsidRPr="002E7063">
        <w:rPr>
          <w:lang w:eastAsia="ja-JP"/>
        </w:rPr>
        <w:t>.</w:t>
      </w:r>
    </w:p>
    <w:p w14:paraId="4BC1EAFC" w14:textId="05B7AC0F" w:rsidR="00C16D83" w:rsidRDefault="00C16D83" w:rsidP="00C16D83">
      <w:pPr>
        <w:rPr>
          <w:lang w:eastAsia="ja-JP"/>
        </w:rPr>
      </w:pPr>
      <w:r>
        <w:rPr>
          <w:lang w:eastAsia="ja-JP"/>
        </w:rPr>
        <w:t xml:space="preserve">In the FUTURE-3 </w:t>
      </w:r>
      <w:r w:rsidR="008D6064">
        <w:rPr>
          <w:lang w:eastAsia="ja-JP"/>
        </w:rPr>
        <w:t>Stud</w:t>
      </w:r>
      <w:r w:rsidR="00D76305">
        <w:rPr>
          <w:lang w:eastAsia="ja-JP"/>
        </w:rPr>
        <w:t xml:space="preserve">y </w:t>
      </w:r>
      <w:r>
        <w:rPr>
          <w:lang w:eastAsia="ja-JP"/>
        </w:rPr>
        <w:t>t</w:t>
      </w:r>
      <w:r w:rsidRPr="00BD4636">
        <w:rPr>
          <w:lang w:eastAsia="ja-JP"/>
        </w:rPr>
        <w:t>he mean (</w:t>
      </w:r>
      <w:r>
        <w:t>±</w:t>
      </w:r>
      <w:r w:rsidRPr="00BD4636">
        <w:rPr>
          <w:lang w:eastAsia="ja-JP"/>
        </w:rPr>
        <w:t xml:space="preserve"> SD) exposure duration to bosentan was si</w:t>
      </w:r>
      <w:r>
        <w:rPr>
          <w:lang w:eastAsia="ja-JP"/>
        </w:rPr>
        <w:t xml:space="preserve">milar in the BD group </w:t>
      </w:r>
      <w:r w:rsidRPr="00BD4636">
        <w:rPr>
          <w:lang w:eastAsia="ja-JP"/>
        </w:rPr>
        <w:t xml:space="preserve">(23.6 </w:t>
      </w:r>
      <w:r>
        <w:t>±</w:t>
      </w:r>
      <w:r>
        <w:rPr>
          <w:lang w:eastAsia="ja-JP"/>
        </w:rPr>
        <w:t xml:space="preserve"> 3.71 weeks) and TDS</w:t>
      </w:r>
      <w:r w:rsidRPr="00BD4636">
        <w:rPr>
          <w:lang w:eastAsia="ja-JP"/>
        </w:rPr>
        <w:t xml:space="preserve"> group (23.3 </w:t>
      </w:r>
      <w:r>
        <w:t>±</w:t>
      </w:r>
      <w:r w:rsidRPr="00BD4636">
        <w:rPr>
          <w:lang w:eastAsia="ja-JP"/>
        </w:rPr>
        <w:t xml:space="preserve"> 5.02 weeks)</w:t>
      </w:r>
      <w:r>
        <w:rPr>
          <w:lang w:eastAsia="ja-JP"/>
        </w:rPr>
        <w:t>. T</w:t>
      </w:r>
      <w:r w:rsidRPr="00AD175D">
        <w:rPr>
          <w:lang w:eastAsia="ja-JP"/>
        </w:rPr>
        <w:t>he mean daily dose (</w:t>
      </w:r>
      <w:r w:rsidR="003E4B7D">
        <w:t>±</w:t>
      </w:r>
      <w:r w:rsidR="003E4B7D">
        <w:rPr>
          <w:lang w:eastAsia="ja-JP"/>
        </w:rPr>
        <w:t> </w:t>
      </w:r>
      <w:r w:rsidRPr="00AD175D">
        <w:rPr>
          <w:lang w:eastAsia="ja-JP"/>
        </w:rPr>
        <w:t xml:space="preserve">SD) was 3.6 </w:t>
      </w:r>
      <w:r>
        <w:t>±</w:t>
      </w:r>
      <w:r w:rsidRPr="00AD175D">
        <w:rPr>
          <w:lang w:eastAsia="ja-JP"/>
        </w:rPr>
        <w:t xml:space="preserve"> 0.42 mg/kg</w:t>
      </w:r>
      <w:r>
        <w:rPr>
          <w:lang w:eastAsia="ja-JP"/>
        </w:rPr>
        <w:t xml:space="preserve">/day in the BD group and </w:t>
      </w:r>
      <w:r w:rsidRPr="00AD175D">
        <w:rPr>
          <w:lang w:eastAsia="ja-JP"/>
        </w:rPr>
        <w:t xml:space="preserve">6.0 </w:t>
      </w:r>
      <w:r>
        <w:t>±</w:t>
      </w:r>
      <w:r>
        <w:rPr>
          <w:lang w:eastAsia="ja-JP"/>
        </w:rPr>
        <w:t xml:space="preserve"> 3.78 mg/kg/day in the TDS</w:t>
      </w:r>
      <w:r w:rsidRPr="00AD175D">
        <w:rPr>
          <w:lang w:eastAsia="ja-JP"/>
        </w:rPr>
        <w:t xml:space="preserve"> group.</w:t>
      </w:r>
    </w:p>
    <w:p w14:paraId="6960A860" w14:textId="518C26EB" w:rsidR="00C16D83" w:rsidRDefault="00C16D83" w:rsidP="00C16D83">
      <w:r w:rsidRPr="00CF1946">
        <w:rPr>
          <w:lang w:eastAsia="ja-JP"/>
        </w:rPr>
        <w:t xml:space="preserve">In the FUTURE-3 </w:t>
      </w:r>
      <w:r w:rsidR="00D76305">
        <w:rPr>
          <w:lang w:eastAsia="ja-JP"/>
        </w:rPr>
        <w:t>E</w:t>
      </w:r>
      <w:r w:rsidRPr="00CF1946">
        <w:rPr>
          <w:lang w:eastAsia="ja-JP"/>
        </w:rPr>
        <w:t xml:space="preserve">xtension </w:t>
      </w:r>
      <w:r w:rsidR="00D76305">
        <w:rPr>
          <w:lang w:eastAsia="ja-JP"/>
        </w:rPr>
        <w:t>study</w:t>
      </w:r>
      <w:r w:rsidR="00D76305" w:rsidRPr="00CF1946">
        <w:rPr>
          <w:lang w:eastAsia="ja-JP"/>
        </w:rPr>
        <w:t xml:space="preserve"> </w:t>
      </w:r>
      <w:r w:rsidRPr="00CF1946">
        <w:rPr>
          <w:lang w:eastAsia="ja-JP"/>
        </w:rPr>
        <w:t xml:space="preserve">the majority of patients (57.6% </w:t>
      </w:r>
      <w:r>
        <w:rPr>
          <w:lang w:eastAsia="ja-JP"/>
        </w:rPr>
        <w:t>BD</w:t>
      </w:r>
      <w:r w:rsidRPr="00CF1946">
        <w:rPr>
          <w:lang w:eastAsia="ja-JP"/>
        </w:rPr>
        <w:t xml:space="preserve">, 54.8% </w:t>
      </w:r>
      <w:r>
        <w:rPr>
          <w:lang w:eastAsia="ja-JP"/>
        </w:rPr>
        <w:t>TDS</w:t>
      </w:r>
      <w:r w:rsidRPr="00CF1946">
        <w:rPr>
          <w:lang w:eastAsia="ja-JP"/>
        </w:rPr>
        <w:t xml:space="preserve">) had at least 72 weeks of exposure to bosentan. </w:t>
      </w:r>
      <w:r>
        <w:t>T</w:t>
      </w:r>
      <w:r w:rsidRPr="00CF1946">
        <w:t>he cumulative mean (</w:t>
      </w:r>
      <w:r>
        <w:t>±</w:t>
      </w:r>
      <w:r w:rsidRPr="00CF1946">
        <w:t xml:space="preserve"> SD) ex</w:t>
      </w:r>
      <w:r>
        <w:t>posure duration to bosentan was 64.1 ± 3.38 weeks in the BD</w:t>
      </w:r>
      <w:r w:rsidRPr="00CF1946">
        <w:t xml:space="preserve"> group a</w:t>
      </w:r>
      <w:r>
        <w:t>nd 60.4 ± 4.20 weeks in the TDS group.</w:t>
      </w:r>
    </w:p>
    <w:p w14:paraId="3C285B1E" w14:textId="11DEF5BB" w:rsidR="00C16D83" w:rsidRDefault="00C16D83" w:rsidP="00C16D83">
      <w:r>
        <w:t xml:space="preserve">In the FUTURE-4 </w:t>
      </w:r>
      <w:r w:rsidR="008D6064">
        <w:t>Stud</w:t>
      </w:r>
      <w:r w:rsidR="00D76305">
        <w:t xml:space="preserve">y </w:t>
      </w:r>
      <w:r>
        <w:t>t</w:t>
      </w:r>
      <w:r w:rsidR="003E4B7D">
        <w:t xml:space="preserve">he median exposure (days, minimum to </w:t>
      </w:r>
      <w:r w:rsidRPr="00CF1946">
        <w:t>max</w:t>
      </w:r>
      <w:r w:rsidR="003E4B7D">
        <w:t>imum</w:t>
      </w:r>
      <w:r w:rsidRPr="00CF1946">
        <w:t>) was sim</w:t>
      </w:r>
      <w:r>
        <w:t xml:space="preserve">ilar in the bosentan (4.5 days, 0.5 to </w:t>
      </w:r>
      <w:r w:rsidRPr="00CF1946">
        <w:t>10.0 days) and placebo groups (4.0 days, 2.5</w:t>
      </w:r>
      <w:r>
        <w:t xml:space="preserve"> to</w:t>
      </w:r>
      <w:r w:rsidRPr="00CF1946">
        <w:t>6.5 days). Approximately</w:t>
      </w:r>
      <w:r>
        <w:t xml:space="preserve"> </w:t>
      </w:r>
      <w:r w:rsidRPr="00CF1946">
        <w:t xml:space="preserve">60.0% of patients in both groups had at least 4 days of exposure to the </w:t>
      </w:r>
      <w:r>
        <w:t>study</w:t>
      </w:r>
      <w:r w:rsidRPr="00CF1946">
        <w:t xml:space="preserve"> </w:t>
      </w:r>
      <w:r w:rsidRPr="00FE6C13">
        <w:t xml:space="preserve">drug (Table </w:t>
      </w:r>
      <w:r w:rsidR="00FE6C13" w:rsidRPr="00FE6C13">
        <w:t>18</w:t>
      </w:r>
      <w:r w:rsidRPr="00FE6C13">
        <w:t>).</w:t>
      </w:r>
    </w:p>
    <w:p w14:paraId="733C6B7B" w14:textId="782BA0A6" w:rsidR="00C16D83" w:rsidRPr="00CF1946" w:rsidRDefault="00C16D83" w:rsidP="00C16D83">
      <w:r>
        <w:t xml:space="preserve">No treatment was administered as part of the FUTURE-4 Extension </w:t>
      </w:r>
      <w:r w:rsidR="00D76305">
        <w:t>study</w:t>
      </w:r>
      <w:r>
        <w:t>.</w:t>
      </w:r>
    </w:p>
    <w:p w14:paraId="6FF448DD" w14:textId="0E74DADE" w:rsidR="00C16D83" w:rsidRPr="00EE47C5" w:rsidRDefault="00C16D83" w:rsidP="00C16D83">
      <w:pPr>
        <w:pStyle w:val="Tabletitle0"/>
        <w:rPr>
          <w:lang w:eastAsia="ja-JP"/>
        </w:rPr>
      </w:pPr>
      <w:bookmarkStart w:id="131" w:name="_Ref464050202"/>
      <w:bookmarkStart w:id="132" w:name="_Toc473884099"/>
      <w:r w:rsidRPr="002E7063">
        <w:lastRenderedPageBreak/>
        <w:t xml:space="preserve">Table </w:t>
      </w:r>
      <w:bookmarkEnd w:id="131"/>
      <w:r w:rsidR="00FE6C13">
        <w:t>17</w:t>
      </w:r>
      <w:r w:rsidRPr="002E7063">
        <w:t xml:space="preserve">: Summary to support EMEA </w:t>
      </w:r>
      <w:r w:rsidR="00D76305">
        <w:t>V</w:t>
      </w:r>
      <w:r w:rsidR="00D76305" w:rsidRPr="002E7063">
        <w:t>ariation</w:t>
      </w:r>
      <w:r w:rsidR="00D76305">
        <w:t xml:space="preserve"> </w:t>
      </w:r>
      <w:r>
        <w:t>39;</w:t>
      </w:r>
      <w:r w:rsidRPr="002E7063">
        <w:t xml:space="preserve"> </w:t>
      </w:r>
      <w:r w:rsidR="00D76305">
        <w:t>s</w:t>
      </w:r>
      <w:r w:rsidR="00D76305" w:rsidRPr="002E7063">
        <w:t xml:space="preserve">ummary </w:t>
      </w:r>
      <w:r w:rsidRPr="002E7063">
        <w:t>of overall bosentan</w:t>
      </w:r>
      <w:r>
        <w:t xml:space="preserve"> exposure for paediatric studies</w:t>
      </w:r>
      <w:bookmarkEnd w:id="132"/>
    </w:p>
    <w:p w14:paraId="099C37CE" w14:textId="77777777" w:rsidR="00C16D83" w:rsidRDefault="00C16D83" w:rsidP="00C16D83">
      <w:r>
        <w:rPr>
          <w:noProof/>
          <w:lang w:eastAsia="en-AU"/>
        </w:rPr>
        <w:drawing>
          <wp:inline distT="0" distB="0" distL="0" distR="0" wp14:anchorId="0FF2232D" wp14:editId="573C1C02">
            <wp:extent cx="5400040" cy="5379271"/>
            <wp:effectExtent l="0" t="0" r="0" b="0"/>
            <wp:docPr id="12" name="Picture 12" descr="Table 17: Summary to support EMEA variation 39; Summary of overall bosentan exposure for paediatr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00040" cy="5379271"/>
                    </a:xfrm>
                    <a:prstGeom prst="rect">
                      <a:avLst/>
                    </a:prstGeom>
                  </pic:spPr>
                </pic:pic>
              </a:graphicData>
            </a:graphic>
          </wp:inline>
        </w:drawing>
      </w:r>
    </w:p>
    <w:p w14:paraId="49159481" w14:textId="135FA9A1" w:rsidR="003E4B7D" w:rsidRDefault="003E4B7D" w:rsidP="003E4B7D">
      <w:pPr>
        <w:pStyle w:val="Tabletitle0"/>
        <w:rPr>
          <w:lang w:eastAsia="ja-JP"/>
        </w:rPr>
      </w:pPr>
      <w:bookmarkStart w:id="133" w:name="_Ref464215763"/>
      <w:bookmarkStart w:id="134" w:name="_Toc473884101"/>
      <w:r w:rsidRPr="002E7063">
        <w:lastRenderedPageBreak/>
        <w:t xml:space="preserve">Table </w:t>
      </w:r>
      <w:bookmarkEnd w:id="133"/>
      <w:r w:rsidR="00FE6C13">
        <w:t>18</w:t>
      </w:r>
      <w:r w:rsidRPr="002E7063">
        <w:t xml:space="preserve">: Summary to support EMEA Variation 66; </w:t>
      </w:r>
      <w:r w:rsidR="00D76305">
        <w:t>s</w:t>
      </w:r>
      <w:r w:rsidR="00D76305" w:rsidRPr="002E7063">
        <w:t xml:space="preserve">ummary </w:t>
      </w:r>
      <w:r w:rsidRPr="002E7063">
        <w:t>of study treatment</w:t>
      </w:r>
      <w:r>
        <w:t xml:space="preserve"> exposure, FUTURE-4 PPHN safety analysis set</w:t>
      </w:r>
      <w:bookmarkEnd w:id="134"/>
    </w:p>
    <w:p w14:paraId="5BEEFB51" w14:textId="77777777" w:rsidR="003E4B7D" w:rsidRDefault="003E4B7D" w:rsidP="00C16D83">
      <w:r>
        <w:rPr>
          <w:noProof/>
          <w:lang w:eastAsia="en-AU"/>
        </w:rPr>
        <w:drawing>
          <wp:inline distT="0" distB="0" distL="0" distR="0" wp14:anchorId="380B6E71" wp14:editId="2998A63D">
            <wp:extent cx="4638675" cy="4276725"/>
            <wp:effectExtent l="0" t="0" r="9525" b="9525"/>
            <wp:docPr id="29" name="Picture 29" descr="Table 18: Summary to support EMEA Variation 66; Summary of study treatment exposure, FUTURE-4 PPHN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638675" cy="4276725"/>
                    </a:xfrm>
                    <a:prstGeom prst="rect">
                      <a:avLst/>
                    </a:prstGeom>
                  </pic:spPr>
                </pic:pic>
              </a:graphicData>
            </a:graphic>
          </wp:inline>
        </w:drawing>
      </w:r>
    </w:p>
    <w:p w14:paraId="7A2C4630" w14:textId="5D0FBE87" w:rsidR="00C16D83" w:rsidRPr="00C16D83" w:rsidRDefault="00C16D83" w:rsidP="00C16D83">
      <w:r>
        <w:t xml:space="preserve">For further details regarding exposure </w:t>
      </w:r>
      <w:r w:rsidR="00C94BA1">
        <w:t xml:space="preserve">and safety </w:t>
      </w:r>
      <w:r>
        <w:t>please see Attachment 1</w:t>
      </w:r>
      <w:r w:rsidR="00D76305">
        <w:t>:</w:t>
      </w:r>
      <w:r>
        <w:t xml:space="preserve"> Extract f</w:t>
      </w:r>
      <w:r w:rsidR="00D76305">
        <w:t>ro</w:t>
      </w:r>
      <w:r>
        <w:t>m the Clinical Evaluation Report.</w:t>
      </w:r>
    </w:p>
    <w:p w14:paraId="0F8D91A2" w14:textId="77777777" w:rsidR="00C94BA1" w:rsidRPr="00C94BA1" w:rsidRDefault="00605AD4" w:rsidP="00C94BA1">
      <w:pPr>
        <w:pStyle w:val="Heading4"/>
      </w:pPr>
      <w:r w:rsidRPr="00605AD4">
        <w:t>Post</w:t>
      </w:r>
      <w:r w:rsidR="003E4B7D">
        <w:t xml:space="preserve"> </w:t>
      </w:r>
      <w:r w:rsidRPr="00605AD4">
        <w:t>marketing data</w:t>
      </w:r>
    </w:p>
    <w:p w14:paraId="4518A06F" w14:textId="44F9F0C9" w:rsidR="00C94BA1" w:rsidRDefault="00C94BA1" w:rsidP="00C94BA1">
      <w:pPr>
        <w:rPr>
          <w:lang w:eastAsia="ja-JP"/>
        </w:rPr>
      </w:pPr>
      <w:r>
        <w:rPr>
          <w:lang w:eastAsia="ja-JP"/>
        </w:rPr>
        <w:t xml:space="preserve">The </w:t>
      </w:r>
      <w:r w:rsidR="00D76305">
        <w:rPr>
          <w:lang w:eastAsia="ja-JP"/>
        </w:rPr>
        <w:t>20th</w:t>
      </w:r>
      <w:r w:rsidR="00D76305">
        <w:rPr>
          <w:vertAlign w:val="superscript"/>
          <w:lang w:eastAsia="ja-JP"/>
        </w:rPr>
        <w:t xml:space="preserve"> </w:t>
      </w:r>
      <w:r>
        <w:rPr>
          <w:lang w:eastAsia="ja-JP"/>
        </w:rPr>
        <w:t xml:space="preserve">PSUR for bosentan has been included in the submission as a report of </w:t>
      </w:r>
      <w:r w:rsidR="007C5D1A">
        <w:rPr>
          <w:lang w:eastAsia="ja-JP"/>
        </w:rPr>
        <w:t>post market</w:t>
      </w:r>
      <w:r>
        <w:rPr>
          <w:lang w:eastAsia="ja-JP"/>
        </w:rPr>
        <w:t>ing experience. The report summarises the safety data during the reporting period between 20 November 2013</w:t>
      </w:r>
      <w:r w:rsidR="00E50438">
        <w:rPr>
          <w:lang w:eastAsia="ja-JP"/>
        </w:rPr>
        <w:t>,</w:t>
      </w:r>
      <w:r>
        <w:rPr>
          <w:lang w:eastAsia="ja-JP"/>
        </w:rPr>
        <w:t xml:space="preserve"> to 19 November 2014 and cumulatively. The international birthdate (IBD) for bosentan is 20 November 2001.</w:t>
      </w:r>
    </w:p>
    <w:p w14:paraId="5CCF9F16" w14:textId="697918D9" w:rsidR="00C94BA1" w:rsidRDefault="00C55354" w:rsidP="00C94BA1">
      <w:pPr>
        <w:rPr>
          <w:lang w:eastAsia="ja-JP"/>
        </w:rPr>
      </w:pPr>
      <w:r>
        <w:rPr>
          <w:lang w:eastAsia="ja-JP"/>
        </w:rPr>
        <w:t>[</w:t>
      </w:r>
      <w:proofErr w:type="gramStart"/>
      <w:r>
        <w:rPr>
          <w:lang w:eastAsia="ja-JP"/>
        </w:rPr>
        <w:t>information</w:t>
      </w:r>
      <w:proofErr w:type="gramEnd"/>
      <w:r>
        <w:rPr>
          <w:lang w:eastAsia="ja-JP"/>
        </w:rPr>
        <w:t xml:space="preserve"> redacted]</w:t>
      </w:r>
      <w:r w:rsidR="00C94BA1" w:rsidRPr="00FE6C13">
        <w:rPr>
          <w:lang w:eastAsia="ja-JP"/>
        </w:rPr>
        <w:t xml:space="preserve"> Table </w:t>
      </w:r>
      <w:r w:rsidR="00FE6C13" w:rsidRPr="00FE6C13">
        <w:rPr>
          <w:lang w:eastAsia="ja-JP"/>
        </w:rPr>
        <w:t>19</w:t>
      </w:r>
      <w:r w:rsidR="00C94BA1" w:rsidRPr="00FE6C13">
        <w:rPr>
          <w:lang w:eastAsia="ja-JP"/>
        </w:rPr>
        <w:t xml:space="preserve"> lists the important safety concerns outlined in the EU</w:t>
      </w:r>
      <w:r w:rsidR="004D75F4">
        <w:rPr>
          <w:lang w:eastAsia="ja-JP"/>
        </w:rPr>
        <w:t> </w:t>
      </w:r>
      <w:r w:rsidR="00C94BA1" w:rsidRPr="00FE6C13">
        <w:rPr>
          <w:lang w:eastAsia="ja-JP"/>
        </w:rPr>
        <w:t>RMP at the beginning of the</w:t>
      </w:r>
      <w:r w:rsidR="00C94BA1">
        <w:rPr>
          <w:lang w:eastAsia="ja-JP"/>
        </w:rPr>
        <w:t xml:space="preserve"> reporting period. </w:t>
      </w:r>
      <w:r w:rsidR="00C94BA1" w:rsidRPr="003E5D76">
        <w:rPr>
          <w:lang w:eastAsia="ja-JP"/>
        </w:rPr>
        <w:t>As part of a Type II variation to include in the EU Product Information the data generated</w:t>
      </w:r>
      <w:r w:rsidR="00C94BA1">
        <w:rPr>
          <w:lang w:eastAsia="ja-JP"/>
        </w:rPr>
        <w:t xml:space="preserve"> </w:t>
      </w:r>
      <w:r w:rsidR="00C94BA1" w:rsidRPr="003E5D76">
        <w:rPr>
          <w:lang w:eastAsia="ja-JP"/>
        </w:rPr>
        <w:t xml:space="preserve">in the paediatric studies with bosentan, an updated version of </w:t>
      </w:r>
      <w:proofErr w:type="spellStart"/>
      <w:r w:rsidR="00335934">
        <w:rPr>
          <w:lang w:eastAsia="ja-JP"/>
        </w:rPr>
        <w:t>Tracleer</w:t>
      </w:r>
      <w:r w:rsidR="00C94BA1" w:rsidRPr="003E5D76">
        <w:rPr>
          <w:lang w:eastAsia="ja-JP"/>
        </w:rPr>
        <w:t>’s</w:t>
      </w:r>
      <w:proofErr w:type="spellEnd"/>
      <w:r w:rsidR="00C94BA1" w:rsidRPr="003E5D76">
        <w:rPr>
          <w:lang w:eastAsia="ja-JP"/>
        </w:rPr>
        <w:t xml:space="preserve"> EU </w:t>
      </w:r>
      <w:proofErr w:type="spellStart"/>
      <w:r w:rsidR="00C94BA1" w:rsidRPr="003E5D76">
        <w:rPr>
          <w:lang w:eastAsia="ja-JP"/>
        </w:rPr>
        <w:t>SmPC</w:t>
      </w:r>
      <w:proofErr w:type="spellEnd"/>
      <w:r w:rsidR="00C94BA1" w:rsidRPr="003E5D76">
        <w:rPr>
          <w:lang w:eastAsia="ja-JP"/>
        </w:rPr>
        <w:t xml:space="preserve"> and </w:t>
      </w:r>
      <w:proofErr w:type="spellStart"/>
      <w:r w:rsidR="00C94BA1" w:rsidRPr="003E5D76">
        <w:rPr>
          <w:lang w:eastAsia="ja-JP"/>
        </w:rPr>
        <w:t>bosentan’s</w:t>
      </w:r>
      <w:proofErr w:type="spellEnd"/>
      <w:r w:rsidR="00C94BA1" w:rsidRPr="003E5D76">
        <w:rPr>
          <w:lang w:eastAsia="ja-JP"/>
        </w:rPr>
        <w:t xml:space="preserve"> RMP</w:t>
      </w:r>
      <w:r w:rsidR="00C94BA1">
        <w:rPr>
          <w:lang w:eastAsia="ja-JP"/>
        </w:rPr>
        <w:t xml:space="preserve"> </w:t>
      </w:r>
      <w:r w:rsidR="00C94BA1" w:rsidRPr="003E5D76">
        <w:rPr>
          <w:lang w:eastAsia="ja-JP"/>
        </w:rPr>
        <w:t>received CHMP Positive Opinion on 20 November 2014, after the data lock point of this</w:t>
      </w:r>
      <w:r w:rsidR="00C94BA1">
        <w:rPr>
          <w:lang w:eastAsia="ja-JP"/>
        </w:rPr>
        <w:t xml:space="preserve"> </w:t>
      </w:r>
      <w:r w:rsidR="00C94BA1" w:rsidRPr="003E5D76">
        <w:rPr>
          <w:lang w:eastAsia="ja-JP"/>
        </w:rPr>
        <w:t xml:space="preserve">PSUR. Important missing information ‘Use in children’ was removed, </w:t>
      </w:r>
      <w:r w:rsidR="00C94BA1">
        <w:rPr>
          <w:lang w:eastAsia="ja-JP"/>
        </w:rPr>
        <w:t xml:space="preserve">and the important concerns </w:t>
      </w:r>
      <w:r w:rsidR="00C94BA1" w:rsidRPr="00FE6C13">
        <w:rPr>
          <w:lang w:eastAsia="ja-JP"/>
        </w:rPr>
        <w:t>outlined in Table</w:t>
      </w:r>
      <w:r w:rsidR="004D75F4">
        <w:rPr>
          <w:lang w:eastAsia="ja-JP"/>
        </w:rPr>
        <w:t> </w:t>
      </w:r>
      <w:r w:rsidR="00FE6C13" w:rsidRPr="00FE6C13">
        <w:rPr>
          <w:lang w:eastAsia="ja-JP"/>
        </w:rPr>
        <w:t>20</w:t>
      </w:r>
      <w:r w:rsidR="00C94BA1" w:rsidRPr="00FE6C13">
        <w:rPr>
          <w:lang w:eastAsia="ja-JP"/>
        </w:rPr>
        <w:t xml:space="preserve"> were added</w:t>
      </w:r>
      <w:r w:rsidR="00C94BA1">
        <w:rPr>
          <w:lang w:eastAsia="ja-JP"/>
        </w:rPr>
        <w:t xml:space="preserve"> to the list of safety concerns.</w:t>
      </w:r>
    </w:p>
    <w:p w14:paraId="2416E3E3" w14:textId="3D3CAE7E" w:rsidR="00C94BA1" w:rsidRDefault="00C94BA1" w:rsidP="00C94BA1">
      <w:pPr>
        <w:rPr>
          <w:lang w:eastAsia="ja-JP"/>
        </w:rPr>
      </w:pPr>
      <w:r w:rsidRPr="00447066">
        <w:rPr>
          <w:lang w:eastAsia="ja-JP"/>
        </w:rPr>
        <w:t>Following review of the 19th PSUR for bosentan</w:t>
      </w:r>
      <w:r w:rsidR="004D75F4">
        <w:rPr>
          <w:lang w:eastAsia="ja-JP"/>
        </w:rPr>
        <w:t>,</w:t>
      </w:r>
      <w:r w:rsidRPr="00447066">
        <w:rPr>
          <w:lang w:eastAsia="ja-JP"/>
        </w:rPr>
        <w:t xml:space="preserve"> the PRAC Rapporteur</w:t>
      </w:r>
      <w:r>
        <w:rPr>
          <w:lang w:eastAsia="ja-JP"/>
        </w:rPr>
        <w:t xml:space="preserve"> </w:t>
      </w:r>
      <w:r w:rsidRPr="00447066">
        <w:rPr>
          <w:lang w:eastAsia="ja-JP"/>
        </w:rPr>
        <w:t>requested cumulative safety reviews of</w:t>
      </w:r>
      <w:r>
        <w:rPr>
          <w:lang w:eastAsia="ja-JP"/>
        </w:rPr>
        <w:t>:</w:t>
      </w:r>
    </w:p>
    <w:p w14:paraId="1D314D97" w14:textId="65BB3B89" w:rsidR="00C94BA1" w:rsidRPr="00C94BA1" w:rsidRDefault="00C94BA1" w:rsidP="00C94BA1">
      <w:pPr>
        <w:pStyle w:val="ListBullet"/>
      </w:pPr>
      <w:r w:rsidRPr="00C94BA1">
        <w:t>ascites (with a particular emphasis of cases associated with liver disorders)</w:t>
      </w:r>
      <w:r w:rsidR="004D75F4">
        <w:t>;</w:t>
      </w:r>
    </w:p>
    <w:p w14:paraId="077A5055" w14:textId="5ED2A258" w:rsidR="00C94BA1" w:rsidRPr="00C94BA1" w:rsidRDefault="00C94BA1" w:rsidP="00C94BA1">
      <w:pPr>
        <w:pStyle w:val="ListBullet"/>
      </w:pPr>
      <w:r w:rsidRPr="00C94BA1">
        <w:t>nasal congestion</w:t>
      </w:r>
      <w:r w:rsidR="004D75F4">
        <w:t>;</w:t>
      </w:r>
    </w:p>
    <w:p w14:paraId="7A688260" w14:textId="5AE7D687" w:rsidR="00C94BA1" w:rsidRPr="00C94BA1" w:rsidRDefault="00C94BA1" w:rsidP="00C94BA1">
      <w:pPr>
        <w:pStyle w:val="ListBullet"/>
      </w:pPr>
      <w:r w:rsidRPr="00C94BA1">
        <w:t>the risk of fall which may be due to hypotension and syncope with a particular emphasis in cases resulting in injury</w:t>
      </w:r>
      <w:r w:rsidR="004D75F4">
        <w:t>; and</w:t>
      </w:r>
    </w:p>
    <w:p w14:paraId="165E913E" w14:textId="2511C0F1" w:rsidR="00C94BA1" w:rsidRPr="00C94BA1" w:rsidRDefault="00C94BA1" w:rsidP="00C94BA1">
      <w:pPr>
        <w:pStyle w:val="ListBullet"/>
      </w:pPr>
      <w:proofErr w:type="gramStart"/>
      <w:r w:rsidRPr="00C94BA1">
        <w:lastRenderedPageBreak/>
        <w:t>autoimmune</w:t>
      </w:r>
      <w:proofErr w:type="gramEnd"/>
      <w:r w:rsidRPr="00C94BA1">
        <w:t xml:space="preserve"> hepatitis (AIH)</w:t>
      </w:r>
      <w:r w:rsidR="004D75F4">
        <w:t>.</w:t>
      </w:r>
    </w:p>
    <w:p w14:paraId="44F6AE72" w14:textId="77777777" w:rsidR="00C94BA1" w:rsidRPr="00447066" w:rsidRDefault="00C94BA1" w:rsidP="00C94BA1">
      <w:pPr>
        <w:rPr>
          <w:lang w:eastAsia="ja-JP"/>
        </w:rPr>
      </w:pPr>
      <w:r>
        <w:rPr>
          <w:lang w:eastAsia="ja-JP"/>
        </w:rPr>
        <w:t>T</w:t>
      </w:r>
      <w:r w:rsidRPr="00447066">
        <w:rPr>
          <w:lang w:eastAsia="ja-JP"/>
        </w:rPr>
        <w:t xml:space="preserve">he </w:t>
      </w:r>
      <w:r>
        <w:rPr>
          <w:lang w:eastAsia="ja-JP"/>
        </w:rPr>
        <w:t>sponsor</w:t>
      </w:r>
      <w:r w:rsidRPr="00447066">
        <w:rPr>
          <w:lang w:eastAsia="ja-JP"/>
        </w:rPr>
        <w:t xml:space="preserve"> </w:t>
      </w:r>
      <w:r>
        <w:rPr>
          <w:lang w:eastAsia="ja-JP"/>
        </w:rPr>
        <w:t xml:space="preserve">was requested to </w:t>
      </w:r>
      <w:r w:rsidRPr="00447066">
        <w:rPr>
          <w:lang w:eastAsia="ja-JP"/>
        </w:rPr>
        <w:t>provide a cumulative safety review of all signals considered ongoing further to the</w:t>
      </w:r>
      <w:r>
        <w:rPr>
          <w:lang w:eastAsia="ja-JP"/>
        </w:rPr>
        <w:t xml:space="preserve"> </w:t>
      </w:r>
      <w:r w:rsidRPr="00447066">
        <w:rPr>
          <w:lang w:eastAsia="ja-JP"/>
        </w:rPr>
        <w:t>finalisation of this PSUR assessment procedure (</w:t>
      </w:r>
      <w:r>
        <w:rPr>
          <w:lang w:eastAsia="ja-JP"/>
        </w:rPr>
        <w:t>that is</w:t>
      </w:r>
      <w:r w:rsidRPr="00447066">
        <w:rPr>
          <w:lang w:eastAsia="ja-JP"/>
        </w:rPr>
        <w:t>, DRESS and other severe cutaneous</w:t>
      </w:r>
      <w:r>
        <w:rPr>
          <w:lang w:eastAsia="ja-JP"/>
        </w:rPr>
        <w:t xml:space="preserve"> </w:t>
      </w:r>
      <w:r w:rsidRPr="00447066">
        <w:rPr>
          <w:lang w:eastAsia="ja-JP"/>
        </w:rPr>
        <w:t>reactions, concomitant administration of bosentan and methotrexate and hepatotoxicity,</w:t>
      </w:r>
      <w:r>
        <w:rPr>
          <w:lang w:eastAsia="ja-JP"/>
        </w:rPr>
        <w:t xml:space="preserve"> </w:t>
      </w:r>
      <w:r w:rsidRPr="00447066">
        <w:rPr>
          <w:lang w:eastAsia="ja-JP"/>
        </w:rPr>
        <w:t>hepatocellular carcinoma, cardiac disorders without PAH, blurred vision,</w:t>
      </w:r>
      <w:r>
        <w:rPr>
          <w:lang w:eastAsia="ja-JP"/>
        </w:rPr>
        <w:t xml:space="preserve"> </w:t>
      </w:r>
      <w:r w:rsidRPr="00447066">
        <w:rPr>
          <w:lang w:eastAsia="ja-JP"/>
        </w:rPr>
        <w:t xml:space="preserve">arthralgia/myalgia and pain, menstrual </w:t>
      </w:r>
      <w:r>
        <w:rPr>
          <w:lang w:eastAsia="ja-JP"/>
        </w:rPr>
        <w:t>disorders/vaginal haemorrhage).</w:t>
      </w:r>
    </w:p>
    <w:p w14:paraId="468F2AB9" w14:textId="0B1DD821" w:rsidR="00C94BA1" w:rsidRPr="00A2508E" w:rsidRDefault="00C94BA1" w:rsidP="00C94BA1">
      <w:pPr>
        <w:rPr>
          <w:iCs/>
          <w:lang w:eastAsia="ja-JP"/>
        </w:rPr>
      </w:pPr>
      <w:r w:rsidRPr="00447066">
        <w:rPr>
          <w:lang w:eastAsia="ja-JP"/>
        </w:rPr>
        <w:t xml:space="preserve">Based on the cumulative reviews requested by the PRAC Rapporteur, the </w:t>
      </w:r>
      <w:r>
        <w:rPr>
          <w:lang w:eastAsia="ja-JP"/>
        </w:rPr>
        <w:t xml:space="preserve">sponsor </w:t>
      </w:r>
      <w:r w:rsidRPr="00447066">
        <w:rPr>
          <w:lang w:eastAsia="ja-JP"/>
        </w:rPr>
        <w:t>proposes to update the adverse drug reaction (ADR) table of the SmPC</w:t>
      </w:r>
      <w:r>
        <w:rPr>
          <w:lang w:eastAsia="ja-JP"/>
        </w:rPr>
        <w:t xml:space="preserve"> to state (new text </w:t>
      </w:r>
      <w:r w:rsidR="00C55354">
        <w:rPr>
          <w:lang w:eastAsia="ja-JP"/>
        </w:rPr>
        <w:t>in bold</w:t>
      </w:r>
      <w:r>
        <w:rPr>
          <w:lang w:eastAsia="ja-JP"/>
        </w:rPr>
        <w:t>): ‘</w:t>
      </w:r>
      <w:r w:rsidRPr="00447066">
        <w:rPr>
          <w:i/>
          <w:iCs/>
          <w:lang w:eastAsia="ja-JP"/>
        </w:rPr>
        <w:t>Aminotransferase elevations associated with hepatitis</w:t>
      </w:r>
      <w:r>
        <w:rPr>
          <w:lang w:eastAsia="ja-JP"/>
        </w:rPr>
        <w:t xml:space="preserve"> </w:t>
      </w:r>
      <w:r w:rsidRPr="008D6064">
        <w:rPr>
          <w:b/>
          <w:i/>
          <w:iCs/>
          <w:lang w:eastAsia="ja-JP"/>
        </w:rPr>
        <w:t>including possible exacerbation of underlying AIH in patients with autoimmune</w:t>
      </w:r>
      <w:r w:rsidRPr="008D6064">
        <w:rPr>
          <w:b/>
          <w:lang w:eastAsia="ja-JP"/>
        </w:rPr>
        <w:t xml:space="preserve"> </w:t>
      </w:r>
      <w:r w:rsidRPr="008D6064">
        <w:rPr>
          <w:b/>
          <w:i/>
          <w:iCs/>
          <w:lang w:eastAsia="ja-JP"/>
        </w:rPr>
        <w:t>diseases</w:t>
      </w:r>
      <w:r w:rsidRPr="00954831">
        <w:rPr>
          <w:i/>
          <w:iCs/>
          <w:lang w:eastAsia="ja-JP"/>
        </w:rPr>
        <w:t xml:space="preserve"> </w:t>
      </w:r>
      <w:r>
        <w:rPr>
          <w:i/>
          <w:iCs/>
          <w:lang w:eastAsia="ja-JP"/>
        </w:rPr>
        <w:t>and/or jaundice</w:t>
      </w:r>
      <w:r w:rsidR="006231FF">
        <w:rPr>
          <w:i/>
          <w:iCs/>
          <w:lang w:eastAsia="ja-JP"/>
        </w:rPr>
        <w:t>’</w:t>
      </w:r>
      <w:r>
        <w:rPr>
          <w:i/>
          <w:iCs/>
          <w:lang w:eastAsia="ja-JP"/>
        </w:rPr>
        <w:t xml:space="preserve">. </w:t>
      </w:r>
      <w:r>
        <w:rPr>
          <w:iCs/>
          <w:lang w:eastAsia="ja-JP"/>
        </w:rPr>
        <w:t xml:space="preserve">In addition </w:t>
      </w:r>
      <w:r w:rsidRPr="00447066">
        <w:rPr>
          <w:lang w:eastAsia="ja-JP"/>
        </w:rPr>
        <w:t xml:space="preserve">‘nasal congestion’ </w:t>
      </w:r>
      <w:r>
        <w:rPr>
          <w:lang w:eastAsia="ja-JP"/>
        </w:rPr>
        <w:t xml:space="preserve">is </w:t>
      </w:r>
      <w:r w:rsidRPr="00447066">
        <w:rPr>
          <w:lang w:eastAsia="ja-JP"/>
        </w:rPr>
        <w:t>to be added as a ‘common’ event</w:t>
      </w:r>
      <w:r>
        <w:rPr>
          <w:lang w:eastAsia="ja-JP"/>
        </w:rPr>
        <w:t xml:space="preserve"> </w:t>
      </w:r>
      <w:r w:rsidRPr="00447066">
        <w:rPr>
          <w:lang w:eastAsia="ja-JP"/>
        </w:rPr>
        <w:t>under the ‘Respiratory, thoracic and mediastinal disorders’ system organ class (SOC).</w:t>
      </w:r>
      <w:r>
        <w:rPr>
          <w:lang w:eastAsia="ja-JP"/>
        </w:rPr>
        <w:t xml:space="preserve"> </w:t>
      </w:r>
      <w:r w:rsidRPr="00447066">
        <w:rPr>
          <w:lang w:eastAsia="ja-JP"/>
        </w:rPr>
        <w:t>In addition, ‘symptomatic hypotension’ will be</w:t>
      </w:r>
      <w:r>
        <w:rPr>
          <w:lang w:eastAsia="ja-JP"/>
        </w:rPr>
        <w:t xml:space="preserve"> </w:t>
      </w:r>
      <w:r w:rsidRPr="00447066">
        <w:rPr>
          <w:lang w:eastAsia="ja-JP"/>
        </w:rPr>
        <w:t>added as an important potential risk to the RMP.</w:t>
      </w:r>
    </w:p>
    <w:p w14:paraId="7D66D6D7" w14:textId="77777777" w:rsidR="00C94BA1" w:rsidRPr="00447066" w:rsidRDefault="00C94BA1" w:rsidP="00C94BA1">
      <w:pPr>
        <w:rPr>
          <w:lang w:eastAsia="ja-JP"/>
        </w:rPr>
      </w:pPr>
      <w:r w:rsidRPr="00447066">
        <w:rPr>
          <w:lang w:eastAsia="ja-JP"/>
        </w:rPr>
        <w:t>The nature and severity of the reported events from all sources reflect the known safety</w:t>
      </w:r>
      <w:r>
        <w:rPr>
          <w:lang w:eastAsia="ja-JP"/>
        </w:rPr>
        <w:t xml:space="preserve"> </w:t>
      </w:r>
      <w:r w:rsidRPr="00447066">
        <w:rPr>
          <w:lang w:eastAsia="ja-JP"/>
        </w:rPr>
        <w:t>profile of bosentan and the high morbidity and/or mortality of the underlying PAH and</w:t>
      </w:r>
      <w:r>
        <w:rPr>
          <w:lang w:eastAsia="ja-JP"/>
        </w:rPr>
        <w:t xml:space="preserve"> </w:t>
      </w:r>
      <w:r w:rsidRPr="00447066">
        <w:rPr>
          <w:lang w:eastAsia="ja-JP"/>
        </w:rPr>
        <w:t>connective tissue disease. The events described in this report are not believed to present</w:t>
      </w:r>
      <w:r>
        <w:rPr>
          <w:lang w:eastAsia="ja-JP"/>
        </w:rPr>
        <w:t xml:space="preserve"> </w:t>
      </w:r>
      <w:r w:rsidRPr="00447066">
        <w:rPr>
          <w:lang w:eastAsia="ja-JP"/>
        </w:rPr>
        <w:t>an increased risk to patients. A risk minimisation programme focusing on risk</w:t>
      </w:r>
      <w:r>
        <w:rPr>
          <w:lang w:eastAsia="ja-JP"/>
        </w:rPr>
        <w:t xml:space="preserve"> </w:t>
      </w:r>
      <w:r w:rsidRPr="00447066">
        <w:rPr>
          <w:lang w:eastAsia="ja-JP"/>
        </w:rPr>
        <w:t xml:space="preserve">communication and education to </w:t>
      </w:r>
      <w:proofErr w:type="gramStart"/>
      <w:r w:rsidRPr="00447066">
        <w:rPr>
          <w:lang w:eastAsia="ja-JP"/>
        </w:rPr>
        <w:t>prescribers</w:t>
      </w:r>
      <w:proofErr w:type="gramEnd"/>
      <w:r w:rsidRPr="00447066">
        <w:rPr>
          <w:lang w:eastAsia="ja-JP"/>
        </w:rPr>
        <w:t xml:space="preserve"> remains in place for bosentan through</w:t>
      </w:r>
      <w:r>
        <w:rPr>
          <w:lang w:eastAsia="ja-JP"/>
        </w:rPr>
        <w:t xml:space="preserve"> </w:t>
      </w:r>
      <w:r w:rsidRPr="00447066">
        <w:rPr>
          <w:lang w:eastAsia="ja-JP"/>
        </w:rPr>
        <w:t xml:space="preserve">controlled distribution, as per local requirements, including in the </w:t>
      </w:r>
      <w:r w:rsidR="00B4142C">
        <w:t>European Economic Area</w:t>
      </w:r>
      <w:r w:rsidR="00B4142C" w:rsidRPr="00447066">
        <w:rPr>
          <w:lang w:eastAsia="ja-JP"/>
        </w:rPr>
        <w:t xml:space="preserve"> </w:t>
      </w:r>
      <w:r w:rsidR="00B4142C">
        <w:rPr>
          <w:lang w:eastAsia="ja-JP"/>
        </w:rPr>
        <w:t>(</w:t>
      </w:r>
      <w:r w:rsidRPr="00447066">
        <w:rPr>
          <w:lang w:eastAsia="ja-JP"/>
        </w:rPr>
        <w:t>EEA</w:t>
      </w:r>
      <w:r w:rsidR="00B4142C">
        <w:rPr>
          <w:lang w:eastAsia="ja-JP"/>
        </w:rPr>
        <w:t>)</w:t>
      </w:r>
      <w:r w:rsidRPr="00447066">
        <w:rPr>
          <w:lang w:eastAsia="ja-JP"/>
        </w:rPr>
        <w:t xml:space="preserve"> and US.</w:t>
      </w:r>
    </w:p>
    <w:p w14:paraId="6D4CFBED" w14:textId="77777777" w:rsidR="00605AD4" w:rsidRDefault="00C94BA1" w:rsidP="00605AD4">
      <w:pPr>
        <w:rPr>
          <w:lang w:eastAsia="ja-JP"/>
        </w:rPr>
      </w:pPr>
      <w:r>
        <w:rPr>
          <w:lang w:eastAsia="ja-JP"/>
        </w:rPr>
        <w:t>The report states that g</w:t>
      </w:r>
      <w:r w:rsidRPr="00447066">
        <w:rPr>
          <w:lang w:eastAsia="ja-JP"/>
        </w:rPr>
        <w:t>iven the efficacy data, which are consistent between clinical studies and marketed use,</w:t>
      </w:r>
      <w:r>
        <w:rPr>
          <w:lang w:eastAsia="ja-JP"/>
        </w:rPr>
        <w:t xml:space="preserve"> </w:t>
      </w:r>
      <w:r w:rsidRPr="00447066">
        <w:rPr>
          <w:lang w:eastAsia="ja-JP"/>
        </w:rPr>
        <w:t>and the well-characterised safety profile, the benefit-risk profile of bosentan remains</w:t>
      </w:r>
      <w:r>
        <w:rPr>
          <w:lang w:eastAsia="ja-JP"/>
        </w:rPr>
        <w:t xml:space="preserve"> </w:t>
      </w:r>
      <w:r w:rsidRPr="00447066">
        <w:rPr>
          <w:lang w:eastAsia="ja-JP"/>
        </w:rPr>
        <w:t>unchanged, and is favourable for its use in accordance with the approved product</w:t>
      </w:r>
      <w:r>
        <w:rPr>
          <w:lang w:eastAsia="ja-JP"/>
        </w:rPr>
        <w:t xml:space="preserve"> </w:t>
      </w:r>
      <w:r w:rsidRPr="00447066">
        <w:rPr>
          <w:lang w:eastAsia="ja-JP"/>
        </w:rPr>
        <w:t>information.</w:t>
      </w:r>
    </w:p>
    <w:p w14:paraId="3D699CD2" w14:textId="77777777" w:rsidR="00C94BA1" w:rsidRDefault="00C94BA1" w:rsidP="00C94BA1">
      <w:pPr>
        <w:pStyle w:val="Tabletitle0"/>
        <w:rPr>
          <w:lang w:eastAsia="ja-JP"/>
        </w:rPr>
      </w:pPr>
      <w:bookmarkStart w:id="135" w:name="_Ref461453270"/>
      <w:bookmarkStart w:id="136" w:name="_Toc473884126"/>
      <w:r w:rsidRPr="00D81D7C">
        <w:t xml:space="preserve">Table </w:t>
      </w:r>
      <w:bookmarkEnd w:id="135"/>
      <w:r w:rsidR="00FE6C13">
        <w:t>19</w:t>
      </w:r>
      <w:r w:rsidRPr="00D81D7C">
        <w:t>:</w:t>
      </w:r>
      <w:r>
        <w:t xml:space="preserve"> PSUR 20 Summary of safety concerns at the beginning of the PSUR reporting period</w:t>
      </w:r>
      <w:bookmarkEnd w:id="136"/>
    </w:p>
    <w:p w14:paraId="17B20985" w14:textId="77777777" w:rsidR="00C94BA1" w:rsidRDefault="00C94BA1" w:rsidP="00605AD4">
      <w:pPr>
        <w:rPr>
          <w:lang w:eastAsia="ja-JP"/>
        </w:rPr>
      </w:pPr>
      <w:r>
        <w:rPr>
          <w:noProof/>
          <w:lang w:eastAsia="en-AU"/>
        </w:rPr>
        <w:drawing>
          <wp:inline distT="0" distB="0" distL="0" distR="0" wp14:anchorId="602E4D0C" wp14:editId="23BC7582">
            <wp:extent cx="5400040" cy="1808090"/>
            <wp:effectExtent l="0" t="0" r="10160" b="0"/>
            <wp:docPr id="13" name="Picture 13" descr="Table 19: PSUR 20 Summary of safety concerns at the beginning of the PSUR reporting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BEBA8EAE-BF5A-486C-A8C5-ECC9F3942E4B}">
                          <a14:imgProps xmlns:a14="http://schemas.microsoft.com/office/drawing/2010/main">
                            <a14:imgLayer r:embed="rId36">
                              <a14:imgEffect>
                                <a14:sharpenSoften amount="25000"/>
                              </a14:imgEffect>
                              <a14:imgEffect>
                                <a14:brightnessContrast contrast="-40000"/>
                              </a14:imgEffect>
                            </a14:imgLayer>
                          </a14:imgProps>
                        </a:ext>
                      </a:extLst>
                    </a:blip>
                    <a:stretch>
                      <a:fillRect/>
                    </a:stretch>
                  </pic:blipFill>
                  <pic:spPr>
                    <a:xfrm>
                      <a:off x="0" y="0"/>
                      <a:ext cx="5400040" cy="1808090"/>
                    </a:xfrm>
                    <a:prstGeom prst="rect">
                      <a:avLst/>
                    </a:prstGeom>
                  </pic:spPr>
                </pic:pic>
              </a:graphicData>
            </a:graphic>
          </wp:inline>
        </w:drawing>
      </w:r>
    </w:p>
    <w:p w14:paraId="2423F601" w14:textId="77777777" w:rsidR="00C94BA1" w:rsidRDefault="00C94BA1" w:rsidP="00C94BA1">
      <w:pPr>
        <w:pStyle w:val="Tabletitle0"/>
        <w:rPr>
          <w:lang w:eastAsia="ja-JP"/>
        </w:rPr>
      </w:pPr>
      <w:bookmarkStart w:id="137" w:name="_Ref461453514"/>
      <w:bookmarkStart w:id="138" w:name="_Toc473884127"/>
      <w:r w:rsidRPr="00D81D7C">
        <w:t xml:space="preserve">Table </w:t>
      </w:r>
      <w:bookmarkEnd w:id="137"/>
      <w:r w:rsidR="00FE6C13">
        <w:t>20</w:t>
      </w:r>
      <w:r>
        <w:t>: PSUR 20 New important identified and potential risks added to the RMP after the data lock point</w:t>
      </w:r>
      <w:bookmarkEnd w:id="138"/>
    </w:p>
    <w:p w14:paraId="12A1512B" w14:textId="77777777" w:rsidR="00C94BA1" w:rsidRDefault="00C94BA1" w:rsidP="00605AD4">
      <w:pPr>
        <w:rPr>
          <w:lang w:eastAsia="ja-JP"/>
        </w:rPr>
      </w:pPr>
      <w:r>
        <w:rPr>
          <w:noProof/>
          <w:lang w:eastAsia="en-AU"/>
        </w:rPr>
        <w:drawing>
          <wp:inline distT="0" distB="0" distL="0" distR="0" wp14:anchorId="44240358" wp14:editId="7113E81C">
            <wp:extent cx="5400040" cy="1108854"/>
            <wp:effectExtent l="0" t="0" r="10160" b="8890"/>
            <wp:docPr id="14" name="Picture 14" descr="Table 20: PSUR 20 New important identified and potential risks added to the RMP after the data lock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BEBA8EAE-BF5A-486C-A8C5-ECC9F3942E4B}">
                          <a14:imgProps xmlns:a14="http://schemas.microsoft.com/office/drawing/2010/main">
                            <a14:imgLayer r:embed="rId38">
                              <a14:imgEffect>
                                <a14:sharpenSoften amount="25000"/>
                              </a14:imgEffect>
                              <a14:imgEffect>
                                <a14:brightnessContrast contrast="-40000"/>
                              </a14:imgEffect>
                            </a14:imgLayer>
                          </a14:imgProps>
                        </a:ext>
                      </a:extLst>
                    </a:blip>
                    <a:stretch>
                      <a:fillRect/>
                    </a:stretch>
                  </pic:blipFill>
                  <pic:spPr>
                    <a:xfrm>
                      <a:off x="0" y="0"/>
                      <a:ext cx="5400040" cy="1108854"/>
                    </a:xfrm>
                    <a:prstGeom prst="rect">
                      <a:avLst/>
                    </a:prstGeom>
                  </pic:spPr>
                </pic:pic>
              </a:graphicData>
            </a:graphic>
          </wp:inline>
        </w:drawing>
      </w:r>
    </w:p>
    <w:p w14:paraId="51B39910" w14:textId="77777777" w:rsidR="00C94BA1" w:rsidRPr="00093207" w:rsidRDefault="00C94BA1" w:rsidP="00C94BA1">
      <w:pPr>
        <w:pStyle w:val="Heading4"/>
      </w:pPr>
      <w:r w:rsidRPr="00093207">
        <w:lastRenderedPageBreak/>
        <w:t>Ascites</w:t>
      </w:r>
    </w:p>
    <w:p w14:paraId="7203EEB9" w14:textId="10697323" w:rsidR="00C94BA1" w:rsidRPr="007C4446" w:rsidRDefault="00C94BA1" w:rsidP="00C94BA1">
      <w:pPr>
        <w:rPr>
          <w:lang w:eastAsia="ja-JP"/>
        </w:rPr>
      </w:pPr>
      <w:r>
        <w:rPr>
          <w:lang w:eastAsia="ja-JP"/>
        </w:rPr>
        <w:t xml:space="preserve">Cumulatively, during the 13 years of </w:t>
      </w:r>
      <w:r w:rsidR="00B4142C">
        <w:rPr>
          <w:lang w:eastAsia="ja-JP"/>
        </w:rPr>
        <w:t>post-marketing</w:t>
      </w:r>
      <w:r>
        <w:rPr>
          <w:lang w:eastAsia="ja-JP"/>
        </w:rPr>
        <w:t xml:space="preserve"> experience, the estimated reporting rate of ascites was low (0.3%). In most cases, including those containing </w:t>
      </w:r>
      <w:proofErr w:type="gramStart"/>
      <w:r>
        <w:rPr>
          <w:lang w:eastAsia="ja-JP"/>
        </w:rPr>
        <w:t>an</w:t>
      </w:r>
      <w:proofErr w:type="gramEnd"/>
      <w:r>
        <w:rPr>
          <w:lang w:eastAsia="ja-JP"/>
        </w:rPr>
        <w:t xml:space="preserve"> hepatobiliary event/investigation, ascites occurred in the context of progressive PAH disease and associated comorbidities, including RHF, fluid </w:t>
      </w:r>
      <w:r w:rsidRPr="007C4446">
        <w:rPr>
          <w:lang w:eastAsia="ja-JP"/>
        </w:rPr>
        <w:t>retention, and autoimmune rheumatoid diseases. In a</w:t>
      </w:r>
      <w:r>
        <w:rPr>
          <w:lang w:eastAsia="ja-JP"/>
        </w:rPr>
        <w:t xml:space="preserve"> few cases with complex medical </w:t>
      </w:r>
      <w:r w:rsidRPr="007C4446">
        <w:rPr>
          <w:lang w:eastAsia="ja-JP"/>
        </w:rPr>
        <w:t>history, multiple co-morbidities and therapies, a contribution of bosentan to the</w:t>
      </w:r>
      <w:r>
        <w:rPr>
          <w:lang w:eastAsia="ja-JP"/>
        </w:rPr>
        <w:t xml:space="preserve"> </w:t>
      </w:r>
      <w:r w:rsidRPr="007C4446">
        <w:rPr>
          <w:lang w:eastAsia="ja-JP"/>
        </w:rPr>
        <w:t xml:space="preserve">underlying hepatic event was difficult to establish. The current </w:t>
      </w:r>
      <w:r w:rsidR="004D75F4">
        <w:rPr>
          <w:lang w:eastAsia="ja-JP"/>
        </w:rPr>
        <w:t xml:space="preserve">Company Core Data Sheet </w:t>
      </w:r>
      <w:r w:rsidR="00B4142C">
        <w:rPr>
          <w:lang w:eastAsia="ja-JP"/>
        </w:rPr>
        <w:t>(</w:t>
      </w:r>
      <w:r w:rsidRPr="007C4446">
        <w:rPr>
          <w:lang w:eastAsia="ja-JP"/>
        </w:rPr>
        <w:t>CCDS</w:t>
      </w:r>
      <w:r w:rsidR="00B4142C">
        <w:rPr>
          <w:lang w:eastAsia="ja-JP"/>
        </w:rPr>
        <w:t>)</w:t>
      </w:r>
      <w:r w:rsidRPr="007C4446">
        <w:rPr>
          <w:lang w:eastAsia="ja-JP"/>
        </w:rPr>
        <w:t xml:space="preserve"> describe</w:t>
      </w:r>
      <w:r>
        <w:rPr>
          <w:lang w:eastAsia="ja-JP"/>
        </w:rPr>
        <w:t>s</w:t>
      </w:r>
      <w:r w:rsidRPr="007C4446">
        <w:rPr>
          <w:lang w:eastAsia="ja-JP"/>
        </w:rPr>
        <w:t xml:space="preserve"> ‘uncommon’ hepatitis and</w:t>
      </w:r>
      <w:r>
        <w:rPr>
          <w:lang w:eastAsia="ja-JP"/>
        </w:rPr>
        <w:t xml:space="preserve">/or jaundice, and rare cases of </w:t>
      </w:r>
      <w:r w:rsidRPr="007C4446">
        <w:rPr>
          <w:lang w:eastAsia="ja-JP"/>
        </w:rPr>
        <w:t>unexplained</w:t>
      </w:r>
      <w:r>
        <w:rPr>
          <w:lang w:eastAsia="ja-JP"/>
        </w:rPr>
        <w:t xml:space="preserve"> </w:t>
      </w:r>
      <w:r w:rsidRPr="007C4446">
        <w:rPr>
          <w:lang w:eastAsia="ja-JP"/>
        </w:rPr>
        <w:t>hepatic cirrhosis or liver failure.</w:t>
      </w:r>
    </w:p>
    <w:p w14:paraId="1BEA2F56" w14:textId="77777777" w:rsidR="00C94BA1" w:rsidRDefault="00C94BA1" w:rsidP="00C94BA1">
      <w:pPr>
        <w:rPr>
          <w:lang w:eastAsia="ja-JP"/>
        </w:rPr>
      </w:pPr>
      <w:r w:rsidRPr="007C4446">
        <w:rPr>
          <w:lang w:eastAsia="ja-JP"/>
        </w:rPr>
        <w:t>Considering the above, the absence of a non-clinical signal, and the observed similar</w:t>
      </w:r>
      <w:r>
        <w:rPr>
          <w:lang w:eastAsia="ja-JP"/>
        </w:rPr>
        <w:t xml:space="preserve"> </w:t>
      </w:r>
      <w:r w:rsidRPr="007C4446">
        <w:rPr>
          <w:lang w:eastAsia="ja-JP"/>
        </w:rPr>
        <w:t xml:space="preserve">incidence of ascites in placebo and </w:t>
      </w:r>
      <w:r>
        <w:rPr>
          <w:lang w:eastAsia="ja-JP"/>
        </w:rPr>
        <w:t>bosentan treated</w:t>
      </w:r>
      <w:r w:rsidRPr="007C4446">
        <w:rPr>
          <w:lang w:eastAsia="ja-JP"/>
        </w:rPr>
        <w:t xml:space="preserve"> patients in the 20 </w:t>
      </w:r>
      <w:r>
        <w:rPr>
          <w:lang w:eastAsia="ja-JP"/>
        </w:rPr>
        <w:t xml:space="preserve">placebo controlled </w:t>
      </w:r>
      <w:r w:rsidRPr="007C4446">
        <w:rPr>
          <w:lang w:eastAsia="ja-JP"/>
        </w:rPr>
        <w:t>studies in various indications, a causal relationship</w:t>
      </w:r>
      <w:r>
        <w:rPr>
          <w:lang w:eastAsia="ja-JP"/>
        </w:rPr>
        <w:t xml:space="preserve"> between bosentan and ascites was </w:t>
      </w:r>
      <w:r w:rsidRPr="007C4446">
        <w:rPr>
          <w:lang w:eastAsia="ja-JP"/>
        </w:rPr>
        <w:t>deemed unlikely.</w:t>
      </w:r>
    </w:p>
    <w:p w14:paraId="0226C11A" w14:textId="77777777" w:rsidR="00C94BA1" w:rsidRPr="00954831" w:rsidRDefault="00C94BA1" w:rsidP="00C94BA1">
      <w:pPr>
        <w:pStyle w:val="Heading4"/>
      </w:pPr>
      <w:r w:rsidRPr="00954831">
        <w:t>Nasal congestion</w:t>
      </w:r>
    </w:p>
    <w:p w14:paraId="23CAA12B" w14:textId="12F930B9" w:rsidR="00C94BA1" w:rsidRDefault="00C94BA1" w:rsidP="00C94BA1">
      <w:pPr>
        <w:rPr>
          <w:lang w:eastAsia="ja-JP"/>
        </w:rPr>
      </w:pPr>
      <w:r>
        <w:rPr>
          <w:lang w:eastAsia="ja-JP"/>
        </w:rPr>
        <w:t>The pooled safety data from 20 placebo controlled clinical studies with bosentan were analysed. The overall incidence of nasal congestion (</w:t>
      </w:r>
      <w:r w:rsidR="00D17D39">
        <w:t>preferred term</w:t>
      </w:r>
      <w:r w:rsidR="00D17D39">
        <w:rPr>
          <w:lang w:eastAsia="ja-JP"/>
        </w:rPr>
        <w:t xml:space="preserve"> (</w:t>
      </w:r>
      <w:r>
        <w:rPr>
          <w:lang w:eastAsia="ja-JP"/>
        </w:rPr>
        <w:t>PT</w:t>
      </w:r>
      <w:r w:rsidR="00D17D39">
        <w:rPr>
          <w:lang w:eastAsia="ja-JP"/>
        </w:rPr>
        <w:t>)</w:t>
      </w:r>
      <w:r>
        <w:rPr>
          <w:lang w:eastAsia="ja-JP"/>
        </w:rPr>
        <w:t>) was 1.7% (43</w:t>
      </w:r>
      <w:r w:rsidR="004D75F4">
        <w:rPr>
          <w:lang w:eastAsia="ja-JP"/>
        </w:rPr>
        <w:t> </w:t>
      </w:r>
      <w:r>
        <w:rPr>
          <w:lang w:eastAsia="ja-JP"/>
        </w:rPr>
        <w:t>out of 2486) in patients on bosentan and 1.2% (22 out of 1838) in patients on placebo.</w:t>
      </w:r>
    </w:p>
    <w:p w14:paraId="2F95B43C" w14:textId="77777777" w:rsidR="00C94BA1" w:rsidRDefault="00C94BA1" w:rsidP="00C94BA1">
      <w:pPr>
        <w:rPr>
          <w:lang w:eastAsia="ja-JP"/>
        </w:rPr>
      </w:pPr>
      <w:r>
        <w:rPr>
          <w:lang w:eastAsia="ja-JP"/>
        </w:rPr>
        <w:t xml:space="preserve">The safety database held seven </w:t>
      </w:r>
      <w:r w:rsidR="00D17D39">
        <w:t>serious adverse event</w:t>
      </w:r>
      <w:r w:rsidR="00D17D39">
        <w:rPr>
          <w:lang w:eastAsia="ja-JP"/>
        </w:rPr>
        <w:t xml:space="preserve"> (</w:t>
      </w:r>
      <w:r>
        <w:rPr>
          <w:lang w:eastAsia="ja-JP"/>
        </w:rPr>
        <w:t>SAE</w:t>
      </w:r>
      <w:r w:rsidR="00D17D39">
        <w:rPr>
          <w:lang w:eastAsia="ja-JP"/>
        </w:rPr>
        <w:t>)</w:t>
      </w:r>
      <w:r w:rsidRPr="00766FB5">
        <w:rPr>
          <w:lang w:eastAsia="ja-JP"/>
        </w:rPr>
        <w:t xml:space="preserve"> cases</w:t>
      </w:r>
      <w:r>
        <w:rPr>
          <w:lang w:eastAsia="ja-JP"/>
        </w:rPr>
        <w:t xml:space="preserve"> that included</w:t>
      </w:r>
      <w:r w:rsidRPr="00766FB5">
        <w:rPr>
          <w:lang w:eastAsia="ja-JP"/>
        </w:rPr>
        <w:t xml:space="preserve"> the PT ‘nasal congestion’ have been received from clinical</w:t>
      </w:r>
      <w:r>
        <w:rPr>
          <w:lang w:eastAsia="ja-JP"/>
        </w:rPr>
        <w:t xml:space="preserve"> </w:t>
      </w:r>
      <w:r w:rsidRPr="00766FB5">
        <w:rPr>
          <w:lang w:eastAsia="ja-JP"/>
        </w:rPr>
        <w:t>studies, including 2 cases pertaining to patients receiving placebo. Of the 5 cases reported</w:t>
      </w:r>
      <w:r>
        <w:rPr>
          <w:lang w:eastAsia="ja-JP"/>
        </w:rPr>
        <w:t xml:space="preserve"> </w:t>
      </w:r>
      <w:r w:rsidRPr="00766FB5">
        <w:rPr>
          <w:lang w:eastAsia="ja-JP"/>
        </w:rPr>
        <w:t xml:space="preserve">on bosentan, none was assessed as related to </w:t>
      </w:r>
      <w:r>
        <w:rPr>
          <w:lang w:eastAsia="ja-JP"/>
        </w:rPr>
        <w:t>study</w:t>
      </w:r>
      <w:r w:rsidRPr="00766FB5">
        <w:rPr>
          <w:lang w:eastAsia="ja-JP"/>
        </w:rPr>
        <w:t xml:space="preserve"> medication; none resulted in changes</w:t>
      </w:r>
      <w:r>
        <w:rPr>
          <w:lang w:eastAsia="ja-JP"/>
        </w:rPr>
        <w:t xml:space="preserve"> </w:t>
      </w:r>
      <w:r w:rsidRPr="00766FB5">
        <w:rPr>
          <w:lang w:eastAsia="ja-JP"/>
        </w:rPr>
        <w:t>in medication, and all resolved.</w:t>
      </w:r>
      <w:r>
        <w:rPr>
          <w:lang w:eastAsia="ja-JP"/>
        </w:rPr>
        <w:t xml:space="preserve"> Two</w:t>
      </w:r>
      <w:r w:rsidRPr="00766FB5">
        <w:rPr>
          <w:lang w:eastAsia="ja-JP"/>
        </w:rPr>
        <w:t xml:space="preserve"> cases were reported for paediatric patients with PAH, </w:t>
      </w:r>
      <w:r>
        <w:rPr>
          <w:lang w:eastAsia="ja-JP"/>
        </w:rPr>
        <w:t xml:space="preserve">an 8 </w:t>
      </w:r>
      <w:r w:rsidRPr="00766FB5">
        <w:rPr>
          <w:lang w:eastAsia="ja-JP"/>
        </w:rPr>
        <w:t>year</w:t>
      </w:r>
      <w:r w:rsidR="00D17D39">
        <w:rPr>
          <w:lang w:eastAsia="ja-JP"/>
        </w:rPr>
        <w:t xml:space="preserve"> </w:t>
      </w:r>
      <w:r w:rsidRPr="00766FB5">
        <w:rPr>
          <w:lang w:eastAsia="ja-JP"/>
        </w:rPr>
        <w:t>old</w:t>
      </w:r>
      <w:r>
        <w:rPr>
          <w:lang w:eastAsia="ja-JP"/>
        </w:rPr>
        <w:t xml:space="preserve"> </w:t>
      </w:r>
      <w:r w:rsidRPr="00766FB5">
        <w:rPr>
          <w:lang w:eastAsia="ja-JP"/>
        </w:rPr>
        <w:t xml:space="preserve">girl who had been switched from </w:t>
      </w:r>
      <w:proofErr w:type="spellStart"/>
      <w:r w:rsidRPr="00766FB5">
        <w:rPr>
          <w:lang w:eastAsia="ja-JP"/>
        </w:rPr>
        <w:t>bosentan</w:t>
      </w:r>
      <w:proofErr w:type="spellEnd"/>
      <w:r w:rsidRPr="00766FB5">
        <w:rPr>
          <w:lang w:eastAsia="ja-JP"/>
        </w:rPr>
        <w:t xml:space="preserve"> to </w:t>
      </w:r>
      <w:proofErr w:type="spellStart"/>
      <w:r w:rsidRPr="00766FB5">
        <w:rPr>
          <w:lang w:eastAsia="ja-JP"/>
        </w:rPr>
        <w:t>ambrisentan</w:t>
      </w:r>
      <w:proofErr w:type="spellEnd"/>
      <w:r w:rsidRPr="00766FB5">
        <w:rPr>
          <w:lang w:eastAsia="ja-JP"/>
        </w:rPr>
        <w:t xml:space="preserve"> 2.5 weeks before onset of</w:t>
      </w:r>
      <w:r>
        <w:rPr>
          <w:lang w:eastAsia="ja-JP"/>
        </w:rPr>
        <w:t xml:space="preserve"> </w:t>
      </w:r>
      <w:r w:rsidRPr="00766FB5">
        <w:rPr>
          <w:lang w:eastAsia="ja-JP"/>
        </w:rPr>
        <w:t xml:space="preserve">lobar pneumonia and concomitant nasal congestion and </w:t>
      </w:r>
      <w:r>
        <w:rPr>
          <w:lang w:eastAsia="ja-JP"/>
        </w:rPr>
        <w:t>a</w:t>
      </w:r>
      <w:r w:rsidR="007C5D1A">
        <w:rPr>
          <w:lang w:eastAsia="ja-JP"/>
        </w:rPr>
        <w:t xml:space="preserve"> 1 </w:t>
      </w:r>
      <w:r w:rsidRPr="00766FB5">
        <w:rPr>
          <w:lang w:eastAsia="ja-JP"/>
        </w:rPr>
        <w:t>year</w:t>
      </w:r>
      <w:r>
        <w:rPr>
          <w:lang w:eastAsia="ja-JP"/>
        </w:rPr>
        <w:t xml:space="preserve"> </w:t>
      </w:r>
      <w:r w:rsidRPr="00766FB5">
        <w:rPr>
          <w:lang w:eastAsia="ja-JP"/>
        </w:rPr>
        <w:t>old</w:t>
      </w:r>
      <w:r>
        <w:rPr>
          <w:lang w:eastAsia="ja-JP"/>
        </w:rPr>
        <w:t xml:space="preserve"> </w:t>
      </w:r>
      <w:r w:rsidRPr="00766FB5">
        <w:rPr>
          <w:lang w:eastAsia="ja-JP"/>
        </w:rPr>
        <w:t>boy with trisomy 21 in a context of adenoviral upper respiratory infection</w:t>
      </w:r>
      <w:r>
        <w:rPr>
          <w:lang w:eastAsia="ja-JP"/>
        </w:rPr>
        <w:t>.</w:t>
      </w:r>
    </w:p>
    <w:p w14:paraId="1D302276" w14:textId="77777777" w:rsidR="00C94BA1" w:rsidRDefault="00C94BA1" w:rsidP="00C94BA1">
      <w:pPr>
        <w:rPr>
          <w:lang w:eastAsia="ja-JP"/>
        </w:rPr>
      </w:pPr>
      <w:r w:rsidRPr="00A9695A">
        <w:rPr>
          <w:lang w:eastAsia="ja-JP"/>
        </w:rPr>
        <w:t>Cumulatively, since IBD, 1255 cases were retrieved with an event of nasal congestion. Bosentan was withdrawn or interrupted in 184 ca</w:t>
      </w:r>
      <w:r>
        <w:rPr>
          <w:lang w:eastAsia="ja-JP"/>
        </w:rPr>
        <w:t xml:space="preserve">ses and the dose was reduced in </w:t>
      </w:r>
      <w:r w:rsidR="007C5D1A">
        <w:rPr>
          <w:lang w:eastAsia="ja-JP"/>
        </w:rPr>
        <w:t>14 </w:t>
      </w:r>
      <w:r w:rsidRPr="00A9695A">
        <w:rPr>
          <w:lang w:eastAsia="ja-JP"/>
        </w:rPr>
        <w:t>cases (not necessarily related to the event of nasal congestion). The outcome of nasal</w:t>
      </w:r>
      <w:r>
        <w:rPr>
          <w:lang w:eastAsia="ja-JP"/>
        </w:rPr>
        <w:t xml:space="preserve"> </w:t>
      </w:r>
      <w:r w:rsidRPr="00A9695A">
        <w:rPr>
          <w:lang w:eastAsia="ja-JP"/>
        </w:rPr>
        <w:t>congestion was reported in 58 of these 198 cases, being resolved or improved in 48 and</w:t>
      </w:r>
      <w:r>
        <w:rPr>
          <w:lang w:eastAsia="ja-JP"/>
        </w:rPr>
        <w:t xml:space="preserve"> </w:t>
      </w:r>
      <w:r w:rsidRPr="00A9695A">
        <w:rPr>
          <w:lang w:eastAsia="ja-JP"/>
        </w:rPr>
        <w:t>not resolved in 10 cases. Outcome was not reported /unknown in the remaining</w:t>
      </w:r>
      <w:r>
        <w:rPr>
          <w:lang w:eastAsia="ja-JP"/>
        </w:rPr>
        <w:t xml:space="preserve"> </w:t>
      </w:r>
      <w:r w:rsidRPr="00A9695A">
        <w:rPr>
          <w:lang w:eastAsia="ja-JP"/>
        </w:rPr>
        <w:t>140 cases.</w:t>
      </w:r>
      <w:r>
        <w:rPr>
          <w:lang w:eastAsia="ja-JP"/>
        </w:rPr>
        <w:t xml:space="preserve"> </w:t>
      </w:r>
      <w:r w:rsidRPr="00A9695A">
        <w:rPr>
          <w:lang w:eastAsia="ja-JP"/>
        </w:rPr>
        <w:t>In 1</w:t>
      </w:r>
      <w:r>
        <w:rPr>
          <w:lang w:eastAsia="ja-JP"/>
        </w:rPr>
        <w:t>,</w:t>
      </w:r>
      <w:r w:rsidRPr="00A9695A">
        <w:rPr>
          <w:lang w:eastAsia="ja-JP"/>
        </w:rPr>
        <w:t>001 cases it was reported that bosentan was maintained unchanged, and 123 of these</w:t>
      </w:r>
      <w:r>
        <w:rPr>
          <w:lang w:eastAsia="ja-JP"/>
        </w:rPr>
        <w:t xml:space="preserve"> </w:t>
      </w:r>
      <w:r w:rsidRPr="00A9695A">
        <w:rPr>
          <w:lang w:eastAsia="ja-JP"/>
        </w:rPr>
        <w:t>cases had an outcome reported for nasal congestion: resolved or improved in 80 cases,</w:t>
      </w:r>
      <w:r>
        <w:rPr>
          <w:lang w:eastAsia="ja-JP"/>
        </w:rPr>
        <w:t xml:space="preserve"> </w:t>
      </w:r>
      <w:r w:rsidRPr="00A9695A">
        <w:rPr>
          <w:lang w:eastAsia="ja-JP"/>
        </w:rPr>
        <w:t>not resolved in 43, and worsened in 2 cases. Outcome was not reported /unknown in the</w:t>
      </w:r>
      <w:r>
        <w:rPr>
          <w:lang w:eastAsia="ja-JP"/>
        </w:rPr>
        <w:t xml:space="preserve"> </w:t>
      </w:r>
      <w:r w:rsidRPr="00A9695A">
        <w:rPr>
          <w:lang w:eastAsia="ja-JP"/>
        </w:rPr>
        <w:t>remaining 876 cases. Dose was increased in 2 cases (outcome not reported/ unknown), and action t</w:t>
      </w:r>
      <w:r>
        <w:rPr>
          <w:lang w:eastAsia="ja-JP"/>
        </w:rPr>
        <w:t xml:space="preserve">aken was </w:t>
      </w:r>
      <w:r w:rsidRPr="00A9695A">
        <w:rPr>
          <w:lang w:eastAsia="ja-JP"/>
        </w:rPr>
        <w:t>unknown in 54 cases with outcome resolved or improved in 12 cases, not resolved in 2,</w:t>
      </w:r>
      <w:r>
        <w:rPr>
          <w:lang w:eastAsia="ja-JP"/>
        </w:rPr>
        <w:t xml:space="preserve"> </w:t>
      </w:r>
      <w:r w:rsidRPr="00A9695A">
        <w:rPr>
          <w:lang w:eastAsia="ja-JP"/>
        </w:rPr>
        <w:t>and not reported/ unknown in the remaining 40 cases.</w:t>
      </w:r>
      <w:r>
        <w:rPr>
          <w:lang w:eastAsia="ja-JP"/>
        </w:rPr>
        <w:t xml:space="preserve"> </w:t>
      </w:r>
      <w:r w:rsidRPr="00A9695A">
        <w:rPr>
          <w:lang w:eastAsia="ja-JP"/>
        </w:rPr>
        <w:t>A positive rechallenge including nasal congestion was reported for 4 cases. In 10 other cases with ‘positive rechallenge’ indicated in</w:t>
      </w:r>
      <w:r>
        <w:rPr>
          <w:lang w:eastAsia="ja-JP"/>
        </w:rPr>
        <w:t xml:space="preserve"> Argus, rechallenge referred to </w:t>
      </w:r>
      <w:r w:rsidRPr="00A9695A">
        <w:rPr>
          <w:lang w:eastAsia="ja-JP"/>
        </w:rPr>
        <w:t>different events reported within the same case</w:t>
      </w:r>
      <w:r>
        <w:rPr>
          <w:lang w:eastAsia="ja-JP"/>
        </w:rPr>
        <w:t>.</w:t>
      </w:r>
    </w:p>
    <w:p w14:paraId="5AA6D957" w14:textId="77777777" w:rsidR="00C94BA1" w:rsidRDefault="00C94BA1" w:rsidP="00C94BA1">
      <w:pPr>
        <w:rPr>
          <w:lang w:eastAsia="ja-JP"/>
        </w:rPr>
      </w:pPr>
      <w:r w:rsidRPr="00A9695A">
        <w:rPr>
          <w:lang w:eastAsia="ja-JP"/>
        </w:rPr>
        <w:t>Based on the above evaluation, ‘nasal congestion’ was id</w:t>
      </w:r>
      <w:r>
        <w:rPr>
          <w:lang w:eastAsia="ja-JP"/>
        </w:rPr>
        <w:t xml:space="preserve">entified as a signal, which was </w:t>
      </w:r>
      <w:r w:rsidRPr="00A9695A">
        <w:rPr>
          <w:lang w:eastAsia="ja-JP"/>
        </w:rPr>
        <w:t>closed during the cu</w:t>
      </w:r>
      <w:r>
        <w:rPr>
          <w:lang w:eastAsia="ja-JP"/>
        </w:rPr>
        <w:t xml:space="preserve">rrent review period and </w:t>
      </w:r>
      <w:r w:rsidRPr="00A9695A">
        <w:rPr>
          <w:lang w:eastAsia="ja-JP"/>
        </w:rPr>
        <w:t xml:space="preserve">classified as an ADR. </w:t>
      </w:r>
      <w:r>
        <w:rPr>
          <w:lang w:eastAsia="ja-JP"/>
        </w:rPr>
        <w:t>The sponsor proposes to add ‘nasal congestion’ to the ADR table in the SmPC, as a ‘common’ event under the ‘Respiratory, thoracic and mediastinal disorders’ SOC. The CCDS will be updated accordingly.</w:t>
      </w:r>
    </w:p>
    <w:p w14:paraId="4DECBB97" w14:textId="77777777" w:rsidR="00C94BA1" w:rsidRPr="00C94BA1" w:rsidRDefault="00C94BA1" w:rsidP="00C94BA1">
      <w:pPr>
        <w:pStyle w:val="Heading4"/>
      </w:pPr>
      <w:r w:rsidRPr="00C94BA1">
        <w:t>Fall</w:t>
      </w:r>
    </w:p>
    <w:p w14:paraId="0DE579A8" w14:textId="29A6D836" w:rsidR="00C94BA1" w:rsidRPr="00A2508E" w:rsidRDefault="00C94BA1" w:rsidP="00C94BA1">
      <w:pPr>
        <w:rPr>
          <w:iCs/>
          <w:lang w:eastAsia="ja-JP"/>
        </w:rPr>
      </w:pPr>
      <w:r>
        <w:rPr>
          <w:lang w:eastAsia="ja-JP"/>
        </w:rPr>
        <w:t>In the 20 integrated placebo controlled trials hypotension</w:t>
      </w:r>
      <w:r w:rsidRPr="00A9695A">
        <w:rPr>
          <w:lang w:eastAsia="ja-JP"/>
        </w:rPr>
        <w:t xml:space="preserve"> was reported at a lower incidence in </w:t>
      </w:r>
      <w:r>
        <w:rPr>
          <w:lang w:eastAsia="ja-JP"/>
        </w:rPr>
        <w:t xml:space="preserve">bosentan treated </w:t>
      </w:r>
      <w:r w:rsidRPr="00A9695A">
        <w:rPr>
          <w:lang w:eastAsia="ja-JP"/>
        </w:rPr>
        <w:t>patients (5.8%) than</w:t>
      </w:r>
      <w:r w:rsidR="007C5D1A">
        <w:rPr>
          <w:lang w:eastAsia="ja-JP"/>
        </w:rPr>
        <w:t xml:space="preserve"> in placebo </w:t>
      </w:r>
      <w:r w:rsidRPr="00A9695A">
        <w:rPr>
          <w:lang w:eastAsia="ja-JP"/>
        </w:rPr>
        <w:t xml:space="preserve">treated patients (6.5%). </w:t>
      </w:r>
      <w:r>
        <w:rPr>
          <w:lang w:eastAsia="ja-JP"/>
        </w:rPr>
        <w:t>I</w:t>
      </w:r>
      <w:r w:rsidRPr="00A9695A">
        <w:rPr>
          <w:lang w:eastAsia="ja-JP"/>
        </w:rPr>
        <w:t>n the PAH subset, the incidence on bosentan (3.2%) was similar to</w:t>
      </w:r>
      <w:r>
        <w:rPr>
          <w:lang w:eastAsia="ja-JP"/>
        </w:rPr>
        <w:t xml:space="preserve"> </w:t>
      </w:r>
      <w:r w:rsidRPr="00A9695A">
        <w:rPr>
          <w:lang w:eastAsia="ja-JP"/>
        </w:rPr>
        <w:t xml:space="preserve">that on placebo (3.0%). </w:t>
      </w:r>
      <w:r>
        <w:rPr>
          <w:lang w:eastAsia="ja-JP"/>
        </w:rPr>
        <w:lastRenderedPageBreak/>
        <w:t>Syncope</w:t>
      </w:r>
      <w:r w:rsidRPr="00A9695A">
        <w:rPr>
          <w:lang w:eastAsia="ja-JP"/>
        </w:rPr>
        <w:t xml:space="preserve"> was reported at a lower incidence in </w:t>
      </w:r>
      <w:r>
        <w:rPr>
          <w:lang w:eastAsia="ja-JP"/>
        </w:rPr>
        <w:t>bosentan treated</w:t>
      </w:r>
      <w:r w:rsidRPr="00A9695A">
        <w:rPr>
          <w:lang w:eastAsia="ja-JP"/>
        </w:rPr>
        <w:t xml:space="preserve"> patients</w:t>
      </w:r>
      <w:r>
        <w:rPr>
          <w:lang w:eastAsia="ja-JP"/>
        </w:rPr>
        <w:t xml:space="preserve"> </w:t>
      </w:r>
      <w:r w:rsidRPr="00A9695A">
        <w:rPr>
          <w:lang w:eastAsia="ja-JP"/>
        </w:rPr>
        <w:t xml:space="preserve">(2.3%) than in </w:t>
      </w:r>
      <w:r w:rsidR="007C5D1A">
        <w:rPr>
          <w:lang w:eastAsia="ja-JP"/>
        </w:rPr>
        <w:t>placebo treated</w:t>
      </w:r>
      <w:r w:rsidRPr="00A9695A">
        <w:rPr>
          <w:lang w:eastAsia="ja-JP"/>
        </w:rPr>
        <w:t xml:space="preserve"> patients (3.1%). In the PAH subset, the incidence of</w:t>
      </w:r>
      <w:r>
        <w:rPr>
          <w:lang w:eastAsia="ja-JP"/>
        </w:rPr>
        <w:t xml:space="preserve"> </w:t>
      </w:r>
      <w:r w:rsidRPr="00A9695A">
        <w:rPr>
          <w:lang w:eastAsia="ja-JP"/>
        </w:rPr>
        <w:t xml:space="preserve">syncope on bosentan (4.1%) and placebo (4.0%) was similar. The incidence of syncope reported as a </w:t>
      </w:r>
      <w:r>
        <w:rPr>
          <w:lang w:eastAsia="ja-JP"/>
        </w:rPr>
        <w:t>SAE</w:t>
      </w:r>
      <w:r w:rsidRPr="00A9695A">
        <w:rPr>
          <w:lang w:eastAsia="ja-JP"/>
        </w:rPr>
        <w:t xml:space="preserve"> was 1.0%</w:t>
      </w:r>
      <w:r>
        <w:rPr>
          <w:lang w:eastAsia="ja-JP"/>
        </w:rPr>
        <w:t xml:space="preserve"> </w:t>
      </w:r>
      <w:r w:rsidRPr="00A9695A">
        <w:rPr>
          <w:lang w:eastAsia="ja-JP"/>
        </w:rPr>
        <w:t>on bosentan and 1.6% on placebo in the overall pool. A few patients discontinued</w:t>
      </w:r>
      <w:r>
        <w:rPr>
          <w:lang w:eastAsia="ja-JP"/>
        </w:rPr>
        <w:t xml:space="preserve"> </w:t>
      </w:r>
      <w:r w:rsidRPr="00A9695A">
        <w:rPr>
          <w:lang w:eastAsia="ja-JP"/>
        </w:rPr>
        <w:t xml:space="preserve">treatment due to syncope (4 patients [0.2%] on bosentan and 2 patients </w:t>
      </w:r>
      <w:r w:rsidR="00CE3A02">
        <w:rPr>
          <w:lang w:eastAsia="ja-JP"/>
        </w:rPr>
        <w:t>(</w:t>
      </w:r>
      <w:r w:rsidRPr="00A9695A">
        <w:rPr>
          <w:lang w:eastAsia="ja-JP"/>
        </w:rPr>
        <w:t>0.1</w:t>
      </w:r>
      <w:r w:rsidR="00CE3A02" w:rsidRPr="00A9695A">
        <w:rPr>
          <w:lang w:eastAsia="ja-JP"/>
        </w:rPr>
        <w:t>%</w:t>
      </w:r>
      <w:r w:rsidR="00CE3A02">
        <w:rPr>
          <w:lang w:eastAsia="ja-JP"/>
        </w:rPr>
        <w:t>)</w:t>
      </w:r>
      <w:r w:rsidR="00CE3A02" w:rsidRPr="00A9695A">
        <w:rPr>
          <w:lang w:eastAsia="ja-JP"/>
        </w:rPr>
        <w:t xml:space="preserve"> </w:t>
      </w:r>
      <w:r w:rsidRPr="00A9695A">
        <w:rPr>
          <w:lang w:eastAsia="ja-JP"/>
        </w:rPr>
        <w:t>on</w:t>
      </w:r>
      <w:r>
        <w:rPr>
          <w:lang w:eastAsia="ja-JP"/>
        </w:rPr>
        <w:t xml:space="preserve"> </w:t>
      </w:r>
      <w:r w:rsidRPr="00A9695A">
        <w:rPr>
          <w:lang w:eastAsia="ja-JP"/>
        </w:rPr>
        <w:t xml:space="preserve">placebo). The distribution of events of fall and injuries is </w:t>
      </w:r>
      <w:r w:rsidRPr="00D81D7C">
        <w:rPr>
          <w:lang w:eastAsia="ja-JP"/>
        </w:rPr>
        <w:t xml:space="preserve">shown in Table </w:t>
      </w:r>
      <w:r w:rsidR="00FE6C13">
        <w:rPr>
          <w:lang w:eastAsia="ja-JP"/>
        </w:rPr>
        <w:t>21</w:t>
      </w:r>
      <w:r w:rsidRPr="00D81D7C">
        <w:rPr>
          <w:lang w:eastAsia="ja-JP"/>
        </w:rPr>
        <w:t>.</w:t>
      </w:r>
    </w:p>
    <w:p w14:paraId="3778E7CA" w14:textId="77777777" w:rsidR="00C94BA1" w:rsidRDefault="00C94BA1" w:rsidP="00C94BA1">
      <w:pPr>
        <w:pStyle w:val="Tabletitle0"/>
        <w:rPr>
          <w:lang w:eastAsia="ja-JP"/>
        </w:rPr>
      </w:pPr>
      <w:bookmarkStart w:id="139" w:name="_Ref461457203"/>
      <w:bookmarkStart w:id="140" w:name="_Toc473884128"/>
      <w:r w:rsidRPr="00D81D7C">
        <w:t xml:space="preserve">Table </w:t>
      </w:r>
      <w:bookmarkEnd w:id="139"/>
      <w:r w:rsidR="00FE6C13">
        <w:t>21</w:t>
      </w:r>
      <w:r w:rsidRPr="00D81D7C">
        <w:t>: PSUR</w:t>
      </w:r>
      <w:r>
        <w:t xml:space="preserve"> 20 Summary of selected TEAEs potentially associated with fall and events of injury in the overall pool and for the approved indications</w:t>
      </w:r>
      <w:bookmarkEnd w:id="140"/>
    </w:p>
    <w:p w14:paraId="34610E58" w14:textId="77777777" w:rsidR="00C94BA1" w:rsidRDefault="00C94BA1" w:rsidP="00605AD4">
      <w:pPr>
        <w:rPr>
          <w:lang w:eastAsia="ja-JP"/>
        </w:rPr>
      </w:pPr>
      <w:r>
        <w:rPr>
          <w:noProof/>
          <w:lang w:eastAsia="en-AU"/>
        </w:rPr>
        <w:drawing>
          <wp:inline distT="0" distB="0" distL="0" distR="0" wp14:anchorId="238301BD" wp14:editId="73E66395">
            <wp:extent cx="5400040" cy="2641173"/>
            <wp:effectExtent l="0" t="0" r="0" b="6985"/>
            <wp:docPr id="15" name="Picture 15" descr="Table 21: PSUR 20 Summary of selected TEAEs potentially associated with fall and events of injury in the overall pool and for the approved in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00040" cy="2641173"/>
                    </a:xfrm>
                    <a:prstGeom prst="rect">
                      <a:avLst/>
                    </a:prstGeom>
                  </pic:spPr>
                </pic:pic>
              </a:graphicData>
            </a:graphic>
          </wp:inline>
        </w:drawing>
      </w:r>
    </w:p>
    <w:p w14:paraId="0A701745" w14:textId="77777777" w:rsidR="00C94BA1" w:rsidRPr="00A9695A" w:rsidRDefault="00C94BA1" w:rsidP="00C94BA1">
      <w:pPr>
        <w:rPr>
          <w:lang w:eastAsia="ja-JP"/>
        </w:rPr>
      </w:pPr>
      <w:r>
        <w:rPr>
          <w:bCs/>
          <w:iCs/>
          <w:lang w:eastAsia="ja-JP"/>
        </w:rPr>
        <w:t xml:space="preserve">Falls </w:t>
      </w:r>
      <w:r>
        <w:rPr>
          <w:lang w:eastAsia="ja-JP"/>
        </w:rPr>
        <w:t>were</w:t>
      </w:r>
      <w:r w:rsidRPr="00A9695A">
        <w:rPr>
          <w:lang w:eastAsia="ja-JP"/>
        </w:rPr>
        <w:t xml:space="preserve"> reported at a lower incidence in </w:t>
      </w:r>
      <w:r>
        <w:rPr>
          <w:lang w:eastAsia="ja-JP"/>
        </w:rPr>
        <w:t>bosentan treated</w:t>
      </w:r>
      <w:r w:rsidRPr="00A9695A">
        <w:rPr>
          <w:lang w:eastAsia="ja-JP"/>
        </w:rPr>
        <w:t xml:space="preserve"> patients (1.1%) than in</w:t>
      </w:r>
      <w:r>
        <w:rPr>
          <w:lang w:eastAsia="ja-JP"/>
        </w:rPr>
        <w:t xml:space="preserve"> </w:t>
      </w:r>
      <w:r w:rsidR="007C5D1A">
        <w:rPr>
          <w:lang w:eastAsia="ja-JP"/>
        </w:rPr>
        <w:t>placebo treated</w:t>
      </w:r>
      <w:r w:rsidRPr="00A9695A">
        <w:rPr>
          <w:lang w:eastAsia="ja-JP"/>
        </w:rPr>
        <w:t xml:space="preserve"> patients (2.4%). In the PAH and DU/</w:t>
      </w:r>
      <w:proofErr w:type="spellStart"/>
      <w:r w:rsidRPr="00A9695A">
        <w:rPr>
          <w:lang w:eastAsia="ja-JP"/>
        </w:rPr>
        <w:t>SSc</w:t>
      </w:r>
      <w:proofErr w:type="spellEnd"/>
      <w:r w:rsidRPr="00A9695A">
        <w:rPr>
          <w:lang w:eastAsia="ja-JP"/>
        </w:rPr>
        <w:t xml:space="preserve"> subsets, the observed incidence</w:t>
      </w:r>
      <w:r>
        <w:rPr>
          <w:lang w:eastAsia="ja-JP"/>
        </w:rPr>
        <w:t xml:space="preserve"> </w:t>
      </w:r>
      <w:r w:rsidRPr="00A9695A">
        <w:rPr>
          <w:lang w:eastAsia="ja-JP"/>
        </w:rPr>
        <w:t>of falls in patients treated with bosentan was 0.3% and 0.6%, respectively, and in the</w:t>
      </w:r>
      <w:r>
        <w:rPr>
          <w:lang w:eastAsia="ja-JP"/>
        </w:rPr>
        <w:t xml:space="preserve"> </w:t>
      </w:r>
      <w:r w:rsidR="007C5D1A">
        <w:rPr>
          <w:lang w:eastAsia="ja-JP"/>
        </w:rPr>
        <w:t>placebo treated</w:t>
      </w:r>
      <w:r w:rsidRPr="00A9695A">
        <w:rPr>
          <w:lang w:eastAsia="ja-JP"/>
        </w:rPr>
        <w:t xml:space="preserve"> patients 0.5% and 1.5%, respectively.</w:t>
      </w:r>
      <w:r>
        <w:rPr>
          <w:lang w:eastAsia="ja-JP"/>
        </w:rPr>
        <w:t xml:space="preserve"> </w:t>
      </w:r>
      <w:r>
        <w:rPr>
          <w:bCs/>
          <w:iCs/>
          <w:lang w:eastAsia="ja-JP"/>
        </w:rPr>
        <w:t>R</w:t>
      </w:r>
      <w:r w:rsidRPr="004C2433">
        <w:rPr>
          <w:lang w:eastAsia="ja-JP"/>
        </w:rPr>
        <w:t>ib</w:t>
      </w:r>
      <w:r w:rsidRPr="00A9695A">
        <w:rPr>
          <w:lang w:eastAsia="ja-JP"/>
        </w:rPr>
        <w:t xml:space="preserve"> fracture was the most commonly reported injury event, reported in 0.5% of</w:t>
      </w:r>
      <w:r>
        <w:rPr>
          <w:lang w:eastAsia="ja-JP"/>
        </w:rPr>
        <w:t xml:space="preserve"> </w:t>
      </w:r>
      <w:r w:rsidR="007C5D1A">
        <w:rPr>
          <w:lang w:eastAsia="ja-JP"/>
        </w:rPr>
        <w:t>bosentan</w:t>
      </w:r>
      <w:r w:rsidRPr="00A9695A">
        <w:rPr>
          <w:lang w:eastAsia="ja-JP"/>
        </w:rPr>
        <w:t xml:space="preserve"> and </w:t>
      </w:r>
      <w:r w:rsidR="007C5D1A">
        <w:rPr>
          <w:lang w:eastAsia="ja-JP"/>
        </w:rPr>
        <w:t>placebo treated</w:t>
      </w:r>
      <w:r w:rsidRPr="00A9695A">
        <w:rPr>
          <w:lang w:eastAsia="ja-JP"/>
        </w:rPr>
        <w:t xml:space="preserve"> patients, followed by muscle strain and limb fracture.</w:t>
      </w:r>
    </w:p>
    <w:p w14:paraId="0939689E" w14:textId="77777777" w:rsidR="00C94BA1" w:rsidRDefault="00C94BA1" w:rsidP="00C94BA1">
      <w:pPr>
        <w:rPr>
          <w:lang w:eastAsia="ja-JP"/>
        </w:rPr>
      </w:pPr>
      <w:r>
        <w:rPr>
          <w:lang w:eastAsia="ja-JP"/>
        </w:rPr>
        <w:t xml:space="preserve">The safety database contained </w:t>
      </w:r>
      <w:r w:rsidRPr="00A9695A">
        <w:rPr>
          <w:lang w:eastAsia="ja-JP"/>
        </w:rPr>
        <w:t>42 case reports containing an event of fall (2 case reports</w:t>
      </w:r>
      <w:r>
        <w:rPr>
          <w:lang w:eastAsia="ja-JP"/>
        </w:rPr>
        <w:t xml:space="preserve"> </w:t>
      </w:r>
      <w:r w:rsidRPr="00A9695A">
        <w:rPr>
          <w:lang w:eastAsia="ja-JP"/>
        </w:rPr>
        <w:t xml:space="preserve">pertained to 1 patient) in </w:t>
      </w:r>
      <w:r>
        <w:rPr>
          <w:lang w:eastAsia="ja-JP"/>
        </w:rPr>
        <w:t>bosentan treated</w:t>
      </w:r>
      <w:r w:rsidRPr="00A9695A">
        <w:rPr>
          <w:lang w:eastAsia="ja-JP"/>
        </w:rPr>
        <w:t xml:space="preserve"> patients</w:t>
      </w:r>
      <w:r>
        <w:rPr>
          <w:lang w:eastAsia="ja-JP"/>
        </w:rPr>
        <w:t xml:space="preserve"> from completed or ongoing clinical trials.</w:t>
      </w:r>
    </w:p>
    <w:p w14:paraId="7A6F31DD" w14:textId="77777777" w:rsidR="00C94BA1" w:rsidRDefault="00C94BA1" w:rsidP="00C94BA1">
      <w:pPr>
        <w:rPr>
          <w:lang w:eastAsia="ja-JP"/>
        </w:rPr>
      </w:pPr>
      <w:r>
        <w:rPr>
          <w:lang w:eastAsia="ja-JP"/>
        </w:rPr>
        <w:t xml:space="preserve">There were </w:t>
      </w:r>
      <w:r w:rsidRPr="004C2433">
        <w:rPr>
          <w:lang w:eastAsia="ja-JP"/>
        </w:rPr>
        <w:t xml:space="preserve">1486 </w:t>
      </w:r>
      <w:r w:rsidR="007C5D1A">
        <w:rPr>
          <w:lang w:eastAsia="ja-JP"/>
        </w:rPr>
        <w:t xml:space="preserve">post </w:t>
      </w:r>
      <w:r>
        <w:rPr>
          <w:lang w:eastAsia="ja-JP"/>
        </w:rPr>
        <w:t xml:space="preserve">market </w:t>
      </w:r>
      <w:r w:rsidRPr="004C2433">
        <w:rPr>
          <w:lang w:eastAsia="ja-JP"/>
        </w:rPr>
        <w:t>case reports pertaining to</w:t>
      </w:r>
      <w:r>
        <w:rPr>
          <w:lang w:eastAsia="ja-JP"/>
        </w:rPr>
        <w:t xml:space="preserve"> </w:t>
      </w:r>
      <w:r w:rsidRPr="004C2433">
        <w:rPr>
          <w:lang w:eastAsia="ja-JP"/>
        </w:rPr>
        <w:t>1365 patients containing an event of fall were received, giving an estimated reporting</w:t>
      </w:r>
      <w:r>
        <w:rPr>
          <w:lang w:eastAsia="ja-JP"/>
        </w:rPr>
        <w:t xml:space="preserve"> rate of 1</w:t>
      </w:r>
      <w:r w:rsidRPr="004C2433">
        <w:rPr>
          <w:lang w:eastAsia="ja-JP"/>
        </w:rPr>
        <w:t>%</w:t>
      </w:r>
      <w:r>
        <w:rPr>
          <w:lang w:eastAsia="ja-JP"/>
        </w:rPr>
        <w:t xml:space="preserve">. The </w:t>
      </w:r>
      <w:r w:rsidRPr="00022054">
        <w:rPr>
          <w:lang w:eastAsia="ja-JP"/>
        </w:rPr>
        <w:t>majority of the cases (91.7%) were solicited through observational (non-interventional)</w:t>
      </w:r>
      <w:r>
        <w:rPr>
          <w:lang w:eastAsia="ja-JP"/>
        </w:rPr>
        <w:t xml:space="preserve"> </w:t>
      </w:r>
      <w:r w:rsidR="007C5D1A">
        <w:rPr>
          <w:lang w:eastAsia="ja-JP"/>
        </w:rPr>
        <w:t>post market</w:t>
      </w:r>
      <w:r w:rsidRPr="00022054">
        <w:rPr>
          <w:lang w:eastAsia="ja-JP"/>
        </w:rPr>
        <w:t>ing surveillance (PMS) programmes</w:t>
      </w:r>
      <w:r>
        <w:rPr>
          <w:lang w:eastAsia="ja-JP"/>
        </w:rPr>
        <w:t>.</w:t>
      </w:r>
      <w:r w:rsidRPr="004C2433">
        <w:rPr>
          <w:lang w:eastAsia="ja-JP"/>
        </w:rPr>
        <w:t xml:space="preserve"> </w:t>
      </w:r>
      <w:r w:rsidRPr="00022054">
        <w:rPr>
          <w:lang w:eastAsia="ja-JP"/>
        </w:rPr>
        <w:t>The majority of</w:t>
      </w:r>
      <w:r>
        <w:rPr>
          <w:lang w:eastAsia="ja-JP"/>
        </w:rPr>
        <w:t xml:space="preserve"> cases (81.9%) with an event of </w:t>
      </w:r>
      <w:r w:rsidRPr="00022054">
        <w:rPr>
          <w:lang w:eastAsia="ja-JP"/>
        </w:rPr>
        <w:t>fall pertained to female patients; 70.9% of the cases pertained to the elderly, and 28.3% to</w:t>
      </w:r>
      <w:r>
        <w:rPr>
          <w:lang w:eastAsia="ja-JP"/>
        </w:rPr>
        <w:t xml:space="preserve"> </w:t>
      </w:r>
      <w:r w:rsidRPr="00022054">
        <w:rPr>
          <w:lang w:eastAsia="ja-JP"/>
        </w:rPr>
        <w:t>adults.</w:t>
      </w:r>
      <w:r>
        <w:rPr>
          <w:lang w:eastAsia="ja-JP"/>
        </w:rPr>
        <w:t xml:space="preserve"> A total of </w:t>
      </w:r>
      <w:r w:rsidRPr="00022054">
        <w:rPr>
          <w:lang w:eastAsia="ja-JP"/>
        </w:rPr>
        <w:t>230 cases (pertaining to 224 patients) contained an ev</w:t>
      </w:r>
      <w:r>
        <w:rPr>
          <w:lang w:eastAsia="ja-JP"/>
        </w:rPr>
        <w:t xml:space="preserve">ent of fall and events denoting </w:t>
      </w:r>
      <w:r w:rsidRPr="00022054">
        <w:rPr>
          <w:lang w:eastAsia="ja-JP"/>
        </w:rPr>
        <w:t>hypotension and/or syncope, representing an estimated reporting rate of 0.2%</w:t>
      </w:r>
      <w:r>
        <w:rPr>
          <w:lang w:eastAsia="ja-JP"/>
        </w:rPr>
        <w:t xml:space="preserve"> </w:t>
      </w:r>
      <w:r w:rsidRPr="00022054">
        <w:rPr>
          <w:lang w:eastAsia="ja-JP"/>
        </w:rPr>
        <w:t>(230 cases / 147,197 exposed patients).</w:t>
      </w:r>
      <w:r>
        <w:rPr>
          <w:lang w:eastAsia="ja-JP"/>
        </w:rPr>
        <w:t xml:space="preserve"> In cases with events of fall and events denoting hypotension or syncope there were 90 cases with 120 events of injury. </w:t>
      </w:r>
      <w:r w:rsidRPr="00022054">
        <w:rPr>
          <w:lang w:eastAsia="ja-JP"/>
        </w:rPr>
        <w:t>The most commonly reported events of in</w:t>
      </w:r>
      <w:r>
        <w:rPr>
          <w:lang w:eastAsia="ja-JP"/>
        </w:rPr>
        <w:t xml:space="preserve">jury included </w:t>
      </w:r>
      <w:r w:rsidRPr="00022054">
        <w:rPr>
          <w:lang w:eastAsia="ja-JP"/>
        </w:rPr>
        <w:t>head/face injury and lower limb injury/fracture.</w:t>
      </w:r>
      <w:r>
        <w:rPr>
          <w:lang w:eastAsia="ja-JP"/>
        </w:rPr>
        <w:t xml:space="preserve"> There were </w:t>
      </w:r>
      <w:r w:rsidRPr="001569FB">
        <w:rPr>
          <w:lang w:eastAsia="ja-JP"/>
        </w:rPr>
        <w:t>140 cases with events of fall, events denoting hypotension and/or syncope and without</w:t>
      </w:r>
      <w:r>
        <w:rPr>
          <w:lang w:eastAsia="ja-JP"/>
        </w:rPr>
        <w:t xml:space="preserve"> </w:t>
      </w:r>
      <w:r w:rsidRPr="001569FB">
        <w:rPr>
          <w:lang w:eastAsia="ja-JP"/>
        </w:rPr>
        <w:t>events of injury were retrieved from the safety database.</w:t>
      </w:r>
    </w:p>
    <w:p w14:paraId="16D8DB88" w14:textId="77777777" w:rsidR="00C94BA1" w:rsidRDefault="00C94BA1" w:rsidP="00C94BA1">
      <w:pPr>
        <w:rPr>
          <w:lang w:eastAsia="ja-JP"/>
        </w:rPr>
      </w:pPr>
      <w:r>
        <w:rPr>
          <w:lang w:eastAsia="ja-JP"/>
        </w:rPr>
        <w:t xml:space="preserve">There were </w:t>
      </w:r>
      <w:r w:rsidRPr="001569FB">
        <w:rPr>
          <w:lang w:eastAsia="ja-JP"/>
        </w:rPr>
        <w:t>1</w:t>
      </w:r>
      <w:r w:rsidR="007C5D1A">
        <w:rPr>
          <w:lang w:eastAsia="ja-JP"/>
        </w:rPr>
        <w:t>,</w:t>
      </w:r>
      <w:r w:rsidRPr="001569FB">
        <w:rPr>
          <w:lang w:eastAsia="ja-JP"/>
        </w:rPr>
        <w:t>256 cases (pertaining to 1</w:t>
      </w:r>
      <w:r w:rsidR="007C5D1A">
        <w:rPr>
          <w:lang w:eastAsia="ja-JP"/>
        </w:rPr>
        <w:t>,</w:t>
      </w:r>
      <w:r w:rsidRPr="001569FB">
        <w:rPr>
          <w:lang w:eastAsia="ja-JP"/>
        </w:rPr>
        <w:t>172 patients) contained an event of fall</w:t>
      </w:r>
      <w:r>
        <w:rPr>
          <w:lang w:eastAsia="ja-JP"/>
        </w:rPr>
        <w:t xml:space="preserve"> without events denoting hypotension and/or syncope and 573 of the 1</w:t>
      </w:r>
      <w:r w:rsidR="007C5D1A">
        <w:rPr>
          <w:lang w:eastAsia="ja-JP"/>
        </w:rPr>
        <w:t>,</w:t>
      </w:r>
      <w:r>
        <w:rPr>
          <w:lang w:eastAsia="ja-JP"/>
        </w:rPr>
        <w:t>256 cases</w:t>
      </w:r>
      <w:r w:rsidRPr="001569FB">
        <w:rPr>
          <w:lang w:eastAsia="ja-JP"/>
        </w:rPr>
        <w:t xml:space="preserve"> contained events of fall and injury.</w:t>
      </w:r>
      <w:r>
        <w:rPr>
          <w:lang w:eastAsia="ja-JP"/>
        </w:rPr>
        <w:t xml:space="preserve"> </w:t>
      </w:r>
      <w:r w:rsidRPr="001569FB">
        <w:rPr>
          <w:lang w:eastAsia="ja-JP"/>
        </w:rPr>
        <w:t>In the 573 cases, 703 events of injury were reported. Th</w:t>
      </w:r>
      <w:r>
        <w:rPr>
          <w:lang w:eastAsia="ja-JP"/>
        </w:rPr>
        <w:t xml:space="preserve">e most commonly reported events </w:t>
      </w:r>
      <w:r w:rsidRPr="001569FB">
        <w:rPr>
          <w:lang w:eastAsia="ja-JP"/>
        </w:rPr>
        <w:t>of injury were lower limb fracture, mainly hip fracture (100), followed by head/face</w:t>
      </w:r>
      <w:r>
        <w:rPr>
          <w:lang w:eastAsia="ja-JP"/>
        </w:rPr>
        <w:t xml:space="preserve"> </w:t>
      </w:r>
      <w:r w:rsidRPr="001569FB">
        <w:rPr>
          <w:lang w:eastAsia="ja-JP"/>
        </w:rPr>
        <w:t>injury and upper limb fracture.</w:t>
      </w:r>
    </w:p>
    <w:p w14:paraId="186AA7C8" w14:textId="77777777" w:rsidR="00C94BA1" w:rsidRDefault="00C94BA1" w:rsidP="00C94BA1">
      <w:pPr>
        <w:rPr>
          <w:lang w:eastAsia="ja-JP"/>
        </w:rPr>
      </w:pPr>
      <w:r w:rsidRPr="00E11787">
        <w:rPr>
          <w:lang w:eastAsia="ja-JP"/>
        </w:rPr>
        <w:lastRenderedPageBreak/>
        <w:t>The latency of fall occurrence varied from less than 1 month following treatment</w:t>
      </w:r>
      <w:r>
        <w:rPr>
          <w:lang w:eastAsia="ja-JP"/>
        </w:rPr>
        <w:t xml:space="preserve"> </w:t>
      </w:r>
      <w:r w:rsidRPr="00E11787">
        <w:rPr>
          <w:lang w:eastAsia="ja-JP"/>
        </w:rPr>
        <w:t>initiation to up to more than 5 years</w:t>
      </w:r>
      <w:r>
        <w:rPr>
          <w:lang w:eastAsia="ja-JP"/>
        </w:rPr>
        <w:t xml:space="preserve">. </w:t>
      </w:r>
      <w:r w:rsidRPr="00E11787">
        <w:rPr>
          <w:lang w:eastAsia="ja-JP"/>
        </w:rPr>
        <w:t>The date of fall occurrence and the date of bosentan initia</w:t>
      </w:r>
      <w:r>
        <w:rPr>
          <w:lang w:eastAsia="ja-JP"/>
        </w:rPr>
        <w:t xml:space="preserve">tion were available only in 314 </w:t>
      </w:r>
      <w:r w:rsidRPr="00E11787">
        <w:rPr>
          <w:lang w:eastAsia="ja-JP"/>
        </w:rPr>
        <w:t>of the 1</w:t>
      </w:r>
      <w:r w:rsidR="007C5D1A">
        <w:rPr>
          <w:lang w:eastAsia="ja-JP"/>
        </w:rPr>
        <w:t>,</w:t>
      </w:r>
      <w:r w:rsidRPr="00E11787">
        <w:rPr>
          <w:lang w:eastAsia="ja-JP"/>
        </w:rPr>
        <w:t>486 cases, including 44 cases with events of hypotension/syncope. Of the</w:t>
      </w:r>
      <w:r>
        <w:rPr>
          <w:lang w:eastAsia="ja-JP"/>
        </w:rPr>
        <w:t xml:space="preserve"> </w:t>
      </w:r>
      <w:r w:rsidRPr="00E11787">
        <w:rPr>
          <w:lang w:eastAsia="ja-JP"/>
        </w:rPr>
        <w:t>314 cases the latency was shorter than 1 year in 129 cases (including 23 cases with a</w:t>
      </w:r>
      <w:r>
        <w:rPr>
          <w:lang w:eastAsia="ja-JP"/>
        </w:rPr>
        <w:t xml:space="preserve"> </w:t>
      </w:r>
      <w:r w:rsidRPr="00E11787">
        <w:rPr>
          <w:lang w:eastAsia="ja-JP"/>
        </w:rPr>
        <w:t>latency of up to 1 month) and longer than 1 year in 185 cases.</w:t>
      </w:r>
      <w:r>
        <w:rPr>
          <w:lang w:eastAsia="ja-JP"/>
        </w:rPr>
        <w:t xml:space="preserve"> The sponsor considers the long latency </w:t>
      </w:r>
      <w:r w:rsidRPr="00E11787">
        <w:rPr>
          <w:lang w:eastAsia="ja-JP"/>
        </w:rPr>
        <w:t>(</w:t>
      </w:r>
      <w:r>
        <w:rPr>
          <w:lang w:eastAsia="ja-JP"/>
        </w:rPr>
        <w:t xml:space="preserve">&gt; </w:t>
      </w:r>
      <w:r w:rsidRPr="00E11787">
        <w:rPr>
          <w:lang w:eastAsia="ja-JP"/>
        </w:rPr>
        <w:t xml:space="preserve">1 year) in about 58.9% of cases with the available information </w:t>
      </w:r>
      <w:r>
        <w:rPr>
          <w:lang w:eastAsia="ja-JP"/>
        </w:rPr>
        <w:t xml:space="preserve">to </w:t>
      </w:r>
      <w:r w:rsidRPr="00E11787">
        <w:rPr>
          <w:lang w:eastAsia="ja-JP"/>
        </w:rPr>
        <w:t>suggest that the</w:t>
      </w:r>
      <w:r>
        <w:rPr>
          <w:lang w:eastAsia="ja-JP"/>
        </w:rPr>
        <w:t xml:space="preserve"> </w:t>
      </w:r>
      <w:r w:rsidRPr="00E11787">
        <w:rPr>
          <w:lang w:eastAsia="ja-JP"/>
        </w:rPr>
        <w:t>occurrence of falls might be due to the underlying PAH disease and associated</w:t>
      </w:r>
      <w:r>
        <w:rPr>
          <w:lang w:eastAsia="ja-JP"/>
        </w:rPr>
        <w:t xml:space="preserve"> </w:t>
      </w:r>
      <w:r w:rsidRPr="00E11787">
        <w:rPr>
          <w:lang w:eastAsia="ja-JP"/>
        </w:rPr>
        <w:t>comorbidities and the age, gender, and the physical, cognitive and effective capacities of</w:t>
      </w:r>
      <w:r>
        <w:rPr>
          <w:lang w:eastAsia="ja-JP"/>
        </w:rPr>
        <w:t xml:space="preserve"> </w:t>
      </w:r>
      <w:r w:rsidRPr="00E11787">
        <w:rPr>
          <w:lang w:eastAsia="ja-JP"/>
        </w:rPr>
        <w:t>the patients.</w:t>
      </w:r>
    </w:p>
    <w:p w14:paraId="4EB3600C" w14:textId="77777777" w:rsidR="00C94BA1" w:rsidRDefault="00C94BA1" w:rsidP="00C94BA1">
      <w:pPr>
        <w:rPr>
          <w:lang w:eastAsia="ja-JP"/>
        </w:rPr>
      </w:pPr>
      <w:r>
        <w:rPr>
          <w:lang w:eastAsia="ja-JP"/>
        </w:rPr>
        <w:t>The estimated reporting rate of fall is reported to be within the expected rate of fall for the general population and also the PAH patient population. The sponsor proposes updating the RMP to include symptomatic hypotension as an important potential risk.</w:t>
      </w:r>
    </w:p>
    <w:p w14:paraId="527895A2" w14:textId="77777777" w:rsidR="00C94BA1" w:rsidRPr="00093207" w:rsidRDefault="00C94BA1" w:rsidP="00C94BA1">
      <w:pPr>
        <w:pStyle w:val="Heading4"/>
      </w:pPr>
      <w:bookmarkStart w:id="141" w:name="_Ref465017303"/>
      <w:r w:rsidRPr="00093207">
        <w:t>Autoimmune hepatitis</w:t>
      </w:r>
      <w:bookmarkEnd w:id="141"/>
    </w:p>
    <w:p w14:paraId="7711498E" w14:textId="77777777" w:rsidR="00C94BA1" w:rsidRDefault="00C94BA1" w:rsidP="00C94BA1">
      <w:pPr>
        <w:rPr>
          <w:lang w:eastAsia="ja-JP"/>
        </w:rPr>
      </w:pPr>
      <w:r>
        <w:rPr>
          <w:lang w:eastAsia="ja-JP"/>
        </w:rPr>
        <w:t xml:space="preserve">Cumulatively, 51 cases containing an event of AIH have been reported from Development IBD (28 September 1993) up to the cut-off date </w:t>
      </w:r>
      <w:r w:rsidRPr="00A24FB6">
        <w:rPr>
          <w:lang w:eastAsia="ja-JP"/>
        </w:rPr>
        <w:t xml:space="preserve">for this </w:t>
      </w:r>
      <w:r>
        <w:rPr>
          <w:lang w:eastAsia="ja-JP"/>
        </w:rPr>
        <w:t>PSUR</w:t>
      </w:r>
      <w:r w:rsidRPr="00A24FB6">
        <w:rPr>
          <w:lang w:eastAsia="ja-JP"/>
        </w:rPr>
        <w:t xml:space="preserve">. </w:t>
      </w:r>
      <w:r>
        <w:rPr>
          <w:lang w:eastAsia="ja-JP"/>
        </w:rPr>
        <w:t>Four</w:t>
      </w:r>
      <w:r w:rsidRPr="00A24FB6">
        <w:rPr>
          <w:lang w:eastAsia="ja-JP"/>
        </w:rPr>
        <w:t xml:space="preserve"> cases originated from clinical trials </w:t>
      </w:r>
      <w:r>
        <w:rPr>
          <w:lang w:eastAsia="ja-JP"/>
        </w:rPr>
        <w:t xml:space="preserve">and 47 cases were reported from </w:t>
      </w:r>
      <w:r w:rsidR="007C5D1A">
        <w:rPr>
          <w:lang w:eastAsia="ja-JP"/>
        </w:rPr>
        <w:t>post market</w:t>
      </w:r>
      <w:r w:rsidRPr="00A24FB6">
        <w:rPr>
          <w:lang w:eastAsia="ja-JP"/>
        </w:rPr>
        <w:t xml:space="preserve">ing </w:t>
      </w:r>
      <w:r w:rsidRPr="008806DA">
        <w:rPr>
          <w:lang w:eastAsia="ja-JP"/>
        </w:rPr>
        <w:t xml:space="preserve">sources (Figure </w:t>
      </w:r>
      <w:r w:rsidR="002A192A">
        <w:rPr>
          <w:lang w:eastAsia="ja-JP"/>
        </w:rPr>
        <w:t>6</w:t>
      </w:r>
      <w:r w:rsidRPr="008806DA">
        <w:rPr>
          <w:lang w:eastAsia="ja-JP"/>
        </w:rPr>
        <w:t>). Of</w:t>
      </w:r>
      <w:r>
        <w:rPr>
          <w:lang w:eastAsia="ja-JP"/>
        </w:rPr>
        <w:t xml:space="preserve"> the clinical trial reports, one case was from a placebo controlled study and the other three cases were reported from non-controlled open label studies with bosentan. One case involved a paediatric patient.</w:t>
      </w:r>
    </w:p>
    <w:p w14:paraId="6D3FC764" w14:textId="2E5558BD" w:rsidR="00C94BA1" w:rsidRDefault="00C94BA1" w:rsidP="00C94BA1">
      <w:pPr>
        <w:rPr>
          <w:lang w:eastAsia="ja-JP"/>
        </w:rPr>
      </w:pPr>
      <w:r>
        <w:rPr>
          <w:lang w:eastAsia="ja-JP"/>
        </w:rPr>
        <w:t xml:space="preserve">A total of 47 cases of AIH were received from </w:t>
      </w:r>
      <w:r w:rsidR="007C5D1A">
        <w:rPr>
          <w:lang w:eastAsia="ja-JP"/>
        </w:rPr>
        <w:t>post market</w:t>
      </w:r>
      <w:r>
        <w:rPr>
          <w:lang w:eastAsia="ja-JP"/>
        </w:rPr>
        <w:t>ing sources. S</w:t>
      </w:r>
      <w:r w:rsidRPr="0007701E">
        <w:rPr>
          <w:lang w:eastAsia="ja-JP"/>
        </w:rPr>
        <w:t>ince IBD, an estimated 147,197 patients have been exposed to</w:t>
      </w:r>
      <w:r>
        <w:rPr>
          <w:lang w:eastAsia="ja-JP"/>
        </w:rPr>
        <w:t xml:space="preserve"> </w:t>
      </w:r>
      <w:r w:rsidRPr="0007701E">
        <w:rPr>
          <w:lang w:eastAsia="ja-JP"/>
        </w:rPr>
        <w:t>commercial bosentan, giving an estimated reporting rate of AIH of 0.03%.</w:t>
      </w:r>
      <w:r>
        <w:rPr>
          <w:lang w:eastAsia="ja-JP"/>
        </w:rPr>
        <w:t xml:space="preserve"> </w:t>
      </w:r>
      <w:r w:rsidRPr="0007701E">
        <w:rPr>
          <w:lang w:eastAsia="ja-JP"/>
        </w:rPr>
        <w:t>The age ranged from 7 years to 83 years. 28 patients</w:t>
      </w:r>
      <w:r>
        <w:rPr>
          <w:lang w:eastAsia="ja-JP"/>
        </w:rPr>
        <w:t xml:space="preserve"> were adult and 18 were elderly (aged 65 years or more). One</w:t>
      </w:r>
      <w:r w:rsidRPr="0007701E">
        <w:rPr>
          <w:lang w:eastAsia="ja-JP"/>
        </w:rPr>
        <w:t xml:space="preserve"> case pertained</w:t>
      </w:r>
      <w:r w:rsidR="008D6064">
        <w:rPr>
          <w:lang w:eastAsia="ja-JP"/>
        </w:rPr>
        <w:t xml:space="preserve"> to a 7 year </w:t>
      </w:r>
      <w:r>
        <w:rPr>
          <w:lang w:eastAsia="ja-JP"/>
        </w:rPr>
        <w:t>old female patient</w:t>
      </w:r>
      <w:r w:rsidRPr="0007701E">
        <w:rPr>
          <w:lang w:eastAsia="ja-JP"/>
        </w:rPr>
        <w:t>.</w:t>
      </w:r>
    </w:p>
    <w:p w14:paraId="42D13C71" w14:textId="77777777" w:rsidR="00C94BA1" w:rsidRDefault="00C94BA1" w:rsidP="00C94BA1">
      <w:pPr>
        <w:pStyle w:val="FigureTitle"/>
        <w:rPr>
          <w:lang w:eastAsia="ja-JP"/>
        </w:rPr>
      </w:pPr>
      <w:bookmarkStart w:id="142" w:name="_Ref461549070"/>
      <w:bookmarkStart w:id="143" w:name="_Toc473884181"/>
      <w:r w:rsidRPr="008806DA">
        <w:t xml:space="preserve">Figure </w:t>
      </w:r>
      <w:bookmarkEnd w:id="142"/>
      <w:r w:rsidR="002A192A">
        <w:t>6</w:t>
      </w:r>
      <w:r w:rsidRPr="008806DA">
        <w:t>: PSUR</w:t>
      </w:r>
      <w:r>
        <w:t xml:space="preserve"> 20 Cases of autoimmune hepatitis</w:t>
      </w:r>
      <w:bookmarkEnd w:id="143"/>
    </w:p>
    <w:p w14:paraId="7008914A" w14:textId="77777777" w:rsidR="00C94BA1" w:rsidRDefault="00C94BA1" w:rsidP="00605AD4">
      <w:pPr>
        <w:rPr>
          <w:lang w:eastAsia="ja-JP"/>
        </w:rPr>
      </w:pPr>
      <w:r>
        <w:rPr>
          <w:noProof/>
          <w:lang w:eastAsia="en-AU"/>
        </w:rPr>
        <w:drawing>
          <wp:inline distT="0" distB="0" distL="0" distR="0" wp14:anchorId="6887469C" wp14:editId="3EB96B0C">
            <wp:extent cx="5329568" cy="1750331"/>
            <wp:effectExtent l="0" t="0" r="4445" b="2540"/>
            <wp:docPr id="16" name="Picture 16" descr="Figure 6: PSUR 20 Cases of autoimmune hepatitis&#10;51 cases with reported events of autoimmune hepatitis&#10;47 cases from postmarketing sources, 4 cases from interventional clinical trials.&#10;Poastmarketing cases included 24 from postmarketing surveillance; 16 spontaneious report cases, 2 regularoty authority cases; 1 compassionate use case and 4 literature reports ca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BEBA8EAE-BF5A-486C-A8C5-ECC9F3942E4B}">
                          <a14:imgProps xmlns:a14="http://schemas.microsoft.com/office/drawing/2010/main">
                            <a14:imgLayer r:embed="rId41">
                              <a14:imgEffect>
                                <a14:sharpenSoften amount="25000"/>
                              </a14:imgEffect>
                              <a14:imgEffect>
                                <a14:brightnessContrast contrast="20000"/>
                              </a14:imgEffect>
                            </a14:imgLayer>
                          </a14:imgProps>
                        </a:ext>
                      </a:extLst>
                    </a:blip>
                    <a:stretch>
                      <a:fillRect/>
                    </a:stretch>
                  </pic:blipFill>
                  <pic:spPr>
                    <a:xfrm>
                      <a:off x="0" y="0"/>
                      <a:ext cx="5371238" cy="1764016"/>
                    </a:xfrm>
                    <a:prstGeom prst="rect">
                      <a:avLst/>
                    </a:prstGeom>
                  </pic:spPr>
                </pic:pic>
              </a:graphicData>
            </a:graphic>
          </wp:inline>
        </w:drawing>
      </w:r>
    </w:p>
    <w:p w14:paraId="13BAC6B6" w14:textId="77777777" w:rsidR="00C94BA1" w:rsidRPr="00605AD4" w:rsidRDefault="00C94BA1" w:rsidP="00C94BA1">
      <w:pPr>
        <w:pStyle w:val="Heading4"/>
      </w:pPr>
      <w:r w:rsidRPr="00605AD4">
        <w:t>Evaluator’s conclusions on safety</w:t>
      </w:r>
    </w:p>
    <w:p w14:paraId="7F65ED49" w14:textId="4C2ACB21" w:rsidR="00C94BA1" w:rsidRDefault="00C94BA1" w:rsidP="00C94BA1">
      <w:pPr>
        <w:rPr>
          <w:lang w:eastAsia="ja-JP"/>
        </w:rPr>
      </w:pPr>
      <w:r>
        <w:rPr>
          <w:lang w:eastAsia="ja-JP"/>
        </w:rPr>
        <w:t>The sponsor has not requested an extension of indications to include neonates with PPHN and benefit was not demonstrated in this population. The results of the FUTURE-4 E</w:t>
      </w:r>
      <w:r w:rsidRPr="0040171F">
        <w:rPr>
          <w:lang w:eastAsia="ja-JP"/>
        </w:rPr>
        <w:t xml:space="preserve">xtension </w:t>
      </w:r>
      <w:r w:rsidR="00CE3A02">
        <w:rPr>
          <w:lang w:eastAsia="ja-JP"/>
        </w:rPr>
        <w:t>study</w:t>
      </w:r>
      <w:r w:rsidR="00CE3A02" w:rsidRPr="0040171F">
        <w:rPr>
          <w:lang w:eastAsia="ja-JP"/>
        </w:rPr>
        <w:t xml:space="preserve"> </w:t>
      </w:r>
      <w:r w:rsidRPr="0040171F">
        <w:rPr>
          <w:lang w:eastAsia="ja-JP"/>
        </w:rPr>
        <w:t>did not identify concerns regarding pat</w:t>
      </w:r>
      <w:r w:rsidR="007C5D1A">
        <w:rPr>
          <w:lang w:eastAsia="ja-JP"/>
        </w:rPr>
        <w:t>ient growth at 12 months follow</w:t>
      </w:r>
      <w:r w:rsidR="007C5D1A">
        <w:rPr>
          <w:lang w:eastAsia="ja-JP"/>
        </w:rPr>
        <w:noBreakHyphen/>
      </w:r>
      <w:r w:rsidRPr="0040171F">
        <w:rPr>
          <w:lang w:eastAsia="ja-JP"/>
        </w:rPr>
        <w:t>up. It should be noted that the median d</w:t>
      </w:r>
      <w:r>
        <w:rPr>
          <w:lang w:eastAsia="ja-JP"/>
        </w:rPr>
        <w:t xml:space="preserve">uration of exposure was limited at 4.5 days (range 0.5 to </w:t>
      </w:r>
      <w:r w:rsidRPr="0040171F">
        <w:rPr>
          <w:lang w:eastAsia="ja-JP"/>
        </w:rPr>
        <w:t>10.0 days).</w:t>
      </w:r>
    </w:p>
    <w:p w14:paraId="044CFA11" w14:textId="77777777" w:rsidR="00C94BA1" w:rsidRDefault="00C94BA1" w:rsidP="00C94BA1">
      <w:pPr>
        <w:rPr>
          <w:lang w:eastAsia="ja-JP"/>
        </w:rPr>
      </w:pPr>
      <w:r>
        <w:rPr>
          <w:lang w:eastAsia="ja-JP"/>
        </w:rPr>
        <w:t xml:space="preserve">The integrated analysis indicates that the majority of patients experienced TEAEs (87%) with a large proportion leading to a discontinuation of study treatment (17%). </w:t>
      </w:r>
      <w:r w:rsidR="003778D6">
        <w:t>Adverse event</w:t>
      </w:r>
      <w:r w:rsidR="003778D6">
        <w:rPr>
          <w:lang w:eastAsia="ja-JP"/>
        </w:rPr>
        <w:t>s (</w:t>
      </w:r>
      <w:r>
        <w:rPr>
          <w:lang w:eastAsia="ja-JP"/>
        </w:rPr>
        <w:t>AEs</w:t>
      </w:r>
      <w:r w:rsidR="003778D6">
        <w:rPr>
          <w:lang w:eastAsia="ja-JP"/>
        </w:rPr>
        <w:t>)</w:t>
      </w:r>
      <w:r>
        <w:rPr>
          <w:lang w:eastAsia="ja-JP"/>
        </w:rPr>
        <w:t xml:space="preserve"> resulted in a fatal outcome in 14% of study participants. The most commonly reported TEAEs are described in the current </w:t>
      </w:r>
      <w:r w:rsidR="00335934">
        <w:rPr>
          <w:lang w:eastAsia="ja-JP"/>
        </w:rPr>
        <w:t>Tracleer</w:t>
      </w:r>
      <w:r>
        <w:rPr>
          <w:lang w:eastAsia="ja-JP"/>
        </w:rPr>
        <w:t xml:space="preserve"> PI. The sponsor states that </w:t>
      </w:r>
      <w:r w:rsidRPr="000A1E36">
        <w:rPr>
          <w:lang w:eastAsia="ja-JP"/>
        </w:rPr>
        <w:t xml:space="preserve">AE rates in PAH populations are generally high due to the severity of the condition, and ranged from approximately 60 to 90% in sponsored studies. AEs of specific interest to bosentan, </w:t>
      </w:r>
      <w:r w:rsidRPr="000A1E36">
        <w:rPr>
          <w:lang w:eastAsia="ja-JP"/>
        </w:rPr>
        <w:lastRenderedPageBreak/>
        <w:t xml:space="preserve">such as elevated liver enzymes, decreased blood haemoglobin, and fluid retention, were </w:t>
      </w:r>
      <w:r>
        <w:rPr>
          <w:lang w:eastAsia="ja-JP"/>
        </w:rPr>
        <w:t xml:space="preserve">stated to be </w:t>
      </w:r>
      <w:r w:rsidRPr="000A1E36">
        <w:rPr>
          <w:lang w:eastAsia="ja-JP"/>
        </w:rPr>
        <w:t>reported at lower incidences in paediatric patients compared with adult patients.</w:t>
      </w:r>
    </w:p>
    <w:p w14:paraId="18220B10" w14:textId="77777777" w:rsidR="00C94BA1" w:rsidRPr="00093207" w:rsidRDefault="00C94BA1" w:rsidP="00C94BA1">
      <w:pPr>
        <w:rPr>
          <w:iCs/>
          <w:lang w:eastAsia="ja-JP"/>
        </w:rPr>
      </w:pPr>
      <w:r>
        <w:rPr>
          <w:lang w:eastAsia="ja-JP"/>
        </w:rPr>
        <w:t>The sponsor has stated they intend to add symptomatic hypotension to the list of important potential risks in the RMP. The RMP included in the submission does not include this important potential risk.</w:t>
      </w:r>
    </w:p>
    <w:p w14:paraId="6D0F10B8" w14:textId="77777777" w:rsidR="00C94BA1" w:rsidRPr="00605AD4" w:rsidRDefault="00C94BA1" w:rsidP="00605AD4">
      <w:pPr>
        <w:rPr>
          <w:lang w:eastAsia="ja-JP"/>
        </w:rPr>
      </w:pPr>
      <w:r>
        <w:rPr>
          <w:lang w:eastAsia="ja-JP"/>
        </w:rPr>
        <w:t>The sponsor has added nasal congestion to the PI as a common post market AE. As outlined above, PSUR 20 states that the sponsor intends to</w:t>
      </w:r>
      <w:r w:rsidR="007C5D1A">
        <w:rPr>
          <w:lang w:eastAsia="ja-JP"/>
        </w:rPr>
        <w:t xml:space="preserve"> update the ADR table of the EU </w:t>
      </w:r>
      <w:r>
        <w:rPr>
          <w:lang w:eastAsia="ja-JP"/>
        </w:rPr>
        <w:t xml:space="preserve">SmPC and the CCDS to </w:t>
      </w:r>
      <w:r w:rsidRPr="008026D4">
        <w:rPr>
          <w:i/>
          <w:lang w:eastAsia="ja-JP"/>
        </w:rPr>
        <w:t xml:space="preserve">include </w:t>
      </w:r>
      <w:r w:rsidRPr="008026D4">
        <w:rPr>
          <w:i/>
          <w:iCs/>
          <w:lang w:eastAsia="ja-JP"/>
        </w:rPr>
        <w:t>autoimmune hepatitis</w:t>
      </w:r>
      <w:r>
        <w:rPr>
          <w:i/>
          <w:iCs/>
          <w:lang w:eastAsia="ja-JP"/>
        </w:rPr>
        <w:t>.</w:t>
      </w:r>
      <w:r w:rsidRPr="004F651C">
        <w:rPr>
          <w:lang w:eastAsia="ja-JP"/>
        </w:rPr>
        <w:t xml:space="preserve"> </w:t>
      </w:r>
      <w:r>
        <w:rPr>
          <w:lang w:eastAsia="ja-JP"/>
        </w:rPr>
        <w:t>Similar changes have not been proposed for the Australian PI with this submission.</w:t>
      </w:r>
    </w:p>
    <w:p w14:paraId="76014D9D" w14:textId="7220EEE3" w:rsidR="00605AD4" w:rsidRPr="00605AD4" w:rsidRDefault="00605AD4" w:rsidP="00605AD4">
      <w:pPr>
        <w:pStyle w:val="Heading3"/>
        <w:rPr>
          <w:rFonts w:eastAsia="Cambria"/>
        </w:rPr>
      </w:pPr>
      <w:bookmarkStart w:id="144" w:name="_Toc519764294"/>
      <w:r w:rsidRPr="00605AD4">
        <w:rPr>
          <w:rFonts w:eastAsia="Cambria"/>
        </w:rPr>
        <w:t xml:space="preserve">First </w:t>
      </w:r>
      <w:r w:rsidR="00DD4C81" w:rsidRPr="00605AD4">
        <w:rPr>
          <w:rFonts w:eastAsia="Cambria"/>
        </w:rPr>
        <w:t>round benefit-risk assessment</w:t>
      </w:r>
      <w:bookmarkEnd w:id="144"/>
    </w:p>
    <w:p w14:paraId="2B0B7A18" w14:textId="77777777" w:rsidR="00605AD4" w:rsidRDefault="00605AD4" w:rsidP="00605AD4">
      <w:pPr>
        <w:pStyle w:val="Heading4"/>
      </w:pPr>
      <w:r w:rsidRPr="00605AD4">
        <w:t>First round assessment of benefits</w:t>
      </w:r>
    </w:p>
    <w:p w14:paraId="7257C082" w14:textId="77777777" w:rsidR="00C94BA1" w:rsidRPr="00C94BA1" w:rsidRDefault="00C94BA1" w:rsidP="00C94BA1">
      <w:r w:rsidRPr="00C94BA1">
        <w:t>Indication:</w:t>
      </w:r>
    </w:p>
    <w:p w14:paraId="2B813A9B" w14:textId="77777777" w:rsidR="00C94BA1" w:rsidRPr="00C94BA1" w:rsidRDefault="00C94BA1" w:rsidP="00C94BA1">
      <w:pPr>
        <w:pStyle w:val="ListBullet"/>
      </w:pPr>
      <w:r w:rsidRPr="00C94BA1">
        <w:t>idiopathic pulmonary arterial hypertension</w:t>
      </w:r>
    </w:p>
    <w:p w14:paraId="17B21E0F" w14:textId="77777777" w:rsidR="00C94BA1" w:rsidRPr="00C94BA1" w:rsidRDefault="00C94BA1" w:rsidP="00C94BA1">
      <w:pPr>
        <w:pStyle w:val="ListBullet"/>
      </w:pPr>
      <w:r w:rsidRPr="00C94BA1">
        <w:t>familial pulmonary arterial hypertension</w:t>
      </w:r>
    </w:p>
    <w:p w14:paraId="2737DF72" w14:textId="77777777" w:rsidR="00C94BA1" w:rsidRPr="00C94BA1" w:rsidRDefault="00C94BA1" w:rsidP="00C94BA1">
      <w:pPr>
        <w:pStyle w:val="ListBullet"/>
      </w:pPr>
      <w:r w:rsidRPr="00C94BA1">
        <w:t>pulmonary arterial hypertension associated with scleroderma or</w:t>
      </w:r>
    </w:p>
    <w:p w14:paraId="2583E285" w14:textId="77777777" w:rsidR="00C94BA1" w:rsidRPr="00C94BA1" w:rsidRDefault="00C94BA1" w:rsidP="00C94BA1">
      <w:pPr>
        <w:pStyle w:val="ListBullet"/>
      </w:pPr>
      <w:r w:rsidRPr="00C94BA1">
        <w:t xml:space="preserve">pulmonary arterial hypertension associated with congenital systemic to pulmonary shunts including </w:t>
      </w:r>
      <w:proofErr w:type="spellStart"/>
      <w:r w:rsidRPr="00C94BA1">
        <w:t>Eisenmenger’s</w:t>
      </w:r>
      <w:proofErr w:type="spellEnd"/>
      <w:r w:rsidRPr="00C94BA1">
        <w:t xml:space="preserve"> physiology</w:t>
      </w:r>
    </w:p>
    <w:p w14:paraId="4F95D471" w14:textId="6F6D2697" w:rsidR="00C94BA1" w:rsidRPr="00C94BA1" w:rsidRDefault="00C94BA1" w:rsidP="00C94BA1">
      <w:proofErr w:type="gramStart"/>
      <w:r w:rsidRPr="00C94BA1">
        <w:t>in</w:t>
      </w:r>
      <w:proofErr w:type="gramEnd"/>
      <w:r w:rsidRPr="00C94BA1">
        <w:t xml:space="preserve"> patients with WHO </w:t>
      </w:r>
      <w:r w:rsidR="00CE3A02">
        <w:t>F</w:t>
      </w:r>
      <w:r w:rsidR="00CE3A02" w:rsidRPr="00C94BA1">
        <w:t xml:space="preserve">unctional </w:t>
      </w:r>
      <w:r w:rsidRPr="00C94BA1">
        <w:t>Class II, III or IV symptoms.</w:t>
      </w:r>
    </w:p>
    <w:p w14:paraId="4203E1DF" w14:textId="77777777" w:rsidR="00C94BA1" w:rsidRPr="00D81D7C" w:rsidRDefault="00FE6C13" w:rsidP="00C94BA1">
      <w:pPr>
        <w:pStyle w:val="Tabletitle0"/>
        <w:rPr>
          <w:lang w:eastAsia="ja-JP"/>
        </w:rPr>
      </w:pPr>
      <w:r>
        <w:t>Table 22</w:t>
      </w:r>
      <w:r w:rsidR="00C94BA1">
        <w:t>: First round assessment of benefits, strengths and uncertainties</w:t>
      </w:r>
    </w:p>
    <w:tbl>
      <w:tblPr>
        <w:tblStyle w:val="TableGrid"/>
        <w:tblW w:w="0" w:type="auto"/>
        <w:tblInd w:w="108" w:type="dxa"/>
        <w:tblLook w:val="04A0" w:firstRow="1" w:lastRow="0" w:firstColumn="1" w:lastColumn="0" w:noHBand="0" w:noVBand="1"/>
      </w:tblPr>
      <w:tblGrid>
        <w:gridCol w:w="4310"/>
        <w:gridCol w:w="4095"/>
      </w:tblGrid>
      <w:tr w:rsidR="00C94BA1" w:rsidRPr="00C37A1D" w14:paraId="43B614D4" w14:textId="77777777" w:rsidTr="008D6064">
        <w:trPr>
          <w:trHeight w:val="486"/>
          <w:tblHeader/>
        </w:trPr>
        <w:tc>
          <w:tcPr>
            <w:tcW w:w="4310" w:type="dxa"/>
            <w:shd w:val="clear" w:color="auto" w:fill="00517D" w:themeFill="accent3" w:themeFillShade="BF"/>
          </w:tcPr>
          <w:p w14:paraId="29FCF44A" w14:textId="77777777" w:rsidR="00C94BA1" w:rsidRPr="0013182D" w:rsidRDefault="00C94BA1" w:rsidP="00970C5B">
            <w:pPr>
              <w:rPr>
                <w:rFonts w:asciiTheme="minorHAnsi" w:hAnsiTheme="minorHAnsi"/>
                <w:b/>
                <w:color w:val="FFFFFF" w:themeColor="background1"/>
              </w:rPr>
            </w:pPr>
            <w:r w:rsidRPr="0013182D">
              <w:rPr>
                <w:rFonts w:asciiTheme="minorHAnsi" w:hAnsiTheme="minorHAnsi"/>
                <w:b/>
                <w:color w:val="FFFFFF" w:themeColor="background1"/>
              </w:rPr>
              <w:t>Benefits</w:t>
            </w:r>
          </w:p>
        </w:tc>
        <w:tc>
          <w:tcPr>
            <w:tcW w:w="4095" w:type="dxa"/>
            <w:shd w:val="clear" w:color="auto" w:fill="00517D" w:themeFill="accent3" w:themeFillShade="BF"/>
          </w:tcPr>
          <w:p w14:paraId="68349146" w14:textId="77777777" w:rsidR="00C94BA1" w:rsidRPr="0013182D" w:rsidRDefault="00C94BA1" w:rsidP="00970C5B">
            <w:pPr>
              <w:rPr>
                <w:rFonts w:asciiTheme="minorHAnsi" w:hAnsiTheme="minorHAnsi"/>
                <w:b/>
                <w:color w:val="FFFFFF" w:themeColor="background1"/>
              </w:rPr>
            </w:pPr>
            <w:r w:rsidRPr="0013182D">
              <w:rPr>
                <w:rFonts w:asciiTheme="minorHAnsi" w:hAnsiTheme="minorHAnsi"/>
                <w:b/>
                <w:color w:val="FFFFFF" w:themeColor="background1"/>
              </w:rPr>
              <w:t>Strengths and Uncertainties</w:t>
            </w:r>
          </w:p>
        </w:tc>
      </w:tr>
      <w:tr w:rsidR="00C94BA1" w:rsidRPr="00C37A1D" w14:paraId="75D175C2" w14:textId="77777777" w:rsidTr="008D6064">
        <w:trPr>
          <w:trHeight w:val="1458"/>
        </w:trPr>
        <w:tc>
          <w:tcPr>
            <w:tcW w:w="4310" w:type="dxa"/>
          </w:tcPr>
          <w:p w14:paraId="3B49E028" w14:textId="77777777" w:rsidR="00C94BA1" w:rsidRPr="007C5D1A" w:rsidRDefault="00C94BA1" w:rsidP="00970C5B">
            <w:pPr>
              <w:rPr>
                <w:rFonts w:asciiTheme="minorHAnsi" w:hAnsiTheme="minorHAnsi" w:cstheme="minorHAnsi"/>
              </w:rPr>
            </w:pPr>
            <w:r w:rsidRPr="007C5D1A">
              <w:rPr>
                <w:rFonts w:asciiTheme="minorHAnsi" w:hAnsiTheme="minorHAnsi" w:cstheme="minorHAnsi"/>
              </w:rPr>
              <w:t xml:space="preserve">The availability of a paediatric </w:t>
            </w:r>
            <w:r w:rsidR="007C5D1A">
              <w:rPr>
                <w:rFonts w:asciiTheme="minorHAnsi" w:hAnsiTheme="minorHAnsi" w:cstheme="minorHAnsi"/>
              </w:rPr>
              <w:t xml:space="preserve">weight based </w:t>
            </w:r>
            <w:r w:rsidR="007C5D1A" w:rsidRPr="007C5D1A">
              <w:rPr>
                <w:rFonts w:asciiTheme="minorHAnsi" w:hAnsiTheme="minorHAnsi" w:cstheme="minorHAnsi"/>
              </w:rPr>
              <w:t>formulation of bosentan.</w:t>
            </w:r>
          </w:p>
        </w:tc>
        <w:tc>
          <w:tcPr>
            <w:tcW w:w="4095" w:type="dxa"/>
          </w:tcPr>
          <w:p w14:paraId="1C2941E4" w14:textId="77777777" w:rsidR="00C94BA1" w:rsidRPr="007C5D1A" w:rsidRDefault="00C94BA1" w:rsidP="00970C5B">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rPr>
            </w:pPr>
            <w:r w:rsidRPr="007C5D1A">
              <w:rPr>
                <w:rFonts w:asciiTheme="minorHAnsi" w:hAnsiTheme="minorHAnsi" w:cstheme="minorHAnsi"/>
              </w:rPr>
              <w:t xml:space="preserve">The new formulation would allow for more precise </w:t>
            </w:r>
            <w:r w:rsidR="007C5D1A">
              <w:rPr>
                <w:rFonts w:asciiTheme="minorHAnsi" w:hAnsiTheme="minorHAnsi" w:cstheme="minorHAnsi"/>
              </w:rPr>
              <w:t xml:space="preserve">weight based </w:t>
            </w:r>
            <w:r w:rsidRPr="007C5D1A">
              <w:rPr>
                <w:rFonts w:asciiTheme="minorHAnsi" w:hAnsiTheme="minorHAnsi" w:cstheme="minorHAnsi"/>
              </w:rPr>
              <w:t>dosing of bosentan in the paediatric population. The tablet can be broken into 8</w:t>
            </w:r>
            <w:r w:rsidR="007C5D1A">
              <w:rPr>
                <w:rFonts w:asciiTheme="minorHAnsi" w:hAnsiTheme="minorHAnsi" w:cstheme="minorHAnsi"/>
              </w:rPr>
              <w:t xml:space="preserve"> </w:t>
            </w:r>
            <w:r w:rsidRPr="007C5D1A">
              <w:rPr>
                <w:rFonts w:asciiTheme="minorHAnsi" w:hAnsiTheme="minorHAnsi" w:cstheme="minorHAnsi"/>
              </w:rPr>
              <w:t>mg quadrants for administration.</w:t>
            </w:r>
          </w:p>
        </w:tc>
      </w:tr>
      <w:tr w:rsidR="00C94BA1" w:rsidRPr="00C37A1D" w14:paraId="20D46532" w14:textId="77777777" w:rsidTr="008D6064">
        <w:trPr>
          <w:trHeight w:val="1944"/>
        </w:trPr>
        <w:tc>
          <w:tcPr>
            <w:tcW w:w="4310" w:type="dxa"/>
          </w:tcPr>
          <w:p w14:paraId="7F9F7A93" w14:textId="77777777" w:rsidR="00C94BA1" w:rsidRPr="007C5D1A" w:rsidRDefault="00C94BA1" w:rsidP="00970C5B">
            <w:pPr>
              <w:rPr>
                <w:rFonts w:asciiTheme="minorHAnsi" w:hAnsiTheme="minorHAnsi" w:cstheme="minorHAnsi"/>
              </w:rPr>
            </w:pPr>
            <w:r w:rsidRPr="007C5D1A">
              <w:rPr>
                <w:rFonts w:asciiTheme="minorHAnsi" w:hAnsiTheme="minorHAnsi" w:cstheme="minorHAnsi"/>
              </w:rPr>
              <w:t>A dispersible tablet formulation would allow for easier administratio</w:t>
            </w:r>
            <w:r w:rsidR="007C5D1A">
              <w:rPr>
                <w:rFonts w:asciiTheme="minorHAnsi" w:hAnsiTheme="minorHAnsi" w:cstheme="minorHAnsi"/>
              </w:rPr>
              <w:t>n in the paediatric population.</w:t>
            </w:r>
          </w:p>
        </w:tc>
        <w:tc>
          <w:tcPr>
            <w:tcW w:w="4095" w:type="dxa"/>
          </w:tcPr>
          <w:p w14:paraId="242E5735" w14:textId="77777777" w:rsidR="00C94BA1" w:rsidRPr="007C5D1A" w:rsidRDefault="00C94BA1" w:rsidP="00970C5B">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rPr>
            </w:pPr>
            <w:r w:rsidRPr="007C5D1A">
              <w:rPr>
                <w:rFonts w:asciiTheme="minorHAnsi" w:hAnsiTheme="minorHAnsi" w:cstheme="minorHAnsi"/>
              </w:rPr>
              <w:t>The availability of a dispersible tablet would provide an easy to prepare and administer formulation. The product could potentially reduce reliance on compounded products or other measures used to make the adult formulation palatable for the paediatric population.</w:t>
            </w:r>
          </w:p>
        </w:tc>
      </w:tr>
      <w:tr w:rsidR="00C94BA1" w:rsidRPr="00C37A1D" w14:paraId="084A37A4" w14:textId="77777777" w:rsidTr="008D6064">
        <w:trPr>
          <w:trHeight w:val="2559"/>
        </w:trPr>
        <w:tc>
          <w:tcPr>
            <w:tcW w:w="4310" w:type="dxa"/>
          </w:tcPr>
          <w:p w14:paraId="0F3AF9F2" w14:textId="77777777" w:rsidR="00C94BA1" w:rsidRPr="007C5D1A" w:rsidRDefault="00C94BA1" w:rsidP="00970C5B">
            <w:pPr>
              <w:rPr>
                <w:rFonts w:asciiTheme="minorHAnsi" w:hAnsiTheme="minorHAnsi" w:cstheme="minorHAnsi"/>
              </w:rPr>
            </w:pPr>
            <w:r w:rsidRPr="007C5D1A">
              <w:rPr>
                <w:rFonts w:asciiTheme="minorHAnsi" w:hAnsiTheme="minorHAnsi" w:cstheme="minorHAnsi"/>
              </w:rPr>
              <w:t>A dispersible tablet formulation could potentially be used in any PAH patient unable to take the adult formulation (for example swallowing difficulties).</w:t>
            </w:r>
          </w:p>
        </w:tc>
        <w:tc>
          <w:tcPr>
            <w:tcW w:w="4095" w:type="dxa"/>
          </w:tcPr>
          <w:p w14:paraId="64937707" w14:textId="77777777" w:rsidR="00C94BA1" w:rsidRPr="007C5D1A" w:rsidRDefault="00C94BA1" w:rsidP="00970C5B">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rPr>
            </w:pPr>
            <w:r w:rsidRPr="007C5D1A">
              <w:rPr>
                <w:rFonts w:asciiTheme="minorHAnsi" w:hAnsiTheme="minorHAnsi" w:cstheme="minorHAnsi"/>
                <w:bCs/>
                <w:iCs/>
              </w:rPr>
              <w:t xml:space="preserve">The dispersible tablet formulation could potentially be used in adult or adolescent patients. Bioequivalence has not been established between the two formulations and the PI notes that ‘A pharmacokinetic comparison between the dispersible and the film coated tablet indicated slightly lower exposure to bosentan with the dispersible tablet in adult subjects’. The PI recommends the dispersible tablet </w:t>
            </w:r>
            <w:r w:rsidRPr="007C5D1A">
              <w:rPr>
                <w:rFonts w:asciiTheme="minorHAnsi" w:hAnsiTheme="minorHAnsi" w:cstheme="minorHAnsi"/>
                <w:bCs/>
                <w:iCs/>
              </w:rPr>
              <w:lastRenderedPageBreak/>
              <w:t>formulation be reserved for patients who cannot take the film coated tablet.</w:t>
            </w:r>
          </w:p>
        </w:tc>
      </w:tr>
      <w:tr w:rsidR="00C94BA1" w:rsidRPr="00C37A1D" w14:paraId="59037EBC" w14:textId="77777777" w:rsidTr="008D6064">
        <w:trPr>
          <w:trHeight w:val="143"/>
        </w:trPr>
        <w:tc>
          <w:tcPr>
            <w:tcW w:w="4310" w:type="dxa"/>
          </w:tcPr>
          <w:p w14:paraId="224537DE" w14:textId="77777777" w:rsidR="00C94BA1" w:rsidRPr="007C5D1A" w:rsidRDefault="00C94BA1" w:rsidP="00970C5B">
            <w:pPr>
              <w:rPr>
                <w:rFonts w:asciiTheme="minorHAnsi" w:hAnsiTheme="minorHAnsi" w:cstheme="minorHAnsi"/>
              </w:rPr>
            </w:pPr>
            <w:r w:rsidRPr="007C5D1A">
              <w:rPr>
                <w:rFonts w:asciiTheme="minorHAnsi" w:hAnsiTheme="minorHAnsi" w:cstheme="minorHAnsi"/>
              </w:rPr>
              <w:lastRenderedPageBreak/>
              <w:t>Improved quality</w:t>
            </w:r>
          </w:p>
        </w:tc>
        <w:tc>
          <w:tcPr>
            <w:tcW w:w="4095" w:type="dxa"/>
          </w:tcPr>
          <w:p w14:paraId="547CF658" w14:textId="77777777" w:rsidR="00C94BA1" w:rsidRPr="007C5D1A" w:rsidRDefault="00C94BA1" w:rsidP="00970C5B">
            <w:pPr>
              <w:numPr>
                <w:ilvl w:val="12"/>
                <w:numId w:val="0"/>
              </w:numPr>
              <w:tabs>
                <w:tab w:val="left" w:pos="0"/>
                <w:tab w:val="left" w:pos="720"/>
                <w:tab w:val="left" w:pos="2160"/>
                <w:tab w:val="left" w:pos="2880"/>
                <w:tab w:val="left" w:pos="3600"/>
                <w:tab w:val="left" w:pos="4320"/>
                <w:tab w:val="left" w:pos="5040"/>
                <w:tab w:val="left" w:pos="5760"/>
                <w:tab w:val="left" w:pos="6480"/>
                <w:tab w:val="left" w:pos="7200"/>
              </w:tabs>
              <w:rPr>
                <w:rFonts w:asciiTheme="minorHAnsi" w:hAnsiTheme="minorHAnsi" w:cstheme="minorHAnsi"/>
                <w:bCs/>
                <w:iCs/>
              </w:rPr>
            </w:pPr>
            <w:r w:rsidRPr="007C5D1A">
              <w:rPr>
                <w:rFonts w:asciiTheme="minorHAnsi" w:hAnsiTheme="minorHAnsi" w:cstheme="minorHAnsi"/>
                <w:bCs/>
                <w:iCs/>
              </w:rPr>
              <w:t>The availability of a registered product that can be prepared as an oral solution may reduce reliance on compounded products and provide a better assurance of quality.</w:t>
            </w:r>
          </w:p>
        </w:tc>
      </w:tr>
    </w:tbl>
    <w:p w14:paraId="0BC073F3" w14:textId="77777777" w:rsidR="00605AD4" w:rsidRDefault="00605AD4" w:rsidP="00605AD4">
      <w:pPr>
        <w:pStyle w:val="Heading4"/>
      </w:pPr>
      <w:r w:rsidRPr="00605AD4">
        <w:t>First round assessment of risks</w:t>
      </w:r>
    </w:p>
    <w:p w14:paraId="712CD8C3" w14:textId="77777777" w:rsidR="00C94BA1" w:rsidRPr="00D81D7C" w:rsidRDefault="00FE6C13" w:rsidP="00C94BA1">
      <w:pPr>
        <w:pStyle w:val="Tabletitle0"/>
        <w:rPr>
          <w:lang w:eastAsia="ja-JP"/>
        </w:rPr>
      </w:pPr>
      <w:r>
        <w:rPr>
          <w:lang w:eastAsia="ja-JP"/>
        </w:rPr>
        <w:t>Table 23</w:t>
      </w:r>
      <w:r w:rsidR="00C94BA1">
        <w:rPr>
          <w:lang w:eastAsia="ja-JP"/>
        </w:rPr>
        <w:t>: First round assessment of risks</w:t>
      </w:r>
    </w:p>
    <w:tbl>
      <w:tblPr>
        <w:tblStyle w:val="TableGrid"/>
        <w:tblW w:w="0" w:type="auto"/>
        <w:tblInd w:w="108" w:type="dxa"/>
        <w:tblLook w:val="04A0" w:firstRow="1" w:lastRow="0" w:firstColumn="1" w:lastColumn="0" w:noHBand="0" w:noVBand="1"/>
      </w:tblPr>
      <w:tblGrid>
        <w:gridCol w:w="4307"/>
        <w:gridCol w:w="4305"/>
      </w:tblGrid>
      <w:tr w:rsidR="00C94BA1" w:rsidRPr="00C37A1D" w14:paraId="262B1AAC" w14:textId="77777777" w:rsidTr="00970C5B">
        <w:trPr>
          <w:tblHeader/>
        </w:trPr>
        <w:tc>
          <w:tcPr>
            <w:tcW w:w="4395" w:type="dxa"/>
            <w:shd w:val="clear" w:color="auto" w:fill="006DA7" w:themeFill="accent3"/>
          </w:tcPr>
          <w:p w14:paraId="6084A67A" w14:textId="77777777" w:rsidR="00C94BA1" w:rsidRPr="0013182D" w:rsidRDefault="00C94BA1" w:rsidP="00970C5B">
            <w:pPr>
              <w:keepNext/>
              <w:rPr>
                <w:rFonts w:asciiTheme="minorHAnsi" w:hAnsiTheme="minorHAnsi"/>
                <w:b/>
                <w:color w:val="FFFFFF" w:themeColor="background1"/>
              </w:rPr>
            </w:pPr>
            <w:r w:rsidRPr="0013182D">
              <w:rPr>
                <w:rFonts w:asciiTheme="minorHAnsi" w:hAnsiTheme="minorHAnsi"/>
                <w:b/>
                <w:color w:val="FFFFFF" w:themeColor="background1"/>
              </w:rPr>
              <w:t>Risks</w:t>
            </w:r>
          </w:p>
        </w:tc>
        <w:tc>
          <w:tcPr>
            <w:tcW w:w="4394" w:type="dxa"/>
            <w:shd w:val="clear" w:color="auto" w:fill="006DA7" w:themeFill="accent3"/>
          </w:tcPr>
          <w:p w14:paraId="5BF3770D" w14:textId="77777777" w:rsidR="00C94BA1" w:rsidRPr="0013182D" w:rsidRDefault="00C94BA1" w:rsidP="00970C5B">
            <w:pPr>
              <w:rPr>
                <w:rFonts w:asciiTheme="minorHAnsi" w:hAnsiTheme="minorHAnsi"/>
                <w:b/>
                <w:color w:val="FFFFFF" w:themeColor="background1"/>
              </w:rPr>
            </w:pPr>
            <w:r w:rsidRPr="0013182D">
              <w:rPr>
                <w:rFonts w:asciiTheme="minorHAnsi" w:hAnsiTheme="minorHAnsi"/>
                <w:b/>
                <w:color w:val="FFFFFF" w:themeColor="background1"/>
              </w:rPr>
              <w:t>Strengths and Uncertainties</w:t>
            </w:r>
          </w:p>
        </w:tc>
      </w:tr>
      <w:tr w:rsidR="00C94BA1" w:rsidRPr="00C37A1D" w14:paraId="77A0C51D" w14:textId="77777777" w:rsidTr="00970C5B">
        <w:tc>
          <w:tcPr>
            <w:tcW w:w="4395" w:type="dxa"/>
          </w:tcPr>
          <w:p w14:paraId="5EAAF001" w14:textId="77777777" w:rsidR="00C94BA1" w:rsidRPr="007C5D1A" w:rsidRDefault="00C94BA1" w:rsidP="00970C5B">
            <w:pPr>
              <w:rPr>
                <w:rFonts w:asciiTheme="minorHAnsi" w:hAnsiTheme="minorHAnsi" w:cstheme="minorHAnsi"/>
              </w:rPr>
            </w:pPr>
            <w:r w:rsidRPr="007C5D1A">
              <w:rPr>
                <w:rFonts w:asciiTheme="minorHAnsi" w:hAnsiTheme="minorHAnsi" w:cstheme="minorHAnsi"/>
              </w:rPr>
              <w:t>Bioequivalence between the adult and paediatric formulat</w:t>
            </w:r>
            <w:r w:rsidR="007C5D1A">
              <w:rPr>
                <w:rFonts w:asciiTheme="minorHAnsi" w:hAnsiTheme="minorHAnsi" w:cstheme="minorHAnsi"/>
              </w:rPr>
              <w:t>ions has not been demonstrated.</w:t>
            </w:r>
          </w:p>
        </w:tc>
        <w:tc>
          <w:tcPr>
            <w:tcW w:w="4394" w:type="dxa"/>
          </w:tcPr>
          <w:p w14:paraId="5EC6470E" w14:textId="77777777" w:rsidR="00C94BA1" w:rsidRPr="007C5D1A" w:rsidRDefault="00C94BA1" w:rsidP="00970C5B">
            <w:pPr>
              <w:rPr>
                <w:rFonts w:cstheme="minorHAnsi"/>
                <w:u w:val="single"/>
              </w:rPr>
            </w:pPr>
            <w:r w:rsidRPr="007C5D1A">
              <w:rPr>
                <w:rFonts w:asciiTheme="minorHAnsi" w:hAnsiTheme="minorHAnsi" w:cstheme="minorHAnsi"/>
              </w:rPr>
              <w:t>The submission relies on the bioequivalence of the adult and paediatric formulations in order to infer efficacy for the paediatric formulation. Study 052-116 did not demonstrate bioequivalence with respect to either of the PK parameters AUC or C</w:t>
            </w:r>
            <w:r w:rsidRPr="007C5D1A">
              <w:rPr>
                <w:rFonts w:asciiTheme="minorHAnsi" w:hAnsiTheme="minorHAnsi" w:cstheme="minorHAnsi"/>
                <w:vertAlign w:val="subscript"/>
              </w:rPr>
              <w:t>max</w:t>
            </w:r>
            <w:r w:rsidRPr="007C5D1A">
              <w:rPr>
                <w:rFonts w:asciiTheme="minorHAnsi" w:hAnsiTheme="minorHAnsi" w:cstheme="minorHAnsi"/>
              </w:rPr>
              <w:t>. The adult formulation of bosentan is currently available for use in the paediatric population in Australia. It has not been established that the two formulations are bioequivalent therefore efficacy cannot be inferred. In addition, the effect of the fed state on bioequivalence has not been investigated and the bioequivalence of an oral solution to the adult formulation has not been established.</w:t>
            </w:r>
          </w:p>
        </w:tc>
      </w:tr>
      <w:tr w:rsidR="00C94BA1" w:rsidRPr="00C37A1D" w14:paraId="23ACEC83" w14:textId="77777777" w:rsidTr="00970C5B">
        <w:tc>
          <w:tcPr>
            <w:tcW w:w="4395" w:type="dxa"/>
          </w:tcPr>
          <w:p w14:paraId="6DB6F25A" w14:textId="77777777" w:rsidR="00C94BA1" w:rsidRPr="007C5D1A" w:rsidRDefault="00C94BA1" w:rsidP="00970C5B">
            <w:pPr>
              <w:rPr>
                <w:rFonts w:asciiTheme="minorHAnsi" w:hAnsiTheme="minorHAnsi" w:cstheme="minorHAnsi"/>
              </w:rPr>
            </w:pPr>
            <w:r w:rsidRPr="007C5D1A">
              <w:rPr>
                <w:rFonts w:asciiTheme="minorHAnsi" w:hAnsiTheme="minorHAnsi" w:cstheme="minorHAnsi"/>
              </w:rPr>
              <w:t>Efficacy has not been established for the dispersible tablet formulation in the paediatric population.</w:t>
            </w:r>
          </w:p>
        </w:tc>
        <w:tc>
          <w:tcPr>
            <w:tcW w:w="4394" w:type="dxa"/>
          </w:tcPr>
          <w:p w14:paraId="1E7C5A9D" w14:textId="77777777" w:rsidR="00C94BA1" w:rsidRPr="007C5D1A" w:rsidRDefault="00C94BA1" w:rsidP="00970C5B">
            <w:pPr>
              <w:rPr>
                <w:rFonts w:asciiTheme="minorHAnsi" w:hAnsiTheme="minorHAnsi" w:cstheme="minorHAnsi"/>
              </w:rPr>
            </w:pPr>
            <w:r w:rsidRPr="007C5D1A">
              <w:rPr>
                <w:rFonts w:asciiTheme="minorHAnsi" w:hAnsiTheme="minorHAnsi" w:cstheme="minorHAnsi"/>
              </w:rPr>
              <w:t xml:space="preserve">The dispersible tablet formulation has been studied in the paediatric PAH population but the efficacy endpoints were exploratory. Efficacy has been established in adult patients with the adult tablet formulation. The EMA came to an agreement with the sponsor that the PAH condition is similar between adults and children and efficacy could be inferred if similar PK properties were established. However, bosentan exposure in the paediatric population was about half that seen in adults. In addition bioequivalence with the approved formulation has not been established. These factors make it difficult to infer in the </w:t>
            </w:r>
            <w:r w:rsidRPr="007C5D1A">
              <w:rPr>
                <w:rFonts w:asciiTheme="minorHAnsi" w:hAnsiTheme="minorHAnsi" w:cstheme="minorHAnsi"/>
              </w:rPr>
              <w:lastRenderedPageBreak/>
              <w:t>paediatric population.</w:t>
            </w:r>
          </w:p>
        </w:tc>
      </w:tr>
      <w:tr w:rsidR="00C94BA1" w:rsidRPr="00C37A1D" w14:paraId="354D3229" w14:textId="77777777" w:rsidTr="00970C5B">
        <w:tc>
          <w:tcPr>
            <w:tcW w:w="4395" w:type="dxa"/>
          </w:tcPr>
          <w:p w14:paraId="3BFA2F43" w14:textId="77777777" w:rsidR="00C94BA1" w:rsidRPr="007C5D1A" w:rsidRDefault="00C94BA1" w:rsidP="00970C5B">
            <w:pPr>
              <w:rPr>
                <w:rFonts w:asciiTheme="minorHAnsi" w:hAnsiTheme="minorHAnsi" w:cstheme="minorHAnsi"/>
              </w:rPr>
            </w:pPr>
            <w:r w:rsidRPr="007C5D1A">
              <w:rPr>
                <w:rFonts w:asciiTheme="minorHAnsi" w:hAnsiTheme="minorHAnsi" w:cstheme="minorHAnsi"/>
              </w:rPr>
              <w:lastRenderedPageBreak/>
              <w:t>The optimal dosage regimen for paediatric patients with PAH has not been established.</w:t>
            </w:r>
          </w:p>
        </w:tc>
        <w:tc>
          <w:tcPr>
            <w:tcW w:w="4394" w:type="dxa"/>
          </w:tcPr>
          <w:p w14:paraId="07F3F6BC" w14:textId="77777777" w:rsidR="00C94BA1" w:rsidRPr="007C5D1A" w:rsidRDefault="00C94BA1" w:rsidP="00970C5B">
            <w:pPr>
              <w:rPr>
                <w:rFonts w:asciiTheme="minorHAnsi" w:hAnsiTheme="minorHAnsi" w:cstheme="minorHAnsi"/>
              </w:rPr>
            </w:pPr>
            <w:r w:rsidRPr="007C5D1A">
              <w:rPr>
                <w:rFonts w:asciiTheme="minorHAnsi" w:hAnsiTheme="minorHAnsi" w:cstheme="minorHAnsi"/>
              </w:rPr>
              <w:t>A plateau in systemic exposure suggests that increasing the dose beyond 2 mg/kg or the frequency of dosing beyond twice daily will not increase exposure to bosentan. It is noted that the safety and efficacy of the 2 mg/kg dose for the paediatric population has not been established. Whilst it is anticipated that no additional benefit will be gained from doses above 2 mg/kg it is unclear whether this is the optimal dose with respect to safety and efficacy in the paediatric population.</w:t>
            </w:r>
          </w:p>
        </w:tc>
      </w:tr>
      <w:tr w:rsidR="00C94BA1" w:rsidRPr="00C37A1D" w14:paraId="6BEF9130" w14:textId="77777777" w:rsidTr="00970C5B">
        <w:tc>
          <w:tcPr>
            <w:tcW w:w="4395" w:type="dxa"/>
          </w:tcPr>
          <w:p w14:paraId="6D8A1AA5" w14:textId="77777777" w:rsidR="00C94BA1" w:rsidRPr="007C5D1A" w:rsidRDefault="00C94BA1" w:rsidP="00970C5B">
            <w:pPr>
              <w:rPr>
                <w:rFonts w:asciiTheme="minorHAnsi" w:hAnsiTheme="minorHAnsi" w:cstheme="minorHAnsi"/>
              </w:rPr>
            </w:pPr>
            <w:r w:rsidRPr="007C5D1A">
              <w:rPr>
                <w:rFonts w:asciiTheme="minorHAnsi" w:hAnsiTheme="minorHAnsi" w:cstheme="minorHAnsi"/>
              </w:rPr>
              <w:t>The efficacy of bosentan for children aged between one and three years of age has not been established.</w:t>
            </w:r>
          </w:p>
        </w:tc>
        <w:tc>
          <w:tcPr>
            <w:tcW w:w="4394" w:type="dxa"/>
          </w:tcPr>
          <w:p w14:paraId="662D1E48" w14:textId="28AAF209" w:rsidR="00C94BA1" w:rsidRPr="007C5D1A" w:rsidRDefault="00C94BA1" w:rsidP="00970C5B">
            <w:pPr>
              <w:rPr>
                <w:rFonts w:asciiTheme="minorHAnsi" w:hAnsiTheme="minorHAnsi" w:cstheme="minorHAnsi"/>
              </w:rPr>
            </w:pPr>
            <w:r w:rsidRPr="007C5D1A">
              <w:rPr>
                <w:rFonts w:asciiTheme="minorHAnsi" w:hAnsiTheme="minorHAnsi" w:cstheme="minorHAnsi"/>
              </w:rPr>
              <w:t xml:space="preserve">Exposure to bosentan is lower in the paediatric PAH population compared to adults with PAH. The FUTURE-3 Study found that </w:t>
            </w:r>
            <w:proofErr w:type="spellStart"/>
            <w:r w:rsidRPr="007C5D1A">
              <w:rPr>
                <w:rFonts w:asciiTheme="minorHAnsi" w:hAnsiTheme="minorHAnsi" w:cstheme="minorHAnsi"/>
              </w:rPr>
              <w:t>C</w:t>
            </w:r>
            <w:r w:rsidRPr="007C5D1A">
              <w:rPr>
                <w:rFonts w:asciiTheme="minorHAnsi" w:hAnsiTheme="minorHAnsi" w:cstheme="minorHAnsi"/>
                <w:vertAlign w:val="subscript"/>
              </w:rPr>
              <w:t>maxc</w:t>
            </w:r>
            <w:proofErr w:type="spellEnd"/>
            <w:r w:rsidRPr="007C5D1A">
              <w:rPr>
                <w:rFonts w:asciiTheme="minorHAnsi" w:hAnsiTheme="minorHAnsi" w:cstheme="minorHAnsi"/>
              </w:rPr>
              <w:t xml:space="preserve"> and AUC</w:t>
            </w:r>
            <w:r w:rsidRPr="007C5D1A">
              <w:rPr>
                <w:rFonts w:asciiTheme="minorHAnsi" w:hAnsiTheme="minorHAnsi" w:cstheme="minorHAnsi"/>
                <w:vertAlign w:val="subscript"/>
              </w:rPr>
              <w:t>0-24C</w:t>
            </w:r>
            <w:r w:rsidRPr="007C5D1A">
              <w:rPr>
                <w:rFonts w:asciiTheme="minorHAnsi" w:hAnsiTheme="minorHAnsi" w:cstheme="minorHAnsi"/>
              </w:rPr>
              <w:t xml:space="preserve"> were lower in children &lt;</w:t>
            </w:r>
            <w:r w:rsidR="007C5D1A">
              <w:rPr>
                <w:rFonts w:asciiTheme="minorHAnsi" w:hAnsiTheme="minorHAnsi" w:cstheme="minorHAnsi"/>
              </w:rPr>
              <w:t xml:space="preserve"> </w:t>
            </w:r>
            <w:r w:rsidRPr="007C5D1A">
              <w:rPr>
                <w:rFonts w:asciiTheme="minorHAnsi" w:hAnsiTheme="minorHAnsi" w:cstheme="minorHAnsi"/>
              </w:rPr>
              <w:t xml:space="preserve">2 years old compared to those </w:t>
            </w:r>
            <w:r w:rsidR="00FD708D" w:rsidRPr="007C5D1A">
              <w:rPr>
                <w:rFonts w:cstheme="minorHAnsi"/>
              </w:rPr>
              <w:t>≥</w:t>
            </w:r>
            <w:r w:rsidR="00CE3A02">
              <w:rPr>
                <w:rFonts w:cstheme="minorHAnsi"/>
              </w:rPr>
              <w:t> </w:t>
            </w:r>
            <w:r w:rsidRPr="007C5D1A">
              <w:rPr>
                <w:rFonts w:asciiTheme="minorHAnsi" w:hAnsiTheme="minorHAnsi" w:cstheme="minorHAnsi"/>
              </w:rPr>
              <w:t>2</w:t>
            </w:r>
            <w:r w:rsidR="00CE3A02">
              <w:rPr>
                <w:rFonts w:asciiTheme="minorHAnsi" w:hAnsiTheme="minorHAnsi" w:cstheme="minorHAnsi"/>
              </w:rPr>
              <w:t> </w:t>
            </w:r>
            <w:r w:rsidRPr="007C5D1A">
              <w:rPr>
                <w:rFonts w:asciiTheme="minorHAnsi" w:hAnsiTheme="minorHAnsi" w:cstheme="minorHAnsi"/>
              </w:rPr>
              <w:t>years old. It is unclear whether there is enough data to support changing the dosing instructions to include patients aged between one and three years of age.</w:t>
            </w:r>
          </w:p>
        </w:tc>
      </w:tr>
    </w:tbl>
    <w:p w14:paraId="3871DEBE" w14:textId="77777777" w:rsidR="00605AD4" w:rsidRPr="00605AD4" w:rsidRDefault="00605AD4" w:rsidP="00605AD4">
      <w:pPr>
        <w:pStyle w:val="Heading4"/>
      </w:pPr>
      <w:r w:rsidRPr="00605AD4">
        <w:t>First round assessment of benefit-risk balance</w:t>
      </w:r>
    </w:p>
    <w:p w14:paraId="037AF8CB" w14:textId="77777777" w:rsidR="00965C8C" w:rsidRDefault="00965C8C" w:rsidP="00965C8C">
      <w:pPr>
        <w:rPr>
          <w:lang w:eastAsia="ja-JP"/>
        </w:rPr>
      </w:pPr>
      <w:r>
        <w:rPr>
          <w:lang w:eastAsia="ja-JP"/>
        </w:rPr>
        <w:t>Study AC-052-116 failed to demonstrate bioequivalence of the dispersible tablet formulations and the approved marketed formulation in the healthy adult population and therefore bioequivalence in children cannot be assumed.</w:t>
      </w:r>
    </w:p>
    <w:p w14:paraId="1FA72817" w14:textId="76F52446" w:rsidR="00605AD4" w:rsidRPr="00605AD4" w:rsidRDefault="00965C8C" w:rsidP="00605AD4">
      <w:r>
        <w:t xml:space="preserve">The BREATHE-3 and FUTURE-1 </w:t>
      </w:r>
      <w:r w:rsidR="008D6064">
        <w:t>Stud</w:t>
      </w:r>
      <w:r w:rsidR="00CE3A02">
        <w:t xml:space="preserve">ies </w:t>
      </w:r>
      <w:r>
        <w:t xml:space="preserve">found a lower exposure to bosentan in paediatric patients compared to adult patients. This result may indicate an exposure plateau occurring at lower doses in paediatric patients. The FUTURE-3 </w:t>
      </w:r>
      <w:r w:rsidR="008D6064">
        <w:t>Stud</w:t>
      </w:r>
      <w:r w:rsidR="00CE3A02">
        <w:t xml:space="preserve">y </w:t>
      </w:r>
      <w:r>
        <w:t>found that TDS administration of 2 mg/kg bosentan did not increase systemic exposure to bosentan in the paediatric population. Therefore, it is difficult to extrapolate efficacy data from adults with PAH to the paediatric PAH population.</w:t>
      </w:r>
    </w:p>
    <w:p w14:paraId="6AB9B180" w14:textId="52B530D7" w:rsidR="00605AD4" w:rsidRPr="00605AD4" w:rsidRDefault="00605AD4" w:rsidP="00605AD4">
      <w:pPr>
        <w:pStyle w:val="Heading3"/>
        <w:rPr>
          <w:rFonts w:eastAsia="Cambria"/>
        </w:rPr>
      </w:pPr>
      <w:bookmarkStart w:id="145" w:name="_Toc519764295"/>
      <w:r w:rsidRPr="00605AD4">
        <w:rPr>
          <w:rFonts w:eastAsia="Cambria"/>
        </w:rPr>
        <w:t xml:space="preserve">First </w:t>
      </w:r>
      <w:r w:rsidR="00DD4C81" w:rsidRPr="00605AD4">
        <w:rPr>
          <w:rFonts w:eastAsia="Cambria"/>
        </w:rPr>
        <w:t>round recommendation regarding authorisation</w:t>
      </w:r>
      <w:bookmarkEnd w:id="145"/>
    </w:p>
    <w:p w14:paraId="70DB6FB6" w14:textId="77777777" w:rsidR="00965C8C" w:rsidRDefault="00965C8C" w:rsidP="00965C8C">
      <w:pPr>
        <w:contextualSpacing/>
        <w:rPr>
          <w:lang w:eastAsia="ja-JP"/>
        </w:rPr>
      </w:pPr>
      <w:r w:rsidRPr="00297378">
        <w:rPr>
          <w:lang w:eastAsia="ja-JP"/>
        </w:rPr>
        <w:t xml:space="preserve">Approval of </w:t>
      </w:r>
      <w:r>
        <w:rPr>
          <w:lang w:eastAsia="ja-JP"/>
        </w:rPr>
        <w:t>the dispersible tablet formulation of bosentan</w:t>
      </w:r>
      <w:r w:rsidRPr="00297378">
        <w:rPr>
          <w:lang w:eastAsia="ja-JP"/>
        </w:rPr>
        <w:t xml:space="preserve"> is </w:t>
      </w:r>
      <w:r>
        <w:rPr>
          <w:lang w:eastAsia="ja-JP"/>
        </w:rPr>
        <w:t>not recommended for:</w:t>
      </w:r>
    </w:p>
    <w:p w14:paraId="2D598EC2" w14:textId="77777777" w:rsidR="00965C8C" w:rsidRPr="00965C8C" w:rsidRDefault="00965C8C" w:rsidP="00965C8C">
      <w:pPr>
        <w:pStyle w:val="ListBullet"/>
      </w:pPr>
      <w:r w:rsidRPr="00965C8C">
        <w:t>idiopathic pulmonary arterial hypertension</w:t>
      </w:r>
    </w:p>
    <w:p w14:paraId="5FC662D8" w14:textId="77777777" w:rsidR="00965C8C" w:rsidRPr="00965C8C" w:rsidRDefault="00965C8C" w:rsidP="00965C8C">
      <w:pPr>
        <w:pStyle w:val="ListBullet"/>
      </w:pPr>
      <w:r w:rsidRPr="00965C8C">
        <w:t>familial pulmonary arterial hypertension</w:t>
      </w:r>
    </w:p>
    <w:p w14:paraId="58CAE56A" w14:textId="77777777" w:rsidR="00965C8C" w:rsidRPr="00965C8C" w:rsidRDefault="00965C8C" w:rsidP="00965C8C">
      <w:pPr>
        <w:pStyle w:val="ListBullet"/>
      </w:pPr>
      <w:r w:rsidRPr="00965C8C">
        <w:t>pulmonary arterial hypertension associated with scleroderma or</w:t>
      </w:r>
    </w:p>
    <w:p w14:paraId="7ACFF164" w14:textId="77777777" w:rsidR="00965C8C" w:rsidRPr="00965C8C" w:rsidRDefault="00965C8C" w:rsidP="00965C8C">
      <w:pPr>
        <w:pStyle w:val="ListBullet"/>
      </w:pPr>
      <w:r w:rsidRPr="00965C8C">
        <w:t xml:space="preserve">pulmonary arterial hypertension associated with congenital systemic to pulmonary shunts including </w:t>
      </w:r>
      <w:proofErr w:type="spellStart"/>
      <w:r w:rsidRPr="00965C8C">
        <w:t>Eisenmenger’s</w:t>
      </w:r>
      <w:proofErr w:type="spellEnd"/>
      <w:r w:rsidRPr="00965C8C">
        <w:t xml:space="preserve"> physiology</w:t>
      </w:r>
    </w:p>
    <w:p w14:paraId="166C7A06" w14:textId="578B021B" w:rsidR="00965C8C" w:rsidRDefault="00965C8C" w:rsidP="007C5D1A">
      <w:pPr>
        <w:rPr>
          <w:lang w:eastAsia="ja-JP"/>
        </w:rPr>
      </w:pPr>
      <w:proofErr w:type="gramStart"/>
      <w:r w:rsidRPr="00297378">
        <w:rPr>
          <w:lang w:eastAsia="ja-JP"/>
        </w:rPr>
        <w:t>in</w:t>
      </w:r>
      <w:proofErr w:type="gramEnd"/>
      <w:r w:rsidRPr="00297378">
        <w:rPr>
          <w:lang w:eastAsia="ja-JP"/>
        </w:rPr>
        <w:t xml:space="preserve"> patients with WHO </w:t>
      </w:r>
      <w:r w:rsidR="00CE3A02">
        <w:rPr>
          <w:lang w:eastAsia="ja-JP"/>
        </w:rPr>
        <w:t>F</w:t>
      </w:r>
      <w:r w:rsidR="00CE3A02" w:rsidRPr="00297378">
        <w:rPr>
          <w:lang w:eastAsia="ja-JP"/>
        </w:rPr>
        <w:t xml:space="preserve">unctional </w:t>
      </w:r>
      <w:r w:rsidRPr="00297378">
        <w:rPr>
          <w:lang w:eastAsia="ja-JP"/>
        </w:rPr>
        <w:t>Class II, III or IV symptoms.</w:t>
      </w:r>
    </w:p>
    <w:p w14:paraId="5A91F2D9" w14:textId="77777777" w:rsidR="00965C8C" w:rsidRDefault="00965C8C" w:rsidP="007C5D1A">
      <w:pPr>
        <w:rPr>
          <w:lang w:eastAsia="ja-JP"/>
        </w:rPr>
      </w:pPr>
      <w:r>
        <w:rPr>
          <w:lang w:eastAsia="ja-JP"/>
        </w:rPr>
        <w:t>Approval cannot be recommended at this time as the bioequivalence of the new formulation to the approved formulation has not been established and the similar exposure was not demonstrated in the adult and paediatric populations making the extrapolation of efficacy data difficult.</w:t>
      </w:r>
    </w:p>
    <w:p w14:paraId="2C1E514A" w14:textId="6A53056E" w:rsidR="00605AD4" w:rsidRPr="007C5D1A" w:rsidRDefault="00605AD4" w:rsidP="007C5D1A">
      <w:pPr>
        <w:pStyle w:val="Heading3"/>
        <w:rPr>
          <w:rFonts w:eastAsia="Cambria"/>
        </w:rPr>
      </w:pPr>
      <w:bookmarkStart w:id="146" w:name="_Toc519764296"/>
      <w:r w:rsidRPr="007C5D1A">
        <w:rPr>
          <w:rFonts w:eastAsia="Cambria"/>
        </w:rPr>
        <w:lastRenderedPageBreak/>
        <w:t xml:space="preserve">Clinical </w:t>
      </w:r>
      <w:r w:rsidR="00DD4C81" w:rsidRPr="007C5D1A">
        <w:rPr>
          <w:rFonts w:eastAsia="Cambria"/>
        </w:rPr>
        <w:t>questions and second round evaluation of clinical data submitted in response to questions</w:t>
      </w:r>
      <w:bookmarkEnd w:id="146"/>
    </w:p>
    <w:p w14:paraId="22215149" w14:textId="77777777" w:rsidR="006136D7" w:rsidRPr="00605AD4" w:rsidRDefault="006136D7" w:rsidP="006136D7">
      <w:r>
        <w:t xml:space="preserve">For details of the </w:t>
      </w:r>
      <w:r w:rsidR="00965C8C">
        <w:t xml:space="preserve">clinical questions, the </w:t>
      </w:r>
      <w:r>
        <w:t>sponsor’s responses and the evaluation of these r</w:t>
      </w:r>
      <w:r w:rsidR="00965C8C">
        <w:t>esponses please see Attachment 1</w:t>
      </w:r>
      <w:r>
        <w:t>.</w:t>
      </w:r>
    </w:p>
    <w:p w14:paraId="73382958" w14:textId="0C8BDF23" w:rsidR="00605AD4" w:rsidRPr="007C5D1A" w:rsidRDefault="00605AD4" w:rsidP="007C5D1A">
      <w:pPr>
        <w:pStyle w:val="Heading3"/>
        <w:rPr>
          <w:rFonts w:eastAsia="Cambria"/>
        </w:rPr>
      </w:pPr>
      <w:bookmarkStart w:id="147" w:name="_Toc519764297"/>
      <w:r w:rsidRPr="007C5D1A">
        <w:rPr>
          <w:rFonts w:eastAsia="Cambria"/>
        </w:rPr>
        <w:t xml:space="preserve">Second </w:t>
      </w:r>
      <w:r w:rsidR="00DD4C81" w:rsidRPr="007C5D1A">
        <w:rPr>
          <w:rFonts w:eastAsia="Cambria"/>
        </w:rPr>
        <w:t xml:space="preserve">round benefit-risk assessment </w:t>
      </w:r>
      <w:r w:rsidR="00965C8C" w:rsidRPr="007C5D1A">
        <w:rPr>
          <w:rFonts w:eastAsia="Cambria"/>
        </w:rPr>
        <w:t>and recommendation regarding authorisation</w:t>
      </w:r>
      <w:bookmarkEnd w:id="147"/>
    </w:p>
    <w:p w14:paraId="4C970E47" w14:textId="77777777" w:rsidR="00335934" w:rsidRDefault="00965C8C" w:rsidP="00546154">
      <w:r w:rsidRPr="0090173C">
        <w:t xml:space="preserve">After consideration of the responses to clinical questions, the benefits of </w:t>
      </w:r>
      <w:r w:rsidR="00335934">
        <w:t>Tracleer</w:t>
      </w:r>
      <w:r w:rsidRPr="0090173C">
        <w:t xml:space="preserve"> in the proposed usage are unchanged from those identified in</w:t>
      </w:r>
      <w:r>
        <w:t xml:space="preserve"> the first round benefit-risk assessment</w:t>
      </w:r>
      <w:r w:rsidR="00335934">
        <w:t>.</w:t>
      </w:r>
    </w:p>
    <w:p w14:paraId="5A0B96A1" w14:textId="77777777" w:rsidR="00605AD4" w:rsidRPr="00605AD4" w:rsidRDefault="00965C8C" w:rsidP="00546154">
      <w:r>
        <w:t>The second round recommendation regarding authorisation is the same as that of the first round.</w:t>
      </w:r>
    </w:p>
    <w:p w14:paraId="099E7A5B" w14:textId="77777777" w:rsidR="008E7846" w:rsidRPr="00E41208" w:rsidRDefault="008E7846" w:rsidP="00546154">
      <w:pPr>
        <w:pStyle w:val="Heading2"/>
      </w:pPr>
      <w:bookmarkStart w:id="148" w:name="_Toc519764298"/>
      <w:r w:rsidRPr="00E41208">
        <w:t>V</w:t>
      </w:r>
      <w:r w:rsidR="00087DB5">
        <w:t>I</w:t>
      </w:r>
      <w:r w:rsidRPr="00E41208">
        <w:t xml:space="preserve">. Pharmacovigilance </w:t>
      </w:r>
      <w:r>
        <w:t>f</w:t>
      </w:r>
      <w:r w:rsidRPr="00E41208">
        <w:t>indings</w:t>
      </w:r>
      <w:bookmarkEnd w:id="117"/>
      <w:bookmarkEnd w:id="118"/>
      <w:bookmarkEnd w:id="148"/>
    </w:p>
    <w:p w14:paraId="1FC89CB3" w14:textId="77777777" w:rsidR="006947D3" w:rsidRPr="006947D3" w:rsidRDefault="006947D3" w:rsidP="006947D3">
      <w:pPr>
        <w:pStyle w:val="Heading3"/>
      </w:pPr>
      <w:bookmarkStart w:id="149" w:name="_Toc473883506"/>
      <w:bookmarkStart w:id="150" w:name="_Toc519764299"/>
      <w:bookmarkStart w:id="151" w:name="_Toc247691526"/>
      <w:bookmarkStart w:id="152" w:name="_Toc314842509"/>
      <w:r w:rsidRPr="006947D3">
        <w:t>Summary</w:t>
      </w:r>
      <w:bookmarkEnd w:id="149"/>
      <w:bookmarkEnd w:id="150"/>
    </w:p>
    <w:p w14:paraId="6E3035DF" w14:textId="77777777" w:rsidR="00335934" w:rsidRDefault="007C5D1A" w:rsidP="007C5D1A">
      <w:r>
        <w:t>The sponsor</w:t>
      </w:r>
      <w:r w:rsidR="006947D3" w:rsidRPr="006947D3">
        <w:t xml:space="preserve"> has applied to register a new oral solid dosage form (dispersible tablet) and strength (32 mg) of bosentan suitable for administration to the paediatric population for the currently approved indications. The proposed starting and maintenance dosage for paediatric patients aged 1 year or older is 2 mg/kg morning and evening</w:t>
      </w:r>
      <w:r w:rsidR="00335934">
        <w:t>.</w:t>
      </w:r>
    </w:p>
    <w:p w14:paraId="4A8FAAB7" w14:textId="0ADC99E2" w:rsidR="006947D3" w:rsidRPr="006947D3" w:rsidRDefault="007C5D1A" w:rsidP="006947D3">
      <w:r>
        <w:t>The sponsor</w:t>
      </w:r>
      <w:r w:rsidR="006947D3" w:rsidRPr="006947D3">
        <w:t xml:space="preserve"> has submitted EU-RMP version 9 (10</w:t>
      </w:r>
      <w:r>
        <w:t xml:space="preserve"> February 2016; DLP</w:t>
      </w:r>
      <w:r w:rsidR="00CE3A02">
        <w:t> </w:t>
      </w:r>
      <w:r>
        <w:t>19 November </w:t>
      </w:r>
      <w:r w:rsidR="006947D3" w:rsidRPr="006947D3">
        <w:t xml:space="preserve">2013) and ASA version 1.0 (31 March 2016) in support of this application. No RMP was required at the time of registration in 2002 for pulmonary arterial hypertension (62.5 mg and 12 5mg tablets). No updated EU-RMP or ASA was submitted in the </w:t>
      </w:r>
      <w:r w:rsidR="00335934">
        <w:t>sponsor</w:t>
      </w:r>
      <w:r w:rsidR="006947D3" w:rsidRPr="006947D3">
        <w:t>’s response.</w:t>
      </w:r>
    </w:p>
    <w:p w14:paraId="04950E51" w14:textId="77777777" w:rsidR="006947D3" w:rsidRDefault="006947D3" w:rsidP="006947D3">
      <w:r w:rsidRPr="006947D3">
        <w:t>The proposed Summary of Safety Concerns and their associated risk monitoring and mitigation strategies are summarised below:</w:t>
      </w:r>
    </w:p>
    <w:p w14:paraId="6552F91D" w14:textId="77777777" w:rsidR="006947D3" w:rsidRPr="006947D3" w:rsidRDefault="00FE6C13" w:rsidP="006947D3">
      <w:pPr>
        <w:pStyle w:val="TableTitle"/>
      </w:pPr>
      <w:r>
        <w:t>Table 24:</w:t>
      </w:r>
      <w:r w:rsidR="006947D3">
        <w:t xml:space="preserve"> Summary of safety concerns</w:t>
      </w:r>
    </w:p>
    <w:tbl>
      <w:tblPr>
        <w:tblStyle w:val="TableTGAblue"/>
        <w:tblW w:w="8330" w:type="dxa"/>
        <w:tblLayout w:type="fixed"/>
        <w:tblLook w:val="04A0" w:firstRow="1" w:lastRow="0" w:firstColumn="1" w:lastColumn="0" w:noHBand="0" w:noVBand="1"/>
      </w:tblPr>
      <w:tblGrid>
        <w:gridCol w:w="1216"/>
        <w:gridCol w:w="2436"/>
        <w:gridCol w:w="1134"/>
        <w:gridCol w:w="1276"/>
        <w:gridCol w:w="990"/>
        <w:gridCol w:w="1278"/>
      </w:tblGrid>
      <w:tr w:rsidR="00E0107A" w:rsidRPr="006947D3" w14:paraId="2721C970" w14:textId="77777777" w:rsidTr="00DD4C81">
        <w:trPr>
          <w:cnfStyle w:val="100000000000" w:firstRow="1" w:lastRow="0" w:firstColumn="0" w:lastColumn="0" w:oddVBand="0" w:evenVBand="0" w:oddHBand="0" w:evenHBand="0" w:firstRowFirstColumn="0" w:firstRowLastColumn="0" w:lastRowFirstColumn="0" w:lastRowLastColumn="0"/>
          <w:trHeight w:val="97"/>
        </w:trPr>
        <w:tc>
          <w:tcPr>
            <w:tcW w:w="3652" w:type="dxa"/>
            <w:gridSpan w:val="2"/>
            <w:vMerge w:val="restart"/>
            <w:tcBorders>
              <w:right w:val="single" w:sz="4" w:space="0" w:color="000000"/>
            </w:tcBorders>
          </w:tcPr>
          <w:p w14:paraId="3B2BB683" w14:textId="77777777" w:rsidR="006947D3" w:rsidRPr="008D6064" w:rsidRDefault="006947D3" w:rsidP="006947D3">
            <w:pPr>
              <w:ind w:left="0" w:right="0"/>
              <w:rPr>
                <w:sz w:val="21"/>
                <w:szCs w:val="20"/>
              </w:rPr>
            </w:pPr>
            <w:r w:rsidRPr="008D6064">
              <w:rPr>
                <w:sz w:val="21"/>
                <w:szCs w:val="20"/>
              </w:rPr>
              <w:t>Summary of safety concerns</w:t>
            </w:r>
          </w:p>
        </w:tc>
        <w:tc>
          <w:tcPr>
            <w:tcW w:w="2410" w:type="dxa"/>
            <w:gridSpan w:val="2"/>
            <w:tcBorders>
              <w:left w:val="single" w:sz="4" w:space="0" w:color="000000"/>
              <w:right w:val="single" w:sz="4" w:space="0" w:color="000000"/>
            </w:tcBorders>
          </w:tcPr>
          <w:p w14:paraId="1705856D" w14:textId="77777777" w:rsidR="006947D3" w:rsidRPr="008D6064" w:rsidRDefault="006947D3" w:rsidP="006947D3">
            <w:pPr>
              <w:ind w:left="0" w:right="0"/>
              <w:rPr>
                <w:sz w:val="21"/>
                <w:szCs w:val="20"/>
              </w:rPr>
            </w:pPr>
            <w:r w:rsidRPr="008D6064">
              <w:rPr>
                <w:sz w:val="21"/>
                <w:szCs w:val="20"/>
              </w:rPr>
              <w:t>Pharmacovigilance</w:t>
            </w:r>
          </w:p>
        </w:tc>
        <w:tc>
          <w:tcPr>
            <w:tcW w:w="2268" w:type="dxa"/>
            <w:gridSpan w:val="2"/>
            <w:tcBorders>
              <w:left w:val="single" w:sz="4" w:space="0" w:color="000000"/>
            </w:tcBorders>
          </w:tcPr>
          <w:p w14:paraId="49DC652A" w14:textId="77777777" w:rsidR="006947D3" w:rsidRPr="008D6064" w:rsidRDefault="006947D3" w:rsidP="006947D3">
            <w:pPr>
              <w:ind w:left="0" w:right="0"/>
              <w:rPr>
                <w:sz w:val="21"/>
                <w:szCs w:val="20"/>
              </w:rPr>
            </w:pPr>
            <w:r w:rsidRPr="008D6064">
              <w:rPr>
                <w:sz w:val="21"/>
                <w:szCs w:val="20"/>
              </w:rPr>
              <w:t>Risk Minimisation</w:t>
            </w:r>
          </w:p>
        </w:tc>
      </w:tr>
      <w:tr w:rsidR="00E0107A" w:rsidRPr="006947D3" w14:paraId="50A8B06B" w14:textId="77777777" w:rsidTr="00DD4C81">
        <w:trPr>
          <w:trHeight w:val="111"/>
        </w:trPr>
        <w:tc>
          <w:tcPr>
            <w:tcW w:w="3652" w:type="dxa"/>
            <w:gridSpan w:val="2"/>
            <w:vMerge/>
            <w:tcBorders>
              <w:right w:val="single" w:sz="4" w:space="0" w:color="000000"/>
            </w:tcBorders>
          </w:tcPr>
          <w:p w14:paraId="5639849C" w14:textId="77777777" w:rsidR="006947D3" w:rsidRPr="006947D3" w:rsidRDefault="006947D3" w:rsidP="006947D3">
            <w:pPr>
              <w:ind w:left="0" w:right="0"/>
              <w:rPr>
                <w:sz w:val="20"/>
                <w:szCs w:val="20"/>
              </w:rPr>
            </w:pPr>
          </w:p>
        </w:tc>
        <w:tc>
          <w:tcPr>
            <w:tcW w:w="1134" w:type="dxa"/>
            <w:tcBorders>
              <w:left w:val="single" w:sz="4" w:space="0" w:color="000000"/>
            </w:tcBorders>
          </w:tcPr>
          <w:p w14:paraId="77A133FA" w14:textId="77777777" w:rsidR="006947D3" w:rsidRPr="006947D3" w:rsidRDefault="006947D3" w:rsidP="006947D3">
            <w:pPr>
              <w:ind w:left="0" w:right="0"/>
              <w:rPr>
                <w:sz w:val="20"/>
                <w:szCs w:val="20"/>
              </w:rPr>
            </w:pPr>
            <w:r w:rsidRPr="006947D3">
              <w:rPr>
                <w:sz w:val="20"/>
                <w:szCs w:val="20"/>
              </w:rPr>
              <w:t>Routine</w:t>
            </w:r>
          </w:p>
        </w:tc>
        <w:tc>
          <w:tcPr>
            <w:tcW w:w="1276" w:type="dxa"/>
          </w:tcPr>
          <w:p w14:paraId="7E53FFD1" w14:textId="77777777" w:rsidR="006947D3" w:rsidRPr="006947D3" w:rsidRDefault="006947D3" w:rsidP="006947D3">
            <w:pPr>
              <w:ind w:left="0" w:right="0"/>
              <w:rPr>
                <w:sz w:val="20"/>
                <w:szCs w:val="20"/>
              </w:rPr>
            </w:pPr>
            <w:r w:rsidRPr="006947D3">
              <w:rPr>
                <w:sz w:val="20"/>
                <w:szCs w:val="20"/>
              </w:rPr>
              <w:t>Additional</w:t>
            </w:r>
          </w:p>
        </w:tc>
        <w:tc>
          <w:tcPr>
            <w:tcW w:w="990" w:type="dxa"/>
          </w:tcPr>
          <w:p w14:paraId="7789FAD2" w14:textId="77777777" w:rsidR="006947D3" w:rsidRPr="006947D3" w:rsidRDefault="006947D3" w:rsidP="006947D3">
            <w:pPr>
              <w:ind w:left="0" w:right="0"/>
              <w:rPr>
                <w:sz w:val="20"/>
                <w:szCs w:val="20"/>
              </w:rPr>
            </w:pPr>
            <w:r w:rsidRPr="006947D3">
              <w:rPr>
                <w:sz w:val="20"/>
                <w:szCs w:val="20"/>
              </w:rPr>
              <w:t>Routine</w:t>
            </w:r>
          </w:p>
        </w:tc>
        <w:tc>
          <w:tcPr>
            <w:tcW w:w="1278" w:type="dxa"/>
          </w:tcPr>
          <w:p w14:paraId="03683AE9" w14:textId="77777777" w:rsidR="006947D3" w:rsidRPr="006947D3" w:rsidRDefault="006947D3" w:rsidP="006947D3">
            <w:pPr>
              <w:ind w:left="0" w:right="0"/>
              <w:rPr>
                <w:sz w:val="20"/>
                <w:szCs w:val="20"/>
              </w:rPr>
            </w:pPr>
            <w:r w:rsidRPr="006947D3">
              <w:rPr>
                <w:sz w:val="20"/>
                <w:szCs w:val="20"/>
              </w:rPr>
              <w:t>Additional</w:t>
            </w:r>
          </w:p>
        </w:tc>
      </w:tr>
      <w:tr w:rsidR="00E0107A" w:rsidRPr="006947D3" w14:paraId="42CC0C37" w14:textId="77777777" w:rsidTr="00DD4C81">
        <w:trPr>
          <w:trHeight w:val="101"/>
        </w:trPr>
        <w:tc>
          <w:tcPr>
            <w:tcW w:w="1216" w:type="dxa"/>
            <w:vMerge w:val="restart"/>
          </w:tcPr>
          <w:p w14:paraId="7284E66A" w14:textId="77777777" w:rsidR="006947D3" w:rsidRPr="008D6064" w:rsidRDefault="006947D3" w:rsidP="006947D3">
            <w:pPr>
              <w:ind w:left="0" w:right="0"/>
              <w:rPr>
                <w:b/>
                <w:sz w:val="20"/>
                <w:szCs w:val="20"/>
              </w:rPr>
            </w:pPr>
            <w:r w:rsidRPr="008D6064">
              <w:rPr>
                <w:b/>
                <w:sz w:val="20"/>
                <w:szCs w:val="20"/>
              </w:rPr>
              <w:t>Important identified risks</w:t>
            </w:r>
          </w:p>
        </w:tc>
        <w:tc>
          <w:tcPr>
            <w:tcW w:w="2436" w:type="dxa"/>
          </w:tcPr>
          <w:p w14:paraId="6F885FC6" w14:textId="77777777" w:rsidR="006947D3" w:rsidRPr="006947D3" w:rsidRDefault="006947D3" w:rsidP="006947D3">
            <w:pPr>
              <w:ind w:left="0" w:right="0"/>
              <w:rPr>
                <w:sz w:val="20"/>
                <w:szCs w:val="20"/>
              </w:rPr>
            </w:pPr>
            <w:r w:rsidRPr="006947D3">
              <w:rPr>
                <w:sz w:val="20"/>
                <w:szCs w:val="20"/>
              </w:rPr>
              <w:t>Hepatotoxicity</w:t>
            </w:r>
          </w:p>
        </w:tc>
        <w:tc>
          <w:tcPr>
            <w:tcW w:w="1134" w:type="dxa"/>
          </w:tcPr>
          <w:p w14:paraId="5DCF2517" w14:textId="77777777" w:rsidR="006947D3" w:rsidRPr="006947D3" w:rsidRDefault="006947D3" w:rsidP="008D6064">
            <w:pPr>
              <w:ind w:left="0" w:right="0"/>
              <w:jc w:val="center"/>
              <w:rPr>
                <w:sz w:val="20"/>
                <w:szCs w:val="20"/>
              </w:rPr>
            </w:pPr>
            <w:r w:rsidRPr="006947D3">
              <w:rPr>
                <w:sz w:val="20"/>
                <w:szCs w:val="20"/>
              </w:rPr>
              <w:sym w:font="Wingdings" w:char="F0FC"/>
            </w:r>
          </w:p>
        </w:tc>
        <w:tc>
          <w:tcPr>
            <w:tcW w:w="1276" w:type="dxa"/>
          </w:tcPr>
          <w:p w14:paraId="6ECECE6D" w14:textId="77777777" w:rsidR="006947D3" w:rsidRPr="006947D3" w:rsidRDefault="006947D3" w:rsidP="008D6064">
            <w:pPr>
              <w:ind w:left="0" w:right="0"/>
              <w:jc w:val="center"/>
              <w:rPr>
                <w:sz w:val="20"/>
                <w:szCs w:val="20"/>
              </w:rPr>
            </w:pPr>
            <w:r w:rsidRPr="006947D3">
              <w:rPr>
                <w:sz w:val="20"/>
                <w:szCs w:val="20"/>
              </w:rPr>
              <w:t>–</w:t>
            </w:r>
          </w:p>
        </w:tc>
        <w:tc>
          <w:tcPr>
            <w:tcW w:w="990" w:type="dxa"/>
          </w:tcPr>
          <w:p w14:paraId="0ED21B18" w14:textId="77777777" w:rsidR="006947D3" w:rsidRPr="006947D3" w:rsidRDefault="006947D3" w:rsidP="008D6064">
            <w:pPr>
              <w:ind w:left="0" w:right="0"/>
              <w:jc w:val="center"/>
              <w:rPr>
                <w:sz w:val="20"/>
                <w:szCs w:val="20"/>
              </w:rPr>
            </w:pPr>
            <w:r w:rsidRPr="006947D3">
              <w:rPr>
                <w:sz w:val="20"/>
                <w:szCs w:val="20"/>
              </w:rPr>
              <w:sym w:font="Wingdings" w:char="F0FC"/>
            </w:r>
          </w:p>
        </w:tc>
        <w:tc>
          <w:tcPr>
            <w:tcW w:w="1278" w:type="dxa"/>
          </w:tcPr>
          <w:p w14:paraId="2D6625FC" w14:textId="77777777" w:rsidR="006947D3" w:rsidRPr="006947D3" w:rsidRDefault="006947D3" w:rsidP="008D6064">
            <w:pPr>
              <w:ind w:left="0" w:right="0"/>
              <w:jc w:val="center"/>
              <w:rPr>
                <w:sz w:val="20"/>
                <w:szCs w:val="20"/>
              </w:rPr>
            </w:pPr>
            <w:r w:rsidRPr="006947D3">
              <w:rPr>
                <w:sz w:val="20"/>
                <w:szCs w:val="20"/>
              </w:rPr>
              <w:sym w:font="Wingdings" w:char="F0FC"/>
            </w:r>
          </w:p>
        </w:tc>
      </w:tr>
      <w:tr w:rsidR="00E0107A" w:rsidRPr="006947D3" w14:paraId="58D751C1" w14:textId="77777777" w:rsidTr="00DD4C81">
        <w:trPr>
          <w:trHeight w:val="70"/>
        </w:trPr>
        <w:tc>
          <w:tcPr>
            <w:tcW w:w="1216" w:type="dxa"/>
            <w:vMerge/>
          </w:tcPr>
          <w:p w14:paraId="28FD6164" w14:textId="77777777" w:rsidR="006947D3" w:rsidRPr="008D6064" w:rsidRDefault="006947D3" w:rsidP="006947D3">
            <w:pPr>
              <w:ind w:left="0" w:right="0"/>
              <w:rPr>
                <w:b/>
                <w:sz w:val="20"/>
                <w:szCs w:val="20"/>
              </w:rPr>
            </w:pPr>
          </w:p>
        </w:tc>
        <w:tc>
          <w:tcPr>
            <w:tcW w:w="2436" w:type="dxa"/>
          </w:tcPr>
          <w:p w14:paraId="1B8DF0C7" w14:textId="77777777" w:rsidR="006947D3" w:rsidRPr="006947D3" w:rsidRDefault="006947D3" w:rsidP="006947D3">
            <w:pPr>
              <w:ind w:left="0" w:right="0"/>
              <w:rPr>
                <w:sz w:val="20"/>
                <w:szCs w:val="20"/>
              </w:rPr>
            </w:pPr>
            <w:r w:rsidRPr="006947D3">
              <w:rPr>
                <w:sz w:val="20"/>
                <w:szCs w:val="20"/>
              </w:rPr>
              <w:t>Teratogenicity</w:t>
            </w:r>
          </w:p>
        </w:tc>
        <w:tc>
          <w:tcPr>
            <w:tcW w:w="1134" w:type="dxa"/>
          </w:tcPr>
          <w:p w14:paraId="2F5AC5A8" w14:textId="77777777" w:rsidR="006947D3" w:rsidRPr="006947D3" w:rsidRDefault="006947D3" w:rsidP="008D6064">
            <w:pPr>
              <w:ind w:left="0" w:right="0"/>
              <w:jc w:val="center"/>
              <w:rPr>
                <w:sz w:val="20"/>
                <w:szCs w:val="20"/>
              </w:rPr>
            </w:pPr>
            <w:r w:rsidRPr="006947D3">
              <w:rPr>
                <w:sz w:val="20"/>
                <w:szCs w:val="20"/>
              </w:rPr>
              <w:sym w:font="Wingdings" w:char="F0FC"/>
            </w:r>
          </w:p>
        </w:tc>
        <w:tc>
          <w:tcPr>
            <w:tcW w:w="1276" w:type="dxa"/>
          </w:tcPr>
          <w:p w14:paraId="485D7CD2" w14:textId="77777777" w:rsidR="006947D3" w:rsidRPr="006947D3" w:rsidRDefault="006947D3" w:rsidP="008D6064">
            <w:pPr>
              <w:ind w:left="0" w:right="0"/>
              <w:jc w:val="center"/>
              <w:rPr>
                <w:sz w:val="20"/>
                <w:szCs w:val="20"/>
              </w:rPr>
            </w:pPr>
            <w:r w:rsidRPr="006947D3">
              <w:rPr>
                <w:sz w:val="20"/>
                <w:szCs w:val="20"/>
              </w:rPr>
              <w:t>–</w:t>
            </w:r>
          </w:p>
        </w:tc>
        <w:tc>
          <w:tcPr>
            <w:tcW w:w="990" w:type="dxa"/>
          </w:tcPr>
          <w:p w14:paraId="458A665F" w14:textId="77777777" w:rsidR="006947D3" w:rsidRPr="006947D3" w:rsidRDefault="006947D3" w:rsidP="008D6064">
            <w:pPr>
              <w:ind w:left="0" w:right="0"/>
              <w:jc w:val="center"/>
              <w:rPr>
                <w:sz w:val="20"/>
                <w:szCs w:val="20"/>
              </w:rPr>
            </w:pPr>
            <w:r w:rsidRPr="006947D3">
              <w:rPr>
                <w:sz w:val="20"/>
                <w:szCs w:val="20"/>
              </w:rPr>
              <w:sym w:font="Wingdings" w:char="F0FC"/>
            </w:r>
          </w:p>
        </w:tc>
        <w:tc>
          <w:tcPr>
            <w:tcW w:w="1278" w:type="dxa"/>
          </w:tcPr>
          <w:p w14:paraId="69861B6F" w14:textId="77777777" w:rsidR="006947D3" w:rsidRPr="006947D3" w:rsidRDefault="006947D3" w:rsidP="008D6064">
            <w:pPr>
              <w:ind w:left="0" w:right="0"/>
              <w:jc w:val="center"/>
              <w:rPr>
                <w:sz w:val="20"/>
                <w:szCs w:val="20"/>
              </w:rPr>
            </w:pPr>
            <w:r w:rsidRPr="006947D3">
              <w:rPr>
                <w:sz w:val="20"/>
                <w:szCs w:val="20"/>
              </w:rPr>
              <w:sym w:font="Wingdings" w:char="F0FC"/>
            </w:r>
          </w:p>
        </w:tc>
      </w:tr>
      <w:tr w:rsidR="00E0107A" w:rsidRPr="006947D3" w14:paraId="30347ED4" w14:textId="77777777" w:rsidTr="00DD4C81">
        <w:trPr>
          <w:trHeight w:val="44"/>
        </w:trPr>
        <w:tc>
          <w:tcPr>
            <w:tcW w:w="1216" w:type="dxa"/>
            <w:vMerge/>
          </w:tcPr>
          <w:p w14:paraId="5768508C" w14:textId="77777777" w:rsidR="006947D3" w:rsidRPr="008D6064" w:rsidRDefault="006947D3" w:rsidP="006947D3">
            <w:pPr>
              <w:ind w:left="0" w:right="0"/>
              <w:rPr>
                <w:b/>
                <w:sz w:val="20"/>
                <w:szCs w:val="20"/>
              </w:rPr>
            </w:pPr>
          </w:p>
        </w:tc>
        <w:tc>
          <w:tcPr>
            <w:tcW w:w="2436" w:type="dxa"/>
          </w:tcPr>
          <w:p w14:paraId="57E6F93A" w14:textId="77777777" w:rsidR="006947D3" w:rsidRPr="006947D3" w:rsidRDefault="006947D3" w:rsidP="006947D3">
            <w:pPr>
              <w:ind w:left="0" w:right="0"/>
              <w:rPr>
                <w:sz w:val="20"/>
                <w:szCs w:val="20"/>
              </w:rPr>
            </w:pPr>
            <w:r w:rsidRPr="006947D3">
              <w:rPr>
                <w:sz w:val="20"/>
                <w:szCs w:val="20"/>
              </w:rPr>
              <w:t>Decrease in haemoglobin concentration</w:t>
            </w:r>
          </w:p>
        </w:tc>
        <w:tc>
          <w:tcPr>
            <w:tcW w:w="1134" w:type="dxa"/>
          </w:tcPr>
          <w:p w14:paraId="52F41543" w14:textId="77777777" w:rsidR="006947D3" w:rsidRPr="006947D3" w:rsidRDefault="006947D3" w:rsidP="008D6064">
            <w:pPr>
              <w:ind w:left="0" w:right="0"/>
              <w:jc w:val="center"/>
              <w:rPr>
                <w:sz w:val="20"/>
                <w:szCs w:val="20"/>
              </w:rPr>
            </w:pPr>
            <w:r w:rsidRPr="006947D3">
              <w:rPr>
                <w:sz w:val="20"/>
                <w:szCs w:val="20"/>
              </w:rPr>
              <w:sym w:font="Wingdings" w:char="F0FC"/>
            </w:r>
          </w:p>
        </w:tc>
        <w:tc>
          <w:tcPr>
            <w:tcW w:w="1276" w:type="dxa"/>
          </w:tcPr>
          <w:p w14:paraId="78E09A75" w14:textId="77777777" w:rsidR="006947D3" w:rsidRPr="006947D3" w:rsidRDefault="006947D3" w:rsidP="008D6064">
            <w:pPr>
              <w:ind w:left="0" w:right="0"/>
              <w:jc w:val="center"/>
              <w:rPr>
                <w:sz w:val="20"/>
                <w:szCs w:val="20"/>
              </w:rPr>
            </w:pPr>
            <w:r w:rsidRPr="006947D3">
              <w:rPr>
                <w:sz w:val="20"/>
                <w:szCs w:val="20"/>
              </w:rPr>
              <w:t>–</w:t>
            </w:r>
          </w:p>
        </w:tc>
        <w:tc>
          <w:tcPr>
            <w:tcW w:w="990" w:type="dxa"/>
          </w:tcPr>
          <w:p w14:paraId="5B9262A7" w14:textId="77777777" w:rsidR="006947D3" w:rsidRPr="006947D3" w:rsidRDefault="006947D3" w:rsidP="008D6064">
            <w:pPr>
              <w:ind w:left="0" w:right="0"/>
              <w:jc w:val="center"/>
              <w:rPr>
                <w:sz w:val="20"/>
                <w:szCs w:val="20"/>
              </w:rPr>
            </w:pPr>
            <w:r w:rsidRPr="006947D3">
              <w:rPr>
                <w:sz w:val="20"/>
                <w:szCs w:val="20"/>
              </w:rPr>
              <w:sym w:font="Wingdings" w:char="F0FC"/>
            </w:r>
          </w:p>
        </w:tc>
        <w:tc>
          <w:tcPr>
            <w:tcW w:w="1278" w:type="dxa"/>
          </w:tcPr>
          <w:p w14:paraId="19DF8D18" w14:textId="77777777" w:rsidR="006947D3" w:rsidRPr="006947D3" w:rsidRDefault="006947D3" w:rsidP="008D6064">
            <w:pPr>
              <w:ind w:left="0" w:right="0"/>
              <w:jc w:val="center"/>
              <w:rPr>
                <w:sz w:val="20"/>
                <w:szCs w:val="20"/>
              </w:rPr>
            </w:pPr>
            <w:r w:rsidRPr="006947D3">
              <w:rPr>
                <w:sz w:val="20"/>
                <w:szCs w:val="20"/>
              </w:rPr>
              <w:sym w:font="Wingdings" w:char="F0FC"/>
            </w:r>
          </w:p>
        </w:tc>
      </w:tr>
      <w:tr w:rsidR="00E0107A" w:rsidRPr="006947D3" w14:paraId="32251E0B" w14:textId="77777777" w:rsidTr="00DD4C81">
        <w:trPr>
          <w:trHeight w:val="163"/>
        </w:trPr>
        <w:tc>
          <w:tcPr>
            <w:tcW w:w="1216" w:type="dxa"/>
            <w:vMerge/>
          </w:tcPr>
          <w:p w14:paraId="68F24BD4" w14:textId="77777777" w:rsidR="006947D3" w:rsidRPr="008D6064" w:rsidRDefault="006947D3" w:rsidP="006947D3">
            <w:pPr>
              <w:ind w:left="0" w:right="0"/>
              <w:rPr>
                <w:b/>
                <w:sz w:val="20"/>
                <w:szCs w:val="20"/>
              </w:rPr>
            </w:pPr>
          </w:p>
        </w:tc>
        <w:tc>
          <w:tcPr>
            <w:tcW w:w="2436" w:type="dxa"/>
          </w:tcPr>
          <w:p w14:paraId="3253E26D" w14:textId="77777777" w:rsidR="006947D3" w:rsidRPr="006947D3" w:rsidRDefault="006947D3" w:rsidP="006947D3">
            <w:pPr>
              <w:ind w:left="0" w:right="0"/>
              <w:rPr>
                <w:sz w:val="20"/>
                <w:szCs w:val="20"/>
              </w:rPr>
            </w:pPr>
            <w:r w:rsidRPr="006947D3">
              <w:rPr>
                <w:sz w:val="20"/>
                <w:szCs w:val="20"/>
              </w:rPr>
              <w:t>Decrease of sperm count</w:t>
            </w:r>
          </w:p>
        </w:tc>
        <w:tc>
          <w:tcPr>
            <w:tcW w:w="1134" w:type="dxa"/>
          </w:tcPr>
          <w:p w14:paraId="57224457" w14:textId="77777777" w:rsidR="006947D3" w:rsidRPr="006947D3" w:rsidRDefault="006947D3" w:rsidP="008D6064">
            <w:pPr>
              <w:ind w:left="0" w:right="0"/>
              <w:jc w:val="center"/>
              <w:rPr>
                <w:sz w:val="20"/>
                <w:szCs w:val="20"/>
              </w:rPr>
            </w:pPr>
          </w:p>
        </w:tc>
        <w:tc>
          <w:tcPr>
            <w:tcW w:w="1276" w:type="dxa"/>
          </w:tcPr>
          <w:p w14:paraId="58A4A827" w14:textId="77777777" w:rsidR="006947D3" w:rsidRPr="006947D3" w:rsidRDefault="006947D3" w:rsidP="008D6064">
            <w:pPr>
              <w:ind w:left="0" w:right="0"/>
              <w:jc w:val="center"/>
              <w:rPr>
                <w:sz w:val="20"/>
                <w:szCs w:val="20"/>
              </w:rPr>
            </w:pPr>
            <w:r w:rsidRPr="006947D3">
              <w:rPr>
                <w:sz w:val="20"/>
                <w:szCs w:val="20"/>
              </w:rPr>
              <w:t>–</w:t>
            </w:r>
          </w:p>
        </w:tc>
        <w:tc>
          <w:tcPr>
            <w:tcW w:w="990" w:type="dxa"/>
          </w:tcPr>
          <w:p w14:paraId="3FD3C53F" w14:textId="77777777" w:rsidR="006947D3" w:rsidRPr="006947D3" w:rsidRDefault="006947D3" w:rsidP="008D6064">
            <w:pPr>
              <w:ind w:left="0" w:right="0"/>
              <w:jc w:val="center"/>
              <w:rPr>
                <w:sz w:val="20"/>
                <w:szCs w:val="20"/>
              </w:rPr>
            </w:pPr>
          </w:p>
        </w:tc>
        <w:tc>
          <w:tcPr>
            <w:tcW w:w="1278" w:type="dxa"/>
          </w:tcPr>
          <w:p w14:paraId="3A42DD00" w14:textId="77777777" w:rsidR="006947D3" w:rsidRPr="006947D3" w:rsidRDefault="006947D3" w:rsidP="008D6064">
            <w:pPr>
              <w:ind w:left="0" w:right="0"/>
              <w:jc w:val="center"/>
              <w:rPr>
                <w:sz w:val="20"/>
                <w:szCs w:val="20"/>
              </w:rPr>
            </w:pPr>
            <w:r w:rsidRPr="006947D3">
              <w:rPr>
                <w:sz w:val="20"/>
                <w:szCs w:val="20"/>
              </w:rPr>
              <w:sym w:font="Wingdings" w:char="F0FC"/>
            </w:r>
          </w:p>
        </w:tc>
      </w:tr>
      <w:tr w:rsidR="00E0107A" w:rsidRPr="006947D3" w14:paraId="035126F8" w14:textId="77777777" w:rsidTr="00DD4C81">
        <w:trPr>
          <w:trHeight w:val="118"/>
        </w:trPr>
        <w:tc>
          <w:tcPr>
            <w:tcW w:w="1216" w:type="dxa"/>
            <w:vMerge w:val="restart"/>
          </w:tcPr>
          <w:p w14:paraId="54FE6C0E" w14:textId="77777777" w:rsidR="006947D3" w:rsidRPr="008D6064" w:rsidRDefault="006947D3" w:rsidP="006947D3">
            <w:pPr>
              <w:ind w:left="0" w:right="0"/>
              <w:rPr>
                <w:b/>
                <w:sz w:val="20"/>
                <w:szCs w:val="20"/>
              </w:rPr>
            </w:pPr>
            <w:r w:rsidRPr="008D6064">
              <w:rPr>
                <w:b/>
                <w:sz w:val="20"/>
                <w:szCs w:val="20"/>
              </w:rPr>
              <w:t>Important potential risks</w:t>
            </w:r>
          </w:p>
        </w:tc>
        <w:tc>
          <w:tcPr>
            <w:tcW w:w="2436" w:type="dxa"/>
          </w:tcPr>
          <w:p w14:paraId="3F8429AE" w14:textId="77777777" w:rsidR="006947D3" w:rsidRPr="006947D3" w:rsidRDefault="006947D3" w:rsidP="006947D3">
            <w:pPr>
              <w:ind w:left="0" w:right="0"/>
              <w:rPr>
                <w:sz w:val="20"/>
                <w:szCs w:val="20"/>
              </w:rPr>
            </w:pPr>
            <w:r w:rsidRPr="006947D3">
              <w:rPr>
                <w:sz w:val="20"/>
                <w:szCs w:val="20"/>
              </w:rPr>
              <w:t>Pulmonary oedema associated with PVOD</w:t>
            </w:r>
          </w:p>
        </w:tc>
        <w:tc>
          <w:tcPr>
            <w:tcW w:w="1134" w:type="dxa"/>
          </w:tcPr>
          <w:p w14:paraId="4C3FD4D2" w14:textId="77777777" w:rsidR="006947D3" w:rsidRPr="006947D3" w:rsidRDefault="006947D3" w:rsidP="008D6064">
            <w:pPr>
              <w:ind w:left="0" w:right="0"/>
              <w:jc w:val="center"/>
              <w:rPr>
                <w:sz w:val="20"/>
                <w:szCs w:val="20"/>
              </w:rPr>
            </w:pPr>
            <w:r w:rsidRPr="006947D3">
              <w:rPr>
                <w:sz w:val="20"/>
                <w:szCs w:val="20"/>
              </w:rPr>
              <w:sym w:font="Wingdings" w:char="F0FC"/>
            </w:r>
          </w:p>
        </w:tc>
        <w:tc>
          <w:tcPr>
            <w:tcW w:w="1276" w:type="dxa"/>
          </w:tcPr>
          <w:p w14:paraId="47D4699C" w14:textId="77777777" w:rsidR="006947D3" w:rsidRPr="006947D3" w:rsidRDefault="006947D3" w:rsidP="008D6064">
            <w:pPr>
              <w:ind w:left="0" w:right="0"/>
              <w:jc w:val="center"/>
              <w:rPr>
                <w:sz w:val="20"/>
                <w:szCs w:val="20"/>
              </w:rPr>
            </w:pPr>
            <w:r w:rsidRPr="006947D3">
              <w:rPr>
                <w:sz w:val="20"/>
                <w:szCs w:val="20"/>
              </w:rPr>
              <w:t>–</w:t>
            </w:r>
          </w:p>
        </w:tc>
        <w:tc>
          <w:tcPr>
            <w:tcW w:w="990" w:type="dxa"/>
          </w:tcPr>
          <w:p w14:paraId="3AE46009" w14:textId="77777777" w:rsidR="006947D3" w:rsidRPr="006947D3" w:rsidRDefault="006947D3" w:rsidP="008D6064">
            <w:pPr>
              <w:ind w:left="0" w:right="0"/>
              <w:jc w:val="center"/>
              <w:rPr>
                <w:sz w:val="20"/>
                <w:szCs w:val="20"/>
              </w:rPr>
            </w:pPr>
            <w:r w:rsidRPr="006947D3">
              <w:rPr>
                <w:sz w:val="20"/>
                <w:szCs w:val="20"/>
              </w:rPr>
              <w:sym w:font="Wingdings" w:char="F0FC"/>
            </w:r>
          </w:p>
        </w:tc>
        <w:tc>
          <w:tcPr>
            <w:tcW w:w="1278" w:type="dxa"/>
          </w:tcPr>
          <w:p w14:paraId="6645155B" w14:textId="77777777" w:rsidR="006947D3" w:rsidRPr="006947D3" w:rsidRDefault="006947D3" w:rsidP="008D6064">
            <w:pPr>
              <w:ind w:left="0" w:right="0"/>
              <w:jc w:val="center"/>
              <w:rPr>
                <w:sz w:val="20"/>
                <w:szCs w:val="20"/>
              </w:rPr>
            </w:pPr>
            <w:r w:rsidRPr="006947D3">
              <w:rPr>
                <w:sz w:val="20"/>
                <w:szCs w:val="20"/>
              </w:rPr>
              <w:t>–</w:t>
            </w:r>
          </w:p>
        </w:tc>
      </w:tr>
      <w:tr w:rsidR="00E0107A" w:rsidRPr="006947D3" w14:paraId="5E1C9D40" w14:textId="77777777" w:rsidTr="00DD4C81">
        <w:trPr>
          <w:trHeight w:val="90"/>
        </w:trPr>
        <w:tc>
          <w:tcPr>
            <w:tcW w:w="1216" w:type="dxa"/>
            <w:vMerge/>
          </w:tcPr>
          <w:p w14:paraId="5B50A294" w14:textId="77777777" w:rsidR="006947D3" w:rsidRPr="006947D3" w:rsidRDefault="006947D3" w:rsidP="006947D3">
            <w:pPr>
              <w:ind w:left="0" w:right="0"/>
              <w:rPr>
                <w:sz w:val="20"/>
                <w:szCs w:val="20"/>
              </w:rPr>
            </w:pPr>
          </w:p>
        </w:tc>
        <w:tc>
          <w:tcPr>
            <w:tcW w:w="2436" w:type="dxa"/>
          </w:tcPr>
          <w:p w14:paraId="3F79E13C" w14:textId="77777777" w:rsidR="006947D3" w:rsidRPr="006947D3" w:rsidRDefault="006947D3" w:rsidP="006947D3">
            <w:pPr>
              <w:ind w:left="0" w:right="0"/>
              <w:rPr>
                <w:sz w:val="20"/>
                <w:szCs w:val="20"/>
              </w:rPr>
            </w:pPr>
            <w:r w:rsidRPr="006947D3">
              <w:rPr>
                <w:sz w:val="20"/>
                <w:szCs w:val="20"/>
              </w:rPr>
              <w:t xml:space="preserve">Interactions with substrates, inducers or inhibitors of cytochrome </w:t>
            </w:r>
            <w:r w:rsidRPr="006947D3">
              <w:rPr>
                <w:sz w:val="20"/>
                <w:szCs w:val="20"/>
              </w:rPr>
              <w:lastRenderedPageBreak/>
              <w:t>P450 isoenzymes CYP3A4 and CYP2C9 (including hormonal contraceptives, sildenafil and antiretrovirals)</w:t>
            </w:r>
          </w:p>
        </w:tc>
        <w:tc>
          <w:tcPr>
            <w:tcW w:w="1134" w:type="dxa"/>
          </w:tcPr>
          <w:p w14:paraId="41C280A1" w14:textId="77777777" w:rsidR="006947D3" w:rsidRPr="006947D3" w:rsidRDefault="006947D3" w:rsidP="008D6064">
            <w:pPr>
              <w:ind w:left="0" w:right="0"/>
              <w:jc w:val="center"/>
              <w:rPr>
                <w:sz w:val="20"/>
                <w:szCs w:val="20"/>
              </w:rPr>
            </w:pPr>
            <w:r w:rsidRPr="006947D3">
              <w:rPr>
                <w:sz w:val="20"/>
                <w:szCs w:val="20"/>
              </w:rPr>
              <w:lastRenderedPageBreak/>
              <w:sym w:font="Wingdings" w:char="F0FC"/>
            </w:r>
          </w:p>
        </w:tc>
        <w:tc>
          <w:tcPr>
            <w:tcW w:w="1276" w:type="dxa"/>
          </w:tcPr>
          <w:p w14:paraId="5DCD856A" w14:textId="77777777" w:rsidR="006947D3" w:rsidRPr="006947D3" w:rsidRDefault="006947D3" w:rsidP="008D6064">
            <w:pPr>
              <w:ind w:left="0" w:right="0"/>
              <w:jc w:val="center"/>
              <w:rPr>
                <w:sz w:val="20"/>
                <w:szCs w:val="20"/>
              </w:rPr>
            </w:pPr>
            <w:r w:rsidRPr="006947D3">
              <w:rPr>
                <w:sz w:val="20"/>
                <w:szCs w:val="20"/>
              </w:rPr>
              <w:t>–</w:t>
            </w:r>
          </w:p>
        </w:tc>
        <w:tc>
          <w:tcPr>
            <w:tcW w:w="990" w:type="dxa"/>
          </w:tcPr>
          <w:p w14:paraId="3084270C" w14:textId="77777777" w:rsidR="006947D3" w:rsidRPr="006947D3" w:rsidRDefault="006947D3" w:rsidP="008D6064">
            <w:pPr>
              <w:ind w:left="0" w:right="0"/>
              <w:jc w:val="center"/>
              <w:rPr>
                <w:sz w:val="20"/>
                <w:szCs w:val="20"/>
              </w:rPr>
            </w:pPr>
            <w:r w:rsidRPr="006947D3">
              <w:rPr>
                <w:sz w:val="20"/>
                <w:szCs w:val="20"/>
              </w:rPr>
              <w:sym w:font="Wingdings" w:char="F0FC"/>
            </w:r>
          </w:p>
        </w:tc>
        <w:tc>
          <w:tcPr>
            <w:tcW w:w="1278" w:type="dxa"/>
          </w:tcPr>
          <w:p w14:paraId="58DAD4A5" w14:textId="77777777" w:rsidR="006947D3" w:rsidRPr="006947D3" w:rsidRDefault="006947D3" w:rsidP="008D6064">
            <w:pPr>
              <w:ind w:left="0" w:right="0"/>
              <w:jc w:val="center"/>
              <w:rPr>
                <w:sz w:val="20"/>
                <w:szCs w:val="20"/>
              </w:rPr>
            </w:pPr>
            <w:r w:rsidRPr="006947D3">
              <w:rPr>
                <w:sz w:val="20"/>
                <w:szCs w:val="20"/>
              </w:rPr>
              <w:sym w:font="Wingdings" w:char="F0FC"/>
            </w:r>
          </w:p>
        </w:tc>
      </w:tr>
      <w:tr w:rsidR="00E0107A" w:rsidRPr="006947D3" w14:paraId="2A2D422A" w14:textId="77777777" w:rsidTr="00DD4C81">
        <w:trPr>
          <w:trHeight w:val="64"/>
        </w:trPr>
        <w:tc>
          <w:tcPr>
            <w:tcW w:w="1216" w:type="dxa"/>
            <w:vMerge/>
          </w:tcPr>
          <w:p w14:paraId="0AC97BE4" w14:textId="77777777" w:rsidR="006947D3" w:rsidRPr="006947D3" w:rsidRDefault="006947D3" w:rsidP="006947D3">
            <w:pPr>
              <w:ind w:left="0" w:right="0"/>
              <w:rPr>
                <w:sz w:val="20"/>
                <w:szCs w:val="20"/>
              </w:rPr>
            </w:pPr>
          </w:p>
        </w:tc>
        <w:tc>
          <w:tcPr>
            <w:tcW w:w="2436" w:type="dxa"/>
          </w:tcPr>
          <w:p w14:paraId="6EA292EC" w14:textId="77777777" w:rsidR="006947D3" w:rsidRPr="006947D3" w:rsidRDefault="006947D3" w:rsidP="006947D3">
            <w:pPr>
              <w:ind w:left="0" w:right="0"/>
              <w:rPr>
                <w:sz w:val="20"/>
                <w:szCs w:val="20"/>
              </w:rPr>
            </w:pPr>
            <w:r w:rsidRPr="006947D3">
              <w:rPr>
                <w:sz w:val="20"/>
                <w:szCs w:val="20"/>
              </w:rPr>
              <w:t>Testicular disorders and male infertility</w:t>
            </w:r>
          </w:p>
        </w:tc>
        <w:tc>
          <w:tcPr>
            <w:tcW w:w="1134" w:type="dxa"/>
          </w:tcPr>
          <w:p w14:paraId="6DEB514E" w14:textId="77777777" w:rsidR="006947D3" w:rsidRPr="006947D3" w:rsidRDefault="006947D3" w:rsidP="008D6064">
            <w:pPr>
              <w:ind w:left="0" w:right="0"/>
              <w:jc w:val="center"/>
              <w:rPr>
                <w:sz w:val="20"/>
                <w:szCs w:val="20"/>
              </w:rPr>
            </w:pPr>
            <w:r w:rsidRPr="006947D3">
              <w:rPr>
                <w:sz w:val="20"/>
                <w:szCs w:val="20"/>
              </w:rPr>
              <w:sym w:font="Wingdings" w:char="F0FC"/>
            </w:r>
          </w:p>
        </w:tc>
        <w:tc>
          <w:tcPr>
            <w:tcW w:w="1276" w:type="dxa"/>
          </w:tcPr>
          <w:p w14:paraId="779B1AFD" w14:textId="77777777" w:rsidR="006947D3" w:rsidRPr="006947D3" w:rsidRDefault="006947D3" w:rsidP="008D6064">
            <w:pPr>
              <w:ind w:left="0" w:right="0"/>
              <w:jc w:val="center"/>
              <w:rPr>
                <w:sz w:val="20"/>
                <w:szCs w:val="20"/>
              </w:rPr>
            </w:pPr>
            <w:r w:rsidRPr="006947D3">
              <w:rPr>
                <w:sz w:val="20"/>
                <w:szCs w:val="20"/>
              </w:rPr>
              <w:t>–</w:t>
            </w:r>
          </w:p>
        </w:tc>
        <w:tc>
          <w:tcPr>
            <w:tcW w:w="990" w:type="dxa"/>
          </w:tcPr>
          <w:p w14:paraId="14674D48" w14:textId="77777777" w:rsidR="006947D3" w:rsidRPr="006947D3" w:rsidRDefault="006947D3" w:rsidP="008D6064">
            <w:pPr>
              <w:ind w:left="0" w:right="0"/>
              <w:jc w:val="center"/>
              <w:rPr>
                <w:sz w:val="20"/>
                <w:szCs w:val="20"/>
              </w:rPr>
            </w:pPr>
            <w:r w:rsidRPr="006947D3">
              <w:rPr>
                <w:sz w:val="20"/>
                <w:szCs w:val="20"/>
              </w:rPr>
              <w:sym w:font="Wingdings" w:char="F0FC"/>
            </w:r>
          </w:p>
        </w:tc>
        <w:tc>
          <w:tcPr>
            <w:tcW w:w="1278" w:type="dxa"/>
          </w:tcPr>
          <w:p w14:paraId="5A0C6FE3" w14:textId="77777777" w:rsidR="006947D3" w:rsidRPr="006947D3" w:rsidRDefault="006947D3" w:rsidP="008D6064">
            <w:pPr>
              <w:ind w:left="0" w:right="0"/>
              <w:jc w:val="center"/>
              <w:rPr>
                <w:sz w:val="20"/>
                <w:szCs w:val="20"/>
              </w:rPr>
            </w:pPr>
            <w:r w:rsidRPr="006947D3">
              <w:rPr>
                <w:sz w:val="20"/>
                <w:szCs w:val="20"/>
              </w:rPr>
              <w:t>–</w:t>
            </w:r>
          </w:p>
        </w:tc>
      </w:tr>
      <w:tr w:rsidR="00E0107A" w:rsidRPr="006947D3" w14:paraId="5FA34680" w14:textId="77777777" w:rsidTr="00DD4C81">
        <w:trPr>
          <w:trHeight w:val="141"/>
        </w:trPr>
        <w:tc>
          <w:tcPr>
            <w:tcW w:w="1216" w:type="dxa"/>
            <w:vMerge/>
          </w:tcPr>
          <w:p w14:paraId="255011E9" w14:textId="77777777" w:rsidR="006947D3" w:rsidRPr="006947D3" w:rsidRDefault="006947D3" w:rsidP="006947D3">
            <w:pPr>
              <w:ind w:left="0" w:right="0"/>
              <w:rPr>
                <w:sz w:val="20"/>
                <w:szCs w:val="20"/>
              </w:rPr>
            </w:pPr>
          </w:p>
        </w:tc>
        <w:tc>
          <w:tcPr>
            <w:tcW w:w="2436" w:type="dxa"/>
          </w:tcPr>
          <w:p w14:paraId="0BCBEA85" w14:textId="77777777" w:rsidR="006947D3" w:rsidRPr="006947D3" w:rsidRDefault="006947D3" w:rsidP="006947D3">
            <w:pPr>
              <w:ind w:left="0" w:right="0"/>
              <w:rPr>
                <w:sz w:val="20"/>
                <w:szCs w:val="20"/>
              </w:rPr>
            </w:pPr>
            <w:r w:rsidRPr="006947D3">
              <w:rPr>
                <w:sz w:val="20"/>
                <w:szCs w:val="20"/>
              </w:rPr>
              <w:t>Respiratory tract infection in children</w:t>
            </w:r>
          </w:p>
        </w:tc>
        <w:tc>
          <w:tcPr>
            <w:tcW w:w="1134" w:type="dxa"/>
          </w:tcPr>
          <w:p w14:paraId="28F09FBF" w14:textId="77777777" w:rsidR="006947D3" w:rsidRPr="006947D3" w:rsidRDefault="006947D3" w:rsidP="006947D3">
            <w:pPr>
              <w:ind w:left="0" w:right="0"/>
              <w:rPr>
                <w:sz w:val="20"/>
                <w:szCs w:val="20"/>
              </w:rPr>
            </w:pPr>
            <w:r w:rsidRPr="006947D3">
              <w:rPr>
                <w:sz w:val="20"/>
                <w:szCs w:val="20"/>
              </w:rPr>
              <w:sym w:font="Wingdings" w:char="F0FC"/>
            </w:r>
          </w:p>
        </w:tc>
        <w:tc>
          <w:tcPr>
            <w:tcW w:w="1276" w:type="dxa"/>
          </w:tcPr>
          <w:p w14:paraId="322D3B67" w14:textId="77777777" w:rsidR="006947D3" w:rsidRPr="006947D3" w:rsidRDefault="006947D3" w:rsidP="006947D3">
            <w:pPr>
              <w:ind w:left="0" w:right="0"/>
              <w:rPr>
                <w:sz w:val="20"/>
                <w:szCs w:val="20"/>
              </w:rPr>
            </w:pPr>
            <w:r w:rsidRPr="006947D3">
              <w:rPr>
                <w:sz w:val="20"/>
                <w:szCs w:val="20"/>
              </w:rPr>
              <w:t>–</w:t>
            </w:r>
          </w:p>
        </w:tc>
        <w:tc>
          <w:tcPr>
            <w:tcW w:w="990" w:type="dxa"/>
          </w:tcPr>
          <w:p w14:paraId="0C4CB02B" w14:textId="77777777" w:rsidR="006947D3" w:rsidRPr="006947D3" w:rsidRDefault="006947D3" w:rsidP="006947D3">
            <w:pPr>
              <w:ind w:left="0" w:right="0"/>
              <w:rPr>
                <w:sz w:val="20"/>
                <w:szCs w:val="20"/>
              </w:rPr>
            </w:pPr>
            <w:r w:rsidRPr="006947D3">
              <w:rPr>
                <w:sz w:val="20"/>
                <w:szCs w:val="20"/>
              </w:rPr>
              <w:sym w:font="Wingdings" w:char="F0FC"/>
            </w:r>
          </w:p>
        </w:tc>
        <w:tc>
          <w:tcPr>
            <w:tcW w:w="1278" w:type="dxa"/>
          </w:tcPr>
          <w:p w14:paraId="750F1B9D" w14:textId="77777777" w:rsidR="006947D3" w:rsidRPr="006947D3" w:rsidRDefault="006947D3" w:rsidP="006947D3">
            <w:pPr>
              <w:ind w:left="0" w:right="0"/>
              <w:rPr>
                <w:sz w:val="20"/>
                <w:szCs w:val="20"/>
              </w:rPr>
            </w:pPr>
            <w:r w:rsidRPr="006947D3">
              <w:rPr>
                <w:sz w:val="20"/>
                <w:szCs w:val="20"/>
              </w:rPr>
              <w:t>–</w:t>
            </w:r>
          </w:p>
        </w:tc>
      </w:tr>
      <w:tr w:rsidR="00E0107A" w:rsidRPr="006947D3" w14:paraId="4238CD7E" w14:textId="77777777" w:rsidTr="00DD4C81">
        <w:trPr>
          <w:trHeight w:val="132"/>
        </w:trPr>
        <w:tc>
          <w:tcPr>
            <w:tcW w:w="1216" w:type="dxa"/>
            <w:vMerge w:val="restart"/>
          </w:tcPr>
          <w:p w14:paraId="15D48F11" w14:textId="77777777" w:rsidR="006947D3" w:rsidRPr="008D6064" w:rsidRDefault="006947D3" w:rsidP="006947D3">
            <w:pPr>
              <w:ind w:left="0" w:right="0"/>
              <w:rPr>
                <w:b/>
                <w:sz w:val="20"/>
                <w:szCs w:val="20"/>
              </w:rPr>
            </w:pPr>
            <w:r w:rsidRPr="008D6064">
              <w:rPr>
                <w:b/>
                <w:sz w:val="20"/>
                <w:szCs w:val="20"/>
              </w:rPr>
              <w:t>Missing information</w:t>
            </w:r>
          </w:p>
        </w:tc>
        <w:tc>
          <w:tcPr>
            <w:tcW w:w="2436" w:type="dxa"/>
          </w:tcPr>
          <w:p w14:paraId="16814E9A" w14:textId="77777777" w:rsidR="006947D3" w:rsidRPr="006947D3" w:rsidRDefault="006947D3" w:rsidP="006947D3">
            <w:pPr>
              <w:ind w:left="0" w:right="0"/>
              <w:rPr>
                <w:sz w:val="20"/>
                <w:szCs w:val="20"/>
              </w:rPr>
            </w:pPr>
            <w:r w:rsidRPr="006947D3">
              <w:rPr>
                <w:sz w:val="20"/>
                <w:szCs w:val="20"/>
              </w:rPr>
              <w:t>Use of bosentan with the addition of sildenafil in children</w:t>
            </w:r>
          </w:p>
        </w:tc>
        <w:tc>
          <w:tcPr>
            <w:tcW w:w="1134" w:type="dxa"/>
          </w:tcPr>
          <w:p w14:paraId="79B13219" w14:textId="77777777" w:rsidR="006947D3" w:rsidRPr="006947D3" w:rsidRDefault="006947D3" w:rsidP="006947D3">
            <w:pPr>
              <w:ind w:left="0" w:right="0"/>
              <w:rPr>
                <w:sz w:val="20"/>
                <w:szCs w:val="20"/>
              </w:rPr>
            </w:pPr>
            <w:r w:rsidRPr="006947D3">
              <w:rPr>
                <w:sz w:val="20"/>
                <w:szCs w:val="20"/>
              </w:rPr>
              <w:sym w:font="Wingdings" w:char="F0FC"/>
            </w:r>
          </w:p>
        </w:tc>
        <w:tc>
          <w:tcPr>
            <w:tcW w:w="1276" w:type="dxa"/>
          </w:tcPr>
          <w:p w14:paraId="1DDBE637" w14:textId="77777777" w:rsidR="006947D3" w:rsidRPr="006947D3" w:rsidRDefault="006947D3" w:rsidP="006947D3">
            <w:pPr>
              <w:ind w:left="0" w:right="0"/>
              <w:rPr>
                <w:sz w:val="20"/>
                <w:szCs w:val="20"/>
              </w:rPr>
            </w:pPr>
            <w:r w:rsidRPr="006947D3">
              <w:rPr>
                <w:sz w:val="20"/>
                <w:szCs w:val="20"/>
              </w:rPr>
              <w:t>–</w:t>
            </w:r>
          </w:p>
        </w:tc>
        <w:tc>
          <w:tcPr>
            <w:tcW w:w="990" w:type="dxa"/>
          </w:tcPr>
          <w:p w14:paraId="181B8CA5" w14:textId="77777777" w:rsidR="006947D3" w:rsidRPr="006947D3" w:rsidRDefault="006947D3" w:rsidP="006947D3">
            <w:pPr>
              <w:ind w:left="0" w:right="0"/>
              <w:rPr>
                <w:sz w:val="20"/>
                <w:szCs w:val="20"/>
              </w:rPr>
            </w:pPr>
            <w:r w:rsidRPr="006947D3">
              <w:rPr>
                <w:sz w:val="20"/>
                <w:szCs w:val="20"/>
              </w:rPr>
              <w:sym w:font="Wingdings" w:char="F0FC"/>
            </w:r>
          </w:p>
        </w:tc>
        <w:tc>
          <w:tcPr>
            <w:tcW w:w="1278" w:type="dxa"/>
          </w:tcPr>
          <w:p w14:paraId="73EF6669" w14:textId="77777777" w:rsidR="006947D3" w:rsidRPr="006947D3" w:rsidRDefault="006947D3" w:rsidP="006947D3">
            <w:pPr>
              <w:ind w:left="0" w:right="0"/>
              <w:rPr>
                <w:sz w:val="20"/>
                <w:szCs w:val="20"/>
              </w:rPr>
            </w:pPr>
            <w:r w:rsidRPr="006947D3">
              <w:rPr>
                <w:sz w:val="20"/>
                <w:szCs w:val="20"/>
              </w:rPr>
              <w:t>–</w:t>
            </w:r>
          </w:p>
        </w:tc>
      </w:tr>
      <w:tr w:rsidR="00E0107A" w:rsidRPr="006947D3" w14:paraId="64C11048" w14:textId="77777777" w:rsidTr="00DD4C81">
        <w:trPr>
          <w:trHeight w:val="103"/>
        </w:trPr>
        <w:tc>
          <w:tcPr>
            <w:tcW w:w="1216" w:type="dxa"/>
            <w:vMerge/>
          </w:tcPr>
          <w:p w14:paraId="183044A6" w14:textId="77777777" w:rsidR="006947D3" w:rsidRPr="006947D3" w:rsidRDefault="006947D3" w:rsidP="006947D3">
            <w:pPr>
              <w:ind w:left="0" w:right="0"/>
              <w:rPr>
                <w:sz w:val="20"/>
                <w:szCs w:val="20"/>
              </w:rPr>
            </w:pPr>
          </w:p>
        </w:tc>
        <w:tc>
          <w:tcPr>
            <w:tcW w:w="2436" w:type="dxa"/>
          </w:tcPr>
          <w:p w14:paraId="0EC66109" w14:textId="77777777" w:rsidR="006947D3" w:rsidRPr="006947D3" w:rsidRDefault="006947D3" w:rsidP="006947D3">
            <w:pPr>
              <w:ind w:left="0" w:right="0"/>
              <w:rPr>
                <w:sz w:val="20"/>
                <w:szCs w:val="20"/>
              </w:rPr>
            </w:pPr>
            <w:r w:rsidRPr="006947D3">
              <w:rPr>
                <w:sz w:val="20"/>
                <w:szCs w:val="20"/>
              </w:rPr>
              <w:t>Use in children with renal function impairment</w:t>
            </w:r>
          </w:p>
        </w:tc>
        <w:tc>
          <w:tcPr>
            <w:tcW w:w="1134" w:type="dxa"/>
          </w:tcPr>
          <w:p w14:paraId="6B8549BE" w14:textId="77777777" w:rsidR="006947D3" w:rsidRPr="006947D3" w:rsidRDefault="006947D3" w:rsidP="006947D3">
            <w:pPr>
              <w:ind w:left="0" w:right="0"/>
              <w:rPr>
                <w:sz w:val="20"/>
                <w:szCs w:val="20"/>
              </w:rPr>
            </w:pPr>
            <w:r w:rsidRPr="006947D3">
              <w:rPr>
                <w:sz w:val="20"/>
                <w:szCs w:val="20"/>
              </w:rPr>
              <w:sym w:font="Wingdings" w:char="F0FC"/>
            </w:r>
          </w:p>
        </w:tc>
        <w:tc>
          <w:tcPr>
            <w:tcW w:w="1276" w:type="dxa"/>
          </w:tcPr>
          <w:p w14:paraId="736AF60E" w14:textId="77777777" w:rsidR="006947D3" w:rsidRPr="006947D3" w:rsidRDefault="006947D3" w:rsidP="006947D3">
            <w:pPr>
              <w:ind w:left="0" w:right="0"/>
              <w:rPr>
                <w:sz w:val="20"/>
                <w:szCs w:val="20"/>
              </w:rPr>
            </w:pPr>
            <w:r w:rsidRPr="006947D3">
              <w:rPr>
                <w:sz w:val="20"/>
                <w:szCs w:val="20"/>
              </w:rPr>
              <w:t>–</w:t>
            </w:r>
          </w:p>
        </w:tc>
        <w:tc>
          <w:tcPr>
            <w:tcW w:w="990" w:type="dxa"/>
          </w:tcPr>
          <w:p w14:paraId="696E76FD" w14:textId="77777777" w:rsidR="006947D3" w:rsidRPr="006947D3" w:rsidRDefault="006947D3" w:rsidP="006947D3">
            <w:pPr>
              <w:ind w:left="0" w:right="0"/>
              <w:rPr>
                <w:sz w:val="20"/>
                <w:szCs w:val="20"/>
              </w:rPr>
            </w:pPr>
            <w:r w:rsidRPr="006947D3">
              <w:rPr>
                <w:sz w:val="20"/>
                <w:szCs w:val="20"/>
              </w:rPr>
              <w:sym w:font="Wingdings" w:char="F0FC"/>
            </w:r>
          </w:p>
        </w:tc>
        <w:tc>
          <w:tcPr>
            <w:tcW w:w="1278" w:type="dxa"/>
          </w:tcPr>
          <w:p w14:paraId="4DD7A425" w14:textId="77777777" w:rsidR="006947D3" w:rsidRPr="006947D3" w:rsidRDefault="006947D3" w:rsidP="006947D3">
            <w:pPr>
              <w:ind w:left="0" w:right="0"/>
              <w:rPr>
                <w:sz w:val="20"/>
                <w:szCs w:val="20"/>
              </w:rPr>
            </w:pPr>
            <w:r w:rsidRPr="006947D3">
              <w:rPr>
                <w:sz w:val="20"/>
                <w:szCs w:val="20"/>
              </w:rPr>
              <w:t>–</w:t>
            </w:r>
          </w:p>
        </w:tc>
      </w:tr>
    </w:tbl>
    <w:p w14:paraId="5D9A8920" w14:textId="77777777" w:rsidR="006947D3" w:rsidRPr="009E3A68" w:rsidRDefault="006947D3" w:rsidP="007C5D1A">
      <w:pPr>
        <w:pStyle w:val="ListBullet"/>
      </w:pPr>
      <w:r>
        <w:t xml:space="preserve">An </w:t>
      </w:r>
      <w:r w:rsidRPr="009E3A68">
        <w:t xml:space="preserve">additional pharmacovigilance activity is </w:t>
      </w:r>
      <w:r>
        <w:t>a</w:t>
      </w:r>
      <w:r w:rsidRPr="009E3A68">
        <w:t xml:space="preserve"> non-interventional observational </w:t>
      </w:r>
      <w:r w:rsidR="00FD708D">
        <w:t>Study</w:t>
      </w:r>
      <w:r w:rsidR="007C5D1A">
        <w:t> AC-052-516 (</w:t>
      </w:r>
      <w:r w:rsidRPr="009E3A68">
        <w:t>Disease characteristics and outcomes of PAH in children and adolescents in real world clinical settings: Systematic review of four prospective, observational registries)</w:t>
      </w:r>
      <w:r>
        <w:t>. This study</w:t>
      </w:r>
      <w:r w:rsidRPr="009E3A68">
        <w:t xml:space="preserve"> collects further data on long-term safety and outcomes in paediatric patients with PAH</w:t>
      </w:r>
      <w:r>
        <w:t>, which is not an identified safety concern</w:t>
      </w:r>
      <w:r w:rsidRPr="009E3A68">
        <w:t>.</w:t>
      </w:r>
    </w:p>
    <w:p w14:paraId="0C8B6AD8" w14:textId="77777777" w:rsidR="00335934" w:rsidRDefault="006947D3" w:rsidP="007C5D1A">
      <w:pPr>
        <w:pStyle w:val="ListBullet"/>
      </w:pPr>
      <w:r w:rsidRPr="00E00FD5">
        <w:t>The additional risk minimisation activit</w:t>
      </w:r>
      <w:r>
        <w:t>y is a Patient Reminder Card containing information about blood tests and contraception which will be included in each pack of dispersible tablets. This is already inserted into the packs of 62.5 mg and 125 mg film coated tablets</w:t>
      </w:r>
      <w:r w:rsidR="00335934">
        <w:t>.</w:t>
      </w:r>
    </w:p>
    <w:p w14:paraId="5B8E8841" w14:textId="77777777" w:rsidR="006947D3" w:rsidRDefault="006947D3" w:rsidP="007C5D1A">
      <w:pPr>
        <w:pStyle w:val="ListBullet"/>
      </w:pPr>
      <w:r>
        <w:t xml:space="preserve">A </w:t>
      </w:r>
      <w:r w:rsidR="006231FF">
        <w:t>‘</w:t>
      </w:r>
      <w:r w:rsidR="00335934" w:rsidRPr="007C5D1A">
        <w:t>Tracleer</w:t>
      </w:r>
      <w:r w:rsidRPr="00590E66">
        <w:rPr>
          <w:smallCaps/>
        </w:rPr>
        <w:t xml:space="preserve"> </w:t>
      </w:r>
      <w:r w:rsidRPr="002A70E4">
        <w:t>Prescribing and Monitoring Bookle</w:t>
      </w:r>
      <w:r>
        <w:t>t</w:t>
      </w:r>
      <w:r w:rsidR="006231FF">
        <w:t>’</w:t>
      </w:r>
      <w:r>
        <w:t xml:space="preserve"> already exists and is not considered by the </w:t>
      </w:r>
      <w:r w:rsidR="00335934">
        <w:t>sponsor</w:t>
      </w:r>
      <w:r>
        <w:t xml:space="preserve"> to be an additional risk minimisation activity, and therefore has not been included as part of this RMP.</w:t>
      </w:r>
    </w:p>
    <w:p w14:paraId="060E10C4" w14:textId="77777777" w:rsidR="006947D3" w:rsidRPr="007C5D1A" w:rsidRDefault="006947D3" w:rsidP="007C5D1A">
      <w:pPr>
        <w:pStyle w:val="Heading4"/>
      </w:pPr>
      <w:bookmarkStart w:id="153" w:name="_Toc473883508"/>
      <w:r w:rsidRPr="007C5D1A">
        <w:t>Wording for conditions of registration</w:t>
      </w:r>
      <w:bookmarkEnd w:id="153"/>
    </w:p>
    <w:p w14:paraId="64A5D8F0" w14:textId="77777777" w:rsidR="00335934" w:rsidRDefault="006947D3" w:rsidP="007C5D1A">
      <w:r w:rsidRPr="006947D3">
        <w:t>Any changes to which the sponsor has agreed should be included in a revised RMP and ASA. However, irrespective of whether or not they are included in the currently available version of the RMP document, the agreed changes become part of the risk management system</w:t>
      </w:r>
      <w:r w:rsidR="00335934">
        <w:t>.</w:t>
      </w:r>
    </w:p>
    <w:p w14:paraId="0ECD9473" w14:textId="77777777" w:rsidR="00E0107A" w:rsidRDefault="006947D3" w:rsidP="007C5D1A">
      <w:r w:rsidRPr="006947D3">
        <w:t>The suggested wording is:</w:t>
      </w:r>
    </w:p>
    <w:p w14:paraId="49804FB2" w14:textId="4C081EEF" w:rsidR="006947D3" w:rsidRPr="006947D3" w:rsidRDefault="006947D3" w:rsidP="008D6064">
      <w:pPr>
        <w:pStyle w:val="ListBullet"/>
      </w:pPr>
      <w:r w:rsidRPr="006947D3">
        <w:t>Implement EU-RMP (version 9, dated 10 February 2016, data lock point 19 November 2013) with Australian Specific Annex (version 1.0, dated 31 March 2016) and any future updates as a condition of registration</w:t>
      </w:r>
      <w:r w:rsidR="00E0107A">
        <w:t>.</w:t>
      </w:r>
    </w:p>
    <w:p w14:paraId="5A7E37B4" w14:textId="77777777" w:rsidR="008E7846" w:rsidRPr="007C5D1A" w:rsidRDefault="008E7846" w:rsidP="007C5D1A">
      <w:pPr>
        <w:pStyle w:val="Heading2"/>
      </w:pPr>
      <w:bookmarkStart w:id="154" w:name="_Toc247691527"/>
      <w:bookmarkStart w:id="155" w:name="_Toc314842510"/>
      <w:bookmarkStart w:id="156" w:name="_Toc519764300"/>
      <w:bookmarkEnd w:id="151"/>
      <w:bookmarkEnd w:id="152"/>
      <w:r w:rsidRPr="007C5D1A">
        <w:t>VI</w:t>
      </w:r>
      <w:r w:rsidR="00087DB5" w:rsidRPr="007C5D1A">
        <w:t>I</w:t>
      </w:r>
      <w:r w:rsidRPr="007C5D1A">
        <w:t>. Overall conclusion and risk/benefit assessment</w:t>
      </w:r>
      <w:bookmarkEnd w:id="119"/>
      <w:bookmarkEnd w:id="154"/>
      <w:bookmarkEnd w:id="155"/>
      <w:bookmarkEnd w:id="156"/>
    </w:p>
    <w:p w14:paraId="372BDEA4" w14:textId="6E979AA0" w:rsidR="008E7846" w:rsidRDefault="008E7846" w:rsidP="007C5D1A">
      <w:bookmarkStart w:id="157" w:name="_Toc247691528"/>
      <w:r>
        <w:t xml:space="preserve">The submission was summarised in the following </w:t>
      </w:r>
      <w:r w:rsidRPr="00EF5C48">
        <w:t xml:space="preserve">Delegate’s </w:t>
      </w:r>
      <w:r>
        <w:t>overview</w:t>
      </w:r>
      <w:r w:rsidRPr="00EF5C48">
        <w:t xml:space="preserve"> and recommendation</w:t>
      </w:r>
      <w:r>
        <w:t>s</w:t>
      </w:r>
      <w:r w:rsidR="00E0107A">
        <w:t>.</w:t>
      </w:r>
    </w:p>
    <w:p w14:paraId="290902C9" w14:textId="77777777" w:rsidR="00123AC6" w:rsidRPr="007C5D1A" w:rsidRDefault="00123AC6" w:rsidP="007C5D1A">
      <w:pPr>
        <w:pStyle w:val="Heading3"/>
      </w:pPr>
      <w:bookmarkStart w:id="158" w:name="_Toc519764301"/>
      <w:r w:rsidRPr="007C5D1A">
        <w:lastRenderedPageBreak/>
        <w:t>Background</w:t>
      </w:r>
      <w:bookmarkEnd w:id="158"/>
    </w:p>
    <w:p w14:paraId="59BC9E41" w14:textId="29B6AEBA" w:rsidR="00123AC6" w:rsidRPr="00123AC6" w:rsidRDefault="007C5D1A" w:rsidP="007C5D1A">
      <w:r>
        <w:t xml:space="preserve">The BREATHE-3 </w:t>
      </w:r>
      <w:r w:rsidR="008D6064">
        <w:t>Stud</w:t>
      </w:r>
      <w:r w:rsidR="00E0107A">
        <w:t xml:space="preserve">y </w:t>
      </w:r>
      <w:r w:rsidR="00123AC6">
        <w:t>using the approved tablet formulation of bosentan in children showed a lower systemic exposure in children compared to the exposure in adults. The EMA considered that BREATHE-3 was insufficient to support a therapeutic indication in children because: the number of children exposed was too small; and the dose of bosentan used may have been suboptimal. The FUTURE program of studies was designed to address these deficiencies.</w:t>
      </w:r>
    </w:p>
    <w:p w14:paraId="340FF729" w14:textId="77777777" w:rsidR="008E7846" w:rsidRPr="007C5D1A" w:rsidRDefault="008E7846" w:rsidP="007C5D1A">
      <w:pPr>
        <w:pStyle w:val="Heading3"/>
      </w:pPr>
      <w:bookmarkStart w:id="159" w:name="_Toc314842511"/>
      <w:bookmarkStart w:id="160" w:name="_Toc519764302"/>
      <w:r w:rsidRPr="007C5D1A">
        <w:t>Quality</w:t>
      </w:r>
      <w:bookmarkEnd w:id="157"/>
      <w:bookmarkEnd w:id="159"/>
      <w:bookmarkEnd w:id="160"/>
    </w:p>
    <w:p w14:paraId="6389A7AD" w14:textId="77777777" w:rsidR="00123AC6" w:rsidRPr="0007162A" w:rsidRDefault="00123AC6" w:rsidP="007C5D1A">
      <w:pPr>
        <w:rPr>
          <w:lang w:eastAsia="en-AU"/>
        </w:rPr>
      </w:pPr>
      <w:r w:rsidRPr="0007162A">
        <w:t>The proposed product is a dispersible tablet intended for paediat</w:t>
      </w:r>
      <w:r>
        <w:t>ric use and is packed in</w:t>
      </w:r>
      <w:r w:rsidRPr="0007162A">
        <w:t xml:space="preserve"> blisters with 14 </w:t>
      </w:r>
      <w:r w:rsidRPr="00493616">
        <w:t xml:space="preserve">tablets per blister strip and a total of 56 tablets per carton. </w:t>
      </w:r>
      <w:r w:rsidRPr="0007162A">
        <w:rPr>
          <w:lang w:eastAsia="en-AU"/>
        </w:rPr>
        <w:t>The quality of the product is controlled by acceptable specification that includes tests and limits for appearance, colour, average mass (of 10 tablets), friability, uniformity of dosage unit by content uniformity, assay, degradation products, disintegration, fineness of dispersion and microbial contamination. The proposed release and expiry limits have been accepted. The analytical methods used to analyse the product were adequately described and validated.</w:t>
      </w:r>
      <w:r>
        <w:rPr>
          <w:lang w:eastAsia="en-AU"/>
        </w:rPr>
        <w:t xml:space="preserve"> The flavouring agent used in the tablets is acceptable.</w:t>
      </w:r>
    </w:p>
    <w:p w14:paraId="32F27223" w14:textId="52EE69C2" w:rsidR="00123AC6" w:rsidRPr="00BB05F7" w:rsidRDefault="00123AC6" w:rsidP="007C5D1A">
      <w:pPr>
        <w:rPr>
          <w:lang w:eastAsia="en-AU"/>
        </w:rPr>
      </w:pPr>
      <w:r w:rsidRPr="0007162A">
        <w:rPr>
          <w:lang w:eastAsia="en-AU"/>
        </w:rPr>
        <w:t xml:space="preserve">The stability data supplied supported a shelf life of 60 months for the unopened product when it is stored below 25°C and protected from light. An in-use shelf life of 7 days at room temperature has been </w:t>
      </w:r>
      <w:r>
        <w:rPr>
          <w:lang w:eastAsia="en-AU"/>
        </w:rPr>
        <w:t xml:space="preserve">not been </w:t>
      </w:r>
      <w:r w:rsidRPr="0007162A">
        <w:rPr>
          <w:lang w:eastAsia="en-AU"/>
        </w:rPr>
        <w:t>accepted for the remaining portions of a quadrisected tablet</w:t>
      </w:r>
      <w:r>
        <w:rPr>
          <w:lang w:eastAsia="en-AU"/>
        </w:rPr>
        <w:t>. An in-use period of 48 hours is acceptable in the interim however,</w:t>
      </w:r>
      <w:r w:rsidRPr="0007162A">
        <w:rPr>
          <w:lang w:eastAsia="en-AU"/>
        </w:rPr>
        <w:t xml:space="preserve"> conting</w:t>
      </w:r>
      <w:r>
        <w:rPr>
          <w:lang w:eastAsia="en-AU"/>
        </w:rPr>
        <w:t xml:space="preserve">ent on the </w:t>
      </w:r>
      <w:r w:rsidR="00335934">
        <w:rPr>
          <w:lang w:eastAsia="en-AU"/>
        </w:rPr>
        <w:t>sponsor</w:t>
      </w:r>
      <w:r>
        <w:rPr>
          <w:lang w:eastAsia="en-AU"/>
        </w:rPr>
        <w:t xml:space="preserve"> conducting the</w:t>
      </w:r>
      <w:r w:rsidRPr="0007162A">
        <w:rPr>
          <w:lang w:eastAsia="en-AU"/>
        </w:rPr>
        <w:t xml:space="preserve"> </w:t>
      </w:r>
      <w:r w:rsidRPr="00493616">
        <w:rPr>
          <w:lang w:eastAsia="en-AU"/>
        </w:rPr>
        <w:t xml:space="preserve">additional in-use stability study in Q1 2017 committed to in the </w:t>
      </w:r>
      <w:r w:rsidR="007C5D1A">
        <w:rPr>
          <w:lang w:eastAsia="en-AU"/>
        </w:rPr>
        <w:t>sponsor’s</w:t>
      </w:r>
      <w:r w:rsidRPr="00493616">
        <w:rPr>
          <w:lang w:eastAsia="en-AU"/>
        </w:rPr>
        <w:t xml:space="preserve"> response to generate data on disintegration time and fineness of dispersion.</w:t>
      </w:r>
    </w:p>
    <w:p w14:paraId="1A117DD6" w14:textId="77777777" w:rsidR="00123AC6" w:rsidRPr="00BB05F7" w:rsidRDefault="00123AC6" w:rsidP="007C5D1A">
      <w:r>
        <w:t>The sponsor has been</w:t>
      </w:r>
      <w:r w:rsidRPr="00493616">
        <w:t xml:space="preserve"> asked to add the statement </w:t>
      </w:r>
      <w:r w:rsidR="006231FF">
        <w:t>‘</w:t>
      </w:r>
      <w:r w:rsidRPr="00493616">
        <w:t>Warning: causes birth defects</w:t>
      </w:r>
      <w:r w:rsidR="006231FF">
        <w:t>’</w:t>
      </w:r>
      <w:r w:rsidRPr="00493616">
        <w:t xml:space="preserve"> to the labelling</w:t>
      </w:r>
      <w:r>
        <w:t xml:space="preserve">, rather than the sponsor’s proposed statement </w:t>
      </w:r>
      <w:r w:rsidR="006231FF">
        <w:t>‘</w:t>
      </w:r>
      <w:r w:rsidRPr="00493616">
        <w:t xml:space="preserve">Warning: </w:t>
      </w:r>
      <w:r w:rsidR="00335934">
        <w:t>Tracleer</w:t>
      </w:r>
      <w:r w:rsidRPr="00493616">
        <w:t xml:space="preserve"> may cause birth defec</w:t>
      </w:r>
      <w:r>
        <w:t>ts</w:t>
      </w:r>
      <w:r w:rsidR="006231FF">
        <w:t>’</w:t>
      </w:r>
      <w:r>
        <w:t>.</w:t>
      </w:r>
    </w:p>
    <w:p w14:paraId="2C153B68" w14:textId="77777777" w:rsidR="008E7846" w:rsidRDefault="008E7846" w:rsidP="008E7846">
      <w:pPr>
        <w:pStyle w:val="Heading3"/>
      </w:pPr>
      <w:bookmarkStart w:id="161" w:name="_Toc314842512"/>
      <w:bookmarkStart w:id="162" w:name="_Toc519764303"/>
      <w:r>
        <w:t>Nonclinical</w:t>
      </w:r>
      <w:bookmarkEnd w:id="161"/>
      <w:bookmarkEnd w:id="162"/>
    </w:p>
    <w:p w14:paraId="4594D541" w14:textId="77777777" w:rsidR="00123AC6" w:rsidRDefault="00123AC6" w:rsidP="00123AC6">
      <w:r>
        <w:t>T</w:t>
      </w:r>
      <w:r w:rsidRPr="00461B0E">
        <w:t xml:space="preserve">he </w:t>
      </w:r>
      <w:r w:rsidR="007C5D1A">
        <w:t>nonclinical</w:t>
      </w:r>
      <w:r>
        <w:t xml:space="preserve"> evaluator considered that </w:t>
      </w:r>
      <w:r w:rsidRPr="00461B0E">
        <w:t>toxicity</w:t>
      </w:r>
      <w:r>
        <w:t xml:space="preserve"> study results </w:t>
      </w:r>
      <w:r w:rsidRPr="00461B0E">
        <w:t>support the use of bosentan in the</w:t>
      </w:r>
      <w:r>
        <w:t xml:space="preserve"> </w:t>
      </w:r>
      <w:r w:rsidRPr="00461B0E">
        <w:t>paediatric population</w:t>
      </w:r>
      <w:r>
        <w:t>.</w:t>
      </w:r>
    </w:p>
    <w:p w14:paraId="79C5FB99" w14:textId="77777777" w:rsidR="00123AC6" w:rsidRPr="0072204D" w:rsidRDefault="00123AC6" w:rsidP="00123AC6">
      <w:r>
        <w:t>T</w:t>
      </w:r>
      <w:r w:rsidRPr="00550A00">
        <w:t>he safety of bosentan in the juvenile po</w:t>
      </w:r>
      <w:r w:rsidR="007C5D1A">
        <w:t xml:space="preserve">pulation was assessed in a dose range </w:t>
      </w:r>
      <w:r w:rsidRPr="00550A00">
        <w:t>finding</w:t>
      </w:r>
      <w:r>
        <w:t xml:space="preserve"> </w:t>
      </w:r>
      <w:r w:rsidRPr="00550A00">
        <w:t xml:space="preserve">study and a toxicity study </w:t>
      </w:r>
      <w:r>
        <w:t xml:space="preserve">and </w:t>
      </w:r>
      <w:r w:rsidRPr="00550A00">
        <w:t>fertility assessment in neonatal/juvenile Han Wistar rat</w:t>
      </w:r>
      <w:r>
        <w:t xml:space="preserve">s. There are no major concerns for juvenile toxicity with respect to growth, development, cognitive, sensory and reproductive function. Reductions in testes and </w:t>
      </w:r>
      <w:proofErr w:type="spellStart"/>
      <w:r>
        <w:t>epididymal</w:t>
      </w:r>
      <w:proofErr w:type="spellEnd"/>
      <w:r>
        <w:t xml:space="preserve"> weight were noted in juvenile rats at similar to, or greater than, the expected clinical exposure levels (based on AUC). </w:t>
      </w:r>
      <w:r w:rsidRPr="000373C3">
        <w:t>Reductions in sperm counts were noted</w:t>
      </w:r>
      <w:r>
        <w:t xml:space="preserve"> in</w:t>
      </w:r>
      <w:r w:rsidRPr="000373C3">
        <w:t xml:space="preserve"> juvenile males (exposure margin about </w:t>
      </w:r>
      <w:r>
        <w:t>6</w:t>
      </w:r>
      <w:r w:rsidRPr="000373C3">
        <w:t>)</w:t>
      </w:r>
      <w:r>
        <w:t xml:space="preserve">. </w:t>
      </w:r>
      <w:r w:rsidRPr="004C4028">
        <w:t>While these specific findings have not been noted with bosentan for adult rats, testicular findings have previously been noted in adult rats with other endothelin receptor antagonists such a</w:t>
      </w:r>
      <w:r>
        <w:t xml:space="preserve">s </w:t>
      </w:r>
      <w:proofErr w:type="spellStart"/>
      <w:r>
        <w:t>macitentan</w:t>
      </w:r>
      <w:proofErr w:type="spellEnd"/>
      <w:r w:rsidRPr="004C4028">
        <w:t xml:space="preserve"> and </w:t>
      </w:r>
      <w:r w:rsidR="00D404B9">
        <w:t>[information redacted]</w:t>
      </w:r>
      <w:r>
        <w:t>,</w:t>
      </w:r>
      <w:r w:rsidRPr="004C4028">
        <w:t xml:space="preserve"> and decreased sperm concentrations have been observed cli</w:t>
      </w:r>
      <w:r>
        <w:t>nically with bosentan</w:t>
      </w:r>
      <w:r w:rsidRPr="004C4028">
        <w:t xml:space="preserve">, warranting the inclusion of appropriate warnings in the </w:t>
      </w:r>
      <w:r w:rsidR="007C5D1A">
        <w:t>PI</w:t>
      </w:r>
      <w:r>
        <w:t xml:space="preserve"> and RMP.</w:t>
      </w:r>
    </w:p>
    <w:p w14:paraId="3B520662" w14:textId="77777777" w:rsidR="008E7846" w:rsidRDefault="008E7846" w:rsidP="008E7846">
      <w:pPr>
        <w:pStyle w:val="Heading3"/>
      </w:pPr>
      <w:bookmarkStart w:id="163" w:name="_Toc247691530"/>
      <w:bookmarkStart w:id="164" w:name="_Toc314842513"/>
      <w:bookmarkStart w:id="165" w:name="_Toc519764304"/>
      <w:r>
        <w:t>Clinical</w:t>
      </w:r>
      <w:bookmarkEnd w:id="163"/>
      <w:bookmarkEnd w:id="164"/>
      <w:bookmarkEnd w:id="165"/>
    </w:p>
    <w:p w14:paraId="54CBA35C" w14:textId="77777777" w:rsidR="00123AC6" w:rsidRPr="00E36B13" w:rsidRDefault="00123AC6" w:rsidP="00123AC6">
      <w:pPr>
        <w:rPr>
          <w:rFonts w:asciiTheme="minorHAnsi" w:hAnsiTheme="minorHAnsi"/>
        </w:rPr>
      </w:pPr>
      <w:r>
        <w:rPr>
          <w:rFonts w:asciiTheme="minorHAnsi" w:hAnsiTheme="minorHAnsi"/>
        </w:rPr>
        <w:t>The</w:t>
      </w:r>
      <w:r w:rsidRPr="00E36B13">
        <w:rPr>
          <w:rFonts w:asciiTheme="minorHAnsi" w:hAnsiTheme="minorHAnsi"/>
        </w:rPr>
        <w:t xml:space="preserve"> clinical evaluator recommended</w:t>
      </w:r>
      <w:r>
        <w:rPr>
          <w:rFonts w:asciiTheme="minorHAnsi" w:hAnsiTheme="minorHAnsi"/>
        </w:rPr>
        <w:t xml:space="preserve"> rejection of t</w:t>
      </w:r>
      <w:r w:rsidR="007C5D1A">
        <w:rPr>
          <w:rFonts w:asciiTheme="minorHAnsi" w:hAnsiTheme="minorHAnsi"/>
        </w:rPr>
        <w:t>he submission on the basis that;</w:t>
      </w:r>
      <w:r>
        <w:rPr>
          <w:rFonts w:asciiTheme="minorHAnsi" w:hAnsiTheme="minorHAnsi"/>
        </w:rPr>
        <w:t xml:space="preserve"> </w:t>
      </w:r>
      <w:r w:rsidR="007C5D1A">
        <w:rPr>
          <w:rFonts w:asciiTheme="minorHAnsi" w:hAnsiTheme="minorHAnsi"/>
        </w:rPr>
        <w:t>S</w:t>
      </w:r>
      <w:r w:rsidR="007C5D1A">
        <w:t>tudy </w:t>
      </w:r>
      <w:r>
        <w:t xml:space="preserve">AC-052-116 failed to demonstrate bioequivalence of the dispersible tablet formulation and the approved marketed formulation in the healthy adult population; the studies in the paediatric population presented in the submission had exploratory efficacy </w:t>
      </w:r>
      <w:r>
        <w:lastRenderedPageBreak/>
        <w:t>endpoints only; and it is difficult to extrapolate efficacy in children from studies in adults with PAH.</w:t>
      </w:r>
    </w:p>
    <w:p w14:paraId="2346DE62" w14:textId="77777777" w:rsidR="00123AC6" w:rsidRPr="00E36B13" w:rsidRDefault="00123AC6" w:rsidP="00123AC6">
      <w:r w:rsidRPr="00E36B13">
        <w:t>The clinical dossier included the following data:</w:t>
      </w:r>
    </w:p>
    <w:p w14:paraId="70CE26E5" w14:textId="77777777" w:rsidR="00123AC6" w:rsidRPr="00123AC6" w:rsidRDefault="00123AC6" w:rsidP="00123AC6">
      <w:pPr>
        <w:pStyle w:val="ListBullet"/>
      </w:pPr>
      <w:r w:rsidRPr="00123AC6">
        <w:t>Two clinical pharmacology studies providing PK and safety pharmacology data</w:t>
      </w:r>
    </w:p>
    <w:p w14:paraId="2FB72278" w14:textId="77777777" w:rsidR="00123AC6" w:rsidRPr="00123AC6" w:rsidRDefault="00123AC6" w:rsidP="00123AC6">
      <w:pPr>
        <w:pStyle w:val="ListBullet"/>
      </w:pPr>
      <w:r w:rsidRPr="00123AC6">
        <w:t>Two population PK analyses</w:t>
      </w:r>
    </w:p>
    <w:p w14:paraId="1FB21210" w14:textId="77777777" w:rsidR="00123AC6" w:rsidRPr="00123AC6" w:rsidRDefault="00123AC6" w:rsidP="00123AC6">
      <w:pPr>
        <w:pStyle w:val="ListBullet"/>
      </w:pPr>
      <w:r w:rsidRPr="00123AC6">
        <w:t>Three uncontrolled studies of safety and efficacy</w:t>
      </w:r>
    </w:p>
    <w:p w14:paraId="0D6BB9B2" w14:textId="77777777" w:rsidR="00123AC6" w:rsidRPr="00123AC6" w:rsidRDefault="00123AC6" w:rsidP="00123AC6">
      <w:pPr>
        <w:pStyle w:val="ListBullet"/>
      </w:pPr>
      <w:r w:rsidRPr="00123AC6">
        <w:t xml:space="preserve">Two supportive studies requested by the </w:t>
      </w:r>
      <w:r w:rsidR="007C5D1A">
        <w:t>Delegate</w:t>
      </w:r>
    </w:p>
    <w:p w14:paraId="78BF98E2" w14:textId="77777777" w:rsidR="00123AC6" w:rsidRPr="00123AC6" w:rsidRDefault="00123AC6" w:rsidP="00123AC6">
      <w:pPr>
        <w:pStyle w:val="ListBullet"/>
      </w:pPr>
      <w:r w:rsidRPr="00123AC6">
        <w:t>Two reports of analyses of data from more than one study</w:t>
      </w:r>
    </w:p>
    <w:p w14:paraId="69591148" w14:textId="77777777" w:rsidR="00123AC6" w:rsidRPr="00123AC6" w:rsidRDefault="00123AC6" w:rsidP="00123AC6">
      <w:pPr>
        <w:pStyle w:val="ListBullet"/>
      </w:pPr>
      <w:r w:rsidRPr="00123AC6">
        <w:t>One PSUR for the period 20 November 2013 to 19 November 2014</w:t>
      </w:r>
    </w:p>
    <w:p w14:paraId="18F8E8AD" w14:textId="77777777" w:rsidR="00123AC6" w:rsidRPr="00123AC6" w:rsidRDefault="00123AC6" w:rsidP="00123AC6">
      <w:pPr>
        <w:pStyle w:val="ListBullet"/>
      </w:pPr>
      <w:r w:rsidRPr="00123AC6">
        <w:t>61 literature references</w:t>
      </w:r>
    </w:p>
    <w:p w14:paraId="2002EF72" w14:textId="77777777" w:rsidR="00123AC6" w:rsidRPr="00E36B13" w:rsidRDefault="00123AC6" w:rsidP="006644CC">
      <w:pPr>
        <w:pStyle w:val="Heading4"/>
      </w:pPr>
      <w:r w:rsidRPr="00E36B13">
        <w:t>Pharmacology</w:t>
      </w:r>
    </w:p>
    <w:p w14:paraId="2BA89D8A" w14:textId="77777777" w:rsidR="00123AC6" w:rsidRDefault="00123AC6" w:rsidP="00123AC6">
      <w:r>
        <w:t>In healthy adults, peak plasma concentration is attained 3.7</w:t>
      </w:r>
      <w:r w:rsidR="007C5D1A">
        <w:t xml:space="preserve"> ± </w:t>
      </w:r>
      <w:r>
        <w:t>1.7 h</w:t>
      </w:r>
      <w:r w:rsidR="007C5D1A">
        <w:t>ours</w:t>
      </w:r>
      <w:r>
        <w:t xml:space="preserve"> after a single oral dose; half-life is 5.6</w:t>
      </w:r>
      <w:r w:rsidR="007C5D1A">
        <w:t xml:space="preserve"> ± </w:t>
      </w:r>
      <w:r>
        <w:t>1.6 h</w:t>
      </w:r>
      <w:r w:rsidR="007C5D1A">
        <w:t>ours</w:t>
      </w:r>
      <w:r>
        <w:t>. Clearance is 3.8 L/h</w:t>
      </w:r>
      <w:r w:rsidR="007C5D1A">
        <w:t>our</w:t>
      </w:r>
      <w:r>
        <w:t xml:space="preserve"> in PAH patients versus 8.8 L/h</w:t>
      </w:r>
      <w:r w:rsidR="007C5D1A">
        <w:t>our</w:t>
      </w:r>
      <w:r>
        <w:t xml:space="preserve"> in healthy adults. Bosentan is highly (&gt;</w:t>
      </w:r>
      <w:r w:rsidR="007C5D1A">
        <w:t xml:space="preserve"> 98%) plasma protein </w:t>
      </w:r>
      <w:r>
        <w:t>bound. Absolute bioavailability of oral bosentan is 41%. Administration with food did not affect extent of absorption but did increase C</w:t>
      </w:r>
      <w:r w:rsidRPr="00564D08">
        <w:rPr>
          <w:vertAlign w:val="subscript"/>
        </w:rPr>
        <w:t>max</w:t>
      </w:r>
      <w:r>
        <w:t xml:space="preserve"> by 20%. Bosentan is metabolised in the liver by CYP2C9 and CYP3A4; bosentan also induces both these enzymes. After multiple dosing, plasma co</w:t>
      </w:r>
      <w:r w:rsidR="007C5D1A">
        <w:t xml:space="preserve">ncentrations of bosentan are 50 to </w:t>
      </w:r>
      <w:r>
        <w:t>65% of those seen after a single dose. Of three metabolites, one is pharmacologically active and may contribute 20% of the effect of bosentan.</w:t>
      </w:r>
    </w:p>
    <w:p w14:paraId="7EB088A7" w14:textId="77777777" w:rsidR="007C5D1A" w:rsidRDefault="007C5D1A" w:rsidP="007C5D1A">
      <w:pPr>
        <w:pStyle w:val="Heading5"/>
      </w:pPr>
      <w:r>
        <w:t xml:space="preserve">Study </w:t>
      </w:r>
      <w:r w:rsidRPr="0092532E">
        <w:t>AC-052-116</w:t>
      </w:r>
    </w:p>
    <w:p w14:paraId="5577607C" w14:textId="77777777" w:rsidR="00123AC6" w:rsidRPr="00E37F76" w:rsidRDefault="007C5D1A" w:rsidP="00123AC6">
      <w:r w:rsidRPr="007C5D1A">
        <w:t xml:space="preserve">Study </w:t>
      </w:r>
      <w:r w:rsidR="00123AC6" w:rsidRPr="007C5D1A">
        <w:t>AC-052-116 was a</w:t>
      </w:r>
      <w:r w:rsidR="00123AC6">
        <w:t xml:space="preserve"> </w:t>
      </w:r>
      <w:r>
        <w:t xml:space="preserve">single centre, open </w:t>
      </w:r>
      <w:r w:rsidR="00123AC6">
        <w:t xml:space="preserve">label, two period, two treatment, randomised, crossover study in 16 healthy adult (18 to 45 years) male subjects, comparing a single dose of the registered 62.5 mg film coated tablet with a single dose of 64 mg of bosentan administered as two of the proposed 32 mg dispersible tablets. </w:t>
      </w:r>
      <w:r w:rsidR="00123AC6" w:rsidRPr="0007162A">
        <w:t>C</w:t>
      </w:r>
      <w:r w:rsidR="00123AC6" w:rsidRPr="0007162A">
        <w:rPr>
          <w:vertAlign w:val="subscript"/>
        </w:rPr>
        <w:t>max</w:t>
      </w:r>
      <w:r w:rsidR="00123AC6" w:rsidRPr="0007162A">
        <w:t xml:space="preserve"> and AUC values were dose-normalised. The 90% confidence intervals of the geometric mean ratios fell outside the 0.80 to 1.25 equivalence range</w:t>
      </w:r>
      <w:r w:rsidR="00123AC6">
        <w:t xml:space="preserve"> for the majority of pharmacokinetic parameters </w:t>
      </w:r>
      <w:r w:rsidR="00123AC6" w:rsidRPr="00FE6C13">
        <w:t>considered (Table 1</w:t>
      </w:r>
      <w:r w:rsidR="00FE6C13" w:rsidRPr="00FE6C13">
        <w:t>1</w:t>
      </w:r>
      <w:r w:rsidR="006231FF" w:rsidRPr="00FE6C13">
        <w:t xml:space="preserve"> above</w:t>
      </w:r>
      <w:r w:rsidR="00123AC6">
        <w:t xml:space="preserve">). </w:t>
      </w:r>
      <w:r w:rsidR="00123AC6" w:rsidRPr="00476400">
        <w:t xml:space="preserve">The proposed dispersible tablet was less bioavailable than, and not bioequivalent to, the </w:t>
      </w:r>
      <w:r w:rsidR="00123AC6">
        <w:t>registered tablet.</w:t>
      </w:r>
    </w:p>
    <w:p w14:paraId="5FBD4B96" w14:textId="71686D2C" w:rsidR="006231FF" w:rsidRDefault="006231FF" w:rsidP="006231FF">
      <w:pPr>
        <w:pStyle w:val="Heading5"/>
      </w:pPr>
      <w:bookmarkStart w:id="166" w:name="_Toc314842514"/>
      <w:r w:rsidRPr="0092532E">
        <w:t>FUTURE-1</w:t>
      </w:r>
      <w:r>
        <w:t xml:space="preserve"> </w:t>
      </w:r>
      <w:r w:rsidR="008D6064">
        <w:t>Stud</w:t>
      </w:r>
      <w:r w:rsidR="00E0107A">
        <w:t>y</w:t>
      </w:r>
    </w:p>
    <w:p w14:paraId="7C09B1D3" w14:textId="365AE74D" w:rsidR="006644CC" w:rsidRDefault="006644CC" w:rsidP="006644CC">
      <w:r w:rsidRPr="006231FF">
        <w:t>In FUTURE-1, exposure</w:t>
      </w:r>
      <w:r>
        <w:t xml:space="preserve"> to bosentan in children was half that in an adult historical control population (geometric mean AUC</w:t>
      </w:r>
      <w:r w:rsidRPr="001669DF">
        <w:sym w:font="Symbol" w:char="F074"/>
      </w:r>
      <w:r w:rsidR="006231FF">
        <w:t xml:space="preserve"> in adults 8149 (95% CI 6021 to </w:t>
      </w:r>
      <w:r>
        <w:t>11030)</w:t>
      </w:r>
      <w:r w:rsidR="006231FF">
        <w:t>, in children 4383 (95% CI 3461 to 5552), ratio 0.5 (90%</w:t>
      </w:r>
      <w:r w:rsidR="00E0107A">
        <w:t xml:space="preserve"> </w:t>
      </w:r>
      <w:r w:rsidR="006231FF">
        <w:t xml:space="preserve">CI 0.4 to </w:t>
      </w:r>
      <w:r>
        <w:t>0.8)). C</w:t>
      </w:r>
      <w:r w:rsidRPr="007950CE">
        <w:rPr>
          <w:vertAlign w:val="subscript"/>
        </w:rPr>
        <w:t>max</w:t>
      </w:r>
      <w:r>
        <w:t xml:space="preserve"> was also about half that seen in adults; median </w:t>
      </w:r>
      <w:r w:rsidR="00D17D39">
        <w:t>time to maximum concentration (</w:t>
      </w:r>
      <w:r>
        <w:t>t</w:t>
      </w:r>
      <w:r w:rsidRPr="007950CE">
        <w:rPr>
          <w:vertAlign w:val="subscript"/>
        </w:rPr>
        <w:t>max</w:t>
      </w:r>
      <w:r w:rsidR="00D17D39">
        <w:t>)</w:t>
      </w:r>
      <w:r>
        <w:t xml:space="preserve"> was 3 hours. Exposure to bosentan and its metabolites was similar after doses of 2 mg/kg </w:t>
      </w:r>
      <w:r w:rsidR="006231FF">
        <w:t>BD</w:t>
      </w:r>
      <w:r>
        <w:t xml:space="preserve"> and 4 mg/kg </w:t>
      </w:r>
      <w:r w:rsidR="006231FF">
        <w:t>BD</w:t>
      </w:r>
      <w:r>
        <w:t xml:space="preserve"> (AUC</w:t>
      </w:r>
      <w:r w:rsidRPr="001669DF">
        <w:sym w:font="Symbol" w:char="F074"/>
      </w:r>
      <w:r>
        <w:t xml:space="preserve"> was 3577 ng.h/mL for 2 mg/kg and 3371 ng.h/mL for 4 mg/kg). Geometric mean C</w:t>
      </w:r>
      <w:r w:rsidRPr="00921B05">
        <w:rPr>
          <w:vertAlign w:val="subscript"/>
        </w:rPr>
        <w:t>max</w:t>
      </w:r>
      <w:r>
        <w:t xml:space="preserve"> was </w:t>
      </w:r>
      <w:proofErr w:type="gramStart"/>
      <w:r>
        <w:t>583 ng/mL for 2 mg/kg</w:t>
      </w:r>
      <w:proofErr w:type="gramEnd"/>
      <w:r>
        <w:t xml:space="preserve"> and 649 ng/mL for 4 mg/kg. There was no effect of age on bosentan exposure in the </w:t>
      </w:r>
      <w:r w:rsidR="006231FF">
        <w:t>paediatric</w:t>
      </w:r>
      <w:r>
        <w:t xml:space="preserve"> population in this study.</w:t>
      </w:r>
    </w:p>
    <w:p w14:paraId="1AF7E0EB" w14:textId="4F447B1A" w:rsidR="006231FF" w:rsidRDefault="006231FF" w:rsidP="006231FF">
      <w:pPr>
        <w:pStyle w:val="Heading5"/>
      </w:pPr>
      <w:r w:rsidRPr="00811B97">
        <w:t>FUTURE 3</w:t>
      </w:r>
      <w:r>
        <w:t xml:space="preserve"> </w:t>
      </w:r>
      <w:r w:rsidR="008D6064">
        <w:t>Stud</w:t>
      </w:r>
      <w:r w:rsidR="00E0107A">
        <w:t>y</w:t>
      </w:r>
    </w:p>
    <w:p w14:paraId="327C5530" w14:textId="77777777" w:rsidR="006644CC" w:rsidRDefault="006644CC" w:rsidP="006644CC">
      <w:r w:rsidRPr="006231FF">
        <w:t>In FUTURE 3,</w:t>
      </w:r>
      <w:r>
        <w:t xml:space="preserve"> daily exposure to bosentan was similar after doses of 2 mg/kg </w:t>
      </w:r>
      <w:r w:rsidR="006231FF">
        <w:t>BD and 2 </w:t>
      </w:r>
      <w:r>
        <w:t xml:space="preserve">mg/kg </w:t>
      </w:r>
      <w:r w:rsidR="006231FF">
        <w:t>TDS</w:t>
      </w:r>
      <w:r>
        <w:t xml:space="preserve"> (geometric mean AUC</w:t>
      </w:r>
      <w:r w:rsidRPr="0023596D">
        <w:rPr>
          <w:vertAlign w:val="subscript"/>
        </w:rPr>
        <w:t>0-24</w:t>
      </w:r>
      <w:r w:rsidRPr="0023596D">
        <w:t xml:space="preserve"> </w:t>
      </w:r>
      <w:r>
        <w:t xml:space="preserve">8535 ng.h/mL for </w:t>
      </w:r>
      <w:r w:rsidR="006231FF">
        <w:t>BD</w:t>
      </w:r>
      <w:r>
        <w:t xml:space="preserve"> dosing and 7275 ng.h/mL for </w:t>
      </w:r>
      <w:r w:rsidR="006231FF">
        <w:t>TDS</w:t>
      </w:r>
      <w:r>
        <w:t xml:space="preserve"> dosing). C</w:t>
      </w:r>
      <w:r w:rsidRPr="00921B05">
        <w:rPr>
          <w:vertAlign w:val="subscript"/>
        </w:rPr>
        <w:t>max</w:t>
      </w:r>
      <w:r>
        <w:t xml:space="preserve"> was 29% lower with </w:t>
      </w:r>
      <w:r w:rsidR="006231FF">
        <w:t>TDS</w:t>
      </w:r>
      <w:r>
        <w:t xml:space="preserve"> dosing compared to </w:t>
      </w:r>
      <w:r w:rsidR="006231FF">
        <w:t>BD</w:t>
      </w:r>
      <w:r>
        <w:t xml:space="preserve"> dosing.</w:t>
      </w:r>
    </w:p>
    <w:p w14:paraId="66DCE6A8" w14:textId="77777777" w:rsidR="006231FF" w:rsidRDefault="006644CC" w:rsidP="006644CC">
      <w:r>
        <w:t xml:space="preserve">No new pharmacodynamic data was presented as part of this submission. </w:t>
      </w:r>
    </w:p>
    <w:p w14:paraId="43899B2A" w14:textId="7DCA104D" w:rsidR="006644CC" w:rsidRDefault="006644CC" w:rsidP="006644CC">
      <w:r w:rsidRPr="006231FF">
        <w:lastRenderedPageBreak/>
        <w:t>In the BREATHE-3</w:t>
      </w:r>
      <w:r w:rsidR="006231FF" w:rsidRPr="006231FF">
        <w:t xml:space="preserve"> </w:t>
      </w:r>
      <w:r w:rsidR="008D6064">
        <w:t>Stud</w:t>
      </w:r>
      <w:r w:rsidR="00E0107A" w:rsidRPr="006231FF">
        <w:t>y</w:t>
      </w:r>
      <w:r w:rsidR="00E0107A">
        <w:t xml:space="preserve"> </w:t>
      </w:r>
      <w:r w:rsidR="006231FF">
        <w:t xml:space="preserve">in 19 children aged 3 to </w:t>
      </w:r>
      <w:r>
        <w:t xml:space="preserve">15 years, mean decrease in pulmonary vascular resistance with bosentan 2 mg/kg </w:t>
      </w:r>
      <w:r w:rsidR="006231FF">
        <w:t>BD</w:t>
      </w:r>
      <w:r>
        <w:t xml:space="preserve"> was </w:t>
      </w:r>
      <w:proofErr w:type="gramStart"/>
      <w:r>
        <w:t>389 dyn.s.cm</w:t>
      </w:r>
      <w:r w:rsidRPr="00BF29DF">
        <w:rPr>
          <w:vertAlign w:val="superscript"/>
        </w:rPr>
        <w:t>-5</w:t>
      </w:r>
      <w:r>
        <w:t>,</w:t>
      </w:r>
      <w:proofErr w:type="gramEnd"/>
      <w:r>
        <w:t xml:space="preserve"> which is comparable to that seen in adults in other studies.</w:t>
      </w:r>
    </w:p>
    <w:p w14:paraId="111275D3" w14:textId="77777777" w:rsidR="006644CC" w:rsidRDefault="006644CC" w:rsidP="006644CC">
      <w:pPr>
        <w:pStyle w:val="Heading4"/>
      </w:pPr>
      <w:r w:rsidRPr="00E36B13">
        <w:t>Efficacy</w:t>
      </w:r>
    </w:p>
    <w:p w14:paraId="0C3ED1C8" w14:textId="75B18764" w:rsidR="006231FF" w:rsidRDefault="006231FF" w:rsidP="006231FF">
      <w:pPr>
        <w:pStyle w:val="Heading5"/>
      </w:pPr>
      <w:r w:rsidRPr="001666D3">
        <w:t>FUTURE-4</w:t>
      </w:r>
      <w:r>
        <w:t xml:space="preserve"> </w:t>
      </w:r>
      <w:r w:rsidR="008D6064">
        <w:t>Stud</w:t>
      </w:r>
      <w:r w:rsidR="00E0107A">
        <w:t>y</w:t>
      </w:r>
    </w:p>
    <w:p w14:paraId="6102ACFC" w14:textId="77777777" w:rsidR="006644CC" w:rsidRDefault="006644CC" w:rsidP="006644CC">
      <w:r w:rsidRPr="006231FF">
        <w:t>FUTURE-4 was a double</w:t>
      </w:r>
      <w:r w:rsidR="006231FF">
        <w:t xml:space="preserve"> </w:t>
      </w:r>
      <w:r>
        <w:t>blind study evaluating the PK, efficacy and safety of bosentan as add-on therapy to iNO in the management of neonates with PPHN. The study did not find a benefit in adding bosentan. The sponsor is not currently seeking an indication for PPHN, but this study was included in the submission as it provided additional safety data.</w:t>
      </w:r>
    </w:p>
    <w:p w14:paraId="3EB33CC1" w14:textId="4DF29BE1" w:rsidR="006231FF" w:rsidRDefault="006231FF" w:rsidP="006231FF">
      <w:pPr>
        <w:pStyle w:val="Heading5"/>
      </w:pPr>
      <w:r>
        <w:t xml:space="preserve">FUTURE-1 </w:t>
      </w:r>
      <w:r w:rsidR="008D6064">
        <w:t>Stud</w:t>
      </w:r>
      <w:r>
        <w:t>y</w:t>
      </w:r>
    </w:p>
    <w:p w14:paraId="7D2E7F97" w14:textId="3580EE4F" w:rsidR="006644CC" w:rsidRDefault="006644CC" w:rsidP="006644CC">
      <w:r w:rsidRPr="006231FF">
        <w:t>FUTURE-1</w:t>
      </w:r>
      <w:r w:rsidR="006231FF">
        <w:t xml:space="preserve"> was an open </w:t>
      </w:r>
      <w:r>
        <w:t>label uncontrolled study of</w:t>
      </w:r>
      <w:r w:rsidR="006231FF">
        <w:t xml:space="preserve"> bosentan in 36 children aged 2 to </w:t>
      </w:r>
      <w:r>
        <w:t>11</w:t>
      </w:r>
      <w:r w:rsidR="00C41E42">
        <w:t> </w:t>
      </w:r>
      <w:r>
        <w:t>years with idiopathic (N</w:t>
      </w:r>
      <w:r w:rsidR="006231FF">
        <w:t xml:space="preserve"> = </w:t>
      </w:r>
      <w:r>
        <w:t>31) or familial (N</w:t>
      </w:r>
      <w:r w:rsidR="006231FF">
        <w:t xml:space="preserve"> = </w:t>
      </w:r>
      <w:r>
        <w:t>5) PAH. Subjects received bosentan 2</w:t>
      </w:r>
      <w:r w:rsidR="00C41E42">
        <w:t> </w:t>
      </w:r>
      <w:r>
        <w:t xml:space="preserve">mg/kg </w:t>
      </w:r>
      <w:r w:rsidR="006231FF">
        <w:t>BD</w:t>
      </w:r>
      <w:r>
        <w:t xml:space="preserve"> for 4 weeks, followed by 4 mg/kg for a median total study duration of 13.1</w:t>
      </w:r>
      <w:r w:rsidR="00C41E42">
        <w:t> </w:t>
      </w:r>
      <w:r>
        <w:t xml:space="preserve">weeks. Efficacy endpoints were WHO Functional Capacity (WHO FC), Global Clinical Impression Scale (GCIS), and SF-10 quality of life questionnaire. At </w:t>
      </w:r>
      <w:r w:rsidR="006231FF">
        <w:t>Week</w:t>
      </w:r>
      <w:r>
        <w:t xml:space="preserve"> 12, of 23 patients in WHO</w:t>
      </w:r>
      <w:r w:rsidR="002619C4">
        <w:t> </w:t>
      </w:r>
      <w:r>
        <w:t>FC</w:t>
      </w:r>
      <w:r w:rsidR="002619C4">
        <w:t> </w:t>
      </w:r>
      <w:r>
        <w:t xml:space="preserve">II at </w:t>
      </w:r>
      <w:r w:rsidR="002619C4">
        <w:t>Baseline</w:t>
      </w:r>
      <w:r>
        <w:t xml:space="preserve">, one worsened to FC III, two improved to FC I, and the others remained stable. Of 12 patients in WHO FC III at baseline, three improved to FC II, and the others remained stable. Of 21 bosentan-naïve patients, 12 were considered </w:t>
      </w:r>
      <w:r w:rsidR="006231FF">
        <w:t>‘</w:t>
      </w:r>
      <w:r>
        <w:t>better</w:t>
      </w:r>
      <w:r w:rsidR="006231FF">
        <w:t>’ or ‘significantly better’ on</w:t>
      </w:r>
      <w:r>
        <w:t xml:space="preserve"> the Physician’s GCIS scale, with none considered </w:t>
      </w:r>
      <w:r w:rsidR="006231FF">
        <w:t>‘</w:t>
      </w:r>
      <w:r>
        <w:t>worse</w:t>
      </w:r>
      <w:r w:rsidR="006231FF">
        <w:t>’</w:t>
      </w:r>
      <w:r>
        <w:t>.</w:t>
      </w:r>
    </w:p>
    <w:p w14:paraId="7BE1CEFE" w14:textId="77777777" w:rsidR="006231FF" w:rsidRDefault="006231FF" w:rsidP="006231FF">
      <w:pPr>
        <w:pStyle w:val="Heading5"/>
      </w:pPr>
      <w:r w:rsidRPr="001D061A">
        <w:t>FUTURE-2</w:t>
      </w:r>
      <w:r>
        <w:t xml:space="preserve"> Study</w:t>
      </w:r>
    </w:p>
    <w:p w14:paraId="20CEF251" w14:textId="77777777" w:rsidR="006644CC" w:rsidRDefault="006644CC" w:rsidP="006644CC">
      <w:r w:rsidRPr="006231FF">
        <w:t>FUTURE-2 was an</w:t>
      </w:r>
      <w:r>
        <w:t xml:space="preserve"> extension of FUTURE-1, with subjects receiving bosentan 4 mg/kg for a median 2.3 years. Of 28 patients, at end of study or premature discontinuation, WHO FC improved in 11 (39%) and worsened in 2 (7.1%). Of 26 patients with evaluable data, Physician’s GCIS rating was improved in 17 (65%), unchanged in 7, and worsened in 2.</w:t>
      </w:r>
      <w:r w:rsidRPr="00A069BD">
        <w:t xml:space="preserve"> </w:t>
      </w:r>
      <w:r>
        <w:t>The Kaplan-Meier estimate of probability of no worsening of PAH</w:t>
      </w:r>
      <w:r w:rsidR="006231FF">
        <w:t xml:space="preserve"> at 5 years was 63% (95% CI, 35 to </w:t>
      </w:r>
      <w:r>
        <w:t>82%).</w:t>
      </w:r>
    </w:p>
    <w:p w14:paraId="3E32D3A2" w14:textId="77777777" w:rsidR="006231FF" w:rsidRPr="006231FF" w:rsidRDefault="006231FF" w:rsidP="006231FF">
      <w:pPr>
        <w:pStyle w:val="Heading5"/>
      </w:pPr>
      <w:r>
        <w:t>FUTURE-3 Study</w:t>
      </w:r>
    </w:p>
    <w:p w14:paraId="3EEDCF42" w14:textId="6B7F4D72" w:rsidR="006644CC" w:rsidRDefault="006644CC" w:rsidP="006644CC">
      <w:pPr>
        <w:rPr>
          <w:bCs/>
        </w:rPr>
      </w:pPr>
      <w:r w:rsidRPr="006231FF">
        <w:t>FUTURE-3 was an</w:t>
      </w:r>
      <w:r w:rsidR="006231FF">
        <w:t xml:space="preserve"> open </w:t>
      </w:r>
      <w:r>
        <w:t>label</w:t>
      </w:r>
      <w:r w:rsidR="00C41E42">
        <w:t>,</w:t>
      </w:r>
      <w:r>
        <w:t xml:space="preserve"> uncontrolled study of bosentan 2 mg/kg </w:t>
      </w:r>
      <w:r w:rsidR="006231FF">
        <w:t>BD</w:t>
      </w:r>
      <w:r>
        <w:t xml:space="preserve"> versus 2 mg/kg </w:t>
      </w:r>
      <w:r w:rsidR="006231FF">
        <w:t>TDS</w:t>
      </w:r>
      <w:r>
        <w:t xml:space="preserve"> in 64 children aged 3 months</w:t>
      </w:r>
      <w:r w:rsidR="006231FF">
        <w:t xml:space="preserve"> to 2 years (21 children) and 2 to </w:t>
      </w:r>
      <w:r>
        <w:t xml:space="preserve">11 years (79 children). Median duration was 24 weeks. The primary objectives of the study related to PK; efficacy analyses were not powered to show differences between treatments. During the study, ten patients improved WHO FC (five from FC III to II and five from FC II to I) one worsened from FC III to IV; the remainder were stable. In terms of Physician’s GCIS, most patients remained stable </w:t>
      </w:r>
      <w:r>
        <w:rPr>
          <w:bCs/>
        </w:rPr>
        <w:t xml:space="preserve">(72.7% </w:t>
      </w:r>
      <w:r w:rsidR="006231FF">
        <w:rPr>
          <w:bCs/>
        </w:rPr>
        <w:t>BD</w:t>
      </w:r>
      <w:r>
        <w:rPr>
          <w:bCs/>
        </w:rPr>
        <w:t xml:space="preserve">, 77.4% </w:t>
      </w:r>
      <w:r w:rsidR="006231FF">
        <w:rPr>
          <w:bCs/>
        </w:rPr>
        <w:t>TDS</w:t>
      </w:r>
      <w:r w:rsidRPr="00007F0F">
        <w:rPr>
          <w:bCs/>
        </w:rPr>
        <w:t>)</w:t>
      </w:r>
      <w:r>
        <w:rPr>
          <w:bCs/>
        </w:rPr>
        <w:t xml:space="preserve"> or improved (26.9% </w:t>
      </w:r>
      <w:r w:rsidR="006231FF">
        <w:rPr>
          <w:bCs/>
        </w:rPr>
        <w:t>BD</w:t>
      </w:r>
      <w:r>
        <w:rPr>
          <w:bCs/>
        </w:rPr>
        <w:t xml:space="preserve">, </w:t>
      </w:r>
      <w:r w:rsidRPr="00007F0F">
        <w:rPr>
          <w:bCs/>
        </w:rPr>
        <w:t>19.2%</w:t>
      </w:r>
      <w:r>
        <w:rPr>
          <w:bCs/>
        </w:rPr>
        <w:t xml:space="preserve"> </w:t>
      </w:r>
      <w:r w:rsidR="006231FF">
        <w:rPr>
          <w:bCs/>
        </w:rPr>
        <w:t>TDS</w:t>
      </w:r>
      <w:r w:rsidRPr="00007F0F">
        <w:rPr>
          <w:bCs/>
        </w:rPr>
        <w:t>)</w:t>
      </w:r>
      <w:r>
        <w:rPr>
          <w:bCs/>
        </w:rPr>
        <w:t>; worsening was seen in 6.5% (</w:t>
      </w:r>
      <w:r w:rsidR="006231FF">
        <w:rPr>
          <w:bCs/>
        </w:rPr>
        <w:t>BD</w:t>
      </w:r>
      <w:r>
        <w:rPr>
          <w:bCs/>
        </w:rPr>
        <w:t xml:space="preserve">) </w:t>
      </w:r>
      <w:r w:rsidR="006231FF">
        <w:rPr>
          <w:bCs/>
        </w:rPr>
        <w:t>versus</w:t>
      </w:r>
      <w:r>
        <w:rPr>
          <w:bCs/>
        </w:rPr>
        <w:t xml:space="preserve"> 6.7% (</w:t>
      </w:r>
      <w:r w:rsidR="006231FF">
        <w:rPr>
          <w:bCs/>
        </w:rPr>
        <w:t>TDS</w:t>
      </w:r>
      <w:r>
        <w:rPr>
          <w:bCs/>
        </w:rPr>
        <w:t>). In an ext</w:t>
      </w:r>
      <w:r w:rsidR="006231FF">
        <w:rPr>
          <w:bCs/>
        </w:rPr>
        <w:t>ension study of FUTURE-3, at 18 </w:t>
      </w:r>
      <w:r>
        <w:rPr>
          <w:bCs/>
        </w:rPr>
        <w:t>months WHO FC was unchanged in 78% of patients and improved in 9%. Physician’s GCIS was unchanged in 57% of patients at 18 months and improved in around 30%.</w:t>
      </w:r>
    </w:p>
    <w:p w14:paraId="4434F5E9" w14:textId="77777777" w:rsidR="006644CC" w:rsidRPr="00E36B13" w:rsidRDefault="006644CC" w:rsidP="006644CC">
      <w:pPr>
        <w:pStyle w:val="Heading4"/>
      </w:pPr>
      <w:r w:rsidRPr="00E36B13">
        <w:t>Safety</w:t>
      </w:r>
    </w:p>
    <w:p w14:paraId="3ECACACE" w14:textId="77777777" w:rsidR="006644CC" w:rsidRDefault="006644CC" w:rsidP="006644CC">
      <w:r w:rsidRPr="001C42CE">
        <w:t>The integrated</w:t>
      </w:r>
      <w:r>
        <w:t xml:space="preserve"> safety</w:t>
      </w:r>
      <w:r w:rsidRPr="001C42CE">
        <w:t xml:space="preserve"> analysis covered 100 patients</w:t>
      </w:r>
      <w:r w:rsidR="006231FF">
        <w:t xml:space="preserve"> (21 aged under 2 and 79 aged 2 to </w:t>
      </w:r>
      <w:r>
        <w:t>11)</w:t>
      </w:r>
      <w:r w:rsidRPr="001C42CE">
        <w:t>.</w:t>
      </w:r>
      <w:r>
        <w:t xml:space="preserve"> 85 patients received bosentan for at least 12 months, and 53 for at least 24 months.</w:t>
      </w:r>
      <w:r w:rsidRPr="001C42CE">
        <w:t xml:space="preserve"> 87% experienced TEAEs, with 17% (mainly cardiovascular, respiratory and hepatic events) leading to discontinuation of study treatment. AEs resulted in death in 14% of study participants, most commonly due to cardiovascular and respiratory events. The most commonly-reported TEAEs in the paediatric age group are similar to those described in the current </w:t>
      </w:r>
      <w:r w:rsidR="00335934">
        <w:t>Tracleer</w:t>
      </w:r>
      <w:r w:rsidRPr="001C42CE">
        <w:t xml:space="preserve"> PI, including URTI (25%), nasopharyngitis (17%), and pyrexia (14%). </w:t>
      </w:r>
      <w:r w:rsidR="006231FF">
        <w:t>Adverse event</w:t>
      </w:r>
      <w:r w:rsidRPr="001C42CE">
        <w:t xml:space="preserve"> rates in PAH populations are generally high due to the severity of the condition, and ranged from approximately 60 to 90% in sponsored studies. </w:t>
      </w:r>
      <w:r w:rsidR="006231FF">
        <w:t xml:space="preserve">Adverse </w:t>
      </w:r>
      <w:r w:rsidR="006231FF">
        <w:lastRenderedPageBreak/>
        <w:t>event</w:t>
      </w:r>
      <w:r w:rsidRPr="001C42CE">
        <w:t>s of specific interest to bosentan, such as elevated liver enzymes, decreased haemoglobin, and fluid retention, were reported at lower incidences in paediatric patients compared with adult patients.</w:t>
      </w:r>
    </w:p>
    <w:p w14:paraId="04D30E8A" w14:textId="77777777" w:rsidR="008E7846" w:rsidRPr="006644CC" w:rsidRDefault="00386150" w:rsidP="006644CC">
      <w:pPr>
        <w:pStyle w:val="Heading3"/>
      </w:pPr>
      <w:bookmarkStart w:id="167" w:name="_Toc519764305"/>
      <w:r w:rsidRPr="006644CC">
        <w:t>Risk m</w:t>
      </w:r>
      <w:r w:rsidR="008E7846" w:rsidRPr="006644CC">
        <w:t xml:space="preserve">anagement </w:t>
      </w:r>
      <w:r w:rsidRPr="006644CC">
        <w:t>p</w:t>
      </w:r>
      <w:r w:rsidR="008E7846" w:rsidRPr="006644CC">
        <w:t>lan</w:t>
      </w:r>
      <w:bookmarkEnd w:id="166"/>
      <w:bookmarkEnd w:id="167"/>
    </w:p>
    <w:p w14:paraId="2FE18579" w14:textId="77777777" w:rsidR="006644CC" w:rsidRPr="006231FF" w:rsidRDefault="006644CC" w:rsidP="006231FF">
      <w:r w:rsidRPr="006231FF">
        <w:t>The Pharmacovigilance and Special Access Branch (PSAB) has accepted the EU-RMP (version 9, dated 10 February 2016, data lock point 19 November 2013) with Australian Specific Annex (version 1.0, dated 31 March 2016).</w:t>
      </w:r>
    </w:p>
    <w:p w14:paraId="79CA356A" w14:textId="77777777" w:rsidR="006644CC" w:rsidRDefault="006644CC" w:rsidP="006644CC">
      <w:r w:rsidRPr="000357B5">
        <w:t xml:space="preserve">An additional pharmacovigilance activity is a non-interventional observational </w:t>
      </w:r>
      <w:r w:rsidR="00FD708D">
        <w:t>Study</w:t>
      </w:r>
      <w:r w:rsidR="006231FF">
        <w:t> AC</w:t>
      </w:r>
      <w:r w:rsidR="006231FF">
        <w:noBreakHyphen/>
      </w:r>
      <w:r w:rsidRPr="000357B5">
        <w:t>052-516 (</w:t>
      </w:r>
      <w:r w:rsidR="006231FF">
        <w:t>‘</w:t>
      </w:r>
      <w:r w:rsidRPr="000357B5">
        <w:t>Disease characteristics and outcomes of PAH in children and adolescents in real world clinical settings: Systematic review of four prospective, observational registries</w:t>
      </w:r>
      <w:r w:rsidR="006231FF">
        <w:t>’</w:t>
      </w:r>
      <w:r w:rsidRPr="000357B5">
        <w:t>). This study collects further data on long-term safety and outcomes in paediatric patients with PAH, which is not an identified safety concern.</w:t>
      </w:r>
      <w:r>
        <w:t xml:space="preserve"> </w:t>
      </w:r>
      <w:r w:rsidRPr="000357B5">
        <w:t xml:space="preserve">The additional risk minimisation activity is a Patient Reminder Card containing information about blood tests and contraception which will be included in each pack of dispersible tablets. This is already inserted into the packs of 62.5 mg and 125 mg film coated tablets. A </w:t>
      </w:r>
      <w:r w:rsidR="006231FF">
        <w:t>‘</w:t>
      </w:r>
      <w:r w:rsidR="00335934">
        <w:t>Tracleer</w:t>
      </w:r>
      <w:r>
        <w:t xml:space="preserve"> P</w:t>
      </w:r>
      <w:r w:rsidRPr="000357B5">
        <w:t>rescribing and Monitoring Booklet</w:t>
      </w:r>
      <w:r w:rsidR="006231FF">
        <w:t>’</w:t>
      </w:r>
      <w:r w:rsidRPr="000357B5">
        <w:t xml:space="preserve"> already exists and is not considered by the </w:t>
      </w:r>
      <w:r w:rsidR="00335934">
        <w:t>sponsor</w:t>
      </w:r>
      <w:r w:rsidRPr="000357B5">
        <w:t xml:space="preserve"> to be an additional risk minimisation activity, and therefore has not been included as part of this RMP.</w:t>
      </w:r>
    </w:p>
    <w:p w14:paraId="5D702821" w14:textId="77777777" w:rsidR="008E7846" w:rsidRDefault="006644CC" w:rsidP="008E7846">
      <w:r w:rsidRPr="000357B5">
        <w:t xml:space="preserve">The proposed Summary of Safety Concerns and their associated risk monitoring and mitigation strategies are summarised </w:t>
      </w:r>
      <w:r w:rsidR="006231FF">
        <w:t xml:space="preserve">in Table </w:t>
      </w:r>
      <w:r w:rsidR="00FE6C13">
        <w:t>24</w:t>
      </w:r>
      <w:r w:rsidR="006231FF">
        <w:t xml:space="preserve"> (above).</w:t>
      </w:r>
    </w:p>
    <w:p w14:paraId="32C0674F" w14:textId="77777777" w:rsidR="006644CC" w:rsidRPr="006231FF" w:rsidRDefault="00AA0ED0" w:rsidP="006231FF">
      <w:pPr>
        <w:pStyle w:val="Heading3"/>
      </w:pPr>
      <w:bookmarkStart w:id="168" w:name="_Toc247691531"/>
      <w:bookmarkStart w:id="169" w:name="_Toc314842515"/>
      <w:bookmarkStart w:id="170" w:name="_Toc519764306"/>
      <w:bookmarkStart w:id="171" w:name="_Toc196046505"/>
      <w:bookmarkStart w:id="172" w:name="_Toc196046949"/>
      <w:r w:rsidRPr="006231FF">
        <w:t>Risk-benefit a</w:t>
      </w:r>
      <w:r w:rsidR="008E7846" w:rsidRPr="006231FF">
        <w:t>nalysis</w:t>
      </w:r>
      <w:bookmarkEnd w:id="168"/>
      <w:bookmarkEnd w:id="169"/>
      <w:bookmarkEnd w:id="170"/>
    </w:p>
    <w:p w14:paraId="1A481C11" w14:textId="77777777" w:rsidR="006231FF" w:rsidRDefault="006644CC" w:rsidP="006231FF">
      <w:pPr>
        <w:pStyle w:val="Heading4"/>
      </w:pPr>
      <w:r w:rsidRPr="00D11006">
        <w:t>Pharmacology</w:t>
      </w:r>
    </w:p>
    <w:p w14:paraId="5B696DE6" w14:textId="77777777" w:rsidR="006644CC" w:rsidRPr="007D37B2" w:rsidRDefault="006644CC" w:rsidP="006644CC">
      <w:r>
        <w:t xml:space="preserve">Systemic exposure to bosentan in adults was lower with the dispersible tablet than with the registered product; the two formulations were not bioequivalent. Exposure to bosentan was significantly lower in children taking 2 mg/kg </w:t>
      </w:r>
      <w:r w:rsidR="006231FF">
        <w:t>BD than in adults taking 125 </w:t>
      </w:r>
      <w:r>
        <w:t xml:space="preserve">mg </w:t>
      </w:r>
      <w:r w:rsidR="006231FF">
        <w:t>BD</w:t>
      </w:r>
      <w:r>
        <w:t>: AUC ratio was 0.5 with non</w:t>
      </w:r>
      <w:r w:rsidR="006231FF">
        <w:t>-</w:t>
      </w:r>
      <w:r>
        <w:t xml:space="preserve">overlapping 95% CI. Exposure in children was similar after doses of either 2 mg/kg </w:t>
      </w:r>
      <w:r w:rsidR="006231FF">
        <w:t>TDS</w:t>
      </w:r>
      <w:r>
        <w:t xml:space="preserve"> or 4 mg/kg </w:t>
      </w:r>
      <w:r w:rsidR="006231FF">
        <w:t>BD</w:t>
      </w:r>
      <w:r>
        <w:t xml:space="preserve"> compared to 2 mg/kg </w:t>
      </w:r>
      <w:r w:rsidR="006231FF">
        <w:t>BD</w:t>
      </w:r>
      <w:r>
        <w:t xml:space="preserve">, possibly indicating an exposure plateau for children. Bosentan was not studied in children at a dose lower than 2 mg/kg </w:t>
      </w:r>
      <w:r w:rsidR="006231FF">
        <w:t>BD</w:t>
      </w:r>
      <w:r>
        <w:t>.</w:t>
      </w:r>
    </w:p>
    <w:p w14:paraId="76A9F375" w14:textId="77777777" w:rsidR="006231FF" w:rsidRDefault="006644CC" w:rsidP="006231FF">
      <w:pPr>
        <w:pStyle w:val="Heading4"/>
      </w:pPr>
      <w:r w:rsidRPr="00D11006">
        <w:t>Efficacy</w:t>
      </w:r>
    </w:p>
    <w:p w14:paraId="70EDC6B6" w14:textId="77777777" w:rsidR="006644CC" w:rsidRDefault="006644CC" w:rsidP="006644CC">
      <w:r>
        <w:t>Efficacy analyses in this submission were exploratory</w:t>
      </w:r>
      <w:r w:rsidR="006231FF">
        <w:t xml:space="preserve"> only (apart from the FUTURE</w:t>
      </w:r>
      <w:r w:rsidR="006231FF">
        <w:noBreakHyphen/>
        <w:t>4 S</w:t>
      </w:r>
      <w:r>
        <w:t>tudy in PPHN, for which the sponsor is not seeking an extension of indication). Overall, children with PAH showed improved or stable clinical condition (measured by WHO FC and GCIS) while on treatment with bosentan. Because of the pharmacology results seen in children, it is difficult to extrapolate efficacy data from adults with PAH to the paediatric PAH population.</w:t>
      </w:r>
    </w:p>
    <w:p w14:paraId="6CED3404" w14:textId="77777777" w:rsidR="006231FF" w:rsidRDefault="006644CC" w:rsidP="006231FF">
      <w:pPr>
        <w:pStyle w:val="Heading4"/>
      </w:pPr>
      <w:r w:rsidRPr="00D11006">
        <w:t>Safety</w:t>
      </w:r>
    </w:p>
    <w:p w14:paraId="62F1800D" w14:textId="77777777" w:rsidR="006644CC" w:rsidRDefault="006644CC" w:rsidP="006644CC">
      <w:r w:rsidRPr="00526B8D">
        <w:t>The integrated safety analysis included 100</w:t>
      </w:r>
      <w:r w:rsidRPr="0023596D">
        <w:t xml:space="preserve"> children </w:t>
      </w:r>
      <w:r>
        <w:t>exposed to bosentan, with over half treated for at least 24 months. The rate of adverse events was high, but consistent with the known adverse event profile of bosentan.</w:t>
      </w:r>
    </w:p>
    <w:p w14:paraId="65CA63A3" w14:textId="77777777" w:rsidR="006231FF" w:rsidRDefault="006231FF" w:rsidP="006231FF">
      <w:pPr>
        <w:pStyle w:val="Heading4"/>
      </w:pPr>
      <w:r>
        <w:lastRenderedPageBreak/>
        <w:t>Data deficiencies</w:t>
      </w:r>
    </w:p>
    <w:p w14:paraId="205D5A27" w14:textId="77777777" w:rsidR="006644CC" w:rsidRDefault="006231FF" w:rsidP="006644CC">
      <w:r>
        <w:t xml:space="preserve">There were few children (21 out of </w:t>
      </w:r>
      <w:r w:rsidR="006644CC">
        <w:t>100) aged under 2 years included in the study set. Efficacy results from the FUTURE studies were exploratory only.</w:t>
      </w:r>
    </w:p>
    <w:p w14:paraId="38586043" w14:textId="1ACEB565" w:rsidR="006231FF" w:rsidRDefault="006231FF" w:rsidP="006231FF">
      <w:pPr>
        <w:pStyle w:val="Heading4"/>
      </w:pPr>
      <w:r>
        <w:t xml:space="preserve">Conditions of </w:t>
      </w:r>
      <w:r w:rsidR="00DD4C81">
        <w:t>r</w:t>
      </w:r>
      <w:r>
        <w:t>egistration</w:t>
      </w:r>
    </w:p>
    <w:p w14:paraId="3171B8DE" w14:textId="77777777" w:rsidR="006644CC" w:rsidRDefault="006644CC" w:rsidP="006644CC">
      <w:r>
        <w:t>The following are proposed as conditions of registration and the sponsor is invited to comment in the Pre-ACM response:</w:t>
      </w:r>
    </w:p>
    <w:p w14:paraId="72CDDDE9" w14:textId="77777777" w:rsidR="006644CC" w:rsidRPr="006644CC" w:rsidRDefault="006644CC" w:rsidP="006231FF">
      <w:pPr>
        <w:pStyle w:val="ListBullet"/>
      </w:pPr>
      <w:r w:rsidRPr="006644CC">
        <w:t xml:space="preserve">The implementation of the EU-RMP for </w:t>
      </w:r>
      <w:r w:rsidR="00335934">
        <w:t>Tracleer</w:t>
      </w:r>
      <w:r w:rsidRPr="006644CC">
        <w:t xml:space="preserve"> (bosentan) (version 9, dated 10 February 2016) with Australian Specific Annex (version 1.0, dated 31 March 2016).</w:t>
      </w:r>
    </w:p>
    <w:p w14:paraId="5EC71580" w14:textId="77777777" w:rsidR="006231FF" w:rsidRDefault="006231FF" w:rsidP="006231FF">
      <w:pPr>
        <w:pStyle w:val="Heading4"/>
      </w:pPr>
      <w:r>
        <w:t>Questions for the sponsor</w:t>
      </w:r>
    </w:p>
    <w:p w14:paraId="1690B209" w14:textId="77777777" w:rsidR="006644CC" w:rsidRDefault="006644CC" w:rsidP="006644CC">
      <w:r>
        <w:t>The sponsor is requested to address the following issues in the Pre-ACM response:</w:t>
      </w:r>
    </w:p>
    <w:p w14:paraId="480AB146" w14:textId="433B17D9" w:rsidR="006644CC" w:rsidRPr="00A73127" w:rsidRDefault="006644CC" w:rsidP="006644CC">
      <w:pPr>
        <w:pStyle w:val="Numberbullet0"/>
        <w:numPr>
          <w:ilvl w:val="0"/>
          <w:numId w:val="32"/>
        </w:numPr>
      </w:pPr>
      <w:r>
        <w:t xml:space="preserve">Please provide an update of the regulatory status of </w:t>
      </w:r>
      <w:r w:rsidR="00335934">
        <w:t>Tracleer</w:t>
      </w:r>
      <w:r>
        <w:t xml:space="preserve"> (for p</w:t>
      </w:r>
      <w:r w:rsidR="00884CF3">
        <w:t>a</w:t>
      </w:r>
      <w:r>
        <w:t>ediatric use) in the USA.</w:t>
      </w:r>
    </w:p>
    <w:p w14:paraId="5D3FB87F" w14:textId="77777777" w:rsidR="006644CC" w:rsidRPr="00712ED4" w:rsidRDefault="006644CC" w:rsidP="006644CC">
      <w:pPr>
        <w:pStyle w:val="Numberbullet0"/>
        <w:numPr>
          <w:ilvl w:val="0"/>
          <w:numId w:val="32"/>
        </w:numPr>
      </w:pPr>
      <w:r>
        <w:t xml:space="preserve">Please provide any additional available </w:t>
      </w:r>
      <w:r w:rsidR="007C5D1A">
        <w:t>post market</w:t>
      </w:r>
      <w:r>
        <w:t xml:space="preserve">ing data (for example, PSURs) regarding use of </w:t>
      </w:r>
      <w:r w:rsidR="00335934">
        <w:t>Tracleer</w:t>
      </w:r>
      <w:r>
        <w:t xml:space="preserve"> in children.</w:t>
      </w:r>
    </w:p>
    <w:p w14:paraId="7095D9D1" w14:textId="77777777" w:rsidR="006644CC" w:rsidRDefault="006231FF" w:rsidP="006644CC">
      <w:pPr>
        <w:pStyle w:val="Heading4"/>
      </w:pPr>
      <w:r>
        <w:t>Delegate’s considerations</w:t>
      </w:r>
    </w:p>
    <w:p w14:paraId="3FD22687" w14:textId="77777777" w:rsidR="006644CC" w:rsidRPr="00640A2C" w:rsidRDefault="006644CC" w:rsidP="006644CC">
      <w:r w:rsidRPr="00640A2C">
        <w:t>The primary issues with this submission are as follows:</w:t>
      </w:r>
    </w:p>
    <w:p w14:paraId="7C1CEFC4" w14:textId="77777777" w:rsidR="006644CC" w:rsidRDefault="006644CC" w:rsidP="007328FF">
      <w:pPr>
        <w:pStyle w:val="Numberbullet0"/>
        <w:numPr>
          <w:ilvl w:val="0"/>
          <w:numId w:val="36"/>
        </w:numPr>
      </w:pPr>
      <w:r>
        <w:t>The proposed dispersible tablet formulation is not bioequivalent to the currently registered formulation.</w:t>
      </w:r>
    </w:p>
    <w:p w14:paraId="7D273387" w14:textId="77777777" w:rsidR="006644CC" w:rsidRDefault="006644CC" w:rsidP="007328FF">
      <w:pPr>
        <w:pStyle w:val="Numberbullet0"/>
        <w:numPr>
          <w:ilvl w:val="0"/>
          <w:numId w:val="36"/>
        </w:numPr>
      </w:pPr>
      <w:r>
        <w:t>Exposure to bosentan in children is significantly lower than in adults, making it difficult to extrapolate efficacy from adults to children.</w:t>
      </w:r>
    </w:p>
    <w:p w14:paraId="63F0AFA9" w14:textId="77777777" w:rsidR="006644CC" w:rsidRPr="006644CC" w:rsidRDefault="006644CC" w:rsidP="007328FF">
      <w:pPr>
        <w:pStyle w:val="Numberbullet0"/>
        <w:numPr>
          <w:ilvl w:val="0"/>
          <w:numId w:val="36"/>
        </w:numPr>
      </w:pPr>
      <w:r>
        <w:t>Efficacy analyses in children submitted as part of the current application were of an exploratory nature only.</w:t>
      </w:r>
    </w:p>
    <w:p w14:paraId="238FDCB5" w14:textId="77777777" w:rsidR="00D23139" w:rsidRDefault="00D23139" w:rsidP="00D23139">
      <w:pPr>
        <w:pStyle w:val="Heading4"/>
      </w:pPr>
      <w:r w:rsidRPr="00D23139">
        <w:t>Proposed action</w:t>
      </w:r>
    </w:p>
    <w:p w14:paraId="6112DE53" w14:textId="77777777" w:rsidR="006644CC" w:rsidRPr="006644CC" w:rsidRDefault="006231FF" w:rsidP="006644CC">
      <w:r>
        <w:t>The Delegate was</w:t>
      </w:r>
      <w:r w:rsidR="006644CC" w:rsidRPr="00C80339">
        <w:t xml:space="preserve"> not in a position to say, at this time, that t</w:t>
      </w:r>
      <w:r w:rsidR="006644CC">
        <w:t xml:space="preserve">he application for </w:t>
      </w:r>
      <w:r w:rsidR="00335934">
        <w:t>Tracleer</w:t>
      </w:r>
      <w:r w:rsidR="006644CC" w:rsidRPr="00C80339">
        <w:t xml:space="preserve"> should</w:t>
      </w:r>
      <w:r w:rsidR="006644CC">
        <w:t xml:space="preserve"> be approved for registration.</w:t>
      </w:r>
    </w:p>
    <w:p w14:paraId="2BE7F670" w14:textId="77777777" w:rsidR="00D23139" w:rsidRDefault="00D23139" w:rsidP="00D23139">
      <w:pPr>
        <w:pStyle w:val="Heading4"/>
      </w:pPr>
      <w:r w:rsidRPr="00D23139">
        <w:t>Request for ACPM advice</w:t>
      </w:r>
    </w:p>
    <w:p w14:paraId="7CE5E9D2" w14:textId="77777777" w:rsidR="006644CC" w:rsidRPr="00640A2C" w:rsidRDefault="006644CC" w:rsidP="006644CC">
      <w:r w:rsidRPr="00640A2C">
        <w:t>The committee is requested to provide advice on the following specific issues:</w:t>
      </w:r>
    </w:p>
    <w:p w14:paraId="1B4813E7" w14:textId="77777777" w:rsidR="006644CC" w:rsidRDefault="006644CC" w:rsidP="006644CC">
      <w:pPr>
        <w:pStyle w:val="Numberbullet0"/>
        <w:numPr>
          <w:ilvl w:val="0"/>
          <w:numId w:val="34"/>
        </w:numPr>
      </w:pPr>
      <w:r>
        <w:t>Are there sufficient children under the age of 2 years included in the study set in order to draw conclusions about use in this age group?</w:t>
      </w:r>
    </w:p>
    <w:p w14:paraId="37304D13" w14:textId="77777777" w:rsidR="006644CC" w:rsidRDefault="006644CC" w:rsidP="006644CC">
      <w:pPr>
        <w:pStyle w:val="Numberbullet0"/>
        <w:numPr>
          <w:ilvl w:val="0"/>
          <w:numId w:val="34"/>
        </w:numPr>
      </w:pPr>
      <w:r>
        <w:t>Can efficacy of bosentan in adults be extrapolated to its use in children?</w:t>
      </w:r>
    </w:p>
    <w:p w14:paraId="5309A8AB" w14:textId="77777777" w:rsidR="006644CC" w:rsidRDefault="006644CC" w:rsidP="006644CC">
      <w:pPr>
        <w:pStyle w:val="Numberbullet0"/>
        <w:numPr>
          <w:ilvl w:val="0"/>
          <w:numId w:val="34"/>
        </w:numPr>
      </w:pPr>
      <w:r>
        <w:t>Do the outcomes seen in the FUTURE studies provide adequate evidence for efficacy of bosentan in children?</w:t>
      </w:r>
    </w:p>
    <w:p w14:paraId="34988F00" w14:textId="77777777" w:rsidR="006644CC" w:rsidRPr="00640A2C" w:rsidRDefault="006644CC" w:rsidP="006644CC">
      <w:pPr>
        <w:pStyle w:val="Numberbullet0"/>
        <w:numPr>
          <w:ilvl w:val="0"/>
          <w:numId w:val="34"/>
        </w:numPr>
      </w:pPr>
      <w:r>
        <w:t>Is there adequate safety data concerning the use of bosentan in children?</w:t>
      </w:r>
    </w:p>
    <w:p w14:paraId="5BB2B589" w14:textId="77777777" w:rsidR="006644CC" w:rsidRPr="006644CC" w:rsidRDefault="006644CC" w:rsidP="006644CC">
      <w:r w:rsidRPr="00640A2C">
        <w:t>The committee is (also) requested to provide advice on any other issues that it thinks may be relevant to a decision on whether or not to approve this application.</w:t>
      </w:r>
    </w:p>
    <w:p w14:paraId="71EB2DFF" w14:textId="77777777" w:rsidR="00D23139" w:rsidRDefault="007328FF" w:rsidP="00D23139">
      <w:pPr>
        <w:pStyle w:val="Heading4"/>
      </w:pPr>
      <w:r>
        <w:t xml:space="preserve">Response from </w:t>
      </w:r>
      <w:r w:rsidR="00335934">
        <w:t>sponsor</w:t>
      </w:r>
    </w:p>
    <w:p w14:paraId="665078AF" w14:textId="77777777" w:rsidR="00D404B9" w:rsidRDefault="007328FF" w:rsidP="007328FF">
      <w:r w:rsidRPr="007328FF">
        <w:t xml:space="preserve">There are three parts to this response: </w:t>
      </w:r>
    </w:p>
    <w:p w14:paraId="3832C4E4" w14:textId="2E431156" w:rsidR="00D404B9" w:rsidRDefault="00884CF3" w:rsidP="00D404B9">
      <w:pPr>
        <w:pStyle w:val="ListBullet"/>
      </w:pPr>
      <w:r>
        <w:lastRenderedPageBreak/>
        <w:t xml:space="preserve">the </w:t>
      </w:r>
      <w:r w:rsidR="007328FF" w:rsidRPr="007328FF">
        <w:t>sponsor’s comment on the Summary of Issues as</w:t>
      </w:r>
      <w:r w:rsidR="007328FF">
        <w:t xml:space="preserve"> </w:t>
      </w:r>
      <w:r w:rsidR="00D404B9">
        <w:t>raised by the Delegate</w:t>
      </w:r>
      <w:r>
        <w:t>;</w:t>
      </w:r>
    </w:p>
    <w:p w14:paraId="0EB82736" w14:textId="5DFCD267" w:rsidR="00D404B9" w:rsidRDefault="00884CF3" w:rsidP="00D404B9">
      <w:pPr>
        <w:pStyle w:val="ListBullet"/>
      </w:pPr>
      <w:r>
        <w:t xml:space="preserve">the </w:t>
      </w:r>
      <w:r w:rsidR="007328FF" w:rsidRPr="007328FF">
        <w:t>sponsor’s comments on AC</w:t>
      </w:r>
      <w:r w:rsidR="007328FF">
        <w:t>M advice sought by the Delegate</w:t>
      </w:r>
      <w:r>
        <w:t xml:space="preserve">; </w:t>
      </w:r>
      <w:r w:rsidR="00D404B9">
        <w:t>and</w:t>
      </w:r>
    </w:p>
    <w:p w14:paraId="49C507ED" w14:textId="77777777" w:rsidR="007328FF" w:rsidRDefault="007328FF" w:rsidP="00D404B9">
      <w:pPr>
        <w:pStyle w:val="ListBullet"/>
      </w:pPr>
      <w:proofErr w:type="gramStart"/>
      <w:r w:rsidRPr="007328FF">
        <w:t>responses</w:t>
      </w:r>
      <w:proofErr w:type="gramEnd"/>
      <w:r w:rsidRPr="007328FF">
        <w:t xml:space="preserve"> to the Delegate’s </w:t>
      </w:r>
      <w:r w:rsidR="006231FF">
        <w:t>‘</w:t>
      </w:r>
      <w:r w:rsidRPr="007328FF">
        <w:t xml:space="preserve">Questions for the </w:t>
      </w:r>
      <w:r w:rsidR="00335934">
        <w:t>sponsor</w:t>
      </w:r>
      <w:r w:rsidRPr="007328FF">
        <w:t>.</w:t>
      </w:r>
      <w:r w:rsidR="006231FF">
        <w:t>’</w:t>
      </w:r>
    </w:p>
    <w:p w14:paraId="26CDE99D" w14:textId="1026C6E0" w:rsidR="007328FF" w:rsidRPr="007328FF" w:rsidRDefault="006231FF" w:rsidP="006231FF">
      <w:pPr>
        <w:pStyle w:val="Heading5"/>
      </w:pPr>
      <w:r>
        <w:t>S</w:t>
      </w:r>
      <w:r w:rsidR="00335934">
        <w:t>ponsor</w:t>
      </w:r>
      <w:r w:rsidR="007328FF">
        <w:t>’</w:t>
      </w:r>
      <w:r w:rsidR="007328FF" w:rsidRPr="007328FF">
        <w:t xml:space="preserve">s comment on the </w:t>
      </w:r>
      <w:r w:rsidR="00DD4C81" w:rsidRPr="007328FF">
        <w:t>summary of issues as raised by the delegat</w:t>
      </w:r>
      <w:r w:rsidR="00DD4C81">
        <w:t>e</w:t>
      </w:r>
    </w:p>
    <w:p w14:paraId="4487EFB2" w14:textId="77777777" w:rsidR="007328FF" w:rsidRPr="007328FF" w:rsidRDefault="007328FF" w:rsidP="007328FF">
      <w:r w:rsidRPr="007328FF">
        <w:t xml:space="preserve">The Delegate has raised three points as primary issues </w:t>
      </w:r>
      <w:r>
        <w:t xml:space="preserve">of concern from the submission, </w:t>
      </w:r>
      <w:r w:rsidRPr="007328FF">
        <w:t>on which the applicant would like to comment as follows:</w:t>
      </w:r>
    </w:p>
    <w:p w14:paraId="2E035A54" w14:textId="77777777" w:rsidR="007328FF" w:rsidRPr="00EF7910" w:rsidRDefault="007328FF" w:rsidP="00EF7910">
      <w:pPr>
        <w:pStyle w:val="Numberbullet0"/>
        <w:numPr>
          <w:ilvl w:val="0"/>
          <w:numId w:val="37"/>
        </w:numPr>
        <w:rPr>
          <w:b/>
          <w:i/>
        </w:rPr>
      </w:pPr>
      <w:r w:rsidRPr="00EF7910">
        <w:rPr>
          <w:b/>
          <w:i/>
        </w:rPr>
        <w:t>The proposed dispersible tablet formulation is not bioequivalent to the currently registered formulation.</w:t>
      </w:r>
    </w:p>
    <w:p w14:paraId="51AD1A1D" w14:textId="75BB0BC5" w:rsidR="007328FF" w:rsidRPr="006231FF" w:rsidRDefault="007328FF" w:rsidP="006231FF">
      <w:r w:rsidRPr="006231FF">
        <w:t xml:space="preserve">The application is not based on strict bioequivalence of </w:t>
      </w:r>
      <w:r w:rsidR="006231FF">
        <w:t xml:space="preserve">the dispersible and film </w:t>
      </w:r>
      <w:r w:rsidRPr="006231FF">
        <w:t xml:space="preserve">coated formulations. It is based on data from all paediatric </w:t>
      </w:r>
      <w:r w:rsidR="006231FF">
        <w:t>PAH</w:t>
      </w:r>
      <w:r w:rsidRPr="006231FF">
        <w:t xml:space="preserve"> studies conducted with the 32 mg dispersible</w:t>
      </w:r>
      <w:r w:rsidR="006231FF">
        <w:t xml:space="preserve"> tablet (Studies AC-052-365 (FUTURE 1),</w:t>
      </w:r>
      <w:r w:rsidRPr="006231FF">
        <w:t xml:space="preserve"> AC</w:t>
      </w:r>
      <w:r w:rsidR="006231FF">
        <w:t>-052-373 (FUTURE 3), and AC</w:t>
      </w:r>
      <w:r w:rsidR="006231FF">
        <w:noBreakHyphen/>
      </w:r>
      <w:r w:rsidRPr="006231FF">
        <w:t>052-391 (F</w:t>
      </w:r>
      <w:r w:rsidR="006231FF">
        <w:t>UTURE 4))</w:t>
      </w:r>
      <w:r w:rsidRPr="006231FF">
        <w:t>, as well as data from 1 paediatric study (BREATHE-3) and selected adult studies conducted with the film</w:t>
      </w:r>
      <w:r w:rsidR="006231FF">
        <w:t xml:space="preserve"> </w:t>
      </w:r>
      <w:r w:rsidRPr="006231FF">
        <w:t>coated tablet, and 1 bio</w:t>
      </w:r>
      <w:r w:rsidR="006231FF">
        <w:t>-</w:t>
      </w:r>
      <w:r w:rsidRPr="006231FF">
        <w:t xml:space="preserve">comparison (dispersible </w:t>
      </w:r>
      <w:r w:rsidR="006231FF" w:rsidRPr="006231FF">
        <w:t>versus</w:t>
      </w:r>
      <w:r w:rsidRPr="006231FF">
        <w:t xml:space="preserve"> adult tablet formulations) study in healthy adult sub</w:t>
      </w:r>
      <w:r w:rsidR="006231FF">
        <w:t>jects (Study AC</w:t>
      </w:r>
      <w:r w:rsidR="006231FF">
        <w:noBreakHyphen/>
      </w:r>
      <w:r w:rsidRPr="006231FF">
        <w:t xml:space="preserve">052-116). The administration of bosentan to paediatric PAH patients, using either the dispersible tablet at a dose of 2 or 4 mg/kg </w:t>
      </w:r>
      <w:r w:rsidR="006231FF">
        <w:t>BD</w:t>
      </w:r>
      <w:r w:rsidRPr="006231FF">
        <w:t xml:space="preserve"> (</w:t>
      </w:r>
      <w:r w:rsidR="00786C83">
        <w:t xml:space="preserve">Study </w:t>
      </w:r>
      <w:r w:rsidRPr="006231FF">
        <w:t>AC</w:t>
      </w:r>
      <w:r w:rsidR="006231FF">
        <w:t xml:space="preserve">-052-365, FUTURE 1) or the film </w:t>
      </w:r>
      <w:r w:rsidRPr="006231FF">
        <w:t xml:space="preserve">coated tablet at approximately 2 mg/kg </w:t>
      </w:r>
      <w:r w:rsidR="006231FF">
        <w:t>BD</w:t>
      </w:r>
      <w:r w:rsidRPr="006231FF">
        <w:t xml:space="preserve"> (</w:t>
      </w:r>
      <w:r w:rsidR="00786C83">
        <w:t xml:space="preserve">Study </w:t>
      </w:r>
      <w:r w:rsidRPr="006231FF">
        <w:t xml:space="preserve">AC-052-356,BREATHE-3) resulted in comparable plasma concentrations of </w:t>
      </w:r>
      <w:r w:rsidRPr="00FE6C13">
        <w:t xml:space="preserve">bosentan </w:t>
      </w:r>
      <w:r w:rsidR="006231FF" w:rsidRPr="00FE6C13">
        <w:t xml:space="preserve">(Table </w:t>
      </w:r>
      <w:r w:rsidR="00FE6C13" w:rsidRPr="00FE6C13">
        <w:t>25</w:t>
      </w:r>
      <w:r w:rsidR="006231FF" w:rsidRPr="00FE6C13">
        <w:t>)</w:t>
      </w:r>
      <w:r w:rsidRPr="00FE6C13">
        <w:t>. Importantly</w:t>
      </w:r>
      <w:r w:rsidRPr="006231FF">
        <w:t>, there were no indications from these studies of differences in the efficacy or safety profiles between the different tablet formulations in paediatric PAH patients (please also see the response to B2).</w:t>
      </w:r>
    </w:p>
    <w:p w14:paraId="78CF9CF4" w14:textId="77777777" w:rsidR="007328FF" w:rsidRDefault="007328FF" w:rsidP="007328FF">
      <w:pPr>
        <w:pStyle w:val="TableTitle"/>
      </w:pPr>
      <w:r w:rsidRPr="00FE6C13">
        <w:t xml:space="preserve">Table </w:t>
      </w:r>
      <w:r w:rsidR="00FE6C13" w:rsidRPr="00FE6C13">
        <w:t>25</w:t>
      </w:r>
      <w:r w:rsidR="00FE6C13">
        <w:t>:</w:t>
      </w:r>
      <w:r>
        <w:t xml:space="preserve"> Comparison of bosentan exposure in paediatric populations</w:t>
      </w:r>
    </w:p>
    <w:p w14:paraId="4FC53559" w14:textId="77777777" w:rsidR="007328FF" w:rsidRDefault="007328FF" w:rsidP="007328FF">
      <w:r>
        <w:rPr>
          <w:noProof/>
          <w:lang w:eastAsia="en-AU"/>
        </w:rPr>
        <w:drawing>
          <wp:inline distT="0" distB="0" distL="0" distR="0" wp14:anchorId="04C36481" wp14:editId="2A2DABD0">
            <wp:extent cx="5167745" cy="2423761"/>
            <wp:effectExtent l="0" t="0" r="0" b="0"/>
            <wp:docPr id="2" name="Picture 2" descr="Table 25: Comparison of bosentan exposure in paediatric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grayscl/>
                    </a:blip>
                    <a:stretch>
                      <a:fillRect/>
                    </a:stretch>
                  </pic:blipFill>
                  <pic:spPr>
                    <a:xfrm>
                      <a:off x="0" y="0"/>
                      <a:ext cx="5164654" cy="2422311"/>
                    </a:xfrm>
                    <a:prstGeom prst="rect">
                      <a:avLst/>
                    </a:prstGeom>
                  </pic:spPr>
                </pic:pic>
              </a:graphicData>
            </a:graphic>
          </wp:inline>
        </w:drawing>
      </w:r>
    </w:p>
    <w:p w14:paraId="5B9C8926" w14:textId="49FA22EA" w:rsidR="007328FF" w:rsidRPr="007328FF" w:rsidRDefault="006231FF" w:rsidP="007328FF">
      <w:r>
        <w:t xml:space="preserve">Study </w:t>
      </w:r>
      <w:r w:rsidR="007328FF" w:rsidRPr="007328FF">
        <w:t>AC-052-116 was a bio</w:t>
      </w:r>
      <w:r>
        <w:t>-</w:t>
      </w:r>
      <w:r w:rsidR="007328FF" w:rsidRPr="007328FF">
        <w:t>comparison study and was not statistically powered to conclude on</w:t>
      </w:r>
      <w:r w:rsidR="007328FF">
        <w:t xml:space="preserve"> </w:t>
      </w:r>
      <w:r w:rsidR="007328FF" w:rsidRPr="007328FF">
        <w:t xml:space="preserve">bioequivalence </w:t>
      </w:r>
      <w:r>
        <w:t xml:space="preserve">of the dispersible and the film </w:t>
      </w:r>
      <w:r w:rsidR="007328FF" w:rsidRPr="007328FF">
        <w:t xml:space="preserve">coated </w:t>
      </w:r>
      <w:r w:rsidR="007328FF">
        <w:t xml:space="preserve">formulations. The ratios of the </w:t>
      </w:r>
      <w:r w:rsidR="007328FF" w:rsidRPr="007328FF">
        <w:t>geometric means of C</w:t>
      </w:r>
      <w:r w:rsidR="007328FF" w:rsidRPr="006231FF">
        <w:rPr>
          <w:vertAlign w:val="subscript"/>
        </w:rPr>
        <w:t>max</w:t>
      </w:r>
      <w:r w:rsidR="007328FF" w:rsidRPr="007328FF">
        <w:t>, AUC</w:t>
      </w:r>
      <w:r w:rsidR="007328FF" w:rsidRPr="006231FF">
        <w:rPr>
          <w:vertAlign w:val="subscript"/>
        </w:rPr>
        <w:t>0-t</w:t>
      </w:r>
      <w:r w:rsidR="007328FF" w:rsidRPr="007328FF">
        <w:t xml:space="preserve">, </w:t>
      </w:r>
      <w:r w:rsidR="007328FF" w:rsidRPr="007C535F">
        <w:t xml:space="preserve">and </w:t>
      </w:r>
      <w:r w:rsidR="007C535F" w:rsidRPr="007C535F">
        <w:t>AUC</w:t>
      </w:r>
      <w:r w:rsidR="007C535F" w:rsidRPr="007C535F">
        <w:rPr>
          <w:vertAlign w:val="subscript"/>
        </w:rPr>
        <w:t>0-∞</w:t>
      </w:r>
      <w:r w:rsidR="007328FF" w:rsidRPr="007C535F">
        <w:t xml:space="preserve"> were</w:t>
      </w:r>
      <w:r w:rsidR="007328FF" w:rsidRPr="007328FF">
        <w:t xml:space="preserve"> within </w:t>
      </w:r>
      <w:r>
        <w:t xml:space="preserve">the conventional 0.8 to </w:t>
      </w:r>
      <w:r w:rsidR="007328FF">
        <w:t xml:space="preserve">1.25 </w:t>
      </w:r>
      <w:r w:rsidR="007328FF" w:rsidRPr="007328FF">
        <w:t>equivalence interval. However, for the 3 parameters the lower boundary of the 90%</w:t>
      </w:r>
      <w:r w:rsidR="007328FF">
        <w:t xml:space="preserve"> </w:t>
      </w:r>
      <w:r w:rsidR="007328FF" w:rsidRPr="007328FF">
        <w:t>confidence interval (CI) of the geometric mean ratio wa</w:t>
      </w:r>
      <w:r>
        <w:t xml:space="preserve">s outside the 0.8 to </w:t>
      </w:r>
      <w:r w:rsidR="007328FF">
        <w:t xml:space="preserve">1.25 interval </w:t>
      </w:r>
      <w:r w:rsidR="00786C83">
        <w:t>(</w:t>
      </w:r>
      <w:r w:rsidR="007328FF" w:rsidRPr="00FE6C13">
        <w:t>see Table 2</w:t>
      </w:r>
      <w:r w:rsidR="00FE6C13" w:rsidRPr="00FE6C13">
        <w:t>6</w:t>
      </w:r>
      <w:r w:rsidR="00786C83">
        <w:t>)</w:t>
      </w:r>
      <w:r w:rsidR="007328FF" w:rsidRPr="00FE6C13">
        <w:t>.</w:t>
      </w:r>
    </w:p>
    <w:p w14:paraId="1F464D46" w14:textId="77777777" w:rsidR="007328FF" w:rsidRPr="007328FF" w:rsidRDefault="007328FF" w:rsidP="007328FF">
      <w:pPr>
        <w:pStyle w:val="TableTitle"/>
      </w:pPr>
      <w:r w:rsidRPr="00FE6C13">
        <w:lastRenderedPageBreak/>
        <w:t>Table 2</w:t>
      </w:r>
      <w:r w:rsidR="00FE6C13" w:rsidRPr="00FE6C13">
        <w:t>6:</w:t>
      </w:r>
      <w:r w:rsidRPr="00FE6C13">
        <w:t xml:space="preserve"> Effect of formulation on bosentan pharmacokinetics: Paediatric versus</w:t>
      </w:r>
      <w:r w:rsidRPr="007328FF">
        <w:t xml:space="preserve"> adult formulation</w:t>
      </w:r>
    </w:p>
    <w:p w14:paraId="670F416E" w14:textId="77777777" w:rsidR="007328FF" w:rsidRDefault="007328FF" w:rsidP="007328FF">
      <w:r>
        <w:rPr>
          <w:noProof/>
          <w:lang w:eastAsia="en-AU"/>
        </w:rPr>
        <w:drawing>
          <wp:inline distT="0" distB="0" distL="0" distR="0" wp14:anchorId="51A301D8" wp14:editId="55A5B623">
            <wp:extent cx="5188527" cy="1429062"/>
            <wp:effectExtent l="0" t="0" r="0" b="0"/>
            <wp:docPr id="3" name="Picture 3" descr="Table 26: Effect of formulation on bosentan pharmacokinetics: Paediatric versus adult form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grayscl/>
                      <a:extLst>
                        <a:ext uri="{BEBA8EAE-BF5A-486C-A8C5-ECC9F3942E4B}">
                          <a14:imgProps xmlns:a14="http://schemas.microsoft.com/office/drawing/2010/main">
                            <a14:imgLayer r:embed="rId44">
                              <a14:imgEffect>
                                <a14:saturation sat="33000"/>
                              </a14:imgEffect>
                            </a14:imgLayer>
                          </a14:imgProps>
                        </a:ext>
                      </a:extLst>
                    </a:blip>
                    <a:stretch>
                      <a:fillRect/>
                    </a:stretch>
                  </pic:blipFill>
                  <pic:spPr>
                    <a:xfrm>
                      <a:off x="0" y="0"/>
                      <a:ext cx="5205614" cy="1433768"/>
                    </a:xfrm>
                    <a:prstGeom prst="rect">
                      <a:avLst/>
                    </a:prstGeom>
                  </pic:spPr>
                </pic:pic>
              </a:graphicData>
            </a:graphic>
          </wp:inline>
        </w:drawing>
      </w:r>
    </w:p>
    <w:p w14:paraId="4F4E1258" w14:textId="77777777" w:rsidR="007328FF" w:rsidRPr="007328FF" w:rsidRDefault="007328FF" w:rsidP="007C535F">
      <w:r w:rsidRPr="007328FF">
        <w:t>Considering the high inter-subject variability in exposure to bosentan observed in</w:t>
      </w:r>
      <w:r>
        <w:t xml:space="preserve"> </w:t>
      </w:r>
      <w:r w:rsidRPr="007328FF">
        <w:t>FUTURE 1 (dispersible formulation) and AC-</w:t>
      </w:r>
      <w:r>
        <w:t>052-356 (BREATHE-3), the</w:t>
      </w:r>
      <w:r w:rsidR="007C535F">
        <w:t xml:space="preserve"> slight </w:t>
      </w:r>
      <w:r w:rsidRPr="007328FF">
        <w:t>decrease in exposure (C</w:t>
      </w:r>
      <w:r w:rsidRPr="007C535F">
        <w:rPr>
          <w:vertAlign w:val="subscript"/>
        </w:rPr>
        <w:t>max</w:t>
      </w:r>
      <w:r w:rsidRPr="007328FF">
        <w:t xml:space="preserve"> and AUC) to bosentan after ad</w:t>
      </w:r>
      <w:r>
        <w:t>ministration of the dispersible</w:t>
      </w:r>
      <w:r w:rsidR="007C535F">
        <w:t xml:space="preserve"> </w:t>
      </w:r>
      <w:r w:rsidRPr="007328FF">
        <w:t xml:space="preserve">formulation in </w:t>
      </w:r>
      <w:r w:rsidR="00FD708D">
        <w:t>Study</w:t>
      </w:r>
      <w:r w:rsidRPr="007328FF">
        <w:t xml:space="preserve"> AC-052-116 is not expected to be clin</w:t>
      </w:r>
      <w:r>
        <w:t xml:space="preserve">ically relevant in the </w:t>
      </w:r>
      <w:r w:rsidR="007C535F">
        <w:t xml:space="preserve">intended </w:t>
      </w:r>
      <w:r w:rsidRPr="007328FF">
        <w:t>target population of paediatric PAH patients.</w:t>
      </w:r>
    </w:p>
    <w:p w14:paraId="01229DB4" w14:textId="77777777" w:rsidR="007328FF" w:rsidRDefault="007328FF" w:rsidP="007328FF">
      <w:r w:rsidRPr="007328FF">
        <w:t xml:space="preserve">Bridging from the clinical effectiveness of </w:t>
      </w:r>
      <w:r w:rsidR="00335934">
        <w:t>Tracleer</w:t>
      </w:r>
      <w:r w:rsidRPr="007328FF">
        <w:t xml:space="preserve"> in PAH demonstrated in adults</w:t>
      </w:r>
      <w:r w:rsidR="007C535F">
        <w:t xml:space="preserve"> to the </w:t>
      </w:r>
      <w:r w:rsidRPr="007328FF">
        <w:t xml:space="preserve">paediatric </w:t>
      </w:r>
      <w:r>
        <w:t>population is justified due to:</w:t>
      </w:r>
    </w:p>
    <w:p w14:paraId="2808ACCD" w14:textId="77777777" w:rsidR="007328FF" w:rsidRPr="007C535F" w:rsidRDefault="007328FF" w:rsidP="007C535F">
      <w:pPr>
        <w:pStyle w:val="ListBullet"/>
      </w:pPr>
      <w:r w:rsidRPr="007C535F">
        <w:t>Similarity in the disease between adult and paediatric patients.</w:t>
      </w:r>
    </w:p>
    <w:p w14:paraId="6FDA06F8" w14:textId="77777777" w:rsidR="007328FF" w:rsidRPr="007C535F" w:rsidRDefault="007328FF" w:rsidP="007C535F">
      <w:pPr>
        <w:pStyle w:val="ListBullet"/>
      </w:pPr>
      <w:r w:rsidRPr="007C535F">
        <w:t>Overlap of the exposure achieved in paediatric PAH patients with the film-coated and dispersible tablet formulations.</w:t>
      </w:r>
    </w:p>
    <w:p w14:paraId="1A4A3CEA" w14:textId="77777777" w:rsidR="007328FF" w:rsidRPr="007C535F" w:rsidRDefault="007328FF" w:rsidP="007C535F">
      <w:pPr>
        <w:pStyle w:val="ListBullet"/>
      </w:pPr>
      <w:r w:rsidRPr="007C535F">
        <w:t>Similarity in the decrease in pulmonary vascular resistance (PVR) observed in adult and paediatric PAH patients.</w:t>
      </w:r>
    </w:p>
    <w:p w14:paraId="2D0F8C97" w14:textId="77777777" w:rsidR="007328FF" w:rsidRPr="007328FF" w:rsidRDefault="007328FF" w:rsidP="007328FF">
      <w:r w:rsidRPr="007328FF">
        <w:t>The effectiveness evaluation is based on the ‘bridging</w:t>
      </w:r>
      <w:r>
        <w:t xml:space="preserve">’ of data between the adult and </w:t>
      </w:r>
      <w:r w:rsidR="007C535F" w:rsidRPr="007328FF">
        <w:t>paediatric</w:t>
      </w:r>
      <w:r w:rsidRPr="007328FF">
        <w:t xml:space="preserve"> studies, with a primary focus on PVR, but also taking into acco</w:t>
      </w:r>
      <w:r>
        <w:t xml:space="preserve">unt other </w:t>
      </w:r>
      <w:r w:rsidRPr="007328FF">
        <w:t>clinically relevant observations in these studies (WHO</w:t>
      </w:r>
      <w:r>
        <w:t xml:space="preserve"> FC, time to disease worsening, </w:t>
      </w:r>
      <w:r w:rsidR="007C535F">
        <w:t>etcetera</w:t>
      </w:r>
      <w:r w:rsidRPr="007328FF">
        <w:t>). A summary of the exposure to bosentan in paediatric</w:t>
      </w:r>
      <w:r>
        <w:t xml:space="preserve"> patients is provided below and </w:t>
      </w:r>
      <w:r w:rsidRPr="007328FF">
        <w:t>the comparison of PVR in adult and paediatric PAH patients is detailed</w:t>
      </w:r>
      <w:r>
        <w:t xml:space="preserve"> in the response to </w:t>
      </w:r>
      <w:r w:rsidR="007C535F">
        <w:t xml:space="preserve">Question </w:t>
      </w:r>
      <w:r w:rsidRPr="007328FF">
        <w:t>2.</w:t>
      </w:r>
    </w:p>
    <w:p w14:paraId="48913D72" w14:textId="77777777" w:rsidR="007328FF" w:rsidRPr="007328FF" w:rsidRDefault="007328FF" w:rsidP="007328FF">
      <w:r w:rsidRPr="007328FF">
        <w:t>There is no appropriate paediatric formulation of an</w:t>
      </w:r>
      <w:r w:rsidR="00EF7910">
        <w:t xml:space="preserve"> endothelin receptor antagonist </w:t>
      </w:r>
      <w:r w:rsidRPr="007328FF">
        <w:t>approved in Australia. Prescribers wanting to use bose</w:t>
      </w:r>
      <w:r w:rsidR="00EF7910">
        <w:t xml:space="preserve">ntan in paediatric PAH patients </w:t>
      </w:r>
      <w:r w:rsidRPr="007328FF">
        <w:t>unable to swallow tablets must rely on pharmacists/pare</w:t>
      </w:r>
      <w:r w:rsidR="00EF7910">
        <w:t xml:space="preserve">nts to extemporaneously prepare </w:t>
      </w:r>
      <w:r w:rsidRPr="007328FF">
        <w:t>an oral suspension of b</w:t>
      </w:r>
      <w:r w:rsidR="007C535F">
        <w:t xml:space="preserve">osentan using the approved film </w:t>
      </w:r>
      <w:r w:rsidRPr="007328FF">
        <w:t>co</w:t>
      </w:r>
      <w:r w:rsidR="00EF7910">
        <w:t xml:space="preserve">ated tablet. </w:t>
      </w:r>
      <w:r w:rsidR="007C535F">
        <w:t>The sponsor</w:t>
      </w:r>
      <w:r w:rsidR="00EF7910">
        <w:t xml:space="preserve"> is of the </w:t>
      </w:r>
      <w:r w:rsidRPr="007328FF">
        <w:t>opinion that the dispersible formulation supports a posi</w:t>
      </w:r>
      <w:r w:rsidR="00EF7910">
        <w:t xml:space="preserve">tive benefit/risk assessment in </w:t>
      </w:r>
      <w:r w:rsidRPr="007328FF">
        <w:t>paediatric PAH patients down to 1 year of age.</w:t>
      </w:r>
    </w:p>
    <w:p w14:paraId="06EF07EC" w14:textId="77777777" w:rsidR="007328FF" w:rsidRPr="00EF7910" w:rsidRDefault="007328FF" w:rsidP="00EF7910">
      <w:pPr>
        <w:pStyle w:val="Numberbullet0"/>
        <w:rPr>
          <w:b/>
          <w:i/>
        </w:rPr>
      </w:pPr>
      <w:r w:rsidRPr="00EF7910">
        <w:rPr>
          <w:b/>
          <w:i/>
        </w:rPr>
        <w:t xml:space="preserve">Exposure to bosentan in children is significantly </w:t>
      </w:r>
      <w:r w:rsidR="00EF7910" w:rsidRPr="00EF7910">
        <w:rPr>
          <w:b/>
          <w:i/>
        </w:rPr>
        <w:t xml:space="preserve">lower than in adults, making it </w:t>
      </w:r>
      <w:r w:rsidRPr="00EF7910">
        <w:rPr>
          <w:b/>
          <w:i/>
        </w:rPr>
        <w:t>difficult to extrapolate efficacy from adults to children.</w:t>
      </w:r>
    </w:p>
    <w:p w14:paraId="1B0FA37B" w14:textId="77777777" w:rsidR="007328FF" w:rsidRPr="00EF7910" w:rsidRDefault="00EF7910" w:rsidP="00EF7910">
      <w:r w:rsidRPr="00EF7910">
        <w:t>Acknowledging this fact, the current application is not seeking approval on the basis of PK extrapolation of efficacy from adults to children, but on the basis of similar haemodynamic responses in the two populations, accompanied with consistent clinical improvements.</w:t>
      </w:r>
    </w:p>
    <w:p w14:paraId="41FF68BF" w14:textId="77777777" w:rsidR="00EF7910" w:rsidRPr="00EF7910" w:rsidRDefault="00EF7910" w:rsidP="00EF7910">
      <w:pPr>
        <w:pStyle w:val="Numberbullet0"/>
        <w:rPr>
          <w:b/>
          <w:i/>
        </w:rPr>
      </w:pPr>
      <w:r w:rsidRPr="00EF7910">
        <w:rPr>
          <w:b/>
          <w:i/>
        </w:rPr>
        <w:t>Efficacy analyses in children submitted as part of the current application were of an exploratory nature only.</w:t>
      </w:r>
    </w:p>
    <w:p w14:paraId="7E6230AA" w14:textId="5A6CF4B4" w:rsidR="00EF7910" w:rsidRPr="00EF7910" w:rsidRDefault="00EF7910" w:rsidP="00EF7910">
      <w:r w:rsidRPr="00EF7910">
        <w:t>Following the review of the FUTURE 1 and FUTUR</w:t>
      </w:r>
      <w:r w:rsidR="007C535F">
        <w:t xml:space="preserve">E 2 </w:t>
      </w:r>
      <w:r w:rsidR="008D6064">
        <w:t>Stud</w:t>
      </w:r>
      <w:r w:rsidR="005C65C7">
        <w:t xml:space="preserve">ies </w:t>
      </w:r>
      <w:r>
        <w:t xml:space="preserve">by the EU CHMP, the </w:t>
      </w:r>
      <w:r w:rsidR="007C535F">
        <w:t xml:space="preserve">FUTURE 3 and FUTURE 3 open </w:t>
      </w:r>
      <w:r w:rsidRPr="00EF7910">
        <w:t>label extension stud</w:t>
      </w:r>
      <w:r>
        <w:t xml:space="preserve">ies were conducted in agreement </w:t>
      </w:r>
      <w:r w:rsidRPr="00EF7910">
        <w:t>wi</w:t>
      </w:r>
      <w:r w:rsidR="007C535F">
        <w:t xml:space="preserve">th the CHMP as post </w:t>
      </w:r>
      <w:r w:rsidRPr="00EF7910">
        <w:t>approval commitments to furt</w:t>
      </w:r>
      <w:r>
        <w:t xml:space="preserve">her explore the relationship </w:t>
      </w:r>
      <w:r w:rsidRPr="00EF7910">
        <w:t>between dose, dose frequency, and pharmacokinet</w:t>
      </w:r>
      <w:r>
        <w:t xml:space="preserve">ics in paediatric PAH patients. </w:t>
      </w:r>
      <w:r w:rsidR="007C535F">
        <w:t>Additional study</w:t>
      </w:r>
      <w:r w:rsidRPr="00EF7910">
        <w:t xml:space="preserve"> objectives were to generate clinical data in children &lt; 2 years of age.</w:t>
      </w:r>
      <w:r>
        <w:t xml:space="preserve"> </w:t>
      </w:r>
      <w:r w:rsidRPr="00EF7910">
        <w:t>These exploratory clinical data are to be regarded as sup</w:t>
      </w:r>
      <w:r>
        <w:t>portive to the hemodynamic data</w:t>
      </w:r>
      <w:r w:rsidRPr="00EF7910">
        <w:t>, which create a basis for the e</w:t>
      </w:r>
      <w:r>
        <w:t xml:space="preserve">xtrapolation of the efficacy in </w:t>
      </w:r>
      <w:r w:rsidRPr="00EF7910">
        <w:t>adults to the paediatric population.</w:t>
      </w:r>
    </w:p>
    <w:p w14:paraId="17F1DC53" w14:textId="7F0E8F74" w:rsidR="00EF7910" w:rsidRPr="00EF7910" w:rsidRDefault="00EF7910" w:rsidP="00EF7910">
      <w:r w:rsidRPr="00EF7910">
        <w:lastRenderedPageBreak/>
        <w:t xml:space="preserve">The FUTURE 3 </w:t>
      </w:r>
      <w:r w:rsidR="008D6064">
        <w:t>Stud</w:t>
      </w:r>
      <w:r w:rsidRPr="00EF7910">
        <w:t>y assessed the long-term safety, to</w:t>
      </w:r>
      <w:r>
        <w:t xml:space="preserve">lerability, and efficacy of the </w:t>
      </w:r>
      <w:r w:rsidRPr="00EF7910">
        <w:t xml:space="preserve">dispersible tablet formulation at doses of 2 mg/kg </w:t>
      </w:r>
      <w:r>
        <w:t xml:space="preserve">two versus three times a day in </w:t>
      </w:r>
      <w:r w:rsidRPr="00EF7910">
        <w:t xml:space="preserve">children with PAH. The uncontrolled FUTURE </w:t>
      </w:r>
      <w:r>
        <w:t xml:space="preserve">3 </w:t>
      </w:r>
      <w:r w:rsidR="008D6064">
        <w:t>Stud</w:t>
      </w:r>
      <w:r>
        <w:t xml:space="preserve">y was conducted in 64 PAH </w:t>
      </w:r>
      <w:r w:rsidRPr="00EF7910">
        <w:t xml:space="preserve">patients aged from 3 months to 12 years. The median </w:t>
      </w:r>
      <w:r>
        <w:t xml:space="preserve">exposure to study treatment was </w:t>
      </w:r>
      <w:r w:rsidR="007C535F">
        <w:t>24.1 (range;</w:t>
      </w:r>
      <w:r w:rsidRPr="00EF7910">
        <w:t xml:space="preserve"> 6.0 to 26.4) weeks in the </w:t>
      </w:r>
      <w:r w:rsidR="007C535F">
        <w:t>BD</w:t>
      </w:r>
      <w:r w:rsidRPr="00EF7910">
        <w:t xml:space="preserve"> grou</w:t>
      </w:r>
      <w:r>
        <w:t xml:space="preserve">p and 24.3 (range: 0.4 to 28.7) </w:t>
      </w:r>
      <w:r w:rsidRPr="00EF7910">
        <w:t xml:space="preserve">weeks in the </w:t>
      </w:r>
      <w:r w:rsidR="007C535F">
        <w:t>TDS</w:t>
      </w:r>
      <w:r w:rsidRPr="00EF7910">
        <w:t xml:space="preserve"> group. In the FUTURE 3</w:t>
      </w:r>
      <w:r w:rsidR="007C535F">
        <w:t xml:space="preserve"> S</w:t>
      </w:r>
      <w:r>
        <w:t xml:space="preserve">tudy, exposure to bosentan in </w:t>
      </w:r>
      <w:r w:rsidRPr="00EF7910">
        <w:t>patients treated with 2 mg/kg twice daily was comparable</w:t>
      </w:r>
      <w:r>
        <w:t xml:space="preserve"> to t</w:t>
      </w:r>
      <w:r w:rsidR="007C535F">
        <w:t>hat in the FUTURE 1 S</w:t>
      </w:r>
      <w:r>
        <w:t xml:space="preserve">tudy. </w:t>
      </w:r>
      <w:r w:rsidRPr="00EF7910">
        <w:t xml:space="preserve">Dosing bosentan 2 mg/kg </w:t>
      </w:r>
      <w:r w:rsidR="007C535F">
        <w:t>TDS</w:t>
      </w:r>
      <w:r w:rsidRPr="00EF7910">
        <w:t xml:space="preserve"> did not in</w:t>
      </w:r>
      <w:r>
        <w:t xml:space="preserve">crease exposure, supporting the </w:t>
      </w:r>
      <w:r w:rsidRPr="00EF7910">
        <w:t>hypothesis that exposure to bosentan reaches a platea</w:t>
      </w:r>
      <w:r>
        <w:t xml:space="preserve">u. The efficacy analysis on the </w:t>
      </w:r>
      <w:r w:rsidRPr="00EF7910">
        <w:t>global population (64 patients) showed that the majority of</w:t>
      </w:r>
      <w:r>
        <w:t xml:space="preserve"> patients had remained at least </w:t>
      </w:r>
      <w:r w:rsidRPr="00EF7910">
        <w:t>stable (</w:t>
      </w:r>
      <w:r w:rsidR="007C535F">
        <w:t>that is</w:t>
      </w:r>
      <w:r w:rsidRPr="00EF7910">
        <w:t>, without deterioration) based on WHO functio</w:t>
      </w:r>
      <w:r>
        <w:t xml:space="preserve">nal class assessment (97% </w:t>
      </w:r>
      <w:r w:rsidR="007C535F">
        <w:t>BD</w:t>
      </w:r>
      <w:r w:rsidRPr="00EF7910">
        <w:t xml:space="preserve">, 100% </w:t>
      </w:r>
      <w:r w:rsidR="007C535F">
        <w:t>TDS</w:t>
      </w:r>
      <w:r w:rsidRPr="00EF7910">
        <w:t>) and physicians’ global</w:t>
      </w:r>
      <w:r>
        <w:t xml:space="preserve"> clinical impression (94% </w:t>
      </w:r>
      <w:r w:rsidR="007C535F">
        <w:t>BD</w:t>
      </w:r>
      <w:r w:rsidRPr="00EF7910">
        <w:t xml:space="preserve">, 93% </w:t>
      </w:r>
      <w:r w:rsidR="007C535F">
        <w:t>TDS</w:t>
      </w:r>
      <w:r w:rsidRPr="00EF7910">
        <w:t>) during the treatment peri</w:t>
      </w:r>
      <w:r w:rsidR="007C535F">
        <w:t xml:space="preserve">od. The Kaplan-Meier event </w:t>
      </w:r>
      <w:r>
        <w:t xml:space="preserve">free </w:t>
      </w:r>
      <w:r w:rsidRPr="00EF7910">
        <w:t>estimate for worsening of PAH (death, lung transplantat</w:t>
      </w:r>
      <w:r>
        <w:t xml:space="preserve">ion, or hospitalization for PAH </w:t>
      </w:r>
      <w:r w:rsidRPr="00EF7910">
        <w:t xml:space="preserve">worsening) at 24 weeks was 96.9% and 96.7% in the </w:t>
      </w:r>
      <w:r w:rsidR="007C535F">
        <w:t>BD</w:t>
      </w:r>
      <w:r>
        <w:t xml:space="preserve"> and </w:t>
      </w:r>
      <w:r w:rsidR="007C535F">
        <w:t>TDS</w:t>
      </w:r>
      <w:r>
        <w:t xml:space="preserve"> group, respectively. </w:t>
      </w:r>
      <w:r w:rsidRPr="00EF7910">
        <w:t>Collectively, these four studie</w:t>
      </w:r>
      <w:r>
        <w:t>s</w:t>
      </w:r>
      <w:r w:rsidRPr="00EF7910">
        <w:t xml:space="preserve"> (FUTURE 1, FUTURE 2, FUTURE 3 and its extension)</w:t>
      </w:r>
      <w:r>
        <w:t xml:space="preserve"> </w:t>
      </w:r>
      <w:r w:rsidRPr="00EF7910">
        <w:t xml:space="preserve">were accepted by the EMA in fulfilment of the </w:t>
      </w:r>
      <w:r w:rsidR="007C535F" w:rsidRPr="00EF7910">
        <w:t>Paediatric</w:t>
      </w:r>
      <w:r>
        <w:t xml:space="preserve"> Investigational Plan (PIP) and </w:t>
      </w:r>
      <w:r w:rsidRPr="00EF7910">
        <w:t>supported the inclusion of paediatric relevant wording in the SmPC.</w:t>
      </w:r>
    </w:p>
    <w:p w14:paraId="349E2BA7" w14:textId="50D08A9B" w:rsidR="00EF7910" w:rsidRPr="00EF7910" w:rsidRDefault="00EF7910" w:rsidP="00EF7910">
      <w:pPr>
        <w:pStyle w:val="Heading5"/>
        <w:rPr>
          <w:rFonts w:eastAsia="TimesNewRoman,Bold"/>
        </w:rPr>
      </w:pPr>
      <w:r w:rsidRPr="00EF7910">
        <w:rPr>
          <w:rFonts w:eastAsia="TimesNewRoman,Bold"/>
        </w:rPr>
        <w:t xml:space="preserve">ACM </w:t>
      </w:r>
      <w:r w:rsidR="007C535F" w:rsidRPr="00EF7910">
        <w:rPr>
          <w:rFonts w:eastAsia="TimesNewRoman,Bold"/>
        </w:rPr>
        <w:t xml:space="preserve">advice sought </w:t>
      </w:r>
      <w:r w:rsidR="007C535F">
        <w:rPr>
          <w:rFonts w:eastAsia="TimesNewRoman,Bold"/>
        </w:rPr>
        <w:t xml:space="preserve">by </w:t>
      </w:r>
      <w:r w:rsidR="00DD4C81">
        <w:rPr>
          <w:rFonts w:eastAsia="TimesNewRoman,Bold"/>
        </w:rPr>
        <w:t>d</w:t>
      </w:r>
      <w:r w:rsidR="007C535F">
        <w:rPr>
          <w:rFonts w:eastAsia="TimesNewRoman,Bold"/>
        </w:rPr>
        <w:t>elegate</w:t>
      </w:r>
    </w:p>
    <w:p w14:paraId="32FD74CB" w14:textId="77777777" w:rsidR="00EF7910" w:rsidRPr="00EF7910" w:rsidRDefault="00EF7910" w:rsidP="00EF7910">
      <w:r w:rsidRPr="00EF7910">
        <w:t>The Delegate is seeking advice from the ACPM to fou</w:t>
      </w:r>
      <w:r>
        <w:t xml:space="preserve">r specific issues, on which the </w:t>
      </w:r>
      <w:r w:rsidRPr="00EF7910">
        <w:t>applicant would like to comment as follows:</w:t>
      </w:r>
    </w:p>
    <w:p w14:paraId="40766264" w14:textId="77777777" w:rsidR="007328FF" w:rsidRPr="009D3E10" w:rsidRDefault="00EF7910" w:rsidP="009D3E10">
      <w:pPr>
        <w:pStyle w:val="Numberbullet0"/>
        <w:numPr>
          <w:ilvl w:val="0"/>
          <w:numId w:val="38"/>
        </w:numPr>
        <w:rPr>
          <w:b/>
          <w:i/>
        </w:rPr>
      </w:pPr>
      <w:r w:rsidRPr="009D3E10">
        <w:rPr>
          <w:b/>
          <w:i/>
        </w:rPr>
        <w:t>Are there sufficient children under the age of 2 years included in the study set in order to draw conclusions about use in this age group?</w:t>
      </w:r>
    </w:p>
    <w:p w14:paraId="18A97D95" w14:textId="77777777" w:rsidR="009D3E10" w:rsidRPr="009D3E10" w:rsidRDefault="009D3E10" w:rsidP="009D3E10">
      <w:r w:rsidRPr="009D3E10">
        <w:t xml:space="preserve">One of </w:t>
      </w:r>
      <w:r w:rsidR="007C535F">
        <w:t>the objectives of the FUTURE 3 S</w:t>
      </w:r>
      <w:r w:rsidRPr="009D3E10">
        <w:t>tudy and its extension was to generate data in</w:t>
      </w:r>
      <w:r>
        <w:t xml:space="preserve"> </w:t>
      </w:r>
      <w:r w:rsidRPr="009D3E10">
        <w:t>patients &lt; 2 years of age. The protocol required that on</w:t>
      </w:r>
      <w:r>
        <w:t xml:space="preserve">e third of the study population </w:t>
      </w:r>
      <w:r w:rsidRPr="009D3E10">
        <w:t>c</w:t>
      </w:r>
      <w:r w:rsidR="007C535F">
        <w:t xml:space="preserve">onsisted of this population (21 out of </w:t>
      </w:r>
      <w:r w:rsidRPr="009D3E10">
        <w:t>64 patients). This pro</w:t>
      </w:r>
      <w:r>
        <w:t xml:space="preserve">portion, higher than in the PAH </w:t>
      </w:r>
      <w:r w:rsidRPr="009D3E10">
        <w:t>population in either other clinical studies or patient regis</w:t>
      </w:r>
      <w:r>
        <w:t xml:space="preserve">tries, was required in order to </w:t>
      </w:r>
      <w:r w:rsidRPr="009D3E10">
        <w:t>generate meaningful data in this age group.</w:t>
      </w:r>
    </w:p>
    <w:p w14:paraId="39437C25" w14:textId="77777777" w:rsidR="009D3E10" w:rsidRPr="009D3E10" w:rsidRDefault="009D3E10" w:rsidP="009D3E10">
      <w:r w:rsidRPr="009D3E10">
        <w:t xml:space="preserve">Study results showed that the PK parameters of bosentan </w:t>
      </w:r>
      <w:r>
        <w:t xml:space="preserve">and its metabolites in patients </w:t>
      </w:r>
      <w:r w:rsidR="007C535F">
        <w:t>&lt; </w:t>
      </w:r>
      <w:r w:rsidRPr="009D3E10">
        <w:t xml:space="preserve">2 years were consistent with those in </w:t>
      </w:r>
      <w:proofErr w:type="gramStart"/>
      <w:r w:rsidRPr="009D3E10">
        <w:t>patients</w:t>
      </w:r>
      <w:proofErr w:type="gramEnd"/>
      <w:r w:rsidRPr="009D3E10">
        <w:t xml:space="preserve"> </w:t>
      </w:r>
      <w:r w:rsidR="00FD708D">
        <w:t>≥</w:t>
      </w:r>
      <w:r w:rsidR="006231FF">
        <w:t xml:space="preserve"> </w:t>
      </w:r>
      <w:r w:rsidRPr="009D3E10">
        <w:t>2 years. The m</w:t>
      </w:r>
      <w:r>
        <w:t xml:space="preserve">ajority of patients in age </w:t>
      </w:r>
      <w:r w:rsidRPr="009D3E10">
        <w:t xml:space="preserve">groups &lt; 2 years and </w:t>
      </w:r>
      <w:r w:rsidR="00FD708D">
        <w:t>≥</w:t>
      </w:r>
      <w:r w:rsidR="006231FF">
        <w:t xml:space="preserve"> </w:t>
      </w:r>
      <w:r w:rsidRPr="009D3E10">
        <w:t>2 years consistently showe</w:t>
      </w:r>
      <w:r>
        <w:t xml:space="preserve">d a stable or improved clinical </w:t>
      </w:r>
      <w:r w:rsidRPr="009D3E10">
        <w:t>condition (assessed by WHO FC, GCIS, NT-pro-BNP, and indirectly by the number of</w:t>
      </w:r>
      <w:r>
        <w:t xml:space="preserve"> </w:t>
      </w:r>
      <w:r w:rsidR="007C535F">
        <w:t xml:space="preserve">PAH </w:t>
      </w:r>
      <w:r w:rsidRPr="009D3E10">
        <w:t>worsening events) with bosentan treatment. No new safety risks were identified in</w:t>
      </w:r>
      <w:r>
        <w:t xml:space="preserve"> </w:t>
      </w:r>
      <w:r w:rsidR="007C535F">
        <w:t>patients aged 3 </w:t>
      </w:r>
      <w:r w:rsidRPr="009D3E10">
        <w:t>months to &lt; 2 years of age.</w:t>
      </w:r>
    </w:p>
    <w:p w14:paraId="6CFE6810" w14:textId="77777777" w:rsidR="009D3E10" w:rsidRPr="009D3E10" w:rsidRDefault="009D3E10" w:rsidP="009D3E10">
      <w:r w:rsidRPr="009D3E10">
        <w:t>Based on these consistent results across age ranges, the</w:t>
      </w:r>
      <w:r>
        <w:t xml:space="preserve"> dosage instruction information </w:t>
      </w:r>
      <w:r w:rsidRPr="009D3E10">
        <w:t xml:space="preserve">was amended to include patients aged between 1 and 3 </w:t>
      </w:r>
      <w:r>
        <w:t xml:space="preserve">years. Patients &lt; 1 year of age </w:t>
      </w:r>
      <w:r w:rsidRPr="009D3E10">
        <w:t>were not included given their low number (N</w:t>
      </w:r>
      <w:r w:rsidR="006231FF">
        <w:t xml:space="preserve"> = </w:t>
      </w:r>
      <w:r w:rsidRPr="009D3E10">
        <w:t>6).</w:t>
      </w:r>
    </w:p>
    <w:p w14:paraId="76EB18BB" w14:textId="77777777" w:rsidR="009D3E10" w:rsidRPr="009D3E10" w:rsidRDefault="007C535F" w:rsidP="009D3E10">
      <w:r>
        <w:t xml:space="preserve">In addition to the 21 out of </w:t>
      </w:r>
      <w:r w:rsidR="009D3E10" w:rsidRPr="009D3E10">
        <w:t>100 children treated in the clinical</w:t>
      </w:r>
      <w:r w:rsidR="009D3E10">
        <w:t xml:space="preserve"> studies described above, there </w:t>
      </w:r>
      <w:r w:rsidR="009D3E10" w:rsidRPr="009D3E10">
        <w:t>were 56 children &lt; 2 years of age at the start of obser</w:t>
      </w:r>
      <w:r w:rsidR="009D3E10">
        <w:t xml:space="preserve">vation in the TOPP, REVEAL, and </w:t>
      </w:r>
      <w:r w:rsidR="009D3E10" w:rsidRPr="009D3E10">
        <w:t>NL registries. A total of 23 of the 56 children were trea</w:t>
      </w:r>
      <w:r w:rsidR="009D3E10">
        <w:t xml:space="preserve">ted with </w:t>
      </w:r>
      <w:r w:rsidR="00335934">
        <w:t>Tracleer</w:t>
      </w:r>
      <w:r w:rsidR="009D3E10">
        <w:t xml:space="preserve"> (</w:t>
      </w:r>
      <w:r w:rsidR="00FD708D">
        <w:t>Study</w:t>
      </w:r>
      <w:r>
        <w:t> AC</w:t>
      </w:r>
      <w:r>
        <w:noBreakHyphen/>
      </w:r>
      <w:r w:rsidR="009D3E10" w:rsidRPr="009D3E10">
        <w:t>052-516). Thus, the sponsor has provided inform</w:t>
      </w:r>
      <w:r w:rsidR="009D3E10">
        <w:t xml:space="preserve">ation on a total of 44 children </w:t>
      </w:r>
      <w:r w:rsidR="009D3E10" w:rsidRPr="009D3E10">
        <w:t xml:space="preserve">&lt; 2 years of age in this application that were treated with </w:t>
      </w:r>
      <w:r w:rsidR="009D3E10">
        <w:t xml:space="preserve">bosentan. This is notable in an </w:t>
      </w:r>
      <w:r w:rsidR="009D3E10" w:rsidRPr="009D3E10">
        <w:t>orphan indication, such as PAH, where paediatric patients are rare.</w:t>
      </w:r>
    </w:p>
    <w:p w14:paraId="3420C5EE" w14:textId="77777777" w:rsidR="009D3E10" w:rsidRPr="009D3E10" w:rsidRDefault="009D3E10" w:rsidP="009D3E10">
      <w:pPr>
        <w:pStyle w:val="Numberbullet0"/>
        <w:rPr>
          <w:b/>
          <w:i/>
        </w:rPr>
      </w:pPr>
      <w:r w:rsidRPr="009D3E10">
        <w:rPr>
          <w:b/>
          <w:i/>
        </w:rPr>
        <w:t>Can efficacy of bosentan in adults be extrapolated to its use in children?</w:t>
      </w:r>
    </w:p>
    <w:p w14:paraId="68560902" w14:textId="2D738003" w:rsidR="009D3E10" w:rsidRPr="009D3E10" w:rsidRDefault="009D3E10" w:rsidP="009D3E10">
      <w:r w:rsidRPr="009D3E10">
        <w:t>Given the similarities in disease characteristics and treatment response, as well as the</w:t>
      </w:r>
      <w:r>
        <w:t xml:space="preserve"> </w:t>
      </w:r>
      <w:r w:rsidRPr="009D3E10">
        <w:t>observed overlapping plasma exposure to bosentan following administration of the film</w:t>
      </w:r>
      <w:r w:rsidR="007C535F">
        <w:t xml:space="preserve"> </w:t>
      </w:r>
      <w:r w:rsidRPr="009D3E10">
        <w:t>coated</w:t>
      </w:r>
      <w:r>
        <w:t xml:space="preserve"> </w:t>
      </w:r>
      <w:r w:rsidRPr="009D3E10">
        <w:t>and the di</w:t>
      </w:r>
      <w:r w:rsidR="007C535F">
        <w:t>spersible tablet formulations, the sponsor</w:t>
      </w:r>
      <w:r w:rsidRPr="009D3E10">
        <w:t xml:space="preserve"> is of the opinion that there is</w:t>
      </w:r>
      <w:r>
        <w:t xml:space="preserve"> </w:t>
      </w:r>
      <w:r w:rsidRPr="009D3E10">
        <w:t>adequate data to support the extrapolation of effectiv</w:t>
      </w:r>
      <w:r>
        <w:t xml:space="preserve">eness observed in adults to the </w:t>
      </w:r>
      <w:r w:rsidRPr="009D3E10">
        <w:t>paediatric population. Clinical and haemodynamic characteristi</w:t>
      </w:r>
      <w:r>
        <w:t xml:space="preserve">cs of PAH, and the </w:t>
      </w:r>
      <w:r w:rsidR="007C535F">
        <w:t xml:space="preserve">therapeutic response to PAH </w:t>
      </w:r>
      <w:r w:rsidRPr="009D3E10">
        <w:t xml:space="preserve">specific treatments, are </w:t>
      </w:r>
      <w:r>
        <w:t xml:space="preserve">similar in adults and children. </w:t>
      </w:r>
      <w:r w:rsidRPr="009D3E10">
        <w:t xml:space="preserve">Studies conducted to support effectiveness of bosentan </w:t>
      </w:r>
      <w:r>
        <w:t xml:space="preserve">using haemodynamic variables in </w:t>
      </w:r>
      <w:r w:rsidRPr="009D3E10">
        <w:lastRenderedPageBreak/>
        <w:t>adult (</w:t>
      </w:r>
      <w:r w:rsidR="00BE793C">
        <w:t xml:space="preserve">Studies </w:t>
      </w:r>
      <w:r w:rsidRPr="009D3E10">
        <w:t>AC-052-351, AC-052-364, AC-052-355 and AC-052-405) and pae</w:t>
      </w:r>
      <w:r>
        <w:t xml:space="preserve">diatric </w:t>
      </w:r>
      <w:r w:rsidR="007C535F">
        <w:t>(AC</w:t>
      </w:r>
      <w:r w:rsidR="007C535F">
        <w:noBreakHyphen/>
        <w:t>052</w:t>
      </w:r>
      <w:r w:rsidR="007C535F">
        <w:noBreakHyphen/>
      </w:r>
      <w:r w:rsidRPr="009D3E10">
        <w:t>356) PAH patients show similar improv</w:t>
      </w:r>
      <w:r>
        <w:t xml:space="preserve">ement in both populations after </w:t>
      </w:r>
      <w:r w:rsidRPr="009D3E10">
        <w:t>administration of the film-coated tablet formulation.</w:t>
      </w:r>
      <w:r>
        <w:t xml:space="preserve"> Both the AC-052-356 paediatric </w:t>
      </w:r>
      <w:r w:rsidRPr="009D3E10">
        <w:t>study and the four adult PAH studies included a spect</w:t>
      </w:r>
      <w:r>
        <w:t xml:space="preserve">rum of disease severity (WHO FC </w:t>
      </w:r>
      <w:r w:rsidRPr="009D3E10">
        <w:t>II</w:t>
      </w:r>
      <w:r w:rsidR="00BE793C">
        <w:t xml:space="preserve"> to </w:t>
      </w:r>
      <w:r w:rsidRPr="009D3E10">
        <w:t xml:space="preserve">IV), and patients with and without background </w:t>
      </w:r>
      <w:r w:rsidR="00D404B9">
        <w:t>treatment (</w:t>
      </w:r>
      <w:r w:rsidR="00FE6C13" w:rsidRPr="00FE6C13">
        <w:t>Table 27</w:t>
      </w:r>
      <w:r w:rsidR="00D404B9">
        <w:t>)</w:t>
      </w:r>
      <w:r w:rsidRPr="00FE6C13">
        <w:t>.</w:t>
      </w:r>
    </w:p>
    <w:p w14:paraId="47A491DB" w14:textId="77777777" w:rsidR="009D3E10" w:rsidRDefault="00FE6C13" w:rsidP="009D3E10">
      <w:pPr>
        <w:pStyle w:val="TableTitle"/>
      </w:pPr>
      <w:r w:rsidRPr="00FE6C13">
        <w:t>Table 27:</w:t>
      </w:r>
      <w:r w:rsidR="009D3E10" w:rsidRPr="00FE6C13">
        <w:t xml:space="preserve"> Overview</w:t>
      </w:r>
      <w:r w:rsidR="009D3E10">
        <w:t xml:space="preserve"> of paediatric and adult PAH studies considered for effectiveness bridging</w:t>
      </w:r>
    </w:p>
    <w:p w14:paraId="0F7C4944" w14:textId="77777777" w:rsidR="009D3E10" w:rsidRDefault="009D3E10" w:rsidP="009D3E10">
      <w:r>
        <w:rPr>
          <w:noProof/>
          <w:lang w:eastAsia="en-AU"/>
        </w:rPr>
        <w:drawing>
          <wp:inline distT="0" distB="0" distL="0" distR="0" wp14:anchorId="634C29D0" wp14:editId="7BED085F">
            <wp:extent cx="5400040" cy="3343294"/>
            <wp:effectExtent l="0" t="0" r="0" b="9525"/>
            <wp:docPr id="4" name="Picture 4" descr="Table 27: Overview of paediatric and adult PAH studies considered for effectiveness brid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00040" cy="3343294"/>
                    </a:xfrm>
                    <a:prstGeom prst="rect">
                      <a:avLst/>
                    </a:prstGeom>
                  </pic:spPr>
                </pic:pic>
              </a:graphicData>
            </a:graphic>
          </wp:inline>
        </w:drawing>
      </w:r>
    </w:p>
    <w:p w14:paraId="2E136CDA" w14:textId="5C12686D" w:rsidR="009D3E10" w:rsidRPr="009D3E10" w:rsidRDefault="009D3E10" w:rsidP="009D3E10">
      <w:r w:rsidRPr="009D3E10">
        <w:t>Study AC-052-356 in 19 paediatric PAH patients</w:t>
      </w:r>
      <w:r>
        <w:t xml:space="preserve"> </w:t>
      </w:r>
      <w:r w:rsidRPr="009D3E10">
        <w:t>(WHO FC II and III) showed significant improvement</w:t>
      </w:r>
      <w:r>
        <w:t xml:space="preserve"> in PVR after administration of </w:t>
      </w:r>
      <w:r w:rsidR="007C535F">
        <w:t xml:space="preserve">bosentan film </w:t>
      </w:r>
      <w:r w:rsidRPr="009D3E10">
        <w:t xml:space="preserve">coated tablets at approximately 2 mg/kg </w:t>
      </w:r>
      <w:r w:rsidR="006231FF">
        <w:t>BD</w:t>
      </w:r>
      <w:r>
        <w:t xml:space="preserve"> (mean change from baseline: </w:t>
      </w:r>
      <w:r>
        <w:noBreakHyphen/>
      </w:r>
      <w:r w:rsidRPr="009D3E10">
        <w:t xml:space="preserve">389 (95% confidence interval </w:t>
      </w:r>
      <w:r w:rsidR="00BE793C">
        <w:t>(</w:t>
      </w:r>
      <w:r w:rsidRPr="009D3E10">
        <w:t>CI</w:t>
      </w:r>
      <w:r w:rsidR="00BE793C">
        <w:t>)</w:t>
      </w:r>
      <w:r w:rsidRPr="009D3E10">
        <w:t xml:space="preserve">: </w:t>
      </w:r>
      <w:r>
        <w:noBreakHyphen/>
      </w:r>
      <w:r w:rsidRPr="009D3E10">
        <w:t xml:space="preserve">706, </w:t>
      </w:r>
      <w:r>
        <w:noBreakHyphen/>
      </w:r>
      <w:r w:rsidRPr="009D3E10">
        <w:t xml:space="preserve">72) </w:t>
      </w:r>
      <w:proofErr w:type="spellStart"/>
      <w:r w:rsidRPr="009D3E10">
        <w:t>dyn</w:t>
      </w:r>
      <w:proofErr w:type="spellEnd"/>
      <w:r w:rsidRPr="009D3E10">
        <w:t>*sec/cm</w:t>
      </w:r>
      <w:r w:rsidRPr="009D3E10">
        <w:rPr>
          <w:vertAlign w:val="superscript"/>
        </w:rPr>
        <w:t>5</w:t>
      </w:r>
      <w:r>
        <w:t xml:space="preserve">). This effect is comparable </w:t>
      </w:r>
      <w:r w:rsidRPr="009D3E10">
        <w:t>in magnitude to the improvement in PVR observed in the active arms of placebo</w:t>
      </w:r>
      <w:r>
        <w:t xml:space="preserve"> controlled </w:t>
      </w:r>
      <w:r w:rsidRPr="009D3E10">
        <w:t xml:space="preserve">adult PAH studies: mean change from baseline </w:t>
      </w:r>
      <w:r>
        <w:noBreakHyphen/>
      </w:r>
      <w:r w:rsidRPr="009D3E10">
        <w:t xml:space="preserve">223 (95% CI: </w:t>
      </w:r>
      <w:r>
        <w:noBreakHyphen/>
      </w:r>
      <w:r w:rsidRPr="009D3E10">
        <w:t xml:space="preserve">341, </w:t>
      </w:r>
      <w:r>
        <w:noBreakHyphen/>
        <w:t xml:space="preserve">106) </w:t>
      </w:r>
      <w:proofErr w:type="spellStart"/>
      <w:r w:rsidRPr="009D3E10">
        <w:t>dyn</w:t>
      </w:r>
      <w:proofErr w:type="spellEnd"/>
      <w:r w:rsidRPr="009D3E10">
        <w:t>*sec/cm</w:t>
      </w:r>
      <w:r w:rsidRPr="007C535F">
        <w:rPr>
          <w:vertAlign w:val="superscript"/>
        </w:rPr>
        <w:t>5</w:t>
      </w:r>
      <w:r w:rsidRPr="009D3E10">
        <w:t xml:space="preserve"> in </w:t>
      </w:r>
      <w:r w:rsidR="00FD708D">
        <w:t>Study</w:t>
      </w:r>
      <w:r w:rsidRPr="009D3E10">
        <w:t xml:space="preserve"> AC-052-351 (WHO functional </w:t>
      </w:r>
      <w:r w:rsidR="007C535F">
        <w:t>Class</w:t>
      </w:r>
      <w:r>
        <w:t xml:space="preserve"> III and IV treatment-naïve </w:t>
      </w:r>
      <w:r w:rsidRPr="009D3E10">
        <w:t xml:space="preserve">patients), </w:t>
      </w:r>
      <w:r>
        <w:noBreakHyphen/>
      </w:r>
      <w:r w:rsidRPr="009D3E10">
        <w:t xml:space="preserve">69 (95% CI: </w:t>
      </w:r>
      <w:r>
        <w:noBreakHyphen/>
      </w:r>
      <w:r w:rsidRPr="009D3E10">
        <w:t xml:space="preserve">175, 36) </w:t>
      </w:r>
      <w:proofErr w:type="spellStart"/>
      <w:r w:rsidRPr="009D3E10">
        <w:t>dyn</w:t>
      </w:r>
      <w:proofErr w:type="spellEnd"/>
      <w:r w:rsidRPr="009D3E10">
        <w:t>*sec/cm</w:t>
      </w:r>
      <w:r w:rsidRPr="007C535F">
        <w:rPr>
          <w:vertAlign w:val="superscript"/>
        </w:rPr>
        <w:t>5</w:t>
      </w:r>
      <w:r w:rsidRPr="009D3E10">
        <w:t xml:space="preserve"> in </w:t>
      </w:r>
      <w:r w:rsidR="00BE793C">
        <w:t>Study </w:t>
      </w:r>
      <w:r w:rsidRPr="009D3E10">
        <w:t>AC-0</w:t>
      </w:r>
      <w:r>
        <w:t xml:space="preserve">52-364 (WHO functional </w:t>
      </w:r>
      <w:r w:rsidR="007C535F">
        <w:t>Class</w:t>
      </w:r>
      <w:r>
        <w:t xml:space="preserve"> II </w:t>
      </w:r>
      <w:r w:rsidRPr="009D3E10">
        <w:t xml:space="preserve">patients), and </w:t>
      </w:r>
      <w:r w:rsidR="00881225">
        <w:noBreakHyphen/>
      </w:r>
      <w:r w:rsidRPr="009D3E10">
        <w:t xml:space="preserve">317 (95% CI: </w:t>
      </w:r>
      <w:r w:rsidR="00881225">
        <w:noBreakHyphen/>
      </w:r>
      <w:r w:rsidRPr="009D3E10">
        <w:t xml:space="preserve">598, </w:t>
      </w:r>
      <w:r w:rsidR="00881225">
        <w:noBreakHyphen/>
      </w:r>
      <w:r w:rsidRPr="009D3E10">
        <w:t xml:space="preserve">36) </w:t>
      </w:r>
      <w:proofErr w:type="spellStart"/>
      <w:r w:rsidRPr="009D3E10">
        <w:t>dyn</w:t>
      </w:r>
      <w:proofErr w:type="spellEnd"/>
      <w:r w:rsidRPr="009D3E10">
        <w:t>*sec/cm</w:t>
      </w:r>
      <w:r w:rsidRPr="008D6064">
        <w:rPr>
          <w:vertAlign w:val="superscript"/>
        </w:rPr>
        <w:t>5</w:t>
      </w:r>
      <w:r w:rsidRPr="009D3E10">
        <w:t xml:space="preserve"> </w:t>
      </w:r>
      <w:r>
        <w:t xml:space="preserve">in </w:t>
      </w:r>
      <w:r w:rsidR="00BE793C">
        <w:t xml:space="preserve">Study </w:t>
      </w:r>
      <w:r>
        <w:t xml:space="preserve">AC-052-405 (WHO functional </w:t>
      </w:r>
      <w:r w:rsidR="007C535F">
        <w:t>Class</w:t>
      </w:r>
      <w:r w:rsidRPr="009D3E10">
        <w:t xml:space="preserve"> III patients related to </w:t>
      </w:r>
      <w:proofErr w:type="spellStart"/>
      <w:r w:rsidRPr="009D3E10">
        <w:t>Eisenmenger</w:t>
      </w:r>
      <w:proofErr w:type="spellEnd"/>
      <w:r w:rsidRPr="009D3E10">
        <w:t xml:space="preserve"> physiology).</w:t>
      </w:r>
    </w:p>
    <w:p w14:paraId="3A43B50C" w14:textId="493D0B84" w:rsidR="009D3E10" w:rsidRPr="009D3E10" w:rsidRDefault="009D3E10" w:rsidP="009D3E10">
      <w:r w:rsidRPr="009D3E10">
        <w:t xml:space="preserve">Absence of a placebo arm in </w:t>
      </w:r>
      <w:r w:rsidR="00FD708D">
        <w:t>Study</w:t>
      </w:r>
      <w:r w:rsidRPr="009D3E10">
        <w:t xml:space="preserve"> AC-052-356 does not undermine the</w:t>
      </w:r>
      <w:r>
        <w:t xml:space="preserve"> interpretation of </w:t>
      </w:r>
      <w:r w:rsidRPr="009D3E10">
        <w:t xml:space="preserve">the treatment effect based on </w:t>
      </w:r>
      <w:r w:rsidRPr="00FE6C13">
        <w:t>the PVR change</w:t>
      </w:r>
      <w:r w:rsidRPr="009D3E10">
        <w:t xml:space="preserve"> from baselin</w:t>
      </w:r>
      <w:r>
        <w:t xml:space="preserve">e. This is due to the fact that </w:t>
      </w:r>
      <w:r w:rsidR="00D17D39">
        <w:t>right heart catheterisation</w:t>
      </w:r>
      <w:r w:rsidR="00D17D39" w:rsidRPr="009D3E10">
        <w:t xml:space="preserve"> </w:t>
      </w:r>
      <w:r w:rsidR="00D17D39">
        <w:t>(</w:t>
      </w:r>
      <w:r w:rsidRPr="009D3E10">
        <w:t>RHC</w:t>
      </w:r>
      <w:r w:rsidR="00D17D39">
        <w:t>)</w:t>
      </w:r>
      <w:r w:rsidRPr="009D3E10">
        <w:t xml:space="preserve"> enables a robust measurement of the haemodynami</w:t>
      </w:r>
      <w:r>
        <w:t xml:space="preserve">c status in PAH patients. It is </w:t>
      </w:r>
      <w:r w:rsidRPr="009D3E10">
        <w:t>known that in the placebo-controlled studies of PAH approved drug</w:t>
      </w:r>
      <w:r>
        <w:t xml:space="preserve">s, there was no </w:t>
      </w:r>
      <w:r w:rsidRPr="009D3E10">
        <w:t xml:space="preserve">clinically </w:t>
      </w:r>
      <w:r w:rsidRPr="00D404B9">
        <w:t>relevant PVR improvement</w:t>
      </w:r>
      <w:r w:rsidRPr="009D3E10">
        <w:t xml:space="preserve">, </w:t>
      </w:r>
      <w:r w:rsidR="007C535F">
        <w:t>that is</w:t>
      </w:r>
      <w:r w:rsidRPr="009D3E10">
        <w:t xml:space="preserve">, no placebo </w:t>
      </w:r>
      <w:r w:rsidR="00D404B9">
        <w:t>effect</w:t>
      </w:r>
      <w:proofErr w:type="gramStart"/>
      <w:r w:rsidR="00D404B9">
        <w:t>.</w:t>
      </w:r>
      <w:r w:rsidR="007C535F" w:rsidRPr="00BE793C">
        <w:rPr>
          <w:rStyle w:val="FootnoteReference"/>
        </w:rPr>
        <w:footnoteReference w:id="7"/>
      </w:r>
      <w:r w:rsidR="00D23699" w:rsidRPr="008D6064">
        <w:rPr>
          <w:vertAlign w:val="superscript"/>
        </w:rPr>
        <w:t>,</w:t>
      </w:r>
      <w:r w:rsidR="007C535F" w:rsidRPr="00BE793C">
        <w:rPr>
          <w:rStyle w:val="FootnoteReference"/>
        </w:rPr>
        <w:footnoteReference w:id="8"/>
      </w:r>
      <w:r w:rsidR="00D23699" w:rsidRPr="008D6064">
        <w:rPr>
          <w:vertAlign w:val="superscript"/>
        </w:rPr>
        <w:t>,</w:t>
      </w:r>
      <w:r w:rsidR="007C535F" w:rsidRPr="00BE793C">
        <w:rPr>
          <w:rStyle w:val="FootnoteReference"/>
        </w:rPr>
        <w:footnoteReference w:id="9"/>
      </w:r>
      <w:r w:rsidR="00D23699" w:rsidRPr="008D6064">
        <w:rPr>
          <w:vertAlign w:val="superscript"/>
        </w:rPr>
        <w:t>,</w:t>
      </w:r>
      <w:r w:rsidR="007C535F" w:rsidRPr="00BE793C">
        <w:rPr>
          <w:rStyle w:val="FootnoteReference"/>
        </w:rPr>
        <w:footnoteReference w:id="10"/>
      </w:r>
      <w:r w:rsidR="00D23699" w:rsidRPr="008D6064">
        <w:rPr>
          <w:vertAlign w:val="superscript"/>
        </w:rPr>
        <w:t>,</w:t>
      </w:r>
      <w:r w:rsidR="007C535F" w:rsidRPr="00BE793C">
        <w:rPr>
          <w:rStyle w:val="FootnoteReference"/>
        </w:rPr>
        <w:footnoteReference w:id="11"/>
      </w:r>
      <w:r w:rsidR="00D23699" w:rsidRPr="008D6064">
        <w:rPr>
          <w:vertAlign w:val="superscript"/>
        </w:rPr>
        <w:t>,</w:t>
      </w:r>
      <w:r w:rsidR="007C535F" w:rsidRPr="00BE793C">
        <w:rPr>
          <w:rStyle w:val="FootnoteReference"/>
        </w:rPr>
        <w:footnoteReference w:id="12"/>
      </w:r>
      <w:r w:rsidR="00D23699" w:rsidRPr="008D6064">
        <w:rPr>
          <w:vertAlign w:val="superscript"/>
        </w:rPr>
        <w:t>,</w:t>
      </w:r>
      <w:r w:rsidR="007C535F" w:rsidRPr="00BE793C">
        <w:rPr>
          <w:rStyle w:val="FootnoteReference"/>
        </w:rPr>
        <w:footnoteReference w:id="13"/>
      </w:r>
      <w:r w:rsidR="00D23699" w:rsidRPr="008D6064">
        <w:rPr>
          <w:vertAlign w:val="superscript"/>
        </w:rPr>
        <w:t>,</w:t>
      </w:r>
      <w:r w:rsidR="007C535F" w:rsidRPr="00BE793C">
        <w:rPr>
          <w:rStyle w:val="FootnoteReference"/>
        </w:rPr>
        <w:footnoteReference w:id="14"/>
      </w:r>
      <w:r w:rsidR="00D23699" w:rsidRPr="008D6064">
        <w:rPr>
          <w:vertAlign w:val="superscript"/>
        </w:rPr>
        <w:t>,</w:t>
      </w:r>
      <w:r w:rsidR="007C535F" w:rsidRPr="00BE793C">
        <w:rPr>
          <w:rStyle w:val="FootnoteReference"/>
        </w:rPr>
        <w:footnoteReference w:id="15"/>
      </w:r>
      <w:r w:rsidR="00D23699" w:rsidRPr="008D6064">
        <w:rPr>
          <w:vertAlign w:val="superscript"/>
        </w:rPr>
        <w:t>,</w:t>
      </w:r>
      <w:r w:rsidR="007C535F" w:rsidRPr="00BE793C">
        <w:rPr>
          <w:rStyle w:val="FootnoteReference"/>
        </w:rPr>
        <w:footnoteReference w:id="16"/>
      </w:r>
      <w:r w:rsidR="00D23699" w:rsidRPr="008D6064">
        <w:rPr>
          <w:vertAlign w:val="superscript"/>
        </w:rPr>
        <w:t>,</w:t>
      </w:r>
      <w:r w:rsidR="007C535F" w:rsidRPr="00BE793C">
        <w:rPr>
          <w:rStyle w:val="FootnoteReference"/>
        </w:rPr>
        <w:footnoteReference w:id="17"/>
      </w:r>
      <w:r w:rsidR="00D23699" w:rsidRPr="008D6064">
        <w:rPr>
          <w:vertAlign w:val="superscript"/>
        </w:rPr>
        <w:t>,</w:t>
      </w:r>
      <w:proofErr w:type="gramEnd"/>
      <w:r w:rsidR="007C535F" w:rsidRPr="00BE793C">
        <w:rPr>
          <w:rStyle w:val="FootnoteReference"/>
        </w:rPr>
        <w:footnoteReference w:id="18"/>
      </w:r>
    </w:p>
    <w:p w14:paraId="52855CA2" w14:textId="16BD09ED" w:rsidR="009D3E10" w:rsidRPr="009D3E10" w:rsidRDefault="009D3E10" w:rsidP="009D3E10">
      <w:r w:rsidRPr="009D3E10">
        <w:lastRenderedPageBreak/>
        <w:t xml:space="preserve">Study AC-052-356 showed effectiveness of bosentan </w:t>
      </w:r>
      <w:r>
        <w:t xml:space="preserve">on PVR, both as monotherapy and </w:t>
      </w:r>
      <w:r w:rsidRPr="009D3E10">
        <w:t>on top of epoprostenol. Ten out of 19 patients were on stab</w:t>
      </w:r>
      <w:r>
        <w:t xml:space="preserve">le epoprostenol at baseline and </w:t>
      </w:r>
      <w:r w:rsidRPr="009D3E10">
        <w:t>throughout the study. In the subgroup of patients on concomitant epoprostenol, the mean</w:t>
      </w:r>
      <w:r>
        <w:t xml:space="preserve"> </w:t>
      </w:r>
      <w:r w:rsidRPr="009D3E10">
        <w:t xml:space="preserve">change from baseline in PVR was </w:t>
      </w:r>
      <w:r w:rsidR="00881225">
        <w:noBreakHyphen/>
      </w:r>
      <w:r w:rsidRPr="009D3E10">
        <w:t xml:space="preserve">115 (95% CI: </w:t>
      </w:r>
      <w:r w:rsidR="00881225">
        <w:noBreakHyphen/>
      </w:r>
      <w:r w:rsidRPr="009D3E10">
        <w:t xml:space="preserve">414, 185) </w:t>
      </w:r>
      <w:proofErr w:type="spellStart"/>
      <w:r w:rsidRPr="009D3E10">
        <w:t>dyn</w:t>
      </w:r>
      <w:proofErr w:type="spellEnd"/>
      <w:r w:rsidRPr="009D3E10">
        <w:t>*sec/cm</w:t>
      </w:r>
      <w:r w:rsidRPr="00881225">
        <w:rPr>
          <w:vertAlign w:val="superscript"/>
        </w:rPr>
        <w:t>5</w:t>
      </w:r>
      <w:r>
        <w:t xml:space="preserve">, compared to </w:t>
      </w:r>
      <w:r w:rsidR="00881225">
        <w:noBreakHyphen/>
        <w:t>698 (95% CI:</w:t>
      </w:r>
      <w:r w:rsidR="00D23699">
        <w:t xml:space="preserve"> </w:t>
      </w:r>
      <w:r w:rsidR="00881225">
        <w:noBreakHyphen/>
      </w:r>
      <w:r w:rsidRPr="009D3E10">
        <w:t xml:space="preserve">1282, </w:t>
      </w:r>
      <w:r w:rsidR="00881225">
        <w:noBreakHyphen/>
      </w:r>
      <w:r w:rsidRPr="009D3E10">
        <w:t xml:space="preserve">114) </w:t>
      </w:r>
      <w:proofErr w:type="spellStart"/>
      <w:r w:rsidRPr="009D3E10">
        <w:t>dyn</w:t>
      </w:r>
      <w:proofErr w:type="spellEnd"/>
      <w:r w:rsidRPr="009D3E10">
        <w:t>*sec/cm5 in patients n</w:t>
      </w:r>
      <w:r>
        <w:t xml:space="preserve">ot on concomitant epoprostenol. </w:t>
      </w:r>
      <w:r w:rsidRPr="009D3E10">
        <w:t>Similarly, in treatment-naïve adult PAH patients, who we</w:t>
      </w:r>
      <w:r>
        <w:t xml:space="preserve">re scheduled to start treatment </w:t>
      </w:r>
      <w:r w:rsidRPr="009D3E10">
        <w:t>with epoprostenol and to whom bosentan or pla</w:t>
      </w:r>
      <w:r>
        <w:t xml:space="preserve">cebo was administered on top of </w:t>
      </w:r>
      <w:r w:rsidRPr="009D3E10">
        <w:t>epoprostenol two days after treatment initiation of t</w:t>
      </w:r>
      <w:r>
        <w:t xml:space="preserve">he latter, bosentan also had an </w:t>
      </w:r>
      <w:r w:rsidRPr="009D3E10">
        <w:t xml:space="preserve">additional effect on PVR. The mean </w:t>
      </w:r>
      <w:r>
        <w:t xml:space="preserve">change from baseline in PVR was </w:t>
      </w:r>
      <w:r w:rsidR="00881225">
        <w:noBreakHyphen/>
      </w:r>
      <w:r w:rsidRPr="009D3E10">
        <w:t xml:space="preserve">563 (95% CI: </w:t>
      </w:r>
      <w:r w:rsidR="00881225">
        <w:noBreakHyphen/>
      </w:r>
      <w:r w:rsidRPr="009D3E10">
        <w:t xml:space="preserve">800, </w:t>
      </w:r>
      <w:r w:rsidR="00881225">
        <w:noBreakHyphen/>
      </w:r>
      <w:r w:rsidRPr="009D3E10">
        <w:t xml:space="preserve">327) </w:t>
      </w:r>
      <w:proofErr w:type="spellStart"/>
      <w:r w:rsidRPr="009D3E10">
        <w:t>dyn</w:t>
      </w:r>
      <w:proofErr w:type="spellEnd"/>
      <w:r w:rsidRPr="009D3E10">
        <w:t>*sec/cm</w:t>
      </w:r>
      <w:r w:rsidRPr="00D23699">
        <w:rPr>
          <w:vertAlign w:val="superscript"/>
        </w:rPr>
        <w:t>5</w:t>
      </w:r>
      <w:r w:rsidRPr="009D3E10">
        <w:t xml:space="preserve"> in </w:t>
      </w:r>
      <w:proofErr w:type="spellStart"/>
      <w:r w:rsidRPr="009D3E10">
        <w:t>bosent</w:t>
      </w:r>
      <w:r>
        <w:t>an</w:t>
      </w:r>
      <w:proofErr w:type="spellEnd"/>
      <w:r>
        <w:t xml:space="preserve">-treated patients compared to </w:t>
      </w:r>
      <w:r w:rsidR="00881225">
        <w:noBreakHyphen/>
      </w:r>
      <w:r w:rsidRPr="009D3E10">
        <w:t>376 (95%</w:t>
      </w:r>
      <w:proofErr w:type="gramStart"/>
      <w:r w:rsidR="008B1C91">
        <w:t> </w:t>
      </w:r>
      <w:r w:rsidRPr="009D3E10">
        <w:t xml:space="preserve"> CI</w:t>
      </w:r>
      <w:proofErr w:type="gramEnd"/>
      <w:r w:rsidRPr="009D3E10">
        <w:t xml:space="preserve">: </w:t>
      </w:r>
      <w:r w:rsidR="00881225">
        <w:noBreakHyphen/>
      </w:r>
      <w:r w:rsidRPr="009D3E10">
        <w:t xml:space="preserve">663, </w:t>
      </w:r>
      <w:r w:rsidR="00881225">
        <w:noBreakHyphen/>
      </w:r>
      <w:r w:rsidRPr="009D3E10">
        <w:t xml:space="preserve">88) </w:t>
      </w:r>
      <w:proofErr w:type="spellStart"/>
      <w:r w:rsidRPr="009D3E10">
        <w:t>dyn</w:t>
      </w:r>
      <w:proofErr w:type="spellEnd"/>
      <w:r w:rsidRPr="009D3E10">
        <w:t>*sec/cm</w:t>
      </w:r>
      <w:r w:rsidRPr="00D23699">
        <w:rPr>
          <w:vertAlign w:val="superscript"/>
        </w:rPr>
        <w:t>5</w:t>
      </w:r>
      <w:r w:rsidRPr="009D3E10">
        <w:t xml:space="preserve"> in placebo patients (</w:t>
      </w:r>
      <w:r w:rsidR="00FD708D">
        <w:t>Study</w:t>
      </w:r>
      <w:r w:rsidRPr="009D3E10">
        <w:t xml:space="preserve"> AC-052-355).</w:t>
      </w:r>
    </w:p>
    <w:p w14:paraId="613F936F" w14:textId="17A75E83" w:rsidR="009D3E10" w:rsidRPr="009D3E10" w:rsidRDefault="009D3E10" w:rsidP="009D3E10">
      <w:r w:rsidRPr="009D3E10">
        <w:t>Several publi</w:t>
      </w:r>
      <w:r w:rsidR="00E572FC">
        <w:t>shed open</w:t>
      </w:r>
      <w:r w:rsidR="008B1C91">
        <w:t xml:space="preserve"> </w:t>
      </w:r>
      <w:r w:rsidR="00E572FC">
        <w:t>label studies</w:t>
      </w:r>
      <w:r w:rsidR="008B1C91">
        <w:t xml:space="preserve"> </w:t>
      </w:r>
      <w:r w:rsidRPr="009D3E10">
        <w:t>report PVR changes from baseline</w:t>
      </w:r>
      <w:r>
        <w:t xml:space="preserve"> of similar magnitude in </w:t>
      </w:r>
      <w:r w:rsidRPr="009D3E10">
        <w:t xml:space="preserve">paediatric PAH patients treated with the </w:t>
      </w:r>
      <w:r w:rsidR="00335934">
        <w:t>Tracleer</w:t>
      </w:r>
      <w:r w:rsidR="00E572FC">
        <w:t xml:space="preserve"> film </w:t>
      </w:r>
      <w:r w:rsidRPr="009D3E10">
        <w:t>c</w:t>
      </w:r>
      <w:r>
        <w:t xml:space="preserve">oated tablet formulation at the </w:t>
      </w:r>
      <w:r w:rsidRPr="009D3E10">
        <w:t xml:space="preserve">same dose as in </w:t>
      </w:r>
      <w:r w:rsidR="00FD708D">
        <w:t>Study</w:t>
      </w:r>
      <w:r w:rsidRPr="009D3E10">
        <w:t xml:space="preserve"> AC-052-356.</w:t>
      </w:r>
      <w:r w:rsidR="008B1C91" w:rsidRPr="008B1C91">
        <w:rPr>
          <w:rStyle w:val="FootnoteReference"/>
        </w:rPr>
        <w:footnoteReference w:id="19"/>
      </w:r>
      <w:r w:rsidR="008B1C91" w:rsidRPr="006B2366">
        <w:rPr>
          <w:vertAlign w:val="superscript"/>
        </w:rPr>
        <w:t>,</w:t>
      </w:r>
      <w:r w:rsidR="008B1C91" w:rsidRPr="008B1C91">
        <w:rPr>
          <w:rStyle w:val="FootnoteReference"/>
        </w:rPr>
        <w:footnoteReference w:id="20"/>
      </w:r>
      <w:r w:rsidR="008B1C91" w:rsidRPr="006B2366">
        <w:rPr>
          <w:vertAlign w:val="superscript"/>
        </w:rPr>
        <w:t>,</w:t>
      </w:r>
      <w:r w:rsidR="008B1C91" w:rsidRPr="008B1C91">
        <w:rPr>
          <w:rStyle w:val="FootnoteReference"/>
        </w:rPr>
        <w:footnoteReference w:id="21"/>
      </w:r>
      <w:r w:rsidR="008B1C91" w:rsidRPr="006B2366">
        <w:rPr>
          <w:vertAlign w:val="superscript"/>
        </w:rPr>
        <w:t>,</w:t>
      </w:r>
      <w:r w:rsidR="008B1C91" w:rsidRPr="008B1C91">
        <w:rPr>
          <w:rStyle w:val="FootnoteReference"/>
        </w:rPr>
        <w:footnoteReference w:id="22"/>
      </w:r>
      <w:r w:rsidR="008B1C91" w:rsidRPr="006B2366">
        <w:rPr>
          <w:vertAlign w:val="superscript"/>
        </w:rPr>
        <w:t>,</w:t>
      </w:r>
      <w:r w:rsidR="008B1C91" w:rsidRPr="008B1C91">
        <w:rPr>
          <w:rStyle w:val="FootnoteReference"/>
        </w:rPr>
        <w:footnoteReference w:id="23"/>
      </w:r>
    </w:p>
    <w:p w14:paraId="5F07E855" w14:textId="59B1529E" w:rsidR="009D3E10" w:rsidRPr="009D3E10" w:rsidRDefault="009D3E10" w:rsidP="009D3E10">
      <w:r w:rsidRPr="009D3E10">
        <w:t>The range of individual exposures to bosentan after admini</w:t>
      </w:r>
      <w:r>
        <w:t xml:space="preserve">stration of the film-coated and </w:t>
      </w:r>
      <w:r w:rsidRPr="009D3E10">
        <w:t>dispersible tablet formulations to healthy subjects</w:t>
      </w:r>
      <w:r>
        <w:t xml:space="preserve"> was largely overlapping (</w:t>
      </w:r>
      <w:r w:rsidR="00FD708D">
        <w:t>Study</w:t>
      </w:r>
      <w:r w:rsidR="00E572FC">
        <w:t> AC</w:t>
      </w:r>
      <w:r w:rsidR="00E572FC">
        <w:noBreakHyphen/>
        <w:t>052</w:t>
      </w:r>
      <w:r w:rsidR="00E572FC">
        <w:noBreakHyphen/>
      </w:r>
      <w:r w:rsidRPr="009D3E10">
        <w:t>116</w:t>
      </w:r>
      <w:r w:rsidRPr="00FE6C13">
        <w:t xml:space="preserve">, Table </w:t>
      </w:r>
      <w:r w:rsidR="00FE6C13" w:rsidRPr="00FE6C13">
        <w:t>25</w:t>
      </w:r>
      <w:r w:rsidRPr="00FE6C13">
        <w:t>). In addition</w:t>
      </w:r>
      <w:r w:rsidRPr="009D3E10">
        <w:t>, overlapping exposu</w:t>
      </w:r>
      <w:r>
        <w:t xml:space="preserve">re levels were observed between </w:t>
      </w:r>
      <w:r w:rsidR="00FD708D">
        <w:t>Study</w:t>
      </w:r>
      <w:r w:rsidRPr="009D3E10">
        <w:t xml:space="preserve"> AC-052-356 and </w:t>
      </w:r>
      <w:r w:rsidR="008B1C91">
        <w:t>S</w:t>
      </w:r>
      <w:r w:rsidR="008B1C91" w:rsidRPr="009D3E10">
        <w:t xml:space="preserve">tudies </w:t>
      </w:r>
      <w:r w:rsidRPr="009D3E10">
        <w:t>AC-052-365 and AC-052-373</w:t>
      </w:r>
      <w:r>
        <w:t>, conducted with the film</w:t>
      </w:r>
      <w:r w:rsidR="00B47DF0">
        <w:t>-</w:t>
      </w:r>
      <w:r>
        <w:t xml:space="preserve">coated </w:t>
      </w:r>
      <w:r w:rsidRPr="009D3E10">
        <w:t xml:space="preserve">and dispersible tablet formulations, </w:t>
      </w:r>
      <w:r w:rsidRPr="00FE6C13">
        <w:t xml:space="preserve">respectively </w:t>
      </w:r>
      <w:r w:rsidR="002C42A2">
        <w:t>(</w:t>
      </w:r>
      <w:r w:rsidRPr="00FE6C13">
        <w:t>Table 2</w:t>
      </w:r>
      <w:r w:rsidR="00FE6C13" w:rsidRPr="00FE6C13">
        <w:t>6</w:t>
      </w:r>
      <w:r w:rsidR="002C42A2">
        <w:t>)</w:t>
      </w:r>
      <w:r w:rsidRPr="00FE6C13">
        <w:t>. Therefore,</w:t>
      </w:r>
      <w:r>
        <w:t xml:space="preserve"> similar </w:t>
      </w:r>
      <w:r w:rsidRPr="009D3E10">
        <w:t>haemodynamic effects are expected with the dispersib</w:t>
      </w:r>
      <w:r>
        <w:t xml:space="preserve">le tablet compared to the adult </w:t>
      </w:r>
      <w:r w:rsidRPr="009D3E10">
        <w:t>formulation in paediatric patients.</w:t>
      </w:r>
    </w:p>
    <w:p w14:paraId="4D68EB01" w14:textId="77777777" w:rsidR="00881225" w:rsidRPr="00881225" w:rsidRDefault="00881225" w:rsidP="00881225">
      <w:pPr>
        <w:pStyle w:val="Numberbullet0"/>
        <w:rPr>
          <w:b/>
          <w:i/>
        </w:rPr>
      </w:pPr>
      <w:r w:rsidRPr="00881225">
        <w:rPr>
          <w:b/>
          <w:i/>
        </w:rPr>
        <w:t>Do the outcomes seen in the FUTURE studies provide adequate evidence for efficacy of bosentan in children?</w:t>
      </w:r>
    </w:p>
    <w:p w14:paraId="4D0C754E" w14:textId="77777777" w:rsidR="00881225" w:rsidRPr="00881225" w:rsidRDefault="00881225" w:rsidP="00E572FC">
      <w:r w:rsidRPr="00881225">
        <w:t>The data from the FUTURE 3 and FUTURE 3 open label</w:t>
      </w:r>
      <w:r>
        <w:t xml:space="preserve"> studies, as well as those from </w:t>
      </w:r>
      <w:r w:rsidRPr="00881225">
        <w:t xml:space="preserve">the FUTURE 1 and FUTURE 2 studies, are to be </w:t>
      </w:r>
      <w:r>
        <w:t xml:space="preserve">considered complementary to the </w:t>
      </w:r>
      <w:r w:rsidRPr="00881225">
        <w:t xml:space="preserve">hemodynamic data described </w:t>
      </w:r>
      <w:r w:rsidR="00E572FC">
        <w:t>above</w:t>
      </w:r>
    </w:p>
    <w:p w14:paraId="71FD1969" w14:textId="21E61F16" w:rsidR="00881225" w:rsidRPr="00881225" w:rsidRDefault="00881225" w:rsidP="00E572FC">
      <w:r w:rsidRPr="00881225">
        <w:t xml:space="preserve">PVR data indicated that, at a bosentan maintenance dose </w:t>
      </w:r>
      <w:r>
        <w:t xml:space="preserve">of approximately 2 mg/kg </w:t>
      </w:r>
      <w:r w:rsidR="006231FF">
        <w:t>BD</w:t>
      </w:r>
      <w:r>
        <w:t xml:space="preserve"> </w:t>
      </w:r>
      <w:r w:rsidR="00E572FC">
        <w:t>(film</w:t>
      </w:r>
      <w:r w:rsidR="00B47DF0">
        <w:t>-</w:t>
      </w:r>
      <w:r w:rsidRPr="00881225">
        <w:t>coated tablet), PVR improvement in the paedi</w:t>
      </w:r>
      <w:r>
        <w:t xml:space="preserve">atric patients in the BREATHE-3 </w:t>
      </w:r>
      <w:r w:rsidR="008D6064">
        <w:t>Stud</w:t>
      </w:r>
      <w:r w:rsidRPr="00881225">
        <w:t xml:space="preserve">y </w:t>
      </w:r>
      <w:r w:rsidRPr="00881225">
        <w:lastRenderedPageBreak/>
        <w:t xml:space="preserve">was clinically relevant and comparable to that in </w:t>
      </w:r>
      <w:r>
        <w:t xml:space="preserve">adult PAH patients treated with </w:t>
      </w:r>
      <w:r w:rsidRPr="00881225">
        <w:t xml:space="preserve">bosentan 125 mg </w:t>
      </w:r>
      <w:r w:rsidR="006231FF">
        <w:t>BD</w:t>
      </w:r>
      <w:r w:rsidRPr="00881225">
        <w:t xml:space="preserve"> (</w:t>
      </w:r>
      <w:r w:rsidR="002C42A2">
        <w:t xml:space="preserve">Study </w:t>
      </w:r>
      <w:r w:rsidRPr="00881225">
        <w:t>AC-052-351, EARLY and BRE</w:t>
      </w:r>
      <w:r>
        <w:t>ATHE-5</w:t>
      </w:r>
      <w:r w:rsidR="002C42A2">
        <w:t xml:space="preserve"> </w:t>
      </w:r>
      <w:r w:rsidR="008D6064">
        <w:t>Stud</w:t>
      </w:r>
      <w:r w:rsidR="002C42A2">
        <w:t>ies</w:t>
      </w:r>
      <w:r>
        <w:t xml:space="preserve">). These studies included </w:t>
      </w:r>
      <w:r w:rsidRPr="00881225">
        <w:t>PAH patients with a broad spectrum of disease sev</w:t>
      </w:r>
      <w:r>
        <w:t>erity (WHO FC II</w:t>
      </w:r>
      <w:r w:rsidR="002C42A2">
        <w:t xml:space="preserve"> to </w:t>
      </w:r>
      <w:r>
        <w:t xml:space="preserve">IV) and with a </w:t>
      </w:r>
      <w:r w:rsidR="00E572FC">
        <w:t xml:space="preserve">range of treatment duration (3 to </w:t>
      </w:r>
      <w:r w:rsidRPr="00881225">
        <w:t>6 months).</w:t>
      </w:r>
    </w:p>
    <w:p w14:paraId="15C4B673" w14:textId="3BEB780D" w:rsidR="00881225" w:rsidRPr="00881225" w:rsidRDefault="00881225" w:rsidP="00881225">
      <w:r w:rsidRPr="00881225">
        <w:t>The low rate of disease deterioration, demonstrated by stable WHO FC st</w:t>
      </w:r>
      <w:r>
        <w:t xml:space="preserve">atus over a </w:t>
      </w:r>
      <w:r w:rsidR="00E572FC">
        <w:t>3 </w:t>
      </w:r>
      <w:r w:rsidRPr="00881225">
        <w:t>month treatment duration across adult (n</w:t>
      </w:r>
      <w:r w:rsidR="006231FF">
        <w:t xml:space="preserve"> = </w:t>
      </w:r>
      <w:r w:rsidRPr="00881225">
        <w:t>17</w:t>
      </w:r>
      <w:r>
        <w:t xml:space="preserve">3: </w:t>
      </w:r>
      <w:r w:rsidR="002C42A2">
        <w:t>Study</w:t>
      </w:r>
      <w:r>
        <w:t xml:space="preserve">AC-052-351, BREATHE-2, EARLY </w:t>
      </w:r>
      <w:r w:rsidRPr="00881225">
        <w:t>and BREATHE-5) and paediatric patients (n</w:t>
      </w:r>
      <w:r w:rsidR="006231FF">
        <w:t xml:space="preserve"> = </w:t>
      </w:r>
      <w:r w:rsidRPr="00881225">
        <w:t>119:</w:t>
      </w:r>
      <w:r>
        <w:t xml:space="preserve"> BREATHE-3, FUTURE 1 and 2, and </w:t>
      </w:r>
      <w:r w:rsidR="00E572FC">
        <w:t>FUTURE </w:t>
      </w:r>
      <w:r w:rsidRPr="00881225">
        <w:t>3 core and its extension) reinforce their clinical meaningfulness.</w:t>
      </w:r>
    </w:p>
    <w:p w14:paraId="3698236F" w14:textId="77777777" w:rsidR="00881225" w:rsidRPr="00881225" w:rsidRDefault="00881225" w:rsidP="00881225">
      <w:pPr>
        <w:pStyle w:val="Numberbullet0"/>
        <w:rPr>
          <w:b/>
          <w:i/>
        </w:rPr>
      </w:pPr>
      <w:r w:rsidRPr="00881225">
        <w:rPr>
          <w:b/>
          <w:i/>
        </w:rPr>
        <w:t>Is there adequate safety data concerning the use of bosentan in children?</w:t>
      </w:r>
    </w:p>
    <w:p w14:paraId="05942202" w14:textId="2E352815" w:rsidR="00881225" w:rsidRPr="00881225" w:rsidRDefault="00881225" w:rsidP="00881225">
      <w:r w:rsidRPr="00881225">
        <w:t xml:space="preserve">The integrated safety analysis covered 100 patients (21 </w:t>
      </w:r>
      <w:r>
        <w:t>aged under 2</w:t>
      </w:r>
      <w:r w:rsidR="002C42A2">
        <w:t>,</w:t>
      </w:r>
      <w:r>
        <w:t xml:space="preserve"> and 79 aged 2</w:t>
      </w:r>
      <w:r w:rsidR="002C42A2">
        <w:t xml:space="preserve"> to </w:t>
      </w:r>
      <w:r>
        <w:t xml:space="preserve">11); </w:t>
      </w:r>
      <w:r w:rsidRPr="00881225">
        <w:t>of these, 85 patients received bosentan for at least</w:t>
      </w:r>
      <w:r>
        <w:t xml:space="preserve"> 12 months, and 53 for at least </w:t>
      </w:r>
      <w:r w:rsidRPr="00881225">
        <w:t xml:space="preserve">24 months. In addition, 4206 </w:t>
      </w:r>
      <w:r w:rsidR="007C5D1A">
        <w:t>post market</w:t>
      </w:r>
      <w:r w:rsidRPr="00881225">
        <w:t>ing cases have</w:t>
      </w:r>
      <w:r>
        <w:t xml:space="preserve"> been cumulatively reported for </w:t>
      </w:r>
      <w:r w:rsidRPr="00881225">
        <w:t xml:space="preserve">paediatric patients on bosentan </w:t>
      </w:r>
      <w:r w:rsidR="002C42A2">
        <w:t>(22</w:t>
      </w:r>
      <w:r w:rsidR="002C42A2" w:rsidRPr="002C42A2">
        <w:t>nd</w:t>
      </w:r>
      <w:r w:rsidR="002C42A2">
        <w:t xml:space="preserve"> </w:t>
      </w:r>
      <w:r w:rsidRPr="00881225">
        <w:t>PSUR</w:t>
      </w:r>
      <w:r w:rsidR="002C42A2">
        <w:t>)</w:t>
      </w:r>
      <w:r w:rsidRPr="00881225">
        <w:t xml:space="preserve">. The </w:t>
      </w:r>
      <w:r>
        <w:t xml:space="preserve">most frequent AEs reported were </w:t>
      </w:r>
      <w:r w:rsidRPr="00881225">
        <w:t>abnormal liver tests, PAH manifestations, respiratory in</w:t>
      </w:r>
      <w:r>
        <w:t xml:space="preserve">fections or pyrexia; no unusual </w:t>
      </w:r>
      <w:r w:rsidRPr="00881225">
        <w:t>pattern emerged regarding frequency and nature of t</w:t>
      </w:r>
      <w:r>
        <w:t xml:space="preserve">he reported events. The overall </w:t>
      </w:r>
      <w:r w:rsidRPr="00881225">
        <w:t>availability of safety data from children is considered adequate.</w:t>
      </w:r>
    </w:p>
    <w:p w14:paraId="1EE9618C" w14:textId="344524A3" w:rsidR="00881225" w:rsidRPr="00881225" w:rsidRDefault="00881225" w:rsidP="00881225">
      <w:pPr>
        <w:pStyle w:val="Heading5"/>
        <w:rPr>
          <w:rFonts w:eastAsia="TimesNewRoman,Bold"/>
        </w:rPr>
      </w:pPr>
      <w:r w:rsidRPr="00881225">
        <w:rPr>
          <w:rFonts w:eastAsia="TimesNewRoman,Bold"/>
        </w:rPr>
        <w:t xml:space="preserve">Responses to </w:t>
      </w:r>
      <w:r w:rsidR="006231FF">
        <w:rPr>
          <w:rFonts w:eastAsia="TimesNewRoman,Bold"/>
        </w:rPr>
        <w:t>‘</w:t>
      </w:r>
      <w:r w:rsidR="00DD4C81">
        <w:rPr>
          <w:rFonts w:eastAsia="TimesNewRoman,Bold"/>
        </w:rPr>
        <w:t>q</w:t>
      </w:r>
      <w:r w:rsidRPr="00881225">
        <w:rPr>
          <w:rFonts w:eastAsia="TimesNewRoman,Bold"/>
        </w:rPr>
        <w:t xml:space="preserve">uestions for the </w:t>
      </w:r>
      <w:r w:rsidR="00335934">
        <w:rPr>
          <w:rFonts w:eastAsia="TimesNewRoman,Bold"/>
        </w:rPr>
        <w:t>sponsor</w:t>
      </w:r>
      <w:r w:rsidR="006231FF">
        <w:rPr>
          <w:rFonts w:eastAsia="TimesNewRoman,Bold"/>
        </w:rPr>
        <w:t>’</w:t>
      </w:r>
    </w:p>
    <w:p w14:paraId="7A5001E3" w14:textId="484F702A" w:rsidR="00881225" w:rsidRPr="00881225" w:rsidRDefault="00881225" w:rsidP="00881225">
      <w:pPr>
        <w:pStyle w:val="Numberbullet0"/>
        <w:numPr>
          <w:ilvl w:val="0"/>
          <w:numId w:val="39"/>
        </w:numPr>
        <w:rPr>
          <w:b/>
          <w:i/>
        </w:rPr>
      </w:pPr>
      <w:r w:rsidRPr="00881225">
        <w:rPr>
          <w:b/>
          <w:i/>
        </w:rPr>
        <w:t xml:space="preserve">Please provide an update of the regulatory status of </w:t>
      </w:r>
      <w:r w:rsidR="00335934">
        <w:rPr>
          <w:b/>
          <w:i/>
        </w:rPr>
        <w:t>Tracleer</w:t>
      </w:r>
      <w:r w:rsidRPr="00881225">
        <w:rPr>
          <w:b/>
          <w:i/>
        </w:rPr>
        <w:t xml:space="preserve"> (for </w:t>
      </w:r>
      <w:r w:rsidR="00E572FC" w:rsidRPr="00881225">
        <w:rPr>
          <w:b/>
          <w:i/>
        </w:rPr>
        <w:t>paediatric</w:t>
      </w:r>
      <w:r w:rsidRPr="00881225">
        <w:rPr>
          <w:b/>
          <w:i/>
        </w:rPr>
        <w:t xml:space="preserve"> use) in the USA</w:t>
      </w:r>
    </w:p>
    <w:p w14:paraId="6A654CFC" w14:textId="77777777" w:rsidR="00881225" w:rsidRPr="00881225" w:rsidRDefault="00881225" w:rsidP="00881225">
      <w:r w:rsidRPr="00881225">
        <w:t xml:space="preserve">The </w:t>
      </w:r>
      <w:r w:rsidR="00335934">
        <w:t>Tracleer</w:t>
      </w:r>
      <w:r w:rsidRPr="00881225">
        <w:t xml:space="preserve"> (bosentan) dispersible tablet application,</w:t>
      </w:r>
      <w:r>
        <w:t xml:space="preserve"> NDA 209279, is currently under </w:t>
      </w:r>
      <w:r w:rsidRPr="00881225">
        <w:t xml:space="preserve">evaluation by the US Food and Drug Administration </w:t>
      </w:r>
      <w:r>
        <w:t xml:space="preserve">(FDA). The expected action date </w:t>
      </w:r>
      <w:r w:rsidRPr="00881225">
        <w:t>remains 5 June 2017.</w:t>
      </w:r>
    </w:p>
    <w:p w14:paraId="4B475290" w14:textId="77777777" w:rsidR="00881225" w:rsidRPr="00881225" w:rsidRDefault="00881225" w:rsidP="00881225">
      <w:pPr>
        <w:pStyle w:val="Numberbullet0"/>
        <w:rPr>
          <w:b/>
          <w:i/>
        </w:rPr>
      </w:pPr>
      <w:r w:rsidRPr="00881225">
        <w:rPr>
          <w:b/>
          <w:i/>
        </w:rPr>
        <w:t xml:space="preserve">Please provide any additional available </w:t>
      </w:r>
      <w:r w:rsidR="007C5D1A">
        <w:rPr>
          <w:b/>
          <w:i/>
        </w:rPr>
        <w:t>post market</w:t>
      </w:r>
      <w:r w:rsidRPr="00881225">
        <w:rPr>
          <w:b/>
          <w:i/>
        </w:rPr>
        <w:t xml:space="preserve">ing data (for example, PSURs) regarding use of </w:t>
      </w:r>
      <w:r w:rsidR="00335934">
        <w:rPr>
          <w:b/>
          <w:i/>
        </w:rPr>
        <w:t>Tracleer</w:t>
      </w:r>
      <w:r w:rsidRPr="00881225">
        <w:rPr>
          <w:b/>
          <w:i/>
        </w:rPr>
        <w:t xml:space="preserve"> in children.</w:t>
      </w:r>
    </w:p>
    <w:p w14:paraId="0A373130" w14:textId="77777777" w:rsidR="009D3E10" w:rsidRPr="00881225" w:rsidRDefault="00881225" w:rsidP="00881225">
      <w:r w:rsidRPr="00881225">
        <w:t>The most current PSUR for bosentan, dated 16 January</w:t>
      </w:r>
      <w:r>
        <w:t xml:space="preserve"> 2017, covering the period from </w:t>
      </w:r>
      <w:r w:rsidR="00E572FC">
        <w:t>20 </w:t>
      </w:r>
      <w:r w:rsidRPr="00881225">
        <w:t>November 2015 to 19 November 2016, is enclosed.</w:t>
      </w:r>
    </w:p>
    <w:p w14:paraId="0266ADDF" w14:textId="77777777" w:rsidR="008E7846" w:rsidRDefault="008E7846" w:rsidP="008E7846">
      <w:pPr>
        <w:pStyle w:val="Heading4"/>
      </w:pPr>
      <w:r>
        <w:t>Advisory Committee Considerations</w:t>
      </w:r>
    </w:p>
    <w:p w14:paraId="3828F6AA" w14:textId="77777777" w:rsidR="00844E58" w:rsidRPr="00E572FC" w:rsidRDefault="00D23139" w:rsidP="00E572FC">
      <w:pPr>
        <w:rPr>
          <w:bCs/>
        </w:rPr>
      </w:pPr>
      <w:r w:rsidRPr="00D23139">
        <w:rPr>
          <w:bCs/>
        </w:rPr>
        <w:t>The Advisory Committee on Prescription Medicines (ACPM), having considered the evaluations and the Delegate’s overview, as well as the sponsor’s response to these documents, advised the following:</w:t>
      </w:r>
    </w:p>
    <w:p w14:paraId="168BA983" w14:textId="77777777" w:rsidR="00844E58" w:rsidRPr="00844E58" w:rsidRDefault="00844E58" w:rsidP="00E572FC">
      <w:r w:rsidRPr="00844E58">
        <w:t xml:space="preserve">The ACM, taking into account the submitted evidence of safety and efficacy agreed with the </w:t>
      </w:r>
      <w:r w:rsidR="007C5D1A">
        <w:t>Delegate</w:t>
      </w:r>
      <w:r w:rsidRPr="00844E58">
        <w:t xml:space="preserve"> that </w:t>
      </w:r>
      <w:r w:rsidR="00335934">
        <w:t>Tracleer</w:t>
      </w:r>
      <w:r w:rsidRPr="00844E58">
        <w:t xml:space="preserve"> dispersible tablet containing 32 mg of bosentan are of the opinion that there is an overall negative benefit-risk profile for the proposed indication in the paediatric population.</w:t>
      </w:r>
    </w:p>
    <w:p w14:paraId="06F2B13A" w14:textId="77777777" w:rsidR="00844E58" w:rsidRPr="00844E58" w:rsidRDefault="00335934" w:rsidP="00844E58">
      <w:pPr>
        <w:ind w:left="360"/>
        <w:rPr>
          <w:i/>
        </w:rPr>
      </w:pPr>
      <w:r>
        <w:rPr>
          <w:i/>
        </w:rPr>
        <w:t>Tracleer</w:t>
      </w:r>
      <w:r w:rsidR="00844E58" w:rsidRPr="00844E58">
        <w:rPr>
          <w:i/>
        </w:rPr>
        <w:t xml:space="preserve"> is </w:t>
      </w:r>
      <w:r w:rsidR="00E572FC">
        <w:rPr>
          <w:i/>
        </w:rPr>
        <w:t>indicated for the treatment of:</w:t>
      </w:r>
    </w:p>
    <w:p w14:paraId="2785BF1C" w14:textId="77777777" w:rsidR="00844E58" w:rsidRPr="00844E58" w:rsidRDefault="00844E58" w:rsidP="00844E58">
      <w:pPr>
        <w:pStyle w:val="ListBullet"/>
        <w:ind w:left="720"/>
        <w:rPr>
          <w:i/>
        </w:rPr>
      </w:pPr>
      <w:r w:rsidRPr="00844E58">
        <w:rPr>
          <w:i/>
        </w:rPr>
        <w:t xml:space="preserve">idiopathic </w:t>
      </w:r>
      <w:r w:rsidR="00E572FC">
        <w:rPr>
          <w:i/>
        </w:rPr>
        <w:t>pulmonary arterial hypertension</w:t>
      </w:r>
    </w:p>
    <w:p w14:paraId="5101621F" w14:textId="77777777" w:rsidR="00844E58" w:rsidRPr="00844E58" w:rsidRDefault="00844E58" w:rsidP="00844E58">
      <w:pPr>
        <w:pStyle w:val="ListBullet"/>
        <w:ind w:left="720"/>
        <w:rPr>
          <w:i/>
        </w:rPr>
      </w:pPr>
      <w:r w:rsidRPr="00844E58">
        <w:rPr>
          <w:i/>
        </w:rPr>
        <w:t>familial pulmonary a</w:t>
      </w:r>
      <w:r w:rsidR="00E572FC">
        <w:rPr>
          <w:i/>
        </w:rPr>
        <w:t>rterial hypertension</w:t>
      </w:r>
    </w:p>
    <w:p w14:paraId="3D1E2E02" w14:textId="77777777" w:rsidR="00844E58" w:rsidRPr="00844E58" w:rsidRDefault="00844E58" w:rsidP="00844E58">
      <w:pPr>
        <w:pStyle w:val="ListBullet"/>
        <w:ind w:left="720"/>
        <w:rPr>
          <w:i/>
        </w:rPr>
      </w:pPr>
      <w:r w:rsidRPr="00844E58">
        <w:rPr>
          <w:i/>
        </w:rPr>
        <w:t>pulmonary arterial hypertension</w:t>
      </w:r>
      <w:r w:rsidR="00E572FC">
        <w:rPr>
          <w:i/>
        </w:rPr>
        <w:t xml:space="preserve"> associated with scleroderma or</w:t>
      </w:r>
    </w:p>
    <w:p w14:paraId="49D7C809" w14:textId="77777777" w:rsidR="00844E58" w:rsidRPr="00E572FC" w:rsidRDefault="00844E58" w:rsidP="00E572FC">
      <w:pPr>
        <w:pStyle w:val="ListBullet"/>
        <w:ind w:left="720"/>
        <w:rPr>
          <w:i/>
        </w:rPr>
      </w:pPr>
      <w:proofErr w:type="gramStart"/>
      <w:r w:rsidRPr="00844E58">
        <w:rPr>
          <w:i/>
        </w:rPr>
        <w:t>pulmonary</w:t>
      </w:r>
      <w:proofErr w:type="gramEnd"/>
      <w:r w:rsidRPr="00844E58">
        <w:rPr>
          <w:i/>
        </w:rPr>
        <w:t xml:space="preserve"> arterial hypertension associated with congenital systemic to pulmonary shunts including </w:t>
      </w:r>
      <w:proofErr w:type="spellStart"/>
      <w:r w:rsidRPr="00844E58">
        <w:rPr>
          <w:i/>
        </w:rPr>
        <w:t>Eisenmenger’s</w:t>
      </w:r>
      <w:proofErr w:type="spellEnd"/>
      <w:r w:rsidRPr="00844E58">
        <w:rPr>
          <w:i/>
        </w:rPr>
        <w:t xml:space="preserve"> physiology in patients with WHO Functional Class II, III o</w:t>
      </w:r>
      <w:r w:rsidR="00E572FC">
        <w:rPr>
          <w:i/>
        </w:rPr>
        <w:t>r IV symptoms.</w:t>
      </w:r>
    </w:p>
    <w:p w14:paraId="7621DBC8" w14:textId="77777777" w:rsidR="00844E58" w:rsidRPr="00844E58" w:rsidRDefault="00844E58" w:rsidP="00844E58">
      <w:r w:rsidRPr="00844E58">
        <w:t>In making th</w:t>
      </w:r>
      <w:r w:rsidR="00E572FC">
        <w:t>e recommendation the ACM noted:</w:t>
      </w:r>
    </w:p>
    <w:p w14:paraId="0BF971AF" w14:textId="77777777" w:rsidR="00335934" w:rsidRDefault="00844E58" w:rsidP="00844E58">
      <w:pPr>
        <w:pStyle w:val="ListBullet"/>
      </w:pPr>
      <w:r w:rsidRPr="00844E58">
        <w:t>The proposed dispersible tablet formulation is not bioequivalent to the currently registered formulation</w:t>
      </w:r>
      <w:r w:rsidR="00335934">
        <w:t>.</w:t>
      </w:r>
    </w:p>
    <w:p w14:paraId="7B8AFAF2" w14:textId="77777777" w:rsidR="00335934" w:rsidRDefault="00844E58" w:rsidP="00844E58">
      <w:pPr>
        <w:pStyle w:val="ListBullet"/>
      </w:pPr>
      <w:r w:rsidRPr="00844E58">
        <w:lastRenderedPageBreak/>
        <w:t>Exposure to bosentan in children is significantly lower than in adults, making it difficult to extrapolate efficacy from adults to children</w:t>
      </w:r>
      <w:r w:rsidR="00335934">
        <w:t>.</w:t>
      </w:r>
    </w:p>
    <w:p w14:paraId="1DCA14D8" w14:textId="77777777" w:rsidR="00844E58" w:rsidRPr="00844E58" w:rsidRDefault="00844E58" w:rsidP="00844E58">
      <w:pPr>
        <w:pStyle w:val="ListBullet"/>
      </w:pPr>
      <w:r w:rsidRPr="00844E58">
        <w:t>The optimal dosage regimen for paediatric patients wi</w:t>
      </w:r>
      <w:r w:rsidR="00E572FC">
        <w:t>th PAH has not been established.</w:t>
      </w:r>
    </w:p>
    <w:p w14:paraId="6C8E70EB" w14:textId="77777777" w:rsidR="00844E58" w:rsidRPr="00844E58" w:rsidRDefault="00844E58" w:rsidP="00844E58">
      <w:pPr>
        <w:pStyle w:val="ListBullet"/>
      </w:pPr>
      <w:r w:rsidRPr="00844E58">
        <w:t xml:space="preserve">Efficacy analyses in children submitted as part of the current application were of an exploratory nature only. (Efficacy has not been established for the dispersible tablet formulation in the paediatric population. The efficacy of bosentan for children aged between one and three years of </w:t>
      </w:r>
      <w:r>
        <w:t>age has not been established</w:t>
      </w:r>
      <w:r w:rsidR="00E54EDB">
        <w:t>).</w:t>
      </w:r>
    </w:p>
    <w:p w14:paraId="2F8EC808" w14:textId="77777777" w:rsidR="00844E58" w:rsidRPr="00844E58" w:rsidRDefault="00E54EDB" w:rsidP="00844E58">
      <w:pPr>
        <w:pStyle w:val="Heading5"/>
        <w:rPr>
          <w:rFonts w:eastAsiaTheme="minorHAnsi"/>
        </w:rPr>
      </w:pPr>
      <w:r>
        <w:rPr>
          <w:rFonts w:eastAsiaTheme="minorHAnsi"/>
        </w:rPr>
        <w:t>Specific Advice</w:t>
      </w:r>
    </w:p>
    <w:p w14:paraId="139C9AAC" w14:textId="77777777" w:rsidR="00844E58" w:rsidRPr="00844E58" w:rsidRDefault="00844E58" w:rsidP="00844E58">
      <w:r w:rsidRPr="00844E58">
        <w:t xml:space="preserve">The ACM advised the following in response to the </w:t>
      </w:r>
      <w:r w:rsidR="007C5D1A">
        <w:t>Delegate</w:t>
      </w:r>
      <w:r w:rsidRPr="00844E58">
        <w:t>’s specific questions on the submission:</w:t>
      </w:r>
    </w:p>
    <w:p w14:paraId="79E68210" w14:textId="77777777" w:rsidR="00844E58" w:rsidRPr="00E54EDB" w:rsidRDefault="00844E58" w:rsidP="00E54EDB">
      <w:pPr>
        <w:pStyle w:val="Numberbullet0"/>
        <w:numPr>
          <w:ilvl w:val="0"/>
          <w:numId w:val="40"/>
        </w:numPr>
        <w:rPr>
          <w:b/>
          <w:i/>
        </w:rPr>
      </w:pPr>
      <w:r w:rsidRPr="00E54EDB">
        <w:rPr>
          <w:b/>
          <w:i/>
        </w:rPr>
        <w:t>Are there sufficient children under the age of 2 years included in the study set in order to draw conclusions about use in this age gr</w:t>
      </w:r>
      <w:r w:rsidR="00E54EDB">
        <w:rPr>
          <w:b/>
          <w:i/>
        </w:rPr>
        <w:t>oup?</w:t>
      </w:r>
    </w:p>
    <w:p w14:paraId="1B1887E4" w14:textId="77777777" w:rsidR="00844E58" w:rsidRPr="00844E58" w:rsidRDefault="00844E58" w:rsidP="00844E58">
      <w:r w:rsidRPr="00844E58">
        <w:t xml:space="preserve">The ACM advised that overall, the total numbers in age &lt; 2 years category appear sufficient, particularly for a rare paediatric condition. ACM noted that more data from clinical studies in infants of age &lt; 1 year are needed to draw conclusions about </w:t>
      </w:r>
      <w:r w:rsidR="00E54EDB">
        <w:t>that subset.</w:t>
      </w:r>
    </w:p>
    <w:p w14:paraId="1721F4D8" w14:textId="77777777" w:rsidR="00844E58" w:rsidRPr="00E54EDB" w:rsidRDefault="00844E58" w:rsidP="00E54EDB">
      <w:pPr>
        <w:pStyle w:val="Numberbullet0"/>
        <w:rPr>
          <w:b/>
          <w:i/>
        </w:rPr>
      </w:pPr>
      <w:r w:rsidRPr="00E54EDB">
        <w:rPr>
          <w:b/>
          <w:i/>
        </w:rPr>
        <w:t>Can efficacy of bosentan in adults be extra</w:t>
      </w:r>
      <w:r w:rsidR="00E54EDB">
        <w:rPr>
          <w:b/>
          <w:i/>
        </w:rPr>
        <w:t>polated to its use in children?</w:t>
      </w:r>
    </w:p>
    <w:p w14:paraId="0CBAD318" w14:textId="77777777" w:rsidR="00844E58" w:rsidRPr="00844E58" w:rsidRDefault="00844E58" w:rsidP="00844E58">
      <w:r w:rsidRPr="00844E58">
        <w:t>The ACM advised that the ability to extrapolate efficacy data from adults to children is limited due to differences in disease characteristics and the pharmacology results seen in children. ACM noted that it would be difficult to directly extrapolate efficacy data from adults with PAH to the paediatric PAH population primarily due to differences in the predominant types of PAH and disease characteristics seen in the overall paediatric age group versus adults. ACM concluded that the assumption about PAH in adults and paediatrics being s</w:t>
      </w:r>
      <w:r w:rsidR="00E54EDB">
        <w:t>imilar is not necessarily true.</w:t>
      </w:r>
    </w:p>
    <w:p w14:paraId="76410446" w14:textId="77777777" w:rsidR="00844E58" w:rsidRPr="00E54EDB" w:rsidRDefault="00844E58" w:rsidP="00844E58">
      <w:pPr>
        <w:pStyle w:val="Numberbullet0"/>
        <w:rPr>
          <w:b/>
          <w:i/>
        </w:rPr>
      </w:pPr>
      <w:r w:rsidRPr="00E54EDB">
        <w:rPr>
          <w:b/>
          <w:i/>
        </w:rPr>
        <w:t xml:space="preserve">Do the outcomes seen in the FUTURE studies provide adequate evidence for efficacy of bosentan in </w:t>
      </w:r>
      <w:r w:rsidR="00E54EDB">
        <w:rPr>
          <w:b/>
          <w:i/>
        </w:rPr>
        <w:t>children?</w:t>
      </w:r>
    </w:p>
    <w:p w14:paraId="374DF95A" w14:textId="77777777" w:rsidR="00844E58" w:rsidRPr="00844E58" w:rsidRDefault="00844E58" w:rsidP="00844E58">
      <w:r w:rsidRPr="00844E58">
        <w:t xml:space="preserve">ACM advised that the efficacy analyses in the FUTURE 1-3 studies, were exploratory in nature, but possibly provide </w:t>
      </w:r>
      <w:r w:rsidR="006231FF">
        <w:t>‘</w:t>
      </w:r>
      <w:r w:rsidRPr="00844E58">
        <w:t>adequate</w:t>
      </w:r>
      <w:r w:rsidR="006231FF">
        <w:t>’</w:t>
      </w:r>
      <w:r w:rsidRPr="00844E58">
        <w:t xml:space="preserve"> evidence to support bosenta</w:t>
      </w:r>
      <w:r w:rsidR="00E572FC">
        <w:t>n use in infants aged &gt; </w:t>
      </w:r>
      <w:r w:rsidR="00E54EDB">
        <w:t>1 year.</w:t>
      </w:r>
    </w:p>
    <w:p w14:paraId="4563B85A" w14:textId="77777777" w:rsidR="00844E58" w:rsidRPr="00E54EDB" w:rsidRDefault="00844E58" w:rsidP="00E54EDB">
      <w:r w:rsidRPr="00E54EDB">
        <w:t>ACM noted that in the FUTURE 4 Study in neonates with PPHN, the efficacy findings were negative. The sponsor is not seeking an indication for this.</w:t>
      </w:r>
    </w:p>
    <w:p w14:paraId="1DA4398D" w14:textId="77777777" w:rsidR="00844E58" w:rsidRPr="00E54EDB" w:rsidRDefault="00844E58" w:rsidP="00E54EDB">
      <w:pPr>
        <w:pStyle w:val="Numberbullet0"/>
        <w:rPr>
          <w:b/>
          <w:i/>
        </w:rPr>
      </w:pPr>
      <w:r w:rsidRPr="00E54EDB">
        <w:rPr>
          <w:b/>
          <w:i/>
        </w:rPr>
        <w:t>Is there adequate safety data concerning t</w:t>
      </w:r>
      <w:r w:rsidR="00E572FC">
        <w:rPr>
          <w:b/>
          <w:i/>
        </w:rPr>
        <w:t>he use of bosentan in children?</w:t>
      </w:r>
    </w:p>
    <w:p w14:paraId="40409C6E" w14:textId="77777777" w:rsidR="00335934" w:rsidRDefault="00844E58" w:rsidP="00844E58">
      <w:r w:rsidRPr="00844E58">
        <w:t>The ACM advised that the number of paediatric patients exposed in clinical trials is still relatively small (n</w:t>
      </w:r>
      <w:r w:rsidR="006231FF">
        <w:t xml:space="preserve"> = </w:t>
      </w:r>
      <w:r w:rsidRPr="00844E58">
        <w:t>100) and duration of follow up relatively short to draw conclusions about safety outcomes. ACM noted that the larger numbers included in the Periodic Safety Update Reports (PSUR) with a total worldwide exposure in over 9,000 patients &lt; 18 years of age, including over 7,000 aged &lt; 12 years provides a more substantial dataset with regard to safety outcomes</w:t>
      </w:r>
      <w:r w:rsidR="00335934">
        <w:t>.</w:t>
      </w:r>
    </w:p>
    <w:p w14:paraId="09BE095F" w14:textId="77777777" w:rsidR="00335934" w:rsidRDefault="00844E58" w:rsidP="00844E58">
      <w:r w:rsidRPr="00844E58">
        <w:t xml:space="preserve">ACM noted that the lack of data regarding safety concerns in paediatric patients with renal impairment and concurrent use with sildenafil are currently listed for </w:t>
      </w:r>
      <w:r w:rsidR="006231FF">
        <w:t>‘</w:t>
      </w:r>
      <w:r w:rsidRPr="00844E58">
        <w:t>routine</w:t>
      </w:r>
      <w:r w:rsidR="006231FF">
        <w:t>’</w:t>
      </w:r>
      <w:r w:rsidRPr="00844E58">
        <w:t xml:space="preserve"> pharmacovigilance in the RMP evaluation plans. ACM recommended a more active pharmacovigilance plan for these and other concerns especially in the longer term, in younger age groups and for the potential risk of male infertility in patients exposed to bosentan</w:t>
      </w:r>
      <w:r w:rsidR="00335934">
        <w:t>.</w:t>
      </w:r>
    </w:p>
    <w:p w14:paraId="5A7A3A15" w14:textId="77777777" w:rsidR="00335934" w:rsidRDefault="00844E58" w:rsidP="00844E58">
      <w:r w:rsidRPr="00844E58">
        <w:t>The ACM concluded that the evidence provided in the sponsor’s submission did not satisfactorily establish</w:t>
      </w:r>
      <w:r w:rsidR="00BE09E4">
        <w:t xml:space="preserve"> the safety and efficacy of the</w:t>
      </w:r>
      <w:r w:rsidRPr="00844E58">
        <w:t xml:space="preserve"> </w:t>
      </w:r>
      <w:r w:rsidR="00335934">
        <w:t>Tracleer</w:t>
      </w:r>
      <w:r w:rsidRPr="00844E58">
        <w:t xml:space="preserve"> dispersible tablet containing 32 mg of bosentan</w:t>
      </w:r>
      <w:r w:rsidR="00335934">
        <w:t>.</w:t>
      </w:r>
    </w:p>
    <w:p w14:paraId="1E1316CA" w14:textId="77777777" w:rsidR="00844E58" w:rsidRPr="00A322B3" w:rsidRDefault="00844E58" w:rsidP="00844E58">
      <w:r w:rsidRPr="00844E58">
        <w:lastRenderedPageBreak/>
        <w:t>The ACM taking into account the submitted evidence of efficacy and safety considered this product to have an overall negative benefit-risk profil</w:t>
      </w:r>
      <w:r w:rsidR="00A30720">
        <w:t>e in the paediatric population.</w:t>
      </w:r>
    </w:p>
    <w:p w14:paraId="5D5E1115" w14:textId="77777777" w:rsidR="008E7846" w:rsidRPr="002E238E" w:rsidRDefault="008E7846" w:rsidP="008E7846">
      <w:pPr>
        <w:pStyle w:val="Heading3"/>
      </w:pPr>
      <w:bookmarkStart w:id="173" w:name="_Toc247691532"/>
      <w:bookmarkStart w:id="174" w:name="_Toc314842516"/>
      <w:bookmarkStart w:id="175" w:name="_Toc519764307"/>
      <w:bookmarkEnd w:id="120"/>
      <w:bookmarkEnd w:id="171"/>
      <w:bookmarkEnd w:id="172"/>
      <w:r>
        <w:t>Outcome</w:t>
      </w:r>
      <w:bookmarkEnd w:id="173"/>
      <w:bookmarkEnd w:id="174"/>
      <w:bookmarkEnd w:id="175"/>
    </w:p>
    <w:p w14:paraId="7CC23A54" w14:textId="77777777" w:rsidR="00974344" w:rsidRDefault="00D23139" w:rsidP="00BE09E4">
      <w:bookmarkStart w:id="176" w:name="_Toc247691533"/>
      <w:bookmarkStart w:id="177" w:name="_Toc314842517"/>
      <w:r w:rsidRPr="00D23139">
        <w:t xml:space="preserve">Based on a review of quality, safety and efficacy, TGA </w:t>
      </w:r>
      <w:r w:rsidR="00307E4A">
        <w:t>decided not to register</w:t>
      </w:r>
      <w:r w:rsidRPr="00D23139">
        <w:t xml:space="preserve"> </w:t>
      </w:r>
      <w:r w:rsidR="00BE09E4">
        <w:t xml:space="preserve">Tracleer bosentan 32 mg dispersible tablets </w:t>
      </w:r>
      <w:r w:rsidRPr="00D23139">
        <w:t>indicated for</w:t>
      </w:r>
      <w:r w:rsidR="00BE09E4">
        <w:t xml:space="preserve"> use inp</w:t>
      </w:r>
      <w:r w:rsidR="00FE6C13">
        <w:t>atients aged one year and older</w:t>
      </w:r>
      <w:r w:rsidRPr="00D23139">
        <w:t>:</w:t>
      </w:r>
    </w:p>
    <w:p w14:paraId="42449157" w14:textId="77777777" w:rsidR="00BE09E4" w:rsidRDefault="00335934" w:rsidP="00BE09E4">
      <w:pPr>
        <w:ind w:left="720"/>
        <w:rPr>
          <w:i/>
        </w:rPr>
      </w:pPr>
      <w:r w:rsidRPr="00BE09E4">
        <w:rPr>
          <w:i/>
        </w:rPr>
        <w:t>Tracleer</w:t>
      </w:r>
      <w:r w:rsidR="00974344" w:rsidRPr="00BE09E4">
        <w:rPr>
          <w:i/>
        </w:rPr>
        <w:t xml:space="preserve"> is </w:t>
      </w:r>
      <w:r w:rsidR="00BE09E4">
        <w:rPr>
          <w:i/>
        </w:rPr>
        <w:t>indicated for the treatment of:</w:t>
      </w:r>
    </w:p>
    <w:p w14:paraId="5B8894F0" w14:textId="77777777" w:rsidR="00BE09E4" w:rsidRPr="008D6064" w:rsidRDefault="00974344" w:rsidP="00BE09E4">
      <w:pPr>
        <w:pStyle w:val="ListBullet"/>
        <w:ind w:left="1491" w:hanging="357"/>
        <w:rPr>
          <w:i/>
        </w:rPr>
      </w:pPr>
      <w:r w:rsidRPr="008D6064">
        <w:rPr>
          <w:i/>
        </w:rPr>
        <w:t>idiopathic p</w:t>
      </w:r>
      <w:r w:rsidR="00BE09E4" w:rsidRPr="008D6064">
        <w:rPr>
          <w:i/>
        </w:rPr>
        <w:t>ulmonary arterial hypertension</w:t>
      </w:r>
    </w:p>
    <w:p w14:paraId="21C6AF54" w14:textId="77777777" w:rsidR="00BE09E4" w:rsidRPr="008D6064" w:rsidRDefault="00974344" w:rsidP="00BE09E4">
      <w:pPr>
        <w:pStyle w:val="ListBullet"/>
        <w:ind w:left="1491" w:hanging="357"/>
        <w:rPr>
          <w:i/>
        </w:rPr>
      </w:pPr>
      <w:r w:rsidRPr="008D6064">
        <w:rPr>
          <w:i/>
        </w:rPr>
        <w:t>familial p</w:t>
      </w:r>
      <w:r w:rsidR="00BE09E4" w:rsidRPr="008D6064">
        <w:rPr>
          <w:i/>
        </w:rPr>
        <w:t>ulmonary arterial hypertension</w:t>
      </w:r>
    </w:p>
    <w:p w14:paraId="5E40F1D2" w14:textId="77777777" w:rsidR="00BE09E4" w:rsidRPr="008D6064" w:rsidRDefault="00974344" w:rsidP="00BE09E4">
      <w:pPr>
        <w:pStyle w:val="ListBullet"/>
        <w:ind w:left="1491" w:hanging="357"/>
        <w:rPr>
          <w:i/>
        </w:rPr>
      </w:pPr>
      <w:r w:rsidRPr="008D6064">
        <w:rPr>
          <w:i/>
        </w:rPr>
        <w:t>pulmonary arterial hypertension</w:t>
      </w:r>
      <w:r w:rsidR="00BE09E4" w:rsidRPr="008D6064">
        <w:rPr>
          <w:i/>
        </w:rPr>
        <w:t xml:space="preserve"> associated with scleroderma or</w:t>
      </w:r>
    </w:p>
    <w:p w14:paraId="7C89E9FD" w14:textId="77777777" w:rsidR="00974344" w:rsidRPr="008D6064" w:rsidRDefault="00974344" w:rsidP="00BE09E4">
      <w:pPr>
        <w:pStyle w:val="ListBullet"/>
        <w:ind w:left="1491" w:hanging="357"/>
        <w:rPr>
          <w:i/>
        </w:rPr>
      </w:pPr>
      <w:proofErr w:type="gramStart"/>
      <w:r w:rsidRPr="008D6064">
        <w:rPr>
          <w:i/>
        </w:rPr>
        <w:t>pulmonary</w:t>
      </w:r>
      <w:proofErr w:type="gramEnd"/>
      <w:r w:rsidRPr="008D6064">
        <w:rPr>
          <w:i/>
        </w:rPr>
        <w:t xml:space="preserve"> arterial hypertension associated with congenital systemic to pulmonary shunts including </w:t>
      </w:r>
      <w:proofErr w:type="spellStart"/>
      <w:r w:rsidRPr="008D6064">
        <w:rPr>
          <w:i/>
        </w:rPr>
        <w:t>Eisenmenger’s</w:t>
      </w:r>
      <w:proofErr w:type="spellEnd"/>
      <w:r w:rsidRPr="008D6064">
        <w:rPr>
          <w:i/>
        </w:rPr>
        <w:t xml:space="preserve"> physiology in patients with WHO Functional Class II, III or IV symptoms</w:t>
      </w:r>
      <w:r w:rsidR="00335934" w:rsidRPr="008D6064">
        <w:rPr>
          <w:i/>
        </w:rPr>
        <w:t>.</w:t>
      </w:r>
    </w:p>
    <w:p w14:paraId="51E293E8" w14:textId="77777777" w:rsidR="00307E4A" w:rsidRDefault="004E1CB8" w:rsidP="004E1CB8">
      <w:pPr>
        <w:pStyle w:val="Heading4"/>
      </w:pPr>
      <w:r>
        <w:t>Reasons for the decision</w:t>
      </w:r>
    </w:p>
    <w:p w14:paraId="7C511500" w14:textId="77777777" w:rsidR="00307E4A" w:rsidRPr="009A022F" w:rsidRDefault="004E1CB8" w:rsidP="009A022F">
      <w:pPr>
        <w:pStyle w:val="Numberbullet0"/>
        <w:numPr>
          <w:ilvl w:val="0"/>
          <w:numId w:val="48"/>
        </w:numPr>
      </w:pPr>
      <w:r w:rsidRPr="009A022F">
        <w:t xml:space="preserve">The Delegate </w:t>
      </w:r>
      <w:r w:rsidR="00307E4A" w:rsidRPr="009A022F">
        <w:t>consider</w:t>
      </w:r>
      <w:r w:rsidRPr="009A022F">
        <w:t>ed</w:t>
      </w:r>
      <w:r w:rsidR="00307E4A" w:rsidRPr="009A022F">
        <w:t xml:space="preserve"> that the quality of </w:t>
      </w:r>
      <w:r w:rsidR="00335934" w:rsidRPr="009A022F">
        <w:t>Tracleer</w:t>
      </w:r>
      <w:r w:rsidR="00307E4A" w:rsidRPr="009A022F">
        <w:t xml:space="preserve"> 32 mg tablets for the proposed indication has been satisfactorily established</w:t>
      </w:r>
      <w:r w:rsidRPr="009A022F">
        <w:t>.</w:t>
      </w:r>
    </w:p>
    <w:p w14:paraId="4D9FAC84" w14:textId="779E161E" w:rsidR="009A022F" w:rsidRDefault="00307E4A" w:rsidP="009A022F">
      <w:pPr>
        <w:pStyle w:val="Numberbullet0"/>
      </w:pPr>
      <w:r>
        <w:t xml:space="preserve">Efficacy of the 32 mg bosentan tablet in the paediatric population was not directly established in the FUTURE-1, FUTURE-2, and FUTURE-3 </w:t>
      </w:r>
      <w:r w:rsidR="008D6064">
        <w:t>Stud</w:t>
      </w:r>
      <w:r>
        <w:t>ies, since efficacy analyses in these studies were exploratory only. The three studies were uncontrolled, with FUTURE-2 being an extension of FUTURE-1. The uncontrolled nature of the studies means it is difficult to attribute any change seen during the course of the study to an effect of th</w:t>
      </w:r>
      <w:r w:rsidR="009A022F">
        <w:t>e treatment being investigated.</w:t>
      </w:r>
    </w:p>
    <w:p w14:paraId="01AA2630" w14:textId="77777777" w:rsidR="00335934" w:rsidRDefault="00307E4A" w:rsidP="009A022F">
      <w:pPr>
        <w:pStyle w:val="Numberbullet2"/>
      </w:pPr>
      <w:r>
        <w:t>FUTURE-1 enrolled 36 childr</w:t>
      </w:r>
      <w:r w:rsidR="009A022F">
        <w:t xml:space="preserve">en. At the end of the study, 20 out of </w:t>
      </w:r>
      <w:r>
        <w:t xml:space="preserve">23 subjects in WHO Functional Capacity (FC) II remained stable, </w:t>
      </w:r>
      <w:r w:rsidR="009A022F">
        <w:t xml:space="preserve">while 2 out of 23 improved. 9 out of </w:t>
      </w:r>
      <w:r>
        <w:t xml:space="preserve">12 subjects in WHO </w:t>
      </w:r>
      <w:r w:rsidR="009A022F">
        <w:t xml:space="preserve">FC III remained stable, while 3 out of </w:t>
      </w:r>
      <w:r>
        <w:t>12 improved</w:t>
      </w:r>
      <w:r w:rsidR="00335934">
        <w:t>.</w:t>
      </w:r>
    </w:p>
    <w:p w14:paraId="7787B7EE" w14:textId="77777777" w:rsidR="00307E4A" w:rsidRDefault="00307E4A" w:rsidP="009A022F">
      <w:pPr>
        <w:pStyle w:val="Numberbullet2"/>
      </w:pPr>
      <w:r>
        <w:t xml:space="preserve">FUTURE-3 enrolled 64 children. In terms of WHO </w:t>
      </w:r>
      <w:r w:rsidR="009A022F">
        <w:t xml:space="preserve">FC, at the end of the study, 53 out of 64 remained stable, while 10 out of </w:t>
      </w:r>
      <w:r>
        <w:t>64 improved. Over 70% of subjects were stable according to Physician’s Global Clinical Impression Scale</w:t>
      </w:r>
      <w:r w:rsidR="004E1CB8">
        <w:t>.</w:t>
      </w:r>
    </w:p>
    <w:p w14:paraId="2CA82404" w14:textId="77777777" w:rsidR="00307E4A" w:rsidRDefault="00307E4A" w:rsidP="00BE09E4">
      <w:pPr>
        <w:pStyle w:val="Numberbullet0"/>
      </w:pPr>
      <w:r>
        <w:t>Efficacy of the 32 mg bosentan tablet cannot be inferred on the basis of bioequivalence to the currently-registered formulation. Study AC-052-116 compared the registered tablet to the 32 mg dispersible tablet in healthy adults. The 90% confidence intervals of the geometric mean ratios of C</w:t>
      </w:r>
      <w:r>
        <w:rPr>
          <w:sz w:val="14"/>
          <w:szCs w:val="14"/>
        </w:rPr>
        <w:t xml:space="preserve">max </w:t>
      </w:r>
      <w:r w:rsidR="009A022F">
        <w:t>and AUC fell outside the 0.80 </w:t>
      </w:r>
      <w:r>
        <w:t>to 1.25 equivalence range. The proposed dispersible tablet was less bioavailable than, and not bioequivalent to, the registered tablet</w:t>
      </w:r>
      <w:r w:rsidR="00335934">
        <w:t>.</w:t>
      </w:r>
    </w:p>
    <w:p w14:paraId="497A8AE3" w14:textId="77777777" w:rsidR="009A022F" w:rsidRDefault="00307E4A" w:rsidP="009A022F">
      <w:pPr>
        <w:pStyle w:val="Numberbullet0"/>
      </w:pPr>
      <w:r>
        <w:t>Efficacy of the 32 mg tablet in children cannot be inferred from results in adults on the basis of pharmacokinetic data, since bosentan plasma concentrations were not simil</w:t>
      </w:r>
      <w:r w:rsidR="009A022F">
        <w:t>ar between children and adults.</w:t>
      </w:r>
    </w:p>
    <w:p w14:paraId="7D2F13B5" w14:textId="77777777" w:rsidR="00335934" w:rsidRPr="009A022F" w:rsidRDefault="00307E4A" w:rsidP="009A022F">
      <w:pPr>
        <w:pStyle w:val="Numberbullet2"/>
      </w:pPr>
      <w:r w:rsidRPr="009A022F">
        <w:t xml:space="preserve">Exposure to bosentan in children for the proposed dose regimen was half that seen in an adult historical control population (geometric mean </w:t>
      </w:r>
      <w:proofErr w:type="spellStart"/>
      <w:r w:rsidRPr="009A022F">
        <w:t>AUC</w:t>
      </w:r>
      <w:r w:rsidRPr="009A022F">
        <w:rPr>
          <w:vertAlign w:val="subscript"/>
        </w:rPr>
        <w:t>τ</w:t>
      </w:r>
      <w:proofErr w:type="spellEnd"/>
      <w:r w:rsidRPr="009A022F">
        <w:t xml:space="preserve"> in adults 8</w:t>
      </w:r>
      <w:r w:rsidR="009A022F">
        <w:t>,</w:t>
      </w:r>
      <w:r w:rsidRPr="009A022F">
        <w:t>149 ng.h/mL, in children 4</w:t>
      </w:r>
      <w:r w:rsidR="009A022F">
        <w:t>,</w:t>
      </w:r>
      <w:r w:rsidRPr="009A022F">
        <w:t>383 ng.h/mL). C</w:t>
      </w:r>
      <w:r w:rsidRPr="009A022F">
        <w:rPr>
          <w:vertAlign w:val="subscript"/>
        </w:rPr>
        <w:t>max</w:t>
      </w:r>
      <w:r w:rsidRPr="009A022F">
        <w:t xml:space="preserve"> was around half that seen in adults</w:t>
      </w:r>
      <w:r w:rsidR="00335934" w:rsidRPr="009A022F">
        <w:t>.</w:t>
      </w:r>
    </w:p>
    <w:p w14:paraId="12140084" w14:textId="77777777" w:rsidR="00307E4A" w:rsidRDefault="00307E4A" w:rsidP="00BE09E4">
      <w:pPr>
        <w:pStyle w:val="Numberbullet2"/>
      </w:pPr>
      <w:r>
        <w:t xml:space="preserve">Bosentan exposure in children appeared to plateau: exposure to bosentan and its metabolites was similar after doses of 2 mg/kg </w:t>
      </w:r>
      <w:r w:rsidR="006231FF">
        <w:t>BD</w:t>
      </w:r>
      <w:r>
        <w:t xml:space="preserve"> and 4 mg/kg </w:t>
      </w:r>
      <w:r w:rsidR="006231FF">
        <w:t>BD</w:t>
      </w:r>
      <w:r>
        <w:t xml:space="preserve"> (</w:t>
      </w:r>
      <w:proofErr w:type="spellStart"/>
      <w:r>
        <w:t>AUC</w:t>
      </w:r>
      <w:r w:rsidRPr="009A022F">
        <w:rPr>
          <w:vertAlign w:val="subscript"/>
        </w:rPr>
        <w:t>τ</w:t>
      </w:r>
      <w:proofErr w:type="spellEnd"/>
      <w:r>
        <w:t xml:space="preserve"> was 3577 </w:t>
      </w:r>
      <w:proofErr w:type="spellStart"/>
      <w:r>
        <w:t>ng.h</w:t>
      </w:r>
      <w:proofErr w:type="spellEnd"/>
      <w:r>
        <w:t xml:space="preserve">/mL for 2 mg/kg and </w:t>
      </w:r>
      <w:proofErr w:type="gramStart"/>
      <w:r>
        <w:t>3</w:t>
      </w:r>
      <w:r w:rsidR="009A022F">
        <w:t>,</w:t>
      </w:r>
      <w:r>
        <w:t>371 ng.h/mL for 4 mg/kg</w:t>
      </w:r>
      <w:proofErr w:type="gramEnd"/>
      <w:r>
        <w:t>). Geometric mean C</w:t>
      </w:r>
      <w:r>
        <w:rPr>
          <w:sz w:val="14"/>
          <w:szCs w:val="14"/>
        </w:rPr>
        <w:t xml:space="preserve">max </w:t>
      </w:r>
      <w:r>
        <w:t xml:space="preserve">was </w:t>
      </w:r>
      <w:proofErr w:type="gramStart"/>
      <w:r>
        <w:t>583 ng/mL for 2 mg/kg</w:t>
      </w:r>
      <w:proofErr w:type="gramEnd"/>
      <w:r>
        <w:t xml:space="preserve"> and 649 ng/mL for 4 mg/kg</w:t>
      </w:r>
      <w:r w:rsidR="009A022F">
        <w:t>.</w:t>
      </w:r>
    </w:p>
    <w:p w14:paraId="246481E0" w14:textId="77777777" w:rsidR="009A022F" w:rsidRDefault="00307E4A" w:rsidP="00BE09E4">
      <w:pPr>
        <w:pStyle w:val="Numberbullet0"/>
      </w:pPr>
      <w:r>
        <w:lastRenderedPageBreak/>
        <w:t>Efficacy of the 32 mg tablet in children cannot be inferred from pharmacodynamic data, since pharmacodynamic data in children (BREATHE-3) relate to the currently-registered formulation only</w:t>
      </w:r>
      <w:r w:rsidR="00335934">
        <w:t>.</w:t>
      </w:r>
    </w:p>
    <w:p w14:paraId="3ED73183" w14:textId="77777777" w:rsidR="009A022F" w:rsidRDefault="00307E4A" w:rsidP="00BE09E4">
      <w:pPr>
        <w:pStyle w:val="Numberbullet0"/>
      </w:pPr>
      <w:r>
        <w:t>Extrapolation of efficacy of bosentan in adults to efficacy in children is additionally limited by differences in disease characteristics between adults and children, including differences in the types of PAH seen in children compared to adults</w:t>
      </w:r>
      <w:r w:rsidR="00335934">
        <w:t>.</w:t>
      </w:r>
    </w:p>
    <w:p w14:paraId="60933ED6" w14:textId="159A5513" w:rsidR="009A022F" w:rsidRDefault="00307E4A" w:rsidP="00BE09E4">
      <w:pPr>
        <w:pStyle w:val="Numberbullet0"/>
      </w:pPr>
      <w:r>
        <w:t xml:space="preserve">The application for a change in patient group for </w:t>
      </w:r>
      <w:r w:rsidR="00335934">
        <w:t>Tracleer</w:t>
      </w:r>
      <w:r>
        <w:t xml:space="preserve">, from children aged 3 years and over, to children aged one year and over, is also rejected independently of the decision to refuse registration of the proposed 32 mg tablet formulation because the efficacy was not demonstrated in this age group in the FUTURE </w:t>
      </w:r>
      <w:r w:rsidR="008D6064">
        <w:t>Stud</w:t>
      </w:r>
      <w:r>
        <w:t>ies</w:t>
      </w:r>
      <w:r w:rsidR="00335934">
        <w:t>.</w:t>
      </w:r>
    </w:p>
    <w:p w14:paraId="0BDE8631" w14:textId="10125871" w:rsidR="009A022F" w:rsidRDefault="00307E4A" w:rsidP="00BE09E4">
      <w:pPr>
        <w:pStyle w:val="Numberbullet0"/>
      </w:pPr>
      <w:r>
        <w:t xml:space="preserve">Adverse events seen in the FUTURE </w:t>
      </w:r>
      <w:r w:rsidR="008D6064">
        <w:t>Stud</w:t>
      </w:r>
      <w:r>
        <w:t xml:space="preserve">ies were consistent with the known adverse event profile of </w:t>
      </w:r>
      <w:proofErr w:type="gramStart"/>
      <w:r>
        <w:t>bosentan,</w:t>
      </w:r>
      <w:proofErr w:type="gramEnd"/>
      <w:r>
        <w:t xml:space="preserve"> however there were few children under the age of two years included in the data set. Safety results are difficult to interpret in the face of unproven efficacy</w:t>
      </w:r>
      <w:r w:rsidR="00335934">
        <w:t>.</w:t>
      </w:r>
    </w:p>
    <w:p w14:paraId="72CEAF3C" w14:textId="77777777" w:rsidR="00307E4A" w:rsidRDefault="00307E4A" w:rsidP="00BE09E4">
      <w:pPr>
        <w:pStyle w:val="Numberbullet0"/>
      </w:pPr>
      <w:r>
        <w:t xml:space="preserve">I have considered the advice of the ACM, with which I agree. As such, and for the reasons stated above, I do not consider that the applicant has satisfactorily established the safety and efficacy of </w:t>
      </w:r>
      <w:r w:rsidR="00335934">
        <w:t>Tracleer</w:t>
      </w:r>
      <w:r>
        <w:t xml:space="preserve"> 32 mg tablets for the proposed indication</w:t>
      </w:r>
      <w:r w:rsidR="00335934">
        <w:t>.</w:t>
      </w:r>
    </w:p>
    <w:p w14:paraId="7E257BCA" w14:textId="77777777" w:rsidR="00D404B9" w:rsidRDefault="00D404B9" w:rsidP="00D404B9">
      <w:pPr>
        <w:pStyle w:val="Heading4"/>
      </w:pPr>
      <w:r>
        <w:t>Delegate’s conclusion in relation to the application to register Tracleer 32 mg tablets for the proposed indication</w:t>
      </w:r>
    </w:p>
    <w:p w14:paraId="7F0B0344" w14:textId="77777777" w:rsidR="00D404B9" w:rsidRDefault="00D404B9" w:rsidP="00D404B9">
      <w:r>
        <w:t>In accordance with section 25(3) of the Act the Delegate decided not to register Tracleer 32 mg dispersible tablets for use in patients aged one year and older for the proposed indication because the safety and efficacy of the goods have not been satisfactorily established for the purposes for which they are to be used.</w:t>
      </w:r>
    </w:p>
    <w:p w14:paraId="648956E4" w14:textId="77777777" w:rsidR="00C80137" w:rsidRDefault="00884778" w:rsidP="00C80137">
      <w:pPr>
        <w:pStyle w:val="Heading2"/>
        <w:rPr>
          <w:lang w:eastAsia="en-AU"/>
        </w:rPr>
      </w:pPr>
      <w:bookmarkStart w:id="178" w:name="_Toc519764308"/>
      <w:bookmarkEnd w:id="176"/>
      <w:bookmarkEnd w:id="177"/>
      <w:proofErr w:type="gramStart"/>
      <w:r>
        <w:rPr>
          <w:lang w:eastAsia="en-AU"/>
        </w:rPr>
        <w:t>Attachment 1</w:t>
      </w:r>
      <w:r w:rsidR="00C80137">
        <w:rPr>
          <w:lang w:eastAsia="en-AU"/>
        </w:rPr>
        <w:t>.</w:t>
      </w:r>
      <w:proofErr w:type="gramEnd"/>
      <w:r w:rsidR="00A80B5B">
        <w:rPr>
          <w:lang w:eastAsia="en-AU"/>
        </w:rPr>
        <w:t xml:space="preserve"> </w:t>
      </w:r>
      <w:r w:rsidR="00C80137">
        <w:rPr>
          <w:lang w:eastAsia="en-AU"/>
        </w:rPr>
        <w:t>Extract from the Clinical Evaluation Report</w:t>
      </w:r>
      <w:bookmarkEnd w:id="178"/>
    </w:p>
    <w:p w14:paraId="03D7472B" w14:textId="77777777" w:rsidR="00291957" w:rsidRDefault="00291957" w:rsidP="00291957">
      <w:pPr>
        <w:rPr>
          <w:lang w:eastAsia="ja-JP"/>
        </w:rPr>
      </w:pPr>
    </w:p>
    <w:p w14:paraId="74D1E408" w14:textId="77777777" w:rsidR="00C80137" w:rsidRPr="001D043B" w:rsidRDefault="00C80137" w:rsidP="003A7F6C">
      <w:pPr>
        <w:pStyle w:val="TableTitle"/>
        <w:sectPr w:rsidR="00C80137" w:rsidRPr="001D043B" w:rsidSect="00B452CE">
          <w:headerReference w:type="even" r:id="rId46"/>
          <w:headerReference w:type="default" r:id="rId47"/>
          <w:headerReference w:type="first" r:id="rId48"/>
          <w:footerReference w:type="first" r:id="rId49"/>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524AED2E" w14:textId="77777777" w:rsidTr="00A05FA4">
        <w:trPr>
          <w:trHeight w:hRule="exact" w:val="704"/>
        </w:trPr>
        <w:tc>
          <w:tcPr>
            <w:tcW w:w="9175" w:type="dxa"/>
          </w:tcPr>
          <w:p w14:paraId="3325F594" w14:textId="77777777" w:rsidR="001C32CD" w:rsidRPr="00487162" w:rsidRDefault="001C32CD" w:rsidP="00A05FA4">
            <w:pPr>
              <w:pStyle w:val="TGASignoff"/>
            </w:pPr>
            <w:r w:rsidRPr="00487162">
              <w:lastRenderedPageBreak/>
              <w:t>Therapeutic Goods Administration</w:t>
            </w:r>
          </w:p>
        </w:tc>
      </w:tr>
      <w:tr w:rsidR="001C32CD" w:rsidRPr="004C239D" w14:paraId="6EF8C930" w14:textId="77777777" w:rsidTr="00A05FA4">
        <w:trPr>
          <w:trHeight w:val="1221"/>
        </w:trPr>
        <w:tc>
          <w:tcPr>
            <w:tcW w:w="9175" w:type="dxa"/>
            <w:tcMar>
              <w:top w:w="28" w:type="dxa"/>
            </w:tcMar>
          </w:tcPr>
          <w:p w14:paraId="1F79E351" w14:textId="77777777" w:rsidR="001C32CD" w:rsidRPr="00487162" w:rsidRDefault="001C32CD" w:rsidP="00A05FA4">
            <w:pPr>
              <w:pStyle w:val="Address"/>
            </w:pPr>
            <w:r w:rsidRPr="00487162">
              <w:t>PO Box 100 Woden ACT 2606 Australia</w:t>
            </w:r>
          </w:p>
          <w:p w14:paraId="22125998" w14:textId="77777777" w:rsidR="001C32CD" w:rsidRPr="00487162" w:rsidRDefault="001C32CD" w:rsidP="00A05FA4">
            <w:pPr>
              <w:pStyle w:val="Address"/>
            </w:pPr>
            <w:r w:rsidRPr="00487162">
              <w:t xml:space="preserve">Email: </w:t>
            </w:r>
            <w:hyperlink r:id="rId50" w:history="1">
              <w:r w:rsidRPr="004C239D">
                <w:rPr>
                  <w:rStyle w:val="Hyperlink"/>
                </w:rPr>
                <w:t>info@tga.gov.au</w:t>
              </w:r>
            </w:hyperlink>
            <w:r w:rsidR="00335934">
              <w:t xml:space="preserve"> </w:t>
            </w:r>
            <w:r w:rsidRPr="00487162">
              <w:t>Phone: 1800 020 653</w:t>
            </w:r>
            <w:r w:rsidR="00335934">
              <w:t xml:space="preserve"> </w:t>
            </w:r>
            <w:r w:rsidRPr="00487162">
              <w:t>Fax: 02 6232 8605</w:t>
            </w:r>
          </w:p>
          <w:p w14:paraId="3503D46A" w14:textId="77777777" w:rsidR="001C32CD" w:rsidRPr="004C239D" w:rsidRDefault="00232E73" w:rsidP="00A05FA4">
            <w:pPr>
              <w:pStyle w:val="Address"/>
              <w:spacing w:line="260" w:lineRule="atLeast"/>
              <w:rPr>
                <w:b/>
                <w:color w:val="0000FF"/>
                <w:u w:val="single"/>
              </w:rPr>
            </w:pPr>
            <w:hyperlink r:id="rId51" w:history="1">
              <w:r w:rsidR="007C6B9B" w:rsidRPr="007C6B9B">
                <w:rPr>
                  <w:rStyle w:val="Hyperlink"/>
                  <w:b/>
                </w:rPr>
                <w:t>https://www.tga.gov.au</w:t>
              </w:r>
            </w:hyperlink>
          </w:p>
        </w:tc>
      </w:tr>
    </w:tbl>
    <w:p w14:paraId="594B18BE" w14:textId="77777777" w:rsidR="00774E1D" w:rsidRPr="008A5E0B" w:rsidRDefault="00774E1D" w:rsidP="004C239D"/>
    <w:sectPr w:rsidR="00774E1D" w:rsidRPr="008A5E0B" w:rsidSect="001C32CD">
      <w:headerReference w:type="even" r:id="rId52"/>
      <w:headerReference w:type="default" r:id="rId53"/>
      <w:footerReference w:type="default" r:id="rId54"/>
      <w:headerReference w:type="first" r:id="rId55"/>
      <w:footerReference w:type="first" r:id="rId56"/>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F75FC7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79F9D2" w14:textId="77777777" w:rsidR="006B7A12" w:rsidRDefault="006B7A12" w:rsidP="00C40A36">
      <w:pPr>
        <w:spacing w:after="0"/>
      </w:pPr>
      <w:r>
        <w:separator/>
      </w:r>
    </w:p>
  </w:endnote>
  <w:endnote w:type="continuationSeparator" w:id="0">
    <w:p w14:paraId="11F009AE" w14:textId="77777777" w:rsidR="006B7A12" w:rsidRDefault="006B7A12"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panose1 w:val="00000000000000000000"/>
    <w:charset w:val="00"/>
    <w:family w:val="auto"/>
    <w:notTrueType/>
    <w:pitch w:val="default"/>
    <w:sig w:usb0="00000003" w:usb1="00000000" w:usb2="00000000" w:usb3="00000000" w:csb0="00000001" w:csb1="00000000"/>
  </w:font>
  <w:font w:name="NEJMScalaSansLF-Regular">
    <w:altName w:val="MS Mincho"/>
    <w:panose1 w:val="00000000000000000000"/>
    <w:charset w:val="80"/>
    <w:family w:val="auto"/>
    <w:notTrueType/>
    <w:pitch w:val="default"/>
    <w:sig w:usb0="00000000" w:usb1="08070000" w:usb2="00000010" w:usb3="00000000" w:csb0="00020000"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6B7A12" w:rsidRPr="00487162" w14:paraId="24C0F3ED" w14:textId="77777777" w:rsidTr="00DB750B">
      <w:trPr>
        <w:trHeight w:val="269"/>
      </w:trPr>
      <w:tc>
        <w:tcPr>
          <w:tcW w:w="7371" w:type="dxa"/>
          <w:tcMar>
            <w:top w:w="142" w:type="dxa"/>
            <w:bottom w:w="0" w:type="dxa"/>
          </w:tcMar>
        </w:tcPr>
        <w:p w14:paraId="482B6EF5" w14:textId="49A690EB" w:rsidR="006B7A12" w:rsidRPr="00487162" w:rsidRDefault="006B7A12" w:rsidP="00966CF3">
          <w:pPr>
            <w:pStyle w:val="Footer"/>
          </w:pPr>
          <w:proofErr w:type="spellStart"/>
          <w:r w:rsidRPr="00487162">
            <w:t>AusPA</w:t>
          </w:r>
          <w:r>
            <w:t>RTracleer</w:t>
          </w:r>
          <w:proofErr w:type="spellEnd"/>
          <w:r w:rsidRPr="00C34F97">
            <w:t xml:space="preserve"> - </w:t>
          </w:r>
          <w:proofErr w:type="spellStart"/>
          <w:r w:rsidRPr="00C34F97">
            <w:t>Bosentan</w:t>
          </w:r>
          <w:proofErr w:type="spellEnd"/>
          <w:r w:rsidRPr="00C34F97">
            <w:t xml:space="preserve"> - </w:t>
          </w:r>
          <w:proofErr w:type="spellStart"/>
          <w:r w:rsidRPr="00C34F97">
            <w:t>Actelion</w:t>
          </w:r>
          <w:proofErr w:type="spellEnd"/>
          <w:r w:rsidRPr="00C34F97">
            <w:t xml:space="preserve"> Pharmaceuticals Australia Pty Ltd - PM-2015-04745-1-3</w:t>
          </w:r>
          <w:r>
            <w:t xml:space="preserve"> FINAL 25 June 2018</w:t>
          </w:r>
        </w:p>
      </w:tc>
      <w:tc>
        <w:tcPr>
          <w:tcW w:w="1490" w:type="dxa"/>
          <w:tcMar>
            <w:top w:w="142" w:type="dxa"/>
            <w:bottom w:w="0" w:type="dxa"/>
          </w:tcMar>
        </w:tcPr>
        <w:p w14:paraId="454C8CC3" w14:textId="77777777" w:rsidR="006B7A12" w:rsidRPr="00487162" w:rsidRDefault="006B7A12" w:rsidP="00DB750B">
          <w:pPr>
            <w:pStyle w:val="Footer"/>
            <w:jc w:val="right"/>
          </w:pPr>
          <w:r w:rsidRPr="00487162">
            <w:t xml:space="preserve">Page </w:t>
          </w:r>
          <w:r>
            <w:fldChar w:fldCharType="begin"/>
          </w:r>
          <w:r>
            <w:instrText xml:space="preserve"> PAGE  \* Arabic </w:instrText>
          </w:r>
          <w:r>
            <w:fldChar w:fldCharType="separate"/>
          </w:r>
          <w:r w:rsidR="00232E73">
            <w:rPr>
              <w:noProof/>
            </w:rPr>
            <w:t>2</w:t>
          </w:r>
          <w:r>
            <w:fldChar w:fldCharType="end"/>
          </w:r>
          <w:r w:rsidRPr="00487162">
            <w:t xml:space="preserve"> of </w:t>
          </w:r>
          <w:r w:rsidR="00232E73">
            <w:fldChar w:fldCharType="begin"/>
          </w:r>
          <w:r w:rsidR="00232E73">
            <w:instrText xml:space="preserve"> NUMPAGES  \* Arabic </w:instrText>
          </w:r>
          <w:r w:rsidR="00232E73">
            <w:fldChar w:fldCharType="separate"/>
          </w:r>
          <w:r w:rsidR="00232E73">
            <w:rPr>
              <w:noProof/>
            </w:rPr>
            <w:t>58</w:t>
          </w:r>
          <w:r w:rsidR="00232E73">
            <w:rPr>
              <w:noProof/>
            </w:rPr>
            <w:fldChar w:fldCharType="end"/>
          </w:r>
        </w:p>
      </w:tc>
    </w:tr>
  </w:tbl>
  <w:p w14:paraId="195A91D5" w14:textId="77777777" w:rsidR="006B7A12" w:rsidRDefault="006B7A12"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6B7A12" w:rsidRPr="00487162" w14:paraId="3E3F020E" w14:textId="77777777" w:rsidTr="00E45619">
      <w:trPr>
        <w:trHeight w:val="269"/>
      </w:trPr>
      <w:tc>
        <w:tcPr>
          <w:tcW w:w="4519" w:type="dxa"/>
          <w:tcBorders>
            <w:top w:val="single" w:sz="4" w:space="0" w:color="auto"/>
          </w:tcBorders>
          <w:tcMar>
            <w:top w:w="142" w:type="dxa"/>
            <w:bottom w:w="0" w:type="dxa"/>
          </w:tcMar>
        </w:tcPr>
        <w:p w14:paraId="07B29A02" w14:textId="77777777" w:rsidR="006B7A12" w:rsidRPr="00487162" w:rsidRDefault="006B7A12" w:rsidP="00FE1DEE">
          <w:pPr>
            <w:pStyle w:val="Footer"/>
          </w:pPr>
          <w:r w:rsidRPr="00487162">
            <w:t>Document title, Part #, Section # - Section title</w:t>
          </w:r>
        </w:p>
        <w:p w14:paraId="69CB0109" w14:textId="77777777" w:rsidR="006B7A12" w:rsidRPr="00487162" w:rsidRDefault="006B7A12" w:rsidP="00FE1DEE">
          <w:pPr>
            <w:pStyle w:val="Footer"/>
          </w:pPr>
          <w:r w:rsidRPr="00487162">
            <w:t>V1.0 October 2010</w:t>
          </w:r>
        </w:p>
      </w:tc>
      <w:tc>
        <w:tcPr>
          <w:tcW w:w="4342" w:type="dxa"/>
          <w:tcBorders>
            <w:top w:val="single" w:sz="4" w:space="0" w:color="auto"/>
          </w:tcBorders>
          <w:tcMar>
            <w:top w:w="142" w:type="dxa"/>
            <w:bottom w:w="0" w:type="dxa"/>
          </w:tcMar>
        </w:tcPr>
        <w:p w14:paraId="2BF3ACF5" w14:textId="77777777" w:rsidR="006B7A12" w:rsidRPr="00487162" w:rsidRDefault="006B7A12"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232E73">
            <w:fldChar w:fldCharType="begin"/>
          </w:r>
          <w:r w:rsidR="00232E73">
            <w:instrText xml:space="preserve"> NUMPAGES  </w:instrText>
          </w:r>
          <w:r w:rsidR="00232E73">
            <w:fldChar w:fldCharType="separate"/>
          </w:r>
          <w:r>
            <w:rPr>
              <w:noProof/>
            </w:rPr>
            <w:t>3</w:t>
          </w:r>
          <w:r w:rsidR="00232E73">
            <w:rPr>
              <w:noProof/>
            </w:rPr>
            <w:fldChar w:fldCharType="end"/>
          </w:r>
        </w:p>
      </w:tc>
    </w:tr>
  </w:tbl>
  <w:p w14:paraId="123E9EC4" w14:textId="77777777" w:rsidR="006B7A12" w:rsidRDefault="006B7A1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19E33" w14:textId="77777777" w:rsidR="006B7A12" w:rsidRPr="001C32CD" w:rsidRDefault="006B7A12"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6B7A12" w14:paraId="755E6E3D" w14:textId="77777777" w:rsidTr="0010601F">
      <w:trPr>
        <w:trHeight w:val="108"/>
      </w:trPr>
      <w:tc>
        <w:tcPr>
          <w:tcW w:w="8875" w:type="dxa"/>
          <w:gridSpan w:val="2"/>
          <w:tcBorders>
            <w:bottom w:val="single" w:sz="4" w:space="0" w:color="auto"/>
          </w:tcBorders>
          <w:tcMar>
            <w:right w:w="284" w:type="dxa"/>
          </w:tcMar>
        </w:tcPr>
        <w:p w14:paraId="79C64FA3" w14:textId="77777777" w:rsidR="006B7A12" w:rsidRDefault="006B7A12" w:rsidP="006E08B3">
          <w:pPr>
            <w:pStyle w:val="Heading3"/>
          </w:pPr>
          <w:r>
            <w:t>Copyright</w:t>
          </w:r>
        </w:p>
        <w:p w14:paraId="47EA22D1" w14:textId="77777777" w:rsidR="006B7A12" w:rsidRDefault="006B7A12" w:rsidP="006E08B3">
          <w:r>
            <w:rPr>
              <w:rFonts w:cs="Arial"/>
            </w:rPr>
            <w:t>©</w:t>
          </w:r>
          <w:r>
            <w:t xml:space="preserve"> Commonwealth of Australia [add year]</w:t>
          </w:r>
        </w:p>
        <w:p w14:paraId="7C46767A" w14:textId="77777777" w:rsidR="006B7A12" w:rsidRDefault="006B7A12" w:rsidP="006E08B3"/>
        <w:p w14:paraId="363C1C42" w14:textId="77777777" w:rsidR="006B7A12" w:rsidRDefault="006B7A1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3B14E638" w14:textId="77777777" w:rsidR="006B7A12" w:rsidRDefault="006B7A12" w:rsidP="006E08B3"/>
        <w:p w14:paraId="2BD0CECF" w14:textId="77777777" w:rsidR="006B7A12" w:rsidRDefault="006B7A12" w:rsidP="006E08B3">
          <w:pPr>
            <w:pStyle w:val="Heading3"/>
          </w:pPr>
          <w:r>
            <w:t>Confidentiality</w:t>
          </w:r>
        </w:p>
        <w:p w14:paraId="049A9439" w14:textId="77777777" w:rsidR="006B7A12" w:rsidRDefault="006B7A1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39350AF3" w14:textId="77777777" w:rsidR="006B7A12" w:rsidRDefault="006B7A12" w:rsidP="006E08B3"/>
        <w:p w14:paraId="42F1E79D" w14:textId="77777777" w:rsidR="006B7A12" w:rsidRDefault="006B7A12" w:rsidP="006E08B3">
          <w:r>
            <w:t>For submission made by individuals, all personal details, other than your name, will be removed from your submission before it is published on the TGA’s Internet site.</w:t>
          </w:r>
        </w:p>
        <w:p w14:paraId="554F5BFC" w14:textId="77777777" w:rsidR="006B7A12" w:rsidRDefault="006B7A12" w:rsidP="006E08B3"/>
        <w:p w14:paraId="6088A63D" w14:textId="77777777" w:rsidR="006B7A12" w:rsidRDefault="006B7A12"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6B7A12" w14:paraId="264B3C39" w14:textId="77777777" w:rsidTr="0010601F">
      <w:trPr>
        <w:trHeight w:val="417"/>
      </w:trPr>
      <w:tc>
        <w:tcPr>
          <w:tcW w:w="4519" w:type="dxa"/>
          <w:tcBorders>
            <w:top w:val="single" w:sz="4" w:space="0" w:color="auto"/>
          </w:tcBorders>
          <w:tcMar>
            <w:top w:w="142" w:type="dxa"/>
            <w:bottom w:w="0" w:type="dxa"/>
          </w:tcMar>
        </w:tcPr>
        <w:p w14:paraId="42B81292" w14:textId="77777777" w:rsidR="006B7A12" w:rsidRDefault="006B7A12" w:rsidP="006E08B3">
          <w:r>
            <w:t>Document title, Part #, Section # - Section title</w:t>
          </w:r>
        </w:p>
        <w:p w14:paraId="2AAD40FC" w14:textId="77777777" w:rsidR="006B7A12" w:rsidRDefault="006B7A12" w:rsidP="006E08B3">
          <w:r>
            <w:t>V1.0 October 2010</w:t>
          </w:r>
        </w:p>
      </w:tc>
      <w:tc>
        <w:tcPr>
          <w:tcW w:w="4356" w:type="dxa"/>
          <w:tcBorders>
            <w:top w:val="single" w:sz="4" w:space="0" w:color="auto"/>
          </w:tcBorders>
          <w:tcMar>
            <w:top w:w="142" w:type="dxa"/>
            <w:bottom w:w="0" w:type="dxa"/>
          </w:tcMar>
        </w:tcPr>
        <w:p w14:paraId="53A2C422" w14:textId="77777777" w:rsidR="006B7A12" w:rsidRDefault="006B7A12"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232E73">
            <w:fldChar w:fldCharType="begin"/>
          </w:r>
          <w:r w:rsidR="00232E73">
            <w:instrText xml:space="preserve"> NUMPAGES  \* Arabic </w:instrText>
          </w:r>
          <w:r w:rsidR="00232E73">
            <w:fldChar w:fldCharType="separate"/>
          </w:r>
          <w:r>
            <w:rPr>
              <w:noProof/>
            </w:rPr>
            <w:t>3</w:t>
          </w:r>
          <w:r w:rsidR="00232E73">
            <w:rPr>
              <w:noProof/>
            </w:rPr>
            <w:fldChar w:fldCharType="end"/>
          </w:r>
          <w:r>
            <w:t xml:space="preserve"> </w:t>
          </w:r>
        </w:p>
      </w:tc>
    </w:tr>
  </w:tbl>
  <w:p w14:paraId="2F521174" w14:textId="77777777" w:rsidR="006B7A12" w:rsidRDefault="006B7A1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A3B874" w14:textId="77777777" w:rsidR="006B7A12" w:rsidRDefault="006B7A12" w:rsidP="00C40A36">
      <w:pPr>
        <w:spacing w:after="0"/>
      </w:pPr>
      <w:r>
        <w:separator/>
      </w:r>
    </w:p>
  </w:footnote>
  <w:footnote w:type="continuationSeparator" w:id="0">
    <w:p w14:paraId="2523519B" w14:textId="77777777" w:rsidR="006B7A12" w:rsidRDefault="006B7A12" w:rsidP="00C40A36">
      <w:pPr>
        <w:spacing w:after="0"/>
      </w:pPr>
      <w:r>
        <w:continuationSeparator/>
      </w:r>
    </w:p>
  </w:footnote>
  <w:footnote w:id="1">
    <w:p w14:paraId="2981B88B" w14:textId="77777777" w:rsidR="006B7A12" w:rsidRPr="008D6064" w:rsidRDefault="006B7A12">
      <w:pPr>
        <w:pStyle w:val="FootnoteText"/>
        <w:rPr>
          <w:lang w:val="en-US"/>
        </w:rPr>
      </w:pPr>
      <w:r>
        <w:rPr>
          <w:rStyle w:val="FootnoteReference"/>
        </w:rPr>
        <w:footnoteRef/>
      </w:r>
      <w:r>
        <w:t xml:space="preserve"> </w:t>
      </w:r>
      <w:r>
        <w:rPr>
          <w:lang w:val="en-US"/>
        </w:rPr>
        <w:t>Clarification: The information was subsequently provided and the evaluator assessment was that the response was considered acceptable. The flavoring agent is considered suitable for use in the proposed 32 mg bosentan (as monohydrate) dispersible tablets.</w:t>
      </w:r>
    </w:p>
  </w:footnote>
  <w:footnote w:id="2">
    <w:p w14:paraId="70916C2F" w14:textId="77777777" w:rsidR="006B7A12" w:rsidRPr="00335934" w:rsidRDefault="006B7A12">
      <w:pPr>
        <w:pStyle w:val="FootnoteText"/>
        <w:rPr>
          <w:lang w:val="en-US"/>
        </w:rPr>
      </w:pPr>
      <w:r>
        <w:rPr>
          <w:rStyle w:val="FootnoteReference"/>
        </w:rPr>
        <w:footnoteRef/>
      </w:r>
      <w:r>
        <w:t xml:space="preserve"> </w:t>
      </w:r>
      <w:proofErr w:type="gramStart"/>
      <w:r w:rsidRPr="0007162A">
        <w:t>CPMP/EWP/QWP/1401/98 Rev. 1/Corr</w:t>
      </w:r>
      <w:r>
        <w:t xml:space="preserve">. </w:t>
      </w:r>
      <w:r w:rsidRPr="00335934">
        <w:t>Guideline on the investigation of bioequivalence</w:t>
      </w:r>
      <w:r>
        <w:t>.</w:t>
      </w:r>
      <w:proofErr w:type="gramEnd"/>
    </w:p>
  </w:footnote>
  <w:footnote w:id="3">
    <w:p w14:paraId="15F0300D" w14:textId="77777777" w:rsidR="006B7A12" w:rsidRPr="00932527" w:rsidRDefault="006B7A12">
      <w:pPr>
        <w:pStyle w:val="FootnoteText"/>
        <w:rPr>
          <w:lang w:val="en-US"/>
        </w:rPr>
      </w:pPr>
      <w:r>
        <w:rPr>
          <w:rStyle w:val="FootnoteReference"/>
        </w:rPr>
        <w:footnoteRef/>
      </w:r>
      <w:r>
        <w:t xml:space="preserve"> </w:t>
      </w:r>
      <w:r>
        <w:rPr>
          <w:lang w:eastAsia="ja-JP"/>
        </w:rPr>
        <w:t>CPMP/EWP/QWP/1401/98 Rev. 1/ Corr ** Guideline on the Investigation of Bioequivalence</w:t>
      </w:r>
    </w:p>
  </w:footnote>
  <w:footnote w:id="4">
    <w:p w14:paraId="3A7028A2" w14:textId="77777777" w:rsidR="006B7A12" w:rsidRPr="00932527" w:rsidRDefault="006B7A12">
      <w:pPr>
        <w:pStyle w:val="FootnoteText"/>
        <w:rPr>
          <w:lang w:val="en-US"/>
        </w:rPr>
      </w:pPr>
      <w:r>
        <w:rPr>
          <w:rStyle w:val="FootnoteReference"/>
        </w:rPr>
        <w:footnoteRef/>
      </w:r>
      <w:r>
        <w:t xml:space="preserve"> </w:t>
      </w:r>
      <w:r w:rsidRPr="00E85C68">
        <w:t xml:space="preserve">EMA/618604/2008 Rev. 13 – Questions </w:t>
      </w:r>
      <w:r>
        <w:t>and</w:t>
      </w:r>
      <w:r w:rsidRPr="00E85C68">
        <w:t xml:space="preserve"> Answers: positions on specific questions addressed to the </w:t>
      </w:r>
      <w:r>
        <w:t>Pharmacokinetics Working Party (</w:t>
      </w:r>
      <w:r w:rsidRPr="00E85C68">
        <w:t>PKWP</w:t>
      </w:r>
      <w:r>
        <w:t>)</w:t>
      </w:r>
    </w:p>
  </w:footnote>
  <w:footnote w:id="5">
    <w:p w14:paraId="7BD39462" w14:textId="77777777" w:rsidR="006B7A12" w:rsidRPr="00D513A4" w:rsidRDefault="006B7A12">
      <w:pPr>
        <w:pStyle w:val="FootnoteText"/>
        <w:rPr>
          <w:lang w:val="en-US"/>
        </w:rPr>
      </w:pPr>
      <w:r>
        <w:rPr>
          <w:rStyle w:val="FootnoteReference"/>
        </w:rPr>
        <w:footnoteRef/>
      </w:r>
      <w:r>
        <w:t xml:space="preserve"> </w:t>
      </w:r>
      <w:r>
        <w:rPr>
          <w:lang w:eastAsia="ja-JP"/>
        </w:rPr>
        <w:t>CPMP/EWP/QWP/1401/98 Rev. 1/ Corr ** Guideline on the Investigation of Bioequivalence</w:t>
      </w:r>
    </w:p>
  </w:footnote>
  <w:footnote w:id="6">
    <w:p w14:paraId="7EF06304" w14:textId="54CB52ED" w:rsidR="006B7A12" w:rsidRPr="002E529B" w:rsidRDefault="006B7A12">
      <w:pPr>
        <w:pStyle w:val="FootnoteText"/>
        <w:rPr>
          <w:lang w:val="en-US"/>
        </w:rPr>
      </w:pPr>
      <w:r>
        <w:rPr>
          <w:rStyle w:val="FootnoteReference"/>
        </w:rPr>
        <w:footnoteRef/>
      </w:r>
      <w:r>
        <w:t xml:space="preserve"> ICH E11 Guideline</w:t>
      </w:r>
      <w:r>
        <w:rPr>
          <w:lang w:eastAsia="ja-JP"/>
        </w:rPr>
        <w:t xml:space="preserve">: </w:t>
      </w:r>
      <w:r w:rsidRPr="00667DE8">
        <w:rPr>
          <w:lang w:eastAsia="ja-JP"/>
        </w:rPr>
        <w:t>Clinical investigation of medicinal products in the paediatric population</w:t>
      </w:r>
    </w:p>
  </w:footnote>
  <w:footnote w:id="7">
    <w:p w14:paraId="6713948D" w14:textId="77777777" w:rsidR="006B7A12" w:rsidRPr="00D23699" w:rsidRDefault="006B7A12" w:rsidP="00D23699">
      <w:pPr>
        <w:autoSpaceDE w:val="0"/>
        <w:autoSpaceDN w:val="0"/>
        <w:adjustRightInd w:val="0"/>
        <w:spacing w:before="0" w:after="0" w:line="240" w:lineRule="auto"/>
        <w:rPr>
          <w:rFonts w:asciiTheme="minorHAnsi" w:eastAsiaTheme="minorHAnsi" w:hAnsiTheme="minorHAnsi" w:cs="TimesNewRoman"/>
          <w:sz w:val="18"/>
          <w:szCs w:val="18"/>
        </w:rPr>
      </w:pPr>
      <w:r w:rsidRPr="00D23699">
        <w:rPr>
          <w:rStyle w:val="FootnoteReference"/>
        </w:rPr>
        <w:footnoteRef/>
      </w:r>
      <w:r w:rsidRPr="00D23699">
        <w:t xml:space="preserve"> </w:t>
      </w:r>
      <w:proofErr w:type="spellStart"/>
      <w:proofErr w:type="gramStart"/>
      <w:r w:rsidRPr="00D23699">
        <w:rPr>
          <w:rFonts w:asciiTheme="minorHAnsi" w:hAnsiTheme="minorHAnsi"/>
          <w:sz w:val="18"/>
          <w:szCs w:val="18"/>
        </w:rPr>
        <w:t>Channick</w:t>
      </w:r>
      <w:proofErr w:type="spellEnd"/>
      <w:r w:rsidRPr="00D23699">
        <w:rPr>
          <w:rFonts w:asciiTheme="minorHAnsi" w:hAnsiTheme="minorHAnsi"/>
          <w:sz w:val="18"/>
          <w:szCs w:val="18"/>
        </w:rPr>
        <w:t xml:space="preserve"> RN et al 2001</w:t>
      </w:r>
      <w:r w:rsidRPr="00D23699">
        <w:rPr>
          <w:rFonts w:asciiTheme="minorHAnsi" w:eastAsiaTheme="minorHAnsi" w:hAnsiTheme="minorHAnsi" w:cs="TimesNewRoman"/>
          <w:sz w:val="18"/>
          <w:szCs w:val="18"/>
        </w:rPr>
        <w:t>.</w:t>
      </w:r>
      <w:proofErr w:type="gramEnd"/>
      <w:r w:rsidRPr="00D23699">
        <w:rPr>
          <w:rFonts w:asciiTheme="minorHAnsi" w:eastAsiaTheme="minorHAnsi" w:hAnsiTheme="minorHAnsi" w:cs="TimesNewRoman"/>
          <w:sz w:val="18"/>
          <w:szCs w:val="18"/>
        </w:rPr>
        <w:t xml:space="preserve"> Effects of the dual endothelin-receptor antagonist bosentan in patients with pulmonary hypertension</w:t>
      </w:r>
      <w:r>
        <w:rPr>
          <w:rFonts w:asciiTheme="minorHAnsi" w:eastAsiaTheme="minorHAnsi" w:hAnsiTheme="minorHAnsi" w:cs="TimesNewRoman"/>
          <w:sz w:val="18"/>
          <w:szCs w:val="18"/>
        </w:rPr>
        <w:t xml:space="preserve">: </w:t>
      </w:r>
      <w:r w:rsidRPr="00D23699">
        <w:rPr>
          <w:rFonts w:asciiTheme="minorHAnsi" w:eastAsiaTheme="minorHAnsi" w:hAnsiTheme="minorHAnsi" w:cs="TimesNewRoman"/>
          <w:sz w:val="18"/>
          <w:szCs w:val="18"/>
        </w:rPr>
        <w:t xml:space="preserve">a randomised placebo-controlled study. </w:t>
      </w:r>
      <w:proofErr w:type="gramStart"/>
      <w:r w:rsidRPr="00D23699">
        <w:rPr>
          <w:rFonts w:asciiTheme="minorHAnsi" w:eastAsiaTheme="minorHAnsi" w:hAnsiTheme="minorHAnsi" w:cs="TimesNewRoman"/>
          <w:i/>
          <w:sz w:val="18"/>
          <w:szCs w:val="18"/>
        </w:rPr>
        <w:t>Lancet.</w:t>
      </w:r>
      <w:proofErr w:type="gramEnd"/>
      <w:r>
        <w:rPr>
          <w:rFonts w:asciiTheme="minorHAnsi" w:eastAsiaTheme="minorHAnsi" w:hAnsiTheme="minorHAnsi" w:cs="TimesNewRoman"/>
          <w:sz w:val="18"/>
          <w:szCs w:val="18"/>
        </w:rPr>
        <w:t xml:space="preserve"> </w:t>
      </w:r>
      <w:proofErr w:type="gramStart"/>
      <w:r>
        <w:rPr>
          <w:rFonts w:asciiTheme="minorHAnsi" w:eastAsiaTheme="minorHAnsi" w:hAnsiTheme="minorHAnsi" w:cs="TimesNewRoman"/>
          <w:sz w:val="18"/>
          <w:szCs w:val="18"/>
        </w:rPr>
        <w:t>2001</w:t>
      </w:r>
      <w:r w:rsidRPr="00D23699">
        <w:rPr>
          <w:rFonts w:asciiTheme="minorHAnsi" w:eastAsiaTheme="minorHAnsi" w:hAnsiTheme="minorHAnsi" w:cs="TimesNewRoman"/>
          <w:sz w:val="18"/>
          <w:szCs w:val="18"/>
        </w:rPr>
        <w:t>;</w:t>
      </w:r>
      <w:r>
        <w:rPr>
          <w:rFonts w:asciiTheme="minorHAnsi" w:eastAsiaTheme="minorHAnsi" w:hAnsiTheme="minorHAnsi" w:cs="TimesNewRoman"/>
          <w:sz w:val="18"/>
          <w:szCs w:val="18"/>
        </w:rPr>
        <w:t xml:space="preserve"> 358</w:t>
      </w:r>
      <w:r w:rsidRPr="00D23699">
        <w:rPr>
          <w:rFonts w:asciiTheme="minorHAnsi" w:eastAsiaTheme="minorHAnsi" w:hAnsiTheme="minorHAnsi" w:cs="TimesNewRoman"/>
          <w:sz w:val="18"/>
          <w:szCs w:val="18"/>
        </w:rPr>
        <w:t>:</w:t>
      </w:r>
      <w:r>
        <w:rPr>
          <w:rFonts w:asciiTheme="minorHAnsi" w:eastAsiaTheme="minorHAnsi" w:hAnsiTheme="minorHAnsi" w:cs="TimesNewRoman"/>
          <w:sz w:val="18"/>
          <w:szCs w:val="18"/>
        </w:rPr>
        <w:t xml:space="preserve"> </w:t>
      </w:r>
      <w:r w:rsidRPr="00D23699">
        <w:rPr>
          <w:rFonts w:asciiTheme="minorHAnsi" w:eastAsiaTheme="minorHAnsi" w:hAnsiTheme="minorHAnsi" w:cs="TimesNewRoman"/>
          <w:sz w:val="18"/>
          <w:szCs w:val="18"/>
        </w:rPr>
        <w:t>1119-</w:t>
      </w:r>
      <w:r>
        <w:rPr>
          <w:rFonts w:asciiTheme="minorHAnsi" w:eastAsiaTheme="minorHAnsi" w:hAnsiTheme="minorHAnsi" w:cs="TimesNewRoman"/>
          <w:sz w:val="18"/>
          <w:szCs w:val="18"/>
        </w:rPr>
        <w:t>11</w:t>
      </w:r>
      <w:r w:rsidRPr="00D23699">
        <w:rPr>
          <w:rFonts w:asciiTheme="minorHAnsi" w:eastAsiaTheme="minorHAnsi" w:hAnsiTheme="minorHAnsi" w:cs="TimesNewRoman"/>
          <w:sz w:val="18"/>
          <w:szCs w:val="18"/>
        </w:rPr>
        <w:t>23.</w:t>
      </w:r>
      <w:proofErr w:type="gramEnd"/>
    </w:p>
  </w:footnote>
  <w:footnote w:id="8">
    <w:p w14:paraId="7536C80D" w14:textId="17393F2B" w:rsidR="006B7A12" w:rsidRPr="00D23699" w:rsidRDefault="006B7A12">
      <w:pPr>
        <w:pStyle w:val="FootnoteText"/>
        <w:rPr>
          <w:szCs w:val="18"/>
        </w:rPr>
      </w:pPr>
      <w:r w:rsidRPr="00D23699">
        <w:rPr>
          <w:rStyle w:val="FootnoteReference"/>
        </w:rPr>
        <w:footnoteRef/>
      </w:r>
      <w:r w:rsidRPr="00D23699">
        <w:t xml:space="preserve"> </w:t>
      </w:r>
      <w:proofErr w:type="spellStart"/>
      <w:r w:rsidRPr="00D23699">
        <w:t>Galie</w:t>
      </w:r>
      <w:proofErr w:type="spellEnd"/>
      <w:r w:rsidRPr="00D23699">
        <w:t xml:space="preserve"> N et al 2006 Bosentan Therapy in Patients With </w:t>
      </w:r>
      <w:proofErr w:type="spellStart"/>
      <w:r w:rsidRPr="00D23699">
        <w:t>Eisenmenger</w:t>
      </w:r>
      <w:proofErr w:type="spellEnd"/>
      <w:r w:rsidRPr="00D23699">
        <w:t xml:space="preserve"> Syndrome: A </w:t>
      </w:r>
      <w:proofErr w:type="spellStart"/>
      <w:r w:rsidRPr="00D23699">
        <w:t>Multicenter</w:t>
      </w:r>
      <w:proofErr w:type="spellEnd"/>
      <w:r w:rsidRPr="00D23699">
        <w:t>, Double-Blind, Random</w:t>
      </w:r>
      <w:r>
        <w:t>ise</w:t>
      </w:r>
      <w:r w:rsidRPr="00D23699">
        <w:t>d, Placebo-</w:t>
      </w:r>
      <w:r w:rsidRPr="00D23699">
        <w:rPr>
          <w:szCs w:val="18"/>
        </w:rPr>
        <w:t xml:space="preserve">Controlled Study </w:t>
      </w:r>
      <w:r w:rsidRPr="00D23699">
        <w:rPr>
          <w:rFonts w:asciiTheme="minorHAnsi" w:eastAsiaTheme="minorHAnsi" w:hAnsiTheme="minorHAnsi"/>
          <w:i/>
          <w:iCs/>
          <w:szCs w:val="18"/>
        </w:rPr>
        <w:t>Circulation</w:t>
      </w:r>
      <w:r w:rsidRPr="00D23699">
        <w:rPr>
          <w:rFonts w:ascii="Times New Roman" w:eastAsiaTheme="minorHAnsi" w:hAnsi="Times New Roman"/>
          <w:i/>
          <w:iCs/>
          <w:szCs w:val="18"/>
        </w:rPr>
        <w:t xml:space="preserve"> </w:t>
      </w:r>
      <w:r w:rsidRPr="00D23699">
        <w:rPr>
          <w:rFonts w:asciiTheme="minorHAnsi" w:eastAsiaTheme="minorHAnsi" w:hAnsiTheme="minorHAnsi"/>
          <w:szCs w:val="18"/>
        </w:rPr>
        <w:t>2006;114;48-54</w:t>
      </w:r>
    </w:p>
  </w:footnote>
  <w:footnote w:id="9">
    <w:p w14:paraId="51A58AF7" w14:textId="77777777" w:rsidR="006B7A12" w:rsidRPr="007C535F" w:rsidRDefault="006B7A12">
      <w:pPr>
        <w:pStyle w:val="FootnoteText"/>
        <w:rPr>
          <w:lang w:val="en-US"/>
        </w:rPr>
      </w:pPr>
      <w:r>
        <w:rPr>
          <w:rStyle w:val="FootnoteReference"/>
        </w:rPr>
        <w:footnoteRef/>
      </w:r>
      <w:r>
        <w:t xml:space="preserve"> </w:t>
      </w:r>
      <w:proofErr w:type="spellStart"/>
      <w:r w:rsidRPr="00D23699">
        <w:rPr>
          <w:rFonts w:asciiTheme="minorHAnsi" w:eastAsiaTheme="minorHAnsi" w:hAnsiTheme="minorHAnsi" w:cs="TimesNewRoman"/>
          <w:szCs w:val="18"/>
        </w:rPr>
        <w:t>Galie</w:t>
      </w:r>
      <w:proofErr w:type="spellEnd"/>
      <w:r w:rsidRPr="00D23699">
        <w:rPr>
          <w:rFonts w:asciiTheme="minorHAnsi" w:eastAsiaTheme="minorHAnsi" w:hAnsiTheme="minorHAnsi" w:cs="TimesNewRoman"/>
          <w:szCs w:val="18"/>
        </w:rPr>
        <w:t xml:space="preserve"> N, et al. </w:t>
      </w:r>
      <w:r>
        <w:rPr>
          <w:rFonts w:asciiTheme="minorHAnsi" w:eastAsiaTheme="minorHAnsi" w:hAnsiTheme="minorHAnsi" w:cs="TimesNewRoman"/>
          <w:szCs w:val="18"/>
        </w:rPr>
        <w:t xml:space="preserve">2008 </w:t>
      </w:r>
      <w:r w:rsidRPr="00D23699">
        <w:rPr>
          <w:rFonts w:asciiTheme="minorHAnsi" w:eastAsiaTheme="minorHAnsi" w:hAnsiTheme="minorHAnsi" w:cs="TimesNewRoman"/>
          <w:szCs w:val="18"/>
        </w:rPr>
        <w:t>Tr</w:t>
      </w:r>
      <w:r>
        <w:rPr>
          <w:rFonts w:asciiTheme="minorHAnsi" w:eastAsiaTheme="minorHAnsi" w:hAnsiTheme="minorHAnsi" w:cs="TimesNewRoman"/>
          <w:szCs w:val="18"/>
        </w:rPr>
        <w:t xml:space="preserve">eatment of patients with mildly symptomatic pulmonary </w:t>
      </w:r>
      <w:r w:rsidRPr="00D23699">
        <w:rPr>
          <w:rFonts w:asciiTheme="minorHAnsi" w:eastAsiaTheme="minorHAnsi" w:hAnsiTheme="minorHAnsi" w:cs="TimesNewRoman"/>
          <w:szCs w:val="18"/>
        </w:rPr>
        <w:t>arterial hypertension</w:t>
      </w:r>
      <w:r>
        <w:rPr>
          <w:rFonts w:asciiTheme="minorHAnsi" w:eastAsiaTheme="minorHAnsi" w:hAnsiTheme="minorHAnsi" w:cs="TimesNewRoman"/>
          <w:szCs w:val="18"/>
        </w:rPr>
        <w:t xml:space="preserve"> with bosentan (EARLY study): a </w:t>
      </w:r>
      <w:r w:rsidRPr="00D23699">
        <w:rPr>
          <w:rFonts w:asciiTheme="minorHAnsi" w:eastAsiaTheme="minorHAnsi" w:hAnsiTheme="minorHAnsi" w:cs="TimesNewRoman"/>
          <w:szCs w:val="18"/>
        </w:rPr>
        <w:t xml:space="preserve">double-blind, randomised controlled trial. </w:t>
      </w:r>
      <w:proofErr w:type="gramStart"/>
      <w:r w:rsidRPr="00D23699">
        <w:rPr>
          <w:rFonts w:asciiTheme="minorHAnsi" w:eastAsiaTheme="minorHAnsi" w:hAnsiTheme="minorHAnsi" w:cs="TimesNewRoman"/>
          <w:i/>
          <w:szCs w:val="18"/>
        </w:rPr>
        <w:t>Lancet.</w:t>
      </w:r>
      <w:proofErr w:type="gramEnd"/>
      <w:r>
        <w:rPr>
          <w:rFonts w:asciiTheme="minorHAnsi" w:eastAsiaTheme="minorHAnsi" w:hAnsiTheme="minorHAnsi" w:cs="TimesNewRoman"/>
          <w:szCs w:val="18"/>
        </w:rPr>
        <w:t xml:space="preserve"> </w:t>
      </w:r>
      <w:proofErr w:type="gramStart"/>
      <w:r>
        <w:rPr>
          <w:rFonts w:asciiTheme="minorHAnsi" w:eastAsiaTheme="minorHAnsi" w:hAnsiTheme="minorHAnsi" w:cs="TimesNewRoman"/>
          <w:szCs w:val="18"/>
        </w:rPr>
        <w:t>2008; 371: 2093-2</w:t>
      </w:r>
      <w:r w:rsidRPr="00D23699">
        <w:rPr>
          <w:rFonts w:asciiTheme="minorHAnsi" w:eastAsiaTheme="minorHAnsi" w:hAnsiTheme="minorHAnsi" w:cs="TimesNewRoman"/>
          <w:szCs w:val="18"/>
        </w:rPr>
        <w:t>100.</w:t>
      </w:r>
      <w:proofErr w:type="gramEnd"/>
    </w:p>
  </w:footnote>
  <w:footnote w:id="10">
    <w:p w14:paraId="56D10377" w14:textId="77777777" w:rsidR="006B7A12" w:rsidRPr="00D23699" w:rsidRDefault="006B7A12" w:rsidP="00D23699">
      <w:pPr>
        <w:autoSpaceDE w:val="0"/>
        <w:autoSpaceDN w:val="0"/>
        <w:adjustRightInd w:val="0"/>
        <w:spacing w:before="0" w:after="0" w:line="240" w:lineRule="auto"/>
        <w:rPr>
          <w:sz w:val="18"/>
          <w:szCs w:val="18"/>
        </w:rPr>
      </w:pPr>
      <w:r>
        <w:rPr>
          <w:rStyle w:val="FootnoteReference"/>
        </w:rPr>
        <w:footnoteRef/>
      </w:r>
      <w:r>
        <w:t xml:space="preserve"> </w:t>
      </w:r>
      <w:proofErr w:type="spellStart"/>
      <w:proofErr w:type="gramStart"/>
      <w:r w:rsidRPr="00D23699">
        <w:rPr>
          <w:sz w:val="18"/>
          <w:szCs w:val="20"/>
        </w:rPr>
        <w:t>Barst</w:t>
      </w:r>
      <w:proofErr w:type="spellEnd"/>
      <w:r w:rsidRPr="00D23699">
        <w:rPr>
          <w:sz w:val="18"/>
          <w:szCs w:val="20"/>
        </w:rPr>
        <w:t xml:space="preserve"> R J et al 2004</w:t>
      </w:r>
      <w:r w:rsidRPr="00D23699">
        <w:t xml:space="preserve"> </w:t>
      </w:r>
      <w:proofErr w:type="spellStart"/>
      <w:r w:rsidRPr="00D23699">
        <w:rPr>
          <w:sz w:val="18"/>
          <w:szCs w:val="20"/>
        </w:rPr>
        <w:t>Sitaxsentan</w:t>
      </w:r>
      <w:proofErr w:type="spellEnd"/>
      <w:r w:rsidRPr="00D23699">
        <w:rPr>
          <w:sz w:val="18"/>
          <w:szCs w:val="20"/>
        </w:rPr>
        <w:t xml:space="preserve"> Therapy for Pulmonary Arterial Hypertension.</w:t>
      </w:r>
      <w:proofErr w:type="gramEnd"/>
      <w:r w:rsidRPr="00D23699">
        <w:rPr>
          <w:sz w:val="18"/>
          <w:szCs w:val="20"/>
        </w:rPr>
        <w:t xml:space="preserve"> </w:t>
      </w:r>
      <w:r w:rsidRPr="00D23699">
        <w:rPr>
          <w:i/>
          <w:sz w:val="18"/>
          <w:szCs w:val="20"/>
        </w:rPr>
        <w:t xml:space="preserve">Am J </w:t>
      </w:r>
      <w:proofErr w:type="spellStart"/>
      <w:r w:rsidRPr="00D23699">
        <w:rPr>
          <w:i/>
          <w:sz w:val="18"/>
          <w:szCs w:val="20"/>
        </w:rPr>
        <w:t>Respir</w:t>
      </w:r>
      <w:proofErr w:type="spellEnd"/>
      <w:r w:rsidRPr="00D23699">
        <w:rPr>
          <w:i/>
          <w:sz w:val="18"/>
          <w:szCs w:val="20"/>
        </w:rPr>
        <w:t xml:space="preserve"> </w:t>
      </w:r>
      <w:proofErr w:type="spellStart"/>
      <w:r w:rsidRPr="00D23699">
        <w:rPr>
          <w:i/>
          <w:sz w:val="18"/>
          <w:szCs w:val="20"/>
        </w:rPr>
        <w:t>Crit</w:t>
      </w:r>
      <w:proofErr w:type="spellEnd"/>
      <w:r w:rsidRPr="00D23699">
        <w:rPr>
          <w:i/>
          <w:sz w:val="18"/>
          <w:szCs w:val="20"/>
        </w:rPr>
        <w:t xml:space="preserve"> Care Med</w:t>
      </w:r>
      <w:r w:rsidRPr="00D23699">
        <w:rPr>
          <w:sz w:val="18"/>
          <w:szCs w:val="20"/>
        </w:rPr>
        <w:t xml:space="preserve"> </w:t>
      </w:r>
      <w:r w:rsidRPr="00D23699">
        <w:rPr>
          <w:sz w:val="18"/>
          <w:szCs w:val="18"/>
        </w:rPr>
        <w:t>2004; 169: 441–447</w:t>
      </w:r>
    </w:p>
  </w:footnote>
  <w:footnote w:id="11">
    <w:p w14:paraId="2B7ECEFD" w14:textId="77777777" w:rsidR="006B7A12" w:rsidRPr="00D23699" w:rsidRDefault="006B7A12" w:rsidP="00D23699">
      <w:pPr>
        <w:autoSpaceDE w:val="0"/>
        <w:autoSpaceDN w:val="0"/>
        <w:adjustRightInd w:val="0"/>
        <w:spacing w:before="0" w:after="0" w:line="240" w:lineRule="auto"/>
        <w:rPr>
          <w:sz w:val="18"/>
          <w:szCs w:val="20"/>
        </w:rPr>
      </w:pPr>
      <w:r w:rsidRPr="00D23699">
        <w:rPr>
          <w:rStyle w:val="FootnoteReference"/>
          <w:sz w:val="18"/>
          <w:szCs w:val="18"/>
        </w:rPr>
        <w:footnoteRef/>
      </w:r>
      <w:r>
        <w:t xml:space="preserve"> </w:t>
      </w:r>
      <w:proofErr w:type="spellStart"/>
      <w:r w:rsidRPr="00D23699">
        <w:rPr>
          <w:sz w:val="18"/>
          <w:szCs w:val="20"/>
        </w:rPr>
        <w:t>Galie</w:t>
      </w:r>
      <w:proofErr w:type="spellEnd"/>
      <w:r w:rsidRPr="00D23699">
        <w:rPr>
          <w:sz w:val="18"/>
          <w:szCs w:val="20"/>
        </w:rPr>
        <w:t xml:space="preserve"> N et al 2005 Sildenafi</w:t>
      </w:r>
      <w:r>
        <w:rPr>
          <w:sz w:val="18"/>
          <w:szCs w:val="20"/>
        </w:rPr>
        <w:t xml:space="preserve">l Citrate Therapy for Pulmonary </w:t>
      </w:r>
      <w:r w:rsidRPr="00D23699">
        <w:rPr>
          <w:sz w:val="18"/>
          <w:szCs w:val="20"/>
        </w:rPr>
        <w:t xml:space="preserve">Arterial </w:t>
      </w:r>
      <w:r w:rsidRPr="00D23699">
        <w:rPr>
          <w:rFonts w:asciiTheme="minorHAnsi" w:hAnsiTheme="minorHAnsi"/>
          <w:sz w:val="18"/>
          <w:szCs w:val="18"/>
        </w:rPr>
        <w:t xml:space="preserve">Hypertension. </w:t>
      </w:r>
      <w:r w:rsidRPr="00D23699">
        <w:rPr>
          <w:rFonts w:asciiTheme="minorHAnsi" w:eastAsia="NEJMScalaSansLF-Regular" w:hAnsiTheme="minorHAnsi" w:cs="NEJMScalaSansLF-Regular"/>
          <w:i/>
          <w:sz w:val="18"/>
          <w:szCs w:val="18"/>
        </w:rPr>
        <w:t>N Engl J Med</w:t>
      </w:r>
      <w:r w:rsidRPr="00D23699">
        <w:rPr>
          <w:rFonts w:asciiTheme="minorHAnsi" w:eastAsia="NEJMScalaSansLF-Regular" w:hAnsiTheme="minorHAnsi" w:cs="NEJMScalaSansLF-Regular"/>
          <w:sz w:val="18"/>
          <w:szCs w:val="18"/>
        </w:rPr>
        <w:t xml:space="preserve"> 2005;</w:t>
      </w:r>
      <w:r>
        <w:rPr>
          <w:rFonts w:asciiTheme="minorHAnsi" w:eastAsia="NEJMScalaSansLF-Regular" w:hAnsiTheme="minorHAnsi" w:cs="NEJMScalaSansLF-Regular"/>
          <w:sz w:val="18"/>
          <w:szCs w:val="18"/>
        </w:rPr>
        <w:t xml:space="preserve"> </w:t>
      </w:r>
      <w:r w:rsidRPr="00D23699">
        <w:rPr>
          <w:rFonts w:asciiTheme="minorHAnsi" w:eastAsia="NEJMScalaSansLF-Regular" w:hAnsiTheme="minorHAnsi" w:cs="NEJMScalaSansLF-Regular"/>
          <w:sz w:val="18"/>
          <w:szCs w:val="18"/>
        </w:rPr>
        <w:t>353:</w:t>
      </w:r>
      <w:r>
        <w:rPr>
          <w:rFonts w:asciiTheme="minorHAnsi" w:eastAsia="NEJMScalaSansLF-Regular" w:hAnsiTheme="minorHAnsi" w:cs="NEJMScalaSansLF-Regular"/>
          <w:sz w:val="18"/>
          <w:szCs w:val="18"/>
        </w:rPr>
        <w:t xml:space="preserve"> </w:t>
      </w:r>
      <w:r w:rsidRPr="00D23699">
        <w:rPr>
          <w:rFonts w:asciiTheme="minorHAnsi" w:eastAsia="NEJMScalaSansLF-Regular" w:hAnsiTheme="minorHAnsi" w:cs="NEJMScalaSansLF-Regular"/>
          <w:sz w:val="18"/>
          <w:szCs w:val="18"/>
        </w:rPr>
        <w:t>2148-</w:t>
      </w:r>
      <w:r>
        <w:rPr>
          <w:rFonts w:asciiTheme="minorHAnsi" w:eastAsia="NEJMScalaSansLF-Regular" w:hAnsiTheme="minorHAnsi" w:cs="NEJMScalaSansLF-Regular"/>
          <w:sz w:val="18"/>
          <w:szCs w:val="18"/>
        </w:rPr>
        <w:t>21</w:t>
      </w:r>
      <w:r w:rsidRPr="00D23699">
        <w:rPr>
          <w:rFonts w:asciiTheme="minorHAnsi" w:eastAsia="NEJMScalaSansLF-Regular" w:hAnsiTheme="minorHAnsi" w:cs="NEJMScalaSansLF-Regular"/>
          <w:sz w:val="18"/>
          <w:szCs w:val="18"/>
        </w:rPr>
        <w:t>57.</w:t>
      </w:r>
    </w:p>
  </w:footnote>
  <w:footnote w:id="12">
    <w:p w14:paraId="3AD782D2" w14:textId="77777777" w:rsidR="006B7A12" w:rsidRPr="00D23699" w:rsidRDefault="006B7A12" w:rsidP="00D23699">
      <w:pPr>
        <w:autoSpaceDE w:val="0"/>
        <w:autoSpaceDN w:val="0"/>
        <w:adjustRightInd w:val="0"/>
        <w:spacing w:before="0" w:after="0" w:line="240" w:lineRule="auto"/>
        <w:rPr>
          <w:rFonts w:asciiTheme="minorHAnsi" w:eastAsiaTheme="minorHAnsi" w:hAnsiTheme="minorHAnsi" w:cs="TimesNewRoman"/>
          <w:sz w:val="18"/>
          <w:szCs w:val="18"/>
        </w:rPr>
      </w:pPr>
      <w:r w:rsidRPr="00D23699">
        <w:rPr>
          <w:rStyle w:val="FootnoteReference"/>
          <w:sz w:val="18"/>
          <w:szCs w:val="18"/>
        </w:rPr>
        <w:footnoteRef/>
      </w:r>
      <w:r w:rsidRPr="00D23699">
        <w:rPr>
          <w:sz w:val="18"/>
          <w:szCs w:val="18"/>
        </w:rPr>
        <w:t xml:space="preserve"> </w:t>
      </w:r>
      <w:proofErr w:type="spellStart"/>
      <w:r w:rsidRPr="00D23699">
        <w:rPr>
          <w:rFonts w:asciiTheme="minorHAnsi" w:hAnsiTheme="minorHAnsi"/>
          <w:sz w:val="18"/>
          <w:szCs w:val="18"/>
        </w:rPr>
        <w:t>Olschewski</w:t>
      </w:r>
      <w:proofErr w:type="spellEnd"/>
      <w:r w:rsidRPr="00D23699">
        <w:rPr>
          <w:rFonts w:asciiTheme="minorHAnsi" w:hAnsiTheme="minorHAnsi"/>
          <w:sz w:val="18"/>
          <w:szCs w:val="18"/>
        </w:rPr>
        <w:t xml:space="preserve"> H et al 2002</w:t>
      </w:r>
      <w:r w:rsidRPr="00D23699">
        <w:rPr>
          <w:rFonts w:asciiTheme="minorHAnsi" w:eastAsiaTheme="minorHAnsi" w:hAnsiTheme="minorHAnsi" w:cs="TimesNewRoman"/>
          <w:sz w:val="18"/>
          <w:szCs w:val="18"/>
        </w:rPr>
        <w:t xml:space="preserve">. </w:t>
      </w:r>
      <w:proofErr w:type="gramStart"/>
      <w:r w:rsidRPr="00D23699">
        <w:rPr>
          <w:rFonts w:asciiTheme="minorHAnsi" w:eastAsiaTheme="minorHAnsi" w:hAnsiTheme="minorHAnsi" w:cs="TimesNewRoman"/>
          <w:sz w:val="18"/>
          <w:szCs w:val="18"/>
        </w:rPr>
        <w:t>Inhaled iloprost</w:t>
      </w:r>
      <w:r>
        <w:rPr>
          <w:rFonts w:asciiTheme="minorHAnsi" w:eastAsiaTheme="minorHAnsi" w:hAnsiTheme="minorHAnsi" w:cs="TimesNewRoman"/>
          <w:sz w:val="18"/>
          <w:szCs w:val="18"/>
        </w:rPr>
        <w:t xml:space="preserve"> for </w:t>
      </w:r>
      <w:r w:rsidRPr="00D23699">
        <w:rPr>
          <w:rFonts w:asciiTheme="minorHAnsi" w:eastAsiaTheme="minorHAnsi" w:hAnsiTheme="minorHAnsi" w:cs="TimesNewRoman"/>
          <w:sz w:val="18"/>
          <w:szCs w:val="18"/>
        </w:rPr>
        <w:t>severe pulmonary hypertension.</w:t>
      </w:r>
      <w:proofErr w:type="gramEnd"/>
      <w:r w:rsidRPr="00D23699">
        <w:rPr>
          <w:rFonts w:asciiTheme="minorHAnsi" w:eastAsiaTheme="minorHAnsi" w:hAnsiTheme="minorHAnsi" w:cs="TimesNewRoman"/>
          <w:sz w:val="18"/>
          <w:szCs w:val="18"/>
        </w:rPr>
        <w:t xml:space="preserve"> </w:t>
      </w:r>
      <w:proofErr w:type="gramStart"/>
      <w:r w:rsidRPr="00D23699">
        <w:rPr>
          <w:rFonts w:asciiTheme="minorHAnsi" w:eastAsiaTheme="minorHAnsi" w:hAnsiTheme="minorHAnsi" w:cs="TimesNewRoman"/>
          <w:i/>
          <w:sz w:val="18"/>
          <w:szCs w:val="18"/>
        </w:rPr>
        <w:t>N Engl J Med</w:t>
      </w:r>
      <w:r>
        <w:rPr>
          <w:rFonts w:asciiTheme="minorHAnsi" w:eastAsiaTheme="minorHAnsi" w:hAnsiTheme="minorHAnsi" w:cs="TimesNewRoman"/>
          <w:sz w:val="18"/>
          <w:szCs w:val="18"/>
        </w:rPr>
        <w:t>. 2002</w:t>
      </w:r>
      <w:r w:rsidRPr="00D23699">
        <w:rPr>
          <w:rFonts w:asciiTheme="minorHAnsi" w:eastAsiaTheme="minorHAnsi" w:hAnsiTheme="minorHAnsi" w:cs="TimesNewRoman"/>
          <w:sz w:val="18"/>
          <w:szCs w:val="18"/>
        </w:rPr>
        <w:t>;</w:t>
      </w:r>
      <w:r>
        <w:rPr>
          <w:rFonts w:asciiTheme="minorHAnsi" w:eastAsiaTheme="minorHAnsi" w:hAnsiTheme="minorHAnsi" w:cs="TimesNewRoman"/>
          <w:sz w:val="18"/>
          <w:szCs w:val="18"/>
        </w:rPr>
        <w:t xml:space="preserve"> 347</w:t>
      </w:r>
      <w:r w:rsidRPr="00D23699">
        <w:rPr>
          <w:rFonts w:asciiTheme="minorHAnsi" w:eastAsiaTheme="minorHAnsi" w:hAnsiTheme="minorHAnsi" w:cs="TimesNewRoman"/>
          <w:sz w:val="18"/>
          <w:szCs w:val="18"/>
        </w:rPr>
        <w:t>:</w:t>
      </w:r>
      <w:r>
        <w:rPr>
          <w:rFonts w:asciiTheme="minorHAnsi" w:eastAsiaTheme="minorHAnsi" w:hAnsiTheme="minorHAnsi" w:cs="TimesNewRoman"/>
          <w:sz w:val="18"/>
          <w:szCs w:val="18"/>
        </w:rPr>
        <w:t xml:space="preserve"> </w:t>
      </w:r>
      <w:r w:rsidRPr="00D23699">
        <w:rPr>
          <w:rFonts w:asciiTheme="minorHAnsi" w:eastAsiaTheme="minorHAnsi" w:hAnsiTheme="minorHAnsi" w:cs="TimesNewRoman"/>
          <w:sz w:val="18"/>
          <w:szCs w:val="18"/>
        </w:rPr>
        <w:t>322-</w:t>
      </w:r>
      <w:r>
        <w:rPr>
          <w:rFonts w:asciiTheme="minorHAnsi" w:eastAsiaTheme="minorHAnsi" w:hAnsiTheme="minorHAnsi" w:cs="TimesNewRoman"/>
          <w:sz w:val="18"/>
          <w:szCs w:val="18"/>
        </w:rPr>
        <w:t>32</w:t>
      </w:r>
      <w:r w:rsidRPr="00D23699">
        <w:rPr>
          <w:rFonts w:asciiTheme="minorHAnsi" w:eastAsiaTheme="minorHAnsi" w:hAnsiTheme="minorHAnsi" w:cs="TimesNewRoman"/>
          <w:sz w:val="18"/>
          <w:szCs w:val="18"/>
        </w:rPr>
        <w:t>9.</w:t>
      </w:r>
      <w:proofErr w:type="gramEnd"/>
    </w:p>
  </w:footnote>
  <w:footnote w:id="13">
    <w:p w14:paraId="78C293FE" w14:textId="77777777" w:rsidR="006B7A12" w:rsidRPr="00D23699" w:rsidRDefault="006B7A12" w:rsidP="00D23699">
      <w:pPr>
        <w:autoSpaceDE w:val="0"/>
        <w:autoSpaceDN w:val="0"/>
        <w:adjustRightInd w:val="0"/>
        <w:spacing w:before="0" w:after="0" w:line="240" w:lineRule="auto"/>
        <w:rPr>
          <w:rFonts w:asciiTheme="minorHAnsi" w:eastAsiaTheme="minorHAnsi" w:hAnsiTheme="minorHAnsi" w:cs="TimesNewRoman"/>
          <w:sz w:val="18"/>
          <w:szCs w:val="18"/>
        </w:rPr>
      </w:pPr>
      <w:r w:rsidRPr="00D23699">
        <w:rPr>
          <w:rStyle w:val="FootnoteReference"/>
          <w:sz w:val="18"/>
          <w:szCs w:val="18"/>
        </w:rPr>
        <w:footnoteRef/>
      </w:r>
      <w:r w:rsidRPr="00D23699">
        <w:t xml:space="preserve"> </w:t>
      </w:r>
      <w:proofErr w:type="spellStart"/>
      <w:r w:rsidRPr="00D23699">
        <w:rPr>
          <w:rFonts w:asciiTheme="minorHAnsi" w:hAnsiTheme="minorHAnsi"/>
          <w:sz w:val="18"/>
          <w:szCs w:val="18"/>
        </w:rPr>
        <w:t>Simonneau</w:t>
      </w:r>
      <w:proofErr w:type="spellEnd"/>
      <w:r w:rsidRPr="00D23699">
        <w:rPr>
          <w:rFonts w:asciiTheme="minorHAnsi" w:hAnsiTheme="minorHAnsi"/>
          <w:sz w:val="18"/>
          <w:szCs w:val="18"/>
        </w:rPr>
        <w:t xml:space="preserve"> G et al 2002 </w:t>
      </w:r>
      <w:r w:rsidRPr="00D23699">
        <w:rPr>
          <w:rFonts w:asciiTheme="minorHAnsi" w:eastAsiaTheme="minorHAnsi" w:hAnsiTheme="minorHAnsi" w:cs="TimesNewRoman"/>
          <w:sz w:val="18"/>
          <w:szCs w:val="18"/>
        </w:rPr>
        <w:t>Continuous</w:t>
      </w:r>
      <w:r>
        <w:rPr>
          <w:rFonts w:asciiTheme="minorHAnsi" w:eastAsiaTheme="minorHAnsi" w:hAnsiTheme="minorHAnsi" w:cs="TimesNewRoman"/>
          <w:sz w:val="18"/>
          <w:szCs w:val="18"/>
        </w:rPr>
        <w:t xml:space="preserve"> subcutaneous </w:t>
      </w:r>
      <w:r w:rsidRPr="00D23699">
        <w:rPr>
          <w:rFonts w:asciiTheme="minorHAnsi" w:eastAsiaTheme="minorHAnsi" w:hAnsiTheme="minorHAnsi" w:cs="TimesNewRoman"/>
          <w:sz w:val="18"/>
          <w:szCs w:val="18"/>
        </w:rPr>
        <w:t xml:space="preserve">infusion of </w:t>
      </w:r>
      <w:proofErr w:type="spellStart"/>
      <w:r w:rsidRPr="00D23699">
        <w:rPr>
          <w:rFonts w:asciiTheme="minorHAnsi" w:eastAsiaTheme="minorHAnsi" w:hAnsiTheme="minorHAnsi" w:cs="TimesNewRoman"/>
          <w:sz w:val="18"/>
          <w:szCs w:val="18"/>
        </w:rPr>
        <w:t>treprostinil</w:t>
      </w:r>
      <w:proofErr w:type="spellEnd"/>
      <w:r w:rsidRPr="00D23699">
        <w:rPr>
          <w:rFonts w:asciiTheme="minorHAnsi" w:eastAsiaTheme="minorHAnsi" w:hAnsiTheme="minorHAnsi" w:cs="TimesNewRoman"/>
          <w:sz w:val="18"/>
          <w:szCs w:val="18"/>
        </w:rPr>
        <w:t>, a prostacyclin analo</w:t>
      </w:r>
      <w:r>
        <w:rPr>
          <w:rFonts w:asciiTheme="minorHAnsi" w:eastAsiaTheme="minorHAnsi" w:hAnsiTheme="minorHAnsi" w:cs="TimesNewRoman"/>
          <w:sz w:val="18"/>
          <w:szCs w:val="18"/>
        </w:rPr>
        <w:t xml:space="preserve">gue, in patients with pulmonary </w:t>
      </w:r>
      <w:r w:rsidRPr="00D23699">
        <w:rPr>
          <w:rFonts w:asciiTheme="minorHAnsi" w:eastAsiaTheme="minorHAnsi" w:hAnsiTheme="minorHAnsi" w:cs="TimesNewRoman"/>
          <w:sz w:val="18"/>
          <w:szCs w:val="18"/>
        </w:rPr>
        <w:t xml:space="preserve">arterial hypertension: a double-blind, randomized, placebo-controlled trial. </w:t>
      </w:r>
      <w:proofErr w:type="gramStart"/>
      <w:r w:rsidRPr="00D23699">
        <w:rPr>
          <w:rFonts w:asciiTheme="minorHAnsi" w:eastAsiaTheme="minorHAnsi" w:hAnsiTheme="minorHAnsi" w:cs="TimesNewRoman"/>
          <w:i/>
          <w:sz w:val="18"/>
          <w:szCs w:val="18"/>
        </w:rPr>
        <w:t>Am</w:t>
      </w:r>
      <w:proofErr w:type="gramEnd"/>
      <w:r w:rsidRPr="00D23699">
        <w:rPr>
          <w:rFonts w:asciiTheme="minorHAnsi" w:eastAsiaTheme="minorHAnsi" w:hAnsiTheme="minorHAnsi" w:cs="TimesNewRoman"/>
          <w:i/>
          <w:sz w:val="18"/>
          <w:szCs w:val="18"/>
        </w:rPr>
        <w:t xml:space="preserve"> J </w:t>
      </w:r>
      <w:proofErr w:type="spellStart"/>
      <w:r w:rsidRPr="00D23699">
        <w:rPr>
          <w:rFonts w:asciiTheme="minorHAnsi" w:eastAsiaTheme="minorHAnsi" w:hAnsiTheme="minorHAnsi" w:cs="TimesNewRoman"/>
          <w:i/>
          <w:sz w:val="18"/>
          <w:szCs w:val="18"/>
        </w:rPr>
        <w:t>Respir</w:t>
      </w:r>
      <w:proofErr w:type="spellEnd"/>
      <w:r w:rsidRPr="00D23699">
        <w:rPr>
          <w:rFonts w:asciiTheme="minorHAnsi" w:eastAsiaTheme="minorHAnsi" w:hAnsiTheme="minorHAnsi" w:cs="TimesNewRoman"/>
          <w:i/>
          <w:sz w:val="18"/>
          <w:szCs w:val="18"/>
        </w:rPr>
        <w:t xml:space="preserve"> </w:t>
      </w:r>
      <w:proofErr w:type="spellStart"/>
      <w:r w:rsidRPr="00D23699">
        <w:rPr>
          <w:rFonts w:asciiTheme="minorHAnsi" w:eastAsiaTheme="minorHAnsi" w:hAnsiTheme="minorHAnsi" w:cs="TimesNewRoman"/>
          <w:i/>
          <w:sz w:val="18"/>
          <w:szCs w:val="18"/>
        </w:rPr>
        <w:t>Crit</w:t>
      </w:r>
      <w:proofErr w:type="spellEnd"/>
      <w:r w:rsidRPr="00D23699">
        <w:rPr>
          <w:rFonts w:asciiTheme="minorHAnsi" w:eastAsiaTheme="minorHAnsi" w:hAnsiTheme="minorHAnsi" w:cs="TimesNewRoman"/>
          <w:i/>
          <w:sz w:val="18"/>
          <w:szCs w:val="18"/>
        </w:rPr>
        <w:t xml:space="preserve"> Care Med</w:t>
      </w:r>
      <w:r>
        <w:rPr>
          <w:rFonts w:asciiTheme="minorHAnsi" w:eastAsiaTheme="minorHAnsi" w:hAnsiTheme="minorHAnsi" w:cs="TimesNewRoman"/>
          <w:sz w:val="18"/>
          <w:szCs w:val="18"/>
        </w:rPr>
        <w:t>. 2002</w:t>
      </w:r>
      <w:r w:rsidRPr="00D23699">
        <w:rPr>
          <w:rFonts w:asciiTheme="minorHAnsi" w:eastAsiaTheme="minorHAnsi" w:hAnsiTheme="minorHAnsi" w:cs="TimesNewRoman"/>
          <w:sz w:val="18"/>
          <w:szCs w:val="18"/>
        </w:rPr>
        <w:t>;</w:t>
      </w:r>
      <w:r>
        <w:rPr>
          <w:rFonts w:asciiTheme="minorHAnsi" w:eastAsiaTheme="minorHAnsi" w:hAnsiTheme="minorHAnsi" w:cs="TimesNewRoman"/>
          <w:sz w:val="18"/>
          <w:szCs w:val="18"/>
        </w:rPr>
        <w:t xml:space="preserve"> 165</w:t>
      </w:r>
      <w:r w:rsidRPr="00D23699">
        <w:rPr>
          <w:rFonts w:asciiTheme="minorHAnsi" w:eastAsiaTheme="minorHAnsi" w:hAnsiTheme="minorHAnsi" w:cs="TimesNewRoman"/>
          <w:sz w:val="18"/>
          <w:szCs w:val="18"/>
        </w:rPr>
        <w:t>:</w:t>
      </w:r>
      <w:r>
        <w:rPr>
          <w:rFonts w:asciiTheme="minorHAnsi" w:eastAsiaTheme="minorHAnsi" w:hAnsiTheme="minorHAnsi" w:cs="TimesNewRoman"/>
          <w:sz w:val="18"/>
          <w:szCs w:val="18"/>
        </w:rPr>
        <w:t xml:space="preserve"> </w:t>
      </w:r>
      <w:r w:rsidRPr="00D23699">
        <w:rPr>
          <w:rFonts w:asciiTheme="minorHAnsi" w:eastAsiaTheme="minorHAnsi" w:hAnsiTheme="minorHAnsi" w:cs="TimesNewRoman"/>
          <w:sz w:val="18"/>
          <w:szCs w:val="18"/>
        </w:rPr>
        <w:t>800-</w:t>
      </w:r>
      <w:r>
        <w:rPr>
          <w:rFonts w:asciiTheme="minorHAnsi" w:eastAsiaTheme="minorHAnsi" w:hAnsiTheme="minorHAnsi" w:cs="TimesNewRoman"/>
          <w:sz w:val="18"/>
          <w:szCs w:val="18"/>
        </w:rPr>
        <w:t>80</w:t>
      </w:r>
      <w:r w:rsidRPr="00D23699">
        <w:rPr>
          <w:rFonts w:asciiTheme="minorHAnsi" w:eastAsiaTheme="minorHAnsi" w:hAnsiTheme="minorHAnsi" w:cs="TimesNewRoman"/>
          <w:sz w:val="18"/>
          <w:szCs w:val="18"/>
        </w:rPr>
        <w:t>4.</w:t>
      </w:r>
    </w:p>
  </w:footnote>
  <w:footnote w:id="14">
    <w:p w14:paraId="5BB47214" w14:textId="77777777" w:rsidR="006B7A12" w:rsidRPr="00D23699" w:rsidRDefault="006B7A12" w:rsidP="00D23699">
      <w:pPr>
        <w:autoSpaceDE w:val="0"/>
        <w:autoSpaceDN w:val="0"/>
        <w:adjustRightInd w:val="0"/>
        <w:spacing w:before="0" w:after="0" w:line="240" w:lineRule="auto"/>
        <w:rPr>
          <w:rFonts w:asciiTheme="minorHAnsi" w:eastAsiaTheme="minorHAnsi" w:hAnsiTheme="minorHAnsi" w:cs="Arial"/>
          <w:iCs/>
          <w:sz w:val="18"/>
          <w:szCs w:val="18"/>
        </w:rPr>
      </w:pPr>
      <w:r>
        <w:rPr>
          <w:rStyle w:val="FootnoteReference"/>
        </w:rPr>
        <w:footnoteRef/>
      </w:r>
      <w:r>
        <w:t xml:space="preserve"> </w:t>
      </w:r>
      <w:r w:rsidRPr="00D23699">
        <w:rPr>
          <w:rFonts w:asciiTheme="minorHAnsi" w:hAnsiTheme="minorHAnsi"/>
          <w:sz w:val="18"/>
          <w:szCs w:val="18"/>
        </w:rPr>
        <w:t xml:space="preserve">McLaughlin V </w:t>
      </w:r>
      <w:proofErr w:type="spellStart"/>
      <w:r w:rsidRPr="00D23699">
        <w:rPr>
          <w:rFonts w:asciiTheme="minorHAnsi" w:hAnsiTheme="minorHAnsi"/>
          <w:sz w:val="18"/>
          <w:szCs w:val="18"/>
        </w:rPr>
        <w:t>V</w:t>
      </w:r>
      <w:proofErr w:type="spellEnd"/>
      <w:r w:rsidRPr="00D23699">
        <w:rPr>
          <w:rFonts w:asciiTheme="minorHAnsi" w:hAnsiTheme="minorHAnsi"/>
          <w:sz w:val="18"/>
          <w:szCs w:val="18"/>
        </w:rPr>
        <w:t xml:space="preserve"> et al 2003 </w:t>
      </w:r>
      <w:r w:rsidRPr="00D23699">
        <w:rPr>
          <w:rFonts w:asciiTheme="minorHAnsi" w:eastAsiaTheme="minorHAnsi" w:hAnsiTheme="minorHAnsi"/>
          <w:sz w:val="18"/>
          <w:szCs w:val="18"/>
        </w:rPr>
        <w:t xml:space="preserve">Efficacy and Safety of </w:t>
      </w:r>
      <w:proofErr w:type="spellStart"/>
      <w:r w:rsidRPr="00D23699">
        <w:rPr>
          <w:rFonts w:asciiTheme="minorHAnsi" w:eastAsiaTheme="minorHAnsi" w:hAnsiTheme="minorHAnsi"/>
          <w:sz w:val="18"/>
          <w:szCs w:val="18"/>
        </w:rPr>
        <w:t>Treprostinil</w:t>
      </w:r>
      <w:proofErr w:type="spellEnd"/>
      <w:r w:rsidRPr="00D23699">
        <w:rPr>
          <w:rFonts w:asciiTheme="minorHAnsi" w:eastAsiaTheme="minorHAnsi" w:hAnsiTheme="minorHAnsi"/>
          <w:sz w:val="18"/>
          <w:szCs w:val="18"/>
        </w:rPr>
        <w:t xml:space="preserve">: An </w:t>
      </w:r>
      <w:proofErr w:type="spellStart"/>
      <w:r w:rsidRPr="00D23699">
        <w:rPr>
          <w:rFonts w:asciiTheme="minorHAnsi" w:eastAsiaTheme="minorHAnsi" w:hAnsiTheme="minorHAnsi"/>
          <w:sz w:val="18"/>
          <w:szCs w:val="18"/>
        </w:rPr>
        <w:t>Epoprostenol</w:t>
      </w:r>
      <w:proofErr w:type="spellEnd"/>
      <w:r w:rsidRPr="00D23699">
        <w:rPr>
          <w:rFonts w:asciiTheme="minorHAnsi" w:eastAsiaTheme="minorHAnsi" w:hAnsiTheme="minorHAnsi"/>
          <w:sz w:val="18"/>
          <w:szCs w:val="18"/>
        </w:rPr>
        <w:t xml:space="preserve"> Analog for Primary Pulmonary Hypertension </w:t>
      </w:r>
      <w:r w:rsidRPr="00D23699">
        <w:rPr>
          <w:rFonts w:asciiTheme="minorHAnsi" w:eastAsiaTheme="minorHAnsi" w:hAnsiTheme="minorHAnsi"/>
          <w:i/>
          <w:iCs/>
          <w:sz w:val="18"/>
          <w:szCs w:val="18"/>
        </w:rPr>
        <w:t xml:space="preserve">Journal </w:t>
      </w:r>
      <w:r>
        <w:rPr>
          <w:rFonts w:asciiTheme="minorHAnsi" w:eastAsiaTheme="minorHAnsi" w:hAnsiTheme="minorHAnsi" w:cs="Arial"/>
          <w:i/>
          <w:iCs/>
          <w:sz w:val="18"/>
          <w:szCs w:val="18"/>
        </w:rPr>
        <w:t xml:space="preserve">of </w:t>
      </w:r>
      <w:r w:rsidRPr="00D23699">
        <w:rPr>
          <w:rFonts w:asciiTheme="minorHAnsi" w:eastAsiaTheme="minorHAnsi" w:hAnsiTheme="minorHAnsi"/>
          <w:i/>
          <w:iCs/>
          <w:sz w:val="18"/>
          <w:szCs w:val="18"/>
        </w:rPr>
        <w:t>Car</w:t>
      </w:r>
      <w:r>
        <w:rPr>
          <w:rFonts w:asciiTheme="minorHAnsi" w:eastAsiaTheme="minorHAnsi" w:hAnsiTheme="minorHAnsi"/>
          <w:i/>
          <w:iCs/>
          <w:sz w:val="18"/>
          <w:szCs w:val="18"/>
        </w:rPr>
        <w:t>diovascular</w:t>
      </w:r>
      <w:r>
        <w:rPr>
          <w:rFonts w:asciiTheme="minorHAnsi" w:eastAsiaTheme="minorHAnsi" w:hAnsiTheme="minorHAnsi" w:cs="Arial"/>
          <w:i/>
          <w:iCs/>
          <w:sz w:val="18"/>
          <w:szCs w:val="18"/>
        </w:rPr>
        <w:t xml:space="preserve"> Pharmacology 2003; </w:t>
      </w:r>
      <w:r w:rsidRPr="00D23699">
        <w:rPr>
          <w:rFonts w:asciiTheme="minorHAnsi" w:eastAsiaTheme="minorHAnsi" w:hAnsiTheme="minorHAnsi"/>
          <w:sz w:val="18"/>
          <w:szCs w:val="18"/>
        </w:rPr>
        <w:t>41:</w:t>
      </w:r>
      <w:r>
        <w:rPr>
          <w:rFonts w:asciiTheme="minorHAnsi" w:eastAsiaTheme="minorHAnsi" w:hAnsiTheme="minorHAnsi"/>
          <w:sz w:val="18"/>
          <w:szCs w:val="18"/>
        </w:rPr>
        <w:t xml:space="preserve"> 293-299</w:t>
      </w:r>
    </w:p>
  </w:footnote>
  <w:footnote w:id="15">
    <w:p w14:paraId="34895E61" w14:textId="77777777" w:rsidR="006B7A12" w:rsidRPr="00D23699" w:rsidRDefault="006B7A12" w:rsidP="00D23699">
      <w:pPr>
        <w:autoSpaceDE w:val="0"/>
        <w:autoSpaceDN w:val="0"/>
        <w:adjustRightInd w:val="0"/>
        <w:spacing w:before="0" w:after="0" w:line="240" w:lineRule="auto"/>
        <w:rPr>
          <w:rFonts w:asciiTheme="minorHAnsi" w:eastAsiaTheme="minorHAnsi" w:hAnsiTheme="minorHAnsi" w:cs="TimesNewRoman"/>
          <w:sz w:val="18"/>
          <w:szCs w:val="18"/>
        </w:rPr>
      </w:pPr>
      <w:r w:rsidRPr="00D23699">
        <w:rPr>
          <w:rStyle w:val="FootnoteReference"/>
          <w:sz w:val="18"/>
          <w:szCs w:val="18"/>
        </w:rPr>
        <w:footnoteRef/>
      </w:r>
      <w:r w:rsidRPr="00D23699">
        <w:rPr>
          <w:sz w:val="18"/>
          <w:szCs w:val="18"/>
        </w:rPr>
        <w:t xml:space="preserve"> </w:t>
      </w:r>
      <w:proofErr w:type="spellStart"/>
      <w:r w:rsidRPr="00D23699">
        <w:rPr>
          <w:rFonts w:asciiTheme="minorHAnsi" w:hAnsiTheme="minorHAnsi"/>
          <w:sz w:val="18"/>
          <w:szCs w:val="18"/>
        </w:rPr>
        <w:t>Galie</w:t>
      </w:r>
      <w:proofErr w:type="spellEnd"/>
      <w:r w:rsidRPr="00D23699">
        <w:rPr>
          <w:rFonts w:asciiTheme="minorHAnsi" w:hAnsiTheme="minorHAnsi"/>
          <w:sz w:val="18"/>
          <w:szCs w:val="18"/>
        </w:rPr>
        <w:t xml:space="preserve"> N et al 2002</w:t>
      </w:r>
      <w:r w:rsidRPr="00D23699">
        <w:rPr>
          <w:rFonts w:asciiTheme="minorHAnsi" w:eastAsiaTheme="minorHAnsi" w:hAnsiTheme="minorHAnsi" w:cs="TimesNewRoman"/>
          <w:sz w:val="18"/>
          <w:szCs w:val="18"/>
        </w:rPr>
        <w:t xml:space="preserve"> </w:t>
      </w:r>
      <w:r>
        <w:rPr>
          <w:rFonts w:asciiTheme="minorHAnsi" w:eastAsiaTheme="minorHAnsi" w:hAnsiTheme="minorHAnsi" w:cs="TimesNewRoman"/>
          <w:sz w:val="18"/>
          <w:szCs w:val="18"/>
        </w:rPr>
        <w:t xml:space="preserve">Effects of </w:t>
      </w:r>
      <w:proofErr w:type="spellStart"/>
      <w:r>
        <w:rPr>
          <w:rFonts w:asciiTheme="minorHAnsi" w:eastAsiaTheme="minorHAnsi" w:hAnsiTheme="minorHAnsi" w:cs="TimesNewRoman"/>
          <w:sz w:val="18"/>
          <w:szCs w:val="18"/>
        </w:rPr>
        <w:t>beraprost</w:t>
      </w:r>
      <w:proofErr w:type="spellEnd"/>
      <w:r>
        <w:rPr>
          <w:rFonts w:asciiTheme="minorHAnsi" w:eastAsiaTheme="minorHAnsi" w:hAnsiTheme="minorHAnsi" w:cs="TimesNewRoman"/>
          <w:sz w:val="18"/>
          <w:szCs w:val="18"/>
        </w:rPr>
        <w:t xml:space="preserve"> sodium, an </w:t>
      </w:r>
      <w:r w:rsidRPr="00D23699">
        <w:rPr>
          <w:rFonts w:asciiTheme="minorHAnsi" w:eastAsiaTheme="minorHAnsi" w:hAnsiTheme="minorHAnsi" w:cs="TimesNewRoman"/>
          <w:sz w:val="18"/>
          <w:szCs w:val="18"/>
        </w:rPr>
        <w:t>oral prostacyclin analogue, in patients with pulmonary</w:t>
      </w:r>
      <w:r>
        <w:rPr>
          <w:rFonts w:asciiTheme="minorHAnsi" w:eastAsiaTheme="minorHAnsi" w:hAnsiTheme="minorHAnsi" w:cs="TimesNewRoman"/>
          <w:sz w:val="18"/>
          <w:szCs w:val="18"/>
        </w:rPr>
        <w:t xml:space="preserve"> arterial hypertension: a </w:t>
      </w:r>
      <w:r w:rsidRPr="00D23699">
        <w:rPr>
          <w:rFonts w:asciiTheme="minorHAnsi" w:eastAsiaTheme="minorHAnsi" w:hAnsiTheme="minorHAnsi" w:cs="TimesNewRoman"/>
          <w:sz w:val="18"/>
          <w:szCs w:val="18"/>
        </w:rPr>
        <w:t>randomized, double-blind, placebo-controlled trial</w:t>
      </w:r>
      <w:r w:rsidRPr="00D23699">
        <w:rPr>
          <w:rFonts w:asciiTheme="minorHAnsi" w:eastAsiaTheme="minorHAnsi" w:hAnsiTheme="minorHAnsi" w:cs="TimesNewRoman"/>
          <w:i/>
          <w:sz w:val="18"/>
          <w:szCs w:val="18"/>
        </w:rPr>
        <w:t xml:space="preserve">. J Am </w:t>
      </w:r>
      <w:proofErr w:type="spellStart"/>
      <w:r w:rsidRPr="00D23699">
        <w:rPr>
          <w:rFonts w:asciiTheme="minorHAnsi" w:eastAsiaTheme="minorHAnsi" w:hAnsiTheme="minorHAnsi" w:cs="TimesNewRoman"/>
          <w:i/>
          <w:sz w:val="18"/>
          <w:szCs w:val="18"/>
        </w:rPr>
        <w:t>Coll</w:t>
      </w:r>
      <w:proofErr w:type="spellEnd"/>
      <w:r w:rsidRPr="00D23699">
        <w:rPr>
          <w:rFonts w:asciiTheme="minorHAnsi" w:eastAsiaTheme="minorHAnsi" w:hAnsiTheme="minorHAnsi" w:cs="TimesNewRoman"/>
          <w:i/>
          <w:sz w:val="18"/>
          <w:szCs w:val="18"/>
        </w:rPr>
        <w:t xml:space="preserve"> </w:t>
      </w:r>
      <w:proofErr w:type="spellStart"/>
      <w:r w:rsidRPr="00D23699">
        <w:rPr>
          <w:rFonts w:asciiTheme="minorHAnsi" w:eastAsiaTheme="minorHAnsi" w:hAnsiTheme="minorHAnsi" w:cs="TimesNewRoman"/>
          <w:i/>
          <w:sz w:val="18"/>
          <w:szCs w:val="18"/>
        </w:rPr>
        <w:t>Cardiol</w:t>
      </w:r>
      <w:proofErr w:type="spellEnd"/>
      <w:r>
        <w:rPr>
          <w:rFonts w:asciiTheme="minorHAnsi" w:eastAsiaTheme="minorHAnsi" w:hAnsiTheme="minorHAnsi" w:cs="TimesNewRoman"/>
          <w:sz w:val="18"/>
          <w:szCs w:val="18"/>
        </w:rPr>
        <w:t xml:space="preserve">. </w:t>
      </w:r>
      <w:proofErr w:type="gramStart"/>
      <w:r>
        <w:rPr>
          <w:rFonts w:asciiTheme="minorHAnsi" w:eastAsiaTheme="minorHAnsi" w:hAnsiTheme="minorHAnsi" w:cs="TimesNewRoman"/>
          <w:sz w:val="18"/>
          <w:szCs w:val="18"/>
        </w:rPr>
        <w:t>2002</w:t>
      </w:r>
      <w:r w:rsidRPr="00D23699">
        <w:rPr>
          <w:rFonts w:asciiTheme="minorHAnsi" w:eastAsiaTheme="minorHAnsi" w:hAnsiTheme="minorHAnsi" w:cs="TimesNewRoman"/>
          <w:sz w:val="18"/>
          <w:szCs w:val="18"/>
        </w:rPr>
        <w:t>;</w:t>
      </w:r>
      <w:r>
        <w:rPr>
          <w:rFonts w:asciiTheme="minorHAnsi" w:eastAsiaTheme="minorHAnsi" w:hAnsiTheme="minorHAnsi" w:cs="TimesNewRoman"/>
          <w:sz w:val="18"/>
          <w:szCs w:val="18"/>
        </w:rPr>
        <w:t xml:space="preserve"> 39</w:t>
      </w:r>
      <w:r w:rsidRPr="00D23699">
        <w:rPr>
          <w:rFonts w:asciiTheme="minorHAnsi" w:eastAsiaTheme="minorHAnsi" w:hAnsiTheme="minorHAnsi" w:cs="TimesNewRoman"/>
          <w:sz w:val="18"/>
          <w:szCs w:val="18"/>
        </w:rPr>
        <w:t>:</w:t>
      </w:r>
      <w:r>
        <w:rPr>
          <w:rFonts w:asciiTheme="minorHAnsi" w:eastAsiaTheme="minorHAnsi" w:hAnsiTheme="minorHAnsi" w:cs="TimesNewRoman"/>
          <w:sz w:val="18"/>
          <w:szCs w:val="18"/>
        </w:rPr>
        <w:t xml:space="preserve"> </w:t>
      </w:r>
      <w:r w:rsidRPr="00D23699">
        <w:rPr>
          <w:rFonts w:asciiTheme="minorHAnsi" w:eastAsiaTheme="minorHAnsi" w:hAnsiTheme="minorHAnsi" w:cs="TimesNewRoman"/>
          <w:sz w:val="18"/>
          <w:szCs w:val="18"/>
        </w:rPr>
        <w:t>1496-</w:t>
      </w:r>
      <w:r>
        <w:rPr>
          <w:rFonts w:asciiTheme="minorHAnsi" w:eastAsiaTheme="minorHAnsi" w:hAnsiTheme="minorHAnsi" w:cs="TimesNewRoman"/>
          <w:sz w:val="18"/>
          <w:szCs w:val="18"/>
        </w:rPr>
        <w:t>1</w:t>
      </w:r>
      <w:r w:rsidRPr="00D23699">
        <w:rPr>
          <w:rFonts w:asciiTheme="minorHAnsi" w:eastAsiaTheme="minorHAnsi" w:hAnsiTheme="minorHAnsi" w:cs="TimesNewRoman"/>
          <w:sz w:val="18"/>
          <w:szCs w:val="18"/>
        </w:rPr>
        <w:t>502.</w:t>
      </w:r>
      <w:proofErr w:type="gramEnd"/>
    </w:p>
  </w:footnote>
  <w:footnote w:id="16">
    <w:p w14:paraId="14F68569" w14:textId="77777777" w:rsidR="006B7A12" w:rsidRPr="007C535F" w:rsidRDefault="006B7A12">
      <w:pPr>
        <w:pStyle w:val="FootnoteText"/>
        <w:rPr>
          <w:lang w:val="en-US"/>
        </w:rPr>
      </w:pPr>
      <w:r w:rsidRPr="00D23699">
        <w:rPr>
          <w:rStyle w:val="FootnoteReference"/>
        </w:rPr>
        <w:footnoteRef/>
      </w:r>
      <w:r w:rsidRPr="00D23699">
        <w:t xml:space="preserve"> </w:t>
      </w:r>
      <w:proofErr w:type="spellStart"/>
      <w:proofErr w:type="gramStart"/>
      <w:r w:rsidRPr="00D23699">
        <w:t>Barst</w:t>
      </w:r>
      <w:proofErr w:type="spellEnd"/>
      <w:r w:rsidRPr="00D23699">
        <w:t xml:space="preserve"> R J et al 2003 </w:t>
      </w:r>
      <w:proofErr w:type="spellStart"/>
      <w:r w:rsidRPr="00D23699">
        <w:t>Beraprost</w:t>
      </w:r>
      <w:proofErr w:type="spellEnd"/>
      <w:r w:rsidRPr="00D23699">
        <w:t xml:space="preserve"> therapy for pulmonary arterial hypertension.</w:t>
      </w:r>
      <w:proofErr w:type="gramEnd"/>
      <w:r w:rsidRPr="00D23699">
        <w:t xml:space="preserve"> J. of American Cardiology 2003 ;41: 2119-2125</w:t>
      </w:r>
    </w:p>
  </w:footnote>
  <w:footnote w:id="17">
    <w:p w14:paraId="5068BC46" w14:textId="77777777" w:rsidR="006B7A12" w:rsidRPr="00D23699" w:rsidRDefault="006B7A12" w:rsidP="00D23699">
      <w:pPr>
        <w:autoSpaceDE w:val="0"/>
        <w:autoSpaceDN w:val="0"/>
        <w:adjustRightInd w:val="0"/>
        <w:spacing w:before="0" w:after="0" w:line="240" w:lineRule="auto"/>
        <w:rPr>
          <w:rFonts w:asciiTheme="minorHAnsi" w:eastAsiaTheme="minorHAnsi" w:hAnsiTheme="minorHAnsi" w:cs="TimesNewRoman"/>
          <w:sz w:val="18"/>
          <w:szCs w:val="18"/>
        </w:rPr>
      </w:pPr>
      <w:r w:rsidRPr="00D23699">
        <w:rPr>
          <w:rStyle w:val="FootnoteReference"/>
        </w:rPr>
        <w:footnoteRef/>
      </w:r>
      <w:r w:rsidRPr="00D23699">
        <w:t xml:space="preserve"> </w:t>
      </w:r>
      <w:r w:rsidRPr="00D23699">
        <w:rPr>
          <w:rFonts w:asciiTheme="minorHAnsi" w:hAnsiTheme="minorHAnsi"/>
          <w:sz w:val="18"/>
          <w:szCs w:val="18"/>
        </w:rPr>
        <w:t xml:space="preserve">Pulido T et al 2013 </w:t>
      </w:r>
      <w:r w:rsidRPr="00D23699">
        <w:rPr>
          <w:rFonts w:asciiTheme="minorHAnsi" w:eastAsiaTheme="minorHAnsi" w:hAnsiTheme="minorHAnsi" w:cs="TimesNewRoman"/>
          <w:sz w:val="18"/>
          <w:szCs w:val="18"/>
        </w:rPr>
        <w:t>SERAPHIN</w:t>
      </w:r>
      <w:r>
        <w:rPr>
          <w:rFonts w:asciiTheme="minorHAnsi" w:eastAsiaTheme="minorHAnsi" w:hAnsiTheme="minorHAnsi" w:cs="TimesNewRoman"/>
          <w:sz w:val="18"/>
          <w:szCs w:val="18"/>
        </w:rPr>
        <w:t xml:space="preserve"> Investigators. </w:t>
      </w:r>
      <w:r w:rsidRPr="00D23699">
        <w:rPr>
          <w:rFonts w:asciiTheme="minorHAnsi" w:eastAsiaTheme="minorHAnsi" w:hAnsiTheme="minorHAnsi" w:cs="TimesNewRoman"/>
          <w:i/>
          <w:sz w:val="18"/>
          <w:szCs w:val="18"/>
        </w:rPr>
        <w:t>N Engl J Med.</w:t>
      </w:r>
      <w:r>
        <w:rPr>
          <w:rFonts w:asciiTheme="minorHAnsi" w:eastAsiaTheme="minorHAnsi" w:hAnsiTheme="minorHAnsi" w:cs="TimesNewRoman"/>
          <w:sz w:val="18"/>
          <w:szCs w:val="18"/>
        </w:rPr>
        <w:t xml:space="preserve"> 2013</w:t>
      </w:r>
      <w:r w:rsidRPr="00D23699">
        <w:rPr>
          <w:rFonts w:asciiTheme="minorHAnsi" w:eastAsiaTheme="minorHAnsi" w:hAnsiTheme="minorHAnsi" w:cs="TimesNewRoman"/>
          <w:sz w:val="18"/>
          <w:szCs w:val="18"/>
        </w:rPr>
        <w:t>;</w:t>
      </w:r>
      <w:r>
        <w:rPr>
          <w:rFonts w:asciiTheme="minorHAnsi" w:eastAsiaTheme="minorHAnsi" w:hAnsiTheme="minorHAnsi" w:cs="TimesNewRoman"/>
          <w:sz w:val="18"/>
          <w:szCs w:val="18"/>
        </w:rPr>
        <w:t xml:space="preserve"> 369</w:t>
      </w:r>
      <w:r w:rsidRPr="00D23699">
        <w:rPr>
          <w:rFonts w:asciiTheme="minorHAnsi" w:eastAsiaTheme="minorHAnsi" w:hAnsiTheme="minorHAnsi" w:cs="TimesNewRoman"/>
          <w:sz w:val="18"/>
          <w:szCs w:val="18"/>
        </w:rPr>
        <w:t>:</w:t>
      </w:r>
      <w:r>
        <w:rPr>
          <w:rFonts w:asciiTheme="minorHAnsi" w:eastAsiaTheme="minorHAnsi" w:hAnsiTheme="minorHAnsi" w:cs="TimesNewRoman"/>
          <w:sz w:val="18"/>
          <w:szCs w:val="18"/>
        </w:rPr>
        <w:t xml:space="preserve"> </w:t>
      </w:r>
      <w:r w:rsidRPr="00D23699">
        <w:rPr>
          <w:rFonts w:asciiTheme="minorHAnsi" w:eastAsiaTheme="minorHAnsi" w:hAnsiTheme="minorHAnsi" w:cs="TimesNewRoman"/>
          <w:sz w:val="18"/>
          <w:szCs w:val="18"/>
        </w:rPr>
        <w:t>809-</w:t>
      </w:r>
      <w:r>
        <w:rPr>
          <w:rFonts w:asciiTheme="minorHAnsi" w:eastAsiaTheme="minorHAnsi" w:hAnsiTheme="minorHAnsi" w:cs="TimesNewRoman"/>
          <w:sz w:val="18"/>
          <w:szCs w:val="18"/>
        </w:rPr>
        <w:t>818</w:t>
      </w:r>
    </w:p>
  </w:footnote>
  <w:footnote w:id="18">
    <w:p w14:paraId="5D0BACEF" w14:textId="77777777" w:rsidR="006B7A12" w:rsidRPr="00D23699" w:rsidRDefault="006B7A12" w:rsidP="00D23699">
      <w:pPr>
        <w:autoSpaceDE w:val="0"/>
        <w:autoSpaceDN w:val="0"/>
        <w:adjustRightInd w:val="0"/>
        <w:spacing w:before="0" w:after="0" w:line="240" w:lineRule="auto"/>
        <w:rPr>
          <w:sz w:val="18"/>
          <w:szCs w:val="20"/>
        </w:rPr>
      </w:pPr>
      <w:r>
        <w:rPr>
          <w:rStyle w:val="FootnoteReference"/>
        </w:rPr>
        <w:footnoteRef/>
      </w:r>
      <w:r>
        <w:t xml:space="preserve"> </w:t>
      </w:r>
      <w:proofErr w:type="spellStart"/>
      <w:r w:rsidRPr="00D23699">
        <w:rPr>
          <w:sz w:val="18"/>
          <w:szCs w:val="20"/>
        </w:rPr>
        <w:t>Ghofrani</w:t>
      </w:r>
      <w:proofErr w:type="spellEnd"/>
      <w:r w:rsidRPr="00D23699">
        <w:rPr>
          <w:sz w:val="18"/>
          <w:szCs w:val="20"/>
        </w:rPr>
        <w:t xml:space="preserve"> H-A </w:t>
      </w:r>
      <w:r>
        <w:rPr>
          <w:sz w:val="18"/>
          <w:szCs w:val="20"/>
        </w:rPr>
        <w:t xml:space="preserve">et al </w:t>
      </w:r>
      <w:r w:rsidRPr="00D23699">
        <w:rPr>
          <w:sz w:val="18"/>
          <w:szCs w:val="20"/>
        </w:rPr>
        <w:t xml:space="preserve">2013 </w:t>
      </w:r>
      <w:proofErr w:type="spellStart"/>
      <w:r>
        <w:rPr>
          <w:sz w:val="18"/>
          <w:szCs w:val="20"/>
        </w:rPr>
        <w:t>Riociguat</w:t>
      </w:r>
      <w:proofErr w:type="spellEnd"/>
      <w:r>
        <w:rPr>
          <w:sz w:val="18"/>
          <w:szCs w:val="20"/>
        </w:rPr>
        <w:t xml:space="preserve"> for the Treatment </w:t>
      </w:r>
      <w:r w:rsidRPr="00D23699">
        <w:rPr>
          <w:sz w:val="18"/>
          <w:szCs w:val="20"/>
        </w:rPr>
        <w:t>of Pulmonary Arterial Hypertension</w:t>
      </w:r>
      <w:r>
        <w:rPr>
          <w:sz w:val="18"/>
          <w:szCs w:val="20"/>
        </w:rPr>
        <w:t xml:space="preserve"> </w:t>
      </w:r>
      <w:r w:rsidRPr="00D23699">
        <w:rPr>
          <w:i/>
          <w:sz w:val="18"/>
          <w:szCs w:val="20"/>
        </w:rPr>
        <w:t>N Engl J Med</w:t>
      </w:r>
      <w:r>
        <w:rPr>
          <w:sz w:val="18"/>
          <w:szCs w:val="20"/>
        </w:rPr>
        <w:t xml:space="preserve"> </w:t>
      </w:r>
      <w:r w:rsidRPr="00D23699">
        <w:rPr>
          <w:sz w:val="18"/>
          <w:szCs w:val="20"/>
        </w:rPr>
        <w:t>2013;</w:t>
      </w:r>
      <w:r>
        <w:rPr>
          <w:sz w:val="18"/>
          <w:szCs w:val="20"/>
        </w:rPr>
        <w:t xml:space="preserve"> </w:t>
      </w:r>
      <w:r w:rsidRPr="00D23699">
        <w:rPr>
          <w:sz w:val="18"/>
          <w:szCs w:val="20"/>
        </w:rPr>
        <w:t>369:</w:t>
      </w:r>
      <w:r>
        <w:rPr>
          <w:sz w:val="18"/>
          <w:szCs w:val="20"/>
        </w:rPr>
        <w:t xml:space="preserve"> </w:t>
      </w:r>
      <w:r w:rsidRPr="00D23699">
        <w:rPr>
          <w:sz w:val="18"/>
          <w:szCs w:val="20"/>
        </w:rPr>
        <w:t>330-</w:t>
      </w:r>
      <w:r>
        <w:rPr>
          <w:sz w:val="18"/>
          <w:szCs w:val="20"/>
        </w:rPr>
        <w:t>340.</w:t>
      </w:r>
    </w:p>
  </w:footnote>
  <w:footnote w:id="19">
    <w:p w14:paraId="1F7000DC" w14:textId="77777777" w:rsidR="006B7A12" w:rsidRPr="00D23699" w:rsidRDefault="006B7A12" w:rsidP="008B1C91">
      <w:pPr>
        <w:autoSpaceDE w:val="0"/>
        <w:autoSpaceDN w:val="0"/>
        <w:adjustRightInd w:val="0"/>
        <w:spacing w:before="0" w:after="0" w:line="240" w:lineRule="auto"/>
        <w:rPr>
          <w:rFonts w:asciiTheme="minorHAnsi" w:eastAsiaTheme="minorHAnsi" w:hAnsiTheme="minorHAnsi" w:cs="TimesNewRoman"/>
          <w:sz w:val="18"/>
          <w:szCs w:val="18"/>
        </w:rPr>
      </w:pPr>
      <w:r w:rsidRPr="00D23699">
        <w:rPr>
          <w:rStyle w:val="FootnoteReference"/>
          <w:rFonts w:asciiTheme="minorHAnsi" w:hAnsiTheme="minorHAnsi"/>
          <w:sz w:val="18"/>
          <w:szCs w:val="18"/>
        </w:rPr>
        <w:footnoteRef/>
      </w:r>
      <w:r w:rsidRPr="00D23699">
        <w:rPr>
          <w:rFonts w:asciiTheme="minorHAnsi" w:hAnsiTheme="minorHAnsi"/>
          <w:sz w:val="18"/>
          <w:szCs w:val="18"/>
        </w:rPr>
        <w:t xml:space="preserve"> </w:t>
      </w:r>
      <w:proofErr w:type="spellStart"/>
      <w:r w:rsidRPr="00D23699">
        <w:rPr>
          <w:rFonts w:asciiTheme="minorHAnsi" w:hAnsiTheme="minorHAnsi"/>
          <w:sz w:val="18"/>
          <w:szCs w:val="18"/>
        </w:rPr>
        <w:t>Rosenzweig</w:t>
      </w:r>
      <w:proofErr w:type="spellEnd"/>
      <w:r w:rsidRPr="00D23699">
        <w:rPr>
          <w:rFonts w:asciiTheme="minorHAnsi" w:hAnsiTheme="minorHAnsi"/>
          <w:sz w:val="18"/>
          <w:szCs w:val="18"/>
        </w:rPr>
        <w:t xml:space="preserve"> </w:t>
      </w:r>
      <w:r w:rsidRPr="00D23699">
        <w:rPr>
          <w:rFonts w:asciiTheme="minorHAnsi" w:eastAsiaTheme="minorHAnsi" w:hAnsiTheme="minorHAnsi" w:cs="TimesNewRoman"/>
          <w:sz w:val="18"/>
          <w:szCs w:val="18"/>
        </w:rPr>
        <w:t>EB</w:t>
      </w:r>
      <w:r w:rsidRPr="00D23699">
        <w:rPr>
          <w:rFonts w:asciiTheme="minorHAnsi" w:hAnsiTheme="minorHAnsi"/>
          <w:sz w:val="18"/>
          <w:szCs w:val="18"/>
        </w:rPr>
        <w:t xml:space="preserve"> </w:t>
      </w:r>
      <w:r>
        <w:rPr>
          <w:rFonts w:asciiTheme="minorHAnsi" w:eastAsiaTheme="minorHAnsi" w:hAnsiTheme="minorHAnsi" w:cs="TimesNewRoman"/>
          <w:sz w:val="18"/>
          <w:szCs w:val="18"/>
        </w:rPr>
        <w:t>et al</w:t>
      </w:r>
      <w:r w:rsidRPr="00D23699">
        <w:rPr>
          <w:rFonts w:asciiTheme="minorHAnsi" w:hAnsiTheme="minorHAnsi"/>
          <w:sz w:val="18"/>
          <w:szCs w:val="18"/>
        </w:rPr>
        <w:t xml:space="preserve"> 2005</w:t>
      </w:r>
      <w:r w:rsidRPr="00D23699">
        <w:rPr>
          <w:rFonts w:asciiTheme="minorHAnsi" w:eastAsiaTheme="minorHAnsi" w:hAnsiTheme="minorHAnsi" w:cs="TimesNewRoman"/>
          <w:sz w:val="18"/>
          <w:szCs w:val="18"/>
        </w:rPr>
        <w:t xml:space="preserve"> </w:t>
      </w:r>
      <w:r>
        <w:rPr>
          <w:rFonts w:asciiTheme="minorHAnsi" w:eastAsiaTheme="minorHAnsi" w:hAnsiTheme="minorHAnsi" w:cs="TimesNewRoman"/>
          <w:sz w:val="18"/>
          <w:szCs w:val="18"/>
        </w:rPr>
        <w:t xml:space="preserve">Effects of long-term </w:t>
      </w:r>
      <w:r w:rsidRPr="00D23699">
        <w:rPr>
          <w:rFonts w:asciiTheme="minorHAnsi" w:eastAsiaTheme="minorHAnsi" w:hAnsiTheme="minorHAnsi" w:cs="TimesNewRoman"/>
          <w:sz w:val="18"/>
          <w:szCs w:val="18"/>
        </w:rPr>
        <w:t>bosentan in children with pulmonary arterial h</w:t>
      </w:r>
      <w:r>
        <w:rPr>
          <w:rFonts w:asciiTheme="minorHAnsi" w:eastAsiaTheme="minorHAnsi" w:hAnsiTheme="minorHAnsi" w:cs="TimesNewRoman"/>
          <w:sz w:val="18"/>
          <w:szCs w:val="18"/>
        </w:rPr>
        <w:t>ypertension</w:t>
      </w:r>
      <w:r w:rsidRPr="00D23699">
        <w:rPr>
          <w:rFonts w:asciiTheme="minorHAnsi" w:eastAsiaTheme="minorHAnsi" w:hAnsiTheme="minorHAnsi" w:cs="TimesNewRoman"/>
          <w:i/>
          <w:sz w:val="18"/>
          <w:szCs w:val="18"/>
        </w:rPr>
        <w:t>. J</w:t>
      </w:r>
      <w:r>
        <w:rPr>
          <w:rFonts w:asciiTheme="minorHAnsi" w:eastAsiaTheme="minorHAnsi" w:hAnsiTheme="minorHAnsi" w:cs="TimesNewRoman"/>
          <w:sz w:val="18"/>
          <w:szCs w:val="18"/>
        </w:rPr>
        <w:t xml:space="preserve"> </w:t>
      </w:r>
      <w:r w:rsidRPr="00D23699">
        <w:rPr>
          <w:rFonts w:asciiTheme="minorHAnsi" w:eastAsiaTheme="minorHAnsi" w:hAnsiTheme="minorHAnsi" w:cs="TimesNewRoman"/>
          <w:i/>
          <w:sz w:val="18"/>
          <w:szCs w:val="18"/>
        </w:rPr>
        <w:t xml:space="preserve">Am </w:t>
      </w:r>
      <w:proofErr w:type="spellStart"/>
      <w:r w:rsidRPr="00D23699">
        <w:rPr>
          <w:rFonts w:asciiTheme="minorHAnsi" w:eastAsiaTheme="minorHAnsi" w:hAnsiTheme="minorHAnsi" w:cs="TimesNewRoman"/>
          <w:i/>
          <w:sz w:val="18"/>
          <w:szCs w:val="18"/>
        </w:rPr>
        <w:t>Coll</w:t>
      </w:r>
      <w:proofErr w:type="spellEnd"/>
      <w:r w:rsidRPr="00D23699">
        <w:rPr>
          <w:rFonts w:asciiTheme="minorHAnsi" w:eastAsiaTheme="minorHAnsi" w:hAnsiTheme="minorHAnsi" w:cs="TimesNewRoman"/>
          <w:i/>
          <w:sz w:val="18"/>
          <w:szCs w:val="18"/>
        </w:rPr>
        <w:t xml:space="preserve"> </w:t>
      </w:r>
      <w:proofErr w:type="spellStart"/>
      <w:r w:rsidRPr="00D23699">
        <w:rPr>
          <w:rFonts w:asciiTheme="minorHAnsi" w:eastAsiaTheme="minorHAnsi" w:hAnsiTheme="minorHAnsi" w:cs="TimesNewRoman"/>
          <w:i/>
          <w:sz w:val="18"/>
          <w:szCs w:val="18"/>
        </w:rPr>
        <w:t>Cardiol</w:t>
      </w:r>
      <w:proofErr w:type="spellEnd"/>
      <w:r w:rsidRPr="00D23699">
        <w:rPr>
          <w:rFonts w:asciiTheme="minorHAnsi" w:eastAsiaTheme="minorHAnsi" w:hAnsiTheme="minorHAnsi" w:cs="TimesNewRoman"/>
          <w:i/>
          <w:sz w:val="18"/>
          <w:szCs w:val="18"/>
        </w:rPr>
        <w:t>.</w:t>
      </w:r>
      <w:r>
        <w:rPr>
          <w:rFonts w:asciiTheme="minorHAnsi" w:eastAsiaTheme="minorHAnsi" w:hAnsiTheme="minorHAnsi" w:cs="TimesNewRoman"/>
          <w:sz w:val="18"/>
          <w:szCs w:val="18"/>
        </w:rPr>
        <w:t xml:space="preserve"> </w:t>
      </w:r>
      <w:proofErr w:type="gramStart"/>
      <w:r w:rsidRPr="00D23699">
        <w:rPr>
          <w:rFonts w:asciiTheme="minorHAnsi" w:eastAsiaTheme="minorHAnsi" w:hAnsiTheme="minorHAnsi" w:cs="TimesNewRoman"/>
          <w:sz w:val="18"/>
          <w:szCs w:val="18"/>
        </w:rPr>
        <w:t>2005; 46: 697-704.</w:t>
      </w:r>
      <w:proofErr w:type="gramEnd"/>
    </w:p>
  </w:footnote>
  <w:footnote w:id="20">
    <w:p w14:paraId="26DDB8A9" w14:textId="77777777" w:rsidR="006B7A12" w:rsidRPr="00D23699" w:rsidRDefault="006B7A12" w:rsidP="008B1C91">
      <w:pPr>
        <w:autoSpaceDE w:val="0"/>
        <w:autoSpaceDN w:val="0"/>
        <w:adjustRightInd w:val="0"/>
        <w:spacing w:before="0" w:after="0" w:line="240" w:lineRule="auto"/>
        <w:rPr>
          <w:rFonts w:asciiTheme="minorHAnsi" w:eastAsiaTheme="minorHAnsi" w:hAnsiTheme="minorHAnsi" w:cs="TimesNewRoman"/>
          <w:sz w:val="18"/>
          <w:szCs w:val="18"/>
        </w:rPr>
      </w:pPr>
      <w:r w:rsidRPr="00D23699">
        <w:rPr>
          <w:rStyle w:val="FootnoteReference"/>
          <w:rFonts w:asciiTheme="minorHAnsi" w:hAnsiTheme="minorHAnsi"/>
          <w:sz w:val="18"/>
          <w:szCs w:val="18"/>
        </w:rPr>
        <w:footnoteRef/>
      </w:r>
      <w:r w:rsidRPr="00D23699">
        <w:rPr>
          <w:rFonts w:asciiTheme="minorHAnsi" w:hAnsiTheme="minorHAnsi"/>
          <w:sz w:val="18"/>
          <w:szCs w:val="18"/>
        </w:rPr>
        <w:t xml:space="preserve"> Ivy </w:t>
      </w:r>
      <w:proofErr w:type="gramStart"/>
      <w:r w:rsidRPr="00D23699">
        <w:rPr>
          <w:rFonts w:asciiTheme="minorHAnsi" w:eastAsiaTheme="minorHAnsi" w:hAnsiTheme="minorHAnsi" w:cs="TimesNewRoman"/>
          <w:sz w:val="18"/>
          <w:szCs w:val="18"/>
        </w:rPr>
        <w:t>DD</w:t>
      </w:r>
      <w:r w:rsidRPr="00D23699">
        <w:rPr>
          <w:rFonts w:asciiTheme="minorHAnsi" w:hAnsiTheme="minorHAnsi"/>
          <w:sz w:val="18"/>
          <w:szCs w:val="18"/>
        </w:rPr>
        <w:t xml:space="preserve"> </w:t>
      </w:r>
      <w:r w:rsidRPr="00D23699">
        <w:rPr>
          <w:rFonts w:asciiTheme="minorHAnsi" w:eastAsiaTheme="minorHAnsi" w:hAnsiTheme="minorHAnsi" w:cs="TimesNewRoman"/>
          <w:sz w:val="18"/>
          <w:szCs w:val="18"/>
        </w:rPr>
        <w:t>,</w:t>
      </w:r>
      <w:proofErr w:type="gramEnd"/>
      <w:r w:rsidRPr="00D23699">
        <w:rPr>
          <w:rFonts w:asciiTheme="minorHAnsi" w:eastAsiaTheme="minorHAnsi" w:hAnsiTheme="minorHAnsi" w:cs="TimesNewRoman"/>
          <w:sz w:val="18"/>
          <w:szCs w:val="18"/>
        </w:rPr>
        <w:t xml:space="preserve"> et al</w:t>
      </w:r>
      <w:r w:rsidRPr="00D23699">
        <w:rPr>
          <w:rFonts w:asciiTheme="minorHAnsi" w:hAnsiTheme="minorHAnsi"/>
          <w:sz w:val="18"/>
          <w:szCs w:val="18"/>
        </w:rPr>
        <w:t xml:space="preserve"> 2004</w:t>
      </w:r>
      <w:r w:rsidRPr="00D23699">
        <w:rPr>
          <w:rFonts w:asciiTheme="minorHAnsi" w:eastAsiaTheme="minorHAnsi" w:hAnsiTheme="minorHAnsi" w:cs="TimesNewRoman"/>
          <w:sz w:val="18"/>
          <w:szCs w:val="18"/>
        </w:rPr>
        <w:t xml:space="preserve"> </w:t>
      </w:r>
      <w:r>
        <w:rPr>
          <w:rFonts w:asciiTheme="minorHAnsi" w:eastAsiaTheme="minorHAnsi" w:hAnsiTheme="minorHAnsi" w:cs="TimesNewRoman"/>
          <w:sz w:val="18"/>
          <w:szCs w:val="18"/>
        </w:rPr>
        <w:t xml:space="preserve">Weaning and discontinuation of </w:t>
      </w:r>
      <w:r w:rsidRPr="00D23699">
        <w:rPr>
          <w:rFonts w:asciiTheme="minorHAnsi" w:eastAsiaTheme="minorHAnsi" w:hAnsiTheme="minorHAnsi" w:cs="TimesNewRoman"/>
          <w:sz w:val="18"/>
          <w:szCs w:val="18"/>
        </w:rPr>
        <w:t xml:space="preserve">epoprostenol in children with idiopathic </w:t>
      </w:r>
      <w:r>
        <w:rPr>
          <w:rFonts w:asciiTheme="minorHAnsi" w:eastAsiaTheme="minorHAnsi" w:hAnsiTheme="minorHAnsi" w:cs="TimesNewRoman"/>
          <w:sz w:val="18"/>
          <w:szCs w:val="18"/>
        </w:rPr>
        <w:t xml:space="preserve">pulmonary arterial hypertension </w:t>
      </w:r>
      <w:r w:rsidRPr="00D23699">
        <w:rPr>
          <w:rFonts w:asciiTheme="minorHAnsi" w:eastAsiaTheme="minorHAnsi" w:hAnsiTheme="minorHAnsi" w:cs="TimesNewRoman"/>
          <w:sz w:val="18"/>
          <w:szCs w:val="18"/>
        </w:rPr>
        <w:t xml:space="preserve">receiving concomitant bosentan. </w:t>
      </w:r>
      <w:proofErr w:type="gramStart"/>
      <w:r w:rsidRPr="00E572FC">
        <w:rPr>
          <w:rFonts w:asciiTheme="minorHAnsi" w:eastAsiaTheme="minorHAnsi" w:hAnsiTheme="minorHAnsi" w:cs="TimesNewRoman"/>
          <w:i/>
          <w:sz w:val="18"/>
          <w:szCs w:val="18"/>
        </w:rPr>
        <w:t xml:space="preserve">Am J </w:t>
      </w:r>
      <w:proofErr w:type="spellStart"/>
      <w:r w:rsidRPr="00E572FC">
        <w:rPr>
          <w:rFonts w:asciiTheme="minorHAnsi" w:eastAsiaTheme="minorHAnsi" w:hAnsiTheme="minorHAnsi" w:cs="TimesNewRoman"/>
          <w:i/>
          <w:sz w:val="18"/>
          <w:szCs w:val="18"/>
        </w:rPr>
        <w:t>Cardiol</w:t>
      </w:r>
      <w:proofErr w:type="spellEnd"/>
      <w:r w:rsidRPr="00D23699">
        <w:rPr>
          <w:rFonts w:asciiTheme="minorHAnsi" w:eastAsiaTheme="minorHAnsi" w:hAnsiTheme="minorHAnsi" w:cs="TimesNewRoman"/>
          <w:sz w:val="18"/>
          <w:szCs w:val="18"/>
        </w:rPr>
        <w:t>.</w:t>
      </w:r>
      <w:proofErr w:type="gramEnd"/>
      <w:r w:rsidRPr="00D23699">
        <w:rPr>
          <w:rFonts w:asciiTheme="minorHAnsi" w:eastAsiaTheme="minorHAnsi" w:hAnsiTheme="minorHAnsi" w:cs="TimesNewRoman"/>
          <w:sz w:val="18"/>
          <w:szCs w:val="18"/>
        </w:rPr>
        <w:t xml:space="preserve"> </w:t>
      </w:r>
      <w:proofErr w:type="gramStart"/>
      <w:r w:rsidRPr="00D23699">
        <w:rPr>
          <w:rFonts w:asciiTheme="minorHAnsi" w:eastAsiaTheme="minorHAnsi" w:hAnsiTheme="minorHAnsi" w:cs="TimesNewRoman"/>
          <w:sz w:val="18"/>
          <w:szCs w:val="18"/>
        </w:rPr>
        <w:t>2004; 93: 943-</w:t>
      </w:r>
      <w:r>
        <w:rPr>
          <w:rFonts w:asciiTheme="minorHAnsi" w:eastAsiaTheme="minorHAnsi" w:hAnsiTheme="minorHAnsi" w:cs="TimesNewRoman"/>
          <w:sz w:val="18"/>
          <w:szCs w:val="18"/>
        </w:rPr>
        <w:t>94</w:t>
      </w:r>
      <w:r w:rsidRPr="00D23699">
        <w:rPr>
          <w:rFonts w:asciiTheme="minorHAnsi" w:eastAsiaTheme="minorHAnsi" w:hAnsiTheme="minorHAnsi" w:cs="TimesNewRoman"/>
          <w:sz w:val="18"/>
          <w:szCs w:val="18"/>
        </w:rPr>
        <w:t>6.</w:t>
      </w:r>
      <w:proofErr w:type="gramEnd"/>
    </w:p>
  </w:footnote>
  <w:footnote w:id="21">
    <w:p w14:paraId="230202D7" w14:textId="77777777" w:rsidR="006B7A12" w:rsidRPr="00D23699" w:rsidRDefault="006B7A12" w:rsidP="008B1C91">
      <w:pPr>
        <w:autoSpaceDE w:val="0"/>
        <w:autoSpaceDN w:val="0"/>
        <w:adjustRightInd w:val="0"/>
        <w:spacing w:before="0" w:after="0" w:line="240" w:lineRule="auto"/>
        <w:rPr>
          <w:rFonts w:asciiTheme="minorHAnsi" w:eastAsiaTheme="minorHAnsi" w:hAnsiTheme="minorHAnsi" w:cs="TimesNewRoman"/>
          <w:sz w:val="18"/>
          <w:szCs w:val="18"/>
        </w:rPr>
      </w:pPr>
      <w:r w:rsidRPr="00D23699">
        <w:rPr>
          <w:rStyle w:val="FootnoteReference"/>
          <w:rFonts w:asciiTheme="minorHAnsi" w:hAnsiTheme="minorHAnsi"/>
          <w:sz w:val="18"/>
          <w:szCs w:val="18"/>
        </w:rPr>
        <w:footnoteRef/>
      </w:r>
      <w:r w:rsidRPr="00D23699">
        <w:rPr>
          <w:rFonts w:asciiTheme="minorHAnsi" w:hAnsiTheme="minorHAnsi"/>
          <w:sz w:val="18"/>
          <w:szCs w:val="18"/>
        </w:rPr>
        <w:t xml:space="preserve"> </w:t>
      </w:r>
      <w:proofErr w:type="gramStart"/>
      <w:r w:rsidRPr="00D23699">
        <w:rPr>
          <w:rFonts w:asciiTheme="minorHAnsi" w:hAnsiTheme="minorHAnsi"/>
          <w:sz w:val="18"/>
          <w:szCs w:val="18"/>
        </w:rPr>
        <w:t xml:space="preserve">Penny </w:t>
      </w:r>
      <w:r w:rsidRPr="00D23699">
        <w:rPr>
          <w:rFonts w:asciiTheme="minorHAnsi" w:eastAsiaTheme="minorHAnsi" w:hAnsiTheme="minorHAnsi" w:cs="TimesNewRoman"/>
          <w:sz w:val="18"/>
          <w:szCs w:val="18"/>
        </w:rPr>
        <w:t>DJ</w:t>
      </w:r>
      <w:r w:rsidRPr="00D23699">
        <w:rPr>
          <w:rFonts w:asciiTheme="minorHAnsi" w:hAnsiTheme="minorHAnsi"/>
          <w:sz w:val="18"/>
          <w:szCs w:val="18"/>
        </w:rPr>
        <w:t xml:space="preserve"> </w:t>
      </w:r>
      <w:r w:rsidRPr="00D23699">
        <w:rPr>
          <w:rFonts w:asciiTheme="minorHAnsi" w:eastAsiaTheme="minorHAnsi" w:hAnsiTheme="minorHAnsi" w:cs="TimesNewRoman"/>
          <w:sz w:val="18"/>
          <w:szCs w:val="18"/>
        </w:rPr>
        <w:t>et al</w:t>
      </w:r>
      <w:r w:rsidRPr="00D23699">
        <w:rPr>
          <w:rFonts w:asciiTheme="minorHAnsi" w:hAnsiTheme="minorHAnsi"/>
          <w:sz w:val="18"/>
          <w:szCs w:val="18"/>
        </w:rPr>
        <w:t xml:space="preserve"> 2003</w:t>
      </w:r>
      <w:r w:rsidRPr="00D23699">
        <w:rPr>
          <w:rFonts w:asciiTheme="minorHAnsi" w:eastAsiaTheme="minorHAnsi" w:hAnsiTheme="minorHAnsi" w:cs="TimesNewRoman"/>
          <w:sz w:val="18"/>
          <w:szCs w:val="18"/>
        </w:rPr>
        <w:t xml:space="preserve"> Prelimin</w:t>
      </w:r>
      <w:r>
        <w:rPr>
          <w:rFonts w:asciiTheme="minorHAnsi" w:eastAsiaTheme="minorHAnsi" w:hAnsiTheme="minorHAnsi" w:cs="TimesNewRoman"/>
          <w:sz w:val="18"/>
          <w:szCs w:val="18"/>
        </w:rPr>
        <w:t xml:space="preserve">ary experience with bosentan </w:t>
      </w:r>
      <w:r w:rsidRPr="00D23699">
        <w:rPr>
          <w:rFonts w:asciiTheme="minorHAnsi" w:eastAsiaTheme="minorHAnsi" w:hAnsiTheme="minorHAnsi" w:cs="TimesNewRoman"/>
          <w:sz w:val="18"/>
          <w:szCs w:val="18"/>
        </w:rPr>
        <w:t>in children with primary pulmonary hyperte</w:t>
      </w:r>
      <w:r>
        <w:rPr>
          <w:rFonts w:asciiTheme="minorHAnsi" w:eastAsiaTheme="minorHAnsi" w:hAnsiTheme="minorHAnsi" w:cs="TimesNewRoman"/>
          <w:sz w:val="18"/>
          <w:szCs w:val="18"/>
        </w:rPr>
        <w:t>nsion</w:t>
      </w:r>
      <w:r w:rsidRPr="00E572FC">
        <w:rPr>
          <w:rFonts w:asciiTheme="minorHAnsi" w:eastAsiaTheme="minorHAnsi" w:hAnsiTheme="minorHAnsi" w:cs="TimesNewRoman"/>
          <w:i/>
          <w:sz w:val="18"/>
          <w:szCs w:val="18"/>
        </w:rPr>
        <w:t>.</w:t>
      </w:r>
      <w:proofErr w:type="gramEnd"/>
      <w:r w:rsidRPr="00E572FC">
        <w:rPr>
          <w:rFonts w:asciiTheme="minorHAnsi" w:eastAsiaTheme="minorHAnsi" w:hAnsiTheme="minorHAnsi" w:cs="TimesNewRoman"/>
          <w:i/>
          <w:sz w:val="18"/>
          <w:szCs w:val="18"/>
        </w:rPr>
        <w:t xml:space="preserve"> J Am </w:t>
      </w:r>
      <w:proofErr w:type="spellStart"/>
      <w:r w:rsidRPr="00E572FC">
        <w:rPr>
          <w:rFonts w:asciiTheme="minorHAnsi" w:eastAsiaTheme="minorHAnsi" w:hAnsiTheme="minorHAnsi" w:cs="TimesNewRoman"/>
          <w:i/>
          <w:sz w:val="18"/>
          <w:szCs w:val="18"/>
        </w:rPr>
        <w:t>Coll</w:t>
      </w:r>
      <w:proofErr w:type="spellEnd"/>
      <w:r w:rsidRPr="00E572FC">
        <w:rPr>
          <w:rFonts w:asciiTheme="minorHAnsi" w:eastAsiaTheme="minorHAnsi" w:hAnsiTheme="minorHAnsi" w:cs="TimesNewRoman"/>
          <w:i/>
          <w:sz w:val="18"/>
          <w:szCs w:val="18"/>
        </w:rPr>
        <w:t xml:space="preserve"> </w:t>
      </w:r>
      <w:proofErr w:type="spellStart"/>
      <w:r w:rsidRPr="00E572FC">
        <w:rPr>
          <w:rFonts w:asciiTheme="minorHAnsi" w:eastAsiaTheme="minorHAnsi" w:hAnsiTheme="minorHAnsi" w:cs="TimesNewRoman"/>
          <w:i/>
          <w:sz w:val="18"/>
          <w:szCs w:val="18"/>
        </w:rPr>
        <w:t>Cardiol</w:t>
      </w:r>
      <w:proofErr w:type="spellEnd"/>
      <w:r w:rsidRPr="00E572FC">
        <w:rPr>
          <w:rFonts w:asciiTheme="minorHAnsi" w:eastAsiaTheme="minorHAnsi" w:hAnsiTheme="minorHAnsi" w:cs="TimesNewRoman"/>
          <w:i/>
          <w:sz w:val="18"/>
          <w:szCs w:val="18"/>
        </w:rPr>
        <w:t>.</w:t>
      </w:r>
      <w:r>
        <w:rPr>
          <w:rFonts w:asciiTheme="minorHAnsi" w:eastAsiaTheme="minorHAnsi" w:hAnsiTheme="minorHAnsi" w:cs="TimesNewRoman"/>
          <w:sz w:val="18"/>
          <w:szCs w:val="18"/>
        </w:rPr>
        <w:t xml:space="preserve"> 2003: </w:t>
      </w:r>
      <w:r w:rsidRPr="00D23699">
        <w:rPr>
          <w:rFonts w:asciiTheme="minorHAnsi" w:eastAsiaTheme="minorHAnsi" w:hAnsiTheme="minorHAnsi" w:cs="TimesNewRoman"/>
          <w:sz w:val="18"/>
          <w:szCs w:val="18"/>
        </w:rPr>
        <w:t>485A.</w:t>
      </w:r>
    </w:p>
  </w:footnote>
  <w:footnote w:id="22">
    <w:p w14:paraId="1F33A49C" w14:textId="77777777" w:rsidR="006B7A12" w:rsidRPr="00D23699" w:rsidRDefault="006B7A12" w:rsidP="008B1C91">
      <w:pPr>
        <w:autoSpaceDE w:val="0"/>
        <w:autoSpaceDN w:val="0"/>
        <w:adjustRightInd w:val="0"/>
        <w:spacing w:before="0" w:after="0" w:line="240" w:lineRule="auto"/>
        <w:rPr>
          <w:rFonts w:asciiTheme="minorHAnsi" w:eastAsiaTheme="minorHAnsi" w:hAnsiTheme="minorHAnsi" w:cs="TimesNewRoman"/>
          <w:sz w:val="18"/>
          <w:szCs w:val="18"/>
        </w:rPr>
      </w:pPr>
      <w:r w:rsidRPr="00D23699">
        <w:rPr>
          <w:rStyle w:val="FootnoteReference"/>
          <w:rFonts w:asciiTheme="minorHAnsi" w:hAnsiTheme="minorHAnsi"/>
          <w:sz w:val="18"/>
          <w:szCs w:val="18"/>
        </w:rPr>
        <w:footnoteRef/>
      </w:r>
      <w:r w:rsidRPr="00D23699">
        <w:rPr>
          <w:rFonts w:asciiTheme="minorHAnsi" w:hAnsiTheme="minorHAnsi"/>
          <w:sz w:val="18"/>
          <w:szCs w:val="18"/>
        </w:rPr>
        <w:t xml:space="preserve"> </w:t>
      </w:r>
      <w:proofErr w:type="spellStart"/>
      <w:r w:rsidRPr="00D23699">
        <w:rPr>
          <w:rFonts w:asciiTheme="minorHAnsi" w:hAnsiTheme="minorHAnsi"/>
          <w:sz w:val="18"/>
          <w:szCs w:val="18"/>
        </w:rPr>
        <w:t>Hirono</w:t>
      </w:r>
      <w:proofErr w:type="spellEnd"/>
      <w:r w:rsidRPr="00D23699">
        <w:rPr>
          <w:rFonts w:asciiTheme="minorHAnsi" w:hAnsiTheme="minorHAnsi"/>
          <w:sz w:val="18"/>
          <w:szCs w:val="18"/>
        </w:rPr>
        <w:t xml:space="preserve"> </w:t>
      </w:r>
      <w:r>
        <w:rPr>
          <w:rFonts w:asciiTheme="minorHAnsi" w:hAnsiTheme="minorHAnsi"/>
          <w:sz w:val="18"/>
          <w:szCs w:val="18"/>
        </w:rPr>
        <w:t xml:space="preserve">K et al. </w:t>
      </w:r>
      <w:r w:rsidRPr="00D23699">
        <w:rPr>
          <w:rFonts w:asciiTheme="minorHAnsi" w:hAnsiTheme="minorHAnsi"/>
          <w:sz w:val="18"/>
          <w:szCs w:val="18"/>
        </w:rPr>
        <w:t>2010</w:t>
      </w:r>
      <w:r w:rsidRPr="00D23699">
        <w:rPr>
          <w:rFonts w:asciiTheme="minorHAnsi" w:eastAsiaTheme="minorHAnsi" w:hAnsiTheme="minorHAnsi" w:cs="TimesNewRoman"/>
          <w:sz w:val="18"/>
          <w:szCs w:val="18"/>
        </w:rPr>
        <w:t xml:space="preserve"> </w:t>
      </w:r>
      <w:r>
        <w:rPr>
          <w:rFonts w:asciiTheme="minorHAnsi" w:eastAsiaTheme="minorHAnsi" w:hAnsiTheme="minorHAnsi" w:cs="TimesNewRoman"/>
          <w:sz w:val="18"/>
          <w:szCs w:val="18"/>
        </w:rPr>
        <w:t xml:space="preserve">Bosentan induces clinical and </w:t>
      </w:r>
      <w:r w:rsidRPr="00D23699">
        <w:rPr>
          <w:rFonts w:asciiTheme="minorHAnsi" w:eastAsiaTheme="minorHAnsi" w:hAnsiTheme="minorHAnsi" w:cs="TimesNewRoman"/>
          <w:sz w:val="18"/>
          <w:szCs w:val="18"/>
        </w:rPr>
        <w:t>hemodynamic improvement in candidates for ri</w:t>
      </w:r>
      <w:r>
        <w:rPr>
          <w:rFonts w:asciiTheme="minorHAnsi" w:eastAsiaTheme="minorHAnsi" w:hAnsiTheme="minorHAnsi" w:cs="TimesNewRoman"/>
          <w:sz w:val="18"/>
          <w:szCs w:val="18"/>
        </w:rPr>
        <w:t xml:space="preserve">ght-sided heart bypass surgery. </w:t>
      </w:r>
      <w:proofErr w:type="gramStart"/>
      <w:r w:rsidRPr="00E572FC">
        <w:rPr>
          <w:rFonts w:asciiTheme="minorHAnsi" w:eastAsiaTheme="minorHAnsi" w:hAnsiTheme="minorHAnsi" w:cs="TimesNewRoman"/>
          <w:i/>
          <w:sz w:val="18"/>
          <w:szCs w:val="18"/>
        </w:rPr>
        <w:t>The Journal of thoracic and cardiovascular surgery</w:t>
      </w:r>
      <w:r w:rsidRPr="00D23699">
        <w:rPr>
          <w:rFonts w:asciiTheme="minorHAnsi" w:eastAsiaTheme="minorHAnsi" w:hAnsiTheme="minorHAnsi" w:cs="TimesNewRoman"/>
          <w:sz w:val="18"/>
          <w:szCs w:val="18"/>
        </w:rPr>
        <w:t xml:space="preserve"> 2010; 140: 346-</w:t>
      </w:r>
      <w:r>
        <w:rPr>
          <w:rFonts w:asciiTheme="minorHAnsi" w:eastAsiaTheme="minorHAnsi" w:hAnsiTheme="minorHAnsi" w:cs="TimesNewRoman"/>
          <w:sz w:val="18"/>
          <w:szCs w:val="18"/>
        </w:rPr>
        <w:t>3</w:t>
      </w:r>
      <w:r w:rsidRPr="00D23699">
        <w:rPr>
          <w:rFonts w:asciiTheme="minorHAnsi" w:eastAsiaTheme="minorHAnsi" w:hAnsiTheme="minorHAnsi" w:cs="TimesNewRoman"/>
          <w:sz w:val="18"/>
          <w:szCs w:val="18"/>
        </w:rPr>
        <w:t>51.</w:t>
      </w:r>
      <w:proofErr w:type="gramEnd"/>
    </w:p>
  </w:footnote>
  <w:footnote w:id="23">
    <w:p w14:paraId="1B3EB87C" w14:textId="77777777" w:rsidR="006B7A12" w:rsidRPr="00D23699" w:rsidRDefault="006B7A12" w:rsidP="008B1C91">
      <w:pPr>
        <w:autoSpaceDE w:val="0"/>
        <w:autoSpaceDN w:val="0"/>
        <w:adjustRightInd w:val="0"/>
        <w:spacing w:before="0" w:after="0" w:line="240" w:lineRule="auto"/>
        <w:rPr>
          <w:rFonts w:asciiTheme="minorHAnsi" w:eastAsiaTheme="minorHAnsi" w:hAnsiTheme="minorHAnsi" w:cs="TimesNewRoman"/>
          <w:sz w:val="18"/>
          <w:szCs w:val="18"/>
        </w:rPr>
      </w:pPr>
      <w:r w:rsidRPr="00D23699">
        <w:rPr>
          <w:rStyle w:val="FootnoteReference"/>
          <w:rFonts w:asciiTheme="minorHAnsi" w:hAnsiTheme="minorHAnsi"/>
          <w:sz w:val="18"/>
          <w:szCs w:val="18"/>
        </w:rPr>
        <w:footnoteRef/>
      </w:r>
      <w:r w:rsidRPr="00D23699">
        <w:rPr>
          <w:rFonts w:asciiTheme="minorHAnsi" w:hAnsiTheme="minorHAnsi"/>
          <w:sz w:val="18"/>
          <w:szCs w:val="18"/>
        </w:rPr>
        <w:t xml:space="preserve"> </w:t>
      </w:r>
      <w:proofErr w:type="spellStart"/>
      <w:proofErr w:type="gramStart"/>
      <w:r w:rsidRPr="00D23699">
        <w:rPr>
          <w:rFonts w:asciiTheme="minorHAnsi" w:hAnsiTheme="minorHAnsi"/>
          <w:sz w:val="18"/>
          <w:szCs w:val="18"/>
        </w:rPr>
        <w:t>Hislop</w:t>
      </w:r>
      <w:proofErr w:type="spellEnd"/>
      <w:r w:rsidRPr="00D23699">
        <w:rPr>
          <w:rFonts w:asciiTheme="minorHAnsi" w:hAnsiTheme="minorHAnsi"/>
          <w:sz w:val="18"/>
          <w:szCs w:val="18"/>
        </w:rPr>
        <w:t xml:space="preserve"> </w:t>
      </w:r>
      <w:r>
        <w:rPr>
          <w:rFonts w:asciiTheme="minorHAnsi" w:hAnsiTheme="minorHAnsi"/>
          <w:sz w:val="18"/>
          <w:szCs w:val="18"/>
        </w:rPr>
        <w:t xml:space="preserve">AA et al. </w:t>
      </w:r>
      <w:r w:rsidRPr="00D23699">
        <w:rPr>
          <w:rFonts w:asciiTheme="minorHAnsi" w:hAnsiTheme="minorHAnsi"/>
          <w:sz w:val="18"/>
          <w:szCs w:val="18"/>
        </w:rPr>
        <w:t>2011</w:t>
      </w:r>
      <w:r w:rsidRPr="00D23699">
        <w:rPr>
          <w:rFonts w:asciiTheme="minorHAnsi" w:eastAsiaTheme="minorHAnsi" w:hAnsiTheme="minorHAnsi" w:cs="TimesNewRoman"/>
          <w:sz w:val="18"/>
          <w:szCs w:val="18"/>
        </w:rPr>
        <w:t xml:space="preserve"> Lo</w:t>
      </w:r>
      <w:r>
        <w:rPr>
          <w:rFonts w:asciiTheme="minorHAnsi" w:eastAsiaTheme="minorHAnsi" w:hAnsiTheme="minorHAnsi" w:cs="TimesNewRoman"/>
          <w:sz w:val="18"/>
          <w:szCs w:val="18"/>
        </w:rPr>
        <w:t xml:space="preserve">ng-term efficacy of bosentan in </w:t>
      </w:r>
      <w:r w:rsidRPr="00D23699">
        <w:rPr>
          <w:rFonts w:asciiTheme="minorHAnsi" w:eastAsiaTheme="minorHAnsi" w:hAnsiTheme="minorHAnsi" w:cs="TimesNewRoman"/>
          <w:sz w:val="18"/>
          <w:szCs w:val="18"/>
        </w:rPr>
        <w:t>treatment of pulmonary arterial hypertension in ch</w:t>
      </w:r>
      <w:r>
        <w:rPr>
          <w:rFonts w:asciiTheme="minorHAnsi" w:eastAsiaTheme="minorHAnsi" w:hAnsiTheme="minorHAnsi" w:cs="TimesNewRoman"/>
          <w:sz w:val="18"/>
          <w:szCs w:val="18"/>
        </w:rPr>
        <w:t>ildren.</w:t>
      </w:r>
      <w:proofErr w:type="gramEnd"/>
      <w:r>
        <w:rPr>
          <w:rFonts w:asciiTheme="minorHAnsi" w:eastAsiaTheme="minorHAnsi" w:hAnsiTheme="minorHAnsi" w:cs="TimesNewRoman"/>
          <w:sz w:val="18"/>
          <w:szCs w:val="18"/>
        </w:rPr>
        <w:t xml:space="preserve"> </w:t>
      </w:r>
      <w:proofErr w:type="spellStart"/>
      <w:proofErr w:type="gramStart"/>
      <w:r w:rsidRPr="00E572FC">
        <w:rPr>
          <w:rFonts w:asciiTheme="minorHAnsi" w:eastAsiaTheme="minorHAnsi" w:hAnsiTheme="minorHAnsi" w:cs="TimesNewRoman"/>
          <w:i/>
          <w:sz w:val="18"/>
          <w:szCs w:val="18"/>
        </w:rPr>
        <w:t>Eur</w:t>
      </w:r>
      <w:proofErr w:type="spellEnd"/>
      <w:r w:rsidRPr="00E572FC">
        <w:rPr>
          <w:rFonts w:asciiTheme="minorHAnsi" w:eastAsiaTheme="minorHAnsi" w:hAnsiTheme="minorHAnsi" w:cs="TimesNewRoman"/>
          <w:i/>
          <w:sz w:val="18"/>
          <w:szCs w:val="18"/>
        </w:rPr>
        <w:t xml:space="preserve"> </w:t>
      </w:r>
      <w:proofErr w:type="spellStart"/>
      <w:r w:rsidRPr="00E572FC">
        <w:rPr>
          <w:rFonts w:asciiTheme="minorHAnsi" w:eastAsiaTheme="minorHAnsi" w:hAnsiTheme="minorHAnsi" w:cs="TimesNewRoman"/>
          <w:i/>
          <w:sz w:val="18"/>
          <w:szCs w:val="18"/>
        </w:rPr>
        <w:t>Respir</w:t>
      </w:r>
      <w:proofErr w:type="spellEnd"/>
      <w:r w:rsidRPr="00E572FC">
        <w:rPr>
          <w:rFonts w:asciiTheme="minorHAnsi" w:eastAsiaTheme="minorHAnsi" w:hAnsiTheme="minorHAnsi" w:cs="TimesNewRoman"/>
          <w:i/>
          <w:sz w:val="18"/>
          <w:szCs w:val="18"/>
        </w:rPr>
        <w:t xml:space="preserve"> J.</w:t>
      </w:r>
      <w:r>
        <w:rPr>
          <w:rFonts w:asciiTheme="minorHAnsi" w:eastAsiaTheme="minorHAnsi" w:hAnsiTheme="minorHAnsi" w:cs="TimesNewRoman"/>
          <w:sz w:val="18"/>
          <w:szCs w:val="18"/>
        </w:rPr>
        <w:t xml:space="preserve"> 2011; 38: </w:t>
      </w:r>
      <w:r w:rsidRPr="00D23699">
        <w:rPr>
          <w:rFonts w:asciiTheme="minorHAnsi" w:eastAsiaTheme="minorHAnsi" w:hAnsiTheme="minorHAnsi" w:cs="TimesNewRoman"/>
          <w:sz w:val="18"/>
          <w:szCs w:val="18"/>
        </w:rPr>
        <w:t>70-</w:t>
      </w:r>
      <w:r>
        <w:rPr>
          <w:rFonts w:asciiTheme="minorHAnsi" w:eastAsiaTheme="minorHAnsi" w:hAnsiTheme="minorHAnsi" w:cs="TimesNewRoman"/>
          <w:sz w:val="18"/>
          <w:szCs w:val="18"/>
        </w:rPr>
        <w:t>7</w:t>
      </w:r>
      <w:r w:rsidRPr="00D23699">
        <w:rPr>
          <w:rFonts w:asciiTheme="minorHAnsi" w:eastAsiaTheme="minorHAnsi" w:hAnsiTheme="minorHAnsi" w:cs="TimesNewRoman"/>
          <w:sz w:val="18"/>
          <w:szCs w:val="18"/>
        </w:rPr>
        <w:t>7.</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49A421" w14:textId="77777777" w:rsidR="006B7A12" w:rsidRDefault="006B7A12"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1C332" w14:textId="77777777" w:rsidR="006B7A12" w:rsidRDefault="006B7A12">
    <w:pPr>
      <w:rPr>
        <w:noProof/>
        <w:lang w:eastAsia="en-AU"/>
      </w:rPr>
    </w:pPr>
    <w:r w:rsidRPr="00347824">
      <w:rPr>
        <w:noProof/>
        <w:lang w:eastAsia="en-AU"/>
      </w:rPr>
      <w:drawing>
        <wp:anchor distT="0" distB="0" distL="114300" distR="114300" simplePos="0" relativeHeight="251659264" behindDoc="1" locked="0" layoutInCell="1" allowOverlap="1" wp14:anchorId="33638A56" wp14:editId="0CBEE29B">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0E9A1096" w14:textId="77777777" w:rsidR="006B7A12" w:rsidRDefault="006B7A12" w:rsidP="00593AD1">
    <w:pPr>
      <w:pStyle w:val="HeaderNoLine"/>
    </w:pPr>
    <w:r>
      <w:rPr>
        <w:noProof/>
        <w:lang w:eastAsia="en-AU"/>
      </w:rPr>
      <w:drawing>
        <wp:inline distT="0" distB="0" distL="0" distR="0" wp14:anchorId="1208143A" wp14:editId="5AFCA639">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A420C" w14:textId="77777777" w:rsidR="006B7A12" w:rsidRDefault="006B7A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885B5" w14:textId="77777777" w:rsidR="006B7A12" w:rsidRDefault="006B7A12">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AEB0A2" w14:textId="77777777" w:rsidR="006B7A12" w:rsidRDefault="006B7A12">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8C1E9F" w14:textId="77777777" w:rsidR="006B7A12" w:rsidRDefault="006B7A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3D673" w14:textId="77777777" w:rsidR="006B7A12" w:rsidRDefault="006B7A12"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CD5B0" w14:textId="77777777" w:rsidR="006B7A12" w:rsidRDefault="006B7A12" w:rsidP="006E08B3">
    <w:r>
      <w:t>Therapeutic Goods Administration</w:t>
    </w:r>
  </w:p>
  <w:p w14:paraId="390E868C" w14:textId="77777777" w:rsidR="006B7A12" w:rsidRDefault="006B7A12"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63551E0"/>
    <w:multiLevelType w:val="hybridMultilevel"/>
    <w:tmpl w:val="7C0EBFB4"/>
    <w:lvl w:ilvl="0" w:tplc="8F505154">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DF46CD2"/>
    <w:multiLevelType w:val="hybridMultilevel"/>
    <w:tmpl w:val="A9FA7BDA"/>
    <w:lvl w:ilvl="0" w:tplc="F58A43DA">
      <w:start w:val="1"/>
      <w:numFmt w:val="decimal"/>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36DA7C5E"/>
    <w:multiLevelType w:val="hybridMultilevel"/>
    <w:tmpl w:val="A9FA7BDA"/>
    <w:lvl w:ilvl="0" w:tplc="F58A43DA">
      <w:start w:val="1"/>
      <w:numFmt w:val="decimal"/>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391E7332"/>
    <w:multiLevelType w:val="hybridMultilevel"/>
    <w:tmpl w:val="162AC636"/>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476C3A1A"/>
    <w:multiLevelType w:val="hybridMultilevel"/>
    <w:tmpl w:val="57861D0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5ABD4762"/>
    <w:multiLevelType w:val="hybridMultilevel"/>
    <w:tmpl w:val="6FFC8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0AD28E2"/>
    <w:multiLevelType w:val="hybridMultilevel"/>
    <w:tmpl w:val="84A40FA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6D0B1B75"/>
    <w:multiLevelType w:val="multilevel"/>
    <w:tmpl w:val="D3FAAFB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022"/>
        </w:tabs>
        <w:ind w:left="1022" w:hanging="1022"/>
      </w:pPr>
      <w:rPr>
        <w:rFonts w:hint="default"/>
      </w:rPr>
    </w:lvl>
    <w:lvl w:ilvl="2">
      <w:start w:val="1"/>
      <w:numFmt w:val="decimal"/>
      <w:lvlText w:val="%1.%2.%3."/>
      <w:lvlJc w:val="left"/>
      <w:pPr>
        <w:tabs>
          <w:tab w:val="num" w:pos="1134"/>
        </w:tabs>
        <w:ind w:left="1134" w:hanging="964"/>
      </w:pPr>
      <w:rPr>
        <w:rFonts w:hint="default"/>
      </w:rPr>
    </w:lvl>
    <w:lvl w:ilvl="3">
      <w:start w:val="1"/>
      <w:numFmt w:val="decimal"/>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7"/>
  </w:num>
  <w:num w:numId="9">
    <w:abstractNumId w:val="7"/>
  </w:num>
  <w:num w:numId="10">
    <w:abstractNumId w:val="7"/>
  </w:num>
  <w:num w:numId="11">
    <w:abstractNumId w:val="7"/>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7"/>
  </w:num>
  <w:num w:numId="17">
    <w:abstractNumId w:val="7"/>
  </w:num>
  <w:num w:numId="18">
    <w:abstractNumId w:val="7"/>
  </w:num>
  <w:num w:numId="19">
    <w:abstractNumId w:val="8"/>
  </w:num>
  <w:num w:numId="20">
    <w:abstractNumId w:val="8"/>
  </w:num>
  <w:num w:numId="21">
    <w:abstractNumId w:val="8"/>
  </w:num>
  <w:num w:numId="22">
    <w:abstractNumId w:val="7"/>
  </w:num>
  <w:num w:numId="23">
    <w:abstractNumId w:val="7"/>
  </w:num>
  <w:num w:numId="24">
    <w:abstractNumId w:val="7"/>
  </w:num>
  <w:num w:numId="25">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2"/>
  </w:num>
  <w:num w:numId="28">
    <w:abstractNumId w:val="4"/>
  </w:num>
  <w:num w:numId="29">
    <w:abstractNumId w:val="6"/>
  </w:num>
  <w:num w:numId="30">
    <w:abstractNumId w:val="5"/>
  </w:num>
  <w:num w:numId="31">
    <w:abstractNumId w:val="9"/>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num>
  <w:num w:numId="42">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3">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4">
    <w:abstractNumId w:val="14"/>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num>
  <w:num w:numId="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Hillman">
    <w15:presenceInfo w15:providerId="Windows Live" w15:userId="3c9ea4507e25e1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4A5"/>
    <w:rsid w:val="00002031"/>
    <w:rsid w:val="00004734"/>
    <w:rsid w:val="00006B22"/>
    <w:rsid w:val="0001276A"/>
    <w:rsid w:val="000246AE"/>
    <w:rsid w:val="00025C67"/>
    <w:rsid w:val="00044772"/>
    <w:rsid w:val="0005559E"/>
    <w:rsid w:val="000604D6"/>
    <w:rsid w:val="000734D8"/>
    <w:rsid w:val="00077775"/>
    <w:rsid w:val="00087DB5"/>
    <w:rsid w:val="00090471"/>
    <w:rsid w:val="00096AA7"/>
    <w:rsid w:val="000A3AED"/>
    <w:rsid w:val="000A77C9"/>
    <w:rsid w:val="000B3532"/>
    <w:rsid w:val="000B3A75"/>
    <w:rsid w:val="000C00C2"/>
    <w:rsid w:val="000C363C"/>
    <w:rsid w:val="000C690F"/>
    <w:rsid w:val="000D1295"/>
    <w:rsid w:val="000D391B"/>
    <w:rsid w:val="000D3D6D"/>
    <w:rsid w:val="000D4FC7"/>
    <w:rsid w:val="000E6196"/>
    <w:rsid w:val="000F4869"/>
    <w:rsid w:val="000F5B42"/>
    <w:rsid w:val="000F6E6F"/>
    <w:rsid w:val="0010601F"/>
    <w:rsid w:val="0010788A"/>
    <w:rsid w:val="00107A31"/>
    <w:rsid w:val="00110EA5"/>
    <w:rsid w:val="00112F56"/>
    <w:rsid w:val="00113639"/>
    <w:rsid w:val="00123AC6"/>
    <w:rsid w:val="00125318"/>
    <w:rsid w:val="001305A2"/>
    <w:rsid w:val="00133238"/>
    <w:rsid w:val="00133A1B"/>
    <w:rsid w:val="0014197B"/>
    <w:rsid w:val="001447CD"/>
    <w:rsid w:val="001516B1"/>
    <w:rsid w:val="00154EBB"/>
    <w:rsid w:val="00156316"/>
    <w:rsid w:val="00161181"/>
    <w:rsid w:val="00162D14"/>
    <w:rsid w:val="00165389"/>
    <w:rsid w:val="0017693F"/>
    <w:rsid w:val="0018110E"/>
    <w:rsid w:val="00181684"/>
    <w:rsid w:val="001843C6"/>
    <w:rsid w:val="001850E0"/>
    <w:rsid w:val="00197761"/>
    <w:rsid w:val="001A2158"/>
    <w:rsid w:val="001A525F"/>
    <w:rsid w:val="001B09F9"/>
    <w:rsid w:val="001B3891"/>
    <w:rsid w:val="001B5C90"/>
    <w:rsid w:val="001B6448"/>
    <w:rsid w:val="001C32CD"/>
    <w:rsid w:val="001D2984"/>
    <w:rsid w:val="001E07CF"/>
    <w:rsid w:val="001E59F1"/>
    <w:rsid w:val="001F2CEE"/>
    <w:rsid w:val="001F49EB"/>
    <w:rsid w:val="001F6CBA"/>
    <w:rsid w:val="00201D4E"/>
    <w:rsid w:val="002076C9"/>
    <w:rsid w:val="00220B8A"/>
    <w:rsid w:val="002257F3"/>
    <w:rsid w:val="00226497"/>
    <w:rsid w:val="00232E73"/>
    <w:rsid w:val="00233456"/>
    <w:rsid w:val="002339A5"/>
    <w:rsid w:val="00257848"/>
    <w:rsid w:val="002619C4"/>
    <w:rsid w:val="0027084A"/>
    <w:rsid w:val="00286434"/>
    <w:rsid w:val="00286C59"/>
    <w:rsid w:val="00291957"/>
    <w:rsid w:val="002942D1"/>
    <w:rsid w:val="0029501A"/>
    <w:rsid w:val="002A192A"/>
    <w:rsid w:val="002A3721"/>
    <w:rsid w:val="002A3D65"/>
    <w:rsid w:val="002B1638"/>
    <w:rsid w:val="002B3624"/>
    <w:rsid w:val="002C42A2"/>
    <w:rsid w:val="002D0952"/>
    <w:rsid w:val="002E40B3"/>
    <w:rsid w:val="002E4C9A"/>
    <w:rsid w:val="002E529B"/>
    <w:rsid w:val="002F11F8"/>
    <w:rsid w:val="002F3F56"/>
    <w:rsid w:val="002F44B5"/>
    <w:rsid w:val="002F5EEF"/>
    <w:rsid w:val="00307E4A"/>
    <w:rsid w:val="00311AC0"/>
    <w:rsid w:val="003176FC"/>
    <w:rsid w:val="00317C36"/>
    <w:rsid w:val="0032583B"/>
    <w:rsid w:val="00326E00"/>
    <w:rsid w:val="00327883"/>
    <w:rsid w:val="00335504"/>
    <w:rsid w:val="00335934"/>
    <w:rsid w:val="00340C18"/>
    <w:rsid w:val="003442FD"/>
    <w:rsid w:val="00347824"/>
    <w:rsid w:val="00350567"/>
    <w:rsid w:val="003521E8"/>
    <w:rsid w:val="00370CE3"/>
    <w:rsid w:val="003728F3"/>
    <w:rsid w:val="0037496E"/>
    <w:rsid w:val="0037667E"/>
    <w:rsid w:val="003778D6"/>
    <w:rsid w:val="00383221"/>
    <w:rsid w:val="00386150"/>
    <w:rsid w:val="00386FD5"/>
    <w:rsid w:val="003874CE"/>
    <w:rsid w:val="00390900"/>
    <w:rsid w:val="003A5F4A"/>
    <w:rsid w:val="003A7F6C"/>
    <w:rsid w:val="003B4D60"/>
    <w:rsid w:val="003B74A5"/>
    <w:rsid w:val="003B7E39"/>
    <w:rsid w:val="003C58DC"/>
    <w:rsid w:val="003D1E62"/>
    <w:rsid w:val="003D7C03"/>
    <w:rsid w:val="003E0B99"/>
    <w:rsid w:val="003E173B"/>
    <w:rsid w:val="003E2486"/>
    <w:rsid w:val="003E3208"/>
    <w:rsid w:val="003E4B7D"/>
    <w:rsid w:val="003F0B04"/>
    <w:rsid w:val="0040134E"/>
    <w:rsid w:val="004334C7"/>
    <w:rsid w:val="00440A2D"/>
    <w:rsid w:val="00441C3F"/>
    <w:rsid w:val="004564A7"/>
    <w:rsid w:val="004617BF"/>
    <w:rsid w:val="00463658"/>
    <w:rsid w:val="004637A0"/>
    <w:rsid w:val="004722CC"/>
    <w:rsid w:val="0049311C"/>
    <w:rsid w:val="004936E4"/>
    <w:rsid w:val="00494E60"/>
    <w:rsid w:val="00497487"/>
    <w:rsid w:val="004A6189"/>
    <w:rsid w:val="004A7390"/>
    <w:rsid w:val="004B55CF"/>
    <w:rsid w:val="004B7B76"/>
    <w:rsid w:val="004C239D"/>
    <w:rsid w:val="004C2DCA"/>
    <w:rsid w:val="004C61D2"/>
    <w:rsid w:val="004D75F4"/>
    <w:rsid w:val="004E1CB8"/>
    <w:rsid w:val="004F0C4A"/>
    <w:rsid w:val="004F0F38"/>
    <w:rsid w:val="004F47D6"/>
    <w:rsid w:val="00501921"/>
    <w:rsid w:val="005231AA"/>
    <w:rsid w:val="00530354"/>
    <w:rsid w:val="0053536C"/>
    <w:rsid w:val="0053625B"/>
    <w:rsid w:val="005434C6"/>
    <w:rsid w:val="00543B39"/>
    <w:rsid w:val="00546154"/>
    <w:rsid w:val="00550096"/>
    <w:rsid w:val="00555280"/>
    <w:rsid w:val="00557FF9"/>
    <w:rsid w:val="00562327"/>
    <w:rsid w:val="005711D5"/>
    <w:rsid w:val="00576378"/>
    <w:rsid w:val="00577130"/>
    <w:rsid w:val="00577945"/>
    <w:rsid w:val="00577E38"/>
    <w:rsid w:val="00585322"/>
    <w:rsid w:val="005857C6"/>
    <w:rsid w:val="00592F6E"/>
    <w:rsid w:val="00593AD1"/>
    <w:rsid w:val="005A68B6"/>
    <w:rsid w:val="005C5570"/>
    <w:rsid w:val="005C65C7"/>
    <w:rsid w:val="005C79A4"/>
    <w:rsid w:val="005D5442"/>
    <w:rsid w:val="00603F32"/>
    <w:rsid w:val="00605AD4"/>
    <w:rsid w:val="006136D7"/>
    <w:rsid w:val="006231FF"/>
    <w:rsid w:val="00625A6E"/>
    <w:rsid w:val="00632398"/>
    <w:rsid w:val="00640FC3"/>
    <w:rsid w:val="00642020"/>
    <w:rsid w:val="0065337B"/>
    <w:rsid w:val="0065419D"/>
    <w:rsid w:val="006604D8"/>
    <w:rsid w:val="006644CC"/>
    <w:rsid w:val="00664A5B"/>
    <w:rsid w:val="0066735C"/>
    <w:rsid w:val="006763D2"/>
    <w:rsid w:val="00680C08"/>
    <w:rsid w:val="006916A0"/>
    <w:rsid w:val="006931B1"/>
    <w:rsid w:val="006947D3"/>
    <w:rsid w:val="006A15C0"/>
    <w:rsid w:val="006B7A12"/>
    <w:rsid w:val="006C3E2A"/>
    <w:rsid w:val="006C642F"/>
    <w:rsid w:val="006D03E5"/>
    <w:rsid w:val="006D5D3E"/>
    <w:rsid w:val="006E08B3"/>
    <w:rsid w:val="006F17AC"/>
    <w:rsid w:val="006F25B8"/>
    <w:rsid w:val="006F572E"/>
    <w:rsid w:val="006F7497"/>
    <w:rsid w:val="007046D6"/>
    <w:rsid w:val="00705DB0"/>
    <w:rsid w:val="00720537"/>
    <w:rsid w:val="00722B57"/>
    <w:rsid w:val="00730F8A"/>
    <w:rsid w:val="007328FF"/>
    <w:rsid w:val="00735A8C"/>
    <w:rsid w:val="0074253D"/>
    <w:rsid w:val="0074429B"/>
    <w:rsid w:val="007615BC"/>
    <w:rsid w:val="00762F05"/>
    <w:rsid w:val="007652FF"/>
    <w:rsid w:val="00770CAC"/>
    <w:rsid w:val="00770EF1"/>
    <w:rsid w:val="00773EF7"/>
    <w:rsid w:val="00774E1D"/>
    <w:rsid w:val="007765D8"/>
    <w:rsid w:val="0077675A"/>
    <w:rsid w:val="00780355"/>
    <w:rsid w:val="007819FD"/>
    <w:rsid w:val="00785717"/>
    <w:rsid w:val="00785721"/>
    <w:rsid w:val="00786C83"/>
    <w:rsid w:val="00793A59"/>
    <w:rsid w:val="007B6132"/>
    <w:rsid w:val="007B6E9F"/>
    <w:rsid w:val="007C1216"/>
    <w:rsid w:val="007C1AF7"/>
    <w:rsid w:val="007C535F"/>
    <w:rsid w:val="007C5D1A"/>
    <w:rsid w:val="007C6B9B"/>
    <w:rsid w:val="007E589E"/>
    <w:rsid w:val="00805D27"/>
    <w:rsid w:val="00806DCB"/>
    <w:rsid w:val="00821776"/>
    <w:rsid w:val="008321F5"/>
    <w:rsid w:val="00832369"/>
    <w:rsid w:val="00834660"/>
    <w:rsid w:val="00836BC2"/>
    <w:rsid w:val="00844E58"/>
    <w:rsid w:val="0085156D"/>
    <w:rsid w:val="0085641B"/>
    <w:rsid w:val="00857136"/>
    <w:rsid w:val="00875A6B"/>
    <w:rsid w:val="00881225"/>
    <w:rsid w:val="00884778"/>
    <w:rsid w:val="00884CF3"/>
    <w:rsid w:val="00885B11"/>
    <w:rsid w:val="00886D15"/>
    <w:rsid w:val="00887DD8"/>
    <w:rsid w:val="00891BA9"/>
    <w:rsid w:val="00896018"/>
    <w:rsid w:val="008960DD"/>
    <w:rsid w:val="0089635C"/>
    <w:rsid w:val="008A2B9D"/>
    <w:rsid w:val="008A3D9F"/>
    <w:rsid w:val="008A5E0B"/>
    <w:rsid w:val="008A6694"/>
    <w:rsid w:val="008A6D59"/>
    <w:rsid w:val="008B1C91"/>
    <w:rsid w:val="008B4B03"/>
    <w:rsid w:val="008B596F"/>
    <w:rsid w:val="008C159F"/>
    <w:rsid w:val="008C1623"/>
    <w:rsid w:val="008C1850"/>
    <w:rsid w:val="008C51A9"/>
    <w:rsid w:val="008D6064"/>
    <w:rsid w:val="008E7846"/>
    <w:rsid w:val="008F02E5"/>
    <w:rsid w:val="008F1CCC"/>
    <w:rsid w:val="008F2967"/>
    <w:rsid w:val="008F6943"/>
    <w:rsid w:val="00902A21"/>
    <w:rsid w:val="00920330"/>
    <w:rsid w:val="009219D7"/>
    <w:rsid w:val="00922D53"/>
    <w:rsid w:val="00923B70"/>
    <w:rsid w:val="00924482"/>
    <w:rsid w:val="00930237"/>
    <w:rsid w:val="00932527"/>
    <w:rsid w:val="00937C17"/>
    <w:rsid w:val="00940A89"/>
    <w:rsid w:val="00946EA5"/>
    <w:rsid w:val="00963C08"/>
    <w:rsid w:val="00965C8C"/>
    <w:rsid w:val="00965CF8"/>
    <w:rsid w:val="00966CF3"/>
    <w:rsid w:val="00970C5B"/>
    <w:rsid w:val="00974344"/>
    <w:rsid w:val="009752A5"/>
    <w:rsid w:val="0098585A"/>
    <w:rsid w:val="009A022F"/>
    <w:rsid w:val="009A4CED"/>
    <w:rsid w:val="009A690D"/>
    <w:rsid w:val="009B1D12"/>
    <w:rsid w:val="009B416B"/>
    <w:rsid w:val="009C4BD5"/>
    <w:rsid w:val="009D3E10"/>
    <w:rsid w:val="009D7B77"/>
    <w:rsid w:val="009E0BB0"/>
    <w:rsid w:val="009E3FBB"/>
    <w:rsid w:val="009F7353"/>
    <w:rsid w:val="00A04F85"/>
    <w:rsid w:val="00A05FA4"/>
    <w:rsid w:val="00A102E4"/>
    <w:rsid w:val="00A12C42"/>
    <w:rsid w:val="00A14DF7"/>
    <w:rsid w:val="00A27757"/>
    <w:rsid w:val="00A30720"/>
    <w:rsid w:val="00A3246D"/>
    <w:rsid w:val="00A36FA7"/>
    <w:rsid w:val="00A44DDB"/>
    <w:rsid w:val="00A475B7"/>
    <w:rsid w:val="00A47AF7"/>
    <w:rsid w:val="00A47C3E"/>
    <w:rsid w:val="00A50226"/>
    <w:rsid w:val="00A60BAD"/>
    <w:rsid w:val="00A80B5B"/>
    <w:rsid w:val="00A84E36"/>
    <w:rsid w:val="00A964D1"/>
    <w:rsid w:val="00AA0ED0"/>
    <w:rsid w:val="00AC2B40"/>
    <w:rsid w:val="00AC2BB2"/>
    <w:rsid w:val="00AC2C3C"/>
    <w:rsid w:val="00AC512D"/>
    <w:rsid w:val="00AD0083"/>
    <w:rsid w:val="00AD3935"/>
    <w:rsid w:val="00AE65EB"/>
    <w:rsid w:val="00AE67A7"/>
    <w:rsid w:val="00AF1D94"/>
    <w:rsid w:val="00AF60C5"/>
    <w:rsid w:val="00B009C6"/>
    <w:rsid w:val="00B01548"/>
    <w:rsid w:val="00B13EBD"/>
    <w:rsid w:val="00B21D29"/>
    <w:rsid w:val="00B2283A"/>
    <w:rsid w:val="00B25034"/>
    <w:rsid w:val="00B33588"/>
    <w:rsid w:val="00B33863"/>
    <w:rsid w:val="00B37D17"/>
    <w:rsid w:val="00B4142C"/>
    <w:rsid w:val="00B4175E"/>
    <w:rsid w:val="00B452CE"/>
    <w:rsid w:val="00B47DF0"/>
    <w:rsid w:val="00B54C25"/>
    <w:rsid w:val="00B76B91"/>
    <w:rsid w:val="00B77EB1"/>
    <w:rsid w:val="00B811C6"/>
    <w:rsid w:val="00B855B0"/>
    <w:rsid w:val="00B92E08"/>
    <w:rsid w:val="00BA5D20"/>
    <w:rsid w:val="00BC26B8"/>
    <w:rsid w:val="00BC622A"/>
    <w:rsid w:val="00BE09E4"/>
    <w:rsid w:val="00BE0A78"/>
    <w:rsid w:val="00BE793C"/>
    <w:rsid w:val="00BE79F0"/>
    <w:rsid w:val="00BF046D"/>
    <w:rsid w:val="00BF1190"/>
    <w:rsid w:val="00BF126D"/>
    <w:rsid w:val="00BF5D04"/>
    <w:rsid w:val="00C009AA"/>
    <w:rsid w:val="00C0250E"/>
    <w:rsid w:val="00C1164D"/>
    <w:rsid w:val="00C16861"/>
    <w:rsid w:val="00C16D83"/>
    <w:rsid w:val="00C346AB"/>
    <w:rsid w:val="00C34F97"/>
    <w:rsid w:val="00C404A6"/>
    <w:rsid w:val="00C40A36"/>
    <w:rsid w:val="00C41E42"/>
    <w:rsid w:val="00C44419"/>
    <w:rsid w:val="00C45E7B"/>
    <w:rsid w:val="00C471B1"/>
    <w:rsid w:val="00C55354"/>
    <w:rsid w:val="00C6316B"/>
    <w:rsid w:val="00C634A9"/>
    <w:rsid w:val="00C64586"/>
    <w:rsid w:val="00C70D53"/>
    <w:rsid w:val="00C73D0B"/>
    <w:rsid w:val="00C74678"/>
    <w:rsid w:val="00C772FF"/>
    <w:rsid w:val="00C80137"/>
    <w:rsid w:val="00C801AF"/>
    <w:rsid w:val="00C80256"/>
    <w:rsid w:val="00C94BA1"/>
    <w:rsid w:val="00C94CD4"/>
    <w:rsid w:val="00C9747E"/>
    <w:rsid w:val="00CA0B65"/>
    <w:rsid w:val="00CB080F"/>
    <w:rsid w:val="00CB6BC0"/>
    <w:rsid w:val="00CC1B7C"/>
    <w:rsid w:val="00CC727F"/>
    <w:rsid w:val="00CE3A02"/>
    <w:rsid w:val="00CF15C3"/>
    <w:rsid w:val="00CF2B6F"/>
    <w:rsid w:val="00CF2F3E"/>
    <w:rsid w:val="00CF563C"/>
    <w:rsid w:val="00CF58B6"/>
    <w:rsid w:val="00D0062D"/>
    <w:rsid w:val="00D017ED"/>
    <w:rsid w:val="00D040D3"/>
    <w:rsid w:val="00D04C65"/>
    <w:rsid w:val="00D10069"/>
    <w:rsid w:val="00D17D39"/>
    <w:rsid w:val="00D201D2"/>
    <w:rsid w:val="00D224FE"/>
    <w:rsid w:val="00D23139"/>
    <w:rsid w:val="00D23699"/>
    <w:rsid w:val="00D404B9"/>
    <w:rsid w:val="00D425BB"/>
    <w:rsid w:val="00D43E08"/>
    <w:rsid w:val="00D513A4"/>
    <w:rsid w:val="00D56F44"/>
    <w:rsid w:val="00D6401D"/>
    <w:rsid w:val="00D6493E"/>
    <w:rsid w:val="00D7195D"/>
    <w:rsid w:val="00D7301E"/>
    <w:rsid w:val="00D76305"/>
    <w:rsid w:val="00D83AE1"/>
    <w:rsid w:val="00D855D4"/>
    <w:rsid w:val="00D902C9"/>
    <w:rsid w:val="00D93466"/>
    <w:rsid w:val="00DA1124"/>
    <w:rsid w:val="00DB6124"/>
    <w:rsid w:val="00DB750B"/>
    <w:rsid w:val="00DB75B7"/>
    <w:rsid w:val="00DC6E02"/>
    <w:rsid w:val="00DD28CD"/>
    <w:rsid w:val="00DD4C81"/>
    <w:rsid w:val="00DE02AE"/>
    <w:rsid w:val="00DF1D7F"/>
    <w:rsid w:val="00DF4BE4"/>
    <w:rsid w:val="00E00954"/>
    <w:rsid w:val="00E00DFB"/>
    <w:rsid w:val="00E0107A"/>
    <w:rsid w:val="00E02FB4"/>
    <w:rsid w:val="00E13FC7"/>
    <w:rsid w:val="00E20571"/>
    <w:rsid w:val="00E235F7"/>
    <w:rsid w:val="00E23659"/>
    <w:rsid w:val="00E239D4"/>
    <w:rsid w:val="00E26130"/>
    <w:rsid w:val="00E40B22"/>
    <w:rsid w:val="00E44ED1"/>
    <w:rsid w:val="00E45619"/>
    <w:rsid w:val="00E4588F"/>
    <w:rsid w:val="00E46DA3"/>
    <w:rsid w:val="00E50438"/>
    <w:rsid w:val="00E51BB1"/>
    <w:rsid w:val="00E54EDB"/>
    <w:rsid w:val="00E55AFB"/>
    <w:rsid w:val="00E572FC"/>
    <w:rsid w:val="00E624A5"/>
    <w:rsid w:val="00E64BA4"/>
    <w:rsid w:val="00E7344E"/>
    <w:rsid w:val="00E82665"/>
    <w:rsid w:val="00EB0798"/>
    <w:rsid w:val="00EB40AD"/>
    <w:rsid w:val="00EB586E"/>
    <w:rsid w:val="00EB5FC8"/>
    <w:rsid w:val="00EC463D"/>
    <w:rsid w:val="00EC7A85"/>
    <w:rsid w:val="00ED2922"/>
    <w:rsid w:val="00ED3CAD"/>
    <w:rsid w:val="00ED5A41"/>
    <w:rsid w:val="00EE1DE8"/>
    <w:rsid w:val="00EE27C2"/>
    <w:rsid w:val="00EF4BAD"/>
    <w:rsid w:val="00EF59DC"/>
    <w:rsid w:val="00EF5FF8"/>
    <w:rsid w:val="00EF7910"/>
    <w:rsid w:val="00F033EC"/>
    <w:rsid w:val="00F04F68"/>
    <w:rsid w:val="00F12670"/>
    <w:rsid w:val="00F14B27"/>
    <w:rsid w:val="00F3148D"/>
    <w:rsid w:val="00F325C5"/>
    <w:rsid w:val="00F32FE0"/>
    <w:rsid w:val="00F35298"/>
    <w:rsid w:val="00F47333"/>
    <w:rsid w:val="00F47E37"/>
    <w:rsid w:val="00F53C07"/>
    <w:rsid w:val="00F54B65"/>
    <w:rsid w:val="00F640B6"/>
    <w:rsid w:val="00F66DF2"/>
    <w:rsid w:val="00F80E40"/>
    <w:rsid w:val="00F848D9"/>
    <w:rsid w:val="00FA5B82"/>
    <w:rsid w:val="00FA639E"/>
    <w:rsid w:val="00FC1FCA"/>
    <w:rsid w:val="00FC25E4"/>
    <w:rsid w:val="00FC4EF7"/>
    <w:rsid w:val="00FD0824"/>
    <w:rsid w:val="00FD119B"/>
    <w:rsid w:val="00FD1EDC"/>
    <w:rsid w:val="00FD708D"/>
    <w:rsid w:val="00FE1DEE"/>
    <w:rsid w:val="00FE6C13"/>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8EB7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6B7A12"/>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B2283A"/>
    <w:pPr>
      <w:ind w:left="720"/>
      <w:contextualSpacing/>
    </w:pPr>
  </w:style>
  <w:style w:type="paragraph" w:customStyle="1" w:styleId="Default">
    <w:name w:val="Default"/>
    <w:rsid w:val="00974344"/>
    <w:pPr>
      <w:autoSpaceDE w:val="0"/>
      <w:autoSpaceDN w:val="0"/>
      <w:adjustRightInd w:val="0"/>
      <w:spacing w:after="0" w:line="240" w:lineRule="auto"/>
    </w:pPr>
    <w:rPr>
      <w:rFonts w:ascii="Cambria" w:hAnsi="Cambria" w:cs="Cambria"/>
      <w:color w:val="000000"/>
      <w:sz w:val="24"/>
      <w:szCs w:val="24"/>
    </w:rPr>
  </w:style>
  <w:style w:type="paragraph" w:customStyle="1" w:styleId="Standard">
    <w:name w:val="Standard"/>
    <w:basedOn w:val="Normal"/>
    <w:link w:val="StandardChar"/>
    <w:qFormat/>
    <w:rsid w:val="00123AC6"/>
    <w:pPr>
      <w:widowControl w:val="0"/>
      <w:spacing w:before="0" w:after="220" w:line="252" w:lineRule="auto"/>
    </w:pPr>
    <w:rPr>
      <w:rFonts w:asciiTheme="minorHAnsi" w:eastAsia="Times New Roman" w:hAnsiTheme="minorHAnsi" w:cstheme="minorBidi"/>
      <w:kern w:val="16"/>
      <w:szCs w:val="24"/>
    </w:rPr>
  </w:style>
  <w:style w:type="character" w:customStyle="1" w:styleId="StandardChar">
    <w:name w:val="Standard Char"/>
    <w:basedOn w:val="DefaultParagraphFont"/>
    <w:link w:val="Standard"/>
    <w:rsid w:val="00123AC6"/>
    <w:rPr>
      <w:rFonts w:eastAsia="Times New Roman"/>
      <w:kern w:val="16"/>
      <w:szCs w:val="24"/>
    </w:rPr>
  </w:style>
  <w:style w:type="paragraph" w:customStyle="1" w:styleId="Bulletlist">
    <w:name w:val="Bullet list"/>
    <w:basedOn w:val="Normal"/>
    <w:link w:val="BulletlistChar"/>
    <w:qFormat/>
    <w:rsid w:val="006644CC"/>
    <w:pPr>
      <w:numPr>
        <w:numId w:val="29"/>
      </w:numPr>
      <w:spacing w:before="0" w:after="180" w:line="252" w:lineRule="auto"/>
      <w:ind w:left="426" w:hanging="284"/>
    </w:pPr>
    <w:rPr>
      <w:rFonts w:eastAsia="Times New Roman"/>
      <w:snapToGrid w:val="0"/>
      <w:kern w:val="2"/>
      <w:sz w:val="23"/>
      <w:szCs w:val="24"/>
    </w:rPr>
  </w:style>
  <w:style w:type="character" w:customStyle="1" w:styleId="BulletlistChar">
    <w:name w:val="Bullet list Char"/>
    <w:basedOn w:val="DefaultParagraphFont"/>
    <w:link w:val="Bulletlist"/>
    <w:rsid w:val="006644CC"/>
    <w:rPr>
      <w:rFonts w:ascii="Cambria" w:eastAsia="Times New Roman" w:hAnsi="Cambria" w:cs="Times New Roman"/>
      <w:snapToGrid w:val="0"/>
      <w:kern w:val="2"/>
      <w:sz w:val="23"/>
      <w:szCs w:val="24"/>
    </w:rPr>
  </w:style>
  <w:style w:type="character" w:customStyle="1" w:styleId="TabletextChar">
    <w:name w:val="Table text Char"/>
    <w:basedOn w:val="DefaultParagraphFont"/>
    <w:link w:val="Tabletext"/>
    <w:rsid w:val="006644CC"/>
    <w:rPr>
      <w:rFonts w:ascii="Cambria" w:eastAsia="Cambria" w:hAnsi="Cambria" w:cs="Times New Roman"/>
      <w:sz w:val="19"/>
    </w:rPr>
  </w:style>
  <w:style w:type="table" w:customStyle="1" w:styleId="TableGrid1">
    <w:name w:val="Table Grid1"/>
    <w:basedOn w:val="TableNormal"/>
    <w:next w:val="TableGrid"/>
    <w:uiPriority w:val="59"/>
    <w:rsid w:val="00A3072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Header">
    <w:name w:val="Table Header"/>
    <w:basedOn w:val="Normal"/>
    <w:rsid w:val="00A30720"/>
    <w:pPr>
      <w:keepNext/>
      <w:keepLines/>
      <w:widowControl w:val="0"/>
      <w:spacing w:before="60" w:after="60" w:line="200" w:lineRule="exact"/>
      <w:jc w:val="center"/>
    </w:pPr>
    <w:rPr>
      <w:rFonts w:asciiTheme="minorHAnsi" w:eastAsiaTheme="minorEastAsia" w:hAnsiTheme="minorHAnsi" w:cstheme="minorBidi"/>
      <w:b/>
      <w:kern w:val="2"/>
      <w:sz w:val="19"/>
      <w:szCs w:val="19"/>
    </w:rPr>
  </w:style>
  <w:style w:type="paragraph" w:customStyle="1" w:styleId="Tabletextleft">
    <w:name w:val="Table text (left)"/>
    <w:basedOn w:val="Normal"/>
    <w:rsid w:val="00A30720"/>
    <w:pPr>
      <w:spacing w:before="20" w:after="20" w:line="200" w:lineRule="exact"/>
      <w:ind w:left="57" w:right="57"/>
    </w:pPr>
    <w:rPr>
      <w:rFonts w:asciiTheme="minorHAnsi" w:eastAsia="Times New Roman" w:hAnsiTheme="minorHAnsi" w:cstheme="minorBidi"/>
      <w:snapToGrid w:val="0"/>
      <w:kern w:val="16"/>
      <w:sz w:val="18"/>
      <w:szCs w:val="18"/>
    </w:rPr>
  </w:style>
  <w:style w:type="paragraph" w:customStyle="1" w:styleId="A-Head2">
    <w:name w:val="A-Head 2"/>
    <w:basedOn w:val="Normal"/>
    <w:link w:val="A-Head2Char"/>
    <w:rsid w:val="00D56F44"/>
    <w:pPr>
      <w:tabs>
        <w:tab w:val="left" w:pos="1134"/>
      </w:tabs>
      <w:spacing w:before="240" w:after="60" w:line="240" w:lineRule="auto"/>
      <w:ind w:right="-108"/>
    </w:pPr>
    <w:rPr>
      <w:rFonts w:ascii="Arial" w:eastAsia="Times New Roman" w:hAnsi="Arial"/>
      <w:b/>
      <w:sz w:val="32"/>
      <w:szCs w:val="20"/>
    </w:rPr>
  </w:style>
  <w:style w:type="character" w:customStyle="1" w:styleId="A-Head2Char">
    <w:name w:val="A-Head 2 Char"/>
    <w:link w:val="A-Head2"/>
    <w:rsid w:val="00D56F44"/>
    <w:rPr>
      <w:rFonts w:ascii="Arial" w:eastAsia="Times New Roman" w:hAnsi="Arial" w:cs="Times New Roman"/>
      <w:b/>
      <w:sz w:val="32"/>
      <w:szCs w:val="20"/>
    </w:rPr>
  </w:style>
  <w:style w:type="paragraph" w:customStyle="1" w:styleId="Tabletitle0">
    <w:name w:val="Table title"/>
    <w:basedOn w:val="Normal"/>
    <w:next w:val="Normal"/>
    <w:rsid w:val="00884778"/>
    <w:pPr>
      <w:keepNext/>
      <w:spacing w:after="180"/>
      <w:outlineLvl w:val="4"/>
    </w:pPr>
    <w:rPr>
      <w:rFonts w:cstheme="minorBidi"/>
      <w:b/>
    </w:rPr>
  </w:style>
  <w:style w:type="character" w:customStyle="1" w:styleId="TableTitleChar">
    <w:name w:val="Table Title Char"/>
    <w:basedOn w:val="DefaultParagraphFont"/>
    <w:link w:val="TableTitle"/>
    <w:rsid w:val="00970C5B"/>
    <w:rPr>
      <w:rFonts w:ascii="Cambria" w:eastAsia="Cambria" w:hAnsi="Cambria" w:cs="Times New Roman"/>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6B7A12"/>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B2283A"/>
    <w:pPr>
      <w:ind w:left="720"/>
      <w:contextualSpacing/>
    </w:pPr>
  </w:style>
  <w:style w:type="paragraph" w:customStyle="1" w:styleId="Default">
    <w:name w:val="Default"/>
    <w:rsid w:val="00974344"/>
    <w:pPr>
      <w:autoSpaceDE w:val="0"/>
      <w:autoSpaceDN w:val="0"/>
      <w:adjustRightInd w:val="0"/>
      <w:spacing w:after="0" w:line="240" w:lineRule="auto"/>
    </w:pPr>
    <w:rPr>
      <w:rFonts w:ascii="Cambria" w:hAnsi="Cambria" w:cs="Cambria"/>
      <w:color w:val="000000"/>
      <w:sz w:val="24"/>
      <w:szCs w:val="24"/>
    </w:rPr>
  </w:style>
  <w:style w:type="paragraph" w:customStyle="1" w:styleId="Standard">
    <w:name w:val="Standard"/>
    <w:basedOn w:val="Normal"/>
    <w:link w:val="StandardChar"/>
    <w:qFormat/>
    <w:rsid w:val="00123AC6"/>
    <w:pPr>
      <w:widowControl w:val="0"/>
      <w:spacing w:before="0" w:after="220" w:line="252" w:lineRule="auto"/>
    </w:pPr>
    <w:rPr>
      <w:rFonts w:asciiTheme="minorHAnsi" w:eastAsia="Times New Roman" w:hAnsiTheme="minorHAnsi" w:cstheme="minorBidi"/>
      <w:kern w:val="16"/>
      <w:szCs w:val="24"/>
    </w:rPr>
  </w:style>
  <w:style w:type="character" w:customStyle="1" w:styleId="StandardChar">
    <w:name w:val="Standard Char"/>
    <w:basedOn w:val="DefaultParagraphFont"/>
    <w:link w:val="Standard"/>
    <w:rsid w:val="00123AC6"/>
    <w:rPr>
      <w:rFonts w:eastAsia="Times New Roman"/>
      <w:kern w:val="16"/>
      <w:szCs w:val="24"/>
    </w:rPr>
  </w:style>
  <w:style w:type="paragraph" w:customStyle="1" w:styleId="Bulletlist">
    <w:name w:val="Bullet list"/>
    <w:basedOn w:val="Normal"/>
    <w:link w:val="BulletlistChar"/>
    <w:qFormat/>
    <w:rsid w:val="006644CC"/>
    <w:pPr>
      <w:numPr>
        <w:numId w:val="29"/>
      </w:numPr>
      <w:spacing w:before="0" w:after="180" w:line="252" w:lineRule="auto"/>
      <w:ind w:left="426" w:hanging="284"/>
    </w:pPr>
    <w:rPr>
      <w:rFonts w:eastAsia="Times New Roman"/>
      <w:snapToGrid w:val="0"/>
      <w:kern w:val="2"/>
      <w:sz w:val="23"/>
      <w:szCs w:val="24"/>
    </w:rPr>
  </w:style>
  <w:style w:type="character" w:customStyle="1" w:styleId="BulletlistChar">
    <w:name w:val="Bullet list Char"/>
    <w:basedOn w:val="DefaultParagraphFont"/>
    <w:link w:val="Bulletlist"/>
    <w:rsid w:val="006644CC"/>
    <w:rPr>
      <w:rFonts w:ascii="Cambria" w:eastAsia="Times New Roman" w:hAnsi="Cambria" w:cs="Times New Roman"/>
      <w:snapToGrid w:val="0"/>
      <w:kern w:val="2"/>
      <w:sz w:val="23"/>
      <w:szCs w:val="24"/>
    </w:rPr>
  </w:style>
  <w:style w:type="character" w:customStyle="1" w:styleId="TabletextChar">
    <w:name w:val="Table text Char"/>
    <w:basedOn w:val="DefaultParagraphFont"/>
    <w:link w:val="Tabletext"/>
    <w:rsid w:val="006644CC"/>
    <w:rPr>
      <w:rFonts w:ascii="Cambria" w:eastAsia="Cambria" w:hAnsi="Cambria" w:cs="Times New Roman"/>
      <w:sz w:val="19"/>
    </w:rPr>
  </w:style>
  <w:style w:type="table" w:customStyle="1" w:styleId="TableGrid1">
    <w:name w:val="Table Grid1"/>
    <w:basedOn w:val="TableNormal"/>
    <w:next w:val="TableGrid"/>
    <w:uiPriority w:val="59"/>
    <w:rsid w:val="00A3072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Header">
    <w:name w:val="Table Header"/>
    <w:basedOn w:val="Normal"/>
    <w:rsid w:val="00A30720"/>
    <w:pPr>
      <w:keepNext/>
      <w:keepLines/>
      <w:widowControl w:val="0"/>
      <w:spacing w:before="60" w:after="60" w:line="200" w:lineRule="exact"/>
      <w:jc w:val="center"/>
    </w:pPr>
    <w:rPr>
      <w:rFonts w:asciiTheme="minorHAnsi" w:eastAsiaTheme="minorEastAsia" w:hAnsiTheme="minorHAnsi" w:cstheme="minorBidi"/>
      <w:b/>
      <w:kern w:val="2"/>
      <w:sz w:val="19"/>
      <w:szCs w:val="19"/>
    </w:rPr>
  </w:style>
  <w:style w:type="paragraph" w:customStyle="1" w:styleId="Tabletextleft">
    <w:name w:val="Table text (left)"/>
    <w:basedOn w:val="Normal"/>
    <w:rsid w:val="00A30720"/>
    <w:pPr>
      <w:spacing w:before="20" w:after="20" w:line="200" w:lineRule="exact"/>
      <w:ind w:left="57" w:right="57"/>
    </w:pPr>
    <w:rPr>
      <w:rFonts w:asciiTheme="minorHAnsi" w:eastAsia="Times New Roman" w:hAnsiTheme="minorHAnsi" w:cstheme="minorBidi"/>
      <w:snapToGrid w:val="0"/>
      <w:kern w:val="16"/>
      <w:sz w:val="18"/>
      <w:szCs w:val="18"/>
    </w:rPr>
  </w:style>
  <w:style w:type="paragraph" w:customStyle="1" w:styleId="A-Head2">
    <w:name w:val="A-Head 2"/>
    <w:basedOn w:val="Normal"/>
    <w:link w:val="A-Head2Char"/>
    <w:rsid w:val="00D56F44"/>
    <w:pPr>
      <w:tabs>
        <w:tab w:val="left" w:pos="1134"/>
      </w:tabs>
      <w:spacing w:before="240" w:after="60" w:line="240" w:lineRule="auto"/>
      <w:ind w:right="-108"/>
    </w:pPr>
    <w:rPr>
      <w:rFonts w:ascii="Arial" w:eastAsia="Times New Roman" w:hAnsi="Arial"/>
      <w:b/>
      <w:sz w:val="32"/>
      <w:szCs w:val="20"/>
    </w:rPr>
  </w:style>
  <w:style w:type="character" w:customStyle="1" w:styleId="A-Head2Char">
    <w:name w:val="A-Head 2 Char"/>
    <w:link w:val="A-Head2"/>
    <w:rsid w:val="00D56F44"/>
    <w:rPr>
      <w:rFonts w:ascii="Arial" w:eastAsia="Times New Roman" w:hAnsi="Arial" w:cs="Times New Roman"/>
      <w:b/>
      <w:sz w:val="32"/>
      <w:szCs w:val="20"/>
    </w:rPr>
  </w:style>
  <w:style w:type="paragraph" w:customStyle="1" w:styleId="Tabletitle0">
    <w:name w:val="Table title"/>
    <w:basedOn w:val="Normal"/>
    <w:next w:val="Normal"/>
    <w:rsid w:val="00884778"/>
    <w:pPr>
      <w:keepNext/>
      <w:spacing w:after="180"/>
      <w:outlineLvl w:val="4"/>
    </w:pPr>
    <w:rPr>
      <w:rFonts w:cstheme="minorBidi"/>
      <w:b/>
    </w:rPr>
  </w:style>
  <w:style w:type="character" w:customStyle="1" w:styleId="TableTitleChar">
    <w:name w:val="Table Title Char"/>
    <w:basedOn w:val="DefaultParagraphFont"/>
    <w:link w:val="TableTitle"/>
    <w:rsid w:val="00970C5B"/>
    <w:rPr>
      <w:rFonts w:ascii="Cambria" w:eastAsia="Cambria" w:hAnsi="Cambria"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2267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3.png"/><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image" Target="media/image25.png"/><Relationship Id="rId47" Type="http://schemas.openxmlformats.org/officeDocument/2006/relationships/header" Target="header4.xml"/><Relationship Id="rId50" Type="http://schemas.openxmlformats.org/officeDocument/2006/relationships/hyperlink" Target="mailto:info@tga.gov.au" TargetMode="External"/><Relationship Id="rId55"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9.png"/><Relationship Id="rId38" Type="http://schemas.microsoft.com/office/2007/relationships/hdphoto" Target="media/hdphoto5.wdp"/><Relationship Id="rId46" Type="http://schemas.openxmlformats.org/officeDocument/2006/relationships/header" Target="header3.xml"/><Relationship Id="rId59"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microsoft.com/office/2007/relationships/hdphoto" Target="media/hdphoto2.wdp"/><Relationship Id="rId41" Type="http://schemas.microsoft.com/office/2007/relationships/hdphoto" Target="media/hdphoto6.wdp"/><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microsoft.com/office/2007/relationships/hdphoto" Target="media/hdphoto3.wdp"/><Relationship Id="rId37" Type="http://schemas.openxmlformats.org/officeDocument/2006/relationships/image" Target="media/image22.jpeg"/><Relationship Id="rId40" Type="http://schemas.openxmlformats.org/officeDocument/2006/relationships/image" Target="media/image24.jpeg"/><Relationship Id="rId45" Type="http://schemas.openxmlformats.org/officeDocument/2006/relationships/image" Target="media/image27.png"/><Relationship Id="rId53" Type="http://schemas.openxmlformats.org/officeDocument/2006/relationships/header" Target="header7.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microsoft.com/office/2007/relationships/hdphoto" Target="media/hdphoto4.wdp"/><Relationship Id="rId49" Type="http://schemas.openxmlformats.org/officeDocument/2006/relationships/footer" Target="footer2.xml"/><Relationship Id="rId57" Type="http://schemas.openxmlformats.org/officeDocument/2006/relationships/fontTable" Target="fontTable.xml"/><Relationship Id="rId10" Type="http://schemas.openxmlformats.org/officeDocument/2006/relationships/hyperlink" Target="mailto:tga.copyright@tga.gov.au" TargetMode="External"/><Relationship Id="rId19" Type="http://schemas.openxmlformats.org/officeDocument/2006/relationships/image" Target="media/image8.png"/><Relationship Id="rId31" Type="http://schemas.openxmlformats.org/officeDocument/2006/relationships/image" Target="media/image18.png"/><Relationship Id="rId44" Type="http://schemas.microsoft.com/office/2007/relationships/hdphoto" Target="media/hdphoto7.wdp"/><Relationship Id="rId52" Type="http://schemas.openxmlformats.org/officeDocument/2006/relationships/header" Target="header6.xml"/><Relationship Id="rId60"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image" Target="media/image3.png"/><Relationship Id="rId22" Type="http://schemas.openxmlformats.org/officeDocument/2006/relationships/image" Target="media/image11.png"/><Relationship Id="rId27" Type="http://schemas.microsoft.com/office/2007/relationships/hdphoto" Target="media/hdphoto1.wdp"/><Relationship Id="rId30" Type="http://schemas.openxmlformats.org/officeDocument/2006/relationships/image" Target="media/image17.png"/><Relationship Id="rId35" Type="http://schemas.openxmlformats.org/officeDocument/2006/relationships/image" Target="media/image21.jpeg"/><Relationship Id="rId43" Type="http://schemas.openxmlformats.org/officeDocument/2006/relationships/image" Target="media/image26.jpeg"/><Relationship Id="rId48" Type="http://schemas.openxmlformats.org/officeDocument/2006/relationships/header" Target="header5.xml"/><Relationship Id="rId56"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hyperlink" Target="https://www.tga.gov.au"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6920\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FB475-1A42-44FF-A2F6-B68EB435C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41</TotalTime>
  <Pages>58</Pages>
  <Words>19008</Words>
  <Characters>103977</Characters>
  <Application>Microsoft Office Word</Application>
  <DocSecurity>0</DocSecurity>
  <Lines>2310</Lines>
  <Paragraphs>1107</Paragraphs>
  <ScaleCrop>false</ScaleCrop>
  <HeadingPairs>
    <vt:vector size="2" baseType="variant">
      <vt:variant>
        <vt:lpstr>Title</vt:lpstr>
      </vt:variant>
      <vt:variant>
        <vt:i4>1</vt:i4>
      </vt:variant>
    </vt:vector>
  </HeadingPairs>
  <TitlesOfParts>
    <vt:vector size="1" baseType="lpstr">
      <vt:lpstr>Australian Public Assessment Report for Bosentan</vt:lpstr>
    </vt:vector>
  </TitlesOfParts>
  <Company>Department of Health Therapeutic Goods Administration</Company>
  <LinksUpToDate>false</LinksUpToDate>
  <CharactersWithSpaces>121878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Bosentan</dc:title>
  <dc:subject>prescription medicines</dc:subject>
  <dc:creator>Therapeutic Goods Administration</dc:creator>
  <cp:keywords>AusPARs</cp:keywords>
  <cp:lastModifiedBy>LACK, Janet</cp:lastModifiedBy>
  <cp:revision>4</cp:revision>
  <cp:lastPrinted>2015-09-22T23:39:00Z</cp:lastPrinted>
  <dcterms:created xsi:type="dcterms:W3CDTF">2018-07-19T01:39:00Z</dcterms:created>
  <dcterms:modified xsi:type="dcterms:W3CDTF">2018-07-19T02:22:00Z</dcterms:modified>
</cp:coreProperties>
</file>